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5C853D0">
      <w:pPr>
        <w:spacing w:line="600" w:lineRule="exact"/>
        <w:jc w:val="left"/>
        <w:outlineLvl w:val="0"/>
        <w:rPr>
          <w:rFonts w:hint="eastAsia" w:ascii="方正仿宋_GBK" w:eastAsia="方正仿宋_GBK"/>
          <w:sz w:val="32"/>
          <w:szCs w:val="32"/>
          <w:highlight w:val="none"/>
          <w:u w:val="none" w:color="auto"/>
        </w:rPr>
      </w:pPr>
    </w:p>
    <w:p w14:paraId="2BD1CFE7">
      <w:pPr>
        <w:spacing w:line="1600" w:lineRule="exact"/>
        <w:jc w:val="center"/>
        <w:outlineLvl w:val="0"/>
        <w:rPr>
          <w:rFonts w:hint="eastAsia" w:ascii="方正黑体_GBK" w:eastAsia="方正黑体_GBK"/>
          <w:sz w:val="100"/>
          <w:highlight w:val="none"/>
          <w:u w:val="none" w:color="auto"/>
        </w:rPr>
      </w:pPr>
      <w:r>
        <w:rPr>
          <w:rFonts w:hint="eastAsia" w:ascii="方正黑体_GBK" w:eastAsia="方正黑体_GBK"/>
          <w:sz w:val="100"/>
          <w:highlight w:val="none"/>
          <w:u w:val="none" w:color="auto"/>
          <w:lang w:eastAsia="zh-CN"/>
        </w:rPr>
        <w:t>国企</w:t>
      </w:r>
      <w:r>
        <w:rPr>
          <w:rFonts w:hint="eastAsia" w:ascii="方正黑体_GBK" w:eastAsia="方正黑体_GBK"/>
          <w:sz w:val="100"/>
          <w:highlight w:val="none"/>
          <w:u w:val="none" w:color="auto"/>
        </w:rPr>
        <w:t>采购</w:t>
      </w:r>
    </w:p>
    <w:p w14:paraId="04CD7B10">
      <w:pPr>
        <w:spacing w:line="1600" w:lineRule="exact"/>
        <w:jc w:val="center"/>
        <w:outlineLvl w:val="0"/>
        <w:rPr>
          <w:rFonts w:hint="eastAsia" w:ascii="方正黑体_GBK" w:hAnsi="宋体" w:eastAsia="方正黑体_GBK"/>
          <w:sz w:val="130"/>
          <w:szCs w:val="130"/>
          <w:highlight w:val="none"/>
          <w:u w:val="none" w:color="auto"/>
        </w:rPr>
      </w:pPr>
      <w:r>
        <w:rPr>
          <w:rFonts w:hint="eastAsia" w:ascii="方正黑体_GBK" w:hAnsi="宋体" w:eastAsia="方正黑体_GBK"/>
          <w:sz w:val="130"/>
          <w:szCs w:val="130"/>
          <w:highlight w:val="none"/>
          <w:u w:val="none" w:color="auto"/>
        </w:rPr>
        <w:t>招 标 文 件</w:t>
      </w:r>
    </w:p>
    <w:p w14:paraId="628D5ED7">
      <w:pPr>
        <w:pStyle w:val="24"/>
        <w:spacing w:line="500" w:lineRule="exact"/>
        <w:ind w:left="0"/>
        <w:jc w:val="left"/>
        <w:rPr>
          <w:rFonts w:hint="eastAsia" w:ascii="方正黑体_GBK" w:eastAsia="方正黑体_GBK"/>
          <w:color w:val="FF0000"/>
          <w:sz w:val="32"/>
          <w:highlight w:val="none"/>
          <w:u w:val="none" w:color="auto"/>
        </w:rPr>
      </w:pPr>
    </w:p>
    <w:p w14:paraId="1D325910">
      <w:pPr>
        <w:pStyle w:val="24"/>
        <w:spacing w:line="500" w:lineRule="exact"/>
        <w:ind w:left="0"/>
        <w:jc w:val="left"/>
        <w:rPr>
          <w:rFonts w:hint="eastAsia" w:ascii="方正黑体_GBK" w:eastAsia="方正黑体_GBK"/>
          <w:color w:val="FF0000"/>
          <w:sz w:val="32"/>
          <w:highlight w:val="none"/>
          <w:u w:val="none" w:color="auto"/>
        </w:rPr>
      </w:pPr>
    </w:p>
    <w:p w14:paraId="2C010BDE">
      <w:pPr>
        <w:pStyle w:val="24"/>
        <w:spacing w:line="500" w:lineRule="exact"/>
        <w:ind w:left="0"/>
        <w:jc w:val="center"/>
        <w:rPr>
          <w:rFonts w:hint="eastAsia" w:ascii="方正黑体_GBK" w:eastAsia="方正黑体_GBK"/>
          <w:sz w:val="32"/>
          <w:highlight w:val="none"/>
          <w:u w:val="none" w:color="auto"/>
        </w:rPr>
      </w:pPr>
    </w:p>
    <w:p w14:paraId="6598B6FB">
      <w:pPr>
        <w:pStyle w:val="24"/>
        <w:spacing w:line="500" w:lineRule="exact"/>
        <w:ind w:left="0"/>
        <w:jc w:val="center"/>
        <w:rPr>
          <w:rFonts w:hint="eastAsia" w:ascii="方正小标宋_GBK" w:eastAsia="方正小标宋_GBK"/>
          <w:sz w:val="32"/>
          <w:highlight w:val="none"/>
          <w:u w:val="none" w:color="auto"/>
        </w:rPr>
      </w:pPr>
    </w:p>
    <w:p w14:paraId="60B6D5A1">
      <w:pPr>
        <w:spacing w:line="500" w:lineRule="exact"/>
        <w:ind w:firstLine="0" w:firstLineChars="0"/>
        <w:outlineLvl w:val="0"/>
        <w:rPr>
          <w:rFonts w:hint="default" w:ascii="方正小标宋_GBK" w:hAnsi="宋体" w:eastAsia="方正小标宋_GBK"/>
          <w:sz w:val="36"/>
          <w:szCs w:val="36"/>
          <w:highlight w:val="none"/>
          <w:u w:val="none" w:color="auto"/>
          <w:lang w:val="en-US" w:eastAsia="zh-CN"/>
        </w:rPr>
      </w:pPr>
      <w:r>
        <w:rPr>
          <w:rFonts w:hint="eastAsia" w:ascii="方正小标宋_GBK" w:hAnsi="宋体" w:eastAsia="方正小标宋_GBK"/>
          <w:sz w:val="36"/>
          <w:szCs w:val="36"/>
          <w:highlight w:val="none"/>
          <w:u w:val="none" w:color="auto"/>
        </w:rPr>
        <w:t xml:space="preserve">项  </w:t>
      </w:r>
      <w:r>
        <w:rPr>
          <w:rFonts w:hint="eastAsia" w:ascii="方正小标宋_GBK" w:hAnsi="宋体" w:eastAsia="方正小标宋_GBK"/>
          <w:sz w:val="36"/>
          <w:szCs w:val="36"/>
          <w:highlight w:val="none"/>
          <w:u w:val="none" w:color="auto"/>
          <w:lang w:val="en-US" w:eastAsia="zh-CN"/>
        </w:rPr>
        <w:t xml:space="preserve"> </w:t>
      </w:r>
      <w:r>
        <w:rPr>
          <w:rFonts w:hint="eastAsia" w:ascii="方正小标宋_GBK" w:hAnsi="宋体" w:eastAsia="方正小标宋_GBK"/>
          <w:sz w:val="36"/>
          <w:szCs w:val="36"/>
          <w:highlight w:val="none"/>
          <w:u w:val="none" w:color="auto"/>
        </w:rPr>
        <w:t xml:space="preserve">目  </w:t>
      </w:r>
      <w:r>
        <w:rPr>
          <w:rFonts w:hint="eastAsia" w:ascii="方正小标宋_GBK" w:hAnsi="宋体" w:eastAsia="方正小标宋_GBK"/>
          <w:sz w:val="36"/>
          <w:szCs w:val="36"/>
          <w:highlight w:val="none"/>
          <w:u w:val="none" w:color="auto"/>
          <w:lang w:val="en-US" w:eastAsia="zh-CN"/>
        </w:rPr>
        <w:t xml:space="preserve"> </w:t>
      </w:r>
      <w:r>
        <w:rPr>
          <w:rFonts w:hint="eastAsia" w:ascii="方正小标宋_GBK" w:hAnsi="宋体" w:eastAsia="方正小标宋_GBK"/>
          <w:sz w:val="36"/>
          <w:szCs w:val="36"/>
          <w:highlight w:val="none"/>
          <w:u w:val="none" w:color="auto"/>
        </w:rPr>
        <w:t>号：</w:t>
      </w:r>
      <w:bookmarkStart w:id="0" w:name="OLE_LINK6"/>
      <w:r>
        <w:rPr>
          <w:rFonts w:hint="eastAsia" w:ascii="方正小标宋_GBK" w:hAnsi="宋体" w:eastAsia="方正小标宋_GBK"/>
          <w:sz w:val="36"/>
          <w:szCs w:val="36"/>
          <w:highlight w:val="none"/>
          <w:u w:val="none" w:color="auto"/>
          <w:lang w:val="en-US" w:eastAsia="zh-CN"/>
        </w:rPr>
        <w:t>DJGZ25A00019</w:t>
      </w:r>
    </w:p>
    <w:bookmarkEnd w:id="0"/>
    <w:p w14:paraId="6C33F5C9">
      <w:pPr>
        <w:spacing w:line="500" w:lineRule="exact"/>
        <w:ind w:left="2520" w:hanging="2520" w:hangingChars="700"/>
        <w:outlineLvl w:val="0"/>
        <w:rPr>
          <w:rFonts w:hint="eastAsia" w:ascii="方正小标宋_GBK" w:hAnsi="宋体" w:eastAsia="方正小标宋_GBK"/>
          <w:sz w:val="36"/>
          <w:szCs w:val="36"/>
          <w:highlight w:val="none"/>
          <w:u w:val="none" w:color="auto"/>
          <w:lang w:val="en-US" w:eastAsia="zh-CN"/>
        </w:rPr>
      </w:pPr>
      <w:r>
        <w:rPr>
          <w:rFonts w:hint="eastAsia" w:ascii="方正小标宋_GBK" w:hAnsi="宋体" w:eastAsia="方正小标宋_GBK"/>
          <w:sz w:val="36"/>
          <w:szCs w:val="36"/>
          <w:highlight w:val="none"/>
          <w:u w:val="none" w:color="auto"/>
        </w:rPr>
        <w:t>招标项目名称：</w:t>
      </w:r>
      <w:bookmarkStart w:id="1" w:name="OLE_LINK5"/>
      <w:r>
        <w:rPr>
          <w:rFonts w:hint="eastAsia" w:ascii="方正小标宋_GBK" w:hAnsi="宋体" w:eastAsia="方正小标宋_GBK"/>
          <w:sz w:val="36"/>
          <w:szCs w:val="36"/>
          <w:highlight w:val="none"/>
          <w:u w:val="none" w:color="auto"/>
          <w:lang w:eastAsia="zh-CN"/>
        </w:rPr>
        <w:t>2025年垫江县龙溪河流域水肥一体化（智慧灌溉）建设项目车辆采购</w:t>
      </w:r>
    </w:p>
    <w:bookmarkEnd w:id="1"/>
    <w:p w14:paraId="0EAC89A7">
      <w:pPr>
        <w:pStyle w:val="24"/>
        <w:spacing w:line="500" w:lineRule="exact"/>
        <w:ind w:left="0"/>
        <w:jc w:val="center"/>
        <w:rPr>
          <w:rFonts w:hint="eastAsia" w:ascii="方正小标宋_GBK" w:eastAsia="方正小标宋_GBK"/>
          <w:sz w:val="32"/>
          <w:highlight w:val="none"/>
          <w:u w:val="none" w:color="auto"/>
        </w:rPr>
      </w:pPr>
    </w:p>
    <w:p w14:paraId="6211F56F">
      <w:pPr>
        <w:pStyle w:val="24"/>
        <w:spacing w:line="500" w:lineRule="exact"/>
        <w:ind w:left="0"/>
        <w:jc w:val="center"/>
        <w:rPr>
          <w:rFonts w:hint="eastAsia" w:ascii="方正小标宋_GBK" w:eastAsia="方正小标宋_GBK"/>
          <w:sz w:val="32"/>
          <w:highlight w:val="none"/>
          <w:u w:val="none" w:color="auto"/>
        </w:rPr>
      </w:pPr>
    </w:p>
    <w:p w14:paraId="355A807D">
      <w:pPr>
        <w:spacing w:line="500" w:lineRule="exact"/>
        <w:jc w:val="center"/>
        <w:rPr>
          <w:rFonts w:hint="eastAsia" w:ascii="方正小标宋_GBK" w:eastAsia="方正小标宋_GBK"/>
          <w:sz w:val="32"/>
          <w:highlight w:val="none"/>
          <w:u w:val="none" w:color="auto"/>
        </w:rPr>
      </w:pPr>
    </w:p>
    <w:p w14:paraId="10C3C42B">
      <w:pPr>
        <w:spacing w:line="500" w:lineRule="exact"/>
        <w:jc w:val="center"/>
        <w:rPr>
          <w:rFonts w:hint="eastAsia" w:ascii="方正小标宋_GBK" w:eastAsia="方正小标宋_GBK"/>
          <w:sz w:val="36"/>
          <w:szCs w:val="36"/>
          <w:highlight w:val="none"/>
          <w:u w:val="none" w:color="auto"/>
        </w:rPr>
      </w:pPr>
    </w:p>
    <w:p w14:paraId="54C3578B">
      <w:pPr>
        <w:spacing w:line="500" w:lineRule="exact"/>
        <w:jc w:val="center"/>
        <w:rPr>
          <w:rFonts w:hint="eastAsia" w:ascii="方正小标宋_GBK" w:eastAsia="方正小标宋_GBK"/>
          <w:sz w:val="36"/>
          <w:szCs w:val="36"/>
          <w:highlight w:val="none"/>
          <w:u w:val="none" w:color="auto"/>
        </w:rPr>
      </w:pPr>
    </w:p>
    <w:p w14:paraId="3414F5FF">
      <w:pPr>
        <w:spacing w:line="500" w:lineRule="exact"/>
        <w:jc w:val="center"/>
        <w:outlineLvl w:val="0"/>
        <w:rPr>
          <w:rFonts w:hint="default" w:ascii="方正小标宋_GBK" w:eastAsia="方正小标宋_GBK"/>
          <w:sz w:val="36"/>
          <w:szCs w:val="36"/>
          <w:highlight w:val="none"/>
          <w:u w:val="none" w:color="auto"/>
          <w:lang w:val="en-US" w:eastAsia="zh-CN"/>
        </w:rPr>
      </w:pPr>
      <w:r>
        <w:rPr>
          <w:rFonts w:hint="eastAsia" w:ascii="方正小标宋_GBK" w:eastAsia="方正小标宋_GBK"/>
          <w:sz w:val="36"/>
          <w:szCs w:val="36"/>
          <w:highlight w:val="none"/>
          <w:u w:val="none" w:color="auto"/>
        </w:rPr>
        <w:t>采购人：</w:t>
      </w:r>
      <w:r>
        <w:rPr>
          <w:rFonts w:hint="eastAsia" w:ascii="方正小标宋_GBK" w:eastAsia="方正小标宋_GBK"/>
          <w:sz w:val="36"/>
          <w:szCs w:val="36"/>
          <w:highlight w:val="none"/>
          <w:u w:val="none" w:color="auto"/>
          <w:lang w:val="en-US" w:eastAsia="zh-CN"/>
        </w:rPr>
        <w:t>重庆兴垫农业发展有限公司</w:t>
      </w:r>
    </w:p>
    <w:p w14:paraId="1DCFD874">
      <w:pPr>
        <w:spacing w:line="500" w:lineRule="exact"/>
        <w:jc w:val="center"/>
        <w:outlineLvl w:val="0"/>
        <w:rPr>
          <w:rFonts w:hint="eastAsia" w:ascii="方正小标宋_GBK" w:eastAsia="方正小标宋_GBK"/>
          <w:sz w:val="36"/>
          <w:szCs w:val="36"/>
          <w:highlight w:val="none"/>
          <w:u w:val="none" w:color="auto"/>
        </w:rPr>
      </w:pPr>
      <w:r>
        <w:rPr>
          <w:rFonts w:hint="eastAsia" w:ascii="方正小标宋_GBK" w:eastAsia="方正小标宋_GBK"/>
          <w:sz w:val="36"/>
          <w:szCs w:val="36"/>
          <w:highlight w:val="none"/>
          <w:u w:val="none" w:color="auto"/>
        </w:rPr>
        <w:t xml:space="preserve">采购代理机构：垫江县公共资源交易中心 </w:t>
      </w:r>
    </w:p>
    <w:p w14:paraId="3173028B">
      <w:pPr>
        <w:snapToGrid w:val="0"/>
        <w:spacing w:line="500" w:lineRule="exact"/>
        <w:jc w:val="center"/>
        <w:rPr>
          <w:rFonts w:hint="eastAsia" w:ascii="方正小标宋_GBK" w:eastAsia="方正小标宋_GBK"/>
          <w:sz w:val="36"/>
          <w:szCs w:val="36"/>
          <w:highlight w:val="none"/>
          <w:u w:val="none" w:color="auto"/>
        </w:rPr>
      </w:pPr>
    </w:p>
    <w:p w14:paraId="3D926CE3">
      <w:pPr>
        <w:snapToGrid w:val="0"/>
        <w:spacing w:line="500" w:lineRule="exact"/>
        <w:jc w:val="center"/>
        <w:rPr>
          <w:rFonts w:hint="eastAsia" w:ascii="方正仿宋_GBK" w:eastAsia="方正仿宋_GBK"/>
          <w:sz w:val="36"/>
          <w:szCs w:val="36"/>
          <w:highlight w:val="none"/>
          <w:u w:val="none" w:color="auto"/>
        </w:rPr>
      </w:pPr>
      <w:r>
        <w:rPr>
          <w:rFonts w:hint="eastAsia" w:ascii="方正小标宋_GBK" w:eastAsia="方正小标宋_GBK"/>
          <w:sz w:val="36"/>
          <w:szCs w:val="36"/>
          <w:highlight w:val="none"/>
          <w:u w:val="none" w:color="auto"/>
        </w:rPr>
        <w:t>二○二</w:t>
      </w:r>
      <w:r>
        <w:rPr>
          <w:rFonts w:hint="eastAsia" w:ascii="方正小标宋_GBK" w:eastAsia="方正小标宋_GBK"/>
          <w:sz w:val="36"/>
          <w:szCs w:val="36"/>
          <w:highlight w:val="none"/>
          <w:u w:val="none" w:color="auto"/>
          <w:lang w:val="en-US" w:eastAsia="zh-CN"/>
        </w:rPr>
        <w:t>五</w:t>
      </w:r>
      <w:r>
        <w:rPr>
          <w:rFonts w:hint="eastAsia" w:ascii="方正小标宋_GBK" w:eastAsia="方正小标宋_GBK"/>
          <w:sz w:val="36"/>
          <w:szCs w:val="36"/>
          <w:highlight w:val="none"/>
          <w:u w:val="none" w:color="auto"/>
        </w:rPr>
        <w:t>年</w:t>
      </w:r>
      <w:r>
        <w:rPr>
          <w:rFonts w:hint="eastAsia" w:ascii="方正小标宋_GBK" w:eastAsia="方正小标宋_GBK"/>
          <w:sz w:val="36"/>
          <w:szCs w:val="36"/>
          <w:highlight w:val="none"/>
          <w:u w:val="none" w:color="auto"/>
          <w:lang w:val="en-US" w:eastAsia="zh-CN"/>
        </w:rPr>
        <w:t>十</w:t>
      </w:r>
      <w:r>
        <w:rPr>
          <w:rFonts w:hint="eastAsia" w:ascii="方正小标宋_GBK" w:eastAsia="方正小标宋_GBK"/>
          <w:sz w:val="36"/>
          <w:szCs w:val="36"/>
          <w:highlight w:val="none"/>
          <w:u w:val="none" w:color="auto"/>
        </w:rPr>
        <w:t>月</w:t>
      </w:r>
    </w:p>
    <w:p w14:paraId="561C8064">
      <w:pPr>
        <w:snapToGrid w:val="0"/>
        <w:spacing w:line="500" w:lineRule="exact"/>
        <w:rPr>
          <w:rFonts w:hint="eastAsia" w:ascii="方正仿宋_GBK" w:eastAsia="方正仿宋_GBK"/>
          <w:sz w:val="44"/>
          <w:highlight w:val="none"/>
          <w:u w:val="none" w:color="auto"/>
        </w:rPr>
        <w:sectPr>
          <w:headerReference r:id="rId4" w:type="first"/>
          <w:headerReference r:id="rId3" w:type="default"/>
          <w:footerReference r:id="rId5" w:type="default"/>
          <w:footerReference r:id="rId6" w:type="even"/>
          <w:pgSz w:w="11907" w:h="16840"/>
          <w:pgMar w:top="1134" w:right="1191" w:bottom="1134" w:left="1304" w:header="964" w:footer="992" w:gutter="0"/>
          <w:pgBorders w:offsetFrom="page">
            <w:top w:val="none" w:sz="0" w:space="0"/>
            <w:left w:val="none" w:sz="0" w:space="0"/>
            <w:bottom w:val="none" w:sz="0" w:space="0"/>
            <w:right w:val="none" w:sz="0" w:space="0"/>
          </w:pgBorders>
          <w:pgNumType w:start="1"/>
          <w:cols w:space="720" w:num="1"/>
          <w:titlePg/>
          <w:docGrid w:linePitch="312" w:charSpace="0"/>
        </w:sectPr>
      </w:pPr>
    </w:p>
    <w:p w14:paraId="721F761E">
      <w:pPr>
        <w:pStyle w:val="39"/>
        <w:tabs>
          <w:tab w:val="right" w:leader="dot" w:pos="9412"/>
          <w:tab w:val="clear" w:pos="1260"/>
          <w:tab w:val="clear" w:pos="1685"/>
          <w:tab w:val="clear" w:pos="8400"/>
        </w:tabs>
        <w:rPr>
          <w:rFonts w:hint="eastAsia" w:ascii="方正仿宋_GBK" w:eastAsia="方正仿宋_GBK"/>
          <w:highlight w:val="none"/>
          <w:lang w:eastAsia="zh-CN"/>
        </w:rPr>
      </w:pPr>
      <w:bookmarkStart w:id="2" w:name="_Toc880881470"/>
      <w:r>
        <w:rPr>
          <w:rFonts w:hint="eastAsia" w:ascii="方正仿宋_GBK" w:eastAsia="方正仿宋_GBK"/>
          <w:highlight w:val="none"/>
          <w:lang w:eastAsia="zh-CN"/>
        </w:rPr>
        <w:t>目录</w:t>
      </w:r>
      <w:bookmarkEnd w:id="2"/>
    </w:p>
    <w:p w14:paraId="72681411">
      <w:pPr>
        <w:pStyle w:val="39"/>
        <w:tabs>
          <w:tab w:val="right" w:leader="dot" w:pos="9412"/>
          <w:tab w:val="clear" w:pos="1260"/>
          <w:tab w:val="clear" w:pos="1685"/>
          <w:tab w:val="clear" w:pos="8400"/>
        </w:tabs>
        <w:rPr>
          <w:rFonts w:hint="eastAsia" w:ascii="方正仿宋_GBK" w:hAnsi="宋体" w:eastAsia="方正仿宋_GBK"/>
          <w:sz w:val="21"/>
          <w:szCs w:val="21"/>
          <w:highlight w:val="none"/>
          <w:u w:val="none" w:color="auto"/>
          <w:lang w:eastAsia="zh-CN"/>
        </w:rPr>
      </w:pPr>
    </w:p>
    <w:p w14:paraId="59C63571">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TOC \o "1-2" \h \z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_Toc880881470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目录</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_Toc880881470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0D1EA0EC">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_Toc2015656353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第一篇 投标邀请书</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_Toc2015656353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- 3 -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4ED8DB9D">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_Toc540731154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一、招标项目内容</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_Toc540731154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- 3 -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7B27EC2E">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_Toc1817134769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二、资金来源</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_Toc1817134769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- 3 -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33C78732">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_Toc1625262376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三、投标人资格要求</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_Toc1625262376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- 3 -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2DCAB018">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_Toc1857664984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四、投标、开标有关说明</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_Toc1857664984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- 3 -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30CFD7D2">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_Toc1682395973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五、投标保证金</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_Toc1682395973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- 5 -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1909D5CB">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_Toc1448065236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六、投标有关规定</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_Toc1448065236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- 7 -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60EBCE9E">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_Toc285014822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七、联系方式</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_Toc285014822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- 8 -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4900439C">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_Toc1489737317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第二篇 项目技术（质量）需求</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_Toc1489737317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- 9 -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1C1ED34D">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_Toc1898173379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第三篇  项目商务需求</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_Toc1898173379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- 9 -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5B9328FA">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_Toc1201513958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一、交货时间、交货地点及验收方式</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_Toc1201513958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- 9 -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0BB84BA8">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_Toc1138199966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二、报价要求</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_Toc1138199966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- 9 -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490D2010">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_Toc1527330255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三、质量保证期及售后服务</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_Toc1527330255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- 10 -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5442DBB4">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_Toc1090455567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四、付款</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_Toc1090455567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- 10 -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6E05B9EC">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_Toc578124353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五、知识产权</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_Toc578124353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- 10 -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21461750">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_Toc813588820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六、培训</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_Toc813588820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- 10 -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14448588">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_Toc101913182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第四篇  资格审查及评标办法</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_Toc101913182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- 11 -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66C7605D">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_Toc353494948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一、资格审查及符合性审查</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_Toc353494948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- 11 -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09D92626">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_Toc1384981093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二、评标方法</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_Toc1384981093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- 12 -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546AE933">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_Toc675004504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三、评标标准</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_Toc675004504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- 12 -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33A18911">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_Toc1833321924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四、无效投标条款</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_Toc1833321924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- 13 -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7CEDC987">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_Toc176251944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五、废标条款</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_Toc176251944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- 13 -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2369A4F2">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_Toc861001972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第五篇  投标人须知</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_Toc861001972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- 14 -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74476BF7">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_Toc112859808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一、投标人</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_Toc112859808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- 14 -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0CEB4690">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_Toc109073776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二、招标文件</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_Toc109073776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- 14 -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1B3E259C">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_Toc386443395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三、电子投标文件</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_Toc386443395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- 14 -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08DC9DD9">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_Toc706054047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四、开标</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_Toc706054047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- 16 -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2A078302">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_Toc1828965547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五、评标</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_Toc1828965547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- 16 -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7652636B">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_Toc101696577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六、定标</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_Toc101696577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- 16 -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548EA6B7">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_Toc269511298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七、中标</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_Toc269511298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- 17 -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0FFBE7FE">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_Toc562363369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八、询问和质疑</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_Toc562363369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- 17 -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408C643B">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_Toc2117352930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九、采购代理服务费</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_Toc2117352930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- 18 -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0B5DB121">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_Toc810242452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十、交易服务费</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_Toc810242452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- 18 -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120D3E87">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_Toc232014491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十一、签订合同</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_Toc232014491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- 18 -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178EDED9">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_Toc1595131659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十二、项目验收</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_Toc1595131659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- 18 -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57403FB9">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_Toc520423789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第六篇  合同主要条款和格式合同（样本）</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_Toc520423789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- 19 -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72AF2487">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_Toc1914410464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一、合同主要条款</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_Toc1914410464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- 19 -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17ADE680">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_Toc895713247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第七篇  电子投标文件格式</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_Toc895713247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- 29 -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4B79D26C">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_Toc805438611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一、经济文件</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_Toc805438611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- 31 -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719861F5">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_Toc1256664133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二、技术（质量）文件</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_Toc1256664133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- 33 -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7B896ABC">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_Toc646402978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三、商务文件</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_Toc646402978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- 35 -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3CCBAF6E">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_Toc2006952569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四、其他</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_Toc2006952569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- 38 -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41EB3894">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_Toc247380452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五、资格文件</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_Toc247380452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- 39 -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14:paraId="5207976D">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end"/>
      </w:r>
    </w:p>
    <w:p w14:paraId="36FD4947">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sectPr>
          <w:pgSz w:w="11907" w:h="16840"/>
          <w:pgMar w:top="1134" w:right="1191" w:bottom="1134" w:left="1304" w:header="964" w:footer="992" w:gutter="0"/>
          <w:pgBorders w:offsetFrom="page">
            <w:top w:val="none" w:sz="0" w:space="0"/>
            <w:left w:val="none" w:sz="0" w:space="0"/>
            <w:bottom w:val="none" w:sz="0" w:space="0"/>
            <w:right w:val="none" w:sz="0" w:space="0"/>
          </w:pgBorders>
          <w:pgNumType w:fmt="numberInDash" w:start="1"/>
          <w:cols w:space="720" w:num="1"/>
          <w:docGrid w:linePitch="312" w:charSpace="0"/>
        </w:sectPr>
      </w:pPr>
    </w:p>
    <w:p w14:paraId="75C3B642">
      <w:pPr>
        <w:pStyle w:val="2"/>
        <w:spacing w:before="0" w:beforeLines="0" w:after="0" w:afterLines="0" w:line="360" w:lineRule="auto"/>
        <w:rPr>
          <w:rFonts w:hint="eastAsia" w:ascii="方正仿宋_GBK" w:eastAsia="方正仿宋_GBK"/>
          <w:b/>
          <w:highlight w:val="none"/>
          <w:u w:val="none" w:color="auto"/>
        </w:rPr>
      </w:pPr>
      <w:bookmarkStart w:id="3" w:name="_Toc5284"/>
      <w:bookmarkStart w:id="4" w:name="_Toc2977"/>
      <w:bookmarkStart w:id="5" w:name="_Toc14366"/>
      <w:bookmarkStart w:id="6" w:name="_Toc75793495"/>
      <w:bookmarkStart w:id="7" w:name="_Toc13722"/>
      <w:bookmarkStart w:id="8" w:name="_Toc21693"/>
      <w:bookmarkStart w:id="9" w:name="_Toc4502"/>
      <w:bookmarkStart w:id="10" w:name="_Toc19468"/>
      <w:bookmarkStart w:id="11" w:name="_Toc25832"/>
      <w:bookmarkStart w:id="12" w:name="_Toc2015656353"/>
      <w:bookmarkStart w:id="13" w:name="_Toc106030371"/>
      <w:bookmarkStart w:id="14" w:name="_Toc16178"/>
      <w:bookmarkStart w:id="15" w:name="_Toc21631"/>
      <w:bookmarkStart w:id="16" w:name="_Toc3517"/>
      <w:bookmarkStart w:id="17" w:name="_Toc5896"/>
      <w:bookmarkStart w:id="18" w:name="_Toc6967"/>
      <w:bookmarkStart w:id="19" w:name="_Toc1386"/>
      <w:bookmarkStart w:id="20" w:name="_Toc21468"/>
      <w:bookmarkStart w:id="21" w:name="_Toc14947"/>
      <w:bookmarkStart w:id="22" w:name="_Toc31300"/>
      <w:r>
        <w:rPr>
          <w:rFonts w:hint="eastAsia" w:ascii="方正仿宋_GBK" w:eastAsia="方正仿宋_GBK"/>
          <w:b/>
          <w:highlight w:val="none"/>
          <w:u w:val="none" w:color="auto"/>
        </w:rPr>
        <w:t>第一篇 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027AEA74">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垫江县公共资源交易中心受</w:t>
      </w:r>
      <w:r>
        <w:rPr>
          <w:rFonts w:hint="eastAsia" w:ascii="方正仿宋_GBK" w:hAnsi="宋体" w:eastAsia="方正仿宋_GBK"/>
          <w:sz w:val="24"/>
          <w:szCs w:val="24"/>
          <w:highlight w:val="none"/>
          <w:u w:val="none" w:color="auto"/>
          <w:lang w:val="en-US" w:eastAsia="zh-CN"/>
        </w:rPr>
        <w:t>重庆兴垫农业发展有限公司</w:t>
      </w:r>
      <w:r>
        <w:rPr>
          <w:rFonts w:hint="eastAsia" w:ascii="方正仿宋_GBK" w:hAnsi="宋体" w:eastAsia="方正仿宋_GBK"/>
          <w:sz w:val="24"/>
          <w:szCs w:val="24"/>
          <w:highlight w:val="none"/>
          <w:u w:val="none" w:color="auto"/>
        </w:rPr>
        <w:t>的委托，对</w:t>
      </w:r>
      <w:r>
        <w:rPr>
          <w:rFonts w:hint="eastAsia" w:ascii="方正仿宋_GBK" w:hAnsi="宋体" w:eastAsia="方正仿宋_GBK"/>
          <w:sz w:val="24"/>
          <w:szCs w:val="24"/>
          <w:highlight w:val="none"/>
          <w:u w:val="none" w:color="auto"/>
          <w:lang w:val="en-US" w:eastAsia="zh-CN"/>
        </w:rPr>
        <w:t>2025年垫江县龙溪河流域水肥一体化（智慧灌溉）建设项目车辆采购</w:t>
      </w:r>
      <w:r>
        <w:rPr>
          <w:rFonts w:hint="eastAsia" w:ascii="方正仿宋_GBK" w:hAnsi="宋体" w:eastAsia="方正仿宋_GBK"/>
          <w:sz w:val="24"/>
          <w:szCs w:val="24"/>
          <w:highlight w:val="none"/>
          <w:u w:val="none" w:color="auto"/>
        </w:rPr>
        <w:t>进行公开招标，欢迎有资格的投标人参加投标。</w:t>
      </w:r>
    </w:p>
    <w:p w14:paraId="12E947C2">
      <w:pPr>
        <w:pStyle w:val="3"/>
        <w:spacing w:line="400" w:lineRule="exact"/>
        <w:ind w:firstLine="482" w:firstLineChars="200"/>
        <w:rPr>
          <w:rFonts w:hint="eastAsia" w:ascii="方正仿宋_GBK" w:eastAsia="方正仿宋_GBK"/>
          <w:b/>
          <w:sz w:val="24"/>
          <w:highlight w:val="none"/>
          <w:u w:val="none" w:color="auto"/>
        </w:rPr>
      </w:pPr>
      <w:bookmarkStart w:id="23" w:name="_Toc12083"/>
      <w:bookmarkStart w:id="24" w:name="_Toc19219"/>
      <w:bookmarkStart w:id="25" w:name="_Toc8806"/>
      <w:bookmarkStart w:id="26" w:name="_Toc106030372"/>
      <w:bookmarkStart w:id="27" w:name="_Toc540731154"/>
      <w:bookmarkStart w:id="28" w:name="_Toc11858"/>
      <w:bookmarkStart w:id="29" w:name="_Toc398"/>
      <w:bookmarkStart w:id="30" w:name="_Toc9774"/>
      <w:bookmarkStart w:id="31" w:name="_Toc19648"/>
      <w:bookmarkStart w:id="32" w:name="_Toc25215"/>
      <w:bookmarkStart w:id="33" w:name="_Toc16810"/>
      <w:bookmarkStart w:id="34" w:name="_Toc10092"/>
      <w:bookmarkStart w:id="35" w:name="_Toc15112"/>
      <w:bookmarkStart w:id="36" w:name="_Toc75793496"/>
      <w:bookmarkStart w:id="37" w:name="_Toc25391"/>
      <w:bookmarkStart w:id="38" w:name="_Toc2284"/>
      <w:bookmarkStart w:id="39" w:name="_Toc27035"/>
      <w:bookmarkStart w:id="40" w:name="_Toc19082"/>
      <w:bookmarkStart w:id="41" w:name="_Toc14081"/>
      <w:bookmarkStart w:id="42" w:name="_Toc9233"/>
      <w:r>
        <w:rPr>
          <w:rFonts w:hint="eastAsia" w:ascii="方正仿宋_GBK" w:eastAsia="方正仿宋_GBK"/>
          <w:b/>
          <w:sz w:val="24"/>
          <w:highlight w:val="none"/>
          <w:u w:val="none" w:color="auto"/>
        </w:rPr>
        <w:t>一、招标项目内容</w:t>
      </w:r>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p>
    <w:tbl>
      <w:tblPr>
        <w:tblStyle w:val="60"/>
        <w:tblW w:w="85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14"/>
        <w:gridCol w:w="2127"/>
        <w:gridCol w:w="1693"/>
        <w:gridCol w:w="1784"/>
      </w:tblGrid>
      <w:tr w14:paraId="4EC40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914" w:type="dxa"/>
            <w:noWrap w:val="0"/>
            <w:vAlign w:val="center"/>
          </w:tcPr>
          <w:p w14:paraId="3C53DB98">
            <w:pPr>
              <w:pStyle w:val="24"/>
              <w:spacing w:line="240" w:lineRule="auto"/>
              <w:ind w:left="0"/>
              <w:jc w:val="center"/>
              <w:outlineLvl w:val="0"/>
              <w:rPr>
                <w:rFonts w:hint="eastAsia" w:ascii="方正仿宋_GBK" w:hAnsi="宋体" w:eastAsia="方正仿宋_GBK"/>
                <w:b/>
                <w:sz w:val="21"/>
                <w:szCs w:val="21"/>
                <w:highlight w:val="none"/>
                <w:u w:val="none" w:color="auto"/>
              </w:rPr>
            </w:pPr>
            <w:r>
              <w:rPr>
                <w:rFonts w:hint="eastAsia" w:ascii="方正仿宋_GBK" w:hAnsi="宋体" w:eastAsia="方正仿宋_GBK"/>
                <w:b/>
                <w:sz w:val="21"/>
                <w:szCs w:val="21"/>
                <w:highlight w:val="none"/>
                <w:u w:val="none" w:color="auto"/>
                <w:lang w:val="en-US" w:eastAsia="zh-CN"/>
              </w:rPr>
              <w:t>包号及</w:t>
            </w:r>
            <w:r>
              <w:rPr>
                <w:rFonts w:hint="eastAsia" w:ascii="方正仿宋_GBK" w:hAnsi="宋体" w:eastAsia="方正仿宋_GBK"/>
                <w:b/>
                <w:sz w:val="21"/>
                <w:szCs w:val="21"/>
                <w:highlight w:val="none"/>
                <w:u w:val="none" w:color="auto"/>
              </w:rPr>
              <w:t>名称</w:t>
            </w:r>
          </w:p>
        </w:tc>
        <w:tc>
          <w:tcPr>
            <w:tcW w:w="2127" w:type="dxa"/>
            <w:noWrap w:val="0"/>
            <w:vAlign w:val="center"/>
          </w:tcPr>
          <w:p w14:paraId="2A9E287F">
            <w:pPr>
              <w:pStyle w:val="24"/>
              <w:spacing w:line="240" w:lineRule="auto"/>
              <w:ind w:left="0"/>
              <w:jc w:val="center"/>
              <w:outlineLvl w:val="0"/>
              <w:rPr>
                <w:rFonts w:hint="eastAsia" w:ascii="方正仿宋_GBK" w:hAnsi="宋体" w:eastAsia="方正仿宋_GBK"/>
                <w:b/>
                <w:sz w:val="21"/>
                <w:szCs w:val="21"/>
                <w:highlight w:val="none"/>
                <w:u w:val="none" w:color="auto"/>
              </w:rPr>
            </w:pPr>
            <w:r>
              <w:rPr>
                <w:rFonts w:hint="eastAsia" w:ascii="方正仿宋_GBK" w:hAnsi="宋体" w:eastAsia="方正仿宋_GBK"/>
                <w:b/>
                <w:sz w:val="21"/>
                <w:szCs w:val="21"/>
                <w:highlight w:val="none"/>
                <w:u w:val="none" w:color="auto"/>
                <w:lang w:eastAsia="zh-CN"/>
              </w:rPr>
              <w:t>总价</w:t>
            </w:r>
            <w:r>
              <w:rPr>
                <w:rFonts w:hint="eastAsia" w:ascii="方正仿宋_GBK" w:hAnsi="宋体" w:eastAsia="方正仿宋_GBK"/>
                <w:b/>
                <w:sz w:val="21"/>
                <w:szCs w:val="21"/>
                <w:highlight w:val="none"/>
                <w:u w:val="none" w:color="auto"/>
              </w:rPr>
              <w:t>最高限价</w:t>
            </w:r>
          </w:p>
          <w:p w14:paraId="157879C7">
            <w:pPr>
              <w:pStyle w:val="24"/>
              <w:spacing w:line="240" w:lineRule="auto"/>
              <w:ind w:left="0"/>
              <w:jc w:val="center"/>
              <w:outlineLvl w:val="0"/>
              <w:rPr>
                <w:rFonts w:hint="eastAsia" w:ascii="方正仿宋_GBK" w:hAnsi="宋体" w:eastAsia="方正仿宋_GBK"/>
                <w:b/>
                <w:sz w:val="21"/>
                <w:szCs w:val="21"/>
                <w:highlight w:val="none"/>
                <w:u w:val="none" w:color="auto"/>
              </w:rPr>
            </w:pPr>
            <w:r>
              <w:rPr>
                <w:rFonts w:hint="eastAsia" w:ascii="方正仿宋_GBK" w:hAnsi="宋体" w:eastAsia="方正仿宋_GBK"/>
                <w:b/>
                <w:sz w:val="21"/>
                <w:szCs w:val="21"/>
                <w:highlight w:val="none"/>
                <w:u w:val="none" w:color="auto"/>
              </w:rPr>
              <w:t>（万元）</w:t>
            </w:r>
          </w:p>
        </w:tc>
        <w:tc>
          <w:tcPr>
            <w:tcW w:w="1693" w:type="dxa"/>
            <w:noWrap w:val="0"/>
            <w:vAlign w:val="center"/>
          </w:tcPr>
          <w:p w14:paraId="358B4D43">
            <w:pPr>
              <w:pStyle w:val="24"/>
              <w:spacing w:line="240" w:lineRule="auto"/>
              <w:ind w:left="0"/>
              <w:jc w:val="center"/>
              <w:outlineLvl w:val="0"/>
              <w:rPr>
                <w:rFonts w:hint="eastAsia" w:ascii="方正仿宋_GBK" w:hAnsi="宋体" w:eastAsia="方正仿宋_GBK"/>
                <w:b/>
                <w:sz w:val="21"/>
                <w:szCs w:val="21"/>
                <w:highlight w:val="none"/>
                <w:u w:val="none" w:color="auto"/>
              </w:rPr>
            </w:pPr>
            <w:r>
              <w:rPr>
                <w:rFonts w:hint="eastAsia" w:ascii="方正仿宋_GBK" w:hAnsi="宋体" w:eastAsia="方正仿宋_GBK"/>
                <w:b/>
                <w:sz w:val="21"/>
                <w:szCs w:val="21"/>
                <w:highlight w:val="none"/>
                <w:u w:val="none" w:color="auto"/>
              </w:rPr>
              <w:t>投标保证金</w:t>
            </w:r>
          </w:p>
          <w:p w14:paraId="66948270">
            <w:pPr>
              <w:pStyle w:val="24"/>
              <w:spacing w:line="240" w:lineRule="auto"/>
              <w:ind w:left="0"/>
              <w:jc w:val="center"/>
              <w:outlineLvl w:val="0"/>
              <w:rPr>
                <w:rFonts w:hint="eastAsia" w:ascii="方正仿宋_GBK" w:hAnsi="宋体" w:eastAsia="方正仿宋_GBK"/>
                <w:b/>
                <w:sz w:val="21"/>
                <w:szCs w:val="21"/>
                <w:highlight w:val="none"/>
                <w:u w:val="none" w:color="auto"/>
              </w:rPr>
            </w:pPr>
            <w:r>
              <w:rPr>
                <w:rFonts w:hint="eastAsia" w:ascii="方正仿宋_GBK" w:hAnsi="宋体" w:eastAsia="方正仿宋_GBK"/>
                <w:b/>
                <w:sz w:val="21"/>
                <w:szCs w:val="21"/>
                <w:highlight w:val="none"/>
                <w:u w:val="none" w:color="auto"/>
              </w:rPr>
              <w:t>（万元）</w:t>
            </w:r>
          </w:p>
        </w:tc>
        <w:tc>
          <w:tcPr>
            <w:tcW w:w="1784" w:type="dxa"/>
            <w:noWrap w:val="0"/>
            <w:vAlign w:val="center"/>
          </w:tcPr>
          <w:p w14:paraId="14D67E93">
            <w:pPr>
              <w:pStyle w:val="24"/>
              <w:spacing w:line="240" w:lineRule="auto"/>
              <w:ind w:left="0"/>
              <w:jc w:val="center"/>
              <w:outlineLvl w:val="0"/>
              <w:rPr>
                <w:rFonts w:hint="eastAsia" w:ascii="方正仿宋_GBK" w:hAnsi="宋体" w:eastAsia="方正仿宋_GBK"/>
                <w:b/>
                <w:sz w:val="21"/>
                <w:szCs w:val="21"/>
                <w:highlight w:val="none"/>
                <w:u w:val="none" w:color="auto"/>
              </w:rPr>
            </w:pPr>
            <w:r>
              <w:rPr>
                <w:rFonts w:hint="eastAsia" w:ascii="方正仿宋_GBK" w:hAnsi="宋体" w:eastAsia="方正仿宋_GBK"/>
                <w:b/>
                <w:sz w:val="21"/>
                <w:szCs w:val="21"/>
                <w:highlight w:val="none"/>
                <w:u w:val="none" w:color="auto"/>
              </w:rPr>
              <w:t>中标人数量（名）</w:t>
            </w:r>
          </w:p>
        </w:tc>
      </w:tr>
      <w:tr w14:paraId="53953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914" w:type="dxa"/>
            <w:noWrap w:val="0"/>
            <w:vAlign w:val="center"/>
          </w:tcPr>
          <w:p w14:paraId="7747A897">
            <w:pPr>
              <w:pStyle w:val="24"/>
              <w:spacing w:line="240" w:lineRule="auto"/>
              <w:ind w:left="0"/>
              <w:jc w:val="center"/>
              <w:outlineLvl w:val="0"/>
              <w:rPr>
                <w:rFonts w:hint="eastAsia" w:ascii="方正仿宋_GBK" w:hAnsi="宋体" w:eastAsia="方正仿宋_GBK"/>
                <w:b w:val="0"/>
                <w:bCs/>
                <w:sz w:val="21"/>
                <w:szCs w:val="21"/>
                <w:highlight w:val="none"/>
                <w:u w:val="none" w:color="auto"/>
                <w:lang w:eastAsia="zh-CN"/>
              </w:rPr>
            </w:pPr>
            <w:r>
              <w:rPr>
                <w:rFonts w:hint="eastAsia" w:ascii="方正仿宋_GBK" w:hAnsi="宋体" w:eastAsia="方正仿宋_GBK"/>
                <w:b w:val="0"/>
                <w:bCs/>
                <w:sz w:val="21"/>
                <w:szCs w:val="21"/>
                <w:highlight w:val="none"/>
                <w:u w:val="none" w:color="auto"/>
                <w:lang w:val="en-US" w:eastAsia="zh-CN"/>
              </w:rPr>
              <w:t>2025年垫江县龙溪河流域水肥一体化（智慧灌溉）建设项目车辆采购</w:t>
            </w:r>
          </w:p>
        </w:tc>
        <w:tc>
          <w:tcPr>
            <w:tcW w:w="2127" w:type="dxa"/>
            <w:noWrap w:val="0"/>
            <w:vAlign w:val="center"/>
          </w:tcPr>
          <w:p w14:paraId="0B67CD5A">
            <w:pPr>
              <w:pStyle w:val="24"/>
              <w:spacing w:line="240" w:lineRule="auto"/>
              <w:ind w:left="0"/>
              <w:jc w:val="center"/>
              <w:outlineLvl w:val="0"/>
              <w:rPr>
                <w:rFonts w:hint="default" w:ascii="方正仿宋_GBK" w:hAnsi="宋体" w:eastAsia="方正仿宋_GBK"/>
                <w:b w:val="0"/>
                <w:bCs/>
                <w:sz w:val="21"/>
                <w:szCs w:val="21"/>
                <w:highlight w:val="none"/>
                <w:u w:val="none" w:color="auto"/>
                <w:lang w:val="en-US" w:eastAsia="zh-CN"/>
              </w:rPr>
            </w:pPr>
            <w:r>
              <w:rPr>
                <w:rFonts w:hint="eastAsia" w:ascii="方正仿宋_GBK" w:hAnsi="宋体" w:eastAsia="方正仿宋_GBK"/>
                <w:bCs/>
                <w:sz w:val="21"/>
                <w:szCs w:val="21"/>
                <w:highlight w:val="none"/>
                <w:lang w:val="en-US" w:eastAsia="zh-CN"/>
              </w:rPr>
              <w:t>414</w:t>
            </w:r>
          </w:p>
        </w:tc>
        <w:tc>
          <w:tcPr>
            <w:tcW w:w="1693" w:type="dxa"/>
            <w:noWrap w:val="0"/>
            <w:vAlign w:val="center"/>
          </w:tcPr>
          <w:p w14:paraId="3314130C">
            <w:pPr>
              <w:pStyle w:val="24"/>
              <w:spacing w:line="240" w:lineRule="auto"/>
              <w:ind w:left="0"/>
              <w:jc w:val="center"/>
              <w:outlineLvl w:val="0"/>
              <w:rPr>
                <w:rFonts w:hint="default" w:ascii="方正仿宋_GBK" w:hAnsi="宋体" w:eastAsia="方正仿宋_GBK"/>
                <w:b w:val="0"/>
                <w:bCs/>
                <w:sz w:val="21"/>
                <w:szCs w:val="21"/>
                <w:highlight w:val="none"/>
                <w:u w:val="none" w:color="auto"/>
                <w:lang w:val="en-US" w:eastAsia="zh-CN"/>
              </w:rPr>
            </w:pPr>
            <w:r>
              <w:rPr>
                <w:rFonts w:hint="eastAsia" w:ascii="方正仿宋_GBK" w:hAnsi="宋体" w:eastAsia="方正仿宋_GBK"/>
                <w:b w:val="0"/>
                <w:bCs/>
                <w:sz w:val="21"/>
                <w:szCs w:val="21"/>
                <w:highlight w:val="none"/>
                <w:u w:val="none" w:color="auto"/>
                <w:lang w:val="en-US" w:eastAsia="zh-CN"/>
              </w:rPr>
              <w:t>8</w:t>
            </w:r>
          </w:p>
        </w:tc>
        <w:tc>
          <w:tcPr>
            <w:tcW w:w="1784" w:type="dxa"/>
            <w:noWrap w:val="0"/>
            <w:vAlign w:val="center"/>
          </w:tcPr>
          <w:p w14:paraId="101F0C6B">
            <w:pPr>
              <w:pStyle w:val="24"/>
              <w:spacing w:line="240" w:lineRule="auto"/>
              <w:ind w:left="0"/>
              <w:jc w:val="center"/>
              <w:outlineLvl w:val="0"/>
              <w:rPr>
                <w:rFonts w:hint="eastAsia" w:ascii="方正仿宋_GBK" w:hAnsi="宋体" w:eastAsia="方正仿宋_GBK"/>
                <w:b w:val="0"/>
                <w:bCs/>
                <w:sz w:val="21"/>
                <w:szCs w:val="21"/>
                <w:highlight w:val="none"/>
                <w:u w:val="none" w:color="auto"/>
                <w:lang w:val="en-US" w:eastAsia="zh-CN"/>
              </w:rPr>
            </w:pPr>
            <w:r>
              <w:rPr>
                <w:rFonts w:hint="eastAsia" w:ascii="方正仿宋_GBK" w:hAnsi="宋体" w:eastAsia="方正仿宋_GBK"/>
                <w:b w:val="0"/>
                <w:bCs/>
                <w:sz w:val="21"/>
                <w:szCs w:val="21"/>
                <w:highlight w:val="none"/>
                <w:u w:val="none" w:color="auto"/>
                <w:lang w:val="en-US" w:eastAsia="zh-CN"/>
              </w:rPr>
              <w:t>1</w:t>
            </w:r>
          </w:p>
        </w:tc>
      </w:tr>
    </w:tbl>
    <w:p w14:paraId="7A39020E">
      <w:pPr>
        <w:pStyle w:val="3"/>
        <w:spacing w:line="400" w:lineRule="exact"/>
        <w:ind w:firstLine="482" w:firstLineChars="200"/>
        <w:rPr>
          <w:rFonts w:hint="eastAsia" w:ascii="方正仿宋_GBK" w:eastAsia="方正仿宋_GBK"/>
          <w:b/>
          <w:sz w:val="24"/>
          <w:highlight w:val="none"/>
          <w:u w:val="none" w:color="auto"/>
        </w:rPr>
      </w:pPr>
      <w:bookmarkStart w:id="43" w:name="_Toc31390"/>
      <w:bookmarkStart w:id="44" w:name="_Toc856"/>
      <w:bookmarkStart w:id="45" w:name="_Toc25556"/>
      <w:bookmarkStart w:id="46" w:name="_Toc29240"/>
      <w:bookmarkStart w:id="47" w:name="_Toc15272"/>
      <w:bookmarkStart w:id="48" w:name="_Toc12298"/>
      <w:bookmarkStart w:id="49" w:name="_Toc31180"/>
      <w:bookmarkStart w:id="50" w:name="_Toc7121"/>
      <w:bookmarkStart w:id="51" w:name="_Toc15664"/>
      <w:bookmarkStart w:id="52" w:name="_Toc1817134769"/>
      <w:bookmarkStart w:id="53" w:name="_Toc75793497"/>
      <w:bookmarkStart w:id="54" w:name="_Toc514"/>
      <w:bookmarkStart w:id="55" w:name="_Toc9736"/>
      <w:bookmarkStart w:id="56" w:name="_Toc24106"/>
      <w:bookmarkStart w:id="57" w:name="_Toc26507"/>
      <w:bookmarkStart w:id="58" w:name="_Toc22327"/>
      <w:bookmarkStart w:id="59" w:name="_Toc106030373"/>
      <w:bookmarkStart w:id="60" w:name="_Toc26540"/>
      <w:bookmarkStart w:id="61" w:name="_Toc26284"/>
      <w:bookmarkStart w:id="62" w:name="_Toc22549"/>
      <w:r>
        <w:rPr>
          <w:rFonts w:hint="eastAsia" w:ascii="方正仿宋_GBK" w:eastAsia="方正仿宋_GBK"/>
          <w:b/>
          <w:sz w:val="24"/>
          <w:highlight w:val="none"/>
          <w:u w:val="none" w:color="auto"/>
        </w:rPr>
        <w:t>二、资金来源</w:t>
      </w:r>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p>
    <w:p w14:paraId="225B9550">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仿宋" w:eastAsia="方正仿宋_GBK"/>
          <w:color w:val="auto"/>
          <w:sz w:val="24"/>
          <w:szCs w:val="24"/>
        </w:rPr>
        <w:t>上级资金</w:t>
      </w:r>
      <w:r>
        <w:rPr>
          <w:rFonts w:hint="eastAsia" w:ascii="方正仿宋_GBK" w:hAnsi="仿宋" w:eastAsia="方正仿宋_GBK"/>
          <w:sz w:val="24"/>
          <w:szCs w:val="24"/>
          <w:highlight w:val="none"/>
          <w:u w:val="none" w:color="auto"/>
        </w:rPr>
        <w:t>（或单位自筹资金），预算金额为</w:t>
      </w:r>
      <w:r>
        <w:rPr>
          <w:rFonts w:hint="eastAsia" w:ascii="方正仿宋_GBK" w:hAnsi="仿宋" w:eastAsia="方正仿宋_GBK"/>
          <w:sz w:val="24"/>
          <w:szCs w:val="24"/>
          <w:highlight w:val="none"/>
          <w:u w:val="none" w:color="auto"/>
          <w:lang w:val="en-US" w:eastAsia="zh-CN"/>
        </w:rPr>
        <w:t>414</w:t>
      </w:r>
      <w:r>
        <w:rPr>
          <w:rFonts w:hint="eastAsia" w:ascii="方正仿宋_GBK" w:hAnsi="仿宋" w:eastAsia="方正仿宋_GBK"/>
          <w:sz w:val="24"/>
          <w:szCs w:val="24"/>
          <w:highlight w:val="none"/>
          <w:u w:val="none" w:color="auto"/>
        </w:rPr>
        <w:t>万元。</w:t>
      </w:r>
    </w:p>
    <w:p w14:paraId="2DCB2893">
      <w:pPr>
        <w:pStyle w:val="3"/>
        <w:spacing w:line="400" w:lineRule="exact"/>
        <w:ind w:firstLine="482" w:firstLineChars="200"/>
        <w:rPr>
          <w:rFonts w:hint="eastAsia" w:ascii="方正仿宋_GBK" w:eastAsia="方正仿宋_GBK"/>
          <w:b/>
          <w:sz w:val="24"/>
          <w:highlight w:val="none"/>
          <w:u w:val="none" w:color="auto"/>
        </w:rPr>
      </w:pPr>
      <w:bookmarkStart w:id="63" w:name="_Toc11835"/>
      <w:bookmarkStart w:id="64" w:name="_Toc21210"/>
      <w:bookmarkStart w:id="65" w:name="_Toc75793498"/>
      <w:bookmarkStart w:id="66" w:name="_Toc1625262376"/>
      <w:bookmarkStart w:id="67" w:name="_Toc20925"/>
      <w:bookmarkStart w:id="68" w:name="_Toc29468"/>
      <w:bookmarkStart w:id="69" w:name="_Toc4504"/>
      <w:bookmarkStart w:id="70" w:name="_Toc28070"/>
      <w:bookmarkStart w:id="71" w:name="_Toc13316"/>
      <w:bookmarkStart w:id="72" w:name="_Toc7983"/>
      <w:bookmarkStart w:id="73" w:name="_Toc26478"/>
      <w:bookmarkStart w:id="74" w:name="_Toc4356"/>
      <w:bookmarkStart w:id="75" w:name="_Toc106030374"/>
      <w:bookmarkStart w:id="76" w:name="_Toc2256"/>
      <w:bookmarkStart w:id="77" w:name="_Toc21668"/>
      <w:bookmarkStart w:id="78" w:name="_Toc23472"/>
      <w:bookmarkStart w:id="79" w:name="_Toc6453"/>
      <w:bookmarkStart w:id="80" w:name="_Toc682"/>
      <w:bookmarkStart w:id="81" w:name="_Toc12813"/>
      <w:bookmarkStart w:id="82" w:name="_Toc20698"/>
      <w:r>
        <w:rPr>
          <w:rFonts w:hint="eastAsia" w:ascii="方正仿宋_GBK" w:eastAsia="方正仿宋_GBK"/>
          <w:b/>
          <w:sz w:val="24"/>
          <w:highlight w:val="none"/>
          <w:u w:val="none" w:color="auto"/>
        </w:rPr>
        <w:t>三、投标人资格要求</w:t>
      </w:r>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p>
    <w:p w14:paraId="5C47D573">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（一）满足《中华人民共和国政府采购法》第二十二条规定；</w:t>
      </w:r>
    </w:p>
    <w:p w14:paraId="51F21F61">
      <w:pPr>
        <w:spacing w:line="400" w:lineRule="exact"/>
        <w:ind w:firstLine="480" w:firstLineChars="200"/>
        <w:rPr>
          <w:rFonts w:hint="eastAsia" w:ascii="方正仿宋_GBK" w:hAnsi="宋体" w:eastAsia="方正仿宋_GBK"/>
          <w:i w:val="0"/>
          <w:iCs w:val="0"/>
          <w:sz w:val="24"/>
          <w:szCs w:val="24"/>
          <w:highlight w:val="none"/>
          <w:u w:val="none" w:color="auto"/>
          <w:lang w:val="en-US" w:eastAsia="zh-CN"/>
        </w:rPr>
      </w:pPr>
      <w:r>
        <w:rPr>
          <w:rFonts w:hint="eastAsia" w:ascii="方正仿宋_GBK" w:hAnsi="宋体" w:eastAsia="方正仿宋_GBK"/>
          <w:sz w:val="24"/>
          <w:szCs w:val="24"/>
          <w:highlight w:val="none"/>
          <w:u w:val="none" w:color="auto"/>
        </w:rPr>
        <w:t>（二）落实政府采购政策需满足的资格要求：</w:t>
      </w:r>
      <w:r>
        <w:rPr>
          <w:rFonts w:hint="eastAsia" w:ascii="方正仿宋_GBK" w:hAnsi="宋体" w:eastAsia="方正仿宋_GBK"/>
          <w:i w:val="0"/>
          <w:iCs w:val="0"/>
          <w:sz w:val="24"/>
          <w:szCs w:val="24"/>
          <w:highlight w:val="none"/>
          <w:u w:val="none" w:color="auto"/>
          <w:lang w:val="en-US" w:eastAsia="zh-CN"/>
        </w:rPr>
        <w:t>无；</w:t>
      </w:r>
    </w:p>
    <w:p w14:paraId="06575803">
      <w:pPr>
        <w:spacing w:line="400" w:lineRule="exact"/>
        <w:ind w:firstLine="480" w:firstLineChars="200"/>
        <w:rPr>
          <w:rFonts w:hint="eastAsia" w:eastAsia="方正仿宋_GBK"/>
          <w:highlight w:val="none"/>
          <w:lang w:val="en-US" w:eastAsia="zh-CN"/>
        </w:rPr>
      </w:pPr>
      <w:bookmarkStart w:id="83" w:name="_Toc10603"/>
      <w:r>
        <w:rPr>
          <w:rFonts w:hint="eastAsia" w:ascii="方正仿宋_GBK" w:hAnsi="宋体" w:eastAsia="方正仿宋_GBK"/>
          <w:b w:val="0"/>
          <w:bCs w:val="0"/>
          <w:sz w:val="24"/>
          <w:szCs w:val="24"/>
          <w:highlight w:val="none"/>
          <w:u w:val="none" w:color="auto"/>
        </w:rPr>
        <w:t>（</w:t>
      </w:r>
      <w:r>
        <w:rPr>
          <w:rFonts w:hint="eastAsia" w:ascii="方正仿宋_GBK" w:hAnsi="宋体" w:eastAsia="方正仿宋_GBK"/>
          <w:b w:val="0"/>
          <w:bCs w:val="0"/>
          <w:sz w:val="24"/>
          <w:szCs w:val="24"/>
          <w:highlight w:val="none"/>
          <w:u w:val="none" w:color="auto"/>
          <w:lang w:val="en-US" w:eastAsia="zh-CN"/>
        </w:rPr>
        <w:t>三</w:t>
      </w:r>
      <w:r>
        <w:rPr>
          <w:rFonts w:hint="eastAsia" w:ascii="方正仿宋_GBK" w:hAnsi="宋体" w:eastAsia="方正仿宋_GBK"/>
          <w:b w:val="0"/>
          <w:bCs w:val="0"/>
          <w:sz w:val="24"/>
          <w:szCs w:val="24"/>
          <w:highlight w:val="none"/>
          <w:u w:val="none" w:color="auto"/>
        </w:rPr>
        <w:t>）</w:t>
      </w:r>
      <w:r>
        <w:rPr>
          <w:rFonts w:hint="eastAsia" w:ascii="方正仿宋_GBK" w:hAnsi="宋体" w:eastAsia="方正仿宋_GBK" w:cs="Times New Roman"/>
          <w:b w:val="0"/>
          <w:bCs w:val="0"/>
          <w:sz w:val="24"/>
          <w:szCs w:val="24"/>
          <w:highlight w:val="none"/>
          <w:u w:val="none" w:color="auto"/>
        </w:rPr>
        <w:t>本项目的特定资格要求：</w:t>
      </w:r>
      <w:bookmarkEnd w:id="83"/>
      <w:bookmarkStart w:id="84" w:name="_Toc8255"/>
      <w:bookmarkStart w:id="85" w:name="_Toc15980"/>
      <w:bookmarkStart w:id="86" w:name="_Toc106030375"/>
      <w:bookmarkStart w:id="87" w:name="_Toc11276"/>
      <w:bookmarkStart w:id="88" w:name="_Toc12680"/>
      <w:bookmarkStart w:id="89" w:name="_Toc1132"/>
      <w:bookmarkStart w:id="90" w:name="_Toc27442"/>
      <w:bookmarkStart w:id="91" w:name="_Toc13076"/>
      <w:bookmarkStart w:id="92" w:name="_Toc11987"/>
      <w:bookmarkStart w:id="93" w:name="_Toc24618"/>
      <w:bookmarkStart w:id="94" w:name="_Toc22464"/>
      <w:bookmarkStart w:id="95" w:name="_Toc27732"/>
      <w:bookmarkStart w:id="96" w:name="_Toc5414"/>
      <w:bookmarkStart w:id="97" w:name="_Toc9335"/>
      <w:bookmarkStart w:id="98" w:name="_Toc28188"/>
      <w:bookmarkStart w:id="99" w:name="_Toc75793499"/>
      <w:r>
        <w:rPr>
          <w:rFonts w:hint="eastAsia" w:ascii="方正仿宋_GBK" w:hAnsi="宋体" w:eastAsia="方正仿宋_GBK" w:cs="Times New Roman"/>
          <w:b w:val="0"/>
          <w:bCs w:val="0"/>
          <w:sz w:val="24"/>
          <w:szCs w:val="24"/>
          <w:highlight w:val="none"/>
          <w:u w:val="none" w:color="auto"/>
        </w:rPr>
        <w:t>无</w:t>
      </w:r>
      <w:r>
        <w:rPr>
          <w:rFonts w:hint="eastAsia" w:ascii="方正仿宋_GBK" w:hAnsi="宋体" w:eastAsia="方正仿宋_GBK" w:cs="Times New Roman"/>
          <w:b w:val="0"/>
          <w:bCs w:val="0"/>
          <w:sz w:val="24"/>
          <w:szCs w:val="24"/>
          <w:highlight w:val="none"/>
          <w:u w:val="none" w:color="auto"/>
          <w:lang w:eastAsia="zh-CN"/>
        </w:rPr>
        <w:t>。</w:t>
      </w:r>
    </w:p>
    <w:p w14:paraId="0A3983C8">
      <w:pPr>
        <w:pStyle w:val="3"/>
        <w:numPr>
          <w:ilvl w:val="0"/>
          <w:numId w:val="0"/>
        </w:numPr>
        <w:spacing w:line="400" w:lineRule="exact"/>
        <w:ind w:firstLine="482" w:firstLineChars="200"/>
        <w:rPr>
          <w:rFonts w:hint="eastAsia" w:ascii="方正仿宋_GBK" w:eastAsia="方正仿宋_GBK"/>
          <w:b/>
          <w:sz w:val="24"/>
          <w:highlight w:val="none"/>
          <w:u w:val="none" w:color="auto"/>
        </w:rPr>
      </w:pPr>
      <w:bookmarkStart w:id="100" w:name="_Toc21328"/>
      <w:bookmarkStart w:id="101" w:name="_Toc19630"/>
      <w:bookmarkStart w:id="102" w:name="_Toc1857664984"/>
      <w:bookmarkStart w:id="103" w:name="_Toc6308"/>
      <w:r>
        <w:rPr>
          <w:rFonts w:hint="eastAsia" w:ascii="方正仿宋_GBK" w:eastAsia="方正仿宋_GBK"/>
          <w:b/>
          <w:sz w:val="24"/>
          <w:highlight w:val="none"/>
          <w:u w:val="none" w:color="auto"/>
        </w:rPr>
        <w:t>四、投标、开标有关说明</w:t>
      </w:r>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p>
    <w:p w14:paraId="5FB70FEB">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（一）投标人应通过</w:t>
      </w:r>
      <w:r>
        <w:rPr>
          <w:rFonts w:hint="eastAsia" w:ascii="方正仿宋_GBK" w:hAnsi="宋体" w:eastAsia="方正仿宋_GBK"/>
          <w:sz w:val="24"/>
          <w:szCs w:val="24"/>
          <w:highlight w:val="none"/>
          <w:u w:val="none" w:color="auto"/>
          <w:lang w:val="en-US" w:eastAsia="zh-CN"/>
        </w:rPr>
        <w:t>垫江县国企数字化</w:t>
      </w:r>
      <w:r>
        <w:rPr>
          <w:rFonts w:hint="eastAsia" w:ascii="方正仿宋_GBK" w:hAnsi="宋体" w:eastAsia="方正仿宋_GBK"/>
          <w:sz w:val="24"/>
          <w:szCs w:val="24"/>
          <w:highlight w:val="none"/>
          <w:u w:val="none" w:color="auto"/>
        </w:rPr>
        <w:t>采购平台（</w:t>
      </w:r>
      <w:r>
        <w:rPr>
          <w:rFonts w:hint="eastAsia" w:ascii="方正仿宋_GBK" w:hAnsi="宋体" w:eastAsia="方正仿宋_GBK"/>
          <w:sz w:val="24"/>
          <w:szCs w:val="24"/>
          <w:highlight w:val="none"/>
          <w:u w:val="none" w:color="auto"/>
          <w:lang w:val="en-US" w:eastAsia="zh-CN"/>
        </w:rPr>
        <w:t>https://djxgzw.gec123.com/</w:t>
      </w:r>
      <w:r>
        <w:rPr>
          <w:rFonts w:hint="eastAsia" w:ascii="方正仿宋_GBK" w:hAnsi="宋体" w:eastAsia="方正仿宋_GBK"/>
          <w:sz w:val="24"/>
          <w:szCs w:val="24"/>
          <w:highlight w:val="none"/>
          <w:u w:val="none" w:color="auto"/>
        </w:rPr>
        <w:t>）</w:t>
      </w:r>
      <w:r>
        <w:rPr>
          <w:rFonts w:hint="eastAsia" w:ascii="方正仿宋_GBK" w:hAnsi="宋体" w:eastAsia="方正仿宋_GBK"/>
          <w:sz w:val="24"/>
          <w:szCs w:val="24"/>
          <w:highlight w:val="none"/>
          <w:u w:val="none" w:color="auto"/>
          <w:lang w:eastAsia="zh-CN"/>
        </w:rPr>
        <w:t>或</w:t>
      </w:r>
      <w:r>
        <w:rPr>
          <w:rFonts w:hint="eastAsia" w:ascii="方正仿宋_GBK" w:hAnsi="宋体" w:eastAsia="方正仿宋_GBK"/>
          <w:sz w:val="24"/>
          <w:szCs w:val="24"/>
          <w:highlight w:val="none"/>
          <w:u w:val="none" w:color="auto"/>
        </w:rPr>
        <w:t>行采家（https://www.gec123.com）登记</w:t>
      </w:r>
      <w:r>
        <w:rPr>
          <w:rFonts w:hint="eastAsia" w:ascii="方正仿宋_GBK" w:hAnsi="宋体" w:eastAsia="方正仿宋_GBK"/>
          <w:sz w:val="24"/>
          <w:szCs w:val="24"/>
          <w:highlight w:val="none"/>
          <w:u w:val="none" w:color="auto"/>
          <w:lang w:eastAsia="zh-CN"/>
        </w:rPr>
        <w:t>注册</w:t>
      </w:r>
      <w:r>
        <w:rPr>
          <w:rFonts w:hint="eastAsia" w:ascii="方正仿宋_GBK" w:hAnsi="宋体" w:eastAsia="方正仿宋_GBK"/>
          <w:sz w:val="24"/>
          <w:szCs w:val="24"/>
          <w:highlight w:val="none"/>
          <w:u w:val="none" w:color="auto"/>
        </w:rPr>
        <w:t>。</w:t>
      </w:r>
    </w:p>
    <w:p w14:paraId="710B8887">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（二）凡有意参加投标的投标人，请登陆“</w:t>
      </w:r>
      <w:r>
        <w:rPr>
          <w:rFonts w:hint="eastAsia" w:ascii="方正仿宋_GBK" w:hAnsi="宋体" w:eastAsia="方正仿宋_GBK"/>
          <w:sz w:val="24"/>
          <w:szCs w:val="24"/>
          <w:highlight w:val="none"/>
          <w:u w:val="none" w:color="auto"/>
          <w:lang w:val="en-US" w:eastAsia="zh-CN"/>
        </w:rPr>
        <w:t>垫江县国企数字化</w:t>
      </w:r>
      <w:r>
        <w:rPr>
          <w:rFonts w:hint="eastAsia" w:ascii="方正仿宋_GBK" w:hAnsi="宋体" w:eastAsia="方正仿宋_GBK"/>
          <w:sz w:val="24"/>
          <w:szCs w:val="24"/>
          <w:highlight w:val="none"/>
          <w:u w:val="none" w:color="auto"/>
        </w:rPr>
        <w:t>采购平台</w:t>
      </w:r>
      <w:r>
        <w:rPr>
          <w:rFonts w:hint="eastAsia" w:ascii="方正仿宋_GBK" w:hAnsi="宋体" w:eastAsia="方正仿宋_GBK"/>
          <w:sz w:val="24"/>
          <w:szCs w:val="24"/>
          <w:highlight w:val="none"/>
          <w:u w:val="none" w:color="auto"/>
          <w:lang w:eastAsia="zh-CN"/>
        </w:rPr>
        <w:t>或</w:t>
      </w:r>
      <w:r>
        <w:rPr>
          <w:rFonts w:hint="eastAsia" w:ascii="方正仿宋_GBK" w:hAnsi="宋体" w:eastAsia="方正仿宋_GBK"/>
          <w:sz w:val="24"/>
          <w:szCs w:val="24"/>
          <w:highlight w:val="none"/>
          <w:u w:val="none" w:color="auto"/>
        </w:rPr>
        <w:t>行采家”→“个人中心”→“电子招投标”→“电子投标在线报名”处→搜索该项目并点击“在线获取”按钮。完成本项目招标文件以及图纸、澄清等开标前公布的所有项目资料（本次招标不提供纸质版招标文件）的获取和下载，无论投标人下载或获取与否，均视为已知晓所有招标内容。</w:t>
      </w:r>
    </w:p>
    <w:p w14:paraId="4163FA06">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（三）招标公告所附招标文件仅供阅览使用，投标人只有登陆“</w:t>
      </w:r>
      <w:r>
        <w:rPr>
          <w:rFonts w:hint="eastAsia" w:ascii="方正仿宋_GBK" w:hAnsi="宋体" w:eastAsia="方正仿宋_GBK"/>
          <w:sz w:val="24"/>
          <w:szCs w:val="24"/>
          <w:highlight w:val="none"/>
          <w:u w:val="none" w:color="auto"/>
          <w:lang w:val="en-US" w:eastAsia="zh-CN"/>
        </w:rPr>
        <w:t>垫江县国企数字化</w:t>
      </w:r>
      <w:r>
        <w:rPr>
          <w:rFonts w:hint="eastAsia" w:ascii="方正仿宋_GBK" w:hAnsi="宋体" w:eastAsia="方正仿宋_GBK"/>
          <w:sz w:val="24"/>
          <w:szCs w:val="24"/>
          <w:highlight w:val="none"/>
          <w:u w:val="none" w:color="auto"/>
        </w:rPr>
        <w:t>采购平台</w:t>
      </w:r>
      <w:r>
        <w:rPr>
          <w:rFonts w:hint="eastAsia" w:ascii="方正仿宋_GBK" w:hAnsi="宋体" w:eastAsia="方正仿宋_GBK"/>
          <w:sz w:val="24"/>
          <w:szCs w:val="24"/>
          <w:highlight w:val="none"/>
          <w:u w:val="none" w:color="auto"/>
          <w:lang w:eastAsia="zh-CN"/>
        </w:rPr>
        <w:t>或</w:t>
      </w:r>
      <w:r>
        <w:rPr>
          <w:rFonts w:hint="eastAsia" w:ascii="方正仿宋_GBK" w:hAnsi="宋体" w:eastAsia="方正仿宋_GBK"/>
          <w:sz w:val="24"/>
          <w:szCs w:val="24"/>
          <w:highlight w:val="none"/>
          <w:u w:val="none" w:color="auto"/>
        </w:rPr>
        <w:t>行采家”→“个人中心”→“电子招投标”→在“电子投标在线报名”处→搜索该项目并点击“在线获取”按钮完成网上获取采购文件，投标人才被视为合法获取了采购文件，否则其投标将被拒绝。即：若投标人未通过以上获取采购文件流程完成采购文件的下载、获取，投标人将无法在电子招投标系统中上传电子投标文件。</w:t>
      </w:r>
    </w:p>
    <w:p w14:paraId="443B1BD2">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注意事项：本项目为</w:t>
      </w:r>
      <w:r>
        <w:rPr>
          <w:rFonts w:hint="eastAsia" w:ascii="方正仿宋_GBK" w:hAnsi="宋体" w:eastAsia="方正仿宋_GBK"/>
          <w:sz w:val="24"/>
          <w:szCs w:val="24"/>
          <w:highlight w:val="none"/>
          <w:u w:val="none" w:color="auto"/>
          <w:lang w:val="en-US" w:eastAsia="zh-CN"/>
        </w:rPr>
        <w:t>垫江县</w:t>
      </w:r>
      <w:r>
        <w:rPr>
          <w:rFonts w:hint="eastAsia" w:ascii="方正仿宋_GBK" w:hAnsi="宋体" w:eastAsia="方正仿宋_GBK"/>
          <w:sz w:val="24"/>
          <w:szCs w:val="24"/>
          <w:highlight w:val="none"/>
          <w:u w:val="none" w:color="auto"/>
        </w:rPr>
        <w:t>属国有企业采购电子招投标项目，首次参与电子招投标的投标人须申请行采家账号密码、办理CA证书（</w:t>
      </w:r>
      <w:r>
        <w:rPr>
          <w:rFonts w:hint="eastAsia" w:ascii="方正仿宋_GBK" w:hAnsi="宋体" w:eastAsia="方正仿宋_GBK"/>
          <w:b/>
          <w:bCs/>
          <w:sz w:val="24"/>
          <w:szCs w:val="24"/>
          <w:highlight w:val="none"/>
          <w:u w:val="none" w:color="auto"/>
        </w:rPr>
        <w:t>办理CA证书费用由供应商自行承担</w:t>
      </w:r>
      <w:r>
        <w:rPr>
          <w:rFonts w:hint="eastAsia" w:ascii="方正仿宋_GBK" w:hAnsi="宋体" w:eastAsia="方正仿宋_GBK"/>
          <w:sz w:val="24"/>
          <w:szCs w:val="24"/>
          <w:highlight w:val="none"/>
          <w:u w:val="none" w:color="auto"/>
        </w:rPr>
        <w:t>）并下载大家采投标文件制作系统，制作电子投标文件进行互联网在线投标，具体操作流程请下载项目公告附件《采购公告附件（行采家供应商必看手册）24-3版》进行查看。因未注册行采家账号、未办理CA证书、操作不当等原因造成无法投标或投标失败的后果由投标人自行承担。</w:t>
      </w:r>
    </w:p>
    <w:p w14:paraId="583D74AA">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1.CA证书的办理流程：下载采购公告附件《采购公告附件（行采家供应商必看手册）24-3版》-《重庆政府采购（兼用行采家）全程电子化招标采购CA办理手册》，并按照要求操作。</w:t>
      </w:r>
    </w:p>
    <w:p w14:paraId="75E5BA12">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2.电子投标文件制作：登录“行采家”→“个人中心”→“电子招投标”→“电子招投标中心”→“相关下载”栏目，下载“大家采投标文件制作工具”、“统一签章客户端” 安装包，并按照《采购公告附件（行采家供应商必看手册）24-3版》-《【供应商必看】行采家（CA版）供应商投标前软件安装手册》、《行采家全程电子化操作手册-供应商(CA证书解密版)》操作。</w:t>
      </w:r>
    </w:p>
    <w:p w14:paraId="7069EAFF">
      <w:pPr>
        <w:spacing w:line="400" w:lineRule="exact"/>
        <w:ind w:firstLine="482" w:firstLineChars="200"/>
        <w:rPr>
          <w:rFonts w:hint="eastAsia" w:ascii="方正仿宋_GBK" w:hAnsi="宋体" w:eastAsia="方正仿宋_GBK"/>
          <w:b/>
          <w:bCs/>
          <w:color w:val="FF0000"/>
          <w:sz w:val="24"/>
          <w:szCs w:val="24"/>
          <w:highlight w:val="none"/>
          <w:u w:val="none" w:color="auto"/>
          <w:lang w:val="en-US" w:eastAsia="zh-CN"/>
        </w:rPr>
      </w:pPr>
      <w:r>
        <w:rPr>
          <w:rFonts w:hint="eastAsia" w:ascii="方正仿宋_GBK" w:hAnsi="宋体" w:eastAsia="方正仿宋_GBK"/>
          <w:b/>
          <w:bCs/>
          <w:color w:val="FF0000"/>
          <w:sz w:val="24"/>
          <w:szCs w:val="24"/>
          <w:highlight w:val="none"/>
          <w:u w:val="none" w:color="auto"/>
          <w:lang w:val="en-US" w:eastAsia="zh-CN"/>
        </w:rPr>
        <w:t>3.</w:t>
      </w:r>
      <w:r>
        <w:rPr>
          <w:rFonts w:hint="eastAsia" w:ascii="方正仿宋_GBK" w:hAnsi="宋体" w:eastAsia="方正仿宋_GBK"/>
          <w:b/>
          <w:bCs/>
          <w:color w:val="FF0000"/>
          <w:sz w:val="24"/>
          <w:szCs w:val="24"/>
          <w:highlight w:val="none"/>
          <w:u w:val="none" w:color="auto"/>
        </w:rPr>
        <w:t>重庆</w:t>
      </w:r>
      <w:r>
        <w:rPr>
          <w:rFonts w:hint="eastAsia" w:ascii="方正仿宋_GBK" w:hAnsi="宋体" w:eastAsia="方正仿宋_GBK"/>
          <w:b/>
          <w:bCs/>
          <w:color w:val="FF0000"/>
          <w:sz w:val="24"/>
          <w:szCs w:val="24"/>
          <w:highlight w:val="none"/>
          <w:u w:val="none" w:color="auto"/>
          <w:lang w:eastAsia="zh-CN"/>
        </w:rPr>
        <w:t>市</w:t>
      </w:r>
      <w:r>
        <w:rPr>
          <w:rFonts w:hint="eastAsia" w:ascii="方正仿宋_GBK" w:hAnsi="宋体" w:eastAsia="方正仿宋_GBK"/>
          <w:b/>
          <w:bCs/>
          <w:color w:val="FF0000"/>
          <w:sz w:val="24"/>
          <w:szCs w:val="24"/>
          <w:highlight w:val="none"/>
          <w:u w:val="none" w:color="auto"/>
        </w:rPr>
        <w:t>政府采购</w:t>
      </w:r>
      <w:r>
        <w:rPr>
          <w:rFonts w:hint="eastAsia" w:ascii="方正仿宋_GBK" w:hAnsi="宋体" w:eastAsia="方正仿宋_GBK"/>
          <w:b/>
          <w:bCs/>
          <w:color w:val="FF0000"/>
          <w:sz w:val="24"/>
          <w:szCs w:val="24"/>
          <w:highlight w:val="none"/>
          <w:u w:val="none" w:color="auto"/>
          <w:lang w:eastAsia="zh-CN"/>
        </w:rPr>
        <w:t>网和行采家的</w:t>
      </w:r>
      <w:r>
        <w:rPr>
          <w:rFonts w:hint="eastAsia" w:ascii="方正仿宋_GBK" w:hAnsi="宋体" w:eastAsia="方正仿宋_GBK"/>
          <w:b/>
          <w:bCs/>
          <w:color w:val="FF0000"/>
          <w:sz w:val="24"/>
          <w:szCs w:val="24"/>
          <w:highlight w:val="none"/>
          <w:u w:val="none" w:color="auto"/>
        </w:rPr>
        <w:t>CA</w:t>
      </w:r>
      <w:r>
        <w:rPr>
          <w:rFonts w:hint="eastAsia" w:ascii="方正仿宋_GBK" w:hAnsi="宋体" w:eastAsia="方正仿宋_GBK"/>
          <w:b/>
          <w:bCs/>
          <w:color w:val="FF0000"/>
          <w:sz w:val="24"/>
          <w:szCs w:val="24"/>
          <w:highlight w:val="none"/>
          <w:u w:val="none" w:color="auto"/>
          <w:lang w:eastAsia="zh-CN"/>
        </w:rPr>
        <w:t>证书通用，供应商无需重复办理。</w:t>
      </w:r>
    </w:p>
    <w:p w14:paraId="392D24DA">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w:t>
      </w:r>
      <w:r>
        <w:rPr>
          <w:rFonts w:hint="eastAsia" w:ascii="方正仿宋_GBK" w:hAnsi="宋体" w:eastAsia="方正仿宋_GBK"/>
          <w:sz w:val="24"/>
          <w:szCs w:val="24"/>
          <w:highlight w:val="none"/>
          <w:u w:val="none" w:color="auto"/>
          <w:lang w:eastAsia="zh-CN"/>
        </w:rPr>
        <w:t>四</w:t>
      </w:r>
      <w:r>
        <w:rPr>
          <w:rFonts w:hint="eastAsia" w:ascii="方正仿宋_GBK" w:hAnsi="宋体" w:eastAsia="方正仿宋_GBK"/>
          <w:sz w:val="24"/>
          <w:szCs w:val="24"/>
          <w:highlight w:val="none"/>
          <w:u w:val="none" w:color="auto"/>
        </w:rPr>
        <w:t>）招标文件公告期限：自采购公告发布之日起五个工作日。</w:t>
      </w:r>
    </w:p>
    <w:p w14:paraId="0F39E48B">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w:t>
      </w:r>
      <w:r>
        <w:rPr>
          <w:rFonts w:hint="eastAsia" w:ascii="方正仿宋_GBK" w:hAnsi="宋体" w:eastAsia="方正仿宋_GBK"/>
          <w:sz w:val="24"/>
          <w:szCs w:val="24"/>
          <w:highlight w:val="none"/>
          <w:u w:val="none" w:color="auto"/>
          <w:lang w:eastAsia="zh-CN"/>
        </w:rPr>
        <w:t>五</w:t>
      </w:r>
      <w:r>
        <w:rPr>
          <w:rFonts w:hint="eastAsia" w:ascii="方正仿宋_GBK" w:hAnsi="宋体" w:eastAsia="方正仿宋_GBK"/>
          <w:sz w:val="24"/>
          <w:szCs w:val="24"/>
          <w:highlight w:val="none"/>
          <w:u w:val="none" w:color="auto"/>
        </w:rPr>
        <w:t>）招标文件提供期限</w:t>
      </w:r>
    </w:p>
    <w:p w14:paraId="27A76DF1">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1.招标文件提供期限：同</w:t>
      </w:r>
      <w:r>
        <w:rPr>
          <w:rFonts w:hint="eastAsia" w:ascii="方正仿宋_GBK" w:hAnsi="宋体" w:eastAsia="方正仿宋_GBK"/>
          <w:sz w:val="24"/>
          <w:szCs w:val="24"/>
          <w:highlight w:val="none"/>
          <w:u w:val="none" w:color="auto"/>
          <w:lang w:val="en-US" w:eastAsia="zh-CN"/>
        </w:rPr>
        <w:t>招标</w:t>
      </w:r>
      <w:r>
        <w:rPr>
          <w:rFonts w:hint="eastAsia" w:ascii="方正仿宋_GBK" w:hAnsi="宋体" w:eastAsia="方正仿宋_GBK"/>
          <w:sz w:val="24"/>
          <w:szCs w:val="24"/>
          <w:highlight w:val="none"/>
          <w:u w:val="none" w:color="auto"/>
        </w:rPr>
        <w:t>公告期限。</w:t>
      </w:r>
    </w:p>
    <w:p w14:paraId="0A0510B2">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2.招标文件阅览：详见本项目招标公告的附件。</w:t>
      </w:r>
    </w:p>
    <w:p w14:paraId="326BF2FA">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3.招标文件售价：人民币</w:t>
      </w:r>
      <w:r>
        <w:rPr>
          <w:rFonts w:hint="eastAsia" w:ascii="方正仿宋_GBK" w:hAnsi="宋体" w:eastAsia="方正仿宋_GBK"/>
          <w:sz w:val="24"/>
          <w:szCs w:val="24"/>
          <w:highlight w:val="none"/>
          <w:u w:val="none" w:color="auto"/>
          <w:lang w:val="en-US" w:eastAsia="zh-CN"/>
        </w:rPr>
        <w:t>0</w:t>
      </w:r>
      <w:r>
        <w:rPr>
          <w:rFonts w:hint="eastAsia" w:ascii="方正仿宋_GBK" w:hAnsi="宋体" w:eastAsia="方正仿宋_GBK"/>
          <w:sz w:val="24"/>
          <w:szCs w:val="24"/>
          <w:highlight w:val="none"/>
          <w:u w:val="none" w:color="auto"/>
        </w:rPr>
        <w:t>元/包。</w:t>
      </w:r>
    </w:p>
    <w:p w14:paraId="23D733B2">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w:t>
      </w:r>
      <w:r>
        <w:rPr>
          <w:rFonts w:hint="eastAsia" w:ascii="方正仿宋_GBK" w:hAnsi="宋体" w:eastAsia="方正仿宋_GBK"/>
          <w:sz w:val="24"/>
          <w:szCs w:val="24"/>
          <w:highlight w:val="none"/>
          <w:u w:val="none" w:color="auto"/>
          <w:lang w:eastAsia="zh-CN"/>
        </w:rPr>
        <w:t>六</w:t>
      </w:r>
      <w:r>
        <w:rPr>
          <w:rFonts w:hint="eastAsia" w:ascii="方正仿宋_GBK" w:hAnsi="宋体" w:eastAsia="方正仿宋_GBK"/>
          <w:sz w:val="24"/>
          <w:szCs w:val="24"/>
          <w:highlight w:val="none"/>
          <w:u w:val="none" w:color="auto"/>
        </w:rPr>
        <w:t>）电子投标文件递交</w:t>
      </w:r>
    </w:p>
    <w:p w14:paraId="71A44692">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1.电子投标文件递交方式：本项目采用网上递交方式，投标人于电子投标文件递交截止时间前，登录“</w:t>
      </w:r>
      <w:r>
        <w:rPr>
          <w:rFonts w:hint="eastAsia" w:ascii="方正仿宋_GBK" w:hAnsi="宋体" w:eastAsia="方正仿宋_GBK"/>
          <w:sz w:val="24"/>
          <w:szCs w:val="24"/>
          <w:highlight w:val="none"/>
          <w:u w:val="none" w:color="auto"/>
          <w:lang w:val="en-US" w:eastAsia="zh-CN"/>
        </w:rPr>
        <w:t>垫江县国企数字化</w:t>
      </w:r>
      <w:r>
        <w:rPr>
          <w:rFonts w:hint="eastAsia" w:ascii="方正仿宋_GBK" w:hAnsi="宋体" w:eastAsia="方正仿宋_GBK"/>
          <w:sz w:val="24"/>
          <w:szCs w:val="24"/>
          <w:highlight w:val="none"/>
          <w:u w:val="none" w:color="auto"/>
        </w:rPr>
        <w:t>采购平台</w:t>
      </w:r>
      <w:r>
        <w:rPr>
          <w:rFonts w:hint="eastAsia" w:ascii="方正仿宋_GBK" w:hAnsi="宋体" w:eastAsia="方正仿宋_GBK"/>
          <w:sz w:val="24"/>
          <w:szCs w:val="24"/>
          <w:highlight w:val="none"/>
          <w:u w:val="none" w:color="auto"/>
          <w:lang w:eastAsia="zh-CN"/>
        </w:rPr>
        <w:t>或</w:t>
      </w:r>
      <w:r>
        <w:rPr>
          <w:rFonts w:hint="eastAsia" w:ascii="方正仿宋_GBK" w:hAnsi="宋体" w:eastAsia="方正仿宋_GBK"/>
          <w:sz w:val="24"/>
          <w:szCs w:val="24"/>
          <w:highlight w:val="none"/>
          <w:u w:val="none" w:color="auto"/>
        </w:rPr>
        <w:t>行采家”，进入“电子招投标”栏目，在“我的投标项目”→“在线投标”板块递交。</w:t>
      </w:r>
    </w:p>
    <w:p w14:paraId="331DA78F">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2.电子投标文件截止时间：202</w:t>
      </w:r>
      <w:r>
        <w:rPr>
          <w:rFonts w:hint="eastAsia" w:ascii="方正仿宋_GBK" w:hAnsi="宋体" w:eastAsia="方正仿宋_GBK"/>
          <w:sz w:val="24"/>
          <w:szCs w:val="24"/>
          <w:highlight w:val="none"/>
          <w:u w:val="none" w:color="auto"/>
          <w:lang w:val="en-US" w:eastAsia="zh-CN"/>
        </w:rPr>
        <w:t>5</w:t>
      </w:r>
      <w:r>
        <w:rPr>
          <w:rFonts w:hint="eastAsia" w:ascii="方正仿宋_GBK" w:hAnsi="宋体" w:eastAsia="方正仿宋_GBK"/>
          <w:sz w:val="24"/>
          <w:szCs w:val="24"/>
          <w:highlight w:val="none"/>
          <w:u w:val="none" w:color="auto"/>
        </w:rPr>
        <w:t>年</w:t>
      </w:r>
      <w:r>
        <w:rPr>
          <w:rFonts w:hint="eastAsia" w:ascii="方正仿宋_GBK" w:hAnsi="宋体" w:eastAsia="方正仿宋_GBK"/>
          <w:sz w:val="24"/>
          <w:szCs w:val="24"/>
          <w:highlight w:val="none"/>
          <w:u w:val="none" w:color="auto"/>
          <w:lang w:val="en-US" w:eastAsia="zh-CN"/>
        </w:rPr>
        <w:t xml:space="preserve"> 11 </w:t>
      </w:r>
      <w:r>
        <w:rPr>
          <w:rFonts w:hint="eastAsia" w:ascii="方正仿宋_GBK" w:hAnsi="宋体" w:eastAsia="方正仿宋_GBK"/>
          <w:sz w:val="24"/>
          <w:szCs w:val="24"/>
          <w:highlight w:val="none"/>
          <w:u w:val="none" w:color="auto"/>
        </w:rPr>
        <w:t>月</w:t>
      </w:r>
      <w:r>
        <w:rPr>
          <w:rFonts w:hint="eastAsia" w:ascii="方正仿宋_GBK" w:hAnsi="宋体" w:eastAsia="方正仿宋_GBK"/>
          <w:sz w:val="24"/>
          <w:szCs w:val="24"/>
          <w:highlight w:val="none"/>
          <w:u w:val="none" w:color="auto"/>
          <w:lang w:val="en-US" w:eastAsia="zh-CN"/>
        </w:rPr>
        <w:t>10</w:t>
      </w:r>
      <w:r>
        <w:rPr>
          <w:rFonts w:hint="eastAsia" w:ascii="方正仿宋_GBK" w:hAnsi="宋体" w:eastAsia="方正仿宋_GBK"/>
          <w:sz w:val="24"/>
          <w:szCs w:val="24"/>
          <w:highlight w:val="none"/>
          <w:u w:val="none" w:color="auto"/>
        </w:rPr>
        <w:t>日北京时间</w:t>
      </w:r>
      <w:r>
        <w:rPr>
          <w:rFonts w:hint="eastAsia" w:ascii="方正仿宋_GBK" w:hAnsi="宋体" w:eastAsia="方正仿宋_GBK"/>
          <w:sz w:val="24"/>
          <w:szCs w:val="24"/>
          <w:highlight w:val="none"/>
          <w:u w:val="none" w:color="auto"/>
          <w:lang w:val="en-US" w:eastAsia="zh-CN"/>
        </w:rPr>
        <w:t>10</w:t>
      </w:r>
      <w:r>
        <w:rPr>
          <w:rFonts w:hint="eastAsia" w:ascii="方正仿宋_GBK" w:hAnsi="宋体" w:eastAsia="方正仿宋_GBK"/>
          <w:sz w:val="24"/>
          <w:szCs w:val="24"/>
          <w:highlight w:val="none"/>
          <w:u w:val="none" w:color="auto"/>
        </w:rPr>
        <w:t>:</w:t>
      </w:r>
      <w:r>
        <w:rPr>
          <w:rFonts w:hint="eastAsia" w:ascii="方正仿宋_GBK" w:hAnsi="宋体" w:eastAsia="方正仿宋_GBK"/>
          <w:sz w:val="24"/>
          <w:szCs w:val="24"/>
          <w:highlight w:val="none"/>
          <w:u w:val="none" w:color="auto"/>
          <w:lang w:val="en-US" w:eastAsia="zh-CN"/>
        </w:rPr>
        <w:t>0</w:t>
      </w:r>
      <w:r>
        <w:rPr>
          <w:rFonts w:hint="eastAsia" w:ascii="方正仿宋_GBK" w:hAnsi="宋体" w:eastAsia="方正仿宋_GBK"/>
          <w:sz w:val="24"/>
          <w:szCs w:val="24"/>
          <w:highlight w:val="none"/>
          <w:u w:val="none" w:color="auto"/>
        </w:rPr>
        <w:t>0:00（以电子招投标平台显示的时间为准，其他时间不接受任何形式的送达）。</w:t>
      </w:r>
    </w:p>
    <w:p w14:paraId="42BBEE8B">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（七）开标信息</w:t>
      </w:r>
    </w:p>
    <w:p w14:paraId="37F10114">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1.开标时间：202</w:t>
      </w:r>
      <w:r>
        <w:rPr>
          <w:rFonts w:hint="eastAsia" w:ascii="方正仿宋_GBK" w:hAnsi="宋体" w:eastAsia="方正仿宋_GBK"/>
          <w:sz w:val="24"/>
          <w:szCs w:val="24"/>
          <w:highlight w:val="none"/>
          <w:u w:val="none" w:color="auto"/>
          <w:lang w:val="en-US" w:eastAsia="zh-CN"/>
        </w:rPr>
        <w:t>5</w:t>
      </w:r>
      <w:r>
        <w:rPr>
          <w:rFonts w:hint="eastAsia" w:ascii="方正仿宋_GBK" w:hAnsi="宋体" w:eastAsia="方正仿宋_GBK"/>
          <w:sz w:val="24"/>
          <w:szCs w:val="24"/>
          <w:highlight w:val="none"/>
          <w:u w:val="none" w:color="auto"/>
        </w:rPr>
        <w:t>年</w:t>
      </w:r>
      <w:r>
        <w:rPr>
          <w:rFonts w:hint="eastAsia" w:ascii="方正仿宋_GBK" w:hAnsi="宋体" w:eastAsia="方正仿宋_GBK"/>
          <w:sz w:val="24"/>
          <w:szCs w:val="24"/>
          <w:highlight w:val="none"/>
          <w:u w:val="none" w:color="auto"/>
          <w:lang w:val="en-US" w:eastAsia="zh-CN"/>
        </w:rPr>
        <w:t xml:space="preserve">11 </w:t>
      </w:r>
      <w:r>
        <w:rPr>
          <w:rFonts w:hint="eastAsia" w:ascii="方正仿宋_GBK" w:hAnsi="宋体" w:eastAsia="方正仿宋_GBK"/>
          <w:sz w:val="24"/>
          <w:szCs w:val="24"/>
          <w:highlight w:val="none"/>
          <w:u w:val="none" w:color="auto"/>
        </w:rPr>
        <w:t>月</w:t>
      </w:r>
      <w:r>
        <w:rPr>
          <w:rFonts w:hint="eastAsia" w:ascii="方正仿宋_GBK" w:hAnsi="宋体" w:eastAsia="方正仿宋_GBK"/>
          <w:sz w:val="24"/>
          <w:szCs w:val="24"/>
          <w:highlight w:val="none"/>
          <w:u w:val="none" w:color="auto"/>
          <w:lang w:val="en-US" w:eastAsia="zh-CN"/>
        </w:rPr>
        <w:t xml:space="preserve"> 10</w:t>
      </w:r>
      <w:r>
        <w:rPr>
          <w:rFonts w:hint="eastAsia" w:ascii="方正仿宋_GBK" w:hAnsi="宋体" w:eastAsia="方正仿宋_GBK"/>
          <w:sz w:val="24"/>
          <w:szCs w:val="24"/>
          <w:highlight w:val="none"/>
          <w:u w:val="none" w:color="auto"/>
        </w:rPr>
        <w:t>日北京时间</w:t>
      </w:r>
      <w:r>
        <w:rPr>
          <w:rFonts w:hint="eastAsia" w:ascii="方正仿宋_GBK" w:hAnsi="宋体" w:eastAsia="方正仿宋_GBK"/>
          <w:sz w:val="24"/>
          <w:szCs w:val="24"/>
          <w:highlight w:val="none"/>
          <w:u w:val="none" w:color="auto"/>
          <w:lang w:val="en-US" w:eastAsia="zh-CN"/>
        </w:rPr>
        <w:t>10</w:t>
      </w:r>
      <w:r>
        <w:rPr>
          <w:rFonts w:hint="eastAsia" w:ascii="方正仿宋_GBK" w:hAnsi="宋体" w:eastAsia="方正仿宋_GBK"/>
          <w:sz w:val="24"/>
          <w:szCs w:val="24"/>
          <w:highlight w:val="none"/>
          <w:u w:val="none" w:color="auto"/>
        </w:rPr>
        <w:t>:</w:t>
      </w:r>
      <w:r>
        <w:rPr>
          <w:rFonts w:hint="eastAsia" w:ascii="方正仿宋_GBK" w:hAnsi="宋体" w:eastAsia="方正仿宋_GBK"/>
          <w:sz w:val="24"/>
          <w:szCs w:val="24"/>
          <w:highlight w:val="none"/>
          <w:u w:val="none" w:color="auto"/>
          <w:lang w:val="en-US" w:eastAsia="zh-CN"/>
        </w:rPr>
        <w:t>0</w:t>
      </w:r>
      <w:r>
        <w:rPr>
          <w:rFonts w:hint="eastAsia" w:ascii="方正仿宋_GBK" w:hAnsi="宋体" w:eastAsia="方正仿宋_GBK"/>
          <w:sz w:val="24"/>
          <w:szCs w:val="24"/>
          <w:highlight w:val="none"/>
          <w:u w:val="none" w:color="auto"/>
        </w:rPr>
        <w:t>0:00</w:t>
      </w:r>
    </w:p>
    <w:p w14:paraId="4E659F97">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2.开标方式：本项目采用网上在线开标方式，投标人的法定代表人或其授权代表须持CA证书和可以上网的电脑（用于在线开标的电脑必须带有摄像头和麦克风、声卡等功能），于规定的开标时间前30分钟登录“</w:t>
      </w:r>
      <w:r>
        <w:rPr>
          <w:rFonts w:hint="eastAsia" w:ascii="方正仿宋_GBK" w:hAnsi="宋体" w:eastAsia="方正仿宋_GBK"/>
          <w:sz w:val="24"/>
          <w:szCs w:val="24"/>
          <w:highlight w:val="none"/>
          <w:u w:val="none" w:color="auto"/>
          <w:lang w:val="en-US" w:eastAsia="zh-CN"/>
        </w:rPr>
        <w:t>垫江县国企数字化</w:t>
      </w:r>
      <w:r>
        <w:rPr>
          <w:rFonts w:hint="eastAsia" w:ascii="方正仿宋_GBK" w:hAnsi="宋体" w:eastAsia="方正仿宋_GBK"/>
          <w:sz w:val="24"/>
          <w:szCs w:val="24"/>
          <w:highlight w:val="none"/>
          <w:u w:val="none" w:color="auto"/>
        </w:rPr>
        <w:t>采购平台</w:t>
      </w:r>
      <w:r>
        <w:rPr>
          <w:rFonts w:hint="eastAsia" w:ascii="方正仿宋_GBK" w:hAnsi="宋体" w:eastAsia="方正仿宋_GBK"/>
          <w:sz w:val="24"/>
          <w:szCs w:val="24"/>
          <w:highlight w:val="none"/>
          <w:u w:val="none" w:color="auto"/>
          <w:lang w:eastAsia="zh-CN"/>
        </w:rPr>
        <w:t>或</w:t>
      </w:r>
      <w:r>
        <w:rPr>
          <w:rFonts w:hint="eastAsia" w:ascii="方正仿宋_GBK" w:hAnsi="宋体" w:eastAsia="方正仿宋_GBK"/>
          <w:sz w:val="24"/>
          <w:szCs w:val="24"/>
          <w:highlight w:val="none"/>
          <w:u w:val="none" w:color="auto"/>
        </w:rPr>
        <w:t>行采家”→“个人中心”→“电子招投标”→“开评标大厅”，进入电子开标室完成在线准备。开标开始后投标人须根据采购代理机构引导在电子开标室完成电子投标文件解密、查看开标一览汇总表等工作。</w:t>
      </w:r>
    </w:p>
    <w:p w14:paraId="05156A11">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投标人的法定代表人或其授权代表也可以持CA证书和可以无线上网的笔记本电脑（用于在线开标的笔记本电脑必须带有摄像头和麦克风、声卡、等功能）、无线网卡于开标时间前，到达线下指定开标地点（</w:t>
      </w:r>
      <w:r>
        <w:rPr>
          <w:rFonts w:hint="eastAsia" w:ascii="方正仿宋_GBK" w:hAnsi="宋体" w:eastAsia="方正仿宋_GBK"/>
          <w:b/>
          <w:bCs/>
          <w:sz w:val="24"/>
          <w:szCs w:val="24"/>
          <w:highlight w:val="none"/>
          <w:u w:val="none" w:color="auto"/>
          <w:lang w:eastAsia="zh-CN"/>
        </w:rPr>
        <w:t>重庆市垫江县公共资源交易中心开标室</w:t>
      </w:r>
      <w:r>
        <w:rPr>
          <w:rFonts w:hint="eastAsia" w:ascii="方正仿宋_GBK" w:hAnsi="宋体" w:eastAsia="方正仿宋_GBK"/>
          <w:sz w:val="24"/>
          <w:szCs w:val="24"/>
          <w:highlight w:val="none"/>
          <w:u w:val="none" w:color="auto"/>
        </w:rPr>
        <w:t>）参加在线开标。投标人线下持对应设备到线下指定开标地点参与在线开标都是由投标人主观自行决定。因投标人自身原因导致未能在规定时间内解密电子投标文件或参与在线开标的，其后果由投标人自行承担。</w:t>
      </w:r>
    </w:p>
    <w:p w14:paraId="1AAC865B">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3.线下指定开标地点：重庆市垫江县公共资源交易中心开标室（垫江县南阳公园县级机关综合办公楼（二）2楼）。</w:t>
      </w:r>
    </w:p>
    <w:p w14:paraId="15566D03">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注：电子招投标系统开标时间前的半个小时是供应商自主在线准备环节时间（是否在线准备由供应商主观决定，在线准备环节意义在于提前测试CA证书与当前电脑设备运行环境是否正常），在线准备环节不具备签到意义特此声明。</w:t>
      </w:r>
    </w:p>
    <w:p w14:paraId="63BEF166">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（八）其他补充事宜</w:t>
      </w:r>
    </w:p>
    <w:p w14:paraId="2D4E9EA0">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1.投标人如未在规定解密时长（系统默认30分钟解密时长，采购人/采购代理机构可根据现场投标情况进行延长/变更解密时长）内解密电子投标文件的情形约定：</w:t>
      </w:r>
    </w:p>
    <w:p w14:paraId="1BB37EB0">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1）因行采家全程电子化系统客观原因影响解密时长的，采购人/采购代理机构可根据现场实际情况延长解密时长。投标人在仍不能正常解密的情况下，投标人可向采购人/采购代理机构申请，启用上传不加密的电子备份投标文件的方法作为补救措施；在规定的解密时长内，投标人既不解密，也未提供不加密的电子备份投标文件作为补救措施的，视为投标人主动放弃对该项目的投标资格。</w:t>
      </w:r>
    </w:p>
    <w:p w14:paraId="3CA956AF">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2）因投标人主观原因未完成解密工作的，且未在规定解密时长内向采购人/采购代理机构申请启用上传不加密的电子备份投标文件的方法作为补救措施或者已申请启用电子备份投标文件后仍不在规定解密时长内提供有效不加密的电子备份投标文件的情况，都视为投标人在递交电子投标文件截止时间后撤销电子投标文件，投标无效且投标人不得再参与本项目后续采购活动。</w:t>
      </w:r>
    </w:p>
    <w:p w14:paraId="2D12D49B">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2.本项目采用全流程电子招投标。各投标人需熟悉了解整个垫江县属国有企业采购电子招投标项目开评标全过程。具体电子化采购规则以及操作指南请下载项目公告附件《采购公告附件（行采家供应商必看手册）24-3版》（《行采家全程电子化操作手册-供应商(CA证书解密版)》和《重庆政府采购（兼用行采家）全程电子化招标采购CA办理手册》、《【供应商必看】行采家（CA版）供应商投标前软件安装手册》），并按其对应手册要求完成操作。</w:t>
      </w:r>
    </w:p>
    <w:p w14:paraId="39070170">
      <w:pPr>
        <w:pStyle w:val="3"/>
        <w:spacing w:line="400" w:lineRule="exact"/>
        <w:ind w:firstLine="482" w:firstLineChars="200"/>
        <w:rPr>
          <w:rFonts w:hint="eastAsia" w:ascii="方正仿宋_GBK" w:eastAsia="方正仿宋_GBK"/>
          <w:b/>
          <w:sz w:val="24"/>
          <w:highlight w:val="none"/>
          <w:u w:val="none" w:color="auto"/>
        </w:rPr>
      </w:pPr>
      <w:bookmarkStart w:id="104" w:name="_Toc1682395973"/>
      <w:bookmarkStart w:id="105" w:name="_Toc12663"/>
      <w:bookmarkStart w:id="106" w:name="_Toc7836"/>
      <w:bookmarkStart w:id="107" w:name="_Toc106030376"/>
      <w:bookmarkStart w:id="108" w:name="_Toc30895"/>
      <w:bookmarkStart w:id="109" w:name="_Toc12090"/>
      <w:bookmarkStart w:id="110" w:name="_Toc22111"/>
      <w:bookmarkStart w:id="111" w:name="_Toc9290"/>
      <w:bookmarkStart w:id="112" w:name="_Toc11844"/>
      <w:bookmarkStart w:id="113" w:name="_Toc524"/>
      <w:bookmarkStart w:id="114" w:name="_Toc12140"/>
      <w:bookmarkStart w:id="115" w:name="_Toc6572"/>
      <w:bookmarkStart w:id="116" w:name="_Toc25854"/>
      <w:bookmarkStart w:id="117" w:name="_Toc3476"/>
      <w:bookmarkStart w:id="118" w:name="_Toc6289"/>
      <w:bookmarkStart w:id="119" w:name="_Toc24604"/>
      <w:bookmarkStart w:id="120" w:name="_Toc18100"/>
      <w:bookmarkStart w:id="121" w:name="_Toc75793500"/>
      <w:bookmarkStart w:id="122" w:name="_Toc15717"/>
      <w:bookmarkStart w:id="123" w:name="_Toc23960"/>
      <w:r>
        <w:rPr>
          <w:rFonts w:hint="eastAsia" w:ascii="方正仿宋_GBK" w:eastAsia="方正仿宋_GBK"/>
          <w:b/>
          <w:sz w:val="24"/>
          <w:highlight w:val="none"/>
          <w:u w:val="none" w:color="auto"/>
        </w:rPr>
        <w:t>五、投标保证金</w:t>
      </w:r>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p>
    <w:p w14:paraId="35EB06C5">
      <w:pPr>
        <w:spacing w:line="400" w:lineRule="exact"/>
        <w:ind w:firstLine="482" w:firstLineChars="200"/>
        <w:rPr>
          <w:rFonts w:hint="eastAsia" w:ascii="方正仿宋_GBK" w:hAnsi="宋体" w:eastAsia="方正仿宋_GBK" w:cs="Times New Roman"/>
          <w:b/>
          <w:bCs/>
          <w:color w:val="auto"/>
          <w:sz w:val="24"/>
          <w:szCs w:val="24"/>
          <w:highlight w:val="none"/>
          <w:lang w:val="en-US" w:eastAsia="zh-CN"/>
        </w:rPr>
      </w:pPr>
      <w:bookmarkStart w:id="124" w:name="_Toc1726648127"/>
      <w:bookmarkStart w:id="125" w:name="_Toc1152263147"/>
      <w:bookmarkStart w:id="126" w:name="_Toc478915681"/>
      <w:bookmarkStart w:id="127" w:name="_Toc21524"/>
      <w:bookmarkStart w:id="128" w:name="_Toc3188"/>
      <w:bookmarkStart w:id="129" w:name="_Toc29744"/>
      <w:bookmarkStart w:id="130" w:name="_Toc9257"/>
      <w:bookmarkStart w:id="131" w:name="_Toc16198"/>
      <w:bookmarkStart w:id="132" w:name="_Toc106030377"/>
      <w:bookmarkStart w:id="133" w:name="_Toc24689"/>
      <w:bookmarkStart w:id="134" w:name="_Toc18254"/>
      <w:bookmarkStart w:id="135" w:name="_Toc441"/>
      <w:bookmarkStart w:id="136" w:name="_Toc5839"/>
      <w:bookmarkStart w:id="137" w:name="_Toc8081"/>
      <w:bookmarkStart w:id="138" w:name="_Toc29945"/>
      <w:bookmarkStart w:id="139" w:name="_Toc28799"/>
      <w:bookmarkStart w:id="140" w:name="_Toc22275"/>
      <w:bookmarkStart w:id="141" w:name="_Toc24588"/>
      <w:bookmarkStart w:id="142" w:name="_Toc12760"/>
      <w:bookmarkStart w:id="143" w:name="_Toc19780"/>
      <w:bookmarkStart w:id="144" w:name="_Toc75793501"/>
      <w:bookmarkStart w:id="145" w:name="_Toc18802"/>
      <w:r>
        <w:rPr>
          <w:rFonts w:hint="eastAsia" w:ascii="方正仿宋_GBK" w:hAnsi="宋体" w:eastAsia="方正仿宋_GBK" w:cs="Times New Roman"/>
          <w:b/>
          <w:bCs/>
          <w:color w:val="auto"/>
          <w:sz w:val="24"/>
          <w:szCs w:val="24"/>
          <w:highlight w:val="none"/>
          <w:lang w:val="en-US" w:eastAsia="zh-CN"/>
        </w:rPr>
        <w:t>本项目投标保证金：</w:t>
      </w:r>
      <w:r>
        <w:rPr>
          <w:rFonts w:hint="eastAsia" w:ascii="方正仿宋_GBK" w:hAnsi="宋体" w:eastAsia="方正仿宋_GBK" w:cs="Times New Roman"/>
          <w:b/>
          <w:bCs/>
          <w:color w:val="FF0000"/>
          <w:sz w:val="24"/>
          <w:szCs w:val="24"/>
          <w:highlight w:val="none"/>
          <w:u w:val="single"/>
          <w:lang w:val="en-US" w:eastAsia="zh-CN"/>
        </w:rPr>
        <w:t>8</w:t>
      </w:r>
      <w:r>
        <w:rPr>
          <w:rFonts w:hint="eastAsia" w:ascii="方正仿宋_GBK" w:hAnsi="宋体" w:eastAsia="方正仿宋_GBK" w:cs="Times New Roman"/>
          <w:b/>
          <w:bCs/>
          <w:color w:val="auto"/>
          <w:sz w:val="24"/>
          <w:szCs w:val="24"/>
          <w:highlight w:val="none"/>
          <w:lang w:val="en-US" w:eastAsia="zh-CN"/>
        </w:rPr>
        <w:t>万元</w:t>
      </w:r>
      <w:bookmarkEnd w:id="124"/>
      <w:bookmarkEnd w:id="125"/>
      <w:bookmarkEnd w:id="126"/>
    </w:p>
    <w:p w14:paraId="03F8C2E3">
      <w:pPr>
        <w:snapToGrid w:val="0"/>
        <w:spacing w:line="400" w:lineRule="exact"/>
        <w:ind w:firstLine="482" w:firstLineChars="200"/>
        <w:rPr>
          <w:rFonts w:hint="eastAsia" w:ascii="方正仿宋_GBK" w:hAnsi="宋体" w:eastAsia="方正仿宋_GBK"/>
          <w:b/>
          <w:bCs/>
          <w:color w:val="auto"/>
          <w:sz w:val="24"/>
          <w:szCs w:val="24"/>
          <w:highlight w:val="none"/>
          <w:lang w:eastAsia="zh-CN"/>
        </w:rPr>
      </w:pPr>
      <w:r>
        <w:rPr>
          <w:rFonts w:hint="eastAsia" w:ascii="方正仿宋_GBK" w:hAnsi="宋体" w:eastAsia="方正仿宋_GBK"/>
          <w:b/>
          <w:bCs/>
          <w:color w:val="auto"/>
          <w:sz w:val="24"/>
          <w:szCs w:val="24"/>
          <w:highlight w:val="none"/>
        </w:rPr>
        <w:t>方式一</w:t>
      </w:r>
      <w:r>
        <w:rPr>
          <w:rFonts w:hint="eastAsia" w:ascii="方正仿宋_GBK" w:hAnsi="宋体" w:eastAsia="方正仿宋_GBK"/>
          <w:b/>
          <w:bCs/>
          <w:color w:val="auto"/>
          <w:sz w:val="24"/>
          <w:szCs w:val="24"/>
          <w:highlight w:val="none"/>
          <w:lang w:eastAsia="zh-CN"/>
        </w:rPr>
        <w:t>：</w:t>
      </w:r>
    </w:p>
    <w:p w14:paraId="6BA5A68D">
      <w:pPr>
        <w:numPr>
          <w:ilvl w:val="0"/>
          <w:numId w:val="0"/>
        </w:numPr>
        <w:snapToGrid w:val="0"/>
        <w:spacing w:line="360" w:lineRule="auto"/>
        <w:ind w:firstLine="480" w:firstLineChars="200"/>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lang w:eastAsia="zh-CN"/>
        </w:rPr>
        <w:t>（一）</w:t>
      </w:r>
      <w:r>
        <w:rPr>
          <w:rFonts w:hint="eastAsia" w:ascii="方正仿宋_GBK" w:hAnsi="宋体" w:eastAsia="方正仿宋_GBK"/>
          <w:color w:val="auto"/>
          <w:sz w:val="24"/>
          <w:szCs w:val="24"/>
          <w:highlight w:val="none"/>
        </w:rPr>
        <w:t>投标保证金账户：</w:t>
      </w:r>
    </w:p>
    <w:tbl>
      <w:tblPr>
        <w:tblStyle w:val="60"/>
        <w:tblW w:w="7458" w:type="dxa"/>
        <w:tblInd w:w="6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5"/>
        <w:gridCol w:w="5103"/>
      </w:tblGrid>
      <w:tr w14:paraId="3F33F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2355" w:type="dxa"/>
            <w:noWrap w:val="0"/>
            <w:vAlign w:val="center"/>
          </w:tcPr>
          <w:p w14:paraId="38504419">
            <w:pPr>
              <w:snapToGrid w:val="0"/>
              <w:spacing w:line="400" w:lineRule="exact"/>
              <w:ind w:firstLine="0" w:firstLineChars="0"/>
              <w:jc w:val="center"/>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户  名</w:t>
            </w:r>
          </w:p>
        </w:tc>
        <w:tc>
          <w:tcPr>
            <w:tcW w:w="5103" w:type="dxa"/>
            <w:noWrap w:val="0"/>
            <w:vAlign w:val="center"/>
          </w:tcPr>
          <w:p w14:paraId="041C6225">
            <w:pPr>
              <w:snapToGrid w:val="0"/>
              <w:spacing w:line="400" w:lineRule="exact"/>
              <w:jc w:val="left"/>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垫江县公共资源交易中心</w:t>
            </w:r>
          </w:p>
        </w:tc>
      </w:tr>
      <w:tr w14:paraId="29C50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2355" w:type="dxa"/>
            <w:vMerge w:val="restart"/>
            <w:noWrap w:val="0"/>
            <w:vAlign w:val="center"/>
          </w:tcPr>
          <w:p w14:paraId="0A1B0399">
            <w:pPr>
              <w:snapToGrid w:val="0"/>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开户行</w:t>
            </w:r>
          </w:p>
          <w:p w14:paraId="0F9E2EEA">
            <w:pPr>
              <w:snapToGrid w:val="0"/>
              <w:spacing w:line="400" w:lineRule="exact"/>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帐号（任选其一）</w:t>
            </w:r>
          </w:p>
        </w:tc>
        <w:tc>
          <w:tcPr>
            <w:tcW w:w="5103" w:type="dxa"/>
            <w:noWrap w:val="0"/>
            <w:vAlign w:val="top"/>
          </w:tcPr>
          <w:p w14:paraId="1E7AFED5">
            <w:pPr>
              <w:tabs>
                <w:tab w:val="left" w:pos="700"/>
              </w:tabs>
              <w:spacing w:line="400" w:lineRule="exact"/>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银行名称:重庆银行股份有限公司垫江支行</w:t>
            </w:r>
          </w:p>
          <w:p w14:paraId="6EC69C84">
            <w:pPr>
              <w:keepNext w:val="0"/>
              <w:keepLines w:val="0"/>
              <w:widowControl/>
              <w:suppressLineNumbers w:val="0"/>
              <w:jc w:val="left"/>
              <w:rPr>
                <w:rFonts w:hint="eastAsia" w:ascii="方正仿宋_GBK" w:hAnsi="方正仿宋_GBK" w:eastAsia="方正仿宋_GBK" w:cs="方正仿宋_GBK"/>
                <w:color w:val="auto"/>
                <w:sz w:val="24"/>
                <w:szCs w:val="24"/>
                <w:highlight w:val="none"/>
                <w:lang w:eastAsia="zh-CN"/>
              </w:rPr>
            </w:pPr>
            <w:r>
              <w:rPr>
                <w:rFonts w:hint="eastAsia" w:ascii="方正仿宋_GBK" w:hAnsi="方正仿宋_GBK" w:eastAsia="方正仿宋_GBK" w:cs="方正仿宋_GBK"/>
                <w:color w:val="auto"/>
                <w:sz w:val="24"/>
                <w:szCs w:val="24"/>
                <w:highlight w:val="none"/>
              </w:rPr>
              <w:t>银行账号</w:t>
            </w:r>
            <w:r>
              <w:rPr>
                <w:rFonts w:hint="eastAsia" w:ascii="方正仿宋_GBK" w:hAnsi="方正仿宋_GBK" w:eastAsia="方正仿宋_GBK" w:cs="方正仿宋_GBK"/>
                <w:color w:val="auto"/>
                <w:sz w:val="24"/>
                <w:szCs w:val="24"/>
                <w:highlight w:val="none"/>
                <w:lang w:val="en-US" w:eastAsia="zh-CN"/>
              </w:rPr>
              <w:t xml:space="preserve"> ：820101040000584-100055</w:t>
            </w:r>
          </w:p>
        </w:tc>
      </w:tr>
      <w:tr w14:paraId="4D30C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2355" w:type="dxa"/>
            <w:vMerge w:val="continue"/>
            <w:noWrap w:val="0"/>
            <w:vAlign w:val="center"/>
          </w:tcPr>
          <w:p w14:paraId="022320FC">
            <w:pPr>
              <w:snapToGrid w:val="0"/>
              <w:spacing w:line="400" w:lineRule="exact"/>
              <w:ind w:firstLine="480" w:firstLineChars="200"/>
              <w:rPr>
                <w:rFonts w:hint="eastAsia" w:ascii="方正仿宋_GBK" w:hAnsi="方正仿宋_GBK" w:eastAsia="方正仿宋_GBK" w:cs="方正仿宋_GBK"/>
                <w:color w:val="auto"/>
                <w:sz w:val="24"/>
                <w:szCs w:val="24"/>
                <w:highlight w:val="none"/>
              </w:rPr>
            </w:pPr>
          </w:p>
        </w:tc>
        <w:tc>
          <w:tcPr>
            <w:tcW w:w="5103" w:type="dxa"/>
            <w:noWrap w:val="0"/>
            <w:vAlign w:val="top"/>
          </w:tcPr>
          <w:p w14:paraId="0CF74759">
            <w:pPr>
              <w:tabs>
                <w:tab w:val="left" w:pos="700"/>
              </w:tabs>
              <w:spacing w:line="400" w:lineRule="exact"/>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银行名称:中国银行垫江支行营业部</w:t>
            </w:r>
          </w:p>
          <w:p w14:paraId="5ECE2BF6">
            <w:pPr>
              <w:keepNext w:val="0"/>
              <w:keepLines w:val="0"/>
              <w:widowControl/>
              <w:suppressLineNumbers w:val="0"/>
              <w:jc w:val="left"/>
              <w:rPr>
                <w:rFonts w:hint="eastAsia" w:ascii="方正仿宋_GBK" w:hAnsi="方正仿宋_GBK" w:eastAsia="方正仿宋_GBK" w:cs="方正仿宋_GBK"/>
                <w:color w:val="auto"/>
                <w:sz w:val="24"/>
                <w:szCs w:val="24"/>
                <w:highlight w:val="none"/>
                <w:lang w:eastAsia="zh-CN"/>
              </w:rPr>
            </w:pPr>
            <w:r>
              <w:rPr>
                <w:rFonts w:hint="eastAsia" w:ascii="方正仿宋_GBK" w:hAnsi="方正仿宋_GBK" w:eastAsia="方正仿宋_GBK" w:cs="方正仿宋_GBK"/>
                <w:color w:val="auto"/>
                <w:sz w:val="24"/>
                <w:szCs w:val="24"/>
                <w:highlight w:val="none"/>
              </w:rPr>
              <w:t>银行账号:</w:t>
            </w:r>
            <w:r>
              <w:rPr>
                <w:rFonts w:hint="eastAsia" w:ascii="方正仿宋_GBK" w:hAnsi="方正仿宋_GBK" w:eastAsia="方正仿宋_GBK" w:cs="方正仿宋_GBK"/>
                <w:color w:val="auto"/>
                <w:sz w:val="24"/>
                <w:szCs w:val="24"/>
                <w:highlight w:val="none"/>
                <w:lang w:val="en-US" w:eastAsia="zh-CN"/>
              </w:rPr>
              <w:t xml:space="preserve"> 114446886963</w:t>
            </w:r>
          </w:p>
        </w:tc>
      </w:tr>
      <w:tr w14:paraId="0B62F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2355" w:type="dxa"/>
            <w:vMerge w:val="continue"/>
            <w:noWrap w:val="0"/>
            <w:vAlign w:val="center"/>
          </w:tcPr>
          <w:p w14:paraId="3ABBD794">
            <w:pPr>
              <w:snapToGrid w:val="0"/>
              <w:spacing w:line="400" w:lineRule="exact"/>
              <w:ind w:firstLine="480" w:firstLineChars="200"/>
              <w:rPr>
                <w:rFonts w:hint="eastAsia" w:ascii="方正仿宋_GBK" w:hAnsi="方正仿宋_GBK" w:eastAsia="方正仿宋_GBK" w:cs="方正仿宋_GBK"/>
                <w:color w:val="auto"/>
                <w:sz w:val="24"/>
                <w:szCs w:val="24"/>
                <w:highlight w:val="none"/>
              </w:rPr>
            </w:pPr>
          </w:p>
        </w:tc>
        <w:tc>
          <w:tcPr>
            <w:tcW w:w="5103" w:type="dxa"/>
            <w:noWrap w:val="0"/>
            <w:vAlign w:val="top"/>
          </w:tcPr>
          <w:p w14:paraId="69E5A20B">
            <w:pPr>
              <w:tabs>
                <w:tab w:val="left" w:pos="700"/>
              </w:tabs>
              <w:spacing w:line="400" w:lineRule="exact"/>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银行名称:重庆农村商业银行垫江支行</w:t>
            </w:r>
          </w:p>
          <w:p w14:paraId="1F77010A">
            <w:pPr>
              <w:tabs>
                <w:tab w:val="left" w:pos="700"/>
              </w:tabs>
              <w:spacing w:line="400" w:lineRule="exact"/>
              <w:rPr>
                <w:rFonts w:hint="eastAsia" w:ascii="方正仿宋_GBK" w:hAnsi="方正仿宋_GBK" w:eastAsia="方正仿宋_GBK" w:cs="方正仿宋_GBK"/>
                <w:color w:val="auto"/>
                <w:sz w:val="24"/>
                <w:szCs w:val="24"/>
                <w:highlight w:val="none"/>
                <w:lang w:eastAsia="zh-CN"/>
              </w:rPr>
            </w:pPr>
            <w:r>
              <w:rPr>
                <w:rFonts w:hint="eastAsia" w:ascii="方正仿宋_GBK" w:hAnsi="方正仿宋_GBK" w:eastAsia="方正仿宋_GBK" w:cs="方正仿宋_GBK"/>
                <w:color w:val="auto"/>
                <w:sz w:val="24"/>
                <w:szCs w:val="24"/>
                <w:highlight w:val="none"/>
              </w:rPr>
              <w:t>银行账号:</w:t>
            </w:r>
            <w:r>
              <w:rPr>
                <w:rFonts w:hint="eastAsia" w:ascii="方正仿宋_GBK" w:hAnsi="方正仿宋_GBK" w:eastAsia="方正仿宋_GBK" w:cs="方正仿宋_GBK"/>
                <w:color w:val="auto"/>
                <w:sz w:val="24"/>
                <w:szCs w:val="24"/>
                <w:highlight w:val="none"/>
                <w:lang w:val="en-US" w:eastAsia="zh-CN"/>
              </w:rPr>
              <w:t xml:space="preserve"> 2501010120010009065-000191</w:t>
            </w:r>
            <w:bookmarkStart w:id="846" w:name="_GoBack"/>
            <w:bookmarkEnd w:id="846"/>
          </w:p>
        </w:tc>
      </w:tr>
    </w:tbl>
    <w:p w14:paraId="5148D3DE">
      <w:pPr>
        <w:snapToGrid w:val="0"/>
        <w:spacing w:line="400" w:lineRule="exact"/>
        <w:ind w:firstLine="480" w:firstLineChars="2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（二）缴纳方式</w:t>
      </w:r>
    </w:p>
    <w:p w14:paraId="26AC8E1F">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1.网银缴纳：开通网上银行（基本存款账户）支付功能的，直接通过网上银行（基本存款账户）支付方式缴纳投标保证金。</w:t>
      </w:r>
    </w:p>
    <w:p w14:paraId="1F698701">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2.银行转账：未开通网上银行的投标人，通过从企业基本存款账户转账的方式缴纳。</w:t>
      </w:r>
    </w:p>
    <w:p w14:paraId="2860271B">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（三）投标保证金到账截止时间为电子投标文件递交截止时间。</w:t>
      </w:r>
    </w:p>
    <w:p w14:paraId="40635456">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注意事项：</w:t>
      </w:r>
    </w:p>
    <w:p w14:paraId="35FB3F03">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1.投标保证金必须从投标人基本存款账户转出（投标人按第七篇格式要求提供基本存款账户开户许可证复印件、投标保证金回单复印件等资料，评标委员会或采购据此认定其投标保证金是否从投标人基本存款账户转出）。</w:t>
      </w:r>
    </w:p>
    <w:p w14:paraId="17ED3F0A">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2.投标人自行考虑汇入时间风险，如异地汇入、跨行汇入的时间要求，到帐时间以银行到帐时间为准。</w:t>
      </w:r>
    </w:p>
    <w:p w14:paraId="2A5F4892">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3.注意区分缴纳保证金的账户、账号。每个项目及其分包、标段以及重新招标项目的保证金账号各不相同，应按照指定的账户账号对应缴入。</w:t>
      </w:r>
    </w:p>
    <w:p w14:paraId="128430B8">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4.如本项目投标截止时间延期，投标保证金缴纳截止时间也相应顺延，已经缴纳的投标保证金不予提前退还，按“投标保证金的退还”条款进行退还或处理。</w:t>
      </w:r>
    </w:p>
    <w:p w14:paraId="77588B8D">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5.投标人应仔细阅读采购文件中有关投标保证金的内容，并按采购文件要求的时限、金额和指定的账户账号等信息缴纳投标保证金。未按要求缴纳投标保证金而影响对其投标保证金到账认定和退还的，由投标人自行承担。</w:t>
      </w:r>
    </w:p>
    <w:p w14:paraId="706CBF40">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lang w:eastAsia="zh-CN"/>
        </w:rPr>
        <w:t>（</w:t>
      </w:r>
      <w:r>
        <w:rPr>
          <w:rFonts w:hint="eastAsia" w:ascii="方正仿宋_GBK" w:hAnsi="宋体" w:eastAsia="方正仿宋_GBK"/>
          <w:sz w:val="24"/>
          <w:szCs w:val="24"/>
          <w:highlight w:val="none"/>
          <w:lang w:val="en-US" w:eastAsia="zh-CN"/>
        </w:rPr>
        <w:t>四</w:t>
      </w:r>
      <w:r>
        <w:rPr>
          <w:rFonts w:hint="eastAsia" w:ascii="方正仿宋_GBK" w:hAnsi="宋体" w:eastAsia="方正仿宋_GBK"/>
          <w:sz w:val="24"/>
          <w:szCs w:val="24"/>
          <w:highlight w:val="none"/>
          <w:lang w:eastAsia="zh-CN"/>
        </w:rPr>
        <w:t>）</w:t>
      </w:r>
      <w:r>
        <w:rPr>
          <w:rFonts w:hint="eastAsia" w:ascii="方正仿宋_GBK" w:hAnsi="宋体" w:eastAsia="方正仿宋_GBK"/>
          <w:sz w:val="24"/>
          <w:szCs w:val="24"/>
          <w:highlight w:val="none"/>
        </w:rPr>
        <w:t>保证金退还</w:t>
      </w:r>
    </w:p>
    <w:p w14:paraId="19D9DF58">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所有进入“投标保证金指定收取账户”的资金，包括投标截止时间延期、投标人未按要求缴纳、缴入账户错误、缴纳金额错误、多次缴入的投标保证金（或其它资金）等，在本项目开标前均不予退还，开标后按下列情况进行退还或处理（特殊退还除外）：</w:t>
      </w:r>
    </w:p>
    <w:p w14:paraId="3A431D97">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应退还的保证金，退还至原进账账户。</w:t>
      </w:r>
    </w:p>
    <w:p w14:paraId="1D6A30D2">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1.未中标人的保证金。在成交通知书发出之日起5个工作日内退还。</w:t>
      </w:r>
    </w:p>
    <w:p w14:paraId="16177222">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 xml:space="preserve">2.中标人（中标候选人）的保证金。中标候选人与业主签订书面合同之日起5个工作日内退还中标人（中标候选人）的保证金。 </w:t>
      </w:r>
    </w:p>
    <w:p w14:paraId="3081F22D">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3.流标项目的保证金。公示期满后，无质疑、投诉、举报的情况下5个工作日内退还。</w:t>
      </w:r>
    </w:p>
    <w:p w14:paraId="47F37807">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4.有质疑、投诉、举报等情况的保证金，根据受理的行政部门出具的处理意见进行处理。</w:t>
      </w:r>
    </w:p>
    <w:p w14:paraId="635DAC13">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5.若投标人发生采购文件规定不予退还保证金情形的，其保证金不予退还。</w:t>
      </w:r>
    </w:p>
    <w:p w14:paraId="52CA7547">
      <w:pPr>
        <w:snapToGrid w:val="0"/>
        <w:spacing w:line="400" w:lineRule="exact"/>
        <w:ind w:firstLine="482" w:firstLineChars="200"/>
        <w:rPr>
          <w:rFonts w:hint="eastAsia" w:ascii="方正仿宋_GBK" w:hAnsi="宋体" w:eastAsia="方正仿宋_GBK" w:cs="Times New Roman"/>
          <w:b/>
          <w:bCs/>
          <w:color w:val="auto"/>
          <w:sz w:val="24"/>
          <w:szCs w:val="24"/>
          <w:highlight w:val="none"/>
        </w:rPr>
      </w:pPr>
      <w:r>
        <w:rPr>
          <w:rFonts w:hint="eastAsia" w:ascii="方正仿宋_GBK" w:hAnsi="宋体" w:eastAsia="方正仿宋_GBK" w:cs="Times New Roman"/>
          <w:b/>
          <w:bCs/>
          <w:color w:val="auto"/>
          <w:sz w:val="24"/>
          <w:szCs w:val="24"/>
          <w:highlight w:val="none"/>
        </w:rPr>
        <w:t>方式二：</w:t>
      </w:r>
    </w:p>
    <w:p w14:paraId="031800F2">
      <w:pPr>
        <w:snapToGrid w:val="0"/>
        <w:spacing w:line="400" w:lineRule="exact"/>
        <w:ind w:firstLine="480" w:firstLineChars="200"/>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（一）投标保证金的交纳</w:t>
      </w:r>
    </w:p>
    <w:p w14:paraId="3D486D81">
      <w:pPr>
        <w:snapToGrid w:val="0"/>
        <w:spacing w:line="400" w:lineRule="exact"/>
        <w:ind w:firstLine="480" w:firstLineChars="2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1.投标保证金交纳形式及要求：</w:t>
      </w:r>
    </w:p>
    <w:p w14:paraId="55814796">
      <w:pPr>
        <w:snapToGrid w:val="0"/>
        <w:spacing w:line="400" w:lineRule="exact"/>
        <w:ind w:firstLine="480" w:firstLineChars="2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（1）缴纳形式：</w:t>
      </w:r>
      <w:r>
        <w:rPr>
          <w:rFonts w:hint="eastAsia" w:ascii="方正仿宋_GBK" w:hAnsi="宋体" w:eastAsia="方正仿宋_GBK"/>
          <w:sz w:val="24"/>
          <w:szCs w:val="24"/>
          <w:highlight w:val="none"/>
        </w:rPr>
        <w:t>投标人</w:t>
      </w:r>
      <w:r>
        <w:rPr>
          <w:rFonts w:hint="eastAsia" w:ascii="方正仿宋_GBK" w:hAnsi="宋体" w:eastAsia="方正仿宋_GBK"/>
          <w:color w:val="auto"/>
          <w:sz w:val="24"/>
          <w:szCs w:val="24"/>
          <w:highlight w:val="none"/>
        </w:rPr>
        <w:t>提供不可撤销且见索即付的金融机构或担保机构纸质保函；</w:t>
      </w:r>
    </w:p>
    <w:p w14:paraId="22770BA8">
      <w:pPr>
        <w:snapToGrid w:val="0"/>
        <w:spacing w:line="400" w:lineRule="exact"/>
        <w:ind w:firstLine="480" w:firstLineChars="200"/>
        <w:rPr>
          <w:rFonts w:hint="eastAsia" w:ascii="方正仿宋_GBK" w:hAnsi="宋体" w:eastAsia="方正仿宋_GBK" w:cs="Times New Roman"/>
          <w:b w:val="0"/>
          <w:color w:val="auto"/>
          <w:sz w:val="24"/>
          <w:szCs w:val="24"/>
          <w:highlight w:val="none"/>
        </w:rPr>
      </w:pPr>
      <w:r>
        <w:rPr>
          <w:rFonts w:hint="eastAsia" w:ascii="方正仿宋_GBK" w:hAnsi="宋体" w:eastAsia="方正仿宋_GBK"/>
          <w:color w:val="auto"/>
          <w:sz w:val="24"/>
          <w:szCs w:val="24"/>
          <w:highlight w:val="none"/>
        </w:rPr>
        <w:t>（2）具体要求：</w:t>
      </w:r>
      <w:r>
        <w:rPr>
          <w:rFonts w:hint="eastAsia" w:ascii="方正仿宋_GBK" w:hAnsi="宋体" w:eastAsia="方正仿宋_GBK" w:cs="Times New Roman"/>
          <w:b w:val="0"/>
          <w:color w:val="auto"/>
          <w:sz w:val="24"/>
          <w:szCs w:val="24"/>
          <w:highlight w:val="none"/>
        </w:rPr>
        <w:t>投标人须提供一份纸质投标保函正本和一份纸质投标保函正本纸质复制件、一份纸质投标保函正本电子复制件并加盖投标人单位鲜章。一份电子复制件须装在“第七篇  投标文件格式”规定的“四、其他（二）其他与项目有关的资料（自附）”的电子投标文件中，另一份纸质复印件和纸质投标保函正本原件单独密封装订，并于电子投标文件递交截止时间前在开标前的现场递交给采购人审查、保管。</w:t>
      </w:r>
    </w:p>
    <w:p w14:paraId="628B931D">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color w:val="auto"/>
          <w:sz w:val="24"/>
          <w:szCs w:val="24"/>
          <w:highlight w:val="none"/>
        </w:rPr>
        <w:t>纸质</w:t>
      </w:r>
      <w:r>
        <w:rPr>
          <w:rFonts w:hint="eastAsia" w:ascii="方正仿宋_GBK" w:hAnsi="宋体" w:eastAsia="方正仿宋_GBK"/>
          <w:sz w:val="24"/>
          <w:szCs w:val="24"/>
          <w:highlight w:val="none"/>
        </w:rPr>
        <w:t>保函应至少体现如下内容：①担保项目必须为投标人所投子项目；②受益人必须为本项目招标人；③保函担保金额必须满足投标人所投子项目要求；④保函生效时间必须在在电子投标文件递交截止时间前，有效期限必须至少包含整个投标有效期。否则，</w:t>
      </w:r>
      <w:r>
        <w:rPr>
          <w:rFonts w:hint="eastAsia" w:ascii="方正仿宋_GBK" w:hAnsi="宋体" w:eastAsia="方正仿宋_GBK"/>
          <w:color w:val="auto"/>
          <w:sz w:val="24"/>
          <w:szCs w:val="24"/>
          <w:highlight w:val="none"/>
        </w:rPr>
        <w:t>纸质</w:t>
      </w:r>
      <w:r>
        <w:rPr>
          <w:rFonts w:hint="eastAsia" w:ascii="方正仿宋_GBK" w:hAnsi="宋体" w:eastAsia="方正仿宋_GBK"/>
          <w:sz w:val="24"/>
          <w:szCs w:val="24"/>
          <w:highlight w:val="none"/>
        </w:rPr>
        <w:t>保函无效。投标人的投标文件由评标委员会作否决投标处理。</w:t>
      </w:r>
    </w:p>
    <w:p w14:paraId="6BF71E61">
      <w:pPr>
        <w:snapToGrid w:val="0"/>
        <w:spacing w:line="400" w:lineRule="exact"/>
        <w:ind w:firstLine="480" w:firstLineChars="200"/>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注：</w:t>
      </w:r>
    </w:p>
    <w:p w14:paraId="2A1223F0">
      <w:pPr>
        <w:snapToGrid w:val="0"/>
        <w:spacing w:line="400" w:lineRule="exact"/>
        <w:ind w:firstLine="480" w:firstLineChars="200"/>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（1）</w:t>
      </w:r>
      <w:bookmarkStart w:id="146" w:name="_Hlk148216153"/>
      <w:r>
        <w:rPr>
          <w:rFonts w:hint="eastAsia" w:ascii="方正仿宋_GBK" w:hAnsi="宋体" w:eastAsia="方正仿宋_GBK" w:cs="Times New Roman"/>
          <w:color w:val="auto"/>
          <w:sz w:val="24"/>
          <w:szCs w:val="24"/>
          <w:highlight w:val="none"/>
        </w:rPr>
        <w:t>若电子投标文件递交截止时间延期，则纸质保函递交的截止时间和电子投标文件递交截止时间保持一致。</w:t>
      </w:r>
    </w:p>
    <w:bookmarkEnd w:id="146"/>
    <w:p w14:paraId="068F5F7B">
      <w:pPr>
        <w:snapToGrid w:val="0"/>
        <w:spacing w:line="400" w:lineRule="exact"/>
        <w:ind w:firstLine="480" w:firstLineChars="200"/>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（2）采购人负责对纸质保函正本内容进行形式审查，不满足上述要求的纸质保函无效。纸质保函正本原件由采购人负责保管。</w:t>
      </w:r>
    </w:p>
    <w:p w14:paraId="00F15825">
      <w:pPr>
        <w:snapToGrid w:val="0"/>
        <w:spacing w:line="400" w:lineRule="exact"/>
        <w:ind w:firstLine="480" w:firstLineChars="200"/>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2.以纸质保函形式提供投标保证金的金额：详见本篇“一、</w:t>
      </w:r>
      <w:r>
        <w:rPr>
          <w:rFonts w:hint="eastAsia" w:ascii="方正仿宋_GBK" w:hAnsi="宋体" w:eastAsia="方正仿宋_GBK" w:cs="Times New Roman"/>
          <w:sz w:val="24"/>
          <w:szCs w:val="24"/>
          <w:highlight w:val="none"/>
        </w:rPr>
        <w:t>招标项目内容</w:t>
      </w:r>
      <w:r>
        <w:rPr>
          <w:rFonts w:hint="eastAsia" w:ascii="方正仿宋_GBK" w:hAnsi="宋体" w:eastAsia="方正仿宋_GBK" w:cs="Times New Roman"/>
          <w:color w:val="auto"/>
          <w:sz w:val="24"/>
          <w:szCs w:val="24"/>
          <w:highlight w:val="none"/>
        </w:rPr>
        <w:t>”。</w:t>
      </w:r>
    </w:p>
    <w:p w14:paraId="4BBF6378">
      <w:pPr>
        <w:snapToGrid w:val="0"/>
        <w:spacing w:line="400" w:lineRule="exact"/>
        <w:ind w:firstLine="480" w:firstLineChars="200"/>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3.投标人对其递交的纸质保函的真实性、合法性负责。</w:t>
      </w:r>
    </w:p>
    <w:p w14:paraId="74E80427">
      <w:pPr>
        <w:snapToGrid w:val="0"/>
        <w:spacing w:line="400" w:lineRule="exact"/>
        <w:ind w:firstLine="480" w:firstLineChars="200"/>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4.</w:t>
      </w:r>
      <w:bookmarkStart w:id="147" w:name="_Hlk148216181"/>
      <w:r>
        <w:rPr>
          <w:rFonts w:hint="eastAsia" w:ascii="方正仿宋_GBK" w:hAnsi="宋体" w:eastAsia="方正仿宋_GBK" w:cs="Times New Roman"/>
          <w:color w:val="auto"/>
          <w:sz w:val="24"/>
          <w:szCs w:val="24"/>
          <w:highlight w:val="none"/>
        </w:rPr>
        <w:t>投标人在开标前，现场递交的纸质保函原件应与电子投标文件中提供的纸质保函正本电子复制件一致，不一致的以正本原件为准。</w:t>
      </w:r>
      <w:bookmarkEnd w:id="147"/>
    </w:p>
    <w:p w14:paraId="4BD80234">
      <w:pPr>
        <w:snapToGrid w:val="0"/>
        <w:spacing w:line="400" w:lineRule="exact"/>
        <w:ind w:firstLine="480" w:firstLineChars="200"/>
        <w:rPr>
          <w:rFonts w:hint="eastAsia" w:ascii="方正仿宋_GBK" w:hAnsi="宋体" w:eastAsia="方正仿宋_GBK" w:cs="Times New Roman"/>
          <w:sz w:val="24"/>
          <w:szCs w:val="24"/>
          <w:highlight w:val="none"/>
        </w:rPr>
      </w:pPr>
      <w:r>
        <w:rPr>
          <w:rFonts w:hint="eastAsia" w:ascii="方正仿宋_GBK" w:hAnsi="宋体" w:eastAsia="方正仿宋_GBK" w:cs="Times New Roman"/>
          <w:color w:val="auto"/>
          <w:sz w:val="24"/>
          <w:szCs w:val="24"/>
          <w:highlight w:val="none"/>
        </w:rPr>
        <w:t>5.如果发现投标人递交的纸质保函存在弄虚作假的，采购人或采购代理机构应当报行政主管部门依法处理。</w:t>
      </w:r>
    </w:p>
    <w:p w14:paraId="7432AB19">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（二）</w:t>
      </w:r>
      <w:r>
        <w:rPr>
          <w:rFonts w:hint="eastAsia" w:ascii="方正仿宋_GBK" w:hAnsi="宋体" w:eastAsia="方正仿宋_GBK"/>
          <w:color w:val="auto"/>
          <w:sz w:val="24"/>
          <w:szCs w:val="24"/>
          <w:highlight w:val="none"/>
        </w:rPr>
        <w:t>纸质</w:t>
      </w:r>
      <w:r>
        <w:rPr>
          <w:rFonts w:hint="eastAsia" w:ascii="方正仿宋_GBK" w:hAnsi="宋体" w:eastAsia="方正仿宋_GBK"/>
          <w:sz w:val="24"/>
          <w:szCs w:val="24"/>
          <w:highlight w:val="none"/>
        </w:rPr>
        <w:t>保函的退还、注销</w:t>
      </w:r>
    </w:p>
    <w:p w14:paraId="319AEB3C">
      <w:pPr>
        <w:snapToGrid w:val="0"/>
        <w:spacing w:line="400" w:lineRule="exact"/>
        <w:ind w:firstLine="480" w:firstLineChars="200"/>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具体</w:t>
      </w:r>
      <w:r>
        <w:rPr>
          <w:rFonts w:hint="eastAsia" w:ascii="方正仿宋_GBK" w:hAnsi="宋体" w:eastAsia="方正仿宋_GBK" w:cs="Times New Roman"/>
          <w:color w:val="auto"/>
          <w:sz w:val="24"/>
          <w:szCs w:val="24"/>
          <w:highlight w:val="none"/>
          <w:lang w:eastAsia="zh-CN"/>
        </w:rPr>
        <w:t>投标</w:t>
      </w:r>
      <w:r>
        <w:rPr>
          <w:rFonts w:hint="eastAsia" w:ascii="方正仿宋_GBK" w:hAnsi="宋体" w:eastAsia="方正仿宋_GBK" w:cs="Times New Roman"/>
          <w:color w:val="auto"/>
          <w:sz w:val="24"/>
          <w:szCs w:val="24"/>
          <w:highlight w:val="none"/>
        </w:rPr>
        <w:t>保函注销事宜由</w:t>
      </w:r>
      <w:r>
        <w:rPr>
          <w:rFonts w:hint="eastAsia" w:ascii="方正仿宋_GBK" w:eastAsia="方正仿宋_GBK"/>
          <w:sz w:val="24"/>
          <w:szCs w:val="24"/>
          <w:highlight w:val="none"/>
          <w:lang w:eastAsia="zh-CN"/>
        </w:rPr>
        <w:t>投标人</w:t>
      </w:r>
      <w:r>
        <w:rPr>
          <w:rFonts w:hint="eastAsia" w:ascii="方正仿宋_GBK" w:hAnsi="宋体" w:eastAsia="方正仿宋_GBK" w:cs="Times New Roman"/>
          <w:color w:val="auto"/>
          <w:sz w:val="24"/>
          <w:szCs w:val="24"/>
          <w:highlight w:val="none"/>
        </w:rPr>
        <w:t>与金融机构或担保机构协商。</w:t>
      </w:r>
    </w:p>
    <w:p w14:paraId="7A934016">
      <w:pPr>
        <w:pStyle w:val="3"/>
        <w:snapToGrid w:val="0"/>
        <w:spacing w:line="400" w:lineRule="exact"/>
        <w:ind w:firstLine="482" w:firstLineChars="200"/>
        <w:rPr>
          <w:rFonts w:hint="eastAsia" w:ascii="方正仿宋_GBK" w:hAnsi="宋体" w:eastAsia="方正仿宋_GBK"/>
          <w:sz w:val="24"/>
          <w:szCs w:val="24"/>
          <w:highlight w:val="none"/>
          <w:u w:val="none" w:color="auto"/>
        </w:rPr>
      </w:pPr>
      <w:bookmarkStart w:id="148" w:name="_Toc1448065236"/>
      <w:r>
        <w:rPr>
          <w:rFonts w:hint="eastAsia" w:ascii="方正仿宋_GBK" w:eastAsia="方正仿宋_GBK"/>
          <w:b/>
          <w:sz w:val="24"/>
          <w:highlight w:val="none"/>
          <w:u w:val="none" w:color="auto"/>
        </w:rPr>
        <w:t>六、投标有关规定</w:t>
      </w:r>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8"/>
    </w:p>
    <w:p w14:paraId="2D3758AB">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（一）单位负责人为同一人或者存在直接控股、管理关系的不同投标人，不得参加同一合同项（包）下的政府采购活动。</w:t>
      </w:r>
    </w:p>
    <w:p w14:paraId="0C583932">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（二）为采购项目提供整体设计、规范编制或者项目管理、监理、检测等服务的投标人，不得再参加该采购项目的其他采购活动。</w:t>
      </w:r>
    </w:p>
    <w:p w14:paraId="666E7044">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（三）本项目若有澄清文件一律在</w:t>
      </w:r>
      <w:r>
        <w:rPr>
          <w:rFonts w:hint="eastAsia" w:ascii="方正仿宋_GBK" w:hAnsi="方正仿宋_GBK" w:eastAsia="方正仿宋_GBK" w:cs="方正仿宋_GBK"/>
          <w:color w:val="auto"/>
          <w:sz w:val="24"/>
          <w:szCs w:val="24"/>
          <w:highlight w:val="none"/>
          <w:lang w:val="en-US" w:eastAsia="zh-CN"/>
        </w:rPr>
        <w:t>垫江县国企数字化</w:t>
      </w:r>
      <w:r>
        <w:rPr>
          <w:rFonts w:hint="eastAsia" w:ascii="方正仿宋_GBK" w:hAnsi="方正仿宋_GBK" w:eastAsia="方正仿宋_GBK" w:cs="方正仿宋_GBK"/>
          <w:color w:val="auto"/>
          <w:sz w:val="24"/>
          <w:szCs w:val="24"/>
          <w:highlight w:val="none"/>
        </w:rPr>
        <w:t>采购平台（</w:t>
      </w:r>
      <w:r>
        <w:rPr>
          <w:rFonts w:hint="eastAsia" w:ascii="方正仿宋_GBK" w:hAnsi="方正仿宋_GBK" w:eastAsia="方正仿宋_GBK" w:cs="方正仿宋_GBK"/>
          <w:color w:val="auto"/>
          <w:sz w:val="24"/>
          <w:szCs w:val="24"/>
          <w:highlight w:val="none"/>
          <w:lang w:val="en-US" w:eastAsia="zh-CN"/>
        </w:rPr>
        <w:t>https://djxgzw.gec123.com/</w:t>
      </w:r>
      <w:r>
        <w:rPr>
          <w:rFonts w:hint="eastAsia" w:ascii="方正仿宋_GBK" w:hAnsi="方正仿宋_GBK" w:eastAsia="方正仿宋_GBK" w:cs="方正仿宋_GBK"/>
          <w:color w:val="auto"/>
          <w:sz w:val="24"/>
          <w:szCs w:val="24"/>
          <w:highlight w:val="none"/>
        </w:rPr>
        <w:t>）、行采家（https://www.gec123.com）和重庆市公共资源交易网（</w:t>
      </w:r>
      <w:r>
        <w:rPr>
          <w:rFonts w:hint="eastAsia" w:ascii="方正仿宋_GBK" w:hAnsi="方正仿宋_GBK" w:eastAsia="方正仿宋_GBK" w:cs="方正仿宋_GBK"/>
          <w:color w:val="auto"/>
          <w:sz w:val="24"/>
          <w:szCs w:val="24"/>
          <w:highlight w:val="none"/>
          <w:lang w:val="en-US" w:eastAsia="zh-CN"/>
        </w:rPr>
        <w:t>垫江县</w:t>
      </w:r>
      <w:r>
        <w:rPr>
          <w:rFonts w:hint="eastAsia" w:ascii="方正仿宋_GBK" w:hAnsi="方正仿宋_GBK" w:eastAsia="方正仿宋_GBK" w:cs="方正仿宋_GBK"/>
          <w:color w:val="auto"/>
          <w:sz w:val="24"/>
          <w:szCs w:val="24"/>
          <w:highlight w:val="none"/>
        </w:rPr>
        <w:t>）（https://www.cqggzy.com/dianjiangweb/）上发布，请各投标人注意下载；无论投标人下载与否，均视同投标人已知晓本项目补遗文件的内容。</w:t>
      </w:r>
    </w:p>
    <w:p w14:paraId="466D87C4">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（四）超过电子投标文件递交截止时间递交的电子投标文件，恕不接收。</w:t>
      </w:r>
    </w:p>
    <w:p w14:paraId="5B053539">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（五）投标费用：无论投标结果如何，投标人参与本项目投标的所有费用均应由投标人自行承担。</w:t>
      </w:r>
    </w:p>
    <w:p w14:paraId="0AE94000">
      <w:pPr>
        <w:snapToGrid w:val="0"/>
        <w:spacing w:line="400" w:lineRule="exact"/>
        <w:ind w:firstLine="482" w:firstLineChars="200"/>
        <w:rPr>
          <w:rFonts w:hint="eastAsia" w:ascii="方正仿宋_GBK" w:hAnsi="宋体" w:eastAsia="方正仿宋_GBK"/>
          <w:b/>
          <w:bCs/>
          <w:i w:val="0"/>
          <w:iCs w:val="0"/>
          <w:sz w:val="24"/>
          <w:szCs w:val="24"/>
          <w:highlight w:val="none"/>
          <w:u w:val="none" w:color="auto"/>
        </w:rPr>
      </w:pPr>
      <w:r>
        <w:rPr>
          <w:rFonts w:hint="eastAsia" w:ascii="方正仿宋_GBK" w:hAnsi="宋体" w:eastAsia="方正仿宋_GBK"/>
          <w:b/>
          <w:bCs/>
          <w:sz w:val="24"/>
          <w:szCs w:val="24"/>
          <w:highlight w:val="none"/>
          <w:u w:val="none" w:color="auto"/>
        </w:rPr>
        <w:t>（六）本项目接</w:t>
      </w:r>
      <w:r>
        <w:rPr>
          <w:rFonts w:hint="eastAsia" w:ascii="方正仿宋_GBK" w:hAnsi="宋体" w:eastAsia="方正仿宋_GBK"/>
          <w:b/>
          <w:bCs/>
          <w:sz w:val="24"/>
          <w:szCs w:val="24"/>
          <w:highlight w:val="none"/>
          <w:u w:val="none" w:color="auto"/>
          <w:lang w:val="en-US" w:eastAsia="zh-CN"/>
        </w:rPr>
        <w:t>不</w:t>
      </w:r>
      <w:r>
        <w:rPr>
          <w:rFonts w:hint="eastAsia" w:ascii="方正仿宋_GBK" w:hAnsi="宋体" w:eastAsia="方正仿宋_GBK"/>
          <w:b/>
          <w:bCs/>
          <w:sz w:val="24"/>
          <w:szCs w:val="24"/>
          <w:highlight w:val="none"/>
          <w:u w:val="none" w:color="auto"/>
        </w:rPr>
        <w:t>受联合体参与</w:t>
      </w:r>
      <w:r>
        <w:rPr>
          <w:rFonts w:hint="eastAsia" w:ascii="方正仿宋_GBK" w:hAnsi="宋体" w:eastAsia="方正仿宋_GBK"/>
          <w:b/>
          <w:bCs/>
          <w:i w:val="0"/>
          <w:iCs w:val="0"/>
          <w:sz w:val="24"/>
          <w:szCs w:val="24"/>
          <w:highlight w:val="none"/>
          <w:u w:val="none" w:color="auto"/>
        </w:rPr>
        <w:t>投标，否则按无效投标处理。</w:t>
      </w:r>
    </w:p>
    <w:p w14:paraId="193599D8">
      <w:pPr>
        <w:snapToGrid w:val="0"/>
        <w:spacing w:line="400" w:lineRule="exact"/>
        <w:ind w:firstLine="482" w:firstLineChars="200"/>
        <w:rPr>
          <w:rFonts w:hint="eastAsia" w:ascii="方正仿宋_GBK" w:hAnsi="宋体" w:eastAsia="方正仿宋_GBK"/>
          <w:b/>
          <w:bCs/>
          <w:i w:val="0"/>
          <w:iCs w:val="0"/>
          <w:sz w:val="24"/>
          <w:szCs w:val="24"/>
          <w:highlight w:val="none"/>
          <w:u w:val="none" w:color="auto"/>
        </w:rPr>
      </w:pPr>
      <w:r>
        <w:rPr>
          <w:rFonts w:hint="eastAsia" w:ascii="方正仿宋_GBK" w:hAnsi="宋体" w:eastAsia="方正仿宋_GBK"/>
          <w:b/>
          <w:bCs/>
          <w:i w:val="0"/>
          <w:iCs w:val="0"/>
          <w:sz w:val="24"/>
          <w:szCs w:val="24"/>
          <w:highlight w:val="none"/>
          <w:u w:val="none" w:color="auto"/>
        </w:rPr>
        <w:t>（七）本项目不接受合同分包，否则按无效投标处理</w:t>
      </w:r>
      <w:r>
        <w:rPr>
          <w:rFonts w:hint="eastAsia" w:ascii="方正仿宋_GBK" w:eastAsia="方正仿宋_GBK"/>
          <w:b/>
          <w:bCs/>
          <w:i w:val="0"/>
          <w:iCs w:val="0"/>
          <w:sz w:val="24"/>
          <w:szCs w:val="24"/>
          <w:highlight w:val="none"/>
          <w:u w:val="none" w:color="auto"/>
        </w:rPr>
        <w:t>。</w:t>
      </w:r>
    </w:p>
    <w:p w14:paraId="4B000F25">
      <w:pPr>
        <w:snapToGrid w:val="0"/>
        <w:spacing w:line="400" w:lineRule="exact"/>
        <w:ind w:firstLine="480" w:firstLineChars="200"/>
        <w:rPr>
          <w:rFonts w:hint="eastAsia" w:ascii="方正仿宋_GBK" w:eastAsia="方正仿宋_GBK"/>
          <w:sz w:val="24"/>
          <w:szCs w:val="24"/>
          <w:highlight w:val="none"/>
          <w:u w:val="none" w:color="auto"/>
        </w:rPr>
      </w:pPr>
      <w:r>
        <w:rPr>
          <w:rFonts w:hint="eastAsia" w:ascii="方正仿宋_GBK" w:hAnsi="宋体" w:eastAsia="方正仿宋_GBK"/>
          <w:sz w:val="24"/>
          <w:szCs w:val="24"/>
          <w:highlight w:val="none"/>
          <w:u w:val="none" w:color="auto"/>
        </w:rPr>
        <w:t>（八）</w:t>
      </w:r>
      <w:bookmarkStart w:id="149" w:name="OLE_LINK2"/>
      <w:bookmarkStart w:id="150" w:name="OLE_LINK1"/>
      <w:r>
        <w:rPr>
          <w:rFonts w:hint="eastAsia" w:ascii="方正仿宋_GBK" w:eastAsia="方正仿宋_GBK"/>
          <w:sz w:val="24"/>
          <w:szCs w:val="24"/>
          <w:highlight w:val="none"/>
          <w:u w:val="none" w:color="auto"/>
        </w:rPr>
        <w:t>按照</w:t>
      </w:r>
      <w:r>
        <w:rPr>
          <w:rFonts w:hint="eastAsia" w:ascii="方正仿宋_GBK" w:hAnsi="宋体" w:eastAsia="方正仿宋_GBK"/>
          <w:sz w:val="24"/>
          <w:szCs w:val="24"/>
          <w:highlight w:val="none"/>
          <w:u w:val="none" w:color="auto"/>
        </w:rPr>
        <w:t>《</w:t>
      </w:r>
      <w:r>
        <w:rPr>
          <w:rFonts w:hint="eastAsia" w:ascii="方正仿宋_GBK" w:eastAsia="方正仿宋_GBK"/>
          <w:sz w:val="24"/>
          <w:szCs w:val="24"/>
          <w:highlight w:val="none"/>
          <w:u w:val="none" w:color="auto"/>
        </w:rPr>
        <w:t>财政部关于在政府采购活动中查询及使用信用记录有关问题的通知</w:t>
      </w:r>
      <w:r>
        <w:rPr>
          <w:rFonts w:hint="eastAsia" w:ascii="方正仿宋_GBK" w:hAnsi="宋体" w:eastAsia="方正仿宋_GBK"/>
          <w:sz w:val="24"/>
          <w:szCs w:val="24"/>
          <w:highlight w:val="none"/>
          <w:u w:val="none" w:color="auto"/>
        </w:rPr>
        <w:t>》</w:t>
      </w:r>
      <w:r>
        <w:rPr>
          <w:rFonts w:hint="eastAsia" w:ascii="方正仿宋_GBK" w:eastAsia="方正仿宋_GBK"/>
          <w:sz w:val="24"/>
          <w:szCs w:val="24"/>
          <w:highlight w:val="none"/>
          <w:u w:val="none" w:color="auto"/>
        </w:rPr>
        <w:t>财库〔2016〕125号，投标人列入失信被执行人、重大税收违法案件当事人名单、政府采购严重违法失信行为记录名单及其他不符合《中华人民共和国政府采购法》第二十二条规定条件的</w:t>
      </w:r>
      <w:bookmarkEnd w:id="149"/>
      <w:bookmarkEnd w:id="150"/>
      <w:r>
        <w:rPr>
          <w:rFonts w:hint="eastAsia" w:ascii="方正仿宋_GBK" w:eastAsia="方正仿宋_GBK"/>
          <w:sz w:val="24"/>
          <w:szCs w:val="24"/>
          <w:highlight w:val="none"/>
          <w:u w:val="none" w:color="auto"/>
        </w:rPr>
        <w:t>投标人，将拒绝其参与政府采购活动。</w:t>
      </w:r>
    </w:p>
    <w:p w14:paraId="7BCD92B8">
      <w:pPr>
        <w:pStyle w:val="3"/>
        <w:spacing w:line="400" w:lineRule="exact"/>
        <w:ind w:firstLine="482" w:firstLineChars="200"/>
        <w:rPr>
          <w:rFonts w:hint="eastAsia" w:ascii="方正仿宋_GBK" w:eastAsia="方正仿宋_GBK"/>
          <w:b/>
          <w:sz w:val="24"/>
          <w:highlight w:val="none"/>
          <w:u w:val="none" w:color="auto"/>
        </w:rPr>
      </w:pPr>
      <w:bookmarkStart w:id="151" w:name="_Toc24181"/>
      <w:bookmarkStart w:id="152" w:name="_Toc26782"/>
      <w:bookmarkStart w:id="153" w:name="_Toc30488"/>
      <w:bookmarkStart w:id="154" w:name="_Toc285014822"/>
      <w:bookmarkStart w:id="155" w:name="_Toc20452"/>
      <w:bookmarkStart w:id="156" w:name="_Toc16508"/>
      <w:bookmarkStart w:id="157" w:name="_Toc28776"/>
      <w:bookmarkStart w:id="158" w:name="_Toc9632"/>
      <w:bookmarkStart w:id="159" w:name="_Toc13885"/>
      <w:bookmarkStart w:id="160" w:name="_Toc29685"/>
      <w:bookmarkStart w:id="161" w:name="_Toc19676"/>
      <w:bookmarkStart w:id="162" w:name="_Toc11494"/>
      <w:bookmarkStart w:id="163" w:name="_Toc28772"/>
      <w:bookmarkStart w:id="164" w:name="_Toc29351"/>
      <w:bookmarkStart w:id="165" w:name="_Toc106030379"/>
      <w:bookmarkStart w:id="166" w:name="_Toc67"/>
      <w:bookmarkStart w:id="167" w:name="_Toc15522"/>
      <w:bookmarkStart w:id="168" w:name="_Toc5228"/>
      <w:bookmarkStart w:id="169" w:name="_Toc75793503"/>
      <w:bookmarkStart w:id="170" w:name="_Toc12717"/>
      <w:r>
        <w:rPr>
          <w:rFonts w:hint="eastAsia" w:ascii="方正仿宋_GBK" w:eastAsia="方正仿宋_GBK"/>
          <w:b/>
          <w:sz w:val="24"/>
          <w:highlight w:val="none"/>
          <w:u w:val="none" w:color="auto"/>
          <w:lang w:val="en-US" w:eastAsia="zh-CN"/>
        </w:rPr>
        <w:t>七</w:t>
      </w:r>
      <w:r>
        <w:rPr>
          <w:rFonts w:hint="eastAsia" w:ascii="方正仿宋_GBK" w:eastAsia="方正仿宋_GBK"/>
          <w:b/>
          <w:sz w:val="24"/>
          <w:highlight w:val="none"/>
          <w:u w:val="none" w:color="auto"/>
        </w:rPr>
        <w:t>、联系方式</w:t>
      </w:r>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p>
    <w:p w14:paraId="0482D0CE">
      <w:pPr>
        <w:snapToGrid w:val="0"/>
        <w:spacing w:line="400" w:lineRule="exact"/>
        <w:ind w:firstLine="480" w:firstLineChars="200"/>
        <w:outlineLvl w:val="2"/>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（一）采购人：</w:t>
      </w:r>
      <w:r>
        <w:rPr>
          <w:rFonts w:hint="eastAsia" w:ascii="方正仿宋_GBK" w:hAnsi="宋体" w:eastAsia="方正仿宋_GBK"/>
          <w:sz w:val="24"/>
          <w:szCs w:val="24"/>
          <w:highlight w:val="none"/>
          <w:u w:val="none" w:color="auto"/>
          <w:lang w:val="en-US" w:eastAsia="zh-CN"/>
        </w:rPr>
        <w:t>重庆兴垫农业发展有限公司</w:t>
      </w:r>
      <w:r>
        <w:rPr>
          <w:rFonts w:hint="eastAsia" w:ascii="方正仿宋_GBK" w:hAnsi="宋体" w:eastAsia="方正仿宋_GBK"/>
          <w:sz w:val="24"/>
          <w:szCs w:val="24"/>
          <w:highlight w:val="none"/>
          <w:u w:val="none" w:color="auto"/>
        </w:rPr>
        <w:t xml:space="preserve"> </w:t>
      </w:r>
    </w:p>
    <w:p w14:paraId="04F557F4">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联系人：</w:t>
      </w:r>
      <w:r>
        <w:rPr>
          <w:rFonts w:hint="eastAsia" w:ascii="方正仿宋_GBK" w:hAnsi="宋体" w:eastAsia="方正仿宋_GBK"/>
          <w:sz w:val="24"/>
          <w:szCs w:val="24"/>
          <w:highlight w:val="none"/>
          <w:u w:val="none" w:color="auto"/>
          <w:lang w:eastAsia="zh-CN"/>
        </w:rPr>
        <w:t>张老师</w:t>
      </w:r>
      <w:r>
        <w:rPr>
          <w:rFonts w:hint="eastAsia" w:ascii="方正仿宋_GBK" w:hAnsi="宋体" w:eastAsia="方正仿宋_GBK"/>
          <w:sz w:val="24"/>
          <w:szCs w:val="24"/>
          <w:highlight w:val="none"/>
          <w:u w:val="none" w:color="auto"/>
        </w:rPr>
        <w:t xml:space="preserve">  </w:t>
      </w:r>
    </w:p>
    <w:p w14:paraId="326D896E">
      <w:pPr>
        <w:snapToGrid w:val="0"/>
        <w:spacing w:line="400" w:lineRule="exact"/>
        <w:ind w:firstLine="480" w:firstLineChars="200"/>
        <w:rPr>
          <w:rFonts w:hint="default" w:ascii="方正仿宋_GBK" w:hAnsi="宋体" w:eastAsia="方正仿宋_GBK"/>
          <w:sz w:val="24"/>
          <w:szCs w:val="24"/>
          <w:highlight w:val="none"/>
          <w:u w:val="none" w:color="auto"/>
          <w:lang w:val="en-US" w:eastAsia="zh-CN"/>
        </w:rPr>
      </w:pPr>
      <w:r>
        <w:rPr>
          <w:rFonts w:hint="eastAsia" w:ascii="方正仿宋_GBK" w:hAnsi="宋体" w:eastAsia="方正仿宋_GBK"/>
          <w:sz w:val="24"/>
          <w:szCs w:val="24"/>
          <w:highlight w:val="none"/>
          <w:u w:val="none" w:color="auto"/>
        </w:rPr>
        <w:t>电  话：</w:t>
      </w:r>
      <w:r>
        <w:rPr>
          <w:rFonts w:hint="eastAsia" w:ascii="方正仿宋_GBK" w:hAnsi="宋体" w:eastAsia="方正仿宋_GBK"/>
          <w:sz w:val="24"/>
          <w:szCs w:val="24"/>
          <w:highlight w:val="none"/>
          <w:lang w:val="en-US" w:eastAsia="zh-CN"/>
        </w:rPr>
        <w:t>13996854122</w:t>
      </w:r>
    </w:p>
    <w:p w14:paraId="70A886A7">
      <w:pPr>
        <w:numPr>
          <w:ilvl w:val="0"/>
          <w:numId w:val="16"/>
        </w:numPr>
        <w:snapToGrid w:val="0"/>
        <w:spacing w:line="400" w:lineRule="exact"/>
        <w:ind w:firstLine="480" w:firstLineChars="200"/>
        <w:outlineLvl w:val="2"/>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 xml:space="preserve">采购代理机构：垫江县公共资源交易中心 </w:t>
      </w:r>
    </w:p>
    <w:p w14:paraId="6C372052">
      <w:pPr>
        <w:numPr>
          <w:ilvl w:val="0"/>
          <w:numId w:val="0"/>
        </w:numPr>
        <w:snapToGrid w:val="0"/>
        <w:spacing w:line="400" w:lineRule="exact"/>
        <w:ind w:firstLine="480" w:firstLineChars="200"/>
        <w:outlineLvl w:val="2"/>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联系人：</w:t>
      </w:r>
      <w:r>
        <w:rPr>
          <w:rFonts w:hint="eastAsia" w:ascii="方正仿宋_GBK" w:hAnsi="宋体" w:eastAsia="方正仿宋_GBK"/>
          <w:sz w:val="24"/>
          <w:szCs w:val="24"/>
          <w:highlight w:val="none"/>
          <w:u w:val="none" w:color="auto"/>
          <w:lang w:val="en-US" w:eastAsia="zh-CN"/>
        </w:rPr>
        <w:t>陈老师</w:t>
      </w:r>
      <w:r>
        <w:rPr>
          <w:rFonts w:hint="eastAsia" w:ascii="方正仿宋_GBK" w:hAnsi="宋体" w:eastAsia="方正仿宋_GBK"/>
          <w:sz w:val="24"/>
          <w:szCs w:val="24"/>
          <w:highlight w:val="none"/>
          <w:u w:val="none" w:color="auto"/>
        </w:rPr>
        <w:t xml:space="preserve"> </w:t>
      </w:r>
    </w:p>
    <w:p w14:paraId="688651A0">
      <w:pPr>
        <w:snapToGrid w:val="0"/>
        <w:spacing w:line="400" w:lineRule="exact"/>
        <w:ind w:firstLine="480" w:firstLineChars="200"/>
        <w:rPr>
          <w:rFonts w:hint="default" w:ascii="方正仿宋_GBK" w:hAnsi="宋体" w:eastAsia="方正仿宋_GBK"/>
          <w:sz w:val="24"/>
          <w:szCs w:val="24"/>
          <w:highlight w:val="none"/>
          <w:u w:val="none" w:color="auto"/>
          <w:lang w:val="en-US" w:eastAsia="zh-CN"/>
        </w:rPr>
      </w:pPr>
      <w:r>
        <w:rPr>
          <w:rFonts w:hint="eastAsia" w:ascii="方正仿宋_GBK" w:hAnsi="宋体" w:eastAsia="方正仿宋_GBK"/>
          <w:sz w:val="24"/>
          <w:szCs w:val="24"/>
          <w:highlight w:val="none"/>
          <w:u w:val="none" w:color="auto"/>
        </w:rPr>
        <w:t>电  话：023-</w:t>
      </w:r>
      <w:r>
        <w:rPr>
          <w:rFonts w:hint="eastAsia" w:ascii="方正仿宋_GBK" w:hAnsi="宋体" w:eastAsia="方正仿宋_GBK"/>
          <w:sz w:val="24"/>
          <w:szCs w:val="24"/>
          <w:highlight w:val="none"/>
          <w:u w:val="none" w:color="auto"/>
          <w:lang w:val="en-US" w:eastAsia="zh-CN"/>
        </w:rPr>
        <w:t>74528661</w:t>
      </w:r>
    </w:p>
    <w:p w14:paraId="047269AD">
      <w:pPr>
        <w:snapToGrid w:val="0"/>
        <w:spacing w:line="400" w:lineRule="exact"/>
        <w:ind w:firstLine="480" w:firstLineChars="200"/>
        <w:outlineLvl w:val="2"/>
        <w:rPr>
          <w:rFonts w:hint="eastAsia" w:ascii="方正仿宋_GBK" w:eastAsia="方正仿宋_GBK"/>
          <w:sz w:val="24"/>
          <w:szCs w:val="24"/>
          <w:highlight w:val="none"/>
        </w:rPr>
      </w:pPr>
      <w:r>
        <w:rPr>
          <w:rFonts w:hint="eastAsia" w:ascii="方正仿宋_GBK" w:eastAsia="方正仿宋_GBK"/>
          <w:sz w:val="24"/>
          <w:szCs w:val="24"/>
          <w:highlight w:val="none"/>
        </w:rPr>
        <w:t>（</w:t>
      </w:r>
      <w:r>
        <w:rPr>
          <w:rFonts w:hint="eastAsia" w:ascii="方正仿宋_GBK" w:eastAsia="方正仿宋_GBK"/>
          <w:sz w:val="24"/>
          <w:szCs w:val="24"/>
          <w:highlight w:val="none"/>
          <w:lang w:val="en-US" w:eastAsia="zh-CN"/>
        </w:rPr>
        <w:t>三</w:t>
      </w:r>
      <w:r>
        <w:rPr>
          <w:rFonts w:hint="eastAsia" w:ascii="方正仿宋_GBK" w:eastAsia="方正仿宋_GBK"/>
          <w:sz w:val="24"/>
          <w:szCs w:val="24"/>
          <w:highlight w:val="none"/>
        </w:rPr>
        <w:t>）电子招投标系统技术指导：重庆港澳大家软件产业有限公司</w:t>
      </w:r>
    </w:p>
    <w:p w14:paraId="22E45C06">
      <w:pPr>
        <w:snapToGrid w:val="0"/>
        <w:spacing w:line="400" w:lineRule="exact"/>
        <w:ind w:firstLine="480" w:firstLineChars="200"/>
        <w:outlineLvl w:val="2"/>
        <w:rPr>
          <w:rFonts w:hint="eastAsia" w:ascii="方正仿宋_GBK" w:eastAsia="方正仿宋_GBK"/>
          <w:sz w:val="24"/>
          <w:szCs w:val="24"/>
          <w:highlight w:val="none"/>
        </w:rPr>
      </w:pPr>
      <w:r>
        <w:rPr>
          <w:rFonts w:hint="eastAsia" w:ascii="方正仿宋_GBK" w:eastAsia="方正仿宋_GBK"/>
          <w:sz w:val="24"/>
          <w:szCs w:val="24"/>
          <w:highlight w:val="none"/>
        </w:rPr>
        <w:t>客服联系电话：023-88158029（工作日）   18183107831（节假日）</w:t>
      </w:r>
    </w:p>
    <w:p w14:paraId="167B0631">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w:t>
      </w:r>
      <w:r>
        <w:rPr>
          <w:rFonts w:hint="eastAsia" w:ascii="方正仿宋_GBK" w:eastAsia="方正仿宋_GBK"/>
          <w:sz w:val="24"/>
          <w:szCs w:val="24"/>
          <w:highlight w:val="none"/>
          <w:lang w:eastAsia="zh-CN"/>
        </w:rPr>
        <w:t>四</w:t>
      </w:r>
      <w:r>
        <w:rPr>
          <w:rFonts w:hint="eastAsia" w:ascii="方正仿宋_GBK" w:eastAsia="方正仿宋_GBK"/>
          <w:sz w:val="24"/>
          <w:szCs w:val="24"/>
          <w:highlight w:val="none"/>
        </w:rPr>
        <w:t>）CA数字证书办理服务平台：</w:t>
      </w:r>
    </w:p>
    <w:p w14:paraId="26577505">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1.CA数字证书：网证通</w:t>
      </w:r>
    </w:p>
    <w:p w14:paraId="20D6A8FD">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联系人：刘娟</w:t>
      </w:r>
    </w:p>
    <w:p w14:paraId="6F257FE4">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电话：023-63010240  18996084960</w:t>
      </w:r>
    </w:p>
    <w:p w14:paraId="147E621A">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2.CA数字证书：东方中讯数字证书认证有限公司</w:t>
      </w:r>
    </w:p>
    <w:p w14:paraId="3E5632F9">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联系人：何晓伦</w:t>
      </w:r>
    </w:p>
    <w:p w14:paraId="2EEC2F37">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eastAsia="方正仿宋_GBK"/>
          <w:sz w:val="24"/>
          <w:szCs w:val="24"/>
          <w:highlight w:val="none"/>
        </w:rPr>
        <w:t>电话：023-88257082  023-63153662</w:t>
      </w:r>
    </w:p>
    <w:p w14:paraId="7FD3ED5C">
      <w:pPr>
        <w:pStyle w:val="2"/>
        <w:numPr>
          <w:ilvl w:val="0"/>
          <w:numId w:val="17"/>
        </w:numPr>
        <w:spacing w:before="0" w:beforeLines="0" w:after="0" w:afterLines="0" w:line="360" w:lineRule="auto"/>
        <w:rPr>
          <w:rFonts w:hint="eastAsia" w:ascii="方正仿宋_GBK" w:eastAsia="方正仿宋_GBK"/>
          <w:b/>
          <w:highlight w:val="none"/>
          <w:u w:val="none" w:color="auto"/>
        </w:rPr>
      </w:pPr>
      <w:r>
        <w:rPr>
          <w:rFonts w:hint="eastAsia" w:ascii="方正仿宋_GBK" w:eastAsia="方正仿宋_GBK"/>
          <w:highlight w:val="none"/>
          <w:u w:val="none" w:color="auto"/>
        </w:rPr>
        <w:br w:type="page"/>
      </w:r>
      <w:bookmarkStart w:id="171" w:name="_Toc5988"/>
      <w:bookmarkStart w:id="172" w:name="_Toc13380"/>
      <w:bookmarkStart w:id="173" w:name="_Toc1489737317"/>
      <w:bookmarkStart w:id="174" w:name="_Toc13851"/>
      <w:bookmarkStart w:id="175" w:name="_Toc106030380"/>
      <w:r>
        <w:rPr>
          <w:rFonts w:hint="eastAsia" w:ascii="方正仿宋_GBK" w:eastAsia="方正仿宋_GBK"/>
          <w:b/>
          <w:highlight w:val="none"/>
          <w:u w:val="none" w:color="auto"/>
        </w:rPr>
        <w:t>项目技术（质量）需求</w:t>
      </w:r>
      <w:bookmarkEnd w:id="171"/>
      <w:bookmarkEnd w:id="172"/>
      <w:bookmarkEnd w:id="173"/>
      <w:bookmarkEnd w:id="174"/>
      <w:bookmarkEnd w:id="175"/>
    </w:p>
    <w:p w14:paraId="68FE0063">
      <w:pPr>
        <w:snapToGrid w:val="0"/>
        <w:spacing w:line="400" w:lineRule="exact"/>
        <w:ind w:firstLine="480" w:firstLineChars="200"/>
        <w:rPr>
          <w:rFonts w:ascii="方正仿宋_GBK" w:hAnsi="宋体" w:eastAsia="方正仿宋_GBK"/>
          <w:color w:val="auto"/>
          <w:sz w:val="24"/>
          <w:szCs w:val="24"/>
        </w:rPr>
      </w:pPr>
      <w:bookmarkStart w:id="176" w:name="_Toc2095"/>
      <w:bookmarkStart w:id="177" w:name="_Toc20842"/>
      <w:bookmarkStart w:id="178" w:name="_Toc9326"/>
      <w:bookmarkStart w:id="179" w:name="_Toc75793508"/>
      <w:bookmarkStart w:id="180" w:name="_Toc21557"/>
      <w:bookmarkStart w:id="181" w:name="_Toc19536"/>
      <w:bookmarkStart w:id="182" w:name="_Toc8633"/>
      <w:bookmarkStart w:id="183" w:name="_Toc15467"/>
      <w:bookmarkStart w:id="184" w:name="_Toc1363"/>
      <w:bookmarkStart w:id="185" w:name="_Toc31584"/>
      <w:bookmarkStart w:id="186" w:name="_Toc9920"/>
      <w:bookmarkStart w:id="187" w:name="_Toc13990"/>
      <w:bookmarkStart w:id="188" w:name="_Toc18187"/>
      <w:bookmarkStart w:id="189" w:name="_Toc26363"/>
      <w:bookmarkStart w:id="190" w:name="_Toc28164"/>
      <w:bookmarkStart w:id="191" w:name="_Toc31994"/>
      <w:bookmarkStart w:id="192" w:name="_Toc106030384"/>
      <w:bookmarkStart w:id="193" w:name="_Toc5213"/>
      <w:bookmarkStart w:id="194" w:name="_Toc11262"/>
      <w:r>
        <w:rPr>
          <w:rFonts w:hint="eastAsia" w:ascii="方正仿宋_GBK" w:hAnsi="宋体" w:eastAsia="方正仿宋_GBK"/>
          <w:color w:val="auto"/>
          <w:sz w:val="24"/>
          <w:szCs w:val="24"/>
        </w:rPr>
        <w:t>1．招标项目一览表</w:t>
      </w:r>
    </w:p>
    <w:tbl>
      <w:tblPr>
        <w:tblStyle w:val="60"/>
        <w:tblW w:w="9567"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2"/>
        <w:gridCol w:w="818"/>
        <w:gridCol w:w="4759"/>
        <w:gridCol w:w="600"/>
        <w:gridCol w:w="566"/>
        <w:gridCol w:w="1110"/>
        <w:gridCol w:w="942"/>
      </w:tblGrid>
      <w:tr w14:paraId="595FB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772" w:type="dxa"/>
            <w:noWrap/>
            <w:vAlign w:val="center"/>
          </w:tcPr>
          <w:p w14:paraId="50642BEB">
            <w:pPr>
              <w:widowControl/>
              <w:jc w:val="center"/>
              <w:rPr>
                <w:rFonts w:hint="eastAsia" w:ascii="宋体" w:hAnsi="宋体" w:cs="宋体"/>
                <w:color w:val="auto"/>
                <w:kern w:val="0"/>
                <w:sz w:val="24"/>
                <w:szCs w:val="24"/>
              </w:rPr>
            </w:pPr>
            <w:r>
              <w:rPr>
                <w:rFonts w:hint="eastAsia" w:ascii="宋体" w:hAnsi="宋体" w:cs="宋体"/>
                <w:color w:val="auto"/>
                <w:kern w:val="0"/>
                <w:sz w:val="24"/>
                <w:szCs w:val="24"/>
              </w:rPr>
              <w:t>序号</w:t>
            </w:r>
          </w:p>
        </w:tc>
        <w:tc>
          <w:tcPr>
            <w:tcW w:w="818" w:type="dxa"/>
            <w:noWrap/>
            <w:vAlign w:val="center"/>
          </w:tcPr>
          <w:p w14:paraId="3A39A969">
            <w:pPr>
              <w:widowControl/>
              <w:jc w:val="center"/>
              <w:rPr>
                <w:rFonts w:hint="eastAsia" w:ascii="宋体" w:hAnsi="宋体" w:cs="宋体"/>
                <w:color w:val="auto"/>
                <w:kern w:val="0"/>
                <w:sz w:val="24"/>
                <w:szCs w:val="24"/>
              </w:rPr>
            </w:pPr>
            <w:r>
              <w:rPr>
                <w:rFonts w:hint="eastAsia" w:ascii="宋体" w:hAnsi="宋体" w:cs="宋体"/>
                <w:color w:val="auto"/>
                <w:kern w:val="0"/>
                <w:sz w:val="24"/>
                <w:szCs w:val="24"/>
              </w:rPr>
              <w:t>名称</w:t>
            </w:r>
          </w:p>
        </w:tc>
        <w:tc>
          <w:tcPr>
            <w:tcW w:w="4759" w:type="dxa"/>
            <w:noWrap/>
            <w:vAlign w:val="center"/>
          </w:tcPr>
          <w:p w14:paraId="738F1245">
            <w:pPr>
              <w:widowControl/>
              <w:jc w:val="center"/>
              <w:rPr>
                <w:rFonts w:hint="eastAsia" w:ascii="宋体" w:hAnsi="宋体" w:cs="宋体"/>
                <w:color w:val="auto"/>
                <w:kern w:val="0"/>
                <w:sz w:val="24"/>
                <w:szCs w:val="24"/>
              </w:rPr>
            </w:pPr>
            <w:r>
              <w:rPr>
                <w:rFonts w:hint="eastAsia" w:ascii="宋体" w:hAnsi="宋体" w:cs="宋体"/>
                <w:color w:val="auto"/>
                <w:kern w:val="0"/>
                <w:sz w:val="24"/>
                <w:szCs w:val="24"/>
              </w:rPr>
              <w:t>参数</w:t>
            </w:r>
          </w:p>
        </w:tc>
        <w:tc>
          <w:tcPr>
            <w:tcW w:w="600" w:type="dxa"/>
            <w:noWrap/>
            <w:vAlign w:val="center"/>
          </w:tcPr>
          <w:p w14:paraId="140D0400">
            <w:pPr>
              <w:widowControl/>
              <w:jc w:val="center"/>
              <w:rPr>
                <w:rFonts w:hint="eastAsia" w:ascii="宋体" w:hAnsi="宋体" w:cs="宋体"/>
                <w:color w:val="auto"/>
                <w:kern w:val="0"/>
                <w:sz w:val="24"/>
                <w:szCs w:val="24"/>
              </w:rPr>
            </w:pPr>
            <w:r>
              <w:rPr>
                <w:rFonts w:hint="eastAsia" w:ascii="宋体" w:hAnsi="宋体" w:cs="宋体"/>
                <w:color w:val="auto"/>
                <w:kern w:val="0"/>
                <w:sz w:val="24"/>
                <w:szCs w:val="24"/>
              </w:rPr>
              <w:t>数量</w:t>
            </w:r>
          </w:p>
        </w:tc>
        <w:tc>
          <w:tcPr>
            <w:tcW w:w="566" w:type="dxa"/>
            <w:noWrap/>
            <w:vAlign w:val="center"/>
          </w:tcPr>
          <w:p w14:paraId="11057206">
            <w:pPr>
              <w:widowControl/>
              <w:jc w:val="center"/>
              <w:rPr>
                <w:rFonts w:hint="eastAsia" w:ascii="宋体" w:hAnsi="宋体" w:cs="宋体"/>
                <w:color w:val="auto"/>
                <w:kern w:val="0"/>
                <w:sz w:val="24"/>
                <w:szCs w:val="24"/>
              </w:rPr>
            </w:pPr>
            <w:r>
              <w:rPr>
                <w:rFonts w:hint="eastAsia" w:ascii="宋体" w:hAnsi="宋体" w:cs="宋体"/>
                <w:color w:val="auto"/>
                <w:kern w:val="0"/>
                <w:sz w:val="24"/>
                <w:szCs w:val="24"/>
              </w:rPr>
              <w:t>单位</w:t>
            </w:r>
          </w:p>
        </w:tc>
        <w:tc>
          <w:tcPr>
            <w:tcW w:w="1110" w:type="dxa"/>
            <w:noWrap/>
            <w:vAlign w:val="center"/>
          </w:tcPr>
          <w:p w14:paraId="04A9B8AE">
            <w:pPr>
              <w:widowControl/>
              <w:jc w:val="center"/>
              <w:rPr>
                <w:rFonts w:ascii="宋体" w:hAnsi="宋体" w:cs="宋体"/>
                <w:color w:val="auto"/>
                <w:kern w:val="0"/>
                <w:sz w:val="24"/>
                <w:szCs w:val="24"/>
              </w:rPr>
            </w:pPr>
            <w:r>
              <w:rPr>
                <w:rFonts w:hint="eastAsia" w:ascii="宋体" w:hAnsi="宋体" w:cs="宋体"/>
                <w:color w:val="auto"/>
                <w:kern w:val="0"/>
                <w:sz w:val="24"/>
                <w:szCs w:val="24"/>
              </w:rPr>
              <w:t>单价最高限价</w:t>
            </w:r>
          </w:p>
          <w:p w14:paraId="103690D7">
            <w:pPr>
              <w:widowControl/>
              <w:rPr>
                <w:rFonts w:hint="eastAsia" w:ascii="宋体" w:hAnsi="宋体" w:cs="宋体"/>
                <w:color w:val="auto"/>
                <w:kern w:val="0"/>
                <w:sz w:val="24"/>
                <w:szCs w:val="24"/>
              </w:rPr>
            </w:pPr>
            <w:r>
              <w:rPr>
                <w:rFonts w:hint="eastAsia" w:ascii="宋体" w:hAnsi="宋体" w:cs="宋体"/>
                <w:color w:val="auto"/>
                <w:kern w:val="0"/>
                <w:sz w:val="24"/>
                <w:szCs w:val="24"/>
              </w:rPr>
              <w:t>（万元）</w:t>
            </w:r>
          </w:p>
        </w:tc>
        <w:tc>
          <w:tcPr>
            <w:tcW w:w="942" w:type="dxa"/>
            <w:noWrap/>
            <w:vAlign w:val="center"/>
          </w:tcPr>
          <w:p w14:paraId="315C3648">
            <w:pPr>
              <w:widowControl/>
              <w:jc w:val="center"/>
              <w:rPr>
                <w:rFonts w:ascii="宋体" w:hAnsi="宋体" w:cs="宋体"/>
                <w:color w:val="auto"/>
                <w:kern w:val="0"/>
                <w:sz w:val="24"/>
                <w:szCs w:val="24"/>
              </w:rPr>
            </w:pPr>
            <w:r>
              <w:rPr>
                <w:rFonts w:hint="eastAsia" w:ascii="宋体" w:hAnsi="宋体" w:cs="宋体"/>
                <w:color w:val="auto"/>
                <w:kern w:val="0"/>
                <w:sz w:val="24"/>
                <w:szCs w:val="24"/>
              </w:rPr>
              <w:t>备注</w:t>
            </w:r>
          </w:p>
        </w:tc>
      </w:tr>
      <w:tr w14:paraId="48F38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772" w:type="dxa"/>
            <w:noWrap w:val="0"/>
            <w:vAlign w:val="center"/>
          </w:tcPr>
          <w:p w14:paraId="4D6455F1">
            <w:pPr>
              <w:widowControl/>
              <w:adjustRightInd w:val="0"/>
              <w:snapToGrid w:val="0"/>
              <w:jc w:val="center"/>
              <w:rPr>
                <w:rFonts w:hint="eastAsia" w:ascii="宋体" w:hAnsi="宋体" w:eastAsia="宋体" w:cs="宋体"/>
                <w:color w:val="auto"/>
                <w:sz w:val="18"/>
                <w:szCs w:val="18"/>
              </w:rPr>
            </w:pPr>
            <w:r>
              <w:rPr>
                <w:rFonts w:hint="eastAsia" w:ascii="宋体" w:hAnsi="宋体" w:eastAsia="宋体" w:cs="宋体"/>
                <w:color w:val="auto"/>
                <w:sz w:val="18"/>
                <w:szCs w:val="18"/>
              </w:rPr>
              <w:t>1</w:t>
            </w:r>
          </w:p>
        </w:tc>
        <w:tc>
          <w:tcPr>
            <w:tcW w:w="818" w:type="dxa"/>
            <w:noWrap/>
            <w:vAlign w:val="center"/>
          </w:tcPr>
          <w:p w14:paraId="3607A37E">
            <w:pPr>
              <w:widowControl/>
              <w:adjustRightInd w:val="0"/>
              <w:snapToGrid w:val="0"/>
              <w:jc w:val="left"/>
              <w:rPr>
                <w:rFonts w:hint="eastAsia" w:ascii="宋体" w:hAnsi="宋体" w:cs="宋体"/>
                <w:color w:val="auto"/>
                <w:sz w:val="18"/>
                <w:szCs w:val="18"/>
              </w:rPr>
            </w:pPr>
            <w:r>
              <w:rPr>
                <w:rFonts w:hint="eastAsia" w:ascii="宋体" w:hAnsi="宋体" w:cs="宋体"/>
                <w:color w:val="auto"/>
                <w:sz w:val="18"/>
                <w:szCs w:val="18"/>
              </w:rPr>
              <w:t>吸粪车</w:t>
            </w:r>
          </w:p>
        </w:tc>
        <w:tc>
          <w:tcPr>
            <w:tcW w:w="4759" w:type="dxa"/>
            <w:noWrap/>
            <w:vAlign w:val="center"/>
          </w:tcPr>
          <w:p w14:paraId="5FFD8D0C">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1.</w:t>
            </w:r>
            <w:r>
              <w:rPr>
                <w:rFonts w:hint="eastAsia" w:ascii="宋体" w:hAnsi="宋体" w:eastAsia="宋体" w:cs="宋体"/>
                <w:color w:val="auto"/>
                <w:sz w:val="18"/>
                <w:szCs w:val="18"/>
              </w:rPr>
              <w:t>清洗吸污车专用装置：罐体，真空泵，主要用于液态污物和粪便的抽吸、排卸和清洗作业；</w:t>
            </w:r>
          </w:p>
          <w:p w14:paraId="6270CF54">
            <w:pPr>
              <w:widowControl/>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2.</w:t>
            </w:r>
            <w:r>
              <w:rPr>
                <w:rFonts w:hint="eastAsia" w:ascii="宋体" w:hAnsi="宋体" w:eastAsia="宋体" w:cs="宋体"/>
                <w:color w:val="auto"/>
                <w:sz w:val="18"/>
                <w:szCs w:val="18"/>
              </w:rPr>
              <w:t>罐体有效容积≥12m³</w:t>
            </w:r>
            <w:r>
              <w:rPr>
                <w:rFonts w:hint="eastAsia" w:ascii="宋体" w:hAnsi="宋体" w:eastAsia="宋体" w:cs="宋体"/>
                <w:color w:val="auto"/>
                <w:sz w:val="18"/>
                <w:szCs w:val="18"/>
                <w:lang w:eastAsia="zh-CN"/>
              </w:rPr>
              <w:t>；</w:t>
            </w:r>
          </w:p>
          <w:p w14:paraId="38D8F66F">
            <w:pPr>
              <w:widowControl/>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3.整车尺寸：</w:t>
            </w:r>
            <w:r>
              <w:rPr>
                <w:rFonts w:hint="eastAsia" w:ascii="宋体" w:hAnsi="宋体" w:eastAsia="宋体" w:cs="宋体"/>
                <w:color w:val="auto"/>
                <w:sz w:val="18"/>
                <w:szCs w:val="18"/>
              </w:rPr>
              <w:t>7400×2550×3500≥外形尺寸(mm)≥7000×2400×3200</w:t>
            </w:r>
            <w:r>
              <w:rPr>
                <w:rFonts w:hint="eastAsia" w:ascii="宋体" w:hAnsi="宋体" w:eastAsia="宋体" w:cs="宋体"/>
                <w:color w:val="auto"/>
                <w:sz w:val="18"/>
                <w:szCs w:val="18"/>
                <w:lang w:eastAsia="zh-CN"/>
              </w:rPr>
              <w:t>；</w:t>
            </w:r>
          </w:p>
          <w:p w14:paraId="5679091C">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4.</w:t>
            </w:r>
            <w:r>
              <w:rPr>
                <w:rFonts w:hint="eastAsia" w:ascii="宋体" w:hAnsi="宋体" w:eastAsia="宋体" w:cs="宋体"/>
                <w:color w:val="auto"/>
                <w:sz w:val="18"/>
                <w:szCs w:val="18"/>
              </w:rPr>
              <w:t>轴荷(Kg)≥6500/11500，前悬/后悬(mm)≥1250/2100，轴数≥3；轴距(mm)≥3950；底盘品质≥载货汽车底盘（二类），9/11+8≥钢板弹簧片数≥8/10+7</w:t>
            </w:r>
          </w:p>
          <w:p w14:paraId="6D94F018">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5.</w:t>
            </w:r>
            <w:r>
              <w:rPr>
                <w:rFonts w:hint="eastAsia" w:ascii="宋体" w:hAnsi="宋体" w:eastAsia="宋体" w:cs="宋体"/>
                <w:color w:val="auto"/>
                <w:sz w:val="18"/>
                <w:szCs w:val="18"/>
              </w:rPr>
              <w:t>燃料种类：柴油；</w:t>
            </w:r>
          </w:p>
          <w:p w14:paraId="2FD04642">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6.</w:t>
            </w:r>
            <w:r>
              <w:rPr>
                <w:rFonts w:hint="eastAsia" w:ascii="宋体" w:hAnsi="宋体" w:eastAsia="宋体" w:cs="宋体"/>
                <w:color w:val="auto"/>
                <w:sz w:val="18"/>
                <w:szCs w:val="18"/>
              </w:rPr>
              <w:t>前轮距(mm)≥1900；后轮距≥1800；</w:t>
            </w:r>
          </w:p>
          <w:p w14:paraId="43D137DE">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7.</w:t>
            </w:r>
            <w:r>
              <w:rPr>
                <w:rFonts w:hint="eastAsia" w:ascii="宋体" w:hAnsi="宋体" w:eastAsia="宋体" w:cs="宋体"/>
                <w:color w:val="auto"/>
                <w:sz w:val="18"/>
                <w:szCs w:val="18"/>
              </w:rPr>
              <w:t>发动机功率≥145Kw；发动机马力≥200ps。</w:t>
            </w:r>
          </w:p>
          <w:p w14:paraId="47187543">
            <w:pPr>
              <w:widowControl/>
              <w:rPr>
                <w:rFonts w:hint="eastAsia" w:ascii="宋体" w:hAnsi="宋体" w:eastAsia="宋体" w:cs="宋体"/>
                <w:color w:val="auto"/>
                <w:kern w:val="0"/>
                <w:sz w:val="24"/>
                <w:szCs w:val="24"/>
                <w:lang w:eastAsia="zh-CN"/>
              </w:rPr>
            </w:pPr>
            <w:r>
              <w:rPr>
                <w:rFonts w:hint="eastAsia" w:ascii="宋体" w:hAnsi="宋体" w:eastAsia="宋体" w:cs="宋体"/>
                <w:color w:val="auto"/>
                <w:sz w:val="18"/>
                <w:szCs w:val="18"/>
                <w:lang w:val="en-US" w:eastAsia="zh-CN"/>
              </w:rPr>
              <w:t>8.</w:t>
            </w:r>
            <w:r>
              <w:rPr>
                <w:rFonts w:hint="eastAsia" w:ascii="宋体" w:hAnsi="宋体" w:eastAsia="宋体" w:cs="宋体"/>
                <w:color w:val="auto"/>
                <w:sz w:val="18"/>
                <w:szCs w:val="18"/>
              </w:rPr>
              <w:t>自带吸粪管10米外的带有快速接头的国标排污管100米；附带消防喷水设施。</w:t>
            </w:r>
          </w:p>
        </w:tc>
        <w:tc>
          <w:tcPr>
            <w:tcW w:w="600" w:type="dxa"/>
            <w:noWrap/>
            <w:vAlign w:val="center"/>
          </w:tcPr>
          <w:p w14:paraId="31CF3087">
            <w:pPr>
              <w:widowControl/>
              <w:numPr>
                <w:ilvl w:val="0"/>
                <w:numId w:val="0"/>
              </w:numPr>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15</w:t>
            </w:r>
          </w:p>
        </w:tc>
        <w:tc>
          <w:tcPr>
            <w:tcW w:w="566" w:type="dxa"/>
            <w:noWrap/>
            <w:vAlign w:val="center"/>
          </w:tcPr>
          <w:p w14:paraId="29CD2EA3">
            <w:pPr>
              <w:widowControl/>
              <w:numPr>
                <w:ilvl w:val="0"/>
                <w:numId w:val="0"/>
              </w:numPr>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台</w:t>
            </w:r>
          </w:p>
        </w:tc>
        <w:tc>
          <w:tcPr>
            <w:tcW w:w="1110" w:type="dxa"/>
            <w:noWrap/>
            <w:vAlign w:val="center"/>
          </w:tcPr>
          <w:p w14:paraId="6496A408">
            <w:pPr>
              <w:widowControl/>
              <w:numPr>
                <w:ilvl w:val="0"/>
                <w:numId w:val="0"/>
              </w:numPr>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21.6</w:t>
            </w:r>
          </w:p>
        </w:tc>
        <w:tc>
          <w:tcPr>
            <w:tcW w:w="942" w:type="dxa"/>
            <w:noWrap/>
            <w:vAlign w:val="center"/>
          </w:tcPr>
          <w:p w14:paraId="16C89C02">
            <w:pPr>
              <w:widowControl/>
              <w:adjustRightInd w:val="0"/>
              <w:snapToGrid w:val="0"/>
              <w:jc w:val="center"/>
              <w:rPr>
                <w:rFonts w:ascii="宋体" w:hAnsi="宋体" w:cs="宋体"/>
                <w:color w:val="auto"/>
                <w:sz w:val="24"/>
                <w:szCs w:val="24"/>
              </w:rPr>
            </w:pPr>
          </w:p>
        </w:tc>
      </w:tr>
      <w:tr w14:paraId="66F93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772" w:type="dxa"/>
            <w:noWrap w:val="0"/>
            <w:vAlign w:val="center"/>
          </w:tcPr>
          <w:p w14:paraId="13520A9A">
            <w:pPr>
              <w:widowControl/>
              <w:adjustRightInd w:val="0"/>
              <w:snapToGrid w:val="0"/>
              <w:jc w:val="center"/>
              <w:rPr>
                <w:rFonts w:hint="eastAsia" w:ascii="宋体" w:hAnsi="宋体" w:eastAsia="宋体" w:cs="宋体"/>
                <w:color w:val="auto"/>
                <w:sz w:val="18"/>
                <w:szCs w:val="18"/>
              </w:rPr>
            </w:pPr>
            <w:r>
              <w:rPr>
                <w:rFonts w:hint="eastAsia" w:ascii="宋体" w:hAnsi="宋体" w:eastAsia="宋体" w:cs="宋体"/>
                <w:color w:val="auto"/>
                <w:sz w:val="18"/>
                <w:szCs w:val="18"/>
              </w:rPr>
              <w:t>2</w:t>
            </w:r>
          </w:p>
        </w:tc>
        <w:tc>
          <w:tcPr>
            <w:tcW w:w="818" w:type="dxa"/>
            <w:noWrap/>
            <w:vAlign w:val="center"/>
          </w:tcPr>
          <w:p w14:paraId="6295C3B3">
            <w:pPr>
              <w:widowControl/>
              <w:adjustRightInd w:val="0"/>
              <w:snapToGrid w:val="0"/>
              <w:jc w:val="left"/>
              <w:rPr>
                <w:rFonts w:hint="eastAsia" w:ascii="宋体" w:hAnsi="宋体" w:cs="宋体"/>
                <w:color w:val="auto"/>
                <w:sz w:val="18"/>
                <w:szCs w:val="18"/>
              </w:rPr>
            </w:pPr>
            <w:r>
              <w:rPr>
                <w:rFonts w:hint="eastAsia" w:ascii="宋体" w:hAnsi="宋体" w:cs="宋体"/>
                <w:color w:val="auto"/>
                <w:sz w:val="18"/>
                <w:szCs w:val="18"/>
              </w:rPr>
              <w:t>履带式新能源无人智能多功能撒肥车</w:t>
            </w:r>
          </w:p>
        </w:tc>
        <w:tc>
          <w:tcPr>
            <w:tcW w:w="4759" w:type="dxa"/>
            <w:noWrap/>
            <w:vAlign w:val="center"/>
          </w:tcPr>
          <w:p w14:paraId="0648B0C5">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一、</w:t>
            </w:r>
            <w:r>
              <w:rPr>
                <w:rFonts w:hint="eastAsia" w:ascii="宋体" w:hAnsi="宋体" w:eastAsia="宋体" w:cs="宋体"/>
                <w:color w:val="auto"/>
                <w:sz w:val="18"/>
                <w:szCs w:val="18"/>
              </w:rPr>
              <w:t>主机平台部分参数：</w:t>
            </w:r>
          </w:p>
          <w:p w14:paraId="08045893">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1.</w:t>
            </w:r>
            <w:r>
              <w:rPr>
                <w:rFonts w:hint="eastAsia" w:ascii="宋体" w:hAnsi="宋体" w:eastAsia="宋体" w:cs="宋体"/>
                <w:color w:val="auto"/>
                <w:sz w:val="18"/>
                <w:szCs w:val="18"/>
              </w:rPr>
              <w:t>电机功率：≥7Kw/3250 r*2个；增程器：≥72V/7.5Kw、水冷发动机；</w:t>
            </w:r>
          </w:p>
          <w:p w14:paraId="59ABA7DA">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2</w:t>
            </w:r>
            <w:r>
              <w:rPr>
                <w:rFonts w:hint="eastAsia" w:ascii="宋体" w:hAnsi="宋体" w:eastAsia="宋体" w:cs="宋体"/>
                <w:color w:val="auto"/>
                <w:sz w:val="18"/>
                <w:szCs w:val="18"/>
              </w:rPr>
              <w:t>电池参数：电池容量≥90Ah，电压≥81.2V，额定电流≥200A；</w:t>
            </w:r>
          </w:p>
          <w:p w14:paraId="55F445ED">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3.</w:t>
            </w:r>
            <w:r>
              <w:rPr>
                <w:rFonts w:hint="eastAsia" w:ascii="宋体" w:hAnsi="宋体" w:eastAsia="宋体" w:cs="宋体"/>
                <w:color w:val="auto"/>
                <w:sz w:val="18"/>
                <w:szCs w:val="18"/>
              </w:rPr>
              <w:t>底盘离地间隙：≥300mm；履带宽度：≥250mm；</w:t>
            </w:r>
          </w:p>
          <w:p w14:paraId="761909DC">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4.</w:t>
            </w:r>
            <w:r>
              <w:rPr>
                <w:rFonts w:hint="eastAsia" w:ascii="宋体" w:hAnsi="宋体" w:eastAsia="宋体" w:cs="宋体"/>
                <w:color w:val="auto"/>
                <w:sz w:val="18"/>
                <w:szCs w:val="18"/>
              </w:rPr>
              <w:t>履带轨距：≥72mm；履带间距：≥965mm；</w:t>
            </w:r>
          </w:p>
          <w:p w14:paraId="770FAE3B">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5.</w:t>
            </w:r>
            <w:r>
              <w:rPr>
                <w:rFonts w:hint="eastAsia" w:ascii="宋体" w:hAnsi="宋体" w:eastAsia="宋体" w:cs="宋体"/>
                <w:color w:val="auto"/>
                <w:sz w:val="18"/>
                <w:szCs w:val="18"/>
              </w:rPr>
              <w:t>履带接地长度：≥1400mm。</w:t>
            </w:r>
          </w:p>
          <w:p w14:paraId="1050C4B4">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二、</w:t>
            </w:r>
            <w:r>
              <w:rPr>
                <w:rFonts w:hint="eastAsia" w:ascii="宋体" w:hAnsi="宋体" w:eastAsia="宋体" w:cs="宋体"/>
                <w:color w:val="auto"/>
                <w:sz w:val="18"/>
                <w:szCs w:val="18"/>
              </w:rPr>
              <w:t>沼液系统参数：</w:t>
            </w:r>
          </w:p>
          <w:p w14:paraId="105AE2E9">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1.</w:t>
            </w:r>
            <w:r>
              <w:rPr>
                <w:rFonts w:hint="eastAsia" w:ascii="宋体" w:hAnsi="宋体" w:eastAsia="宋体" w:cs="宋体"/>
                <w:color w:val="auto"/>
                <w:sz w:val="18"/>
                <w:szCs w:val="18"/>
              </w:rPr>
              <w:t>电机功率：≥1000w；</w:t>
            </w:r>
          </w:p>
          <w:p w14:paraId="5CF9FFFF">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2.</w:t>
            </w:r>
            <w:r>
              <w:rPr>
                <w:rFonts w:hint="eastAsia" w:ascii="宋体" w:hAnsi="宋体" w:eastAsia="宋体" w:cs="宋体"/>
                <w:color w:val="auto"/>
                <w:sz w:val="18"/>
                <w:szCs w:val="18"/>
              </w:rPr>
              <w:t>电压：≥72v；</w:t>
            </w:r>
          </w:p>
          <w:p w14:paraId="60D7D033">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3.</w:t>
            </w:r>
            <w:r>
              <w:rPr>
                <w:rFonts w:hint="eastAsia" w:ascii="宋体" w:hAnsi="宋体" w:eastAsia="宋体" w:cs="宋体"/>
                <w:color w:val="auto"/>
                <w:sz w:val="18"/>
                <w:szCs w:val="18"/>
              </w:rPr>
              <w:t>流量：10～15m³/h；</w:t>
            </w:r>
          </w:p>
          <w:p w14:paraId="14D76CE6">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4.</w:t>
            </w:r>
            <w:r>
              <w:rPr>
                <w:rFonts w:hint="eastAsia" w:ascii="宋体" w:hAnsi="宋体" w:eastAsia="宋体" w:cs="宋体"/>
                <w:color w:val="auto"/>
                <w:sz w:val="18"/>
                <w:szCs w:val="18"/>
              </w:rPr>
              <w:t>扬程：20～25m；</w:t>
            </w:r>
          </w:p>
          <w:p w14:paraId="2DCE073D">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5.</w:t>
            </w:r>
            <w:r>
              <w:rPr>
                <w:rFonts w:hint="eastAsia" w:ascii="宋体" w:hAnsi="宋体" w:eastAsia="宋体" w:cs="宋体"/>
                <w:color w:val="auto"/>
                <w:sz w:val="18"/>
                <w:szCs w:val="18"/>
              </w:rPr>
              <w:t>吸程：6～8m；</w:t>
            </w:r>
          </w:p>
          <w:p w14:paraId="593B4917">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6.</w:t>
            </w:r>
            <w:r>
              <w:rPr>
                <w:rFonts w:hint="eastAsia" w:ascii="宋体" w:hAnsi="宋体" w:eastAsia="宋体" w:cs="宋体"/>
                <w:color w:val="auto"/>
                <w:sz w:val="18"/>
                <w:szCs w:val="18"/>
              </w:rPr>
              <w:t>泵口径：25～50mm；</w:t>
            </w:r>
          </w:p>
          <w:p w14:paraId="6383785F">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7.</w:t>
            </w:r>
            <w:r>
              <w:rPr>
                <w:rFonts w:hint="eastAsia" w:ascii="宋体" w:hAnsi="宋体" w:eastAsia="宋体" w:cs="宋体"/>
                <w:color w:val="auto"/>
                <w:sz w:val="18"/>
                <w:szCs w:val="18"/>
              </w:rPr>
              <w:t>容积：≥1.5m³；</w:t>
            </w:r>
          </w:p>
          <w:p w14:paraId="62E20CD0">
            <w:pPr>
              <w:widowControl/>
              <w:rPr>
                <w:rFonts w:hint="eastAsia" w:ascii="宋体" w:hAnsi="宋体" w:eastAsia="宋体" w:cs="宋体"/>
                <w:color w:val="auto"/>
                <w:kern w:val="0"/>
                <w:sz w:val="24"/>
                <w:szCs w:val="24"/>
                <w:lang w:eastAsia="zh-CN"/>
              </w:rPr>
            </w:pPr>
            <w:r>
              <w:rPr>
                <w:rFonts w:hint="eastAsia" w:ascii="宋体" w:hAnsi="宋体" w:eastAsia="宋体" w:cs="宋体"/>
                <w:color w:val="auto"/>
                <w:sz w:val="18"/>
                <w:szCs w:val="18"/>
                <w:lang w:val="en-US" w:eastAsia="zh-CN"/>
              </w:rPr>
              <w:t>8.</w:t>
            </w:r>
            <w:r>
              <w:rPr>
                <w:rFonts w:hint="eastAsia" w:ascii="宋体" w:hAnsi="宋体" w:eastAsia="宋体" w:cs="宋体"/>
                <w:color w:val="auto"/>
                <w:sz w:val="18"/>
                <w:szCs w:val="18"/>
              </w:rPr>
              <w:t>罐体外形尺寸：≥1700mm*1300mm*810mm。</w:t>
            </w:r>
          </w:p>
        </w:tc>
        <w:tc>
          <w:tcPr>
            <w:tcW w:w="600" w:type="dxa"/>
            <w:noWrap/>
            <w:vAlign w:val="center"/>
          </w:tcPr>
          <w:p w14:paraId="23C4A89A">
            <w:pPr>
              <w:widowControl/>
              <w:numPr>
                <w:ilvl w:val="0"/>
                <w:numId w:val="0"/>
              </w:numPr>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w:t>
            </w:r>
          </w:p>
        </w:tc>
        <w:tc>
          <w:tcPr>
            <w:tcW w:w="566" w:type="dxa"/>
            <w:noWrap/>
            <w:vAlign w:val="center"/>
          </w:tcPr>
          <w:p w14:paraId="3ED57F5B">
            <w:pPr>
              <w:widowControl/>
              <w:numPr>
                <w:ilvl w:val="0"/>
                <w:numId w:val="0"/>
              </w:numPr>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台</w:t>
            </w:r>
          </w:p>
        </w:tc>
        <w:tc>
          <w:tcPr>
            <w:tcW w:w="1110" w:type="dxa"/>
            <w:noWrap/>
            <w:vAlign w:val="center"/>
          </w:tcPr>
          <w:p w14:paraId="434BC058">
            <w:pPr>
              <w:widowControl/>
              <w:numPr>
                <w:ilvl w:val="0"/>
                <w:numId w:val="0"/>
              </w:numPr>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45</w:t>
            </w:r>
          </w:p>
        </w:tc>
        <w:tc>
          <w:tcPr>
            <w:tcW w:w="942" w:type="dxa"/>
            <w:noWrap/>
            <w:vAlign w:val="center"/>
          </w:tcPr>
          <w:p w14:paraId="474928B7">
            <w:pPr>
              <w:widowControl/>
              <w:adjustRightInd w:val="0"/>
              <w:snapToGrid w:val="0"/>
              <w:jc w:val="center"/>
              <w:rPr>
                <w:rFonts w:ascii="宋体" w:hAnsi="宋体" w:cs="宋体"/>
                <w:color w:val="auto"/>
                <w:sz w:val="24"/>
                <w:szCs w:val="24"/>
              </w:rPr>
            </w:pPr>
          </w:p>
        </w:tc>
      </w:tr>
    </w:tbl>
    <w:p w14:paraId="1CE472E4">
      <w:pPr>
        <w:snapToGrid w:val="0"/>
        <w:spacing w:line="400" w:lineRule="exact"/>
        <w:ind w:firstLine="480" w:firstLineChars="200"/>
        <w:rPr>
          <w:rFonts w:hint="eastAsia" w:ascii="方正仿宋_GBK" w:hAnsi="宋体" w:eastAsia="方正仿宋_GBK"/>
          <w:color w:val="auto"/>
          <w:sz w:val="24"/>
          <w:szCs w:val="24"/>
        </w:rPr>
      </w:pPr>
    </w:p>
    <w:p w14:paraId="73458A85">
      <w:pPr>
        <w:numPr>
          <w:ilvl w:val="0"/>
          <w:numId w:val="18"/>
        </w:numPr>
        <w:snapToGrid w:val="0"/>
        <w:spacing w:line="400" w:lineRule="exact"/>
        <w:ind w:firstLine="480" w:firstLineChars="200"/>
        <w:rPr>
          <w:rFonts w:hint="eastAsia" w:ascii="方正仿宋_GBK" w:hAnsi="宋体" w:eastAsia="方正仿宋_GBK"/>
          <w:color w:val="auto"/>
          <w:sz w:val="24"/>
          <w:szCs w:val="24"/>
        </w:rPr>
      </w:pPr>
      <w:r>
        <w:rPr>
          <w:rFonts w:hint="eastAsia" w:ascii="方正仿宋_GBK" w:hAnsi="宋体" w:eastAsia="方正仿宋_GBK"/>
          <w:color w:val="auto"/>
          <w:sz w:val="24"/>
          <w:szCs w:val="24"/>
        </w:rPr>
        <w:t>招标项目技术需求</w:t>
      </w:r>
    </w:p>
    <w:p w14:paraId="541FE3BA">
      <w:pPr>
        <w:numPr>
          <w:ilvl w:val="0"/>
          <w:numId w:val="19"/>
        </w:numPr>
        <w:snapToGrid w:val="0"/>
        <w:spacing w:line="400" w:lineRule="exact"/>
        <w:ind w:firstLine="480" w:firstLineChars="200"/>
        <w:rPr>
          <w:rFonts w:hint="eastAsia" w:ascii="方正仿宋_GBK" w:hAnsi="宋体" w:eastAsia="方正仿宋_GBK"/>
          <w:color w:val="auto"/>
          <w:sz w:val="24"/>
          <w:szCs w:val="24"/>
        </w:rPr>
      </w:pPr>
      <w:r>
        <w:rPr>
          <w:rFonts w:hint="eastAsia" w:ascii="方正仿宋_GBK" w:hAnsi="宋体" w:eastAsia="方正仿宋_GBK"/>
          <w:color w:val="auto"/>
          <w:sz w:val="24"/>
          <w:szCs w:val="24"/>
        </w:rPr>
        <w:t>本项目所需所有</w:t>
      </w:r>
      <w:r>
        <w:rPr>
          <w:rFonts w:hint="eastAsia" w:ascii="方正仿宋_GBK" w:hAnsi="宋体" w:eastAsia="方正仿宋_GBK"/>
          <w:color w:val="auto"/>
          <w:sz w:val="24"/>
          <w:szCs w:val="24"/>
          <w:lang w:val="en-US" w:eastAsia="zh-CN"/>
        </w:rPr>
        <w:t>车辆</w:t>
      </w:r>
      <w:r>
        <w:rPr>
          <w:rFonts w:hint="eastAsia" w:ascii="方正仿宋_GBK" w:hAnsi="宋体" w:eastAsia="方正仿宋_GBK"/>
          <w:color w:val="auto"/>
          <w:sz w:val="24"/>
          <w:szCs w:val="24"/>
        </w:rPr>
        <w:t>的制造材料均须为全新料，符合国家强制性质量标准，成品满足使用要求。</w:t>
      </w:r>
    </w:p>
    <w:p w14:paraId="7BEC5A85">
      <w:pPr>
        <w:numPr>
          <w:ilvl w:val="0"/>
          <w:numId w:val="19"/>
        </w:numPr>
        <w:snapToGrid w:val="0"/>
        <w:spacing w:line="400" w:lineRule="exact"/>
        <w:ind w:firstLine="480" w:firstLineChars="200"/>
        <w:rPr>
          <w:rFonts w:hint="eastAsia" w:ascii="方正仿宋_GBK" w:hAnsi="宋体" w:eastAsia="方正仿宋_GBK"/>
          <w:color w:val="auto"/>
          <w:sz w:val="24"/>
          <w:szCs w:val="24"/>
        </w:rPr>
      </w:pPr>
      <w:r>
        <w:rPr>
          <w:rFonts w:hint="eastAsia" w:ascii="方正仿宋_GBK" w:hAnsi="宋体" w:eastAsia="方正仿宋_GBK"/>
          <w:color w:val="auto"/>
          <w:sz w:val="24"/>
          <w:szCs w:val="24"/>
        </w:rPr>
        <w:t>投标人在投标文件的“（二）货物信息承诺表”中须注明货物的品牌名称。</w:t>
      </w:r>
    </w:p>
    <w:p w14:paraId="43366DAB">
      <w:pPr>
        <w:widowControl w:val="0"/>
        <w:numPr>
          <w:ilvl w:val="0"/>
          <w:numId w:val="0"/>
        </w:numPr>
        <w:snapToGrid w:val="0"/>
        <w:spacing w:line="400" w:lineRule="exact"/>
        <w:jc w:val="both"/>
        <w:rPr>
          <w:rFonts w:hint="eastAsia" w:ascii="方正仿宋_GBK" w:hAnsi="宋体" w:eastAsia="方正仿宋_GBK"/>
          <w:color w:val="auto"/>
          <w:sz w:val="24"/>
          <w:szCs w:val="24"/>
        </w:rPr>
      </w:pPr>
    </w:p>
    <w:p w14:paraId="21941991">
      <w:pPr>
        <w:widowControl w:val="0"/>
        <w:numPr>
          <w:ilvl w:val="0"/>
          <w:numId w:val="0"/>
        </w:numPr>
        <w:snapToGrid w:val="0"/>
        <w:spacing w:line="400" w:lineRule="exact"/>
        <w:jc w:val="both"/>
        <w:rPr>
          <w:rFonts w:hint="eastAsia" w:ascii="方正仿宋_GBK" w:hAnsi="宋体" w:eastAsia="方正仿宋_GBK"/>
          <w:color w:val="auto"/>
          <w:sz w:val="24"/>
          <w:szCs w:val="24"/>
        </w:rPr>
      </w:pPr>
    </w:p>
    <w:p w14:paraId="2377BDF9">
      <w:pPr>
        <w:widowControl w:val="0"/>
        <w:numPr>
          <w:ilvl w:val="0"/>
          <w:numId w:val="0"/>
        </w:numPr>
        <w:snapToGrid w:val="0"/>
        <w:spacing w:line="400" w:lineRule="exact"/>
        <w:jc w:val="both"/>
        <w:rPr>
          <w:rFonts w:hint="eastAsia" w:ascii="方正仿宋_GBK" w:hAnsi="宋体" w:eastAsia="方正仿宋_GBK"/>
          <w:color w:val="auto"/>
          <w:sz w:val="24"/>
          <w:szCs w:val="24"/>
        </w:rPr>
      </w:pPr>
    </w:p>
    <w:p w14:paraId="2E610799">
      <w:pPr>
        <w:widowControl w:val="0"/>
        <w:numPr>
          <w:ilvl w:val="0"/>
          <w:numId w:val="0"/>
        </w:numPr>
        <w:snapToGrid w:val="0"/>
        <w:spacing w:line="400" w:lineRule="exact"/>
        <w:jc w:val="both"/>
        <w:rPr>
          <w:rFonts w:hint="eastAsia" w:ascii="方正仿宋_GBK" w:hAnsi="宋体" w:eastAsia="方正仿宋_GBK"/>
          <w:color w:val="auto"/>
          <w:sz w:val="24"/>
          <w:szCs w:val="24"/>
        </w:rPr>
      </w:pPr>
    </w:p>
    <w:p w14:paraId="609EF4D8">
      <w:pPr>
        <w:snapToGrid w:val="0"/>
        <w:spacing w:line="400" w:lineRule="exact"/>
        <w:outlineLvl w:val="2"/>
        <w:rPr>
          <w:rFonts w:hint="eastAsia" w:ascii="方正仿宋_GBK" w:eastAsia="方正仿宋_GBK"/>
          <w:b/>
          <w:highlight w:val="none"/>
          <w:u w:val="none" w:color="auto"/>
          <w:lang w:eastAsia="zh-CN"/>
        </w:rPr>
      </w:pPr>
      <w:r>
        <w:rPr>
          <w:rFonts w:hint="eastAsia" w:ascii="方正仿宋_GBK" w:eastAsia="方正仿宋_GBK"/>
          <w:b/>
          <w:highlight w:val="none"/>
          <w:u w:val="none" w:color="auto"/>
          <w:lang w:eastAsia="zh-CN"/>
        </w:rPr>
        <w:t xml:space="preserve">  </w:t>
      </w:r>
    </w:p>
    <w:p w14:paraId="1A3BDCC9">
      <w:pPr>
        <w:pStyle w:val="2"/>
        <w:spacing w:before="0" w:beforeLines="0" w:after="0" w:afterLines="0" w:line="360" w:lineRule="auto"/>
        <w:rPr>
          <w:rFonts w:hint="eastAsia" w:ascii="方正仿宋_GBK" w:eastAsia="方正仿宋_GBK"/>
          <w:b/>
          <w:highlight w:val="none"/>
          <w:u w:val="none" w:color="auto"/>
        </w:rPr>
      </w:pPr>
      <w:bookmarkStart w:id="195" w:name="_Toc1898173379"/>
      <w:r>
        <w:rPr>
          <w:rFonts w:hint="eastAsia" w:ascii="方正仿宋_GBK" w:eastAsia="方正仿宋_GBK"/>
          <w:b/>
          <w:highlight w:val="none"/>
          <w:u w:val="none" w:color="auto"/>
        </w:rPr>
        <w:t xml:space="preserve">第三篇  </w:t>
      </w:r>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r>
        <w:rPr>
          <w:rFonts w:hint="eastAsia" w:ascii="方正仿宋_GBK" w:eastAsia="方正仿宋_GBK"/>
          <w:b/>
          <w:highlight w:val="none"/>
          <w:u w:val="none" w:color="auto"/>
        </w:rPr>
        <w:t>项目商务需求</w:t>
      </w:r>
      <w:bookmarkEnd w:id="191"/>
      <w:bookmarkEnd w:id="192"/>
      <w:bookmarkEnd w:id="193"/>
      <w:bookmarkEnd w:id="194"/>
      <w:bookmarkEnd w:id="195"/>
    </w:p>
    <w:p w14:paraId="69AA8582">
      <w:pPr>
        <w:pStyle w:val="3"/>
        <w:spacing w:line="400" w:lineRule="exact"/>
        <w:ind w:firstLine="482" w:firstLineChars="200"/>
        <w:rPr>
          <w:rFonts w:hint="eastAsia" w:ascii="方正仿宋_GBK" w:eastAsia="方正仿宋_GBK"/>
          <w:b/>
          <w:color w:val="auto"/>
          <w:sz w:val="24"/>
          <w:szCs w:val="24"/>
        </w:rPr>
      </w:pPr>
      <w:bookmarkStart w:id="196" w:name="_Toc12768"/>
      <w:bookmarkStart w:id="197" w:name="_Toc2253"/>
      <w:bookmarkStart w:id="198" w:name="_Toc14029"/>
      <w:bookmarkStart w:id="199" w:name="_Toc22944"/>
      <w:bookmarkStart w:id="200" w:name="_Toc9676"/>
      <w:bookmarkStart w:id="201" w:name="_Toc21429"/>
      <w:bookmarkStart w:id="202" w:name="_Toc6595"/>
      <w:bookmarkStart w:id="203" w:name="_Toc75793509"/>
      <w:bookmarkStart w:id="204" w:name="_Toc13389"/>
      <w:bookmarkStart w:id="205" w:name="_Toc23501"/>
      <w:bookmarkStart w:id="206" w:name="_Toc267320049"/>
      <w:bookmarkStart w:id="207" w:name="_Toc10039"/>
      <w:bookmarkStart w:id="208" w:name="_Toc30118"/>
      <w:bookmarkStart w:id="209" w:name="_Toc13728"/>
      <w:bookmarkStart w:id="210" w:name="_Toc8752"/>
      <w:bookmarkStart w:id="211" w:name="_Toc28521"/>
      <w:bookmarkStart w:id="212" w:name="_Toc11380"/>
      <w:bookmarkStart w:id="213" w:name="_Toc23377"/>
      <w:bookmarkStart w:id="214" w:name="_Toc8488"/>
      <w:bookmarkStart w:id="215" w:name="_Toc25903"/>
      <w:bookmarkStart w:id="216" w:name="_Toc2487"/>
      <w:bookmarkStart w:id="217" w:name="_Toc24966"/>
      <w:bookmarkStart w:id="218" w:name="_Toc25911"/>
      <w:bookmarkStart w:id="219" w:name="_Toc3339"/>
      <w:bookmarkStart w:id="220" w:name="_Toc30067"/>
      <w:bookmarkStart w:id="221" w:name="_Toc2406"/>
      <w:bookmarkStart w:id="222" w:name="_Toc22763"/>
      <w:bookmarkStart w:id="223" w:name="_Toc32453"/>
      <w:bookmarkStart w:id="224" w:name="_Toc11875"/>
      <w:bookmarkStart w:id="225" w:name="_Toc22420"/>
      <w:bookmarkStart w:id="226" w:name="_Toc106030393"/>
      <w:bookmarkStart w:id="227" w:name="_Toc8133"/>
      <w:bookmarkStart w:id="228" w:name="_Toc16278"/>
      <w:bookmarkStart w:id="229" w:name="_Toc15693"/>
      <w:bookmarkStart w:id="230" w:name="_Toc75793517"/>
      <w:bookmarkStart w:id="231" w:name="_Toc101913182"/>
      <w:bookmarkStart w:id="232" w:name="_Toc25165"/>
      <w:r>
        <w:rPr>
          <w:rFonts w:hint="eastAsia" w:ascii="方正仿宋_GBK" w:eastAsia="方正仿宋_GBK"/>
          <w:b/>
          <w:color w:val="auto"/>
          <w:sz w:val="24"/>
          <w:szCs w:val="24"/>
        </w:rPr>
        <w:t>一、供货期及交货时间、交货地点及验收方式</w:t>
      </w:r>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p>
    <w:p w14:paraId="56E29FD1">
      <w:pPr>
        <w:snapToGrid w:val="0"/>
        <w:spacing w:line="400" w:lineRule="exact"/>
        <w:ind w:firstLine="480" w:firstLineChars="200"/>
        <w:outlineLvl w:val="2"/>
        <w:rPr>
          <w:rFonts w:hint="eastAsia"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（一）供货期及交货时间</w:t>
      </w:r>
    </w:p>
    <w:p w14:paraId="184E7DB8">
      <w:pPr>
        <w:snapToGrid w:val="0"/>
        <w:spacing w:line="400" w:lineRule="exact"/>
        <w:ind w:firstLine="480" w:firstLineChars="200"/>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1、供货期：</w:t>
      </w:r>
      <w:r>
        <w:rPr>
          <w:rFonts w:hint="eastAsia" w:ascii="方正仿宋_GBK" w:hAnsi="宋体" w:eastAsia="方正仿宋_GBK" w:cs="宋体"/>
          <w:color w:val="auto"/>
          <w:kern w:val="0"/>
          <w:sz w:val="24"/>
          <w:szCs w:val="24"/>
          <w:lang w:val="en-US" w:eastAsia="zh-CN"/>
        </w:rPr>
        <w:t>60</w:t>
      </w:r>
      <w:r>
        <w:rPr>
          <w:rFonts w:ascii="方正仿宋_GBK" w:hAnsi="宋体" w:eastAsia="方正仿宋_GBK" w:cs="宋体"/>
          <w:color w:val="auto"/>
          <w:kern w:val="0"/>
          <w:sz w:val="24"/>
          <w:szCs w:val="24"/>
        </w:rPr>
        <w:t>天</w:t>
      </w:r>
    </w:p>
    <w:p w14:paraId="70C6A5E8">
      <w:pPr>
        <w:snapToGrid w:val="0"/>
        <w:spacing w:line="400" w:lineRule="exact"/>
        <w:ind w:firstLine="480" w:firstLineChars="200"/>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2、交货时间：供货期内，中标人须在收到采购人每批次下单通知后5日内（下单次日开始计算）送至采购人指定的交货地点（投标人自行综合考虑货物运输到采购人指定地点距离远近的不确定性、</w:t>
      </w:r>
      <w:r>
        <w:rPr>
          <w:rFonts w:hint="eastAsia" w:ascii="方正仿宋_GBK" w:hAnsi="宋体" w:eastAsia="方正仿宋_GBK"/>
          <w:color w:val="auto"/>
          <w:sz w:val="24"/>
          <w:szCs w:val="24"/>
        </w:rPr>
        <w:t>单次多个送达地点的不确定性</w:t>
      </w:r>
      <w:r>
        <w:rPr>
          <w:rFonts w:hint="eastAsia" w:ascii="方正仿宋_GBK" w:hAnsi="宋体" w:eastAsia="方正仿宋_GBK" w:cs="宋体"/>
          <w:color w:val="auto"/>
          <w:kern w:val="0"/>
          <w:sz w:val="24"/>
          <w:szCs w:val="24"/>
        </w:rPr>
        <w:t>等因素）。为便于中标人有效控制运输成本，在发货前可与采购人友好协商运输方案。</w:t>
      </w:r>
    </w:p>
    <w:p w14:paraId="77D2399D">
      <w:pPr>
        <w:snapToGrid w:val="0"/>
        <w:spacing w:line="400" w:lineRule="exact"/>
        <w:ind w:firstLine="480" w:firstLineChars="200"/>
        <w:outlineLvl w:val="2"/>
        <w:rPr>
          <w:rFonts w:hint="eastAsia"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（二）交货地点</w:t>
      </w:r>
    </w:p>
    <w:p w14:paraId="469B41F6">
      <w:pPr>
        <w:snapToGrid w:val="0"/>
        <w:spacing w:line="400" w:lineRule="exact"/>
        <w:ind w:firstLine="480" w:firstLineChars="200"/>
        <w:rPr>
          <w:rFonts w:hint="eastAsia"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交货地点：本项目按采购人下单批次分别送货至采购人指定地点（投标人自行综合考虑货物运输到采购人指定地点距离远近的不确定性、</w:t>
      </w:r>
      <w:r>
        <w:rPr>
          <w:rFonts w:hint="eastAsia" w:ascii="方正仿宋_GBK" w:hAnsi="宋体" w:eastAsia="方正仿宋_GBK"/>
          <w:color w:val="auto"/>
          <w:sz w:val="24"/>
          <w:szCs w:val="24"/>
        </w:rPr>
        <w:t>单次多个送达地点的不确定性</w:t>
      </w:r>
      <w:r>
        <w:rPr>
          <w:rFonts w:hint="eastAsia" w:ascii="方正仿宋_GBK" w:hAnsi="宋体" w:eastAsia="方正仿宋_GBK" w:cs="宋体"/>
          <w:color w:val="auto"/>
          <w:kern w:val="0"/>
          <w:sz w:val="24"/>
          <w:szCs w:val="24"/>
        </w:rPr>
        <w:t>等因素）。</w:t>
      </w:r>
    </w:p>
    <w:p w14:paraId="6326C2E5">
      <w:pPr>
        <w:snapToGrid w:val="0"/>
        <w:spacing w:line="400" w:lineRule="exact"/>
        <w:ind w:firstLine="480" w:firstLineChars="200"/>
        <w:outlineLvl w:val="2"/>
        <w:rPr>
          <w:rFonts w:hint="eastAsia"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（三）验收方式</w:t>
      </w:r>
    </w:p>
    <w:p w14:paraId="5F8D23F5">
      <w:pPr>
        <w:snapToGrid w:val="0"/>
        <w:spacing w:line="400" w:lineRule="exact"/>
        <w:ind w:firstLine="480" w:firstLineChars="200"/>
        <w:rPr>
          <w:rFonts w:hint="eastAsia"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1.每批次货物到达现场后，中标人应在使用单位人员在场情况下当面开箱，共同清点、检查外观，确认货物是否为投标时投标文件明确的品牌，作出开箱记录，双方签字确认。</w:t>
      </w:r>
    </w:p>
    <w:p w14:paraId="3E1CE7C5">
      <w:pPr>
        <w:snapToGrid w:val="0"/>
        <w:spacing w:line="400" w:lineRule="exact"/>
        <w:ind w:firstLine="480" w:firstLineChars="200"/>
        <w:rPr>
          <w:rFonts w:hint="eastAsia"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2.中标人应保证货物到达采购人所在地完好无损，如有缺漏、损坏，由中标人负责调换、补齐或赔偿。</w:t>
      </w:r>
    </w:p>
    <w:p w14:paraId="141A7225">
      <w:pPr>
        <w:snapToGrid w:val="0"/>
        <w:spacing w:line="400" w:lineRule="exact"/>
        <w:ind w:firstLine="480" w:firstLineChars="200"/>
        <w:rPr>
          <w:rFonts w:hint="eastAsia"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3.中标人应提供完备的技术资料（若有）、出厂合格证书、质检报告等，并验收合格。验收合格条件如下：</w:t>
      </w:r>
    </w:p>
    <w:p w14:paraId="53BEBA76">
      <w:pPr>
        <w:snapToGrid w:val="0"/>
        <w:spacing w:line="400" w:lineRule="exact"/>
        <w:ind w:firstLine="480" w:firstLineChars="200"/>
        <w:rPr>
          <w:rFonts w:hint="eastAsia"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3.1货物技术资料（若有）、出厂合格证书、质检报告等资料齐全（货物必须是投标时投标文件明确的品牌）。</w:t>
      </w:r>
    </w:p>
    <w:p w14:paraId="22883E37">
      <w:pPr>
        <w:snapToGrid w:val="0"/>
        <w:spacing w:line="400" w:lineRule="exact"/>
        <w:ind w:firstLine="480" w:firstLineChars="200"/>
        <w:rPr>
          <w:rFonts w:hint="eastAsia"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3.2在规定时间内完成交货并取得使用单位人员签字确认，最终经采购人确认。</w:t>
      </w:r>
    </w:p>
    <w:p w14:paraId="014377F6">
      <w:pPr>
        <w:snapToGrid w:val="0"/>
        <w:spacing w:line="400" w:lineRule="exact"/>
        <w:ind w:firstLine="480" w:firstLineChars="200"/>
        <w:rPr>
          <w:rFonts w:hint="eastAsia"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4.中标人提供的货物未达到招标文件规定质量标准，且对采购人造成损失的，由中标人承担一切责任，并赔偿所造成的损失。同时按招标文件约定处以违约金。</w:t>
      </w:r>
    </w:p>
    <w:p w14:paraId="5F213874">
      <w:pPr>
        <w:snapToGrid w:val="0"/>
        <w:spacing w:line="400" w:lineRule="exact"/>
        <w:ind w:firstLine="480" w:firstLineChars="200"/>
        <w:rPr>
          <w:rFonts w:hint="eastAsia"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5.采购人需要制造商对中标人交付的产品（包括质量、技术参数等）进行确认的，制造商应予以配合，并出具书面意见。</w:t>
      </w:r>
    </w:p>
    <w:p w14:paraId="0166DFCA">
      <w:pPr>
        <w:snapToGrid w:val="0"/>
        <w:spacing w:line="400" w:lineRule="exact"/>
        <w:ind w:firstLine="480" w:firstLineChars="200"/>
        <w:rPr>
          <w:rFonts w:hint="eastAsia"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6.产品包装材料归采购人所有。</w:t>
      </w:r>
    </w:p>
    <w:p w14:paraId="104A02F8">
      <w:pPr>
        <w:pStyle w:val="3"/>
        <w:spacing w:line="400" w:lineRule="exact"/>
        <w:ind w:firstLine="482" w:firstLineChars="200"/>
        <w:rPr>
          <w:rFonts w:hint="eastAsia" w:ascii="方正仿宋_GBK" w:eastAsia="方正仿宋_GBK"/>
          <w:b/>
          <w:color w:val="auto"/>
          <w:sz w:val="24"/>
          <w:szCs w:val="24"/>
        </w:rPr>
      </w:pPr>
      <w:bookmarkStart w:id="233" w:name="_Toc1484"/>
      <w:bookmarkStart w:id="234" w:name="_Toc29436"/>
      <w:bookmarkStart w:id="235" w:name="_Toc13418"/>
      <w:bookmarkStart w:id="236" w:name="_Toc22142"/>
      <w:bookmarkStart w:id="237" w:name="_Toc75793510"/>
      <w:bookmarkStart w:id="238" w:name="_Toc4036"/>
      <w:bookmarkStart w:id="239" w:name="_Toc28679"/>
      <w:bookmarkStart w:id="240" w:name="_Toc9271"/>
      <w:bookmarkStart w:id="241" w:name="_Toc8592"/>
      <w:bookmarkStart w:id="242" w:name="_Toc22158"/>
      <w:bookmarkStart w:id="243" w:name="_Toc18152"/>
      <w:bookmarkStart w:id="244" w:name="_Toc20367"/>
      <w:bookmarkStart w:id="245" w:name="_Toc7746"/>
      <w:bookmarkStart w:id="246" w:name="_Toc30781"/>
      <w:bookmarkStart w:id="247" w:name="_Toc29144"/>
      <w:bookmarkStart w:id="248" w:name="_Toc21022"/>
      <w:bookmarkStart w:id="249" w:name="_Toc267320050"/>
      <w:r>
        <w:rPr>
          <w:rFonts w:hint="eastAsia" w:ascii="方正仿宋_GBK" w:eastAsia="方正仿宋_GBK"/>
          <w:b/>
          <w:color w:val="auto"/>
          <w:sz w:val="24"/>
          <w:szCs w:val="24"/>
        </w:rPr>
        <w:t>二、报价要求</w:t>
      </w:r>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p>
    <w:p w14:paraId="59F246A6">
      <w:pPr>
        <w:snapToGrid w:val="0"/>
        <w:spacing w:line="400" w:lineRule="exact"/>
        <w:ind w:firstLine="480" w:firstLineChars="200"/>
        <w:rPr>
          <w:rFonts w:hint="eastAsia"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1、在供货期内，所有产品中标价不予调整，投标人应充分考虑所有货物品种最终实际采购数量多少的风险、服务期间的价格涨跌风险以及其他一切风险因素；供货期内结算及供货期满结算时，均不得以任何理由要求采购人调整价格、支付或补偿其他任何费用。</w:t>
      </w:r>
    </w:p>
    <w:p w14:paraId="249981CF">
      <w:pPr>
        <w:snapToGrid w:val="0"/>
        <w:spacing w:line="400" w:lineRule="exact"/>
        <w:ind w:firstLine="480" w:firstLineChars="200"/>
        <w:rPr>
          <w:rFonts w:hint="eastAsia"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2、投标人的报价是将满足采购人要求的产品运至采购人指定交货地点的综合报价，应包含了货物本身价值、仓储费、交易服务费、上下车费用、运输费用（投标人自行综合考虑货物运输到采购人指定地点距离远近的不确定性、单次送货量的不确定性、单次多个送达地点的不确定性等）、运输过程中的材料损耗、保险（交货前）、</w:t>
      </w:r>
      <w:r>
        <w:rPr>
          <w:rFonts w:hint="eastAsia" w:ascii="方正仿宋_GBK" w:hAnsi="宋体" w:eastAsia="方正仿宋_GBK" w:cs="宋体"/>
          <w:color w:val="auto"/>
          <w:kern w:val="0"/>
          <w:sz w:val="24"/>
          <w:szCs w:val="24"/>
          <w:lang w:val="en-US" w:eastAsia="zh-CN"/>
        </w:rPr>
        <w:t>车辆上户上牌费用、</w:t>
      </w:r>
      <w:r>
        <w:rPr>
          <w:rFonts w:hint="eastAsia" w:ascii="方正仿宋_GBK" w:hAnsi="宋体" w:eastAsia="方正仿宋_GBK" w:cs="宋体"/>
          <w:color w:val="auto"/>
          <w:kern w:val="0"/>
          <w:sz w:val="24"/>
          <w:szCs w:val="24"/>
        </w:rPr>
        <w:t>各种税金等一切与货物有关的价格以及招标文件明示或暗示的所有责任、义务和一切风险等。各投标人须结合自身情况及市场行情合理报价，不予增加任何费用。</w:t>
      </w:r>
    </w:p>
    <w:p w14:paraId="737537D2">
      <w:pPr>
        <w:snapToGrid w:val="0"/>
        <w:spacing w:line="400" w:lineRule="exact"/>
        <w:ind w:firstLine="480" w:firstLineChars="200"/>
        <w:rPr>
          <w:rFonts w:hint="eastAsia"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3、暂定采购数量仅作为本次招标的统一报价依据，结算时以最终实际采购数量为准（最终实际采购数量以相关方负责人签字确认的数量为准）。</w:t>
      </w:r>
    </w:p>
    <w:p w14:paraId="5C174010">
      <w:pPr>
        <w:snapToGrid w:val="0"/>
        <w:spacing w:line="400" w:lineRule="exact"/>
        <w:ind w:firstLine="480" w:firstLineChars="200"/>
        <w:rPr>
          <w:rFonts w:hint="eastAsia"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4、本项目以人民币为交易货币，且以元为单位。</w:t>
      </w:r>
    </w:p>
    <w:p w14:paraId="7461CE0C">
      <w:pPr>
        <w:snapToGrid w:val="0"/>
        <w:spacing w:line="400" w:lineRule="exact"/>
        <w:ind w:firstLine="480" w:firstLineChars="200"/>
        <w:rPr>
          <w:rFonts w:hint="eastAsia"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5、本项目各设施设备单价及总价均设置最高限价，投标人报价不得高于对应最高限价，否则报价不予认可。</w:t>
      </w:r>
    </w:p>
    <w:p w14:paraId="22624091">
      <w:pPr>
        <w:snapToGrid w:val="0"/>
        <w:spacing w:line="400" w:lineRule="exact"/>
        <w:ind w:firstLine="480" w:firstLineChars="200"/>
        <w:rPr>
          <w:rFonts w:hint="eastAsia"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6、每批次供货以采购人通知为准。投标人报价时综合考虑此风险，供货期内结算及供货期满结算时，均不得以任何理由要求采购人调整价格、支付或补偿其他任何费用。</w:t>
      </w:r>
    </w:p>
    <w:p w14:paraId="4CD8D74F">
      <w:pPr>
        <w:pStyle w:val="3"/>
        <w:spacing w:line="400" w:lineRule="exact"/>
        <w:ind w:firstLine="482" w:firstLineChars="200"/>
        <w:rPr>
          <w:rFonts w:hint="eastAsia" w:ascii="方正仿宋_GBK" w:eastAsia="方正仿宋_GBK"/>
          <w:b/>
          <w:color w:val="auto"/>
          <w:sz w:val="24"/>
          <w:szCs w:val="24"/>
        </w:rPr>
      </w:pPr>
      <w:bookmarkStart w:id="250" w:name="_Toc27382"/>
      <w:bookmarkStart w:id="251" w:name="_Toc75793511"/>
      <w:bookmarkStart w:id="252" w:name="_Toc1450"/>
      <w:bookmarkStart w:id="253" w:name="_Toc32313"/>
      <w:bookmarkStart w:id="254" w:name="_Toc15677"/>
      <w:bookmarkStart w:id="255" w:name="_Toc4774"/>
      <w:bookmarkStart w:id="256" w:name="_Toc15096"/>
      <w:bookmarkStart w:id="257" w:name="_Toc4252"/>
      <w:bookmarkStart w:id="258" w:name="_Toc20887"/>
      <w:bookmarkStart w:id="259" w:name="_Toc2244"/>
      <w:bookmarkStart w:id="260" w:name="_Toc23903"/>
      <w:bookmarkStart w:id="261" w:name="_Toc2821"/>
      <w:bookmarkStart w:id="262" w:name="_Toc16693"/>
      <w:bookmarkStart w:id="263" w:name="_Toc14177"/>
      <w:bookmarkStart w:id="264" w:name="_Toc3465"/>
      <w:bookmarkStart w:id="265" w:name="_Toc20182"/>
      <w:r>
        <w:rPr>
          <w:rFonts w:hint="eastAsia" w:ascii="方正仿宋_GBK" w:eastAsia="方正仿宋_GBK"/>
          <w:b/>
          <w:color w:val="auto"/>
          <w:sz w:val="24"/>
          <w:szCs w:val="24"/>
        </w:rPr>
        <w:t>三、质量保证</w:t>
      </w:r>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r>
        <w:rPr>
          <w:rFonts w:hint="eastAsia" w:ascii="方正仿宋_GBK" w:eastAsia="方正仿宋_GBK"/>
          <w:b/>
          <w:color w:val="auto"/>
          <w:sz w:val="24"/>
          <w:szCs w:val="24"/>
        </w:rPr>
        <w:t>约定</w:t>
      </w:r>
      <w:bookmarkEnd w:id="265"/>
    </w:p>
    <w:p w14:paraId="38A150E4">
      <w:pPr>
        <w:snapToGrid w:val="0"/>
        <w:spacing w:line="400" w:lineRule="exact"/>
        <w:ind w:firstLine="480" w:firstLineChars="200"/>
        <w:rPr>
          <w:rFonts w:hint="eastAsia"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1、中标人提供的货物必须达到招标文件规定质量标准，并验收合格。若经验收不合格，由中标人负责更换货物，直至验收合格，货物更换所产生的一切费用由中标人全部承担；对采购人或货物使用单位造成损失的，由中标人按照采购人或货物使用单位计算的损失金额进行赔偿，同时采购人有权终止合同，中标人缴纳的履约保证金不予退还。</w:t>
      </w:r>
    </w:p>
    <w:p w14:paraId="085A9BC1">
      <w:pPr>
        <w:snapToGrid w:val="0"/>
        <w:spacing w:line="400" w:lineRule="exact"/>
        <w:ind w:firstLine="480" w:firstLineChars="200"/>
        <w:rPr>
          <w:rFonts w:hint="eastAsia"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2、所有</w:t>
      </w:r>
      <w:r>
        <w:rPr>
          <w:rFonts w:hint="eastAsia" w:ascii="方正仿宋_GBK" w:hAnsi="宋体" w:eastAsia="方正仿宋_GBK" w:cs="宋体"/>
          <w:color w:val="auto"/>
          <w:kern w:val="0"/>
          <w:sz w:val="24"/>
          <w:szCs w:val="24"/>
          <w:lang w:val="en-US" w:eastAsia="zh-CN"/>
        </w:rPr>
        <w:t>车辆</w:t>
      </w:r>
      <w:r>
        <w:rPr>
          <w:rFonts w:hint="eastAsia" w:ascii="方正仿宋_GBK" w:hAnsi="宋体" w:eastAsia="方正仿宋_GBK" w:cs="宋体"/>
          <w:color w:val="auto"/>
          <w:kern w:val="0"/>
          <w:sz w:val="24"/>
          <w:szCs w:val="24"/>
        </w:rPr>
        <w:t>在法定的三包期内，出现非人为因素或非不可抗力因素的质量问题，由供货商承担三包责任，并在收到通知后48小时以内到场处理（</w:t>
      </w:r>
      <w:r>
        <w:rPr>
          <w:rFonts w:hint="eastAsia" w:ascii="方正仿宋_GBK" w:hAnsi="宋体" w:eastAsia="方正仿宋_GBK" w:cs="宋体"/>
          <w:color w:val="auto"/>
          <w:kern w:val="0"/>
          <w:sz w:val="24"/>
          <w:szCs w:val="24"/>
          <w:lang w:val="en-US" w:eastAsia="zh-CN"/>
        </w:rPr>
        <w:t>车辆</w:t>
      </w:r>
      <w:r>
        <w:rPr>
          <w:rFonts w:hint="eastAsia" w:ascii="方正仿宋_GBK" w:hAnsi="宋体" w:eastAsia="方正仿宋_GBK" w:cs="宋体"/>
          <w:color w:val="auto"/>
          <w:kern w:val="0"/>
          <w:sz w:val="24"/>
          <w:szCs w:val="24"/>
        </w:rPr>
        <w:t>的验收、维修、保养由</w:t>
      </w:r>
      <w:r>
        <w:rPr>
          <w:rFonts w:hint="eastAsia" w:ascii="方正仿宋_GBK" w:hAnsi="宋体" w:eastAsia="方正仿宋_GBK" w:cs="宋体"/>
          <w:color w:val="auto"/>
          <w:kern w:val="0"/>
          <w:sz w:val="24"/>
          <w:szCs w:val="24"/>
          <w:lang w:val="en-US" w:eastAsia="zh-CN"/>
        </w:rPr>
        <w:t>使用方</w:t>
      </w:r>
      <w:r>
        <w:rPr>
          <w:rFonts w:hint="eastAsia" w:ascii="方正仿宋_GBK" w:hAnsi="宋体" w:eastAsia="方正仿宋_GBK" w:cs="宋体"/>
          <w:color w:val="auto"/>
          <w:kern w:val="0"/>
          <w:sz w:val="24"/>
          <w:szCs w:val="24"/>
        </w:rPr>
        <w:t>与</w:t>
      </w:r>
      <w:r>
        <w:rPr>
          <w:rFonts w:hint="eastAsia" w:ascii="方正仿宋_GBK" w:hAnsi="宋体" w:eastAsia="方正仿宋_GBK" w:cs="宋体"/>
          <w:color w:val="auto"/>
          <w:kern w:val="0"/>
          <w:sz w:val="24"/>
          <w:szCs w:val="24"/>
          <w:lang w:val="en-US" w:eastAsia="zh-CN"/>
        </w:rPr>
        <w:t>供应商</w:t>
      </w:r>
      <w:r>
        <w:rPr>
          <w:rFonts w:hint="eastAsia" w:ascii="方正仿宋_GBK" w:hAnsi="宋体" w:eastAsia="方正仿宋_GBK" w:cs="宋体"/>
          <w:color w:val="auto"/>
          <w:kern w:val="0"/>
          <w:sz w:val="24"/>
          <w:szCs w:val="24"/>
        </w:rPr>
        <w:t>对接）。</w:t>
      </w:r>
    </w:p>
    <w:p w14:paraId="3118ECED">
      <w:pPr>
        <w:snapToGrid w:val="0"/>
        <w:spacing w:line="400" w:lineRule="exact"/>
        <w:ind w:firstLine="480" w:firstLineChars="200"/>
        <w:rPr>
          <w:rFonts w:hint="eastAsia" w:ascii="方正仿宋_GBK" w:hAnsi="宋体" w:eastAsia="方正仿宋_GBK" w:cs="宋体"/>
          <w:color w:val="auto"/>
          <w:kern w:val="0"/>
          <w:sz w:val="24"/>
          <w:szCs w:val="24"/>
          <w:lang w:val="en-US" w:eastAsia="zh-CN"/>
        </w:rPr>
      </w:pPr>
      <w:r>
        <w:rPr>
          <w:rFonts w:hint="eastAsia" w:ascii="方正仿宋_GBK" w:hAnsi="宋体" w:eastAsia="方正仿宋_GBK" w:cs="宋体"/>
          <w:color w:val="auto"/>
          <w:kern w:val="0"/>
          <w:sz w:val="24"/>
          <w:szCs w:val="24"/>
          <w:lang w:val="en-US" w:eastAsia="zh-CN"/>
        </w:rPr>
        <w:t>3、车辆保养按照国家相关规定及车辆生产厂家收到服务要求执行，。</w:t>
      </w:r>
    </w:p>
    <w:p w14:paraId="10C7D2A4">
      <w:pPr>
        <w:snapToGrid w:val="0"/>
        <w:spacing w:line="400" w:lineRule="exact"/>
        <w:ind w:firstLine="480" w:firstLineChars="200"/>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lang w:val="en-US" w:eastAsia="zh-CN"/>
        </w:rPr>
        <w:t>4</w:t>
      </w:r>
      <w:r>
        <w:rPr>
          <w:rFonts w:hint="eastAsia" w:ascii="方正仿宋_GBK" w:hAnsi="宋体" w:eastAsia="方正仿宋_GBK" w:cs="宋体"/>
          <w:color w:val="auto"/>
          <w:kern w:val="0"/>
          <w:sz w:val="24"/>
          <w:szCs w:val="24"/>
        </w:rPr>
        <w:t>、中标人提供的</w:t>
      </w:r>
      <w:r>
        <w:rPr>
          <w:rFonts w:hint="eastAsia" w:ascii="方正仿宋_GBK" w:hAnsi="宋体" w:eastAsia="方正仿宋_GBK" w:cs="宋体"/>
          <w:color w:val="auto"/>
          <w:kern w:val="0"/>
          <w:sz w:val="24"/>
          <w:szCs w:val="24"/>
          <w:lang w:val="en-US" w:eastAsia="zh-CN"/>
        </w:rPr>
        <w:t>车辆</w:t>
      </w:r>
      <w:r>
        <w:rPr>
          <w:rFonts w:hint="eastAsia" w:ascii="方正仿宋_GBK" w:hAnsi="宋体" w:eastAsia="方正仿宋_GBK" w:cs="宋体"/>
          <w:color w:val="auto"/>
          <w:kern w:val="0"/>
          <w:sz w:val="24"/>
          <w:szCs w:val="24"/>
        </w:rPr>
        <w:t>若经验收不合格，按照验收不合格批次货物结算总价款的1%处以违约金。若经验收不合格批次达到3批次时，采购人有权终止合同。</w:t>
      </w:r>
    </w:p>
    <w:p w14:paraId="3FCA5013">
      <w:pPr>
        <w:pStyle w:val="3"/>
        <w:spacing w:line="400" w:lineRule="exact"/>
        <w:ind w:firstLine="482" w:firstLineChars="200"/>
        <w:rPr>
          <w:rFonts w:hint="eastAsia" w:ascii="方正仿宋_GBK" w:eastAsia="方正仿宋_GBK"/>
          <w:b/>
          <w:color w:val="auto"/>
          <w:sz w:val="24"/>
          <w:szCs w:val="24"/>
        </w:rPr>
      </w:pPr>
      <w:bookmarkStart w:id="266" w:name="_Toc8955"/>
      <w:bookmarkStart w:id="267" w:name="_Toc25552"/>
      <w:bookmarkStart w:id="268" w:name="_Toc22695"/>
      <w:bookmarkStart w:id="269" w:name="_Toc30442"/>
      <w:bookmarkStart w:id="270" w:name="_Toc21888"/>
      <w:bookmarkStart w:id="271" w:name="_Toc8529"/>
      <w:bookmarkStart w:id="272" w:name="_Toc25745"/>
      <w:bookmarkStart w:id="273" w:name="_Toc32722"/>
      <w:bookmarkStart w:id="274" w:name="_Toc75793512"/>
      <w:bookmarkStart w:id="275" w:name="_Toc29286"/>
      <w:bookmarkStart w:id="276" w:name="_Toc25932"/>
      <w:bookmarkStart w:id="277" w:name="_Toc267320051"/>
      <w:bookmarkStart w:id="278" w:name="_Toc19350"/>
      <w:bookmarkStart w:id="279" w:name="_Toc18007"/>
      <w:bookmarkStart w:id="280" w:name="_Toc12285"/>
      <w:bookmarkStart w:id="281" w:name="_Toc5174"/>
      <w:bookmarkStart w:id="282" w:name="_Toc1008"/>
      <w:r>
        <w:rPr>
          <w:rFonts w:hint="eastAsia" w:ascii="方正仿宋_GBK" w:eastAsia="方正仿宋_GBK"/>
          <w:b/>
          <w:color w:val="auto"/>
          <w:sz w:val="24"/>
          <w:szCs w:val="24"/>
        </w:rPr>
        <w:t>四、付款方式</w:t>
      </w:r>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p>
    <w:p w14:paraId="5A5F66C8">
      <w:pPr>
        <w:snapToGrid w:val="0"/>
        <w:spacing w:line="400" w:lineRule="exact"/>
        <w:ind w:firstLine="480" w:firstLineChars="200"/>
        <w:rPr>
          <w:rFonts w:hint="eastAsia"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1、结款时凭送货单、</w:t>
      </w:r>
      <w:r>
        <w:rPr>
          <w:rFonts w:hint="eastAsia" w:ascii="方正仿宋_GBK" w:hAnsi="宋体" w:eastAsia="方正仿宋_GBK" w:cs="宋体"/>
          <w:color w:val="auto"/>
          <w:kern w:val="0"/>
          <w:sz w:val="24"/>
          <w:szCs w:val="24"/>
          <w:lang w:val="en-US" w:eastAsia="zh-CN"/>
        </w:rPr>
        <w:t>验收确认单</w:t>
      </w:r>
      <w:r>
        <w:rPr>
          <w:rFonts w:hint="eastAsia" w:ascii="方正仿宋_GBK" w:hAnsi="宋体" w:eastAsia="方正仿宋_GBK" w:cs="宋体"/>
          <w:color w:val="auto"/>
          <w:kern w:val="0"/>
          <w:sz w:val="24"/>
          <w:szCs w:val="24"/>
        </w:rPr>
        <w:t>（由相关方负责人签字确认）、退货单、有效发票（增值税专用发票）进行结算和付款。结算办法如下：</w:t>
      </w:r>
    </w:p>
    <w:p w14:paraId="243F814A">
      <w:pPr>
        <w:snapToGrid w:val="0"/>
        <w:spacing w:line="400" w:lineRule="exact"/>
        <w:ind w:firstLine="480" w:firstLineChars="200"/>
        <w:rPr>
          <w:rFonts w:hint="eastAsia"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（1）每批次结算价款=Σ该批次各种类</w:t>
      </w:r>
      <w:r>
        <w:rPr>
          <w:rFonts w:hint="eastAsia" w:ascii="方正仿宋_GBK" w:hAnsi="宋体" w:eastAsia="方正仿宋_GBK" w:cs="宋体"/>
          <w:color w:val="auto"/>
          <w:kern w:val="0"/>
          <w:sz w:val="24"/>
          <w:szCs w:val="24"/>
          <w:lang w:val="en-US" w:eastAsia="zh-CN"/>
        </w:rPr>
        <w:t>车辆</w:t>
      </w:r>
      <w:r>
        <w:rPr>
          <w:rFonts w:hint="eastAsia" w:ascii="方正仿宋_GBK" w:hAnsi="宋体" w:eastAsia="方正仿宋_GBK" w:cs="宋体"/>
          <w:color w:val="auto"/>
          <w:kern w:val="0"/>
          <w:sz w:val="24"/>
          <w:szCs w:val="24"/>
        </w:rPr>
        <w:t>结算价；</w:t>
      </w:r>
    </w:p>
    <w:p w14:paraId="0F6B3529">
      <w:pPr>
        <w:snapToGrid w:val="0"/>
        <w:spacing w:line="400" w:lineRule="exact"/>
        <w:ind w:firstLine="480" w:firstLineChars="200"/>
        <w:rPr>
          <w:rFonts w:hint="eastAsia"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（2）该批次各种类</w:t>
      </w:r>
      <w:r>
        <w:rPr>
          <w:rFonts w:hint="eastAsia" w:ascii="方正仿宋_GBK" w:hAnsi="宋体" w:eastAsia="方正仿宋_GBK" w:cs="宋体"/>
          <w:color w:val="auto"/>
          <w:kern w:val="0"/>
          <w:sz w:val="24"/>
          <w:szCs w:val="24"/>
          <w:lang w:val="en-US" w:eastAsia="zh-CN"/>
        </w:rPr>
        <w:t>车辆</w:t>
      </w:r>
      <w:r>
        <w:rPr>
          <w:rFonts w:hint="eastAsia" w:ascii="方正仿宋_GBK" w:hAnsi="宋体" w:eastAsia="方正仿宋_GBK" w:cs="宋体"/>
          <w:color w:val="auto"/>
          <w:kern w:val="0"/>
          <w:sz w:val="24"/>
          <w:szCs w:val="24"/>
        </w:rPr>
        <w:t>结算价=对应</w:t>
      </w:r>
      <w:r>
        <w:rPr>
          <w:rFonts w:hint="eastAsia" w:ascii="方正仿宋_GBK" w:hAnsi="宋体" w:eastAsia="方正仿宋_GBK" w:cs="宋体"/>
          <w:color w:val="auto"/>
          <w:kern w:val="0"/>
          <w:sz w:val="24"/>
          <w:szCs w:val="24"/>
          <w:lang w:val="en-US" w:eastAsia="zh-CN"/>
        </w:rPr>
        <w:t>车辆</w:t>
      </w:r>
      <w:r>
        <w:rPr>
          <w:rFonts w:hint="eastAsia" w:ascii="方正仿宋_GBK" w:hAnsi="宋体" w:eastAsia="方正仿宋_GBK" w:cs="宋体"/>
          <w:color w:val="auto"/>
          <w:kern w:val="0"/>
          <w:sz w:val="24"/>
          <w:szCs w:val="24"/>
        </w:rPr>
        <w:t>结算单价*该批次</w:t>
      </w:r>
      <w:r>
        <w:rPr>
          <w:rFonts w:hint="eastAsia" w:ascii="方正仿宋_GBK" w:hAnsi="宋体" w:eastAsia="方正仿宋_GBK" w:cs="宋体"/>
          <w:color w:val="auto"/>
          <w:kern w:val="0"/>
          <w:sz w:val="24"/>
          <w:szCs w:val="24"/>
          <w:lang w:val="en-US" w:eastAsia="zh-CN"/>
        </w:rPr>
        <w:t>车辆</w:t>
      </w:r>
      <w:r>
        <w:rPr>
          <w:rFonts w:hint="eastAsia" w:ascii="方正仿宋_GBK" w:hAnsi="宋体" w:eastAsia="方正仿宋_GBK" w:cs="宋体"/>
          <w:color w:val="auto"/>
          <w:kern w:val="0"/>
          <w:sz w:val="24"/>
          <w:szCs w:val="24"/>
        </w:rPr>
        <w:t>实际采购数量；</w:t>
      </w:r>
    </w:p>
    <w:p w14:paraId="0807EC4E">
      <w:pPr>
        <w:snapToGrid w:val="0"/>
        <w:spacing w:line="400" w:lineRule="exact"/>
        <w:ind w:firstLine="480" w:firstLineChars="200"/>
        <w:rPr>
          <w:rFonts w:hint="eastAsia"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（3）对应种类材料结算单价的确定：</w:t>
      </w:r>
    </w:p>
    <w:p w14:paraId="6D64197B">
      <w:pPr>
        <w:snapToGrid w:val="0"/>
        <w:spacing w:line="400" w:lineRule="exact"/>
        <w:ind w:firstLine="482" w:firstLineChars="200"/>
        <w:rPr>
          <w:rFonts w:hint="eastAsia" w:ascii="方正仿宋_GBK" w:hAnsi="宋体" w:eastAsia="方正仿宋_GBK" w:cs="宋体"/>
          <w:b/>
          <w:bCs/>
          <w:color w:val="auto"/>
          <w:kern w:val="0"/>
          <w:sz w:val="24"/>
          <w:szCs w:val="24"/>
        </w:rPr>
      </w:pPr>
      <w:r>
        <w:rPr>
          <w:rFonts w:hint="eastAsia" w:ascii="方正仿宋_GBK" w:hAnsi="宋体" w:eastAsia="方正仿宋_GBK" w:cs="宋体"/>
          <w:b/>
          <w:bCs/>
          <w:color w:val="auto"/>
          <w:kern w:val="0"/>
          <w:sz w:val="24"/>
          <w:szCs w:val="24"/>
        </w:rPr>
        <w:t>对应种类</w:t>
      </w:r>
      <w:r>
        <w:rPr>
          <w:rFonts w:hint="eastAsia" w:ascii="方正仿宋_GBK" w:hAnsi="宋体" w:eastAsia="方正仿宋_GBK" w:cs="宋体"/>
          <w:b/>
          <w:bCs/>
          <w:color w:val="auto"/>
          <w:kern w:val="0"/>
          <w:sz w:val="24"/>
          <w:szCs w:val="24"/>
          <w:lang w:val="en-US" w:eastAsia="zh-CN"/>
        </w:rPr>
        <w:t>车辆</w:t>
      </w:r>
      <w:r>
        <w:rPr>
          <w:rFonts w:hint="eastAsia" w:ascii="方正仿宋_GBK" w:hAnsi="宋体" w:eastAsia="方正仿宋_GBK" w:cs="宋体"/>
          <w:b/>
          <w:bCs/>
          <w:color w:val="auto"/>
          <w:kern w:val="0"/>
          <w:sz w:val="24"/>
          <w:szCs w:val="24"/>
        </w:rPr>
        <w:t>结算单价=本招标文件“第七篇 经济文件”的“（二）货物信息报价表”中明确的对应投标报价。</w:t>
      </w:r>
    </w:p>
    <w:p w14:paraId="6CD9216B">
      <w:pPr>
        <w:snapToGrid w:val="0"/>
        <w:spacing w:line="400" w:lineRule="exact"/>
        <w:ind w:firstLine="480" w:firstLineChars="200"/>
        <w:rPr>
          <w:rFonts w:hint="eastAsia"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注：按以上原则计算出的各种类材料结算单价为供货方将该计量单位货物运送至采购人指定地点的的到场价格，该价格包含货物本身价值、仓储费、交易服务费、上下车费用、运输费用（投标人自行综合考虑货物运输到采购人指定地点距离远近的不确定性、单次送货量的不确定性、单次多个送达地点的不确定性等）、运输过程中的材料损耗、保险（交货前）、</w:t>
      </w:r>
      <w:r>
        <w:rPr>
          <w:rFonts w:hint="eastAsia" w:ascii="方正仿宋_GBK" w:hAnsi="宋体" w:eastAsia="方正仿宋_GBK" w:cs="宋体"/>
          <w:color w:val="auto"/>
          <w:kern w:val="0"/>
          <w:sz w:val="24"/>
          <w:szCs w:val="24"/>
          <w:lang w:val="en-US" w:eastAsia="zh-CN"/>
        </w:rPr>
        <w:t>车辆上户上牌费用、</w:t>
      </w:r>
      <w:r>
        <w:rPr>
          <w:rFonts w:hint="eastAsia" w:ascii="方正仿宋_GBK" w:hAnsi="宋体" w:eastAsia="方正仿宋_GBK" w:cs="宋体"/>
          <w:color w:val="auto"/>
          <w:kern w:val="0"/>
          <w:sz w:val="24"/>
          <w:szCs w:val="24"/>
        </w:rPr>
        <w:t>各种税金等一切与货物有关的价格以及招标文件明示或暗示的所有责任、义务和一切风险等。各投标人须结合自身情况及市场行情合理报价，不予增加任何费用。</w:t>
      </w:r>
    </w:p>
    <w:p w14:paraId="7533F792">
      <w:pPr>
        <w:snapToGrid w:val="0"/>
        <w:spacing w:line="400" w:lineRule="exact"/>
        <w:ind w:firstLine="480" w:firstLineChars="200"/>
        <w:rPr>
          <w:rFonts w:hint="eastAsia"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2、货款支付</w:t>
      </w:r>
    </w:p>
    <w:p w14:paraId="23795D0D">
      <w:pPr>
        <w:snapToGrid w:val="0"/>
        <w:spacing w:line="400" w:lineRule="exact"/>
        <w:ind w:firstLine="480" w:firstLineChars="200"/>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rPr>
        <w:t>每一批</w:t>
      </w:r>
      <w:r>
        <w:rPr>
          <w:rFonts w:hint="eastAsia" w:ascii="方正仿宋_GBK" w:hAnsi="宋体" w:eastAsia="方正仿宋_GBK" w:cs="宋体"/>
          <w:color w:val="auto"/>
          <w:kern w:val="0"/>
          <w:sz w:val="24"/>
          <w:szCs w:val="24"/>
          <w:lang w:val="en-US" w:eastAsia="zh-CN"/>
        </w:rPr>
        <w:t>车辆</w:t>
      </w:r>
      <w:r>
        <w:rPr>
          <w:rFonts w:hint="eastAsia" w:ascii="方正仿宋_GBK" w:hAnsi="宋体" w:eastAsia="方正仿宋_GBK" w:cs="宋体"/>
          <w:color w:val="auto"/>
          <w:kern w:val="0"/>
          <w:sz w:val="24"/>
          <w:szCs w:val="24"/>
        </w:rPr>
        <w:t>到场且验收合格后，提交验收合格资料及增值税专用发票至采购人，采购人在30天内办理相关流程予以支付。</w:t>
      </w:r>
    </w:p>
    <w:p w14:paraId="684BA6CB">
      <w:pPr>
        <w:numPr>
          <w:ilvl w:val="0"/>
          <w:numId w:val="20"/>
        </w:numPr>
        <w:snapToGrid w:val="0"/>
        <w:spacing w:line="400" w:lineRule="exact"/>
        <w:ind w:firstLine="482" w:firstLineChars="200"/>
        <w:rPr>
          <w:rFonts w:hint="eastAsia" w:ascii="方正仿宋_GBK" w:eastAsia="方正仿宋_GBK"/>
          <w:b/>
          <w:color w:val="auto"/>
          <w:sz w:val="24"/>
          <w:szCs w:val="24"/>
        </w:rPr>
      </w:pPr>
      <w:r>
        <w:rPr>
          <w:rFonts w:hint="eastAsia" w:ascii="方正仿宋_GBK" w:eastAsia="方正仿宋_GBK"/>
          <w:b/>
          <w:color w:val="auto"/>
          <w:sz w:val="24"/>
          <w:szCs w:val="24"/>
        </w:rPr>
        <w:t>其他商务要求内容</w:t>
      </w:r>
    </w:p>
    <w:p w14:paraId="0348FC01">
      <w:pPr>
        <w:numPr>
          <w:ilvl w:val="0"/>
          <w:numId w:val="21"/>
        </w:numPr>
        <w:snapToGrid w:val="0"/>
        <w:spacing w:line="400" w:lineRule="exact"/>
        <w:ind w:firstLine="480" w:firstLineChars="200"/>
        <w:rPr>
          <w:rFonts w:hint="eastAsia" w:ascii="方正仿宋_GBK" w:hAnsi="宋体" w:eastAsia="方正仿宋_GBK" w:cs="宋体"/>
          <w:color w:val="auto"/>
          <w:kern w:val="0"/>
          <w:sz w:val="24"/>
          <w:szCs w:val="24"/>
        </w:rPr>
      </w:pPr>
      <w:bookmarkStart w:id="283" w:name="OLE_LINK4"/>
      <w:bookmarkStart w:id="284" w:name="OLE_LINK3"/>
      <w:r>
        <w:rPr>
          <w:rFonts w:hint="eastAsia" w:ascii="方正仿宋_GBK" w:hAnsi="宋体" w:eastAsia="方正仿宋_GBK" w:cs="宋体"/>
          <w:color w:val="auto"/>
          <w:kern w:val="0"/>
          <w:sz w:val="24"/>
          <w:szCs w:val="24"/>
        </w:rPr>
        <w:t>合同签订时中标人向采购人缴纳合同金额10%的履约保证金（以支票、汇票、本票或者金融机构、担保机构出具的保函等非现金形式提交</w:t>
      </w:r>
      <w:bookmarkEnd w:id="283"/>
      <w:bookmarkEnd w:id="284"/>
      <w:r>
        <w:rPr>
          <w:rFonts w:hint="eastAsia" w:ascii="方正仿宋_GBK" w:hAnsi="宋体" w:eastAsia="方正仿宋_GBK" w:cs="宋体"/>
          <w:color w:val="auto"/>
          <w:kern w:val="0"/>
          <w:sz w:val="24"/>
          <w:szCs w:val="24"/>
        </w:rPr>
        <w:t>。）；供货期满后无息退还。</w:t>
      </w:r>
    </w:p>
    <w:p w14:paraId="75DDBBD3">
      <w:pPr>
        <w:numPr>
          <w:ilvl w:val="0"/>
          <w:numId w:val="21"/>
        </w:numPr>
        <w:snapToGrid w:val="0"/>
        <w:spacing w:line="400" w:lineRule="exact"/>
        <w:ind w:firstLine="480" w:firstLineChars="200"/>
        <w:rPr>
          <w:rFonts w:hint="eastAsia"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lang w:eastAsia="zh-CN"/>
        </w:rPr>
        <w:t>本次车辆采购所涉及的购置税、上牌费、保险费由使用单位自行承担，由县农业农村委在中标后确定使用单位</w:t>
      </w:r>
    </w:p>
    <w:p w14:paraId="0F29B6C8">
      <w:pPr>
        <w:snapToGrid w:val="0"/>
        <w:spacing w:line="400" w:lineRule="exact"/>
        <w:ind w:firstLine="480" w:firstLineChars="200"/>
        <w:rPr>
          <w:rFonts w:ascii="方正仿宋_GBK" w:hAnsi="宋体" w:eastAsia="方正仿宋_GBK" w:cs="宋体"/>
          <w:color w:val="auto"/>
          <w:kern w:val="0"/>
          <w:sz w:val="24"/>
          <w:szCs w:val="24"/>
        </w:rPr>
      </w:pPr>
      <w:r>
        <w:rPr>
          <w:rFonts w:hint="eastAsia" w:ascii="方正仿宋_GBK" w:hAnsi="宋体" w:eastAsia="方正仿宋_GBK" w:cs="宋体"/>
          <w:color w:val="auto"/>
          <w:kern w:val="0"/>
          <w:sz w:val="24"/>
          <w:szCs w:val="24"/>
          <w:lang w:val="en-US" w:eastAsia="zh-CN"/>
        </w:rPr>
        <w:t>3</w:t>
      </w:r>
      <w:r>
        <w:rPr>
          <w:rFonts w:hint="eastAsia" w:ascii="方正仿宋_GBK" w:hAnsi="宋体" w:eastAsia="方正仿宋_GBK" w:cs="宋体"/>
          <w:color w:val="auto"/>
          <w:kern w:val="0"/>
          <w:sz w:val="24"/>
          <w:szCs w:val="24"/>
        </w:rPr>
        <w:t>、若中标人某批次货物未在规定的交货时间内交货，每晚一天按照该批次货物结算总价款的3</w:t>
      </w:r>
      <w:r>
        <w:rPr>
          <w:rFonts w:ascii="Arial" w:hAnsi="Arial" w:eastAsia="方正仿宋_GBK" w:cs="Arial"/>
          <w:color w:val="auto"/>
          <w:kern w:val="0"/>
          <w:sz w:val="24"/>
          <w:szCs w:val="24"/>
        </w:rPr>
        <w:t>‰</w:t>
      </w:r>
      <w:r>
        <w:rPr>
          <w:rFonts w:hint="eastAsia" w:ascii="Arial" w:hAnsi="Arial" w:eastAsia="方正仿宋_GBK" w:cs="Arial"/>
          <w:color w:val="auto"/>
          <w:kern w:val="0"/>
          <w:sz w:val="24"/>
          <w:szCs w:val="24"/>
        </w:rPr>
        <w:t>累计计算</w:t>
      </w:r>
      <w:r>
        <w:rPr>
          <w:rFonts w:hint="eastAsia" w:ascii="方正仿宋_GBK" w:hAnsi="宋体" w:eastAsia="方正仿宋_GBK" w:cs="宋体"/>
          <w:color w:val="auto"/>
          <w:kern w:val="0"/>
          <w:sz w:val="24"/>
          <w:szCs w:val="24"/>
        </w:rPr>
        <w:t>处以违约金。</w:t>
      </w:r>
    </w:p>
    <w:p w14:paraId="423E9781">
      <w:pPr>
        <w:snapToGrid w:val="0"/>
        <w:spacing w:line="400" w:lineRule="exact"/>
        <w:ind w:firstLine="480" w:firstLineChars="200"/>
        <w:rPr>
          <w:rFonts w:hint="eastAsia" w:ascii="方正仿宋_GBK" w:hAnsi="宋体" w:eastAsia="方正仿宋_GBK" w:cs="宋体"/>
          <w:color w:val="auto"/>
          <w:kern w:val="0"/>
          <w:sz w:val="24"/>
          <w:szCs w:val="24"/>
        </w:rPr>
      </w:pPr>
    </w:p>
    <w:p w14:paraId="4AB47F95">
      <w:pPr>
        <w:snapToGrid w:val="0"/>
        <w:spacing w:line="400" w:lineRule="exact"/>
        <w:ind w:firstLine="480" w:firstLineChars="200"/>
        <w:rPr>
          <w:rFonts w:hint="eastAsia" w:ascii="方正仿宋_GBK" w:hAnsi="宋体" w:eastAsia="方正仿宋_GBK" w:cs="宋体"/>
          <w:color w:val="auto"/>
          <w:kern w:val="0"/>
          <w:sz w:val="24"/>
          <w:szCs w:val="24"/>
        </w:rPr>
      </w:pPr>
    </w:p>
    <w:p w14:paraId="2E78D822">
      <w:pPr>
        <w:snapToGrid w:val="0"/>
        <w:spacing w:line="400" w:lineRule="exact"/>
        <w:ind w:firstLine="480" w:firstLineChars="200"/>
        <w:rPr>
          <w:rFonts w:hint="eastAsia" w:ascii="方正仿宋_GBK" w:hAnsi="宋体" w:eastAsia="方正仿宋_GBK" w:cs="宋体"/>
          <w:color w:val="auto"/>
          <w:kern w:val="0"/>
          <w:sz w:val="24"/>
          <w:szCs w:val="24"/>
        </w:rPr>
      </w:pPr>
    </w:p>
    <w:p w14:paraId="3E19FA2C">
      <w:pPr>
        <w:snapToGrid w:val="0"/>
        <w:spacing w:line="400" w:lineRule="exact"/>
        <w:ind w:firstLine="480" w:firstLineChars="200"/>
        <w:rPr>
          <w:rFonts w:hint="eastAsia" w:ascii="方正仿宋_GBK" w:hAnsi="宋体" w:eastAsia="方正仿宋_GBK" w:cs="宋体"/>
          <w:color w:val="auto"/>
          <w:kern w:val="0"/>
          <w:sz w:val="24"/>
          <w:szCs w:val="24"/>
        </w:rPr>
      </w:pPr>
    </w:p>
    <w:p w14:paraId="1FB5E453">
      <w:pPr>
        <w:snapToGrid w:val="0"/>
        <w:spacing w:line="400" w:lineRule="exact"/>
        <w:ind w:firstLine="480" w:firstLineChars="200"/>
        <w:rPr>
          <w:rFonts w:hint="eastAsia" w:ascii="方正仿宋_GBK" w:hAnsi="宋体" w:eastAsia="方正仿宋_GBK" w:cs="宋体"/>
          <w:color w:val="auto"/>
          <w:kern w:val="0"/>
          <w:sz w:val="24"/>
          <w:szCs w:val="24"/>
        </w:rPr>
      </w:pPr>
    </w:p>
    <w:p w14:paraId="410C2E0E">
      <w:pPr>
        <w:snapToGrid w:val="0"/>
        <w:spacing w:line="400" w:lineRule="exact"/>
        <w:ind w:firstLine="480" w:firstLineChars="200"/>
        <w:rPr>
          <w:rFonts w:hint="eastAsia" w:ascii="方正仿宋_GBK" w:hAnsi="宋体" w:eastAsia="方正仿宋_GBK" w:cs="宋体"/>
          <w:color w:val="auto"/>
          <w:kern w:val="0"/>
          <w:sz w:val="24"/>
          <w:szCs w:val="24"/>
        </w:rPr>
      </w:pPr>
    </w:p>
    <w:p w14:paraId="359B9974">
      <w:pPr>
        <w:snapToGrid w:val="0"/>
        <w:spacing w:line="400" w:lineRule="exact"/>
        <w:ind w:firstLine="480" w:firstLineChars="200"/>
        <w:rPr>
          <w:rFonts w:hint="eastAsia" w:ascii="方正仿宋_GBK" w:hAnsi="宋体" w:eastAsia="方正仿宋_GBK" w:cs="宋体"/>
          <w:color w:val="auto"/>
          <w:kern w:val="0"/>
          <w:sz w:val="24"/>
          <w:szCs w:val="24"/>
        </w:rPr>
      </w:pPr>
    </w:p>
    <w:p w14:paraId="397AD7EE">
      <w:pPr>
        <w:snapToGrid w:val="0"/>
        <w:spacing w:line="400" w:lineRule="exact"/>
        <w:ind w:firstLine="480" w:firstLineChars="200"/>
        <w:rPr>
          <w:rFonts w:hint="eastAsia" w:ascii="方正仿宋_GBK" w:hAnsi="宋体" w:eastAsia="方正仿宋_GBK" w:cs="宋体"/>
          <w:color w:val="auto"/>
          <w:kern w:val="0"/>
          <w:sz w:val="24"/>
          <w:szCs w:val="24"/>
        </w:rPr>
      </w:pPr>
    </w:p>
    <w:p w14:paraId="7C158016">
      <w:pPr>
        <w:snapToGrid w:val="0"/>
        <w:spacing w:line="400" w:lineRule="exact"/>
        <w:rPr>
          <w:rFonts w:hint="eastAsia" w:ascii="方正仿宋_GBK" w:hAnsi="宋体" w:eastAsia="方正仿宋_GBK" w:cs="宋体"/>
          <w:color w:val="auto"/>
          <w:kern w:val="0"/>
          <w:sz w:val="24"/>
          <w:szCs w:val="24"/>
        </w:rPr>
      </w:pPr>
    </w:p>
    <w:p w14:paraId="7C86F5BA">
      <w:pPr>
        <w:snapToGrid w:val="0"/>
        <w:spacing w:line="400" w:lineRule="exact"/>
        <w:ind w:firstLine="480" w:firstLineChars="200"/>
        <w:rPr>
          <w:rFonts w:hint="eastAsia" w:ascii="方正仿宋_GBK" w:hAnsi="宋体" w:eastAsia="方正仿宋_GBK" w:cs="宋体"/>
          <w:color w:val="auto"/>
          <w:kern w:val="0"/>
          <w:sz w:val="24"/>
          <w:szCs w:val="24"/>
        </w:rPr>
      </w:pPr>
    </w:p>
    <w:p w14:paraId="30F7AC39">
      <w:pPr>
        <w:pStyle w:val="2"/>
        <w:spacing w:before="0" w:beforeLines="0" w:after="0" w:afterLines="0" w:line="240" w:lineRule="auto"/>
        <w:rPr>
          <w:rFonts w:hint="eastAsia" w:ascii="方正仿宋_GBK" w:eastAsia="方正仿宋_GBK"/>
          <w:b/>
          <w:highlight w:val="none"/>
          <w:u w:val="none" w:color="auto"/>
        </w:rPr>
      </w:pPr>
      <w:r>
        <w:rPr>
          <w:rFonts w:hint="eastAsia" w:ascii="方正仿宋_GBK" w:eastAsia="方正仿宋_GBK"/>
          <w:b/>
          <w:highlight w:val="none"/>
          <w:u w:val="none" w:color="auto"/>
        </w:rPr>
        <w:t>第四篇  资格审查及评标办法</w:t>
      </w:r>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p>
    <w:p w14:paraId="0FCC685A">
      <w:pPr>
        <w:pStyle w:val="3"/>
        <w:spacing w:line="400" w:lineRule="exact"/>
        <w:ind w:firstLine="482" w:firstLineChars="200"/>
        <w:rPr>
          <w:rFonts w:hint="eastAsia" w:ascii="方正仿宋_GBK" w:eastAsia="方正仿宋_GBK"/>
          <w:b/>
          <w:sz w:val="24"/>
          <w:szCs w:val="24"/>
          <w:highlight w:val="none"/>
          <w:u w:val="none" w:color="auto"/>
        </w:rPr>
      </w:pPr>
      <w:bookmarkStart w:id="285" w:name="_Toc25971"/>
      <w:bookmarkStart w:id="286" w:name="_Toc29755"/>
      <w:bookmarkStart w:id="287" w:name="_Toc14564"/>
      <w:bookmarkStart w:id="288" w:name="_Toc8983"/>
      <w:bookmarkStart w:id="289" w:name="_Toc1497"/>
      <w:bookmarkStart w:id="290" w:name="_Toc21859"/>
      <w:bookmarkStart w:id="291" w:name="_Toc27081"/>
      <w:bookmarkStart w:id="292" w:name="_Toc20541"/>
      <w:bookmarkStart w:id="293" w:name="_Toc75793518"/>
      <w:bookmarkStart w:id="294" w:name="_Toc28903"/>
      <w:bookmarkStart w:id="295" w:name="_Toc12641"/>
      <w:bookmarkStart w:id="296" w:name="_Toc28360"/>
      <w:bookmarkStart w:id="297" w:name="_Toc23973"/>
      <w:bookmarkStart w:id="298" w:name="_Toc4071"/>
      <w:bookmarkStart w:id="299" w:name="_Toc26309"/>
      <w:bookmarkStart w:id="300" w:name="_Toc766"/>
      <w:bookmarkStart w:id="301" w:name="_Toc353494948"/>
      <w:bookmarkStart w:id="302" w:name="_Toc29"/>
      <w:bookmarkStart w:id="303" w:name="_Toc106030394"/>
      <w:bookmarkStart w:id="304" w:name="_Toc29973"/>
      <w:r>
        <w:rPr>
          <w:rFonts w:hint="eastAsia" w:ascii="方正仿宋_GBK" w:eastAsia="方正仿宋_GBK"/>
          <w:b/>
          <w:sz w:val="24"/>
          <w:szCs w:val="24"/>
          <w:highlight w:val="none"/>
          <w:u w:val="none" w:color="auto"/>
        </w:rPr>
        <w:t>一、资格审查</w:t>
      </w:r>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r>
        <w:rPr>
          <w:rFonts w:hint="eastAsia" w:ascii="方正仿宋_GBK" w:eastAsia="方正仿宋_GBK"/>
          <w:b/>
          <w:sz w:val="24"/>
          <w:szCs w:val="24"/>
          <w:highlight w:val="none"/>
          <w:u w:val="none" w:color="auto"/>
        </w:rPr>
        <w:t>及</w:t>
      </w:r>
      <w:r>
        <w:rPr>
          <w:rFonts w:ascii="方正仿宋_GBK" w:eastAsia="方正仿宋_GBK"/>
          <w:b/>
          <w:sz w:val="24"/>
          <w:szCs w:val="24"/>
          <w:highlight w:val="none"/>
          <w:u w:val="none" w:color="auto"/>
        </w:rPr>
        <w:t>符合性审查</w:t>
      </w:r>
      <w:bookmarkEnd w:id="300"/>
      <w:bookmarkEnd w:id="301"/>
      <w:bookmarkEnd w:id="302"/>
      <w:bookmarkEnd w:id="303"/>
      <w:bookmarkEnd w:id="304"/>
    </w:p>
    <w:p w14:paraId="727A19E8">
      <w:pPr>
        <w:snapToGrid w:val="0"/>
        <w:spacing w:line="400" w:lineRule="exact"/>
        <w:ind w:firstLine="482" w:firstLineChars="200"/>
        <w:rPr>
          <w:rFonts w:hint="eastAsia" w:ascii="方正仿宋_GBK" w:eastAsia="方正仿宋_GBK"/>
          <w:b/>
          <w:color w:val="000000" w:themeColor="text1"/>
          <w:sz w:val="24"/>
          <w:szCs w:val="24"/>
          <w:highlight w:val="none"/>
          <w:u w:val="none" w:color="auto"/>
          <w14:textFill>
            <w14:solidFill>
              <w14:schemeClr w14:val="tx1"/>
            </w14:solidFill>
          </w14:textFill>
        </w:rPr>
      </w:pPr>
      <w:r>
        <w:rPr>
          <w:rFonts w:hint="eastAsia" w:ascii="方正仿宋_GBK" w:eastAsia="方正仿宋_GBK"/>
          <w:b/>
          <w:color w:val="000000" w:themeColor="text1"/>
          <w:sz w:val="24"/>
          <w:szCs w:val="24"/>
          <w:highlight w:val="none"/>
          <w:u w:val="none" w:color="auto"/>
          <w14:textFill>
            <w14:solidFill>
              <w14:schemeClr w14:val="tx1"/>
            </w14:solidFill>
          </w14:textFill>
        </w:rPr>
        <w:t>若未</w:t>
      </w:r>
      <w:r>
        <w:rPr>
          <w:rFonts w:ascii="方正仿宋_GBK" w:eastAsia="方正仿宋_GBK"/>
          <w:b/>
          <w:color w:val="000000" w:themeColor="text1"/>
          <w:sz w:val="24"/>
          <w:szCs w:val="24"/>
          <w:highlight w:val="none"/>
          <w:u w:val="none" w:color="auto"/>
          <w14:textFill>
            <w14:solidFill>
              <w14:schemeClr w14:val="tx1"/>
            </w14:solidFill>
          </w14:textFill>
        </w:rPr>
        <w:t>通过</w:t>
      </w:r>
      <w:r>
        <w:rPr>
          <w:rFonts w:hint="eastAsia" w:ascii="方正仿宋_GBK" w:eastAsia="方正仿宋_GBK"/>
          <w:b/>
          <w:color w:val="000000" w:themeColor="text1"/>
          <w:sz w:val="24"/>
          <w:szCs w:val="24"/>
          <w:highlight w:val="none"/>
          <w:u w:val="none" w:color="auto"/>
          <w14:textFill>
            <w14:solidFill>
              <w14:schemeClr w14:val="tx1"/>
            </w14:solidFill>
          </w14:textFill>
        </w:rPr>
        <w:t>资格审查</w:t>
      </w:r>
      <w:r>
        <w:rPr>
          <w:rFonts w:ascii="方正仿宋_GBK" w:eastAsia="方正仿宋_GBK"/>
          <w:b/>
          <w:color w:val="000000" w:themeColor="text1"/>
          <w:sz w:val="24"/>
          <w:szCs w:val="24"/>
          <w:highlight w:val="none"/>
          <w:u w:val="none" w:color="auto"/>
          <w14:textFill>
            <w14:solidFill>
              <w14:schemeClr w14:val="tx1"/>
            </w14:solidFill>
          </w14:textFill>
        </w:rPr>
        <w:t>及符合性审查的投标文件，</w:t>
      </w:r>
      <w:r>
        <w:rPr>
          <w:rFonts w:hint="eastAsia" w:ascii="方正仿宋_GBK" w:eastAsia="方正仿宋_GBK"/>
          <w:b/>
          <w:color w:val="000000" w:themeColor="text1"/>
          <w:sz w:val="24"/>
          <w:szCs w:val="24"/>
          <w:highlight w:val="none"/>
          <w:u w:val="none" w:color="auto"/>
          <w14:textFill>
            <w14:solidFill>
              <w14:schemeClr w14:val="tx1"/>
            </w14:solidFill>
          </w14:textFill>
        </w:rPr>
        <w:t>不进入</w:t>
      </w:r>
      <w:r>
        <w:rPr>
          <w:rFonts w:ascii="方正仿宋_GBK" w:eastAsia="方正仿宋_GBK"/>
          <w:b/>
          <w:color w:val="000000" w:themeColor="text1"/>
          <w:sz w:val="24"/>
          <w:szCs w:val="24"/>
          <w:highlight w:val="none"/>
          <w:u w:val="none" w:color="auto"/>
          <w14:textFill>
            <w14:solidFill>
              <w14:schemeClr w14:val="tx1"/>
            </w14:solidFill>
          </w14:textFill>
        </w:rPr>
        <w:t>评审</w:t>
      </w:r>
      <w:r>
        <w:rPr>
          <w:rFonts w:hint="eastAsia" w:ascii="方正仿宋_GBK" w:eastAsia="方正仿宋_GBK"/>
          <w:b/>
          <w:color w:val="000000" w:themeColor="text1"/>
          <w:sz w:val="24"/>
          <w:szCs w:val="24"/>
          <w:highlight w:val="none"/>
          <w:u w:val="none" w:color="auto"/>
          <w14:textFill>
            <w14:solidFill>
              <w14:schemeClr w14:val="tx1"/>
            </w14:solidFill>
          </w14:textFill>
        </w:rPr>
        <w:t>环节</w:t>
      </w:r>
      <w:r>
        <w:rPr>
          <w:rFonts w:ascii="方正仿宋_GBK" w:eastAsia="方正仿宋_GBK"/>
          <w:b/>
          <w:color w:val="000000" w:themeColor="text1"/>
          <w:sz w:val="24"/>
          <w:szCs w:val="24"/>
          <w:highlight w:val="none"/>
          <w:u w:val="none" w:color="auto"/>
          <w14:textFill>
            <w14:solidFill>
              <w14:schemeClr w14:val="tx1"/>
            </w14:solidFill>
          </w14:textFill>
        </w:rPr>
        <w:t>。</w:t>
      </w:r>
    </w:p>
    <w:p w14:paraId="39488409">
      <w:pPr>
        <w:snapToGrid w:val="0"/>
        <w:spacing w:line="400" w:lineRule="exact"/>
        <w:ind w:firstLine="482" w:firstLineChars="200"/>
        <w:rPr>
          <w:rFonts w:ascii="方正仿宋_GBK" w:hAnsi="宋体" w:eastAsia="方正仿宋_GBK" w:cs="宋体"/>
          <w:kern w:val="0"/>
          <w:sz w:val="24"/>
          <w:szCs w:val="24"/>
          <w:highlight w:val="none"/>
          <w:u w:val="none" w:color="auto"/>
        </w:rPr>
      </w:pPr>
      <w:r>
        <w:rPr>
          <w:rFonts w:hint="eastAsia" w:ascii="方正仿宋_GBK" w:eastAsia="方正仿宋_GBK"/>
          <w:b/>
          <w:sz w:val="24"/>
          <w:szCs w:val="24"/>
          <w:highlight w:val="none"/>
          <w:u w:val="none" w:color="auto"/>
        </w:rPr>
        <w:t>（一）资格审查</w:t>
      </w:r>
    </w:p>
    <w:p w14:paraId="20BF7A7B">
      <w:pPr>
        <w:snapToGrid w:val="0"/>
        <w:spacing w:line="400" w:lineRule="exact"/>
        <w:ind w:firstLine="480" w:firstLineChars="200"/>
        <w:rPr>
          <w:rFonts w:hint="eastAsia" w:ascii="方正仿宋_GBK" w:hAnsi="宋体" w:eastAsia="方正仿宋_GBK" w:cs="宋体"/>
          <w:kern w:val="0"/>
          <w:sz w:val="24"/>
          <w:szCs w:val="24"/>
          <w:highlight w:val="none"/>
          <w:u w:val="none" w:color="auto"/>
        </w:rPr>
      </w:pPr>
      <w:r>
        <w:rPr>
          <w:rFonts w:hint="eastAsia" w:ascii="方正仿宋_GBK" w:hAnsi="宋体" w:eastAsia="方正仿宋_GBK" w:cs="宋体"/>
          <w:kern w:val="0"/>
          <w:sz w:val="24"/>
          <w:szCs w:val="24"/>
          <w:highlight w:val="none"/>
          <w:u w:val="none" w:color="auto"/>
        </w:rPr>
        <w:t>依据政府采购相关法律法规规定，由</w:t>
      </w:r>
      <w:r>
        <w:rPr>
          <w:rFonts w:hint="eastAsia" w:ascii="方正仿宋_GBK" w:hAnsi="宋体" w:eastAsia="方正仿宋_GBK" w:cs="宋体"/>
          <w:kern w:val="0"/>
          <w:sz w:val="24"/>
          <w:szCs w:val="24"/>
          <w:highlight w:val="none"/>
          <w:u w:val="none" w:color="auto"/>
          <w:lang w:eastAsia="zh-CN"/>
        </w:rPr>
        <w:t>评标委员会</w:t>
      </w:r>
      <w:r>
        <w:rPr>
          <w:rFonts w:hint="eastAsia" w:ascii="方正仿宋_GBK" w:hAnsi="宋体" w:eastAsia="方正仿宋_GBK" w:cs="宋体"/>
          <w:kern w:val="0"/>
          <w:sz w:val="24"/>
          <w:szCs w:val="24"/>
          <w:highlight w:val="none"/>
          <w:u w:val="none" w:color="auto"/>
        </w:rPr>
        <w:t>对</w:t>
      </w:r>
      <w:r>
        <w:rPr>
          <w:rFonts w:hint="eastAsia" w:ascii="方正仿宋_GBK" w:hAnsi="宋体" w:eastAsia="方正仿宋_GBK" w:cs="宋体"/>
          <w:kern w:val="0"/>
          <w:sz w:val="24"/>
          <w:szCs w:val="24"/>
          <w:highlight w:val="none"/>
          <w:u w:val="none" w:color="auto"/>
          <w:lang w:eastAsia="zh-CN"/>
        </w:rPr>
        <w:t>电子</w:t>
      </w:r>
      <w:r>
        <w:rPr>
          <w:rFonts w:hint="eastAsia" w:ascii="方正仿宋_GBK" w:hAnsi="宋体" w:eastAsia="方正仿宋_GBK" w:cs="宋体"/>
          <w:kern w:val="0"/>
          <w:sz w:val="24"/>
          <w:szCs w:val="24"/>
          <w:highlight w:val="none"/>
          <w:u w:val="none" w:color="auto"/>
        </w:rPr>
        <w:t>投标文件中的资格证明文件进行审查。资格审查资料表如下：</w:t>
      </w:r>
    </w:p>
    <w:tbl>
      <w:tblPr>
        <w:tblStyle w:val="60"/>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09"/>
        <w:gridCol w:w="3118"/>
        <w:gridCol w:w="4984"/>
      </w:tblGrid>
      <w:tr w14:paraId="2EA14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4638969D">
            <w:pPr>
              <w:jc w:val="center"/>
              <w:rPr>
                <w:rFonts w:hint="eastAsia" w:ascii="方正仿宋_GBK" w:hAnsi="仿宋" w:eastAsia="方正仿宋_GBK" w:cs="宋体"/>
                <w:b/>
                <w:kern w:val="0"/>
                <w:sz w:val="21"/>
                <w:szCs w:val="21"/>
                <w:highlight w:val="none"/>
                <w:u w:val="none" w:color="auto"/>
              </w:rPr>
            </w:pPr>
            <w:r>
              <w:rPr>
                <w:rFonts w:hint="eastAsia" w:ascii="方正仿宋_GBK" w:hAnsi="仿宋" w:eastAsia="方正仿宋_GBK" w:cs="宋体"/>
                <w:b/>
                <w:kern w:val="0"/>
                <w:sz w:val="21"/>
                <w:szCs w:val="21"/>
                <w:highlight w:val="none"/>
                <w:u w:val="none" w:color="auto"/>
              </w:rPr>
              <w:t>序号</w:t>
            </w:r>
          </w:p>
        </w:tc>
        <w:tc>
          <w:tcPr>
            <w:tcW w:w="3827" w:type="dxa"/>
            <w:gridSpan w:val="2"/>
            <w:noWrap w:val="0"/>
            <w:vAlign w:val="center"/>
          </w:tcPr>
          <w:p w14:paraId="08048B1B">
            <w:pPr>
              <w:jc w:val="center"/>
              <w:rPr>
                <w:rFonts w:hint="eastAsia" w:ascii="方正仿宋_GBK" w:hAnsi="仿宋" w:eastAsia="方正仿宋_GBK" w:cs="宋体"/>
                <w:b/>
                <w:kern w:val="0"/>
                <w:sz w:val="21"/>
                <w:szCs w:val="21"/>
                <w:highlight w:val="none"/>
                <w:u w:val="none" w:color="auto"/>
              </w:rPr>
            </w:pPr>
            <w:r>
              <w:rPr>
                <w:rFonts w:hint="eastAsia" w:ascii="方正仿宋_GBK" w:hAnsi="仿宋" w:eastAsia="方正仿宋_GBK" w:cs="宋体"/>
                <w:b/>
                <w:kern w:val="0"/>
                <w:sz w:val="21"/>
                <w:szCs w:val="21"/>
                <w:highlight w:val="none"/>
                <w:u w:val="none" w:color="auto"/>
              </w:rPr>
              <w:t>检查因素</w:t>
            </w:r>
          </w:p>
        </w:tc>
        <w:tc>
          <w:tcPr>
            <w:tcW w:w="4984" w:type="dxa"/>
            <w:noWrap w:val="0"/>
            <w:vAlign w:val="center"/>
          </w:tcPr>
          <w:p w14:paraId="7014A336">
            <w:pPr>
              <w:jc w:val="center"/>
              <w:rPr>
                <w:rFonts w:hint="eastAsia" w:ascii="方正仿宋_GBK" w:hAnsi="仿宋" w:eastAsia="方正仿宋_GBK" w:cs="宋体"/>
                <w:b/>
                <w:kern w:val="0"/>
                <w:sz w:val="21"/>
                <w:szCs w:val="21"/>
                <w:highlight w:val="none"/>
                <w:u w:val="none" w:color="auto"/>
              </w:rPr>
            </w:pPr>
            <w:r>
              <w:rPr>
                <w:rFonts w:hint="eastAsia" w:ascii="方正仿宋_GBK" w:hAnsi="仿宋" w:eastAsia="方正仿宋_GBK" w:cs="宋体"/>
                <w:b/>
                <w:kern w:val="0"/>
                <w:sz w:val="21"/>
                <w:szCs w:val="21"/>
                <w:highlight w:val="none"/>
                <w:u w:val="none" w:color="auto"/>
              </w:rPr>
              <w:t>检查内容</w:t>
            </w:r>
          </w:p>
        </w:tc>
      </w:tr>
      <w:tr w14:paraId="34463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restart"/>
            <w:noWrap w:val="0"/>
            <w:vAlign w:val="center"/>
          </w:tcPr>
          <w:p w14:paraId="6C0E4B15">
            <w:pPr>
              <w:jc w:val="cente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（一）</w:t>
            </w:r>
          </w:p>
        </w:tc>
        <w:tc>
          <w:tcPr>
            <w:tcW w:w="709" w:type="dxa"/>
            <w:vMerge w:val="restart"/>
            <w:noWrap w:val="0"/>
            <w:vAlign w:val="center"/>
          </w:tcPr>
          <w:p w14:paraId="313D30C4">
            <w:pPr>
              <w:rPr>
                <w:rFonts w:hint="eastAsia" w:ascii="方正仿宋_GBK" w:hAnsi="仿宋" w:eastAsia="方正仿宋_GBK" w:cs="仿宋_GB2312"/>
                <w:sz w:val="21"/>
                <w:szCs w:val="21"/>
                <w:highlight w:val="none"/>
                <w:u w:val="none" w:color="auto"/>
                <w:lang w:val="zh-CN"/>
              </w:rPr>
            </w:pPr>
            <w:r>
              <w:rPr>
                <w:rFonts w:hint="eastAsia" w:ascii="方正仿宋_GBK" w:hAnsi="仿宋" w:eastAsia="方正仿宋_GBK" w:cs="仿宋_GB2312"/>
                <w:sz w:val="21"/>
                <w:szCs w:val="21"/>
                <w:highlight w:val="none"/>
                <w:u w:val="none" w:color="auto"/>
                <w:lang w:val="zh-CN"/>
              </w:rPr>
              <w:t>《中华人民共和国政府采购法》第二十二条规定</w:t>
            </w:r>
          </w:p>
        </w:tc>
        <w:tc>
          <w:tcPr>
            <w:tcW w:w="3118" w:type="dxa"/>
            <w:noWrap w:val="0"/>
            <w:vAlign w:val="center"/>
          </w:tcPr>
          <w:p w14:paraId="4CD4822D">
            <w:pP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1.具有独立承担民事责任的能力</w:t>
            </w:r>
          </w:p>
        </w:tc>
        <w:tc>
          <w:tcPr>
            <w:tcW w:w="4984" w:type="dxa"/>
            <w:noWrap w:val="0"/>
            <w:vAlign w:val="center"/>
          </w:tcPr>
          <w:p w14:paraId="66DD01EF">
            <w:pP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 xml:space="preserve">1.投标人法人营业执照（副本）或事业单位法人证书（副本）或个体工商户营业执照或有效的自然人身份证明或社会团体法人登记证书（提供复印件）。 </w:t>
            </w:r>
          </w:p>
          <w:p w14:paraId="5EE3F708">
            <w:pP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2.投标人法定代表人身份证明和法定代表人授权代表委托书。</w:t>
            </w:r>
          </w:p>
        </w:tc>
      </w:tr>
      <w:tr w14:paraId="57480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0B0CC5F7">
            <w:pPr>
              <w:jc w:val="center"/>
              <w:rPr>
                <w:rFonts w:hint="eastAsia" w:ascii="方正仿宋_GBK" w:hAnsi="仿宋" w:eastAsia="方正仿宋_GBK"/>
                <w:sz w:val="21"/>
                <w:szCs w:val="21"/>
                <w:highlight w:val="none"/>
                <w:u w:val="none" w:color="auto"/>
              </w:rPr>
            </w:pPr>
          </w:p>
        </w:tc>
        <w:tc>
          <w:tcPr>
            <w:tcW w:w="709" w:type="dxa"/>
            <w:vMerge w:val="continue"/>
            <w:noWrap w:val="0"/>
            <w:vAlign w:val="center"/>
          </w:tcPr>
          <w:p w14:paraId="3597DEA5">
            <w:pPr>
              <w:rPr>
                <w:rFonts w:hint="eastAsia" w:ascii="方正仿宋_GBK" w:hAnsi="仿宋" w:eastAsia="方正仿宋_GBK" w:cs="仿宋_GB2312"/>
                <w:sz w:val="21"/>
                <w:szCs w:val="21"/>
                <w:highlight w:val="none"/>
                <w:u w:val="none" w:color="auto"/>
                <w:lang w:val="zh-CN"/>
              </w:rPr>
            </w:pPr>
          </w:p>
        </w:tc>
        <w:tc>
          <w:tcPr>
            <w:tcW w:w="3118" w:type="dxa"/>
            <w:noWrap w:val="0"/>
            <w:vAlign w:val="center"/>
          </w:tcPr>
          <w:p w14:paraId="148B5A69">
            <w:pPr>
              <w:rPr>
                <w:rFonts w:hint="eastAsia" w:ascii="方正仿宋_GBK" w:hAnsi="仿宋" w:eastAsia="方正仿宋_GBK"/>
                <w:sz w:val="21"/>
                <w:szCs w:val="21"/>
                <w:highlight w:val="none"/>
                <w:u w:val="none" w:color="auto"/>
              </w:rPr>
            </w:pPr>
            <w:r>
              <w:rPr>
                <w:rFonts w:hint="eastAsia" w:ascii="方正仿宋_GBK" w:hAnsi="仿宋" w:eastAsia="方正仿宋_GBK" w:cs="仿宋_GB2312"/>
                <w:sz w:val="21"/>
                <w:szCs w:val="21"/>
                <w:highlight w:val="none"/>
                <w:u w:val="none" w:color="auto"/>
                <w:lang w:val="zh-CN"/>
              </w:rPr>
              <w:t>2.</w:t>
            </w:r>
            <w:r>
              <w:rPr>
                <w:rFonts w:hint="eastAsia" w:ascii="方正仿宋_GBK" w:hAnsi="仿宋" w:eastAsia="方正仿宋_GBK"/>
                <w:sz w:val="21"/>
                <w:szCs w:val="21"/>
                <w:highlight w:val="none"/>
                <w:u w:val="none" w:color="auto"/>
              </w:rPr>
              <w:t>具有良好的商业信誉和健全的财务会计制度</w:t>
            </w:r>
          </w:p>
        </w:tc>
        <w:tc>
          <w:tcPr>
            <w:tcW w:w="4984" w:type="dxa"/>
            <w:vMerge w:val="restart"/>
            <w:noWrap w:val="0"/>
            <w:vAlign w:val="center"/>
          </w:tcPr>
          <w:p w14:paraId="4D3B2A9A">
            <w:pP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投标人提供“基本资格条件承诺函”（格式详见第七篇）</w:t>
            </w:r>
          </w:p>
          <w:p w14:paraId="1A7AB919">
            <w:pPr>
              <w:rPr>
                <w:rFonts w:hint="eastAsia" w:ascii="方正仿宋_GBK" w:hAnsi="仿宋" w:eastAsia="方正仿宋_GBK"/>
                <w:b/>
                <w:sz w:val="21"/>
                <w:szCs w:val="21"/>
                <w:highlight w:val="none"/>
                <w:u w:val="none" w:color="auto"/>
              </w:rPr>
            </w:pPr>
          </w:p>
        </w:tc>
      </w:tr>
      <w:tr w14:paraId="41D1E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65693E09">
            <w:pPr>
              <w:jc w:val="center"/>
              <w:rPr>
                <w:rFonts w:hint="eastAsia" w:ascii="方正仿宋_GBK" w:hAnsi="仿宋" w:eastAsia="方正仿宋_GBK"/>
                <w:sz w:val="21"/>
                <w:szCs w:val="21"/>
                <w:highlight w:val="none"/>
                <w:u w:val="none" w:color="auto"/>
              </w:rPr>
            </w:pPr>
          </w:p>
        </w:tc>
        <w:tc>
          <w:tcPr>
            <w:tcW w:w="709" w:type="dxa"/>
            <w:vMerge w:val="continue"/>
            <w:noWrap w:val="0"/>
            <w:vAlign w:val="center"/>
          </w:tcPr>
          <w:p w14:paraId="54E3D941">
            <w:pPr>
              <w:rPr>
                <w:rFonts w:hint="eastAsia" w:ascii="方正仿宋_GBK" w:hAnsi="仿宋" w:eastAsia="方正仿宋_GBK" w:cs="仿宋_GB2312"/>
                <w:sz w:val="21"/>
                <w:szCs w:val="21"/>
                <w:highlight w:val="none"/>
                <w:u w:val="none" w:color="auto"/>
                <w:lang w:val="zh-CN"/>
              </w:rPr>
            </w:pPr>
          </w:p>
        </w:tc>
        <w:tc>
          <w:tcPr>
            <w:tcW w:w="3118" w:type="dxa"/>
            <w:noWrap w:val="0"/>
            <w:vAlign w:val="center"/>
          </w:tcPr>
          <w:p w14:paraId="70CF023C">
            <w:pPr>
              <w:rPr>
                <w:rFonts w:hint="eastAsia" w:ascii="方正仿宋_GBK" w:hAnsi="仿宋" w:eastAsia="方正仿宋_GBK" w:cs="仿宋_GB2312"/>
                <w:sz w:val="21"/>
                <w:szCs w:val="21"/>
                <w:highlight w:val="none"/>
                <w:u w:val="none" w:color="auto"/>
                <w:lang w:val="zh-CN"/>
              </w:rPr>
            </w:pPr>
            <w:r>
              <w:rPr>
                <w:rFonts w:hint="eastAsia" w:ascii="方正仿宋_GBK" w:hAnsi="仿宋" w:eastAsia="方正仿宋_GBK" w:cs="仿宋_GB2312"/>
                <w:sz w:val="21"/>
                <w:szCs w:val="21"/>
                <w:highlight w:val="none"/>
                <w:u w:val="none" w:color="auto"/>
                <w:lang w:val="zh-CN"/>
              </w:rPr>
              <w:t>3.具有履行合同所必需的设备和专业技术能力</w:t>
            </w:r>
          </w:p>
        </w:tc>
        <w:tc>
          <w:tcPr>
            <w:tcW w:w="4984" w:type="dxa"/>
            <w:vMerge w:val="continue"/>
            <w:noWrap w:val="0"/>
            <w:vAlign w:val="center"/>
          </w:tcPr>
          <w:p w14:paraId="78DDECDB">
            <w:pPr>
              <w:rPr>
                <w:rFonts w:hint="eastAsia" w:ascii="方正仿宋_GBK" w:hAnsi="仿宋" w:eastAsia="方正仿宋_GBK"/>
                <w:sz w:val="21"/>
                <w:szCs w:val="21"/>
                <w:highlight w:val="none"/>
                <w:u w:val="none" w:color="auto"/>
              </w:rPr>
            </w:pPr>
          </w:p>
        </w:tc>
      </w:tr>
      <w:tr w14:paraId="172E9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2BFFCB30">
            <w:pPr>
              <w:jc w:val="center"/>
              <w:rPr>
                <w:rFonts w:hint="eastAsia" w:ascii="方正仿宋_GBK" w:hAnsi="仿宋" w:eastAsia="方正仿宋_GBK"/>
                <w:sz w:val="21"/>
                <w:szCs w:val="21"/>
                <w:highlight w:val="none"/>
                <w:u w:val="none" w:color="auto"/>
              </w:rPr>
            </w:pPr>
          </w:p>
        </w:tc>
        <w:tc>
          <w:tcPr>
            <w:tcW w:w="709" w:type="dxa"/>
            <w:vMerge w:val="continue"/>
            <w:noWrap w:val="0"/>
            <w:vAlign w:val="center"/>
          </w:tcPr>
          <w:p w14:paraId="704347A5">
            <w:pPr>
              <w:rPr>
                <w:rFonts w:hint="eastAsia" w:ascii="方正仿宋_GBK" w:hAnsi="仿宋" w:eastAsia="方正仿宋_GBK" w:cs="仿宋_GB2312"/>
                <w:sz w:val="21"/>
                <w:szCs w:val="21"/>
                <w:highlight w:val="none"/>
                <w:u w:val="none" w:color="auto"/>
                <w:lang w:val="zh-CN"/>
              </w:rPr>
            </w:pPr>
          </w:p>
        </w:tc>
        <w:tc>
          <w:tcPr>
            <w:tcW w:w="3118" w:type="dxa"/>
            <w:noWrap w:val="0"/>
            <w:vAlign w:val="center"/>
          </w:tcPr>
          <w:p w14:paraId="7E44BCB3">
            <w:pPr>
              <w:rPr>
                <w:rFonts w:hint="eastAsia" w:ascii="方正仿宋_GBK" w:hAnsi="仿宋" w:eastAsia="方正仿宋_GBK" w:cs="仿宋_GB2312"/>
                <w:sz w:val="21"/>
                <w:szCs w:val="21"/>
                <w:highlight w:val="none"/>
                <w:u w:val="none" w:color="auto"/>
                <w:lang w:val="zh-CN"/>
              </w:rPr>
            </w:pPr>
            <w:r>
              <w:rPr>
                <w:rFonts w:hint="eastAsia" w:ascii="方正仿宋_GBK" w:hAnsi="仿宋" w:eastAsia="方正仿宋_GBK" w:cs="仿宋_GB2312"/>
                <w:sz w:val="21"/>
                <w:szCs w:val="21"/>
                <w:highlight w:val="none"/>
                <w:u w:val="none" w:color="auto"/>
                <w:lang w:val="zh-CN"/>
              </w:rPr>
              <w:t>4.有依法缴纳税收和社会保障金的良好记录</w:t>
            </w:r>
          </w:p>
        </w:tc>
        <w:tc>
          <w:tcPr>
            <w:tcW w:w="4984" w:type="dxa"/>
            <w:vMerge w:val="continue"/>
            <w:noWrap w:val="0"/>
            <w:vAlign w:val="center"/>
          </w:tcPr>
          <w:p w14:paraId="4B416B81">
            <w:pPr>
              <w:rPr>
                <w:rFonts w:hint="eastAsia" w:ascii="方正仿宋_GBK" w:hAnsi="仿宋" w:eastAsia="方正仿宋_GBK"/>
                <w:sz w:val="21"/>
                <w:szCs w:val="21"/>
                <w:highlight w:val="none"/>
                <w:u w:val="none" w:color="auto"/>
              </w:rPr>
            </w:pPr>
          </w:p>
        </w:tc>
      </w:tr>
      <w:tr w14:paraId="0B3D0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02EC1C53">
            <w:pPr>
              <w:jc w:val="center"/>
              <w:rPr>
                <w:rFonts w:hint="eastAsia" w:ascii="方正仿宋_GBK" w:hAnsi="仿宋" w:eastAsia="方正仿宋_GBK"/>
                <w:sz w:val="21"/>
                <w:szCs w:val="21"/>
                <w:highlight w:val="none"/>
                <w:u w:val="none" w:color="auto"/>
              </w:rPr>
            </w:pPr>
          </w:p>
        </w:tc>
        <w:tc>
          <w:tcPr>
            <w:tcW w:w="709" w:type="dxa"/>
            <w:vMerge w:val="continue"/>
            <w:noWrap w:val="0"/>
            <w:vAlign w:val="center"/>
          </w:tcPr>
          <w:p w14:paraId="253B1DA4">
            <w:pPr>
              <w:rPr>
                <w:rFonts w:hint="eastAsia" w:ascii="方正仿宋_GBK" w:hAnsi="仿宋" w:eastAsia="方正仿宋_GBK" w:cs="仿宋_GB2312"/>
                <w:sz w:val="21"/>
                <w:szCs w:val="21"/>
                <w:highlight w:val="none"/>
                <w:u w:val="none" w:color="auto"/>
                <w:lang w:val="zh-CN"/>
              </w:rPr>
            </w:pPr>
          </w:p>
        </w:tc>
        <w:tc>
          <w:tcPr>
            <w:tcW w:w="3118" w:type="dxa"/>
            <w:noWrap w:val="0"/>
            <w:vAlign w:val="center"/>
          </w:tcPr>
          <w:p w14:paraId="5B8C84CE">
            <w:pPr>
              <w:rPr>
                <w:rFonts w:hint="eastAsia" w:ascii="方正仿宋_GBK" w:hAnsi="仿宋" w:eastAsia="方正仿宋_GBK" w:cs="仿宋_GB2312"/>
                <w:sz w:val="21"/>
                <w:szCs w:val="21"/>
                <w:highlight w:val="none"/>
                <w:u w:val="none" w:color="auto"/>
                <w:lang w:val="zh-CN"/>
              </w:rPr>
            </w:pPr>
            <w:r>
              <w:rPr>
                <w:rFonts w:hint="eastAsia" w:ascii="方正仿宋_GBK" w:hAnsi="仿宋" w:eastAsia="方正仿宋_GBK"/>
                <w:sz w:val="21"/>
                <w:szCs w:val="21"/>
                <w:highlight w:val="none"/>
                <w:u w:val="none" w:color="auto"/>
              </w:rPr>
              <w:t>5.参加政府采购活动前三年内，在经营活动中没有重大违法记录（注</w:t>
            </w:r>
            <w:r>
              <w:rPr>
                <w:rFonts w:hint="eastAsia" w:ascii="方正仿宋_GBK" w:hAnsi="仿宋" w:eastAsia="方正仿宋_GBK"/>
                <w:sz w:val="21"/>
                <w:szCs w:val="21"/>
                <w:highlight w:val="none"/>
                <w:u w:val="none" w:color="auto"/>
              </w:rPr>
              <w:fldChar w:fldCharType="begin"/>
            </w:r>
            <w:r>
              <w:rPr>
                <w:rFonts w:hint="eastAsia" w:ascii="方正仿宋_GBK" w:hAnsi="仿宋" w:eastAsia="方正仿宋_GBK"/>
                <w:sz w:val="21"/>
                <w:szCs w:val="21"/>
                <w:highlight w:val="none"/>
                <w:u w:val="none" w:color="auto"/>
              </w:rPr>
              <w:instrText xml:space="preserve"> EQ \o\ac(○,</w:instrText>
            </w:r>
            <w:r>
              <w:rPr>
                <w:rFonts w:hint="eastAsia" w:ascii="方正仿宋_GBK" w:hAnsi="仿宋" w:eastAsia="方正仿宋_GBK"/>
                <w:position w:val="2"/>
                <w:sz w:val="14"/>
                <w:szCs w:val="21"/>
                <w:highlight w:val="none"/>
                <w:u w:val="none" w:color="auto"/>
              </w:rPr>
              <w:instrText xml:space="preserve">1</w:instrText>
            </w:r>
            <w:r>
              <w:rPr>
                <w:rFonts w:hint="eastAsia" w:ascii="方正仿宋_GBK" w:hAnsi="仿宋" w:eastAsia="方正仿宋_GBK"/>
                <w:sz w:val="21"/>
                <w:szCs w:val="21"/>
                <w:highlight w:val="none"/>
                <w:u w:val="none" w:color="auto"/>
              </w:rPr>
              <w:instrText xml:space="preserve">)</w:instrText>
            </w:r>
            <w:r>
              <w:rPr>
                <w:rFonts w:hint="eastAsia" w:ascii="方正仿宋_GBK" w:hAnsi="仿宋" w:eastAsia="方正仿宋_GBK"/>
                <w:sz w:val="21"/>
                <w:szCs w:val="21"/>
                <w:highlight w:val="none"/>
                <w:u w:val="none" w:color="auto"/>
              </w:rPr>
              <w:fldChar w:fldCharType="end"/>
            </w:r>
            <w:r>
              <w:rPr>
                <w:rFonts w:hint="eastAsia" w:ascii="方正仿宋_GBK" w:hAnsi="仿宋" w:eastAsia="方正仿宋_GBK"/>
                <w:sz w:val="21"/>
                <w:szCs w:val="21"/>
                <w:highlight w:val="none"/>
                <w:u w:val="none" w:color="auto"/>
              </w:rPr>
              <w:t>）</w:t>
            </w:r>
          </w:p>
        </w:tc>
        <w:tc>
          <w:tcPr>
            <w:tcW w:w="4984" w:type="dxa"/>
            <w:vMerge w:val="continue"/>
            <w:noWrap w:val="0"/>
            <w:vAlign w:val="center"/>
          </w:tcPr>
          <w:p w14:paraId="320C6C85">
            <w:pPr>
              <w:rPr>
                <w:rFonts w:hint="eastAsia" w:ascii="方正仿宋_GBK" w:hAnsi="仿宋" w:eastAsia="方正仿宋_GBK"/>
                <w:b/>
                <w:sz w:val="21"/>
                <w:szCs w:val="21"/>
                <w:highlight w:val="none"/>
                <w:u w:val="none" w:color="auto"/>
              </w:rPr>
            </w:pPr>
          </w:p>
        </w:tc>
      </w:tr>
      <w:tr w14:paraId="4B345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noWrap w:val="0"/>
            <w:vAlign w:val="center"/>
          </w:tcPr>
          <w:p w14:paraId="58F449E8">
            <w:pPr>
              <w:jc w:val="center"/>
              <w:rPr>
                <w:rFonts w:hint="eastAsia" w:ascii="方正仿宋_GBK" w:hAnsi="仿宋" w:eastAsia="方正仿宋_GBK"/>
                <w:sz w:val="21"/>
                <w:szCs w:val="21"/>
                <w:highlight w:val="none"/>
                <w:u w:val="none" w:color="auto"/>
              </w:rPr>
            </w:pPr>
          </w:p>
        </w:tc>
        <w:tc>
          <w:tcPr>
            <w:tcW w:w="709" w:type="dxa"/>
            <w:vMerge w:val="continue"/>
            <w:noWrap w:val="0"/>
            <w:vAlign w:val="center"/>
          </w:tcPr>
          <w:p w14:paraId="0BE63506">
            <w:pPr>
              <w:rPr>
                <w:rFonts w:hint="eastAsia" w:ascii="方正仿宋_GBK" w:hAnsi="仿宋" w:eastAsia="方正仿宋_GBK" w:cs="仿宋_GB2312"/>
                <w:sz w:val="21"/>
                <w:szCs w:val="21"/>
                <w:highlight w:val="none"/>
                <w:u w:val="none" w:color="auto"/>
              </w:rPr>
            </w:pPr>
          </w:p>
        </w:tc>
        <w:tc>
          <w:tcPr>
            <w:tcW w:w="3118" w:type="dxa"/>
            <w:noWrap w:val="0"/>
            <w:vAlign w:val="center"/>
          </w:tcPr>
          <w:p w14:paraId="7D8AD247">
            <w:pP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6.法律、行政法规规定的其他条件</w:t>
            </w:r>
          </w:p>
        </w:tc>
        <w:tc>
          <w:tcPr>
            <w:tcW w:w="4984" w:type="dxa"/>
            <w:noWrap w:val="0"/>
            <w:vAlign w:val="center"/>
          </w:tcPr>
          <w:p w14:paraId="10207994">
            <w:pPr>
              <w:rPr>
                <w:rFonts w:hint="eastAsia" w:ascii="方正仿宋_GBK" w:hAnsi="仿宋" w:eastAsia="方正仿宋_GBK"/>
                <w:sz w:val="21"/>
                <w:szCs w:val="21"/>
                <w:highlight w:val="none"/>
                <w:u w:val="none" w:color="auto"/>
              </w:rPr>
            </w:pPr>
          </w:p>
        </w:tc>
      </w:tr>
      <w:tr w14:paraId="2965A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noWrap w:val="0"/>
            <w:vAlign w:val="center"/>
          </w:tcPr>
          <w:p w14:paraId="77C38564">
            <w:pPr>
              <w:jc w:val="center"/>
              <w:rPr>
                <w:rFonts w:hint="eastAsia" w:ascii="方正仿宋_GBK" w:hAnsi="仿宋" w:eastAsia="方正仿宋_GBK"/>
                <w:sz w:val="21"/>
                <w:szCs w:val="21"/>
                <w:highlight w:val="none"/>
                <w:u w:val="none" w:color="auto"/>
              </w:rPr>
            </w:pPr>
          </w:p>
        </w:tc>
        <w:tc>
          <w:tcPr>
            <w:tcW w:w="709" w:type="dxa"/>
            <w:vMerge w:val="continue"/>
            <w:noWrap w:val="0"/>
            <w:vAlign w:val="center"/>
          </w:tcPr>
          <w:p w14:paraId="3AD5DEE2">
            <w:pPr>
              <w:rPr>
                <w:rFonts w:hint="eastAsia" w:ascii="方正仿宋_GBK" w:hAnsi="仿宋" w:eastAsia="方正仿宋_GBK" w:cs="仿宋_GB2312"/>
                <w:sz w:val="21"/>
                <w:szCs w:val="21"/>
                <w:highlight w:val="none"/>
                <w:u w:val="none" w:color="auto"/>
              </w:rPr>
            </w:pPr>
          </w:p>
        </w:tc>
        <w:tc>
          <w:tcPr>
            <w:tcW w:w="3118" w:type="dxa"/>
            <w:noWrap w:val="0"/>
            <w:vAlign w:val="center"/>
          </w:tcPr>
          <w:p w14:paraId="037B1CCA">
            <w:pP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7.本项目的特定资格要求</w:t>
            </w:r>
          </w:p>
        </w:tc>
        <w:tc>
          <w:tcPr>
            <w:tcW w:w="4984" w:type="dxa"/>
            <w:noWrap w:val="0"/>
            <w:vAlign w:val="center"/>
          </w:tcPr>
          <w:p w14:paraId="39604CAF">
            <w:pP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按第一篇“三、投标人资格要求（三）本项目的特定资格要求”的要求提交</w:t>
            </w:r>
            <w:r>
              <w:rPr>
                <w:rFonts w:hint="eastAsia" w:ascii="方正仿宋_GBK" w:hAnsi="宋体" w:eastAsia="方正仿宋_GBK"/>
                <w:sz w:val="21"/>
                <w:szCs w:val="21"/>
                <w:highlight w:val="none"/>
                <w:u w:val="none" w:color="auto"/>
              </w:rPr>
              <w:t>（如果有）</w:t>
            </w:r>
            <w:r>
              <w:rPr>
                <w:rFonts w:hint="eastAsia" w:ascii="方正仿宋_GBK" w:hAnsi="仿宋" w:eastAsia="方正仿宋_GBK"/>
                <w:sz w:val="21"/>
                <w:szCs w:val="21"/>
                <w:highlight w:val="none"/>
                <w:u w:val="none" w:color="auto"/>
              </w:rPr>
              <w:t>。</w:t>
            </w:r>
          </w:p>
        </w:tc>
      </w:tr>
      <w:tr w14:paraId="4CEB3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006989FD">
            <w:pPr>
              <w:jc w:val="cente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（二）</w:t>
            </w:r>
          </w:p>
        </w:tc>
        <w:tc>
          <w:tcPr>
            <w:tcW w:w="3827" w:type="dxa"/>
            <w:gridSpan w:val="2"/>
            <w:noWrap w:val="0"/>
            <w:vAlign w:val="center"/>
          </w:tcPr>
          <w:p w14:paraId="022F8714">
            <w:pP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落实政府采购政策需满足的资格要求</w:t>
            </w:r>
          </w:p>
        </w:tc>
        <w:tc>
          <w:tcPr>
            <w:tcW w:w="4984" w:type="dxa"/>
            <w:noWrap w:val="0"/>
            <w:vAlign w:val="center"/>
          </w:tcPr>
          <w:p w14:paraId="67652A57">
            <w:pP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按第一篇“三、投标人资格要求（二）落实政府采购政策需满足的资格要求”的要求提交</w:t>
            </w:r>
            <w:r>
              <w:rPr>
                <w:rFonts w:hint="eastAsia" w:ascii="方正仿宋_GBK" w:hAnsi="宋体" w:eastAsia="方正仿宋_GBK"/>
                <w:sz w:val="21"/>
                <w:szCs w:val="21"/>
                <w:highlight w:val="none"/>
                <w:u w:val="none" w:color="auto"/>
              </w:rPr>
              <w:t>（如果有）</w:t>
            </w:r>
            <w:r>
              <w:rPr>
                <w:rFonts w:hint="eastAsia" w:ascii="方正仿宋_GBK" w:hAnsi="仿宋" w:eastAsia="方正仿宋_GBK"/>
                <w:sz w:val="21"/>
                <w:szCs w:val="21"/>
                <w:highlight w:val="none"/>
                <w:u w:val="none" w:color="auto"/>
              </w:rPr>
              <w:t>。</w:t>
            </w:r>
          </w:p>
        </w:tc>
      </w:tr>
      <w:tr w14:paraId="0F157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817" w:type="dxa"/>
            <w:noWrap w:val="0"/>
            <w:vAlign w:val="center"/>
          </w:tcPr>
          <w:p w14:paraId="2461C0E6">
            <w:pPr>
              <w:jc w:val="cente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（三）</w:t>
            </w:r>
          </w:p>
        </w:tc>
        <w:tc>
          <w:tcPr>
            <w:tcW w:w="3827" w:type="dxa"/>
            <w:gridSpan w:val="2"/>
            <w:noWrap w:val="0"/>
            <w:vAlign w:val="center"/>
          </w:tcPr>
          <w:p w14:paraId="427B7EBB">
            <w:pP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投标保证金</w:t>
            </w:r>
          </w:p>
        </w:tc>
        <w:tc>
          <w:tcPr>
            <w:tcW w:w="4984" w:type="dxa"/>
            <w:noWrap w:val="0"/>
            <w:vAlign w:val="center"/>
          </w:tcPr>
          <w:p w14:paraId="6BE6BB24">
            <w:pP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按照招标文件要求足额交纳所投包的投标保证金。</w:t>
            </w:r>
          </w:p>
        </w:tc>
      </w:tr>
    </w:tbl>
    <w:p w14:paraId="4D975EF4">
      <w:pPr>
        <w:snapToGrid w:val="0"/>
        <w:spacing w:line="400" w:lineRule="exact"/>
        <w:ind w:firstLine="480" w:firstLineChars="200"/>
        <w:rPr>
          <w:rFonts w:hint="eastAsia" w:ascii="方正仿宋_GBK" w:hAnsi="宋体" w:eastAsia="方正仿宋_GBK" w:cs="宋体"/>
          <w:kern w:val="0"/>
          <w:sz w:val="24"/>
          <w:szCs w:val="24"/>
          <w:highlight w:val="none"/>
          <w:u w:val="none" w:color="auto"/>
        </w:rPr>
      </w:pPr>
      <w:r>
        <w:rPr>
          <w:rFonts w:hint="eastAsia" w:ascii="方正仿宋_GBK" w:hAnsi="宋体" w:eastAsia="方正仿宋_GBK" w:cs="宋体"/>
          <w:kern w:val="0"/>
          <w:sz w:val="24"/>
          <w:szCs w:val="24"/>
          <w:highlight w:val="none"/>
          <w:u w:val="none" w:color="auto"/>
        </w:rPr>
        <w:t>注：</w:t>
      </w:r>
    </w:p>
    <w:p w14:paraId="13A2F8F3">
      <w:pPr>
        <w:snapToGrid w:val="0"/>
        <w:spacing w:line="400" w:lineRule="exact"/>
        <w:ind w:firstLine="480" w:firstLineChars="200"/>
        <w:rPr>
          <w:rFonts w:hint="eastAsia" w:ascii="方正仿宋_GBK" w:hAnsi="宋体" w:eastAsia="方正仿宋_GBK" w:cs="宋体"/>
          <w:kern w:val="0"/>
          <w:sz w:val="24"/>
          <w:szCs w:val="24"/>
          <w:highlight w:val="none"/>
          <w:u w:val="none" w:color="auto"/>
        </w:rPr>
      </w:pPr>
      <w:r>
        <w:rPr>
          <w:rFonts w:hint="eastAsia" w:ascii="方正仿宋_GBK" w:hAnsi="宋体" w:eastAsia="方正仿宋_GBK" w:cs="宋体"/>
          <w:kern w:val="0"/>
          <w:sz w:val="24"/>
          <w:szCs w:val="24"/>
          <w:highlight w:val="none"/>
          <w:u w:val="none" w:color="auto"/>
        </w:rPr>
        <w:t>根据《中华人民共和国政府采购法实施条例》第十九条“参加政府采购活动前三年内，在经营活动中没有重大违法记录”中“重大违法记录”，是指投标人因违法经营受到刑事处罚或者责令停产停业、吊销许可证或者执照、较大数额罚款等行政处罚。行政处罚中“较大数额”的认定标准，按照《</w:t>
      </w:r>
      <w:r>
        <w:rPr>
          <w:rFonts w:ascii="方正仿宋_GBK" w:hAnsi="宋体" w:eastAsia="方正仿宋_GBK" w:cs="宋体"/>
          <w:kern w:val="0"/>
          <w:sz w:val="24"/>
          <w:szCs w:val="24"/>
          <w:highlight w:val="none"/>
          <w:u w:val="none" w:color="auto"/>
        </w:rPr>
        <w:t>财政部关于</w:t>
      </w:r>
      <w:r>
        <w:rPr>
          <w:rFonts w:hint="eastAsia" w:ascii="方正仿宋_GBK" w:hAnsi="宋体" w:eastAsia="方正仿宋_GBK" w:cs="宋体"/>
          <w:kern w:val="0"/>
          <w:sz w:val="24"/>
          <w:szCs w:val="24"/>
          <w:highlight w:val="none"/>
          <w:u w:val="none" w:color="auto"/>
        </w:rPr>
        <w:t>&lt;</w:t>
      </w:r>
      <w:r>
        <w:rPr>
          <w:rFonts w:ascii="方正仿宋_GBK" w:hAnsi="宋体" w:eastAsia="方正仿宋_GBK" w:cs="宋体"/>
          <w:kern w:val="0"/>
          <w:sz w:val="24"/>
          <w:szCs w:val="24"/>
          <w:highlight w:val="none"/>
          <w:u w:val="none" w:color="auto"/>
        </w:rPr>
        <w:t>中华人民共和国政府采购法实施条例</w:t>
      </w:r>
      <w:r>
        <w:rPr>
          <w:rFonts w:hint="eastAsia" w:ascii="方正仿宋_GBK" w:hAnsi="宋体" w:eastAsia="方正仿宋_GBK" w:cs="宋体"/>
          <w:kern w:val="0"/>
          <w:sz w:val="24"/>
          <w:szCs w:val="24"/>
          <w:highlight w:val="none"/>
          <w:u w:val="none" w:color="auto"/>
        </w:rPr>
        <w:t>&gt;</w:t>
      </w:r>
      <w:r>
        <w:rPr>
          <w:rFonts w:ascii="方正仿宋_GBK" w:hAnsi="宋体" w:eastAsia="方正仿宋_GBK" w:cs="宋体"/>
          <w:kern w:val="0"/>
          <w:sz w:val="24"/>
          <w:szCs w:val="24"/>
          <w:highlight w:val="none"/>
          <w:u w:val="none" w:color="auto"/>
        </w:rPr>
        <w:t>第十九条第一款</w:t>
      </w:r>
      <w:r>
        <w:rPr>
          <w:rFonts w:hint="eastAsia" w:ascii="方正仿宋_GBK" w:hAnsi="宋体" w:eastAsia="方正仿宋_GBK" w:cs="宋体"/>
          <w:kern w:val="0"/>
          <w:sz w:val="24"/>
          <w:szCs w:val="24"/>
          <w:highlight w:val="none"/>
          <w:u w:val="none" w:color="auto"/>
        </w:rPr>
        <w:t>“较大</w:t>
      </w:r>
      <w:r>
        <w:rPr>
          <w:rFonts w:ascii="方正仿宋_GBK" w:hAnsi="宋体" w:eastAsia="方正仿宋_GBK" w:cs="宋体"/>
          <w:kern w:val="0"/>
          <w:sz w:val="24"/>
          <w:szCs w:val="24"/>
          <w:highlight w:val="none"/>
          <w:u w:val="none" w:color="auto"/>
        </w:rPr>
        <w:t>数额罚款</w:t>
      </w:r>
      <w:r>
        <w:rPr>
          <w:rFonts w:hint="eastAsia" w:ascii="方正仿宋_GBK" w:hAnsi="宋体" w:eastAsia="方正仿宋_GBK" w:cs="宋体"/>
          <w:kern w:val="0"/>
          <w:sz w:val="24"/>
          <w:szCs w:val="24"/>
          <w:highlight w:val="none"/>
          <w:u w:val="none" w:color="auto"/>
        </w:rPr>
        <w:t>”</w:t>
      </w:r>
      <w:r>
        <w:rPr>
          <w:rFonts w:ascii="方正仿宋_GBK" w:hAnsi="宋体" w:eastAsia="方正仿宋_GBK" w:cs="宋体"/>
          <w:kern w:val="0"/>
          <w:sz w:val="24"/>
          <w:szCs w:val="24"/>
          <w:highlight w:val="none"/>
          <w:u w:val="none" w:color="auto"/>
        </w:rPr>
        <w:t>具体适用问题的意见</w:t>
      </w:r>
      <w:r>
        <w:rPr>
          <w:rFonts w:hint="eastAsia" w:ascii="方正仿宋_GBK" w:hAnsi="宋体" w:eastAsia="方正仿宋_GBK" w:cs="宋体"/>
          <w:kern w:val="0"/>
          <w:sz w:val="24"/>
          <w:szCs w:val="24"/>
          <w:highlight w:val="none"/>
          <w:u w:val="none" w:color="auto"/>
        </w:rPr>
        <w:t>》</w:t>
      </w:r>
      <w:r>
        <w:rPr>
          <w:rFonts w:ascii="方正仿宋_GBK" w:hAnsi="宋体" w:eastAsia="方正仿宋_GBK" w:cs="宋体"/>
          <w:kern w:val="0"/>
          <w:sz w:val="24"/>
          <w:szCs w:val="24"/>
          <w:highlight w:val="none"/>
          <w:u w:val="none" w:color="auto"/>
        </w:rPr>
        <w:t>（财库〔</w:t>
      </w:r>
      <w:r>
        <w:rPr>
          <w:rFonts w:hint="eastAsia" w:ascii="方正仿宋_GBK" w:hAnsi="宋体" w:eastAsia="方正仿宋_GBK" w:cs="宋体"/>
          <w:kern w:val="0"/>
          <w:sz w:val="24"/>
          <w:szCs w:val="24"/>
          <w:highlight w:val="none"/>
          <w:u w:val="none" w:color="auto"/>
        </w:rPr>
        <w:t>2022</w:t>
      </w:r>
      <w:r>
        <w:rPr>
          <w:rFonts w:ascii="方正仿宋_GBK" w:hAnsi="宋体" w:eastAsia="方正仿宋_GBK" w:cs="宋体"/>
          <w:kern w:val="0"/>
          <w:sz w:val="24"/>
          <w:szCs w:val="24"/>
          <w:highlight w:val="none"/>
          <w:u w:val="none" w:color="auto"/>
        </w:rPr>
        <w:t>〕</w:t>
      </w:r>
      <w:r>
        <w:rPr>
          <w:rFonts w:hint="eastAsia" w:ascii="方正仿宋_GBK" w:hAnsi="宋体" w:eastAsia="方正仿宋_GBK" w:cs="宋体"/>
          <w:kern w:val="0"/>
          <w:sz w:val="24"/>
          <w:szCs w:val="24"/>
          <w:highlight w:val="none"/>
          <w:u w:val="none" w:color="auto"/>
        </w:rPr>
        <w:t>3号</w:t>
      </w:r>
      <w:r>
        <w:rPr>
          <w:rFonts w:ascii="方正仿宋_GBK" w:hAnsi="宋体" w:eastAsia="方正仿宋_GBK" w:cs="宋体"/>
          <w:kern w:val="0"/>
          <w:sz w:val="24"/>
          <w:szCs w:val="24"/>
          <w:highlight w:val="none"/>
          <w:u w:val="none" w:color="auto"/>
        </w:rPr>
        <w:t>）</w:t>
      </w:r>
      <w:r>
        <w:rPr>
          <w:rFonts w:hint="eastAsia" w:ascii="方正仿宋_GBK" w:hAnsi="宋体" w:eastAsia="方正仿宋_GBK" w:cs="宋体"/>
          <w:kern w:val="0"/>
          <w:sz w:val="24"/>
          <w:szCs w:val="24"/>
          <w:highlight w:val="none"/>
          <w:u w:val="none" w:color="auto"/>
        </w:rPr>
        <w:t>执行。投标人</w:t>
      </w:r>
      <w:r>
        <w:rPr>
          <w:rFonts w:hint="eastAsia" w:ascii="方正仿宋_GBK" w:hAnsi="宋体" w:eastAsia="方正仿宋_GBK" w:cs="宋体"/>
          <w:kern w:val="0"/>
          <w:sz w:val="24"/>
          <w:szCs w:val="24"/>
          <w:highlight w:val="none"/>
          <w:u w:val="none" w:color="auto"/>
          <w:lang w:val="en-US" w:eastAsia="zh-CN"/>
        </w:rPr>
        <w:t>可</w:t>
      </w:r>
      <w:r>
        <w:rPr>
          <w:rFonts w:hint="eastAsia" w:ascii="方正仿宋_GBK" w:hAnsi="宋体" w:eastAsia="方正仿宋_GBK" w:cs="宋体"/>
          <w:kern w:val="0"/>
          <w:sz w:val="24"/>
          <w:szCs w:val="24"/>
          <w:highlight w:val="none"/>
          <w:u w:val="none" w:color="auto"/>
        </w:rPr>
        <w:t>于电子投标文件递交时间前通过“信用中国”网站(www.creditchina.gov.cn)、"中国政府采购网"(www.ccgp.gov.cn)等渠道查询信用记录。</w:t>
      </w:r>
    </w:p>
    <w:p w14:paraId="18A51F6C">
      <w:pPr>
        <w:snapToGrid w:val="0"/>
        <w:spacing w:line="400" w:lineRule="exact"/>
        <w:ind w:firstLine="480" w:firstLineChars="200"/>
        <w:rPr>
          <w:rFonts w:hint="eastAsia" w:ascii="方正仿宋_GBK" w:hAnsi="宋体" w:eastAsia="方正仿宋_GBK" w:cs="宋体"/>
          <w:kern w:val="0"/>
          <w:sz w:val="24"/>
          <w:szCs w:val="24"/>
          <w:highlight w:val="none"/>
          <w:u w:val="none" w:color="auto"/>
        </w:rPr>
      </w:pPr>
      <w:r>
        <w:rPr>
          <w:rFonts w:hint="eastAsia" w:ascii="方正仿宋_GBK" w:hAnsi="宋体" w:eastAsia="方正仿宋_GBK" w:cs="宋体"/>
          <w:kern w:val="0"/>
          <w:sz w:val="24"/>
          <w:szCs w:val="24"/>
          <w:highlight w:val="none"/>
          <w:u w:val="none" w:color="auto"/>
        </w:rPr>
        <w:t>（</w:t>
      </w:r>
      <w:r>
        <w:rPr>
          <w:rFonts w:hint="eastAsia" w:ascii="方正仿宋_GBK" w:hAnsi="宋体" w:eastAsia="方正仿宋_GBK" w:cs="宋体"/>
          <w:b/>
          <w:kern w:val="0"/>
          <w:sz w:val="24"/>
          <w:szCs w:val="24"/>
          <w:highlight w:val="none"/>
          <w:u w:val="none" w:color="auto"/>
        </w:rPr>
        <w:t>二</w:t>
      </w:r>
      <w:r>
        <w:rPr>
          <w:rFonts w:hint="eastAsia" w:ascii="方正仿宋_GBK" w:hAnsi="宋体" w:eastAsia="方正仿宋_GBK" w:cs="宋体"/>
          <w:kern w:val="0"/>
          <w:sz w:val="24"/>
          <w:szCs w:val="24"/>
          <w:highlight w:val="none"/>
          <w:u w:val="none" w:color="auto"/>
        </w:rPr>
        <w:t>）符合性审查</w:t>
      </w:r>
    </w:p>
    <w:p w14:paraId="066437E0">
      <w:pPr>
        <w:snapToGrid w:val="0"/>
        <w:spacing w:line="400" w:lineRule="exact"/>
        <w:ind w:firstLine="480" w:firstLineChars="200"/>
        <w:rPr>
          <w:rFonts w:hint="eastAsia" w:ascii="方正仿宋_GBK" w:eastAsia="方正仿宋_GBK"/>
          <w:kern w:val="0"/>
          <w:sz w:val="24"/>
          <w:szCs w:val="24"/>
          <w:highlight w:val="none"/>
          <w:u w:val="none" w:color="auto"/>
        </w:rPr>
      </w:pPr>
      <w:r>
        <w:rPr>
          <w:rFonts w:hint="eastAsia" w:ascii="方正仿宋_GBK" w:hAnsi="宋体" w:eastAsia="方正仿宋_GBK" w:cs="宋体"/>
          <w:kern w:val="0"/>
          <w:sz w:val="24"/>
          <w:szCs w:val="24"/>
          <w:highlight w:val="none"/>
          <w:u w:val="none" w:color="auto"/>
        </w:rPr>
        <w:t>评标委员会应当对符合资格的投标人的</w:t>
      </w:r>
      <w:r>
        <w:rPr>
          <w:rFonts w:hint="eastAsia" w:ascii="方正仿宋_GBK" w:hAnsi="宋体" w:eastAsia="方正仿宋_GBK" w:cs="宋体"/>
          <w:kern w:val="0"/>
          <w:sz w:val="24"/>
          <w:szCs w:val="24"/>
          <w:highlight w:val="none"/>
          <w:u w:val="none" w:color="auto"/>
          <w:lang w:eastAsia="zh-CN"/>
        </w:rPr>
        <w:t>电子</w:t>
      </w:r>
      <w:r>
        <w:rPr>
          <w:rFonts w:hint="eastAsia" w:ascii="方正仿宋_GBK" w:hAnsi="宋体" w:eastAsia="方正仿宋_GBK" w:cs="宋体"/>
          <w:kern w:val="0"/>
          <w:sz w:val="24"/>
          <w:szCs w:val="24"/>
          <w:highlight w:val="none"/>
          <w:u w:val="none" w:color="auto"/>
        </w:rPr>
        <w:t>投标文件进行符合性审查，以确定其是否满足招标文件的实质性要求。符合性审查资料表如下：</w:t>
      </w:r>
    </w:p>
    <w:tbl>
      <w:tblPr>
        <w:tblStyle w:val="60"/>
        <w:tblW w:w="9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562"/>
        <w:gridCol w:w="1557"/>
        <w:gridCol w:w="5836"/>
      </w:tblGrid>
      <w:tr w14:paraId="5F327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75" w:type="dxa"/>
            <w:noWrap w:val="0"/>
            <w:vAlign w:val="center"/>
          </w:tcPr>
          <w:p w14:paraId="16500743">
            <w:pPr>
              <w:jc w:val="center"/>
              <w:rPr>
                <w:rFonts w:hint="eastAsia" w:ascii="方正仿宋_GBK" w:hAnsi="宋体" w:eastAsia="方正仿宋_GBK" w:cs="宋体"/>
                <w:b/>
                <w:kern w:val="0"/>
                <w:sz w:val="21"/>
                <w:szCs w:val="21"/>
                <w:highlight w:val="none"/>
                <w:u w:val="none" w:color="auto"/>
              </w:rPr>
            </w:pPr>
            <w:r>
              <w:rPr>
                <w:rFonts w:hint="eastAsia" w:ascii="方正仿宋_GBK" w:hAnsi="宋体" w:eastAsia="方正仿宋_GBK" w:cs="宋体"/>
                <w:b/>
                <w:kern w:val="0"/>
                <w:sz w:val="21"/>
                <w:szCs w:val="21"/>
                <w:highlight w:val="none"/>
                <w:u w:val="none" w:color="auto"/>
              </w:rPr>
              <w:t>序号</w:t>
            </w:r>
          </w:p>
        </w:tc>
        <w:tc>
          <w:tcPr>
            <w:tcW w:w="3119" w:type="dxa"/>
            <w:gridSpan w:val="2"/>
            <w:noWrap w:val="0"/>
            <w:vAlign w:val="center"/>
          </w:tcPr>
          <w:p w14:paraId="162156AE">
            <w:pPr>
              <w:jc w:val="center"/>
              <w:rPr>
                <w:rFonts w:hint="eastAsia" w:ascii="方正仿宋_GBK" w:hAnsi="宋体" w:eastAsia="方正仿宋_GBK" w:cs="宋体"/>
                <w:b/>
                <w:kern w:val="0"/>
                <w:sz w:val="21"/>
                <w:szCs w:val="21"/>
                <w:highlight w:val="none"/>
                <w:u w:val="none" w:color="auto"/>
              </w:rPr>
            </w:pPr>
            <w:r>
              <w:rPr>
                <w:rFonts w:hint="eastAsia" w:ascii="方正仿宋_GBK" w:hAnsi="宋体" w:eastAsia="方正仿宋_GBK" w:cs="宋体"/>
                <w:b/>
                <w:kern w:val="0"/>
                <w:sz w:val="21"/>
                <w:szCs w:val="21"/>
                <w:highlight w:val="none"/>
                <w:u w:val="none" w:color="auto"/>
              </w:rPr>
              <w:t>评审因素</w:t>
            </w:r>
          </w:p>
        </w:tc>
        <w:tc>
          <w:tcPr>
            <w:tcW w:w="5836" w:type="dxa"/>
            <w:noWrap w:val="0"/>
            <w:vAlign w:val="center"/>
          </w:tcPr>
          <w:p w14:paraId="11771CAD">
            <w:pPr>
              <w:jc w:val="center"/>
              <w:rPr>
                <w:rFonts w:hint="eastAsia" w:ascii="方正仿宋_GBK" w:hAnsi="宋体" w:eastAsia="方正仿宋_GBK" w:cs="宋体"/>
                <w:b/>
                <w:kern w:val="0"/>
                <w:sz w:val="21"/>
                <w:szCs w:val="21"/>
                <w:highlight w:val="none"/>
                <w:u w:val="none" w:color="auto"/>
              </w:rPr>
            </w:pPr>
            <w:r>
              <w:rPr>
                <w:rFonts w:hint="eastAsia" w:ascii="方正仿宋_GBK" w:hAnsi="宋体" w:eastAsia="方正仿宋_GBK" w:cs="宋体"/>
                <w:b/>
                <w:kern w:val="0"/>
                <w:sz w:val="21"/>
                <w:szCs w:val="21"/>
                <w:highlight w:val="none"/>
                <w:u w:val="none" w:color="auto"/>
              </w:rPr>
              <w:t>评审标准</w:t>
            </w:r>
          </w:p>
        </w:tc>
      </w:tr>
      <w:tr w14:paraId="4945E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675" w:type="dxa"/>
            <w:vMerge w:val="restart"/>
            <w:noWrap w:val="0"/>
            <w:vAlign w:val="center"/>
          </w:tcPr>
          <w:p w14:paraId="0D022FA7">
            <w:pPr>
              <w:jc w:val="cente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1</w:t>
            </w:r>
          </w:p>
        </w:tc>
        <w:tc>
          <w:tcPr>
            <w:tcW w:w="1562" w:type="dxa"/>
            <w:vMerge w:val="restart"/>
            <w:noWrap w:val="0"/>
            <w:vAlign w:val="center"/>
          </w:tcPr>
          <w:p w14:paraId="7A56BA51">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有效性审查</w:t>
            </w:r>
          </w:p>
        </w:tc>
        <w:tc>
          <w:tcPr>
            <w:tcW w:w="1557" w:type="dxa"/>
            <w:noWrap w:val="0"/>
            <w:vAlign w:val="center"/>
          </w:tcPr>
          <w:p w14:paraId="7680BC0E">
            <w:pPr>
              <w:shd w:val="clear"/>
              <w:spacing w:line="240" w:lineRule="exact"/>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sz w:val="21"/>
                <w:szCs w:val="21"/>
                <w:highlight w:val="none"/>
                <w:lang w:val="en-US" w:eastAsia="zh-CN"/>
              </w:rPr>
              <w:t>电子</w:t>
            </w:r>
            <w:r>
              <w:rPr>
                <w:rFonts w:hint="eastAsia" w:ascii="方正仿宋_GBK" w:hAnsi="方正仿宋_GBK" w:eastAsia="方正仿宋_GBK" w:cs="方正仿宋_GBK"/>
                <w:sz w:val="21"/>
                <w:szCs w:val="21"/>
                <w:highlight w:val="none"/>
              </w:rPr>
              <w:t>投标文件签署</w:t>
            </w:r>
            <w:r>
              <w:rPr>
                <w:rFonts w:hint="eastAsia" w:ascii="方正仿宋_GBK" w:hAnsi="方正仿宋_GBK" w:eastAsia="方正仿宋_GBK" w:cs="方正仿宋_GBK"/>
                <w:sz w:val="21"/>
                <w:szCs w:val="21"/>
                <w:highlight w:val="none"/>
                <w:lang w:val="en-US" w:eastAsia="zh-CN"/>
              </w:rPr>
              <w:t>或盖章</w:t>
            </w:r>
          </w:p>
        </w:tc>
        <w:tc>
          <w:tcPr>
            <w:tcW w:w="5836" w:type="dxa"/>
            <w:noWrap w:val="0"/>
            <w:vAlign w:val="center"/>
          </w:tcPr>
          <w:p w14:paraId="4FBCD563">
            <w:pPr>
              <w:shd w:val="clear"/>
              <w:spacing w:line="240" w:lineRule="exact"/>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sz w:val="21"/>
                <w:szCs w:val="21"/>
                <w:highlight w:val="none"/>
                <w:lang w:val="en-US" w:eastAsia="zh-CN"/>
              </w:rPr>
              <w:t>电子</w:t>
            </w:r>
            <w:r>
              <w:rPr>
                <w:rFonts w:hint="eastAsia" w:ascii="方正仿宋_GBK" w:hAnsi="方正仿宋_GBK" w:eastAsia="方正仿宋_GBK" w:cs="方正仿宋_GBK"/>
                <w:sz w:val="21"/>
                <w:szCs w:val="21"/>
                <w:highlight w:val="none"/>
              </w:rPr>
              <w:t>投标文件上法定代表人（或其授权代表）或自然人（投标人为自然人）的签署或盖章齐全。</w:t>
            </w:r>
          </w:p>
        </w:tc>
      </w:tr>
      <w:tr w14:paraId="17F54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75" w:type="dxa"/>
            <w:vMerge w:val="continue"/>
            <w:noWrap w:val="0"/>
            <w:vAlign w:val="center"/>
          </w:tcPr>
          <w:p w14:paraId="1162BE68">
            <w:pPr>
              <w:jc w:val="center"/>
              <w:rPr>
                <w:rFonts w:hint="eastAsia" w:ascii="方正仿宋_GBK" w:hAnsi="方正仿宋_GBK" w:eastAsia="方正仿宋_GBK" w:cs="方正仿宋_GBK"/>
                <w:kern w:val="0"/>
                <w:sz w:val="21"/>
                <w:szCs w:val="21"/>
                <w:highlight w:val="none"/>
                <w:u w:val="none" w:color="auto"/>
              </w:rPr>
            </w:pPr>
          </w:p>
        </w:tc>
        <w:tc>
          <w:tcPr>
            <w:tcW w:w="1562" w:type="dxa"/>
            <w:vMerge w:val="continue"/>
            <w:noWrap w:val="0"/>
            <w:vAlign w:val="center"/>
          </w:tcPr>
          <w:p w14:paraId="34A92118">
            <w:pPr>
              <w:rPr>
                <w:rFonts w:hint="eastAsia" w:ascii="方正仿宋_GBK" w:hAnsi="方正仿宋_GBK" w:eastAsia="方正仿宋_GBK" w:cs="方正仿宋_GBK"/>
                <w:kern w:val="0"/>
                <w:sz w:val="21"/>
                <w:szCs w:val="21"/>
                <w:highlight w:val="none"/>
                <w:u w:val="none" w:color="auto"/>
              </w:rPr>
            </w:pPr>
          </w:p>
        </w:tc>
        <w:tc>
          <w:tcPr>
            <w:tcW w:w="1557" w:type="dxa"/>
            <w:noWrap w:val="0"/>
            <w:vAlign w:val="center"/>
          </w:tcPr>
          <w:p w14:paraId="5D7EEBA1">
            <w:pPr>
              <w:rPr>
                <w:rFonts w:hint="eastAsia" w:ascii="方正仿宋_GBK" w:hAnsi="方正仿宋_GBK" w:eastAsia="方正仿宋_GBK" w:cs="方正仿宋_GBK"/>
                <w:sz w:val="21"/>
                <w:szCs w:val="21"/>
                <w:highlight w:val="none"/>
                <w:u w:val="none" w:color="auto"/>
                <w:lang w:val="zh-CN"/>
              </w:rPr>
            </w:pPr>
            <w:r>
              <w:rPr>
                <w:rFonts w:hint="eastAsia" w:ascii="方正仿宋_GBK" w:hAnsi="方正仿宋_GBK" w:eastAsia="方正仿宋_GBK" w:cs="方正仿宋_GBK"/>
                <w:sz w:val="21"/>
                <w:szCs w:val="21"/>
                <w:highlight w:val="none"/>
                <w:u w:val="none" w:color="auto"/>
                <w:lang w:val="zh-CN"/>
              </w:rPr>
              <w:t>投标方案</w:t>
            </w:r>
          </w:p>
        </w:tc>
        <w:tc>
          <w:tcPr>
            <w:tcW w:w="5836" w:type="dxa"/>
            <w:noWrap w:val="0"/>
            <w:vAlign w:val="center"/>
          </w:tcPr>
          <w:p w14:paraId="67CE278A">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sz w:val="21"/>
                <w:szCs w:val="21"/>
                <w:highlight w:val="none"/>
                <w:u w:val="none" w:color="auto"/>
                <w:lang w:val="zh-CN"/>
              </w:rPr>
              <w:t>每个包只能有一个方案投标。</w:t>
            </w:r>
          </w:p>
        </w:tc>
      </w:tr>
      <w:tr w14:paraId="0E863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75" w:type="dxa"/>
            <w:vMerge w:val="continue"/>
            <w:noWrap w:val="0"/>
            <w:vAlign w:val="center"/>
          </w:tcPr>
          <w:p w14:paraId="5281BB1F">
            <w:pPr>
              <w:jc w:val="center"/>
              <w:rPr>
                <w:rFonts w:hint="eastAsia" w:ascii="方正仿宋_GBK" w:hAnsi="方正仿宋_GBK" w:eastAsia="方正仿宋_GBK" w:cs="方正仿宋_GBK"/>
                <w:kern w:val="0"/>
                <w:sz w:val="21"/>
                <w:szCs w:val="21"/>
                <w:highlight w:val="none"/>
                <w:u w:val="none" w:color="auto"/>
              </w:rPr>
            </w:pPr>
          </w:p>
        </w:tc>
        <w:tc>
          <w:tcPr>
            <w:tcW w:w="1562" w:type="dxa"/>
            <w:vMerge w:val="continue"/>
            <w:noWrap w:val="0"/>
            <w:vAlign w:val="center"/>
          </w:tcPr>
          <w:p w14:paraId="4A87FA46">
            <w:pPr>
              <w:rPr>
                <w:rFonts w:hint="eastAsia" w:ascii="方正仿宋_GBK" w:hAnsi="方正仿宋_GBK" w:eastAsia="方正仿宋_GBK" w:cs="方正仿宋_GBK"/>
                <w:kern w:val="0"/>
                <w:sz w:val="21"/>
                <w:szCs w:val="21"/>
                <w:highlight w:val="none"/>
                <w:u w:val="none" w:color="auto"/>
              </w:rPr>
            </w:pPr>
          </w:p>
        </w:tc>
        <w:tc>
          <w:tcPr>
            <w:tcW w:w="1557" w:type="dxa"/>
            <w:noWrap w:val="0"/>
            <w:vAlign w:val="center"/>
          </w:tcPr>
          <w:p w14:paraId="3BD34461">
            <w:pPr>
              <w:rPr>
                <w:rFonts w:hint="eastAsia" w:ascii="方正仿宋_GBK" w:hAnsi="方正仿宋_GBK" w:eastAsia="方正仿宋_GBK" w:cs="方正仿宋_GBK"/>
                <w:sz w:val="21"/>
                <w:szCs w:val="21"/>
                <w:highlight w:val="none"/>
                <w:u w:val="none" w:color="auto"/>
                <w:lang w:val="zh-CN"/>
              </w:rPr>
            </w:pPr>
            <w:r>
              <w:rPr>
                <w:rFonts w:hint="eastAsia" w:ascii="方正仿宋_GBK" w:hAnsi="方正仿宋_GBK" w:eastAsia="方正仿宋_GBK" w:cs="方正仿宋_GBK"/>
                <w:sz w:val="21"/>
                <w:szCs w:val="21"/>
                <w:highlight w:val="none"/>
                <w:u w:val="none" w:color="auto"/>
              </w:rPr>
              <w:t>报价唯一</w:t>
            </w:r>
          </w:p>
        </w:tc>
        <w:tc>
          <w:tcPr>
            <w:tcW w:w="5836" w:type="dxa"/>
            <w:noWrap w:val="0"/>
            <w:vAlign w:val="center"/>
          </w:tcPr>
          <w:p w14:paraId="45AE508B">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sz w:val="21"/>
                <w:szCs w:val="21"/>
                <w:highlight w:val="none"/>
                <w:u w:val="none" w:color="auto"/>
                <w:lang w:val="zh-CN"/>
              </w:rPr>
              <w:t>只能在预算金额和最高限价内报价，</w:t>
            </w:r>
            <w:r>
              <w:rPr>
                <w:rFonts w:hint="eastAsia" w:ascii="方正仿宋_GBK" w:hAnsi="方正仿宋_GBK" w:eastAsia="方正仿宋_GBK" w:cs="方正仿宋_GBK"/>
                <w:sz w:val="21"/>
                <w:szCs w:val="21"/>
                <w:highlight w:val="none"/>
                <w:u w:val="none" w:color="auto"/>
              </w:rPr>
              <w:t>只能有一个有效报价，不得提交选择性报价。</w:t>
            </w:r>
          </w:p>
        </w:tc>
      </w:tr>
      <w:tr w14:paraId="4AFE9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675" w:type="dxa"/>
            <w:noWrap w:val="0"/>
            <w:vAlign w:val="center"/>
          </w:tcPr>
          <w:p w14:paraId="1CD6CC8B">
            <w:pPr>
              <w:jc w:val="cente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2</w:t>
            </w:r>
          </w:p>
        </w:tc>
        <w:tc>
          <w:tcPr>
            <w:tcW w:w="1562" w:type="dxa"/>
            <w:noWrap w:val="0"/>
            <w:vAlign w:val="center"/>
          </w:tcPr>
          <w:p w14:paraId="29983304">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完整性审查</w:t>
            </w:r>
          </w:p>
        </w:tc>
        <w:tc>
          <w:tcPr>
            <w:tcW w:w="1557" w:type="dxa"/>
            <w:noWrap w:val="0"/>
            <w:vAlign w:val="center"/>
          </w:tcPr>
          <w:p w14:paraId="450B3AEB">
            <w:pPr>
              <w:shd w:val="clear"/>
              <w:spacing w:line="240" w:lineRule="exact"/>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sz w:val="21"/>
                <w:szCs w:val="21"/>
                <w:highlight w:val="none"/>
                <w:lang w:val="zh-CN"/>
              </w:rPr>
              <w:t>投标文件份数</w:t>
            </w:r>
          </w:p>
        </w:tc>
        <w:tc>
          <w:tcPr>
            <w:tcW w:w="5836" w:type="dxa"/>
            <w:noWrap w:val="0"/>
            <w:vAlign w:val="center"/>
          </w:tcPr>
          <w:p w14:paraId="2DB49A42">
            <w:pPr>
              <w:shd w:val="clear"/>
              <w:spacing w:line="240" w:lineRule="exact"/>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sz w:val="21"/>
                <w:szCs w:val="21"/>
                <w:highlight w:val="none"/>
                <w:lang w:val="zh-CN"/>
              </w:rPr>
              <w:t>电子投标文件数量</w:t>
            </w:r>
            <w:r>
              <w:rPr>
                <w:rFonts w:hint="eastAsia" w:ascii="方正仿宋_GBK" w:hAnsi="方正仿宋_GBK" w:eastAsia="方正仿宋_GBK" w:cs="方正仿宋_GBK"/>
                <w:sz w:val="21"/>
                <w:szCs w:val="21"/>
                <w:highlight w:val="none"/>
                <w:lang w:val="en-US" w:eastAsia="zh-CN"/>
              </w:rPr>
              <w:t>和须提交的相关原件数量（如果有）</w:t>
            </w:r>
            <w:r>
              <w:rPr>
                <w:rFonts w:hint="eastAsia" w:ascii="方正仿宋_GBK" w:hAnsi="方正仿宋_GBK" w:eastAsia="方正仿宋_GBK" w:cs="方正仿宋_GBK"/>
                <w:sz w:val="21"/>
                <w:szCs w:val="21"/>
                <w:highlight w:val="none"/>
                <w:lang w:val="zh-CN"/>
              </w:rPr>
              <w:t>符合招标文件要求。</w:t>
            </w:r>
          </w:p>
        </w:tc>
      </w:tr>
      <w:tr w14:paraId="7A978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75" w:type="dxa"/>
            <w:noWrap w:val="0"/>
            <w:vAlign w:val="center"/>
          </w:tcPr>
          <w:p w14:paraId="7D8965ED">
            <w:pPr>
              <w:jc w:val="cente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3</w:t>
            </w:r>
          </w:p>
        </w:tc>
        <w:tc>
          <w:tcPr>
            <w:tcW w:w="1562" w:type="dxa"/>
            <w:noWrap w:val="0"/>
            <w:vAlign w:val="center"/>
          </w:tcPr>
          <w:p w14:paraId="646693A0">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技术部分</w:t>
            </w:r>
          </w:p>
        </w:tc>
        <w:tc>
          <w:tcPr>
            <w:tcW w:w="1557" w:type="dxa"/>
            <w:noWrap w:val="0"/>
            <w:vAlign w:val="center"/>
          </w:tcPr>
          <w:p w14:paraId="13BD52F2">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投标文件内容</w:t>
            </w:r>
          </w:p>
        </w:tc>
        <w:tc>
          <w:tcPr>
            <w:tcW w:w="5836" w:type="dxa"/>
            <w:noWrap w:val="0"/>
            <w:vAlign w:val="center"/>
          </w:tcPr>
          <w:p w14:paraId="23475970">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本招标文件第二篇</w:t>
            </w:r>
            <w:r>
              <w:rPr>
                <w:rFonts w:hint="eastAsia" w:ascii="方正仿宋_GBK" w:hAnsi="方正仿宋_GBK" w:eastAsia="方正仿宋_GBK" w:cs="方正仿宋_GBK"/>
                <w:kern w:val="0"/>
                <w:sz w:val="21"/>
                <w:szCs w:val="21"/>
                <w:highlight w:val="none"/>
                <w:u w:val="none" w:color="auto"/>
                <w:lang w:eastAsia="zh-CN"/>
              </w:rPr>
              <w:t>的内容</w:t>
            </w:r>
            <w:r>
              <w:rPr>
                <w:rFonts w:hint="eastAsia" w:ascii="方正仿宋_GBK" w:hAnsi="方正仿宋_GBK" w:eastAsia="方正仿宋_GBK" w:cs="方正仿宋_GBK"/>
                <w:kern w:val="0"/>
                <w:sz w:val="21"/>
                <w:szCs w:val="21"/>
                <w:highlight w:val="none"/>
                <w:u w:val="none" w:color="auto"/>
              </w:rPr>
              <w:t>。</w:t>
            </w:r>
          </w:p>
        </w:tc>
      </w:tr>
      <w:tr w14:paraId="58713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75" w:type="dxa"/>
            <w:noWrap w:val="0"/>
            <w:vAlign w:val="center"/>
          </w:tcPr>
          <w:p w14:paraId="0B30D162">
            <w:pPr>
              <w:jc w:val="cente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4</w:t>
            </w:r>
          </w:p>
        </w:tc>
        <w:tc>
          <w:tcPr>
            <w:tcW w:w="1562" w:type="dxa"/>
            <w:noWrap w:val="0"/>
            <w:vAlign w:val="center"/>
          </w:tcPr>
          <w:p w14:paraId="43508CA9">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商务部分</w:t>
            </w:r>
          </w:p>
        </w:tc>
        <w:tc>
          <w:tcPr>
            <w:tcW w:w="1557" w:type="dxa"/>
            <w:noWrap w:val="0"/>
            <w:vAlign w:val="center"/>
          </w:tcPr>
          <w:p w14:paraId="4FC482BF">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投标文件内容</w:t>
            </w:r>
          </w:p>
        </w:tc>
        <w:tc>
          <w:tcPr>
            <w:tcW w:w="5836" w:type="dxa"/>
            <w:noWrap w:val="0"/>
            <w:vAlign w:val="center"/>
          </w:tcPr>
          <w:p w14:paraId="79730D3F">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本招标文件第三篇</w:t>
            </w:r>
            <w:r>
              <w:rPr>
                <w:rFonts w:hint="eastAsia" w:ascii="方正仿宋_GBK" w:hAnsi="方正仿宋_GBK" w:eastAsia="方正仿宋_GBK" w:cs="方正仿宋_GBK"/>
                <w:kern w:val="0"/>
                <w:sz w:val="21"/>
                <w:szCs w:val="21"/>
                <w:highlight w:val="none"/>
                <w:u w:val="none" w:color="auto"/>
                <w:lang w:eastAsia="zh-CN"/>
              </w:rPr>
              <w:t>的内容</w:t>
            </w:r>
            <w:r>
              <w:rPr>
                <w:rFonts w:hint="eastAsia" w:ascii="方正仿宋_GBK" w:hAnsi="方正仿宋_GBK" w:eastAsia="方正仿宋_GBK" w:cs="方正仿宋_GBK"/>
                <w:kern w:val="0"/>
                <w:sz w:val="21"/>
                <w:szCs w:val="21"/>
                <w:highlight w:val="none"/>
                <w:u w:val="none" w:color="auto"/>
              </w:rPr>
              <w:t>。</w:t>
            </w:r>
          </w:p>
        </w:tc>
      </w:tr>
      <w:tr w14:paraId="56A34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675" w:type="dxa"/>
            <w:noWrap w:val="0"/>
            <w:vAlign w:val="center"/>
          </w:tcPr>
          <w:p w14:paraId="1BB2A24C">
            <w:pPr>
              <w:jc w:val="cente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5</w:t>
            </w:r>
          </w:p>
        </w:tc>
        <w:tc>
          <w:tcPr>
            <w:tcW w:w="1562" w:type="dxa"/>
            <w:noWrap w:val="0"/>
            <w:vAlign w:val="center"/>
          </w:tcPr>
          <w:p w14:paraId="45C561F2">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投标有效期</w:t>
            </w:r>
          </w:p>
        </w:tc>
        <w:tc>
          <w:tcPr>
            <w:tcW w:w="1557" w:type="dxa"/>
            <w:noWrap w:val="0"/>
            <w:vAlign w:val="center"/>
          </w:tcPr>
          <w:p w14:paraId="6208E809">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投标文件内容</w:t>
            </w:r>
          </w:p>
        </w:tc>
        <w:tc>
          <w:tcPr>
            <w:tcW w:w="5836" w:type="dxa"/>
            <w:noWrap w:val="0"/>
            <w:vAlign w:val="center"/>
          </w:tcPr>
          <w:p w14:paraId="481EE29E">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投标有效期为</w:t>
            </w:r>
            <w:r>
              <w:rPr>
                <w:rFonts w:hint="eastAsia" w:ascii="方正仿宋_GBK" w:hAnsi="方正仿宋_GBK" w:eastAsia="方正仿宋_GBK" w:cs="方正仿宋_GBK"/>
                <w:kern w:val="0"/>
                <w:sz w:val="21"/>
                <w:szCs w:val="21"/>
                <w:highlight w:val="none"/>
                <w:u w:val="none" w:color="auto"/>
                <w:lang w:eastAsia="zh-CN"/>
              </w:rPr>
              <w:t>电子</w:t>
            </w:r>
            <w:r>
              <w:rPr>
                <w:rFonts w:hint="eastAsia" w:ascii="方正仿宋_GBK" w:hAnsi="方正仿宋_GBK" w:eastAsia="方正仿宋_GBK" w:cs="方正仿宋_GBK"/>
                <w:kern w:val="0"/>
                <w:sz w:val="21"/>
                <w:szCs w:val="21"/>
                <w:highlight w:val="none"/>
                <w:u w:val="none" w:color="auto"/>
              </w:rPr>
              <w:t>投标截止时间起90天。</w:t>
            </w:r>
          </w:p>
        </w:tc>
      </w:tr>
    </w:tbl>
    <w:p w14:paraId="5CEB7483">
      <w:pPr>
        <w:pStyle w:val="3"/>
        <w:spacing w:line="400" w:lineRule="exact"/>
        <w:ind w:firstLine="482" w:firstLineChars="200"/>
        <w:rPr>
          <w:rFonts w:hint="eastAsia" w:ascii="方正仿宋_GBK" w:hAnsi="方正仿宋_GBK" w:eastAsia="方正仿宋_GBK" w:cs="方正仿宋_GBK"/>
          <w:b/>
          <w:sz w:val="24"/>
          <w:szCs w:val="24"/>
          <w:highlight w:val="none"/>
          <w:u w:val="none" w:color="auto"/>
        </w:rPr>
      </w:pPr>
      <w:bookmarkStart w:id="305" w:name="_Toc30717"/>
      <w:bookmarkStart w:id="306" w:name="_Toc106030395"/>
      <w:bookmarkStart w:id="307" w:name="_Toc27633"/>
      <w:bookmarkStart w:id="308" w:name="_Toc31997"/>
      <w:bookmarkStart w:id="309" w:name="_Toc26796"/>
      <w:bookmarkStart w:id="310" w:name="_Toc9094"/>
      <w:bookmarkStart w:id="311" w:name="_Toc5620"/>
      <w:bookmarkStart w:id="312" w:name="_Toc11654"/>
      <w:bookmarkStart w:id="313" w:name="_Toc25341"/>
      <w:bookmarkStart w:id="314" w:name="_Toc27015"/>
      <w:bookmarkStart w:id="315" w:name="_Toc29140"/>
      <w:bookmarkStart w:id="316" w:name="_Toc21650"/>
      <w:bookmarkStart w:id="317" w:name="_Toc5674"/>
      <w:bookmarkStart w:id="318" w:name="_Toc10909"/>
      <w:bookmarkStart w:id="319" w:name="_Toc1384981093"/>
      <w:bookmarkStart w:id="320" w:name="_Toc75793519"/>
      <w:bookmarkStart w:id="321" w:name="_Toc14824"/>
      <w:bookmarkStart w:id="322" w:name="_Toc20171"/>
      <w:bookmarkStart w:id="323" w:name="_Toc28549"/>
      <w:bookmarkStart w:id="324" w:name="_Toc30011"/>
      <w:r>
        <w:rPr>
          <w:rFonts w:hint="eastAsia" w:ascii="方正仿宋_GBK" w:hAnsi="方正仿宋_GBK" w:eastAsia="方正仿宋_GBK" w:cs="方正仿宋_GBK"/>
          <w:b/>
          <w:sz w:val="24"/>
          <w:szCs w:val="24"/>
          <w:highlight w:val="none"/>
          <w:u w:val="none" w:color="auto"/>
        </w:rPr>
        <w:t>二、评标方法</w:t>
      </w:r>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p>
    <w:p w14:paraId="0B244FDF">
      <w:pPr>
        <w:snapToGrid w:val="0"/>
        <w:spacing w:line="400" w:lineRule="exact"/>
        <w:ind w:firstLine="480" w:firstLineChars="200"/>
        <w:rPr>
          <w:rFonts w:hint="eastAsia" w:ascii="方正仿宋_GBK" w:hAnsi="方正仿宋_GBK" w:eastAsia="方正仿宋_GBK" w:cs="方正仿宋_GBK"/>
          <w:kern w:val="0"/>
          <w:sz w:val="24"/>
          <w:szCs w:val="24"/>
          <w:highlight w:val="none"/>
          <w:u w:val="none" w:color="auto"/>
        </w:rPr>
      </w:pPr>
      <w:r>
        <w:rPr>
          <w:rFonts w:hint="eastAsia" w:ascii="方正仿宋_GBK" w:hAnsi="方正仿宋_GBK" w:eastAsia="方正仿宋_GBK" w:cs="方正仿宋_GBK"/>
          <w:kern w:val="0"/>
          <w:sz w:val="24"/>
          <w:szCs w:val="24"/>
          <w:highlight w:val="none"/>
          <w:u w:val="none" w:color="auto"/>
        </w:rPr>
        <w:t>本项目采用</w:t>
      </w:r>
      <w:r>
        <w:rPr>
          <w:rFonts w:hint="eastAsia" w:ascii="方正仿宋_GBK" w:hAnsi="方正仿宋_GBK" w:eastAsia="方正仿宋_GBK" w:cs="方正仿宋_GBK"/>
          <w:kern w:val="0"/>
          <w:sz w:val="24"/>
          <w:szCs w:val="24"/>
          <w:highlight w:val="none"/>
        </w:rPr>
        <w:t>最低评标价法</w:t>
      </w:r>
      <w:r>
        <w:rPr>
          <w:rFonts w:hint="eastAsia" w:ascii="方正仿宋_GBK" w:hAnsi="方正仿宋_GBK" w:eastAsia="方正仿宋_GBK" w:cs="方正仿宋_GBK"/>
          <w:kern w:val="0"/>
          <w:sz w:val="24"/>
          <w:szCs w:val="24"/>
          <w:highlight w:val="none"/>
          <w:u w:val="none" w:color="auto"/>
        </w:rPr>
        <w:t>进行评标。</w:t>
      </w:r>
    </w:p>
    <w:p w14:paraId="556733F5">
      <w:pPr>
        <w:snapToGrid w:val="0"/>
        <w:spacing w:line="400" w:lineRule="exact"/>
        <w:ind w:firstLine="480" w:firstLineChars="200"/>
        <w:rPr>
          <w:rFonts w:hint="eastAsia" w:ascii="方正仿宋_GBK" w:hAnsi="方正仿宋_GBK" w:eastAsia="方正仿宋_GBK" w:cs="方正仿宋_GBK"/>
          <w:kern w:val="0"/>
          <w:sz w:val="24"/>
          <w:szCs w:val="24"/>
          <w:highlight w:val="none"/>
          <w:u w:val="none" w:color="auto"/>
        </w:rPr>
      </w:pPr>
      <w:r>
        <w:rPr>
          <w:rFonts w:hint="eastAsia" w:ascii="方正仿宋_GBK" w:hAnsi="方正仿宋_GBK" w:eastAsia="方正仿宋_GBK" w:cs="方正仿宋_GBK"/>
          <w:kern w:val="0"/>
          <w:sz w:val="24"/>
          <w:szCs w:val="24"/>
          <w:highlight w:val="none"/>
        </w:rPr>
        <w:t>最低评标价法，是指</w:t>
      </w:r>
      <w:r>
        <w:rPr>
          <w:rFonts w:hint="eastAsia" w:ascii="方正仿宋_GBK" w:hAnsi="方正仿宋_GBK" w:eastAsia="方正仿宋_GBK" w:cs="方正仿宋_GBK"/>
          <w:kern w:val="0"/>
          <w:sz w:val="24"/>
          <w:szCs w:val="24"/>
          <w:highlight w:val="none"/>
          <w:lang w:eastAsia="zh-CN"/>
        </w:rPr>
        <w:t>电子</w:t>
      </w:r>
      <w:r>
        <w:rPr>
          <w:rFonts w:hint="eastAsia" w:ascii="方正仿宋_GBK" w:hAnsi="方正仿宋_GBK" w:eastAsia="方正仿宋_GBK" w:cs="方正仿宋_GBK"/>
          <w:kern w:val="0"/>
          <w:sz w:val="24"/>
          <w:szCs w:val="24"/>
          <w:highlight w:val="none"/>
        </w:rPr>
        <w:t>投标文件满足招标文件全部实质性要求且投标报价最低的投标人为中标候选人的评标方法。</w:t>
      </w:r>
      <w:r>
        <w:rPr>
          <w:rFonts w:hint="eastAsia" w:ascii="方正仿宋_GBK" w:hAnsi="方正仿宋_GBK" w:eastAsia="方正仿宋_GBK" w:cs="方正仿宋_GBK"/>
          <w:kern w:val="0"/>
          <w:sz w:val="24"/>
          <w:szCs w:val="24"/>
          <w:highlight w:val="none"/>
          <w:u w:val="none" w:color="auto"/>
        </w:rPr>
        <w:t>。</w:t>
      </w:r>
    </w:p>
    <w:p w14:paraId="1467A81F">
      <w:pPr>
        <w:snapToGrid w:val="0"/>
        <w:spacing w:line="400" w:lineRule="exact"/>
        <w:ind w:firstLine="480" w:firstLineChars="200"/>
        <w:rPr>
          <w:rFonts w:hint="eastAsia" w:ascii="方正仿宋_GBK" w:hAnsi="方正仿宋_GBK" w:eastAsia="方正仿宋_GBK" w:cs="方正仿宋_GBK"/>
          <w:sz w:val="24"/>
          <w:szCs w:val="24"/>
          <w:highlight w:val="none"/>
          <w:u w:val="none" w:color="auto"/>
        </w:rPr>
      </w:pPr>
      <w:r>
        <w:rPr>
          <w:rFonts w:hint="eastAsia" w:ascii="方正仿宋_GBK" w:hAnsi="方正仿宋_GBK" w:eastAsia="方正仿宋_GBK" w:cs="方正仿宋_GBK"/>
          <w:sz w:val="24"/>
          <w:szCs w:val="24"/>
          <w:highlight w:val="none"/>
          <w:u w:val="none" w:color="auto"/>
        </w:rPr>
        <w:t>澄清有关问题。</w:t>
      </w:r>
      <w:r>
        <w:rPr>
          <w:rFonts w:hint="eastAsia" w:ascii="方正仿宋_GBK" w:hAnsi="方正仿宋_GBK" w:eastAsia="方正仿宋_GBK" w:cs="方正仿宋_GBK"/>
          <w:kern w:val="0"/>
          <w:sz w:val="24"/>
          <w:szCs w:val="24"/>
          <w:highlight w:val="none"/>
        </w:rPr>
        <w:t>对电子投标文件中含义不明确、同类问题表述不一致或者有明显文字和计算错误的内容，评标委员会可在线要求投标人作出必要澄清、说明或者纠正，其澄清的内容不得超出电子投标文件的范围或者改变电子投标文件的实质性内容。澄清内容以线下书面形式作出，</w:t>
      </w:r>
      <w:bookmarkStart w:id="325" w:name="_Hlk148269031"/>
      <w:r>
        <w:rPr>
          <w:rFonts w:hint="eastAsia" w:ascii="方正仿宋_GBK" w:hAnsi="方正仿宋_GBK" w:eastAsia="方正仿宋_GBK" w:cs="方正仿宋_GBK"/>
          <w:kern w:val="0"/>
          <w:sz w:val="24"/>
          <w:szCs w:val="24"/>
          <w:highlight w:val="none"/>
        </w:rPr>
        <w:t>文件电子化上传</w:t>
      </w:r>
      <w:bookmarkEnd w:id="325"/>
      <w:r>
        <w:rPr>
          <w:rFonts w:hint="eastAsia" w:ascii="方正仿宋_GBK" w:hAnsi="方正仿宋_GBK" w:eastAsia="方正仿宋_GBK" w:cs="方正仿宋_GBK"/>
          <w:kern w:val="0"/>
          <w:sz w:val="24"/>
          <w:szCs w:val="24"/>
          <w:highlight w:val="none"/>
        </w:rPr>
        <w:t>。</w:t>
      </w:r>
      <w:bookmarkStart w:id="326" w:name="_Hlk148269077"/>
      <w:r>
        <w:rPr>
          <w:rFonts w:hint="eastAsia" w:ascii="方正仿宋_GBK" w:hAnsi="方正仿宋_GBK" w:eastAsia="方正仿宋_GBK" w:cs="方正仿宋_GBK"/>
          <w:kern w:val="0"/>
          <w:sz w:val="24"/>
          <w:szCs w:val="24"/>
          <w:highlight w:val="none"/>
        </w:rPr>
        <w:t>投标人通过书面形式作出的澄清、说明或者纠正应当由法定代表人（或其授权代表）或自然人（投标人为自然人）签署或者加盖公章并将澄清等文件扫描为PDF格式，上传至电子开标室的“问题澄清”输入框中的“澄清附件”中。由授权代表签署的，应当附法定代表人授权书。投标人为自然人的，应当由本人签署并附身份证明。以上签署等文件都要以PDF格式上传到“问题澄清”输入框中的“澄清附件”（澄清附件只允许一个文档上传，所有上传文件都应归到一个PDF文档当中）</w:t>
      </w:r>
      <w:bookmarkEnd w:id="326"/>
      <w:r>
        <w:rPr>
          <w:rFonts w:hint="eastAsia" w:ascii="方正仿宋_GBK" w:hAnsi="方正仿宋_GBK" w:eastAsia="方正仿宋_GBK" w:cs="方正仿宋_GBK"/>
          <w:sz w:val="24"/>
          <w:szCs w:val="24"/>
          <w:highlight w:val="none"/>
          <w:u w:val="none" w:color="auto"/>
        </w:rPr>
        <w:t>。</w:t>
      </w:r>
    </w:p>
    <w:p w14:paraId="586A17F4">
      <w:pPr>
        <w:snapToGrid w:val="0"/>
        <w:spacing w:line="400" w:lineRule="exact"/>
        <w:ind w:firstLine="482" w:firstLineChars="200"/>
        <w:outlineLvl w:val="2"/>
        <w:rPr>
          <w:rFonts w:hint="eastAsia" w:ascii="方正仿宋_GBK" w:hAnsi="方正仿宋_GBK" w:eastAsia="方正仿宋_GBK" w:cs="方正仿宋_GBK"/>
          <w:b/>
          <w:sz w:val="24"/>
          <w:szCs w:val="24"/>
          <w:highlight w:val="none"/>
        </w:rPr>
      </w:pPr>
      <w:bookmarkStart w:id="327" w:name="_Toc20800"/>
      <w:bookmarkStart w:id="328" w:name="_Toc24377"/>
      <w:bookmarkStart w:id="329" w:name="_Toc5799"/>
      <w:bookmarkStart w:id="330" w:name="_Toc20875"/>
      <w:bookmarkStart w:id="331" w:name="_Toc75793520"/>
      <w:bookmarkStart w:id="332" w:name="_Toc16020"/>
      <w:bookmarkStart w:id="333" w:name="_Toc6342"/>
      <w:bookmarkStart w:id="334" w:name="_Toc106030396"/>
      <w:bookmarkStart w:id="335" w:name="_Toc20699"/>
      <w:bookmarkStart w:id="336" w:name="_Toc20354"/>
      <w:bookmarkStart w:id="337" w:name="_Toc4511"/>
      <w:bookmarkStart w:id="338" w:name="_Toc1055"/>
      <w:bookmarkStart w:id="339" w:name="_Toc19924"/>
      <w:bookmarkStart w:id="340" w:name="_Toc17311"/>
      <w:bookmarkStart w:id="341" w:name="_Toc15716"/>
      <w:bookmarkStart w:id="342" w:name="_Toc22772"/>
      <w:bookmarkStart w:id="343" w:name="_Toc267320057"/>
      <w:bookmarkStart w:id="344" w:name="_Toc17116"/>
      <w:bookmarkStart w:id="345" w:name="_Toc25814"/>
      <w:bookmarkStart w:id="346" w:name="_Toc22225"/>
      <w:r>
        <w:rPr>
          <w:rFonts w:hint="eastAsia" w:ascii="方正仿宋_GBK" w:hAnsi="方正仿宋_GBK" w:eastAsia="方正仿宋_GBK" w:cs="方正仿宋_GBK"/>
          <w:b/>
          <w:sz w:val="24"/>
          <w:szCs w:val="24"/>
          <w:highlight w:val="none"/>
        </w:rPr>
        <w:t>最低评标价法：</w:t>
      </w:r>
    </w:p>
    <w:p w14:paraId="0B3BA2F5">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方正仿宋_GBK" w:eastAsia="方正仿宋_GBK" w:cs="方正仿宋_GBK"/>
          <w:sz w:val="24"/>
          <w:szCs w:val="24"/>
          <w:highlight w:val="none"/>
        </w:rPr>
        <w:t>（一）比较与评价。按招标文件中规定</w:t>
      </w:r>
      <w:r>
        <w:rPr>
          <w:rFonts w:hint="eastAsia" w:ascii="方正仿宋_GBK" w:hAnsi="宋体" w:eastAsia="方正仿宋_GBK"/>
          <w:sz w:val="24"/>
          <w:szCs w:val="24"/>
          <w:highlight w:val="none"/>
        </w:rPr>
        <w:t>的评标方法和标准，对资格审查和符合性审查合格的</w:t>
      </w:r>
      <w:r>
        <w:rPr>
          <w:rFonts w:hint="eastAsia" w:ascii="方正仿宋_GBK" w:hAnsi="宋体" w:eastAsia="方正仿宋_GBK"/>
          <w:sz w:val="24"/>
          <w:szCs w:val="24"/>
          <w:highlight w:val="none"/>
          <w:lang w:eastAsia="zh-CN"/>
        </w:rPr>
        <w:t>电子</w:t>
      </w:r>
      <w:r>
        <w:rPr>
          <w:rFonts w:hint="eastAsia" w:ascii="方正仿宋_GBK" w:hAnsi="宋体" w:eastAsia="方正仿宋_GBK"/>
          <w:sz w:val="24"/>
          <w:szCs w:val="24"/>
          <w:highlight w:val="none"/>
        </w:rPr>
        <w:t>投标文件进行商务和技术评估。</w:t>
      </w:r>
    </w:p>
    <w:p w14:paraId="5D5209D2">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同一合同项（包）下为单一品目或非单一品目核心产品品牌的货物采购招标中，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14:paraId="4290B989">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（二）推荐中标候选人名单。</w:t>
      </w:r>
    </w:p>
    <w:p w14:paraId="58B84A95">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推荐投标文件满足招标文件全部实质性要求，投标报价进行政策性扣减，并依据扣减后的价格按照由低到高的顺序排名前三的投标人为中标候选人，其中排名第一的投标人为第一中标候选人。</w:t>
      </w:r>
    </w:p>
    <w:p w14:paraId="4993D172">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仿宋" w:eastAsia="方正仿宋_GBK"/>
          <w:sz w:val="24"/>
          <w:szCs w:val="24"/>
          <w:highlight w:val="none"/>
        </w:rPr>
        <w:t>评标结果按投标报价由低到高顺序排列，若投标报价相同的并列。</w:t>
      </w:r>
    </w:p>
    <w:p w14:paraId="365980EB">
      <w:pPr>
        <w:pStyle w:val="3"/>
        <w:spacing w:line="400" w:lineRule="exact"/>
        <w:ind w:firstLine="482" w:firstLineChars="200"/>
        <w:rPr>
          <w:rFonts w:hint="eastAsia" w:ascii="方正仿宋_GBK" w:eastAsia="方正仿宋_GBK"/>
          <w:b/>
          <w:sz w:val="24"/>
          <w:szCs w:val="24"/>
          <w:highlight w:val="none"/>
          <w:u w:val="none" w:color="auto"/>
        </w:rPr>
      </w:pPr>
      <w:bookmarkStart w:id="347" w:name="_Toc675004504"/>
      <w:r>
        <w:rPr>
          <w:rFonts w:hint="eastAsia" w:ascii="方正仿宋_GBK" w:eastAsia="方正仿宋_GBK"/>
          <w:b/>
          <w:sz w:val="24"/>
          <w:szCs w:val="24"/>
          <w:highlight w:val="none"/>
          <w:u w:val="none" w:color="auto"/>
        </w:rPr>
        <w:t>三、评标标准</w:t>
      </w:r>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p>
    <w:p w14:paraId="4E2F3A44">
      <w:pPr>
        <w:snapToGrid w:val="0"/>
        <w:spacing w:line="400" w:lineRule="exact"/>
        <w:ind w:firstLine="482" w:firstLineChars="200"/>
        <w:rPr>
          <w:rFonts w:hint="eastAsia" w:ascii="方正仿宋_GBK" w:hAnsi="宋体" w:eastAsia="方正仿宋_GBK"/>
          <w:b/>
          <w:sz w:val="24"/>
          <w:szCs w:val="24"/>
          <w:highlight w:val="none"/>
        </w:rPr>
      </w:pPr>
      <w:r>
        <w:rPr>
          <w:rFonts w:hint="eastAsia" w:ascii="方正仿宋_GBK" w:hAnsi="宋体" w:eastAsia="方正仿宋_GBK"/>
          <w:b/>
          <w:sz w:val="24"/>
          <w:szCs w:val="24"/>
          <w:highlight w:val="none"/>
        </w:rPr>
        <w:t>最低评标价法：</w:t>
      </w:r>
    </w:p>
    <w:p w14:paraId="362D3C21">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（一）关于技术（质量）、商务偏离</w:t>
      </w:r>
    </w:p>
    <w:p w14:paraId="51F1F39F">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1.投标文件投标应答有一条及以上不满足招标文件“第二篇 项目技术（质量）需求”要求的（“※”号标注的部分除外），投标人将失去成为中标候选人的资格；</w:t>
      </w:r>
    </w:p>
    <w:p w14:paraId="25637B45">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2.投标文件投标应答有一条及以上不满足招标文件“第三篇 项目商务需求”要求的（“※”号标注的部分除外），投标人将失去成为中标候选人的资格；</w:t>
      </w:r>
    </w:p>
    <w:p w14:paraId="4BC37C24">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75C246B3">
      <w:pPr>
        <w:pStyle w:val="3"/>
        <w:spacing w:line="400" w:lineRule="exact"/>
        <w:ind w:firstLine="482" w:firstLineChars="200"/>
        <w:rPr>
          <w:rFonts w:hint="eastAsia" w:ascii="方正仿宋_GBK" w:eastAsia="方正仿宋_GBK"/>
          <w:b/>
          <w:sz w:val="24"/>
          <w:szCs w:val="24"/>
          <w:highlight w:val="none"/>
          <w:u w:val="none" w:color="auto"/>
        </w:rPr>
      </w:pPr>
      <w:bookmarkStart w:id="348" w:name="_Toc15200"/>
      <w:bookmarkStart w:id="349" w:name="_Toc1833321924"/>
      <w:bookmarkStart w:id="350" w:name="_Toc26747"/>
      <w:bookmarkStart w:id="351" w:name="_Toc17065"/>
      <w:bookmarkStart w:id="352" w:name="_Toc29658"/>
      <w:bookmarkStart w:id="353" w:name="_Toc5010"/>
      <w:bookmarkStart w:id="354" w:name="_Toc30659"/>
      <w:bookmarkStart w:id="355" w:name="_Toc18716"/>
      <w:bookmarkStart w:id="356" w:name="_Toc13232"/>
      <w:bookmarkStart w:id="357" w:name="_Toc19638"/>
      <w:bookmarkStart w:id="358" w:name="_Toc20423"/>
      <w:bookmarkStart w:id="359" w:name="_Toc22167"/>
      <w:bookmarkStart w:id="360" w:name="_Toc27926"/>
      <w:bookmarkStart w:id="361" w:name="_Toc13045"/>
      <w:bookmarkStart w:id="362" w:name="_Toc106030397"/>
      <w:bookmarkStart w:id="363" w:name="_Toc10923"/>
      <w:bookmarkStart w:id="364" w:name="_Toc75793521"/>
      <w:bookmarkStart w:id="365" w:name="_Toc4045"/>
      <w:bookmarkStart w:id="366" w:name="_Toc29586"/>
      <w:bookmarkStart w:id="367" w:name="_Toc2483"/>
      <w:r>
        <w:rPr>
          <w:rFonts w:hint="eastAsia" w:ascii="方正仿宋_GBK" w:eastAsia="方正仿宋_GBK"/>
          <w:b/>
          <w:sz w:val="24"/>
          <w:szCs w:val="24"/>
          <w:highlight w:val="none"/>
          <w:u w:val="none" w:color="auto"/>
        </w:rPr>
        <w:t>四、无效投标条款</w:t>
      </w:r>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p>
    <w:p w14:paraId="73ACB272">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投标人或其投标文件出现下列情况之一者，应为无效投标：</w:t>
      </w:r>
    </w:p>
    <w:p w14:paraId="46B39160">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（一）未按照招标文件的规定提交投标保证金的；</w:t>
      </w:r>
    </w:p>
    <w:p w14:paraId="243B5203">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（二）</w:t>
      </w:r>
      <w:r>
        <w:rPr>
          <w:rFonts w:hint="eastAsia" w:ascii="方正仿宋_GBK" w:hAnsi="宋体" w:eastAsia="方正仿宋_GBK"/>
          <w:sz w:val="24"/>
          <w:szCs w:val="24"/>
          <w:highlight w:val="none"/>
          <w:u w:val="none" w:color="auto"/>
          <w:lang w:eastAsia="zh-CN"/>
        </w:rPr>
        <w:t>电子</w:t>
      </w:r>
      <w:r>
        <w:rPr>
          <w:rFonts w:hint="eastAsia" w:ascii="方正仿宋_GBK" w:hAnsi="宋体" w:eastAsia="方正仿宋_GBK"/>
          <w:sz w:val="24"/>
          <w:szCs w:val="24"/>
          <w:highlight w:val="none"/>
          <w:u w:val="none" w:color="auto"/>
        </w:rPr>
        <w:t>投标文件未按招标文件要求签署、盖章的；</w:t>
      </w:r>
    </w:p>
    <w:p w14:paraId="745CEC1A">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（三）不具备招标文件中规定的资格要求的；</w:t>
      </w:r>
    </w:p>
    <w:p w14:paraId="3713A649">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（四）报价超过招标文件中规定的预算金额或者最高限价的；</w:t>
      </w:r>
    </w:p>
    <w:p w14:paraId="23CFFC0E">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（五）</w:t>
      </w:r>
      <w:r>
        <w:rPr>
          <w:rFonts w:hint="eastAsia" w:ascii="方正仿宋_GBK" w:hAnsi="宋体" w:eastAsia="方正仿宋_GBK"/>
          <w:sz w:val="24"/>
          <w:szCs w:val="24"/>
          <w:highlight w:val="none"/>
          <w:u w:val="none" w:color="auto"/>
          <w:lang w:eastAsia="zh-CN"/>
        </w:rPr>
        <w:t>电子</w:t>
      </w:r>
      <w:r>
        <w:rPr>
          <w:rFonts w:hint="eastAsia" w:ascii="方正仿宋_GBK" w:hAnsi="宋体" w:eastAsia="方正仿宋_GBK"/>
          <w:sz w:val="24"/>
          <w:szCs w:val="24"/>
          <w:highlight w:val="none"/>
          <w:u w:val="none" w:color="auto"/>
        </w:rPr>
        <w:t>投标文件含有采购人不能接受的附加条件的；</w:t>
      </w:r>
    </w:p>
    <w:p w14:paraId="71231693">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（六）投标人串通投标的；</w:t>
      </w:r>
    </w:p>
    <w:p w14:paraId="0C0BE981">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（七）法律、法规和招标文件规定的其他无效情形。</w:t>
      </w:r>
    </w:p>
    <w:p w14:paraId="64498A1B">
      <w:pPr>
        <w:pStyle w:val="3"/>
        <w:spacing w:line="400" w:lineRule="exact"/>
        <w:ind w:firstLine="482" w:firstLineChars="200"/>
        <w:rPr>
          <w:rFonts w:hint="eastAsia" w:ascii="方正仿宋_GBK" w:eastAsia="方正仿宋_GBK"/>
          <w:b/>
          <w:sz w:val="24"/>
          <w:szCs w:val="24"/>
          <w:highlight w:val="none"/>
          <w:u w:val="none" w:color="auto"/>
        </w:rPr>
      </w:pPr>
      <w:bookmarkStart w:id="368" w:name="_Toc4422"/>
      <w:bookmarkStart w:id="369" w:name="_Toc25549"/>
      <w:bookmarkStart w:id="370" w:name="_Toc27133"/>
      <w:bookmarkStart w:id="371" w:name="_Toc176251944"/>
      <w:bookmarkStart w:id="372" w:name="_Toc30605"/>
      <w:bookmarkStart w:id="373" w:name="_Toc11293"/>
      <w:bookmarkStart w:id="374" w:name="_Toc20005"/>
      <w:bookmarkStart w:id="375" w:name="_Toc21946"/>
      <w:bookmarkStart w:id="376" w:name="_Toc19742"/>
      <w:bookmarkStart w:id="377" w:name="_Toc7802"/>
      <w:bookmarkStart w:id="378" w:name="_Toc25960"/>
      <w:bookmarkStart w:id="379" w:name="_Toc23533"/>
      <w:bookmarkStart w:id="380" w:name="_Toc6719"/>
      <w:bookmarkStart w:id="381" w:name="_Toc6956"/>
      <w:bookmarkStart w:id="382" w:name="_Toc75793522"/>
      <w:bookmarkStart w:id="383" w:name="_Toc29242"/>
      <w:bookmarkStart w:id="384" w:name="_Toc6204"/>
      <w:bookmarkStart w:id="385" w:name="_Toc10367"/>
      <w:bookmarkStart w:id="386" w:name="_Toc106030398"/>
      <w:bookmarkStart w:id="387" w:name="_Toc14355"/>
      <w:r>
        <w:rPr>
          <w:rFonts w:hint="eastAsia" w:ascii="方正仿宋_GBK" w:eastAsia="方正仿宋_GBK"/>
          <w:b/>
          <w:sz w:val="24"/>
          <w:szCs w:val="24"/>
          <w:highlight w:val="none"/>
          <w:u w:val="none" w:color="auto"/>
        </w:rPr>
        <w:t>五、废标条款</w:t>
      </w:r>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p>
    <w:p w14:paraId="0FAF3EB3">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在招标采购中，出现下列情形之一的，应予废标：</w:t>
      </w:r>
    </w:p>
    <w:p w14:paraId="71D92C19">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（一）符合专业条件的投标人或者对招标文件作实质响应的投标人不足三家的；</w:t>
      </w:r>
    </w:p>
    <w:p w14:paraId="58A09B41">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（二）投标人的报价均超过了采购预算，采购人不能支付的；</w:t>
      </w:r>
    </w:p>
    <w:p w14:paraId="6CC6322A">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（三）出现影响采购公正的违法、违规行为的；</w:t>
      </w:r>
    </w:p>
    <w:p w14:paraId="5B064526">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（四）因重大变故，采购任务取消的。</w:t>
      </w:r>
    </w:p>
    <w:p w14:paraId="340A9006">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废标后，除采购任务取消情形外，应当重新组织采购。</w:t>
      </w:r>
    </w:p>
    <w:p w14:paraId="0BF2C8AC">
      <w:pPr>
        <w:pStyle w:val="2"/>
        <w:spacing w:before="0" w:beforeLines="0" w:after="0" w:afterLines="0" w:line="360" w:lineRule="auto"/>
        <w:rPr>
          <w:rFonts w:hint="eastAsia" w:ascii="方正仿宋_GBK" w:eastAsia="方正仿宋_GBK"/>
          <w:b/>
          <w:highlight w:val="none"/>
          <w:u w:val="none" w:color="auto"/>
        </w:rPr>
      </w:pPr>
      <w:r>
        <w:rPr>
          <w:rFonts w:hint="eastAsia" w:ascii="方正仿宋_GBK" w:hAnsi="宋体" w:eastAsia="方正仿宋_GBK"/>
          <w:sz w:val="28"/>
          <w:highlight w:val="none"/>
          <w:u w:val="none" w:color="auto"/>
        </w:rPr>
        <w:br w:type="page"/>
      </w:r>
      <w:bookmarkStart w:id="388" w:name="_Toc5106"/>
      <w:bookmarkStart w:id="389" w:name="_Toc106030399"/>
      <w:bookmarkStart w:id="390" w:name="_Toc22256"/>
      <w:bookmarkStart w:id="391" w:name="_Toc25962"/>
      <w:bookmarkStart w:id="392" w:name="_Toc25755"/>
      <w:bookmarkStart w:id="393" w:name="_Toc1982"/>
      <w:bookmarkStart w:id="394" w:name="_Toc13159"/>
      <w:bookmarkStart w:id="395" w:name="_Toc16241"/>
      <w:bookmarkStart w:id="396" w:name="_Toc12533"/>
      <w:bookmarkStart w:id="397" w:name="_Toc19831"/>
      <w:bookmarkStart w:id="398" w:name="_Toc21000"/>
      <w:bookmarkStart w:id="399" w:name="_Toc21720"/>
      <w:bookmarkStart w:id="400" w:name="_Toc24387"/>
      <w:bookmarkStart w:id="401" w:name="_Toc18502"/>
      <w:bookmarkStart w:id="402" w:name="_Toc29546"/>
      <w:bookmarkStart w:id="403" w:name="_Toc75793523"/>
      <w:bookmarkStart w:id="404" w:name="_Toc4735"/>
      <w:bookmarkStart w:id="405" w:name="_Toc22201"/>
      <w:bookmarkStart w:id="406" w:name="_Toc19441"/>
      <w:bookmarkStart w:id="407" w:name="_Toc861001972"/>
      <w:r>
        <w:rPr>
          <w:rFonts w:hint="eastAsia" w:ascii="方正仿宋_GBK" w:eastAsia="方正仿宋_GBK"/>
          <w:b/>
          <w:highlight w:val="none"/>
          <w:u w:val="none" w:color="auto"/>
        </w:rPr>
        <w:t>第五篇  投标人须知</w:t>
      </w:r>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p>
    <w:p w14:paraId="679A432A">
      <w:pPr>
        <w:pStyle w:val="3"/>
        <w:spacing w:line="400" w:lineRule="exact"/>
        <w:ind w:firstLine="482" w:firstLineChars="200"/>
        <w:rPr>
          <w:rFonts w:hint="eastAsia" w:ascii="方正仿宋_GBK" w:eastAsia="方正仿宋_GBK"/>
          <w:b/>
          <w:sz w:val="24"/>
          <w:highlight w:val="none"/>
          <w:u w:val="none" w:color="auto"/>
        </w:rPr>
      </w:pPr>
      <w:bookmarkStart w:id="408" w:name="_Toc422"/>
      <w:bookmarkStart w:id="409" w:name="_Toc112859808"/>
      <w:bookmarkStart w:id="410" w:name="_Toc3330"/>
      <w:bookmarkStart w:id="411" w:name="_Toc29189"/>
      <w:bookmarkStart w:id="412" w:name="_Toc18655"/>
      <w:bookmarkStart w:id="413" w:name="_Toc106030400"/>
      <w:bookmarkStart w:id="414" w:name="_Toc10325"/>
      <w:bookmarkStart w:id="415" w:name="_Toc3327"/>
      <w:bookmarkStart w:id="416" w:name="_Toc18929"/>
      <w:bookmarkStart w:id="417" w:name="_Toc1327"/>
      <w:bookmarkStart w:id="418" w:name="_Toc11996"/>
      <w:bookmarkStart w:id="419" w:name="_Toc12172"/>
      <w:bookmarkStart w:id="420" w:name="_Toc12955"/>
      <w:bookmarkStart w:id="421" w:name="_Toc13197"/>
      <w:bookmarkStart w:id="422" w:name="_Toc10657"/>
      <w:bookmarkStart w:id="423" w:name="_Toc75793524"/>
      <w:bookmarkStart w:id="424" w:name="_Toc20020"/>
      <w:bookmarkStart w:id="425" w:name="_Toc27405"/>
      <w:bookmarkStart w:id="426" w:name="_Toc15432"/>
      <w:bookmarkStart w:id="427" w:name="_Toc2439"/>
      <w:r>
        <w:rPr>
          <w:rFonts w:hint="eastAsia" w:ascii="方正仿宋_GBK" w:eastAsia="方正仿宋_GBK"/>
          <w:b/>
          <w:sz w:val="24"/>
          <w:highlight w:val="none"/>
          <w:u w:val="none" w:color="auto"/>
        </w:rPr>
        <w:t>一、投标人</w:t>
      </w:r>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p>
    <w:p w14:paraId="5B32A1D9">
      <w:pPr>
        <w:snapToGrid w:val="0"/>
        <w:spacing w:line="400" w:lineRule="exact"/>
        <w:ind w:firstLine="480" w:firstLineChars="200"/>
        <w:outlineLvl w:val="2"/>
        <w:rPr>
          <w:rFonts w:hint="eastAsia" w:ascii="方正仿宋_GBK" w:hAnsi="宋体" w:eastAsia="方正仿宋_GBK"/>
          <w:sz w:val="24"/>
          <w:highlight w:val="none"/>
          <w:u w:val="none" w:color="auto"/>
        </w:rPr>
      </w:pPr>
      <w:r>
        <w:rPr>
          <w:rFonts w:hint="eastAsia" w:ascii="方正仿宋_GBK" w:hAnsi="宋体" w:eastAsia="方正仿宋_GBK"/>
          <w:sz w:val="24"/>
          <w:highlight w:val="none"/>
          <w:u w:val="none" w:color="auto"/>
        </w:rPr>
        <w:t>（一）投标人</w:t>
      </w:r>
    </w:p>
    <w:p w14:paraId="3B5ECED2">
      <w:pPr>
        <w:snapToGrid w:val="0"/>
        <w:spacing w:line="400" w:lineRule="exact"/>
        <w:ind w:firstLine="480" w:firstLineChars="200"/>
        <w:rPr>
          <w:rFonts w:hint="eastAsia" w:ascii="方正仿宋_GBK" w:hAnsi="宋体" w:eastAsia="方正仿宋_GBK"/>
          <w:sz w:val="24"/>
          <w:highlight w:val="none"/>
          <w:u w:val="none" w:color="auto"/>
        </w:rPr>
      </w:pPr>
      <w:r>
        <w:rPr>
          <w:rFonts w:hint="eastAsia" w:ascii="方正仿宋_GBK" w:hAnsi="宋体" w:eastAsia="方正仿宋_GBK"/>
          <w:sz w:val="24"/>
          <w:highlight w:val="none"/>
          <w:u w:val="none" w:color="auto"/>
        </w:rPr>
        <w:t>投标人是指响应招标、参加投标竞争的法人、其他组织或者自然人。</w:t>
      </w:r>
    </w:p>
    <w:p w14:paraId="7CE29552">
      <w:pPr>
        <w:snapToGrid w:val="0"/>
        <w:spacing w:line="400" w:lineRule="exact"/>
        <w:ind w:firstLine="480" w:firstLineChars="200"/>
        <w:outlineLvl w:val="2"/>
        <w:rPr>
          <w:rFonts w:hint="eastAsia" w:ascii="方正仿宋_GBK" w:hAnsi="宋体" w:eastAsia="方正仿宋_GBK"/>
          <w:sz w:val="24"/>
          <w:highlight w:val="none"/>
          <w:u w:val="none" w:color="auto"/>
        </w:rPr>
      </w:pPr>
      <w:r>
        <w:rPr>
          <w:rFonts w:hint="eastAsia" w:ascii="方正仿宋_GBK" w:hAnsi="宋体" w:eastAsia="方正仿宋_GBK"/>
          <w:sz w:val="24"/>
          <w:highlight w:val="none"/>
          <w:u w:val="none" w:color="auto"/>
        </w:rPr>
        <w:t>（二）合格投标人条件</w:t>
      </w:r>
    </w:p>
    <w:p w14:paraId="16FBBA54">
      <w:pPr>
        <w:snapToGrid w:val="0"/>
        <w:spacing w:line="400" w:lineRule="exact"/>
        <w:ind w:firstLine="480" w:firstLineChars="200"/>
        <w:rPr>
          <w:rFonts w:hint="eastAsia" w:ascii="方正仿宋_GBK" w:hAnsi="宋体" w:eastAsia="方正仿宋_GBK"/>
          <w:sz w:val="24"/>
          <w:highlight w:val="none"/>
          <w:u w:val="none" w:color="auto"/>
        </w:rPr>
      </w:pPr>
      <w:r>
        <w:rPr>
          <w:rFonts w:hint="eastAsia" w:ascii="方正仿宋_GBK" w:hAnsi="宋体" w:eastAsia="方正仿宋_GBK"/>
          <w:sz w:val="24"/>
          <w:highlight w:val="none"/>
          <w:u w:val="none" w:color="auto"/>
        </w:rPr>
        <w:t>合格投标人应完全符合招标文件第一篇中规定的投标人资格条件，并对招标文件作出实质性响应。</w:t>
      </w:r>
    </w:p>
    <w:p w14:paraId="7D8BE2BA">
      <w:pPr>
        <w:snapToGrid w:val="0"/>
        <w:spacing w:line="400" w:lineRule="exact"/>
        <w:ind w:firstLine="480" w:firstLineChars="200"/>
        <w:outlineLvl w:val="2"/>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（三）投标人的风险</w:t>
      </w:r>
    </w:p>
    <w:p w14:paraId="2CDCE5FF">
      <w:pPr>
        <w:snapToGrid w:val="0"/>
        <w:spacing w:line="400" w:lineRule="exact"/>
        <w:ind w:firstLine="480" w:firstLineChars="200"/>
        <w:rPr>
          <w:rFonts w:hint="eastAsia" w:ascii="方正仿宋_GBK" w:eastAsia="方正仿宋_GBK"/>
          <w:sz w:val="24"/>
          <w:highlight w:val="none"/>
          <w:u w:val="none" w:color="auto"/>
        </w:rPr>
      </w:pPr>
      <w:r>
        <w:rPr>
          <w:rFonts w:hint="eastAsia" w:ascii="方正仿宋_GBK" w:eastAsia="方正仿宋_GBK"/>
          <w:sz w:val="24"/>
          <w:highlight w:val="none"/>
          <w:u w:val="none" w:color="auto"/>
        </w:rPr>
        <w:t>投标人没有按照招标文件要求提供全部资料，或者投标人没有对招标文件在各方面作出实质性响应，可能导致投标被拒绝或评定为无效投标。</w:t>
      </w:r>
    </w:p>
    <w:p w14:paraId="65D44235">
      <w:pPr>
        <w:snapToGrid w:val="0"/>
        <w:spacing w:line="400" w:lineRule="exact"/>
        <w:ind w:firstLine="480" w:firstLineChars="200"/>
        <w:outlineLvl w:val="2"/>
        <w:rPr>
          <w:rFonts w:hint="eastAsia" w:ascii="方正仿宋_GBK" w:eastAsia="方正仿宋_GBK"/>
          <w:sz w:val="24"/>
          <w:highlight w:val="none"/>
          <w:u w:val="none" w:color="auto"/>
        </w:rPr>
      </w:pPr>
      <w:r>
        <w:rPr>
          <w:rFonts w:hint="eastAsia" w:ascii="方正仿宋_GBK" w:eastAsia="方正仿宋_GBK"/>
          <w:sz w:val="24"/>
          <w:highlight w:val="none"/>
          <w:u w:val="none" w:color="auto"/>
        </w:rPr>
        <w:t>（四）法律责任</w:t>
      </w:r>
    </w:p>
    <w:p w14:paraId="3B491723">
      <w:pPr>
        <w:snapToGrid w:val="0"/>
        <w:spacing w:line="400" w:lineRule="exact"/>
        <w:ind w:firstLine="480" w:firstLineChars="200"/>
        <w:rPr>
          <w:rFonts w:hint="eastAsia" w:ascii="方正仿宋_GBK" w:eastAsia="方正仿宋_GBK"/>
          <w:sz w:val="24"/>
          <w:highlight w:val="none"/>
          <w:u w:val="none" w:color="auto"/>
        </w:rPr>
      </w:pPr>
      <w:r>
        <w:rPr>
          <w:rFonts w:hint="eastAsia" w:ascii="方正仿宋_GBK" w:eastAsia="方正仿宋_GBK"/>
          <w:sz w:val="24"/>
          <w:highlight w:val="none"/>
          <w:u w:val="none" w:color="auto"/>
        </w:rPr>
        <w:t>投标人违反《中华人民共和国政府采购法》、《中华人民共和国政府采购实施条例》等相关规定，将按规定追究投标人法律责任。</w:t>
      </w:r>
    </w:p>
    <w:p w14:paraId="57A57724">
      <w:pPr>
        <w:pStyle w:val="3"/>
        <w:spacing w:line="400" w:lineRule="exact"/>
        <w:ind w:firstLine="482" w:firstLineChars="200"/>
        <w:rPr>
          <w:rFonts w:hint="eastAsia" w:ascii="方正仿宋_GBK" w:eastAsia="方正仿宋_GBK"/>
          <w:b/>
          <w:sz w:val="24"/>
          <w:highlight w:val="none"/>
          <w:u w:val="none" w:color="auto"/>
        </w:rPr>
      </w:pPr>
      <w:bookmarkStart w:id="428" w:name="_Toc15851"/>
      <w:bookmarkStart w:id="429" w:name="_Toc15849"/>
      <w:bookmarkStart w:id="430" w:name="_Toc17367"/>
      <w:bookmarkStart w:id="431" w:name="_Toc32343"/>
      <w:bookmarkStart w:id="432" w:name="_Toc106030401"/>
      <w:bookmarkStart w:id="433" w:name="_Toc15037"/>
      <w:bookmarkStart w:id="434" w:name="_Toc2692"/>
      <w:bookmarkStart w:id="435" w:name="_Toc75793525"/>
      <w:bookmarkStart w:id="436" w:name="_Toc22254"/>
      <w:bookmarkStart w:id="437" w:name="_Toc13133"/>
      <w:bookmarkStart w:id="438" w:name="_Toc26158"/>
      <w:bookmarkStart w:id="439" w:name="_Toc11909"/>
      <w:bookmarkStart w:id="440" w:name="_Toc29334"/>
      <w:bookmarkStart w:id="441" w:name="_Toc26074"/>
      <w:bookmarkStart w:id="442" w:name="_Toc109073776"/>
      <w:bookmarkStart w:id="443" w:name="_Toc167"/>
      <w:bookmarkStart w:id="444" w:name="_Toc12347"/>
      <w:bookmarkStart w:id="445" w:name="_Toc20751"/>
      <w:bookmarkStart w:id="446" w:name="_Toc4836"/>
      <w:bookmarkStart w:id="447" w:name="_Toc1815"/>
      <w:r>
        <w:rPr>
          <w:rFonts w:hint="eastAsia" w:ascii="方正仿宋_GBK" w:eastAsia="方正仿宋_GBK"/>
          <w:b/>
          <w:sz w:val="24"/>
          <w:highlight w:val="none"/>
          <w:u w:val="none" w:color="auto"/>
        </w:rPr>
        <w:t>二、招标文件</w:t>
      </w:r>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p>
    <w:p w14:paraId="6BFE782B">
      <w:pPr>
        <w:snapToGrid w:val="0"/>
        <w:spacing w:line="400" w:lineRule="exact"/>
        <w:ind w:firstLine="480" w:firstLineChars="200"/>
        <w:rPr>
          <w:rFonts w:hint="eastAsia" w:ascii="方正仿宋_GBK" w:eastAsia="方正仿宋_GBK"/>
          <w:sz w:val="24"/>
          <w:highlight w:val="none"/>
          <w:u w:val="none" w:color="auto"/>
        </w:rPr>
      </w:pPr>
      <w:r>
        <w:rPr>
          <w:rFonts w:hint="eastAsia" w:ascii="方正仿宋_GBK" w:eastAsia="方正仿宋_GBK"/>
          <w:sz w:val="24"/>
          <w:highlight w:val="none"/>
          <w:u w:val="none" w:color="auto"/>
        </w:rPr>
        <w:t>招标文件是投标人编制投标文件的依据，是评标委员会评判依据和标准。招标文件也是采购人与中标人签订合同的基础。</w:t>
      </w:r>
    </w:p>
    <w:p w14:paraId="4AF02F64">
      <w:pPr>
        <w:snapToGrid w:val="0"/>
        <w:spacing w:line="400" w:lineRule="exact"/>
        <w:ind w:firstLine="480" w:firstLineChars="200"/>
        <w:rPr>
          <w:rFonts w:hint="eastAsia" w:ascii="方正仿宋_GBK" w:eastAsia="方正仿宋_GBK"/>
          <w:sz w:val="24"/>
          <w:highlight w:val="none"/>
          <w:u w:val="none" w:color="auto"/>
        </w:rPr>
      </w:pPr>
      <w:r>
        <w:rPr>
          <w:rFonts w:hint="eastAsia" w:ascii="方正仿宋_GBK" w:hAnsi="宋体" w:eastAsia="方正仿宋_GBK"/>
          <w:sz w:val="24"/>
          <w:highlight w:val="none"/>
          <w:u w:val="none" w:color="auto"/>
        </w:rPr>
        <w:t>（一）</w:t>
      </w:r>
      <w:r>
        <w:rPr>
          <w:rFonts w:hint="eastAsia" w:ascii="方正仿宋_GBK" w:eastAsia="方正仿宋_GBK"/>
          <w:sz w:val="24"/>
          <w:highlight w:val="none"/>
          <w:u w:val="none" w:color="auto"/>
        </w:rPr>
        <w:t>招标文件由投标邀请书；项目技术（质量）需求；商务条款；投标人须知；评标方法、评标标准、无效投标条款和废标条款；合同主要条款、合同范本；</w:t>
      </w:r>
      <w:r>
        <w:rPr>
          <w:rFonts w:hint="eastAsia" w:ascii="方正仿宋_GBK" w:eastAsia="方正仿宋_GBK"/>
          <w:sz w:val="24"/>
          <w:highlight w:val="none"/>
          <w:u w:val="none" w:color="auto"/>
          <w:lang w:eastAsia="zh-CN"/>
        </w:rPr>
        <w:t>电子</w:t>
      </w:r>
      <w:r>
        <w:rPr>
          <w:rFonts w:hint="eastAsia" w:ascii="方正仿宋_GBK" w:eastAsia="方正仿宋_GBK"/>
          <w:sz w:val="24"/>
          <w:highlight w:val="none"/>
          <w:u w:val="none" w:color="auto"/>
        </w:rPr>
        <w:t>投标文件格式等七部分组成。</w:t>
      </w:r>
    </w:p>
    <w:p w14:paraId="4D969DCA">
      <w:pPr>
        <w:snapToGrid w:val="0"/>
        <w:spacing w:line="400" w:lineRule="exact"/>
        <w:ind w:firstLine="480"/>
        <w:rPr>
          <w:rFonts w:hint="eastAsia" w:ascii="方正仿宋_GBK" w:hAnsi="方正仿宋_GBK" w:eastAsia="方正仿宋_GBK"/>
          <w:sz w:val="24"/>
          <w:highlight w:val="none"/>
          <w:u w:val="none" w:color="auto"/>
        </w:rPr>
      </w:pPr>
      <w:r>
        <w:rPr>
          <w:rFonts w:hint="eastAsia" w:ascii="方正仿宋_GBK" w:hAnsi="宋体" w:eastAsia="方正仿宋_GBK"/>
          <w:sz w:val="24"/>
          <w:szCs w:val="28"/>
          <w:highlight w:val="none"/>
          <w:u w:val="none" w:color="auto"/>
        </w:rPr>
        <w:t>（二）</w:t>
      </w:r>
      <w:r>
        <w:rPr>
          <w:rFonts w:hint="eastAsia" w:ascii="方正仿宋_GBK" w:hAnsi="方正仿宋_GBK" w:eastAsia="方正仿宋_GBK"/>
          <w:sz w:val="24"/>
          <w:highlight w:val="none"/>
          <w:u w:val="none" w:color="auto"/>
        </w:rPr>
        <w:t>采购代理机构对招标文件所作的一切有效的书面通知、修改及补充，都是招标文件不可分割的部分。</w:t>
      </w:r>
    </w:p>
    <w:p w14:paraId="4B55B822">
      <w:pPr>
        <w:snapToGrid w:val="0"/>
        <w:spacing w:line="400" w:lineRule="exact"/>
        <w:ind w:firstLine="480"/>
        <w:rPr>
          <w:rFonts w:hint="eastAsia" w:ascii="方正仿宋_GBK" w:hAnsi="方正仿宋_GBK" w:eastAsia="方正仿宋_GBK"/>
          <w:sz w:val="24"/>
          <w:highlight w:val="none"/>
          <w:u w:val="none" w:color="auto"/>
        </w:rPr>
      </w:pPr>
      <w:r>
        <w:rPr>
          <w:rFonts w:hint="eastAsia" w:ascii="方正仿宋_GBK" w:hAnsi="方正仿宋_GBK" w:eastAsia="方正仿宋_GBK"/>
          <w:sz w:val="24"/>
          <w:highlight w:val="none"/>
          <w:u w:val="none" w:color="auto"/>
        </w:rPr>
        <w:t>（三）本项目的招标文件、补遗文件（如果有）一律在垫江县国企数字化采购平台（https://djxgzw.gec123.com/）、行采家（https://www.gec123.com）和重庆市公共资源交易网（垫江县）（https://www.cqggzy.com/dianjiangweb/）上发布，请各投标人注意下载；无论投标人下载与否，均视同投标人已知晓本项目招标文件、补遗文件的内容。</w:t>
      </w:r>
    </w:p>
    <w:p w14:paraId="276AC499">
      <w:pPr>
        <w:snapToGrid w:val="0"/>
        <w:spacing w:line="400" w:lineRule="exact"/>
        <w:ind w:firstLine="480"/>
        <w:rPr>
          <w:rFonts w:hint="eastAsia" w:ascii="方正仿宋_GBK" w:hAnsi="方正仿宋_GBK" w:eastAsia="方正仿宋_GBK" w:cs="方正仿宋_GBK"/>
          <w:sz w:val="24"/>
          <w:highlight w:val="none"/>
          <w:u w:val="none" w:color="auto"/>
        </w:rPr>
      </w:pPr>
      <w:r>
        <w:rPr>
          <w:rFonts w:hint="eastAsia" w:ascii="方正仿宋_GBK" w:hAnsi="方正仿宋_GBK" w:eastAsia="方正仿宋_GBK"/>
          <w:sz w:val="24"/>
          <w:highlight w:val="none"/>
          <w:u w:val="none" w:color="auto"/>
        </w:rPr>
        <w:t>（四）采购代理机构对已发出的招标文件需要进行澄清或修改的，应以公告形式通知</w:t>
      </w:r>
      <w:r>
        <w:rPr>
          <w:rFonts w:hint="eastAsia" w:ascii="方正仿宋_GBK" w:hAnsi="方正仿宋_GBK" w:eastAsia="方正仿宋_GBK" w:cs="方正仿宋_GBK"/>
          <w:sz w:val="24"/>
          <w:highlight w:val="none"/>
          <w:u w:val="none" w:color="auto"/>
        </w:rPr>
        <w:t>所有招标文件收受人。该澄清或者修改的内容为招标文件的组成部分。</w:t>
      </w:r>
    </w:p>
    <w:p w14:paraId="5226FF06">
      <w:pPr>
        <w:pStyle w:val="3"/>
        <w:spacing w:line="400" w:lineRule="exact"/>
        <w:ind w:firstLine="482" w:firstLineChars="200"/>
        <w:rPr>
          <w:rFonts w:hint="eastAsia" w:ascii="方正仿宋_GBK" w:hAnsi="方正仿宋_GBK" w:eastAsia="方正仿宋_GBK" w:cs="方正仿宋_GBK"/>
          <w:b/>
          <w:sz w:val="24"/>
          <w:highlight w:val="none"/>
          <w:u w:val="none" w:color="auto"/>
        </w:rPr>
      </w:pPr>
      <w:bookmarkStart w:id="448" w:name="_Toc14835"/>
      <w:bookmarkStart w:id="449" w:name="_Toc14777"/>
      <w:bookmarkStart w:id="450" w:name="_Toc6362"/>
      <w:bookmarkStart w:id="451" w:name="_Toc3303"/>
      <w:bookmarkStart w:id="452" w:name="_Toc13738"/>
      <w:bookmarkStart w:id="453" w:name="_Toc15470"/>
      <w:bookmarkStart w:id="454" w:name="_Toc21839"/>
      <w:bookmarkStart w:id="455" w:name="_Toc28745"/>
      <w:bookmarkStart w:id="456" w:name="_Toc27176"/>
      <w:bookmarkStart w:id="457" w:name="_Toc32133"/>
      <w:bookmarkStart w:id="458" w:name="_Toc27321"/>
      <w:bookmarkStart w:id="459" w:name="_Toc75793526"/>
      <w:bookmarkStart w:id="460" w:name="_Toc2716"/>
      <w:bookmarkStart w:id="461" w:name="_Toc106030402"/>
      <w:bookmarkStart w:id="462" w:name="_Toc28353"/>
      <w:bookmarkStart w:id="463" w:name="_Toc29709"/>
      <w:bookmarkStart w:id="464" w:name="_Toc15881"/>
      <w:bookmarkStart w:id="465" w:name="_Toc29417"/>
      <w:bookmarkStart w:id="466" w:name="_Toc23192"/>
      <w:bookmarkStart w:id="467" w:name="_Toc386443395"/>
      <w:r>
        <w:rPr>
          <w:rFonts w:hint="eastAsia" w:ascii="方正仿宋_GBK" w:hAnsi="方正仿宋_GBK" w:eastAsia="方正仿宋_GBK" w:cs="方正仿宋_GBK"/>
          <w:b/>
          <w:sz w:val="24"/>
          <w:highlight w:val="none"/>
          <w:u w:val="none" w:color="auto"/>
        </w:rPr>
        <w:t>三、</w:t>
      </w:r>
      <w:r>
        <w:rPr>
          <w:rFonts w:hint="eastAsia" w:ascii="方正仿宋_GBK" w:hAnsi="方正仿宋_GBK" w:eastAsia="方正仿宋_GBK" w:cs="方正仿宋_GBK"/>
          <w:b/>
          <w:sz w:val="24"/>
          <w:highlight w:val="none"/>
          <w:u w:val="none" w:color="auto"/>
          <w:lang w:eastAsia="zh-CN"/>
        </w:rPr>
        <w:t>电子</w:t>
      </w:r>
      <w:r>
        <w:rPr>
          <w:rFonts w:hint="eastAsia" w:ascii="方正仿宋_GBK" w:hAnsi="方正仿宋_GBK" w:eastAsia="方正仿宋_GBK" w:cs="方正仿宋_GBK"/>
          <w:b/>
          <w:sz w:val="24"/>
          <w:highlight w:val="none"/>
          <w:u w:val="none" w:color="auto"/>
        </w:rPr>
        <w:t>投标文件</w:t>
      </w:r>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p>
    <w:p w14:paraId="49BAE51C">
      <w:pPr>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投标人应当按照招标文件的要求编制电子投标文件，并对招标文件提出的要求和条件作出实质性响应，电子投标文件应编制完整的页码、目录。</w:t>
      </w:r>
    </w:p>
    <w:p w14:paraId="3407CEB4">
      <w:pPr>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（一）电子投标文件组成</w:t>
      </w:r>
    </w:p>
    <w:p w14:paraId="7AF0A5C0">
      <w:pPr>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电子投标文件主体内容由第七篇“</w:t>
      </w:r>
      <w:r>
        <w:rPr>
          <w:rFonts w:hint="eastAsia" w:ascii="方正仿宋_GBK" w:hAnsi="方正仿宋_GBK" w:eastAsia="方正仿宋_GBK" w:cs="方正仿宋_GBK"/>
          <w:sz w:val="24"/>
          <w:highlight w:val="none"/>
          <w:lang w:eastAsia="zh-CN"/>
        </w:rPr>
        <w:t>电子</w:t>
      </w:r>
      <w:r>
        <w:rPr>
          <w:rFonts w:hint="eastAsia" w:ascii="方正仿宋_GBK" w:hAnsi="方正仿宋_GBK" w:eastAsia="方正仿宋_GBK" w:cs="方正仿宋_GBK"/>
          <w:sz w:val="24"/>
          <w:highlight w:val="none"/>
        </w:rPr>
        <w:t>投标文件格式”规定的部分和投标人所作的一切有效补充、修改和承诺等文件组成，投标人应按照第七篇“</w:t>
      </w:r>
      <w:r>
        <w:rPr>
          <w:rFonts w:hint="eastAsia" w:ascii="方正仿宋_GBK" w:hAnsi="方正仿宋_GBK" w:eastAsia="方正仿宋_GBK" w:cs="方正仿宋_GBK"/>
          <w:sz w:val="24"/>
          <w:highlight w:val="none"/>
          <w:lang w:eastAsia="zh-CN"/>
        </w:rPr>
        <w:t>电子</w:t>
      </w:r>
      <w:r>
        <w:rPr>
          <w:rFonts w:hint="eastAsia" w:ascii="方正仿宋_GBK" w:hAnsi="方正仿宋_GBK" w:eastAsia="方正仿宋_GBK" w:cs="方正仿宋_GBK"/>
          <w:sz w:val="24"/>
          <w:highlight w:val="none"/>
        </w:rPr>
        <w:t>投标文件格式”规定的目录顺序组织编写。</w:t>
      </w:r>
    </w:p>
    <w:p w14:paraId="14AC0866">
      <w:pPr>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电子投标文件必须根据《行采家全程电子化操作手册-供应商(CA证书解密版)》手册第五章内容，完成电子投标文件的报价一览表信息填写、投标文件（PDF格式）的导入、条款页码关联、电子投标文件电子章签署、下载加密电子投标文件等工作。否则有可能影响评委对电子投标文件的评审。</w:t>
      </w:r>
    </w:p>
    <w:p w14:paraId="53EED176">
      <w:pPr>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（二）投标有效期</w:t>
      </w:r>
    </w:p>
    <w:p w14:paraId="55338F7A">
      <w:pPr>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投标有效期为投标截止时间起90天。</w:t>
      </w:r>
    </w:p>
    <w:p w14:paraId="7D327085">
      <w:pPr>
        <w:shd w:val="clear"/>
        <w:snapToGrid w:val="0"/>
        <w:spacing w:line="400" w:lineRule="exact"/>
        <w:ind w:firstLine="470" w:firstLineChars="196"/>
        <w:jc w:val="left"/>
        <w:rPr>
          <w:rFonts w:hint="eastAsia" w:ascii="方正仿宋_GBK" w:hAnsi="方正仿宋_GBK" w:eastAsia="方正仿宋_GBK" w:cs="方正仿宋_GBK"/>
          <w:bCs/>
          <w:sz w:val="24"/>
          <w:highlight w:val="none"/>
        </w:rPr>
      </w:pPr>
      <w:r>
        <w:rPr>
          <w:rFonts w:hint="eastAsia" w:ascii="方正仿宋_GBK" w:hAnsi="方正仿宋_GBK" w:eastAsia="方正仿宋_GBK" w:cs="方正仿宋_GBK"/>
          <w:bCs/>
          <w:sz w:val="24"/>
          <w:highlight w:val="none"/>
        </w:rPr>
        <w:t>（三）投标文件的份数和签署</w:t>
      </w:r>
    </w:p>
    <w:p w14:paraId="690F263E">
      <w:pPr>
        <w:shd w:val="clear"/>
        <w:tabs>
          <w:tab w:val="left" w:pos="1764"/>
        </w:tabs>
        <w:snapToGrid w:val="0"/>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1.电子投标文件一式一份，投标时请提交通过投标文件制作系统下载的电子加密投标文件。若因系统或CA证书异常原因无法正常解密，投标人须在电子开标室向采购代理机构申请提交电子备份投标文件，电子招投标系统会对电子备份投标文件与电子加密投标文件的一致性进行核验，若投标人操作失误，后果自行负责。</w:t>
      </w:r>
    </w:p>
    <w:p w14:paraId="20E085A4">
      <w:pPr>
        <w:shd w:val="clear"/>
        <w:tabs>
          <w:tab w:val="left" w:pos="1764"/>
        </w:tabs>
        <w:snapToGrid w:val="0"/>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2.在电子投标文件中，招标文件第七篇投标文件格式中规定签署、盖章的地方必须按其规定签署、盖章。</w:t>
      </w:r>
    </w:p>
    <w:p w14:paraId="7B41C6DB">
      <w:pPr>
        <w:shd w:val="clear"/>
        <w:snapToGrid w:val="0"/>
        <w:spacing w:line="400" w:lineRule="exact"/>
        <w:ind w:firstLine="470" w:firstLineChars="196"/>
        <w:jc w:val="left"/>
        <w:rPr>
          <w:rFonts w:hint="eastAsia" w:ascii="方正仿宋_GBK" w:hAnsi="方正仿宋_GBK" w:eastAsia="方正仿宋_GBK" w:cs="方正仿宋_GBK"/>
          <w:bCs/>
          <w:sz w:val="24"/>
          <w:highlight w:val="none"/>
        </w:rPr>
      </w:pPr>
      <w:r>
        <w:rPr>
          <w:rFonts w:hint="eastAsia" w:ascii="方正仿宋_GBK" w:hAnsi="方正仿宋_GBK" w:eastAsia="方正仿宋_GBK" w:cs="方正仿宋_GBK"/>
          <w:sz w:val="24"/>
          <w:highlight w:val="none"/>
        </w:rPr>
        <w:t>3.电报、电话、传真形式的投标文件概不接受。</w:t>
      </w:r>
    </w:p>
    <w:p w14:paraId="33D2FD25">
      <w:pPr>
        <w:shd w:val="clear"/>
        <w:snapToGrid w:val="0"/>
        <w:spacing w:line="400" w:lineRule="exact"/>
        <w:ind w:firstLine="470" w:firstLineChars="196"/>
        <w:jc w:val="left"/>
        <w:rPr>
          <w:rFonts w:hint="eastAsia" w:ascii="方正仿宋_GBK" w:hAnsi="方正仿宋_GBK" w:eastAsia="方正仿宋_GBK" w:cs="方正仿宋_GBK"/>
          <w:bCs/>
          <w:sz w:val="24"/>
          <w:highlight w:val="none"/>
        </w:rPr>
      </w:pPr>
      <w:r>
        <w:rPr>
          <w:rFonts w:hint="eastAsia" w:ascii="方正仿宋_GBK" w:hAnsi="方正仿宋_GBK" w:eastAsia="方正仿宋_GBK" w:cs="方正仿宋_GBK"/>
          <w:bCs/>
          <w:sz w:val="24"/>
          <w:highlight w:val="none"/>
        </w:rPr>
        <w:t>（四）投标报价</w:t>
      </w:r>
    </w:p>
    <w:p w14:paraId="5DC91DC0">
      <w:pPr>
        <w:pStyle w:val="32"/>
        <w:shd w:val="clear"/>
        <w:spacing w:line="400" w:lineRule="exact"/>
        <w:ind w:firstLine="480" w:firstLineChars="200"/>
        <w:rPr>
          <w:rFonts w:hint="eastAsia" w:ascii="方正仿宋_GBK" w:hAnsi="方正仿宋_GBK" w:eastAsia="方正仿宋_GBK" w:cs="方正仿宋_GBK"/>
          <w:bCs/>
          <w:sz w:val="24"/>
          <w:highlight w:val="none"/>
        </w:rPr>
      </w:pPr>
      <w:r>
        <w:rPr>
          <w:rFonts w:hint="eastAsia" w:ascii="方正仿宋_GBK" w:hAnsi="方正仿宋_GBK" w:eastAsia="方正仿宋_GBK" w:cs="方正仿宋_GBK"/>
          <w:bCs/>
          <w:sz w:val="24"/>
          <w:highlight w:val="none"/>
        </w:rPr>
        <w:t>1.投标人应严格按照“投标文件格式”中“开标一览表”和“电子投标文件制作系统中的报价一览表”的格式填写报价。</w:t>
      </w:r>
    </w:p>
    <w:p w14:paraId="793C133B">
      <w:pPr>
        <w:pStyle w:val="32"/>
        <w:shd w:val="clear"/>
        <w:spacing w:line="400" w:lineRule="exact"/>
        <w:ind w:firstLine="480" w:firstLineChars="200"/>
        <w:rPr>
          <w:rFonts w:hint="eastAsia" w:ascii="方正仿宋_GBK" w:hAnsi="方正仿宋_GBK" w:eastAsia="方正仿宋_GBK" w:cs="方正仿宋_GBK"/>
          <w:bCs/>
          <w:sz w:val="24"/>
          <w:highlight w:val="none"/>
        </w:rPr>
      </w:pPr>
      <w:r>
        <w:rPr>
          <w:rFonts w:hint="eastAsia" w:ascii="方正仿宋_GBK" w:hAnsi="方正仿宋_GBK" w:eastAsia="方正仿宋_GBK" w:cs="方正仿宋_GBK"/>
          <w:bCs/>
          <w:sz w:val="24"/>
          <w:highlight w:val="none"/>
        </w:rPr>
        <w:t>2.投标人的报价为一次性报价，即在投标有效期内投标价格固定不变。</w:t>
      </w:r>
    </w:p>
    <w:p w14:paraId="54EA2054">
      <w:pPr>
        <w:pStyle w:val="32"/>
        <w:shd w:val="clear"/>
        <w:spacing w:line="400" w:lineRule="exact"/>
        <w:ind w:firstLine="480" w:firstLineChars="200"/>
        <w:rPr>
          <w:rFonts w:hint="eastAsia" w:ascii="方正仿宋_GBK" w:hAnsi="方正仿宋_GBK" w:eastAsia="方正仿宋_GBK" w:cs="方正仿宋_GBK"/>
          <w:bCs/>
          <w:sz w:val="24"/>
          <w:highlight w:val="none"/>
        </w:rPr>
      </w:pPr>
      <w:r>
        <w:rPr>
          <w:rFonts w:hint="eastAsia" w:ascii="方正仿宋_GBK" w:hAnsi="方正仿宋_GBK" w:eastAsia="方正仿宋_GBK" w:cs="方正仿宋_GBK"/>
          <w:bCs/>
          <w:sz w:val="24"/>
          <w:highlight w:val="none"/>
        </w:rPr>
        <w:t>3.本项目只接受一个投标报价（“投标文件格式”中“开标一览表”的报价必须和电子招投标系统中《开标一览汇总表》所展示报价一致。如果不一致时，以电子招投标系统中《开标一览汇总表》所展示报价为准），有选择的或有条件的报价将不予接受。</w:t>
      </w:r>
    </w:p>
    <w:p w14:paraId="7C93F217">
      <w:pPr>
        <w:pStyle w:val="32"/>
        <w:shd w:val="clear"/>
        <w:spacing w:line="400" w:lineRule="exact"/>
        <w:ind w:firstLine="480" w:firstLineChars="200"/>
        <w:rPr>
          <w:rFonts w:hint="eastAsia" w:ascii="方正仿宋_GBK" w:hAnsi="方正仿宋_GBK" w:eastAsia="方正仿宋_GBK" w:cs="方正仿宋_GBK"/>
          <w:bCs/>
          <w:sz w:val="24"/>
          <w:highlight w:val="none"/>
        </w:rPr>
      </w:pPr>
      <w:r>
        <w:rPr>
          <w:rFonts w:hint="eastAsia" w:ascii="方正仿宋_GBK" w:hAnsi="方正仿宋_GBK" w:eastAsia="方正仿宋_GBK" w:cs="方正仿宋_GBK"/>
          <w:bCs/>
          <w:sz w:val="24"/>
          <w:highlight w:val="none"/>
        </w:rPr>
        <w:t>注：“在电子投标文件制作系统中的报价一览表所填报价”即为“电子招投标系统中《开标一览汇总表》所展示报价”。</w:t>
      </w:r>
    </w:p>
    <w:p w14:paraId="13C9B424">
      <w:pPr>
        <w:pStyle w:val="32"/>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（五）修正错误</w:t>
      </w:r>
    </w:p>
    <w:p w14:paraId="1F1FAE70">
      <w:pPr>
        <w:pStyle w:val="32"/>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若电子投标文件出现计算或表达上的错误，修正错误的原则如下：</w:t>
      </w:r>
    </w:p>
    <w:p w14:paraId="02E5FB91">
      <w:pPr>
        <w:pStyle w:val="32"/>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1.电子投标文件中开标一览表（报价表）内容与电子投标文件中相应内容不一致的，以开标一览表（报价表）为准；</w:t>
      </w:r>
    </w:p>
    <w:p w14:paraId="25DD74EF">
      <w:pPr>
        <w:pStyle w:val="32"/>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2.大写金额和小写金额不一致的，以大写金额为准；</w:t>
      </w:r>
    </w:p>
    <w:p w14:paraId="6C942D40">
      <w:pPr>
        <w:pStyle w:val="32"/>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3.单价金额小数点或者百分比有明显错位的，以开标一览表的总价为准，并修改单价；</w:t>
      </w:r>
    </w:p>
    <w:p w14:paraId="344E114F">
      <w:pPr>
        <w:pStyle w:val="32"/>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4.总价金额与按单价汇总金额不一致的，以单价金额计算结果为准。</w:t>
      </w:r>
    </w:p>
    <w:p w14:paraId="441B2ECE">
      <w:pPr>
        <w:pStyle w:val="32"/>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5.电子投标文件中开标一览表（报价表）内容与电子招投标系统中《开标一览汇总表》所展示内容不一致时，以电子招投标系统中《开标一览汇总表》所展示内容为准。</w:t>
      </w:r>
    </w:p>
    <w:p w14:paraId="260DFAC8">
      <w:pPr>
        <w:pStyle w:val="32"/>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评标委员会按上述修正错误的原则及方法调整或修正投标人投标报价，若同时出现两种以上不一致的，按照前款规定的顺序修正，投标人同意并签字确认后，调整后的投标报价对投标人具有约束作用。如果投标人不接受修正后的报价，则其投标将作为无效投标处理。</w:t>
      </w:r>
    </w:p>
    <w:p w14:paraId="1EA981B4">
      <w:pPr>
        <w:pStyle w:val="32"/>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（六）投标文件的递交</w:t>
      </w:r>
    </w:p>
    <w:p w14:paraId="14A4FE4E">
      <w:pPr>
        <w:pStyle w:val="32"/>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1.电子投标文件的递交按照《行采家全程电子化操作手册-供应商(CA证书解密版)》手册第七章流程操作。</w:t>
      </w:r>
    </w:p>
    <w:p w14:paraId="612F02F7">
      <w:pPr>
        <w:pStyle w:val="32"/>
        <w:shd w:val="clear"/>
        <w:spacing w:line="400" w:lineRule="exact"/>
        <w:ind w:firstLine="480" w:firstLineChars="200"/>
        <w:outlineLvl w:val="2"/>
        <w:rPr>
          <w:rFonts w:hint="eastAsia" w:ascii="方正仿宋_GBK" w:hAnsi="方正仿宋_GBK" w:eastAsia="方正仿宋_GBK" w:cs="方正仿宋_GBK"/>
          <w:sz w:val="24"/>
          <w:highlight w:val="none"/>
          <w:u w:val="none" w:color="auto"/>
        </w:rPr>
      </w:pPr>
      <w:r>
        <w:rPr>
          <w:rFonts w:hint="eastAsia" w:ascii="方正仿宋_GBK" w:hAnsi="方正仿宋_GBK" w:eastAsia="方正仿宋_GBK" w:cs="方正仿宋_GBK"/>
          <w:sz w:val="24"/>
          <w:highlight w:val="none"/>
        </w:rPr>
        <w:t>须提交的相关原件（如果有）：应完整封装，且在封套上注明项目名称、投标人名称，递交时间地点同开标时间地点。</w:t>
      </w:r>
    </w:p>
    <w:p w14:paraId="4799EA0A">
      <w:pPr>
        <w:pStyle w:val="3"/>
        <w:spacing w:line="400" w:lineRule="exact"/>
        <w:ind w:firstLine="482" w:firstLineChars="200"/>
        <w:rPr>
          <w:rFonts w:hint="eastAsia" w:ascii="方正仿宋_GBK" w:hAnsi="方正仿宋_GBK" w:eastAsia="方正仿宋_GBK" w:cs="方正仿宋_GBK"/>
          <w:b/>
          <w:sz w:val="24"/>
          <w:highlight w:val="none"/>
          <w:u w:val="none" w:color="auto"/>
        </w:rPr>
      </w:pPr>
      <w:bookmarkStart w:id="468" w:name="_Toc17836"/>
      <w:bookmarkStart w:id="469" w:name="_Toc17096"/>
      <w:bookmarkStart w:id="470" w:name="_Toc22407"/>
      <w:bookmarkStart w:id="471" w:name="_Toc4963"/>
      <w:bookmarkStart w:id="472" w:name="_Toc7206"/>
      <w:bookmarkStart w:id="473" w:name="_Toc23080"/>
      <w:bookmarkStart w:id="474" w:name="_Toc12657"/>
      <w:bookmarkStart w:id="475" w:name="_Toc29335"/>
      <w:bookmarkStart w:id="476" w:name="_Toc13756"/>
      <w:bookmarkStart w:id="477" w:name="_Toc4765"/>
      <w:bookmarkStart w:id="478" w:name="_Toc13013"/>
      <w:bookmarkStart w:id="479" w:name="_Toc26616"/>
      <w:bookmarkStart w:id="480" w:name="_Toc75793527"/>
      <w:bookmarkStart w:id="481" w:name="_Toc2517"/>
      <w:bookmarkStart w:id="482" w:name="_Toc106030403"/>
      <w:bookmarkStart w:id="483" w:name="_Toc706054047"/>
      <w:bookmarkStart w:id="484" w:name="_Toc27924"/>
      <w:bookmarkStart w:id="485" w:name="_Toc1820"/>
      <w:bookmarkStart w:id="486" w:name="_Toc2597"/>
      <w:bookmarkStart w:id="487" w:name="_Toc12661"/>
      <w:r>
        <w:rPr>
          <w:rFonts w:hint="eastAsia" w:ascii="方正仿宋_GBK" w:hAnsi="方正仿宋_GBK" w:eastAsia="方正仿宋_GBK" w:cs="方正仿宋_GBK"/>
          <w:b/>
          <w:sz w:val="24"/>
          <w:highlight w:val="none"/>
          <w:u w:val="none" w:color="auto"/>
        </w:rPr>
        <w:t>四、开标</w:t>
      </w:r>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p>
    <w:p w14:paraId="13D53323">
      <w:pPr>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u w:val="none" w:color="auto"/>
        </w:rPr>
        <w:t>（一）</w:t>
      </w:r>
      <w:r>
        <w:rPr>
          <w:rFonts w:hint="eastAsia" w:ascii="方正仿宋_GBK" w:hAnsi="方正仿宋_GBK" w:eastAsia="方正仿宋_GBK" w:cs="方正仿宋_GBK"/>
          <w:sz w:val="24"/>
          <w:highlight w:val="none"/>
        </w:rPr>
        <w:t>开标应当在招标文件中“投标邀请书”确定的时间和地点公开进行。</w:t>
      </w:r>
    </w:p>
    <w:p w14:paraId="4090D270">
      <w:pPr>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（二）采购代理机构可视采购具体情况，延长电子投标文件截止时间和开标时间，并将变更时间书面通知所有招标文件收受人。</w:t>
      </w:r>
    </w:p>
    <w:p w14:paraId="7C5FA46B">
      <w:pPr>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（三）开标由采购人或采购代理机构主持，邀请投标人和有关监督部门代表参加,有关监督部门可视情况派员现场监督。</w:t>
      </w:r>
    </w:p>
    <w:p w14:paraId="1FFDB8C6">
      <w:pPr>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（四）开标时，采取电子开标，投标人在规定的时间内解密电子投标文件，电子开标室将展示投标人名称、投标价格和《开标一览汇总表》。投标人不足三家的，不得开标。</w:t>
      </w:r>
    </w:p>
    <w:p w14:paraId="479FEB0A">
      <w:pPr>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（五）未宣读的投标价格、价格折扣和招标文件允许提供的备选投标方案等实质性内容等，评标时不予承认。</w:t>
      </w:r>
    </w:p>
    <w:p w14:paraId="086BCF37">
      <w:pPr>
        <w:pStyle w:val="32"/>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（六）开标过程由</w:t>
      </w:r>
      <w:r>
        <w:rPr>
          <w:rFonts w:hint="eastAsia" w:ascii="方正仿宋_GBK" w:hAnsi="方正仿宋_GBK" w:eastAsia="方正仿宋_GBK" w:cs="方正仿宋_GBK"/>
          <w:sz w:val="24"/>
          <w:highlight w:val="none"/>
          <w:lang w:val="en-US" w:eastAsia="zh-CN"/>
        </w:rPr>
        <w:t>垫江县国企数字化采购平台</w:t>
      </w:r>
      <w:r>
        <w:rPr>
          <w:rFonts w:hint="eastAsia" w:ascii="方正仿宋_GBK" w:hAnsi="方正仿宋_GBK" w:eastAsia="方正仿宋_GBK" w:cs="方正仿宋_GBK"/>
          <w:sz w:val="24"/>
          <w:highlight w:val="none"/>
        </w:rPr>
        <w:t>同步记录，并存档备查。</w:t>
      </w:r>
    </w:p>
    <w:p w14:paraId="0EC8714D">
      <w:pPr>
        <w:pStyle w:val="32"/>
        <w:spacing w:line="400" w:lineRule="exact"/>
        <w:ind w:firstLine="480" w:firstLineChars="200"/>
        <w:rPr>
          <w:rFonts w:hint="eastAsia" w:ascii="方正仿宋_GBK" w:hAnsi="方正仿宋_GBK" w:eastAsia="方正仿宋_GBK" w:cs="方正仿宋_GBK"/>
          <w:sz w:val="24"/>
          <w:highlight w:val="none"/>
          <w:u w:val="none" w:color="auto"/>
        </w:rPr>
      </w:pPr>
      <w:r>
        <w:rPr>
          <w:rFonts w:hint="eastAsia" w:ascii="方正仿宋_GBK" w:hAnsi="方正仿宋_GBK" w:eastAsia="方正仿宋_GBK" w:cs="方正仿宋_GBK"/>
          <w:sz w:val="24"/>
          <w:highlight w:val="none"/>
        </w:rPr>
        <w:t>（七）投标人未参加开标的，视同认可开标结果。</w:t>
      </w:r>
      <w:r>
        <w:rPr>
          <w:rFonts w:hint="eastAsia" w:ascii="方正仿宋_GBK" w:hAnsi="方正仿宋_GBK" w:eastAsia="方正仿宋_GBK" w:cs="方正仿宋_GBK"/>
          <w:sz w:val="24"/>
          <w:highlight w:val="none"/>
          <w:u w:val="none" w:color="auto"/>
        </w:rPr>
        <w:t>。</w:t>
      </w:r>
    </w:p>
    <w:p w14:paraId="30663BE0">
      <w:pPr>
        <w:pStyle w:val="3"/>
        <w:spacing w:line="400" w:lineRule="exact"/>
        <w:ind w:firstLine="482" w:firstLineChars="200"/>
        <w:rPr>
          <w:rFonts w:hint="eastAsia" w:ascii="方正仿宋_GBK" w:eastAsia="方正仿宋_GBK"/>
          <w:b/>
          <w:sz w:val="24"/>
          <w:highlight w:val="none"/>
          <w:u w:val="none" w:color="auto"/>
        </w:rPr>
      </w:pPr>
      <w:bookmarkStart w:id="488" w:name="_Toc24485"/>
      <w:bookmarkStart w:id="489" w:name="_Toc11230"/>
      <w:bookmarkStart w:id="490" w:name="_Toc868"/>
      <w:bookmarkStart w:id="491" w:name="_Toc12882"/>
      <w:bookmarkStart w:id="492" w:name="_Toc1828965547"/>
      <w:bookmarkStart w:id="493" w:name="_Toc32595"/>
      <w:bookmarkStart w:id="494" w:name="_Toc17837"/>
      <w:bookmarkStart w:id="495" w:name="_Toc20739"/>
      <w:bookmarkStart w:id="496" w:name="_Toc9134"/>
      <w:bookmarkStart w:id="497" w:name="_Toc5409"/>
      <w:bookmarkStart w:id="498" w:name="_Toc106030404"/>
      <w:bookmarkStart w:id="499" w:name="_Toc75793528"/>
      <w:bookmarkStart w:id="500" w:name="_Toc8319"/>
      <w:bookmarkStart w:id="501" w:name="_Toc8659"/>
      <w:bookmarkStart w:id="502" w:name="_Toc26506"/>
      <w:bookmarkStart w:id="503" w:name="_Toc7111"/>
      <w:bookmarkStart w:id="504" w:name="_Toc15031"/>
      <w:bookmarkStart w:id="505" w:name="_Toc13976"/>
      <w:bookmarkStart w:id="506" w:name="_Toc179"/>
      <w:bookmarkStart w:id="507" w:name="_Toc25586"/>
      <w:r>
        <w:rPr>
          <w:rFonts w:hint="eastAsia" w:ascii="方正仿宋_GBK" w:eastAsia="方正仿宋_GBK"/>
          <w:b/>
          <w:sz w:val="24"/>
          <w:highlight w:val="none"/>
          <w:u w:val="none" w:color="auto"/>
        </w:rPr>
        <w:t>五、评标</w:t>
      </w:r>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p>
    <w:p w14:paraId="2D6BF2DE">
      <w:pPr>
        <w:snapToGrid w:val="0"/>
        <w:spacing w:line="400" w:lineRule="exact"/>
        <w:ind w:firstLine="480" w:firstLineChars="200"/>
        <w:rPr>
          <w:rFonts w:hint="eastAsia" w:ascii="方正仿宋_GBK" w:eastAsia="方正仿宋_GBK"/>
          <w:sz w:val="24"/>
          <w:highlight w:val="none"/>
          <w:u w:val="none" w:color="auto"/>
        </w:rPr>
      </w:pPr>
      <w:r>
        <w:rPr>
          <w:rFonts w:hint="eastAsia" w:ascii="方正仿宋_GBK" w:eastAsia="方正仿宋_GBK"/>
          <w:sz w:val="24"/>
          <w:highlight w:val="none"/>
          <w:u w:val="none" w:color="auto"/>
        </w:rPr>
        <w:t>见第四篇“评标”内容。</w:t>
      </w:r>
    </w:p>
    <w:p w14:paraId="35CD709B">
      <w:pPr>
        <w:pStyle w:val="3"/>
        <w:spacing w:line="400" w:lineRule="exact"/>
        <w:ind w:firstLine="482" w:firstLineChars="200"/>
        <w:rPr>
          <w:rFonts w:hint="eastAsia" w:ascii="方正仿宋_GBK" w:eastAsia="方正仿宋_GBK"/>
          <w:b/>
          <w:sz w:val="24"/>
          <w:highlight w:val="none"/>
          <w:u w:val="none" w:color="auto"/>
        </w:rPr>
      </w:pPr>
      <w:bookmarkStart w:id="508" w:name="_Toc19518"/>
      <w:bookmarkStart w:id="509" w:name="_Toc29714"/>
      <w:bookmarkStart w:id="510" w:name="_Toc29605"/>
      <w:bookmarkStart w:id="511" w:name="_Toc4282"/>
      <w:bookmarkStart w:id="512" w:name="_Toc75793529"/>
      <w:bookmarkStart w:id="513" w:name="_Toc27276"/>
      <w:bookmarkStart w:id="514" w:name="_Toc106030405"/>
      <w:bookmarkStart w:id="515" w:name="_Toc19170"/>
      <w:bookmarkStart w:id="516" w:name="_Toc26593"/>
      <w:bookmarkStart w:id="517" w:name="_Toc7649"/>
      <w:bookmarkStart w:id="518" w:name="_Toc6174"/>
      <w:bookmarkStart w:id="519" w:name="_Toc9516"/>
      <w:bookmarkStart w:id="520" w:name="_Toc22130"/>
      <w:bookmarkStart w:id="521" w:name="_Toc5090"/>
      <w:bookmarkStart w:id="522" w:name="_Toc4062"/>
      <w:bookmarkStart w:id="523" w:name="_Toc18575"/>
      <w:bookmarkStart w:id="524" w:name="_Toc32002"/>
      <w:bookmarkStart w:id="525" w:name="_Toc4529"/>
      <w:bookmarkStart w:id="526" w:name="_Toc101696577"/>
      <w:bookmarkStart w:id="527" w:name="_Toc14504"/>
      <w:r>
        <w:rPr>
          <w:rFonts w:hint="eastAsia" w:ascii="方正仿宋_GBK" w:eastAsia="方正仿宋_GBK"/>
          <w:b/>
          <w:sz w:val="24"/>
          <w:highlight w:val="none"/>
          <w:u w:val="none" w:color="auto"/>
        </w:rPr>
        <w:t>六、定标</w:t>
      </w:r>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p>
    <w:p w14:paraId="2B5267B4">
      <w:pPr>
        <w:snapToGrid w:val="0"/>
        <w:spacing w:line="400" w:lineRule="exact"/>
        <w:ind w:firstLine="480" w:firstLineChars="200"/>
        <w:outlineLvl w:val="2"/>
        <w:rPr>
          <w:rFonts w:hint="eastAsia" w:ascii="方正仿宋_GBK" w:hAnsi="宋体" w:eastAsia="方正仿宋_GBK"/>
          <w:sz w:val="24"/>
          <w:highlight w:val="none"/>
          <w:u w:val="none" w:color="auto"/>
        </w:rPr>
      </w:pPr>
      <w:r>
        <w:rPr>
          <w:rFonts w:hint="eastAsia" w:ascii="方正仿宋_GBK" w:hAnsi="宋体" w:eastAsia="方正仿宋_GBK"/>
          <w:sz w:val="24"/>
          <w:highlight w:val="none"/>
          <w:u w:val="none" w:color="auto"/>
        </w:rPr>
        <w:t>（一）定标原则</w:t>
      </w:r>
    </w:p>
    <w:p w14:paraId="7F2CEB6E">
      <w:pPr>
        <w:snapToGrid w:val="0"/>
        <w:spacing w:line="400" w:lineRule="exact"/>
        <w:ind w:firstLine="480" w:firstLineChars="200"/>
        <w:rPr>
          <w:rFonts w:hint="eastAsia" w:ascii="方正仿宋_GBK" w:hAnsi="宋体" w:eastAsia="方正仿宋_GBK"/>
          <w:sz w:val="24"/>
          <w:highlight w:val="none"/>
          <w:u w:val="none" w:color="auto"/>
        </w:rPr>
      </w:pPr>
      <w:r>
        <w:rPr>
          <w:rFonts w:hint="eastAsia" w:ascii="方正仿宋_GBK" w:hAnsi="宋体" w:eastAsia="方正仿宋_GBK"/>
          <w:sz w:val="24"/>
          <w:highlight w:val="none"/>
          <w:u w:val="none" w:color="auto"/>
        </w:rPr>
        <w:t>采购人或其授权的评标委员会应按照评标报告中推荐的中标候选人排名顺序确定中标人。</w:t>
      </w:r>
    </w:p>
    <w:p w14:paraId="2A90E096">
      <w:pPr>
        <w:pStyle w:val="32"/>
        <w:spacing w:line="400" w:lineRule="exact"/>
        <w:ind w:firstLine="480" w:firstLineChars="200"/>
        <w:outlineLvl w:val="2"/>
        <w:rPr>
          <w:rFonts w:hint="eastAsia" w:ascii="方正仿宋_GBK" w:eastAsia="方正仿宋_GBK"/>
          <w:sz w:val="24"/>
          <w:highlight w:val="none"/>
          <w:u w:val="none" w:color="auto"/>
        </w:rPr>
      </w:pPr>
      <w:r>
        <w:rPr>
          <w:rFonts w:hint="eastAsia" w:ascii="方正仿宋_GBK" w:eastAsia="方正仿宋_GBK"/>
          <w:sz w:val="24"/>
          <w:highlight w:val="none"/>
          <w:u w:val="none" w:color="auto"/>
        </w:rPr>
        <w:t>（二）定标程序</w:t>
      </w:r>
    </w:p>
    <w:p w14:paraId="6CCCD134">
      <w:pPr>
        <w:pStyle w:val="32"/>
        <w:spacing w:line="400" w:lineRule="exact"/>
        <w:ind w:firstLine="480" w:firstLineChars="200"/>
        <w:rPr>
          <w:rFonts w:hint="eastAsia" w:ascii="方正仿宋_GBK" w:eastAsia="方正仿宋_GBK"/>
          <w:sz w:val="24"/>
          <w:highlight w:val="none"/>
          <w:u w:val="none" w:color="auto"/>
        </w:rPr>
      </w:pPr>
      <w:r>
        <w:rPr>
          <w:rFonts w:hint="eastAsia" w:ascii="方正仿宋_GBK" w:eastAsia="方正仿宋_GBK"/>
          <w:sz w:val="24"/>
          <w:highlight w:val="none"/>
          <w:u w:val="none" w:color="auto"/>
        </w:rPr>
        <w:t>1.</w:t>
      </w:r>
      <w:r>
        <w:rPr>
          <w:rFonts w:hint="eastAsia" w:ascii="方正仿宋_GBK" w:eastAsia="方正仿宋_GBK"/>
          <w:highlight w:val="none"/>
          <w:u w:val="none" w:color="auto"/>
        </w:rPr>
        <w:t xml:space="preserve"> </w:t>
      </w:r>
      <w:r>
        <w:rPr>
          <w:rFonts w:hint="eastAsia" w:ascii="方正仿宋_GBK" w:eastAsia="方正仿宋_GBK"/>
          <w:sz w:val="24"/>
          <w:highlight w:val="none"/>
          <w:u w:val="none" w:color="auto"/>
        </w:rPr>
        <w:t>采购代理机构应当在评标结束后2个工作日内将评标报告送采购人。</w:t>
      </w:r>
    </w:p>
    <w:p w14:paraId="1DB57D2F">
      <w:pPr>
        <w:pStyle w:val="32"/>
        <w:spacing w:line="400" w:lineRule="exact"/>
        <w:ind w:firstLine="480" w:firstLineChars="200"/>
        <w:rPr>
          <w:rFonts w:hint="eastAsia" w:ascii="方正仿宋_GBK" w:hAnsi="方正仿宋_GBK" w:eastAsia="方正仿宋_GBK" w:cs="方正仿宋_GBK"/>
          <w:sz w:val="24"/>
          <w:highlight w:val="none"/>
          <w:u w:val="none" w:color="auto"/>
        </w:rPr>
      </w:pPr>
      <w:r>
        <w:rPr>
          <w:rFonts w:hint="eastAsia" w:ascii="方正仿宋_GBK" w:eastAsia="方正仿宋_GBK"/>
          <w:sz w:val="24"/>
          <w:highlight w:val="none"/>
          <w:u w:val="none" w:color="auto"/>
        </w:rPr>
        <w:t>2.采购人应当自收到评标报告之日起5个工作日内按评标报告推荐的中标候选人顺序</w:t>
      </w:r>
      <w:r>
        <w:rPr>
          <w:rFonts w:hint="eastAsia" w:ascii="方正仿宋_GBK" w:hAnsi="方正仿宋_GBK" w:eastAsia="方正仿宋_GBK" w:cs="方正仿宋_GBK"/>
          <w:sz w:val="24"/>
          <w:highlight w:val="none"/>
          <w:u w:val="none" w:color="auto"/>
        </w:rPr>
        <w:t>确定中标人。</w:t>
      </w:r>
    </w:p>
    <w:p w14:paraId="6DA63FF3">
      <w:pPr>
        <w:pStyle w:val="32"/>
        <w:spacing w:line="400" w:lineRule="exact"/>
        <w:ind w:firstLine="480" w:firstLineChars="200"/>
        <w:rPr>
          <w:rFonts w:hint="eastAsia" w:ascii="方正仿宋_GBK" w:hAnsi="方正仿宋_GBK" w:eastAsia="方正仿宋_GBK" w:cs="方正仿宋_GBK"/>
          <w:sz w:val="24"/>
          <w:highlight w:val="none"/>
          <w:u w:val="none" w:color="auto"/>
        </w:rPr>
      </w:pPr>
      <w:r>
        <w:rPr>
          <w:rFonts w:hint="eastAsia" w:ascii="方正仿宋_GBK" w:hAnsi="方正仿宋_GBK" w:eastAsia="方正仿宋_GBK" w:cs="方正仿宋_GBK"/>
          <w:sz w:val="24"/>
          <w:highlight w:val="none"/>
          <w:u w:val="none" w:color="auto"/>
        </w:rPr>
        <w:t>3.采购人或者采购代理机构应当自中标人确定之日起2个工作日内，在</w:t>
      </w:r>
      <w:r>
        <w:rPr>
          <w:rFonts w:hint="eastAsia" w:ascii="方正仿宋_GBK" w:hAnsi="方正仿宋_GBK" w:eastAsia="方正仿宋_GBK" w:cs="方正仿宋_GBK"/>
          <w:sz w:val="24"/>
          <w:szCs w:val="24"/>
          <w:highlight w:val="none"/>
        </w:rPr>
        <w:t>垫江县国企数字化采购平台（https://djxgzw.gec123.com/）、行采家（https://www.gec123.com）和重庆市公共资源交易网（垫江县）（https://www.cqggzy.com/dianjiangweb/）</w:t>
      </w:r>
      <w:r>
        <w:rPr>
          <w:rFonts w:hint="eastAsia" w:ascii="方正仿宋_GBK" w:hAnsi="方正仿宋_GBK" w:eastAsia="方正仿宋_GBK" w:cs="方正仿宋_GBK"/>
          <w:sz w:val="24"/>
          <w:highlight w:val="none"/>
          <w:u w:val="none" w:color="auto"/>
        </w:rPr>
        <w:t>网上公告中标结果。中标公告期限为1个工作日。</w:t>
      </w:r>
    </w:p>
    <w:p w14:paraId="6D2294E0">
      <w:pPr>
        <w:pStyle w:val="32"/>
        <w:spacing w:line="400" w:lineRule="exact"/>
        <w:ind w:firstLine="480" w:firstLineChars="200"/>
        <w:rPr>
          <w:rFonts w:hint="eastAsia" w:ascii="方正仿宋_GBK" w:eastAsia="方正仿宋_GBK"/>
          <w:sz w:val="24"/>
          <w:highlight w:val="none"/>
          <w:u w:val="none" w:color="auto"/>
        </w:rPr>
      </w:pPr>
      <w:r>
        <w:rPr>
          <w:rFonts w:hint="eastAsia" w:ascii="方正仿宋_GBK" w:eastAsia="方正仿宋_GBK"/>
          <w:sz w:val="24"/>
          <w:highlight w:val="none"/>
          <w:u w:val="none" w:color="auto"/>
        </w:rPr>
        <w:t>4.中标人变更</w:t>
      </w:r>
    </w:p>
    <w:p w14:paraId="6F42AD0C">
      <w:pPr>
        <w:pStyle w:val="32"/>
        <w:spacing w:line="400" w:lineRule="exact"/>
        <w:ind w:firstLine="480" w:firstLineChars="200"/>
        <w:rPr>
          <w:rFonts w:hint="eastAsia" w:ascii="方正仿宋_GBK" w:eastAsia="方正仿宋_GBK"/>
          <w:sz w:val="24"/>
          <w:highlight w:val="none"/>
          <w:u w:val="none" w:color="auto"/>
        </w:rPr>
      </w:pPr>
      <w:r>
        <w:rPr>
          <w:rFonts w:hint="eastAsia" w:ascii="方正仿宋_GBK" w:eastAsia="方正仿宋_GBK"/>
          <w:sz w:val="24"/>
          <w:highlight w:val="none"/>
          <w:u w:val="none" w:color="auto"/>
        </w:rPr>
        <w:t>中标人拒绝与采购人签订合同的，采购人可以按照评标报告推荐的中标候选人顺序，确定排名下一位的候选人为中标人，也可以重新开展政府采购活动。</w:t>
      </w:r>
    </w:p>
    <w:p w14:paraId="4902C47B">
      <w:pPr>
        <w:pStyle w:val="3"/>
        <w:spacing w:line="400" w:lineRule="exact"/>
        <w:ind w:firstLine="482" w:firstLineChars="200"/>
        <w:rPr>
          <w:rFonts w:hint="eastAsia" w:ascii="方正仿宋_GBK" w:eastAsia="方正仿宋_GBK"/>
          <w:b/>
          <w:sz w:val="24"/>
          <w:highlight w:val="none"/>
          <w:u w:val="none" w:color="auto"/>
        </w:rPr>
      </w:pPr>
      <w:bookmarkStart w:id="528" w:name="_Toc259"/>
      <w:bookmarkStart w:id="529" w:name="_Toc2458"/>
      <w:bookmarkStart w:id="530" w:name="_Toc13010"/>
      <w:bookmarkStart w:id="531" w:name="_Toc29924"/>
      <w:bookmarkStart w:id="532" w:name="_Toc269511298"/>
      <w:bookmarkStart w:id="533" w:name="_Toc13250"/>
      <w:bookmarkStart w:id="534" w:name="_Toc15468"/>
      <w:bookmarkStart w:id="535" w:name="_Toc27221"/>
      <w:bookmarkStart w:id="536" w:name="_Toc30482"/>
      <w:bookmarkStart w:id="537" w:name="_Toc13043"/>
      <w:bookmarkStart w:id="538" w:name="_Toc1114"/>
      <w:bookmarkStart w:id="539" w:name="_Toc12034"/>
      <w:bookmarkStart w:id="540" w:name="_Toc8542"/>
      <w:bookmarkStart w:id="541" w:name="_Toc31365"/>
      <w:bookmarkStart w:id="542" w:name="_Toc15206"/>
      <w:bookmarkStart w:id="543" w:name="_Toc5060"/>
      <w:bookmarkStart w:id="544" w:name="_Toc75793530"/>
      <w:bookmarkStart w:id="545" w:name="_Toc2328"/>
      <w:bookmarkStart w:id="546" w:name="_Toc106030406"/>
      <w:bookmarkStart w:id="547" w:name="_Toc9203"/>
      <w:r>
        <w:rPr>
          <w:rFonts w:hint="eastAsia" w:ascii="方正仿宋_GBK" w:eastAsia="方正仿宋_GBK"/>
          <w:b/>
          <w:sz w:val="24"/>
          <w:highlight w:val="none"/>
          <w:u w:val="none" w:color="auto"/>
        </w:rPr>
        <w:t>七、中标</w:t>
      </w:r>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p>
    <w:p w14:paraId="25780A5B">
      <w:pPr>
        <w:snapToGrid w:val="0"/>
        <w:spacing w:line="400" w:lineRule="exact"/>
        <w:ind w:firstLine="480" w:firstLineChars="200"/>
        <w:rPr>
          <w:rFonts w:hint="eastAsia" w:ascii="方正仿宋_GBK" w:hAnsi="方正仿宋_GBK" w:eastAsia="方正仿宋_GBK"/>
          <w:sz w:val="24"/>
          <w:highlight w:val="none"/>
          <w:u w:val="none" w:color="auto"/>
        </w:rPr>
      </w:pPr>
      <w:r>
        <w:rPr>
          <w:rFonts w:hint="eastAsia" w:ascii="方正仿宋_GBK" w:hAnsi="方正仿宋_GBK" w:eastAsia="方正仿宋_GBK"/>
          <w:sz w:val="24"/>
          <w:highlight w:val="none"/>
          <w:u w:val="none" w:color="auto"/>
        </w:rPr>
        <w:t>（一）采购人依法确定中标人后，采购代理机构以书面形式发出中标通知书。</w:t>
      </w:r>
    </w:p>
    <w:p w14:paraId="0D908881">
      <w:pPr>
        <w:snapToGrid w:val="0"/>
        <w:spacing w:line="400" w:lineRule="exact"/>
        <w:ind w:firstLine="480" w:firstLineChars="200"/>
        <w:rPr>
          <w:rFonts w:hint="eastAsia" w:ascii="方正仿宋_GBK" w:hAnsi="宋体" w:eastAsia="方正仿宋_GBK"/>
          <w:sz w:val="24"/>
          <w:highlight w:val="none"/>
          <w:u w:val="none" w:color="auto"/>
        </w:rPr>
      </w:pPr>
      <w:r>
        <w:rPr>
          <w:rFonts w:hint="eastAsia" w:ascii="方正仿宋_GBK" w:hAnsi="方正仿宋_GBK" w:eastAsia="方正仿宋_GBK"/>
          <w:sz w:val="24"/>
          <w:highlight w:val="none"/>
          <w:u w:val="none" w:color="auto"/>
        </w:rPr>
        <w:t>（二）中标通知书发出后，采购人改变中标结果，或者中标人放弃中标，应当承担相应的法律责任。</w:t>
      </w:r>
    </w:p>
    <w:p w14:paraId="568CAF0E">
      <w:pPr>
        <w:pStyle w:val="3"/>
        <w:spacing w:line="400" w:lineRule="exact"/>
        <w:ind w:firstLine="482" w:firstLineChars="200"/>
        <w:rPr>
          <w:rFonts w:hint="eastAsia" w:ascii="方正仿宋_GBK" w:eastAsia="方正仿宋_GBK"/>
          <w:b/>
          <w:sz w:val="24"/>
          <w:highlight w:val="none"/>
          <w:u w:val="none" w:color="auto"/>
        </w:rPr>
      </w:pPr>
      <w:bookmarkStart w:id="548" w:name="_Toc9499"/>
      <w:bookmarkStart w:id="549" w:name="_Toc2537"/>
      <w:bookmarkStart w:id="550" w:name="_Toc902"/>
      <w:bookmarkStart w:id="551" w:name="_Toc32463"/>
      <w:bookmarkStart w:id="552" w:name="_Toc17845"/>
      <w:bookmarkStart w:id="553" w:name="_Toc10950"/>
      <w:bookmarkStart w:id="554" w:name="_Toc27770"/>
      <w:bookmarkStart w:id="555" w:name="_Toc4157"/>
      <w:bookmarkStart w:id="556" w:name="_Toc16406"/>
      <w:bookmarkStart w:id="557" w:name="_Toc6815"/>
      <w:bookmarkStart w:id="558" w:name="_Toc75793531"/>
      <w:bookmarkStart w:id="559" w:name="_Toc1046"/>
      <w:bookmarkStart w:id="560" w:name="_Toc32509"/>
      <w:bookmarkStart w:id="561" w:name="_Toc7164"/>
      <w:bookmarkStart w:id="562" w:name="_Toc32707"/>
      <w:bookmarkStart w:id="563" w:name="_Toc562363369"/>
      <w:bookmarkStart w:id="564" w:name="_Toc26806"/>
      <w:bookmarkStart w:id="565" w:name="_Toc23031"/>
      <w:bookmarkStart w:id="566" w:name="_Toc14518"/>
      <w:bookmarkStart w:id="567" w:name="_Toc106030407"/>
      <w:r>
        <w:rPr>
          <w:rFonts w:hint="eastAsia" w:ascii="方正仿宋_GBK" w:eastAsia="方正仿宋_GBK"/>
          <w:b/>
          <w:sz w:val="24"/>
          <w:highlight w:val="none"/>
          <w:u w:val="none" w:color="auto"/>
        </w:rPr>
        <w:t>八、</w:t>
      </w:r>
      <w:r>
        <w:rPr>
          <w:rFonts w:hint="eastAsia" w:ascii="方正仿宋_GBK" w:hAnsi="仿宋" w:eastAsia="方正仿宋_GBK" w:cs="仿宋"/>
          <w:b/>
          <w:sz w:val="24"/>
          <w:highlight w:val="none"/>
          <w:u w:val="none" w:color="auto"/>
        </w:rPr>
        <w:t>询问和质疑</w:t>
      </w:r>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p>
    <w:p w14:paraId="4FEF452C">
      <w:pPr>
        <w:spacing w:line="400" w:lineRule="exact"/>
        <w:ind w:right="12" w:firstLine="480"/>
        <w:outlineLvl w:val="2"/>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（一）询问</w:t>
      </w:r>
    </w:p>
    <w:p w14:paraId="7BAF0B2B">
      <w:pPr>
        <w:spacing w:line="400" w:lineRule="exact"/>
        <w:ind w:right="12" w:firstLine="48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采购人或者采购代理机构应当在3个工作日内对投标人依法提出的询问作出答复。投标人询问可以是口头或书面形式。</w:t>
      </w:r>
    </w:p>
    <w:p w14:paraId="18BD19B1">
      <w:pPr>
        <w:snapToGrid w:val="0"/>
        <w:spacing w:line="400" w:lineRule="exact"/>
        <w:ind w:firstLine="480" w:firstLineChars="200"/>
        <w:outlineLvl w:val="2"/>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（二）质疑</w:t>
      </w:r>
    </w:p>
    <w:p w14:paraId="2F01473C">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投标人认为采购文件、采购过程和中标结果使自己的权益受到伤害的，可向采购人或采购代理机构以书面形式提出质疑。</w:t>
      </w:r>
    </w:p>
    <w:p w14:paraId="2492C5FC">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 xml:space="preserve">提出质疑的应当是参与所质疑项目采购活动的投标人。 </w:t>
      </w:r>
    </w:p>
    <w:p w14:paraId="646B5C5A">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1.质疑时限、内容</w:t>
      </w:r>
    </w:p>
    <w:p w14:paraId="3C993A10">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1.1投标人对招标文件提出质疑的，应在依法获取招标文件之日或者招标文件公告期限届满之日起七个工作日内提出。</w:t>
      </w:r>
    </w:p>
    <w:p w14:paraId="4D02BE49">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1.2 投标人对采购过程提出质疑的，应在各采购程序环节结束之日起七个工作日内提出。</w:t>
      </w:r>
    </w:p>
    <w:p w14:paraId="45AFBC61">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1.3投标人对中标结果提出质疑的，应当在中标结果公告期限届满之日起七个工作日内提出。</w:t>
      </w:r>
    </w:p>
    <w:p w14:paraId="682AE635">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1.4投标人提出质疑应当提交质疑函和必要的证明材料，质疑函应当包括下列内容：</w:t>
      </w:r>
    </w:p>
    <w:p w14:paraId="2D49AEF3">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1.4.1供应商的姓名或者名称、地址、邮编、联系人及联系电话；</w:t>
      </w:r>
    </w:p>
    <w:p w14:paraId="0D6B0497">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1.4.2质疑项目的名称、项目号以及采购执行编号；</w:t>
      </w:r>
    </w:p>
    <w:p w14:paraId="74840E1C">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1.4.3具体、明确的质疑事项和与质疑事项相关的请求；</w:t>
      </w:r>
    </w:p>
    <w:p w14:paraId="5054C76E">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1.4.4事实依据；</w:t>
      </w:r>
    </w:p>
    <w:p w14:paraId="3DDEF8AA">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1.4.5必要的法律依据；</w:t>
      </w:r>
    </w:p>
    <w:p w14:paraId="704DDE39">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1.4.6提出质疑的日期；</w:t>
      </w:r>
    </w:p>
    <w:p w14:paraId="523740A8">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1.4.7营业执照（或事业单位法人证书，或个体工商户营业执照或有效的自然人身份证明）复印件；</w:t>
      </w:r>
    </w:p>
    <w:p w14:paraId="4EBDB1C5">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1.4.8法定代表人授权委托书原件、法定代表人身份证复印件和其授权代表的身份证复印件（供应商为自然人的提供自然人身份证复印件）；</w:t>
      </w:r>
    </w:p>
    <w:p w14:paraId="4D5941E8">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1.5供应商为自然人的，质疑函应当由本人签字；供应商为法人或者其他组织的，质疑函应当由法定代表人、主要负责人，或者其授权代表签字或者盖章，并加盖公章。</w:t>
      </w:r>
    </w:p>
    <w:p w14:paraId="73E8034B">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2.质疑答复</w:t>
      </w:r>
    </w:p>
    <w:p w14:paraId="380C3D59">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采购人、采购代理机构应当在收到投标人的书面质疑后七个工作日内作出答复，并以书面形式通知质疑投标人和其他有关投标人。</w:t>
      </w:r>
    </w:p>
    <w:p w14:paraId="5E18616D">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3.其他</w:t>
      </w:r>
    </w:p>
    <w:p w14:paraId="0DDCD0AC">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3.1投标人应按照《政府采购质疑和投诉办法》（财政部令第94号）及相关法律法规要求，在法定质疑期内一次性提出针对同一采购程序环节的质疑。</w:t>
      </w:r>
    </w:p>
    <w:p w14:paraId="3A2553EA">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3.2质疑函范本可在财政部门户网站和中国政府采购网下载。</w:t>
      </w:r>
    </w:p>
    <w:p w14:paraId="584B7B2A">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4.质疑联系方式详见第一篇“联系方式”。</w:t>
      </w:r>
    </w:p>
    <w:p w14:paraId="16257611">
      <w:pPr>
        <w:pStyle w:val="3"/>
        <w:spacing w:line="400" w:lineRule="exact"/>
        <w:ind w:firstLine="482" w:firstLineChars="200"/>
        <w:rPr>
          <w:rFonts w:hint="eastAsia" w:ascii="方正仿宋_GBK" w:eastAsia="方正仿宋_GBK"/>
          <w:b/>
          <w:sz w:val="24"/>
          <w:highlight w:val="none"/>
          <w:u w:val="none" w:color="auto"/>
        </w:rPr>
      </w:pPr>
      <w:bookmarkStart w:id="568" w:name="_Toc9466"/>
      <w:bookmarkStart w:id="569" w:name="_Toc12779"/>
      <w:bookmarkStart w:id="570" w:name="_Toc418"/>
      <w:bookmarkStart w:id="571" w:name="_Toc12684"/>
      <w:bookmarkStart w:id="572" w:name="_Toc22508"/>
      <w:bookmarkStart w:id="573" w:name="_Toc21973"/>
      <w:bookmarkStart w:id="574" w:name="_Toc75793532"/>
      <w:bookmarkStart w:id="575" w:name="_Toc32457"/>
      <w:bookmarkStart w:id="576" w:name="_Toc28235"/>
      <w:bookmarkStart w:id="577" w:name="_Toc106030408"/>
      <w:bookmarkStart w:id="578" w:name="_Toc8407"/>
      <w:bookmarkStart w:id="579" w:name="_Toc6066"/>
      <w:bookmarkStart w:id="580" w:name="_Toc4606"/>
      <w:bookmarkStart w:id="581" w:name="_Toc10858"/>
      <w:bookmarkStart w:id="582" w:name="_Toc13258"/>
      <w:bookmarkStart w:id="583" w:name="_Toc5437"/>
      <w:bookmarkStart w:id="584" w:name="_Toc6890"/>
      <w:bookmarkStart w:id="585" w:name="_Toc27957"/>
      <w:bookmarkStart w:id="586" w:name="_Toc25303"/>
      <w:bookmarkStart w:id="587" w:name="_Toc2117352930"/>
      <w:r>
        <w:rPr>
          <w:rFonts w:hint="eastAsia" w:ascii="方正仿宋_GBK" w:eastAsia="方正仿宋_GBK"/>
          <w:b/>
          <w:sz w:val="24"/>
          <w:highlight w:val="none"/>
          <w:u w:val="none" w:color="auto"/>
        </w:rPr>
        <w:t>九、采购代理服务费</w:t>
      </w:r>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p>
    <w:p w14:paraId="200C65A8">
      <w:pPr>
        <w:spacing w:line="400" w:lineRule="exact"/>
        <w:ind w:firstLine="480" w:firstLineChars="200"/>
        <w:rPr>
          <w:rFonts w:hint="eastAsia" w:ascii="方正仿宋_GBK" w:hAnsi="宋体" w:eastAsia="方正仿宋_GBK" w:cs="宋体"/>
          <w:kern w:val="0"/>
          <w:sz w:val="24"/>
          <w:szCs w:val="24"/>
          <w:highlight w:val="none"/>
          <w:u w:val="none" w:color="auto"/>
          <w:lang w:val="en-US" w:eastAsia="zh-CN"/>
        </w:rPr>
      </w:pPr>
      <w:bookmarkStart w:id="588" w:name="_Toc32642"/>
      <w:bookmarkStart w:id="589" w:name="_Toc604"/>
      <w:bookmarkStart w:id="590" w:name="_Toc2711"/>
      <w:bookmarkStart w:id="591" w:name="_Toc106030409"/>
      <w:bookmarkStart w:id="592" w:name="_Toc345318310"/>
      <w:bookmarkStart w:id="593" w:name="_Toc21345"/>
      <w:bookmarkStart w:id="594" w:name="_Toc1827"/>
      <w:bookmarkStart w:id="595" w:name="_Toc15694"/>
      <w:bookmarkStart w:id="596" w:name="_Toc342983494"/>
      <w:bookmarkStart w:id="597" w:name="_Toc343881212"/>
      <w:bookmarkStart w:id="598" w:name="_Toc15547"/>
      <w:bookmarkStart w:id="599" w:name="_Toc9407"/>
      <w:bookmarkStart w:id="600" w:name="_Toc1788"/>
      <w:bookmarkStart w:id="601" w:name="_Toc31483"/>
      <w:bookmarkStart w:id="602" w:name="_Toc429584878"/>
      <w:bookmarkStart w:id="603" w:name="_Toc13008"/>
      <w:bookmarkStart w:id="604" w:name="_Toc75793533"/>
      <w:bookmarkStart w:id="605" w:name="_Toc27355"/>
      <w:bookmarkStart w:id="606" w:name="_Toc20094"/>
      <w:bookmarkStart w:id="607" w:name="_Toc27824"/>
      <w:bookmarkStart w:id="608" w:name="_Toc32236"/>
      <w:bookmarkStart w:id="609" w:name="_Toc18481"/>
      <w:bookmarkStart w:id="610" w:name="_Toc23674"/>
      <w:r>
        <w:rPr>
          <w:rFonts w:hint="eastAsia" w:ascii="方正仿宋_GBK" w:hAnsi="宋体" w:eastAsia="方正仿宋_GBK" w:cs="宋体"/>
          <w:kern w:val="0"/>
          <w:sz w:val="24"/>
          <w:szCs w:val="24"/>
          <w:highlight w:val="none"/>
          <w:u w:val="none" w:color="auto"/>
          <w:lang w:val="en-US" w:eastAsia="zh-CN"/>
        </w:rPr>
        <w:t>无</w:t>
      </w:r>
      <w:bookmarkEnd w:id="588"/>
      <w:bookmarkEnd w:id="589"/>
      <w:bookmarkEnd w:id="590"/>
    </w:p>
    <w:p w14:paraId="33CAED12">
      <w:pPr>
        <w:pStyle w:val="3"/>
        <w:spacing w:line="400" w:lineRule="exact"/>
        <w:ind w:firstLine="482" w:firstLineChars="200"/>
        <w:rPr>
          <w:rFonts w:hint="eastAsia" w:ascii="方正仿宋_GBK" w:eastAsia="方正仿宋_GBK"/>
          <w:b/>
          <w:sz w:val="24"/>
          <w:highlight w:val="none"/>
          <w:u w:val="none" w:color="auto"/>
        </w:rPr>
      </w:pPr>
      <w:bookmarkStart w:id="611" w:name="_Toc25184"/>
      <w:bookmarkStart w:id="612" w:name="_Toc1189"/>
      <w:bookmarkStart w:id="613" w:name="_Toc15873"/>
      <w:bookmarkStart w:id="614" w:name="_Toc810242452"/>
      <w:r>
        <w:rPr>
          <w:rFonts w:hint="eastAsia" w:ascii="方正仿宋_GBK" w:eastAsia="方正仿宋_GBK"/>
          <w:b/>
          <w:sz w:val="24"/>
          <w:highlight w:val="none"/>
          <w:u w:val="none" w:color="auto"/>
        </w:rPr>
        <w:t>十、交易服务费</w:t>
      </w:r>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p>
    <w:p w14:paraId="67E55BF8">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方正仿宋_GBK" w:hAnsi="方正仿宋_GBK" w:eastAsia="方正仿宋_GBK"/>
          <w:sz w:val="24"/>
          <w:highlight w:val="none"/>
          <w:u w:val="none" w:color="auto"/>
        </w:rPr>
      </w:pPr>
      <w:bookmarkStart w:id="615" w:name="_Toc10797"/>
      <w:bookmarkStart w:id="616" w:name="_Toc25158"/>
      <w:bookmarkStart w:id="617" w:name="_Toc9036"/>
      <w:bookmarkStart w:id="618" w:name="_Toc9444"/>
      <w:bookmarkStart w:id="619" w:name="_Toc25630"/>
      <w:bookmarkStart w:id="620" w:name="_Toc18724"/>
      <w:bookmarkStart w:id="621" w:name="_Toc23717"/>
      <w:bookmarkStart w:id="622" w:name="_Toc20263"/>
      <w:bookmarkStart w:id="623" w:name="_Toc23988"/>
      <w:bookmarkStart w:id="624" w:name="_Toc30396"/>
      <w:bookmarkStart w:id="625" w:name="_Toc17066"/>
      <w:bookmarkStart w:id="626" w:name="_Toc106030410"/>
      <w:bookmarkStart w:id="627" w:name="_Toc8954"/>
      <w:bookmarkStart w:id="628" w:name="_Toc1312"/>
      <w:bookmarkStart w:id="629" w:name="_Toc19828"/>
      <w:bookmarkStart w:id="630" w:name="_Toc19549"/>
      <w:bookmarkStart w:id="631" w:name="_Toc26946"/>
      <w:bookmarkStart w:id="632" w:name="_Toc20527"/>
      <w:bookmarkStart w:id="633" w:name="_Toc75793534"/>
      <w:r>
        <w:rPr>
          <w:rFonts w:hint="eastAsia" w:ascii="方正仿宋_GBK" w:hAnsi="方正仿宋_GBK" w:eastAsia="方正仿宋_GBK"/>
          <w:sz w:val="24"/>
          <w:highlight w:val="none"/>
          <w:u w:val="none" w:color="auto"/>
          <w:lang w:val="en-US" w:eastAsia="zh-CN"/>
        </w:rPr>
        <w:t>供应商成交后按照成交总价向“垫江县公共资源交易中心”缴纳交易服务费，交易服务费的收取标准按渝发改收费〔2023〕115号文件执行。</w:t>
      </w:r>
      <w:r>
        <w:rPr>
          <w:rFonts w:hint="default" w:ascii="方正仿宋_GBK" w:hAnsi="方正仿宋_GBK" w:eastAsia="方正仿宋_GBK"/>
          <w:sz w:val="24"/>
          <w:highlight w:val="none"/>
          <w:u w:val="none" w:color="auto"/>
          <w:lang w:val="en-US" w:eastAsia="zh-CN"/>
        </w:rPr>
        <w:br w:type="textWrapping"/>
      </w:r>
      <w:r>
        <w:rPr>
          <w:rFonts w:hint="eastAsia" w:ascii="方正仿宋_GBK" w:hAnsi="方正仿宋_GBK" w:eastAsia="方正仿宋_GBK"/>
          <w:sz w:val="24"/>
          <w:highlight w:val="none"/>
          <w:u w:val="none" w:color="auto"/>
          <w:lang w:val="en-US" w:eastAsia="zh-CN"/>
        </w:rPr>
        <w:t xml:space="preserve">    </w:t>
      </w:r>
      <w:r>
        <w:rPr>
          <w:rFonts w:hint="default" w:ascii="方正仿宋_GBK" w:hAnsi="方正仿宋_GBK" w:eastAsia="方正仿宋_GBK"/>
          <w:sz w:val="24"/>
          <w:highlight w:val="none"/>
          <w:u w:val="none" w:color="auto"/>
          <w:lang w:val="en-US" w:eastAsia="zh-CN"/>
        </w:rPr>
        <w:t>垫江县公共资源交易中心财务科咨询电话：023-74528627</w:t>
      </w:r>
    </w:p>
    <w:p w14:paraId="4AC4C7C8">
      <w:pPr>
        <w:pStyle w:val="3"/>
        <w:spacing w:line="400" w:lineRule="exact"/>
        <w:ind w:firstLine="482" w:firstLineChars="200"/>
        <w:rPr>
          <w:rFonts w:hint="eastAsia" w:ascii="方正仿宋_GBK" w:eastAsia="方正仿宋_GBK"/>
          <w:b/>
          <w:sz w:val="24"/>
          <w:highlight w:val="none"/>
          <w:u w:val="none" w:color="auto"/>
        </w:rPr>
      </w:pPr>
      <w:bookmarkStart w:id="634" w:name="_Toc232014491"/>
      <w:r>
        <w:rPr>
          <w:rFonts w:hint="eastAsia" w:ascii="方正仿宋_GBK" w:eastAsia="方正仿宋_GBK"/>
          <w:b/>
          <w:sz w:val="24"/>
          <w:highlight w:val="none"/>
          <w:u w:val="none" w:color="auto"/>
        </w:rPr>
        <w:t>十一、签订合同</w:t>
      </w:r>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p>
    <w:p w14:paraId="4A2BE7C5">
      <w:pPr>
        <w:spacing w:line="400" w:lineRule="exact"/>
        <w:ind w:firstLine="480" w:firstLineChars="200"/>
        <w:rPr>
          <w:rFonts w:hint="eastAsia" w:ascii="方正仿宋_GBK" w:hAnsi="宋体" w:eastAsia="方正仿宋_GBK"/>
          <w:sz w:val="24"/>
          <w:highlight w:val="none"/>
          <w:u w:val="none" w:color="auto"/>
        </w:rPr>
      </w:pPr>
      <w:r>
        <w:rPr>
          <w:rFonts w:hint="eastAsia" w:ascii="方正仿宋_GBK" w:hAnsi="方正仿宋_GBK" w:eastAsia="方正仿宋_GBK"/>
          <w:sz w:val="24"/>
          <w:highlight w:val="none"/>
          <w:u w:val="none" w:color="auto"/>
        </w:rPr>
        <w:t>（一）采购人原则上应在中标通知书发出之日起</w:t>
      </w:r>
      <w:r>
        <w:rPr>
          <w:rFonts w:hint="eastAsia" w:ascii="方正仿宋_GBK" w:hAnsi="方正仿宋_GBK" w:eastAsia="方正仿宋_GBK"/>
          <w:sz w:val="24"/>
          <w:highlight w:val="none"/>
          <w:u w:val="none" w:color="auto"/>
          <w:lang w:eastAsia="zh-CN"/>
        </w:rPr>
        <w:t>二</w:t>
      </w:r>
      <w:r>
        <w:rPr>
          <w:rFonts w:hint="eastAsia" w:ascii="方正仿宋_GBK" w:hAnsi="方正仿宋_GBK" w:eastAsia="方正仿宋_GBK"/>
          <w:sz w:val="24"/>
          <w:highlight w:val="none"/>
          <w:u w:val="none" w:color="auto"/>
        </w:rPr>
        <w:t>十日内和中标人签订政府采购合同，无正当理由不得拒绝或拖延合同签订。</w:t>
      </w:r>
      <w:r>
        <w:rPr>
          <w:rFonts w:hint="eastAsia" w:ascii="方正仿宋_GBK" w:hAnsi="宋体" w:eastAsia="方正仿宋_GBK"/>
          <w:sz w:val="24"/>
          <w:highlight w:val="none"/>
          <w:u w:val="none" w:color="auto"/>
        </w:rPr>
        <w:t>所签订的合同不得对招标文件和中标人投标文件作实质性修改。</w:t>
      </w:r>
      <w:r>
        <w:rPr>
          <w:rFonts w:hint="eastAsia" w:ascii="方正仿宋_GBK" w:hAnsi="宋体" w:eastAsia="方正仿宋_GBK" w:cs="宋体"/>
          <w:kern w:val="0"/>
          <w:sz w:val="24"/>
          <w:szCs w:val="24"/>
          <w:highlight w:val="none"/>
          <w:u w:val="none" w:color="auto"/>
        </w:rPr>
        <w:t>其他未尽事宜由采购人和中标人在采购合同中详细约定。</w:t>
      </w:r>
    </w:p>
    <w:p w14:paraId="108754CF">
      <w:pPr>
        <w:spacing w:line="400" w:lineRule="exact"/>
        <w:ind w:firstLine="480" w:firstLineChars="200"/>
        <w:rPr>
          <w:rFonts w:hint="eastAsia" w:ascii="方正仿宋_GBK" w:hAnsi="宋体" w:eastAsia="方正仿宋_GBK"/>
          <w:sz w:val="24"/>
          <w:highlight w:val="none"/>
          <w:u w:val="none" w:color="auto"/>
        </w:rPr>
      </w:pPr>
      <w:r>
        <w:rPr>
          <w:rFonts w:hint="eastAsia" w:ascii="方正仿宋_GBK" w:hAnsi="方正仿宋_GBK" w:eastAsia="方正仿宋_GBK"/>
          <w:sz w:val="24"/>
          <w:highlight w:val="none"/>
          <w:u w:val="none" w:color="auto"/>
        </w:rPr>
        <w:t>（二）</w:t>
      </w:r>
      <w:r>
        <w:rPr>
          <w:rFonts w:hint="eastAsia" w:ascii="方正仿宋_GBK" w:hAnsi="宋体" w:eastAsia="方正仿宋_GBK"/>
          <w:sz w:val="24"/>
          <w:highlight w:val="none"/>
          <w:u w:val="none" w:color="auto"/>
        </w:rPr>
        <w:t>采购人应当自合同签订之日起7个工作日内，进行合同登记备案。</w:t>
      </w:r>
    </w:p>
    <w:p w14:paraId="39FC4B35">
      <w:pPr>
        <w:spacing w:line="400" w:lineRule="exact"/>
        <w:ind w:firstLine="480" w:firstLineChars="200"/>
        <w:rPr>
          <w:rFonts w:hint="eastAsia" w:ascii="方正仿宋_GBK" w:hAnsi="宋体" w:eastAsia="方正仿宋_GBK"/>
          <w:sz w:val="24"/>
          <w:highlight w:val="none"/>
          <w:u w:val="none" w:color="auto"/>
        </w:rPr>
      </w:pPr>
      <w:r>
        <w:rPr>
          <w:rFonts w:hint="eastAsia" w:ascii="方正仿宋_GBK" w:hAnsi="方正仿宋_GBK" w:eastAsia="方正仿宋_GBK"/>
          <w:sz w:val="24"/>
          <w:highlight w:val="none"/>
          <w:u w:val="none" w:color="auto"/>
        </w:rPr>
        <w:t>（三）</w:t>
      </w:r>
      <w:r>
        <w:rPr>
          <w:rFonts w:hint="eastAsia" w:ascii="方正仿宋_GBK" w:hAnsi="宋体" w:eastAsia="方正仿宋_GBK"/>
          <w:sz w:val="24"/>
          <w:highlight w:val="none"/>
          <w:u w:val="none" w:color="auto"/>
        </w:rPr>
        <w:t>招标文件、中标人的投标文件及澄清文件等，均为签订政府采购合同的依据。</w:t>
      </w:r>
    </w:p>
    <w:p w14:paraId="66D8A5EB">
      <w:pPr>
        <w:spacing w:line="400" w:lineRule="exact"/>
        <w:ind w:firstLine="480" w:firstLineChars="200"/>
        <w:rPr>
          <w:rFonts w:hint="eastAsia" w:ascii="方正仿宋_GBK" w:hAnsi="宋体" w:eastAsia="方正仿宋_GBK"/>
          <w:sz w:val="24"/>
          <w:highlight w:val="none"/>
          <w:u w:val="none" w:color="auto"/>
        </w:rPr>
      </w:pPr>
      <w:r>
        <w:rPr>
          <w:rFonts w:hint="eastAsia" w:ascii="方正仿宋_GBK" w:hAnsi="方正仿宋_GBK" w:eastAsia="方正仿宋_GBK"/>
          <w:sz w:val="24"/>
          <w:highlight w:val="none"/>
          <w:u w:val="none" w:color="auto"/>
        </w:rPr>
        <w:t>（四）</w:t>
      </w:r>
      <w:r>
        <w:rPr>
          <w:rFonts w:hint="eastAsia" w:ascii="方正仿宋_GBK" w:hAnsi="宋体" w:eastAsia="方正仿宋_GBK"/>
          <w:sz w:val="24"/>
          <w:highlight w:val="none"/>
          <w:u w:val="none" w:color="auto"/>
        </w:rPr>
        <w:t>合同生效条款由供需双方约定，法律、行政法规规定应当办理批准、登记等手续后生效的合同，依照其规定。</w:t>
      </w:r>
    </w:p>
    <w:p w14:paraId="035B4A28">
      <w:pPr>
        <w:spacing w:line="400" w:lineRule="exact"/>
        <w:ind w:firstLine="480" w:firstLineChars="200"/>
        <w:rPr>
          <w:rFonts w:hint="eastAsia" w:ascii="方正仿宋_GBK" w:hAnsi="方正仿宋_GBK" w:eastAsia="方正仿宋_GBK"/>
          <w:sz w:val="24"/>
          <w:highlight w:val="none"/>
          <w:u w:val="none" w:color="auto"/>
        </w:rPr>
      </w:pPr>
      <w:r>
        <w:rPr>
          <w:rFonts w:hint="eastAsia" w:ascii="方正仿宋_GBK" w:hAnsi="方正仿宋_GBK" w:eastAsia="方正仿宋_GBK"/>
          <w:sz w:val="24"/>
          <w:highlight w:val="none"/>
          <w:u w:val="none" w:color="auto"/>
        </w:rPr>
        <w:t>（五）合同原则上应按照《重庆市政府采购合同》签订，相关单位要求适用合同通用格式版本的，应按其要求另行签订其他合同。</w:t>
      </w:r>
    </w:p>
    <w:p w14:paraId="46353E57">
      <w:pPr>
        <w:pStyle w:val="3"/>
        <w:spacing w:line="400" w:lineRule="exact"/>
        <w:ind w:firstLine="482" w:firstLineChars="200"/>
        <w:rPr>
          <w:rFonts w:hint="eastAsia" w:ascii="方正仿宋_GBK" w:eastAsia="方正仿宋_GBK"/>
          <w:b/>
          <w:sz w:val="24"/>
          <w:highlight w:val="none"/>
          <w:u w:val="none" w:color="auto"/>
        </w:rPr>
      </w:pPr>
      <w:bookmarkStart w:id="635" w:name="_Toc23965"/>
      <w:bookmarkStart w:id="636" w:name="_Toc11558"/>
      <w:bookmarkStart w:id="637" w:name="_Toc23671"/>
      <w:bookmarkStart w:id="638" w:name="_Toc11349"/>
      <w:bookmarkStart w:id="639" w:name="_Toc4923"/>
      <w:bookmarkStart w:id="640" w:name="_Toc13934"/>
      <w:bookmarkStart w:id="641" w:name="_Toc9393"/>
      <w:bookmarkStart w:id="642" w:name="_Toc106030411"/>
      <w:bookmarkStart w:id="643" w:name="_Toc25795"/>
      <w:bookmarkStart w:id="644" w:name="_Toc13027"/>
      <w:bookmarkStart w:id="645" w:name="_Toc29139"/>
      <w:bookmarkStart w:id="646" w:name="_Toc22413"/>
      <w:bookmarkStart w:id="647" w:name="_Toc26438"/>
      <w:bookmarkStart w:id="648" w:name="_Toc31273"/>
      <w:bookmarkStart w:id="649" w:name="_Toc1595131659"/>
      <w:bookmarkStart w:id="650" w:name="_Toc4207"/>
      <w:bookmarkStart w:id="651" w:name="_Toc1406"/>
      <w:bookmarkStart w:id="652" w:name="_Toc26213"/>
      <w:r>
        <w:rPr>
          <w:rFonts w:hint="eastAsia" w:ascii="方正仿宋_GBK" w:eastAsia="方正仿宋_GBK"/>
          <w:b/>
          <w:sz w:val="24"/>
          <w:highlight w:val="none"/>
          <w:u w:val="none" w:color="auto"/>
        </w:rPr>
        <w:t>十二、</w:t>
      </w:r>
      <w:bookmarkEnd w:id="635"/>
      <w:bookmarkEnd w:id="636"/>
      <w:bookmarkEnd w:id="637"/>
      <w:bookmarkEnd w:id="638"/>
      <w:r>
        <w:rPr>
          <w:rFonts w:hint="eastAsia" w:ascii="方正仿宋_GBK" w:eastAsia="方正仿宋_GBK"/>
          <w:b/>
          <w:sz w:val="24"/>
          <w:highlight w:val="none"/>
          <w:u w:val="none" w:color="auto"/>
        </w:rPr>
        <w:t>项目验收</w:t>
      </w:r>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p>
    <w:p w14:paraId="1CCCBCAD">
      <w:pPr>
        <w:spacing w:line="400" w:lineRule="exact"/>
        <w:ind w:firstLine="480" w:firstLineChars="200"/>
        <w:rPr>
          <w:rFonts w:hint="eastAsia" w:ascii="方正仿宋_GBK" w:eastAsia="方正仿宋_GBK"/>
          <w:highlight w:val="none"/>
          <w:u w:val="none" w:color="auto"/>
        </w:rPr>
      </w:pPr>
      <w:r>
        <w:rPr>
          <w:rFonts w:hint="eastAsia" w:ascii="方正仿宋_GBK" w:hAnsi="宋体" w:eastAsia="方正仿宋_GBK"/>
          <w:sz w:val="24"/>
          <w:highlight w:val="none"/>
          <w:u w:val="none" w:color="auto"/>
        </w:rPr>
        <w:t>合同执行完毕，采购人原则上应在7个工作日内组织履约情况验收，不得无故拖延或附加额外条件。</w:t>
      </w:r>
      <w:r>
        <w:rPr>
          <w:rFonts w:hint="eastAsia" w:ascii="方正仿宋_GBK" w:eastAsia="方正仿宋_GBK"/>
          <w:highlight w:val="none"/>
          <w:u w:val="none" w:color="auto"/>
        </w:rPr>
        <w:br w:type="page"/>
      </w:r>
      <w:bookmarkStart w:id="653" w:name="_Toc9505"/>
      <w:bookmarkStart w:id="654" w:name="_Toc19939"/>
      <w:bookmarkStart w:id="655" w:name="_Toc5544"/>
      <w:bookmarkStart w:id="656" w:name="_Toc75793536"/>
      <w:bookmarkStart w:id="657" w:name="_Toc3344"/>
      <w:bookmarkStart w:id="658" w:name="_Toc4454"/>
      <w:bookmarkStart w:id="659" w:name="_Toc106030413"/>
      <w:bookmarkStart w:id="660" w:name="_Toc12210"/>
      <w:bookmarkStart w:id="661" w:name="_Toc13696"/>
      <w:bookmarkStart w:id="662" w:name="_Toc28592"/>
      <w:bookmarkStart w:id="663" w:name="_Toc17885"/>
      <w:bookmarkStart w:id="664" w:name="_Toc128"/>
      <w:bookmarkStart w:id="665" w:name="_Toc5640"/>
      <w:bookmarkStart w:id="666" w:name="_Toc13245"/>
      <w:bookmarkStart w:id="667" w:name="_Toc5880"/>
      <w:bookmarkStart w:id="668" w:name="_Toc21870"/>
      <w:bookmarkStart w:id="669" w:name="_Toc7598"/>
      <w:bookmarkStart w:id="670" w:name="_Toc9831"/>
      <w:bookmarkStart w:id="671" w:name="_Toc7301"/>
    </w:p>
    <w:p w14:paraId="0929F499">
      <w:pPr>
        <w:pStyle w:val="2"/>
        <w:spacing w:before="0" w:beforeLines="0" w:after="0" w:afterLines="0" w:line="360" w:lineRule="auto"/>
        <w:rPr>
          <w:rFonts w:hint="eastAsia" w:ascii="方正仿宋_GBK" w:eastAsia="方正仿宋_GBK"/>
          <w:b/>
          <w:highlight w:val="none"/>
          <w:u w:val="none" w:color="auto"/>
          <w:lang w:val="en-US" w:eastAsia="zh-CN"/>
        </w:rPr>
      </w:pPr>
      <w:bookmarkStart w:id="672" w:name="_Toc520423789"/>
      <w:r>
        <w:rPr>
          <w:rFonts w:hint="eastAsia" w:ascii="方正仿宋_GBK" w:eastAsia="方正仿宋_GBK"/>
          <w:b/>
          <w:highlight w:val="none"/>
          <w:u w:val="none" w:color="auto"/>
          <w:lang w:val="en-US" w:eastAsia="zh-CN"/>
        </w:rPr>
        <w:t>第六篇  合同主要条款和格式合同（样本）</w:t>
      </w:r>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p>
    <w:p w14:paraId="08BC97B1">
      <w:pPr>
        <w:pStyle w:val="3"/>
        <w:spacing w:line="400" w:lineRule="exact"/>
        <w:ind w:firstLine="482" w:firstLineChars="200"/>
        <w:rPr>
          <w:rFonts w:hint="eastAsia" w:ascii="方正仿宋_GBK" w:eastAsia="方正仿宋_GBK"/>
          <w:b/>
          <w:sz w:val="24"/>
          <w:highlight w:val="none"/>
        </w:rPr>
      </w:pPr>
      <w:bookmarkStart w:id="673" w:name="_Toc285722712"/>
      <w:bookmarkStart w:id="674" w:name="_Toc16344"/>
      <w:bookmarkStart w:id="675" w:name="_Toc16546"/>
      <w:bookmarkStart w:id="676" w:name="_Toc1914410464"/>
      <w:bookmarkStart w:id="677" w:name="_Toc2644"/>
      <w:bookmarkStart w:id="678" w:name="_Toc27462"/>
      <w:bookmarkStart w:id="679" w:name="_Toc27008"/>
      <w:bookmarkStart w:id="680" w:name="_Toc75793537"/>
      <w:bookmarkStart w:id="681" w:name="_Toc4064"/>
      <w:bookmarkStart w:id="682" w:name="_Toc6013"/>
      <w:bookmarkStart w:id="683" w:name="_Toc277084870"/>
      <w:bookmarkStart w:id="684" w:name="_Toc15196"/>
      <w:bookmarkStart w:id="685" w:name="_Toc29567"/>
      <w:bookmarkStart w:id="686" w:name="_Toc21511"/>
      <w:bookmarkStart w:id="687" w:name="_Toc106030414"/>
      <w:bookmarkStart w:id="688" w:name="_Toc22555"/>
      <w:bookmarkStart w:id="689" w:name="_Toc15259"/>
      <w:bookmarkStart w:id="690" w:name="_Toc19301"/>
      <w:bookmarkStart w:id="691" w:name="_Toc23921"/>
      <w:bookmarkStart w:id="692" w:name="_Toc6684"/>
      <w:bookmarkStart w:id="693" w:name="_Toc1900"/>
      <w:bookmarkStart w:id="694" w:name="_Toc532"/>
      <w:bookmarkStart w:id="695" w:name="_Toc285722713"/>
      <w:bookmarkStart w:id="696" w:name="_Toc14438"/>
      <w:bookmarkStart w:id="697" w:name="_Toc11006"/>
      <w:bookmarkStart w:id="698" w:name="_Toc16342"/>
      <w:bookmarkStart w:id="699" w:name="_Toc27910"/>
      <w:bookmarkStart w:id="700" w:name="_Toc75793538"/>
      <w:bookmarkStart w:id="701" w:name="_Toc14172"/>
      <w:bookmarkStart w:id="702" w:name="_Toc13103"/>
      <w:bookmarkStart w:id="703" w:name="_Toc4623"/>
      <w:bookmarkStart w:id="704" w:name="_Toc6201"/>
      <w:bookmarkStart w:id="705" w:name="_Toc11820"/>
      <w:bookmarkStart w:id="706" w:name="_Toc3208"/>
      <w:bookmarkStart w:id="707" w:name="_Toc277084871"/>
      <w:bookmarkStart w:id="708" w:name="_Toc13511"/>
      <w:bookmarkStart w:id="709" w:name="_Toc106030415"/>
      <w:bookmarkStart w:id="710" w:name="_Toc10851"/>
      <w:bookmarkStart w:id="711" w:name="_Toc10958"/>
      <w:bookmarkStart w:id="712" w:name="_Toc24031"/>
      <w:r>
        <w:rPr>
          <w:rFonts w:hint="eastAsia" w:ascii="方正仿宋_GBK" w:eastAsia="方正仿宋_GBK"/>
          <w:b/>
          <w:sz w:val="24"/>
          <w:highlight w:val="none"/>
        </w:rPr>
        <w:t>一、合同主要条款</w:t>
      </w:r>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p>
    <w:p w14:paraId="570DDCF2"/>
    <w:p w14:paraId="296CA601"/>
    <w:p w14:paraId="3623DFC7"/>
    <w:p w14:paraId="1077D9E8">
      <w:pPr>
        <w:pStyle w:val="29"/>
      </w:pPr>
    </w:p>
    <w:p w14:paraId="4E2266E7"/>
    <w:p w14:paraId="06FE75FE">
      <w:pPr>
        <w:pStyle w:val="29"/>
      </w:pPr>
    </w:p>
    <w:p w14:paraId="6DF4EFE1"/>
    <w:p w14:paraId="52E945BA">
      <w:pPr>
        <w:pStyle w:val="29"/>
      </w:pPr>
    </w:p>
    <w:p w14:paraId="20239706"/>
    <w:p w14:paraId="6F65C76F">
      <w:pPr>
        <w:pStyle w:val="29"/>
      </w:pPr>
    </w:p>
    <w:p w14:paraId="4CD0819F"/>
    <w:p w14:paraId="412FB21C">
      <w:pPr>
        <w:pStyle w:val="29"/>
      </w:pPr>
    </w:p>
    <w:p w14:paraId="15947657"/>
    <w:p w14:paraId="663EA6CF">
      <w:pPr>
        <w:pStyle w:val="29"/>
      </w:pPr>
    </w:p>
    <w:p w14:paraId="7520ED9A"/>
    <w:p w14:paraId="4BF0A49C">
      <w:pPr>
        <w:pStyle w:val="29"/>
      </w:pPr>
    </w:p>
    <w:p w14:paraId="07CB3B49"/>
    <w:p w14:paraId="0E110437">
      <w:pPr>
        <w:pStyle w:val="29"/>
      </w:pPr>
    </w:p>
    <w:p w14:paraId="7A5EDED4"/>
    <w:p w14:paraId="71EC3E3C">
      <w:pPr>
        <w:pStyle w:val="29"/>
      </w:pPr>
    </w:p>
    <w:p w14:paraId="2677E6CF"/>
    <w:p w14:paraId="62BFB21A">
      <w:pPr>
        <w:pStyle w:val="29"/>
      </w:pPr>
    </w:p>
    <w:p w14:paraId="2ED46454"/>
    <w:p w14:paraId="2DB48D48">
      <w:pPr>
        <w:pStyle w:val="29"/>
      </w:pPr>
    </w:p>
    <w:p w14:paraId="55D61272"/>
    <w:p w14:paraId="4C332712">
      <w:pPr>
        <w:pStyle w:val="29"/>
      </w:pPr>
    </w:p>
    <w:p w14:paraId="0E8791E3"/>
    <w:p w14:paraId="5CAF77E9">
      <w:pPr>
        <w:pStyle w:val="29"/>
      </w:pPr>
    </w:p>
    <w:p w14:paraId="5861F370"/>
    <w:p w14:paraId="3EA0B872">
      <w:pPr>
        <w:pStyle w:val="29"/>
      </w:pPr>
    </w:p>
    <w:p w14:paraId="1E8667D1"/>
    <w:p w14:paraId="0E7EA3D9">
      <w:pPr>
        <w:pStyle w:val="29"/>
      </w:pPr>
    </w:p>
    <w:p w14:paraId="4FBA1CC5"/>
    <w:p w14:paraId="37E50ADC">
      <w:pPr>
        <w:pStyle w:val="29"/>
      </w:pPr>
    </w:p>
    <w:p w14:paraId="7F1E9F7F"/>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p w14:paraId="7571EA77">
      <w:pPr>
        <w:pStyle w:val="2"/>
        <w:spacing w:before="0" w:beforeLines="0" w:after="0" w:afterLines="0" w:line="360" w:lineRule="auto"/>
        <w:jc w:val="both"/>
        <w:rPr>
          <w:rFonts w:hint="eastAsia" w:ascii="方正仿宋_GBK" w:eastAsia="方正仿宋_GBK"/>
          <w:b/>
          <w:highlight w:val="none"/>
          <w:u w:val="none" w:color="auto"/>
        </w:rPr>
      </w:pPr>
      <w:bookmarkStart w:id="713" w:name="招标文件05章工程量清单"/>
      <w:bookmarkEnd w:id="713"/>
      <w:bookmarkStart w:id="714" w:name="_Toc1198"/>
      <w:bookmarkStart w:id="715" w:name="_Toc106030416"/>
      <w:bookmarkStart w:id="716" w:name="_Toc12863"/>
      <w:bookmarkStart w:id="717" w:name="_Toc8818"/>
      <w:bookmarkStart w:id="718" w:name="_Toc6992"/>
      <w:bookmarkStart w:id="719" w:name="_Toc12202"/>
      <w:bookmarkStart w:id="720" w:name="_Toc75793539"/>
      <w:bookmarkStart w:id="721" w:name="_Toc19519"/>
      <w:bookmarkStart w:id="722" w:name="_Toc14019"/>
      <w:bookmarkStart w:id="723" w:name="_Toc8114"/>
      <w:bookmarkStart w:id="724" w:name="_Toc16203"/>
      <w:bookmarkStart w:id="725" w:name="_Toc31517"/>
      <w:bookmarkStart w:id="726" w:name="_Toc13509"/>
      <w:bookmarkStart w:id="727" w:name="_Toc22748"/>
      <w:bookmarkStart w:id="728" w:name="_Toc25727"/>
      <w:bookmarkStart w:id="729" w:name="_Toc8132"/>
      <w:bookmarkStart w:id="730" w:name="_Toc9843"/>
      <w:bookmarkStart w:id="731" w:name="_Toc20425"/>
      <w:bookmarkStart w:id="732" w:name="_Toc895713247"/>
      <w:bookmarkStart w:id="733" w:name="_Toc14325"/>
    </w:p>
    <w:p w14:paraId="472F8FF8">
      <w:pPr>
        <w:pStyle w:val="2"/>
        <w:spacing w:before="0" w:beforeLines="0" w:after="0" w:afterLines="0" w:line="360" w:lineRule="auto"/>
        <w:rPr>
          <w:rFonts w:hint="eastAsia" w:ascii="方正仿宋_GBK" w:eastAsia="方正仿宋_GBK"/>
          <w:b/>
          <w:highlight w:val="none"/>
          <w:u w:val="none" w:color="auto"/>
        </w:rPr>
      </w:pPr>
      <w:r>
        <w:rPr>
          <w:rFonts w:hint="eastAsia" w:ascii="方正仿宋_GBK" w:eastAsia="方正仿宋_GBK"/>
          <w:b/>
          <w:highlight w:val="none"/>
          <w:u w:val="none" w:color="auto"/>
        </w:rPr>
        <w:t xml:space="preserve">第七篇  </w:t>
      </w:r>
      <w:r>
        <w:rPr>
          <w:rFonts w:hint="eastAsia" w:ascii="方正仿宋_GBK" w:eastAsia="方正仿宋_GBK"/>
          <w:b/>
          <w:highlight w:val="none"/>
          <w:u w:val="none" w:color="auto"/>
          <w:lang w:eastAsia="zh-CN"/>
        </w:rPr>
        <w:t>电子</w:t>
      </w:r>
      <w:r>
        <w:rPr>
          <w:rFonts w:hint="eastAsia" w:ascii="方正仿宋_GBK" w:eastAsia="方正仿宋_GBK"/>
          <w:b/>
          <w:highlight w:val="none"/>
          <w:u w:val="none" w:color="auto"/>
        </w:rPr>
        <w:t>投标文件格式</w:t>
      </w:r>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p>
    <w:p w14:paraId="7D3F1986">
      <w:pPr>
        <w:snapToGrid w:val="0"/>
        <w:spacing w:line="400" w:lineRule="exact"/>
        <w:ind w:firstLine="482" w:firstLineChars="200"/>
        <w:rPr>
          <w:rFonts w:hint="eastAsia" w:ascii="方正仿宋_GBK" w:hAnsi="仿宋" w:eastAsia="方正仿宋_GBK"/>
          <w:b/>
          <w:sz w:val="24"/>
          <w:szCs w:val="24"/>
          <w:highlight w:val="none"/>
          <w:u w:val="none" w:color="auto"/>
        </w:rPr>
      </w:pPr>
      <w:r>
        <w:rPr>
          <w:rFonts w:hint="eastAsia" w:ascii="方正仿宋_GBK" w:hAnsi="仿宋" w:eastAsia="方正仿宋_GBK"/>
          <w:b/>
          <w:sz w:val="24"/>
          <w:szCs w:val="24"/>
          <w:highlight w:val="none"/>
          <w:u w:val="none" w:color="auto"/>
        </w:rPr>
        <w:t>一、经济文件</w:t>
      </w:r>
    </w:p>
    <w:p w14:paraId="17DCE18A">
      <w:pPr>
        <w:snapToGrid w:val="0"/>
        <w:spacing w:line="400" w:lineRule="exact"/>
        <w:ind w:firstLine="480" w:firstLineChars="200"/>
        <w:rPr>
          <w:rFonts w:hint="eastAsia" w:ascii="方正仿宋_GBK" w:hAnsi="仿宋" w:eastAsia="方正仿宋_GBK"/>
          <w:sz w:val="24"/>
          <w:szCs w:val="24"/>
          <w:highlight w:val="none"/>
          <w:u w:val="none" w:color="auto"/>
        </w:rPr>
      </w:pPr>
      <w:r>
        <w:rPr>
          <w:rFonts w:hint="eastAsia" w:ascii="方正仿宋_GBK" w:hAnsi="仿宋" w:eastAsia="方正仿宋_GBK"/>
          <w:sz w:val="24"/>
          <w:szCs w:val="24"/>
          <w:highlight w:val="none"/>
          <w:u w:val="none" w:color="auto"/>
        </w:rPr>
        <w:t>（一）开标一览表</w:t>
      </w:r>
    </w:p>
    <w:p w14:paraId="422C7B96">
      <w:pPr>
        <w:snapToGrid w:val="0"/>
        <w:spacing w:line="400" w:lineRule="exact"/>
        <w:ind w:firstLine="480" w:firstLineChars="200"/>
        <w:rPr>
          <w:rFonts w:hint="eastAsia" w:ascii="方正仿宋_GBK" w:hAnsi="仿宋" w:eastAsia="方正仿宋_GBK"/>
          <w:color w:val="auto"/>
          <w:sz w:val="24"/>
          <w:szCs w:val="24"/>
        </w:rPr>
      </w:pPr>
      <w:r>
        <w:rPr>
          <w:rFonts w:hint="eastAsia" w:ascii="方正仿宋_GBK" w:hAnsi="仿宋" w:eastAsia="方正仿宋_GBK"/>
          <w:color w:val="auto"/>
          <w:sz w:val="24"/>
          <w:szCs w:val="24"/>
        </w:rPr>
        <w:t>（二）货物信息报价表</w:t>
      </w:r>
    </w:p>
    <w:p w14:paraId="7F5A33D0">
      <w:pPr>
        <w:snapToGrid w:val="0"/>
        <w:spacing w:line="400" w:lineRule="exact"/>
        <w:ind w:firstLine="482" w:firstLineChars="200"/>
        <w:rPr>
          <w:rFonts w:hint="eastAsia" w:ascii="方正仿宋_GBK" w:hAnsi="仿宋" w:eastAsia="方正仿宋_GBK"/>
          <w:b/>
          <w:sz w:val="24"/>
          <w:szCs w:val="24"/>
          <w:highlight w:val="none"/>
          <w:u w:val="none" w:color="auto"/>
        </w:rPr>
      </w:pPr>
      <w:r>
        <w:rPr>
          <w:rFonts w:hint="eastAsia" w:ascii="方正仿宋_GBK" w:hAnsi="仿宋" w:eastAsia="方正仿宋_GBK"/>
          <w:b/>
          <w:sz w:val="24"/>
          <w:szCs w:val="24"/>
          <w:highlight w:val="none"/>
          <w:u w:val="none" w:color="auto"/>
        </w:rPr>
        <w:t>二、技术（质量）文件</w:t>
      </w:r>
    </w:p>
    <w:p w14:paraId="613D3358">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（一）</w:t>
      </w:r>
      <w:r>
        <w:rPr>
          <w:rFonts w:hint="eastAsia" w:ascii="方正仿宋_GBK" w:hAnsi="宋体" w:eastAsia="方正仿宋_GBK"/>
          <w:sz w:val="24"/>
          <w:szCs w:val="28"/>
          <w:highlight w:val="none"/>
          <w:u w:val="none" w:color="auto"/>
        </w:rPr>
        <w:t>技术（质量）条款差异表</w:t>
      </w:r>
    </w:p>
    <w:p w14:paraId="70E37144">
      <w:pPr>
        <w:snapToGrid w:val="0"/>
        <w:spacing w:line="400" w:lineRule="exact"/>
        <w:ind w:firstLine="480" w:firstLineChars="200"/>
        <w:rPr>
          <w:rFonts w:hint="eastAsia" w:ascii="方正仿宋_GBK" w:hAnsi="仿宋" w:eastAsia="方正仿宋_GBK"/>
          <w:sz w:val="24"/>
          <w:szCs w:val="24"/>
          <w:highlight w:val="none"/>
          <w:u w:val="none" w:color="auto"/>
        </w:rPr>
      </w:pPr>
      <w:r>
        <w:rPr>
          <w:rFonts w:hint="eastAsia" w:ascii="方正仿宋_GBK" w:hAnsi="宋体" w:eastAsia="方正仿宋_GBK"/>
          <w:sz w:val="24"/>
          <w:szCs w:val="24"/>
          <w:highlight w:val="none"/>
          <w:u w:val="none" w:color="auto"/>
        </w:rPr>
        <w:t>（二）</w:t>
      </w:r>
      <w:r>
        <w:rPr>
          <w:rFonts w:hint="eastAsia" w:ascii="方正仿宋_GBK" w:hAnsi="宋体" w:eastAsia="方正仿宋_GBK"/>
          <w:sz w:val="24"/>
          <w:szCs w:val="28"/>
          <w:highlight w:val="none"/>
          <w:u w:val="none" w:color="auto"/>
        </w:rPr>
        <w:t>其他技术（质量）资料</w:t>
      </w:r>
    </w:p>
    <w:p w14:paraId="6B0BE3CF">
      <w:pPr>
        <w:snapToGrid w:val="0"/>
        <w:spacing w:line="400" w:lineRule="exact"/>
        <w:ind w:firstLine="482" w:firstLineChars="200"/>
        <w:rPr>
          <w:rFonts w:hint="eastAsia" w:ascii="方正仿宋_GBK" w:hAnsi="仿宋" w:eastAsia="方正仿宋_GBK"/>
          <w:b/>
          <w:sz w:val="24"/>
          <w:szCs w:val="24"/>
          <w:highlight w:val="none"/>
          <w:u w:val="none" w:color="auto"/>
        </w:rPr>
      </w:pPr>
      <w:r>
        <w:rPr>
          <w:rFonts w:hint="eastAsia" w:ascii="方正仿宋_GBK" w:hAnsi="仿宋" w:eastAsia="方正仿宋_GBK"/>
          <w:b/>
          <w:sz w:val="24"/>
          <w:szCs w:val="24"/>
          <w:highlight w:val="none"/>
          <w:u w:val="none" w:color="auto"/>
        </w:rPr>
        <w:t>三、商务文件</w:t>
      </w:r>
    </w:p>
    <w:p w14:paraId="6B2E3D57">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（一）投标函（格式）</w:t>
      </w:r>
    </w:p>
    <w:p w14:paraId="37A42065">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（二）商务条款差异表</w:t>
      </w:r>
    </w:p>
    <w:p w14:paraId="519FFF9F">
      <w:pPr>
        <w:snapToGrid w:val="0"/>
        <w:spacing w:line="400" w:lineRule="exact"/>
        <w:ind w:firstLine="480" w:firstLineChars="200"/>
        <w:rPr>
          <w:rFonts w:hint="eastAsia" w:ascii="方正仿宋_GBK" w:hAnsi="仿宋" w:eastAsia="方正仿宋_GBK"/>
          <w:sz w:val="24"/>
          <w:szCs w:val="24"/>
          <w:highlight w:val="none"/>
          <w:u w:val="none" w:color="auto"/>
        </w:rPr>
      </w:pPr>
      <w:r>
        <w:rPr>
          <w:rFonts w:hint="eastAsia" w:ascii="方正仿宋_GBK" w:hAnsi="宋体" w:eastAsia="方正仿宋_GBK"/>
          <w:sz w:val="24"/>
          <w:szCs w:val="24"/>
          <w:highlight w:val="none"/>
          <w:u w:val="none" w:color="auto"/>
        </w:rPr>
        <w:t>（三）其他商务资料</w:t>
      </w:r>
    </w:p>
    <w:p w14:paraId="05A83B44">
      <w:pPr>
        <w:tabs>
          <w:tab w:val="left" w:pos="1764"/>
        </w:tabs>
        <w:snapToGrid w:val="0"/>
        <w:spacing w:line="400" w:lineRule="exact"/>
        <w:ind w:firstLine="482" w:firstLineChars="200"/>
        <w:rPr>
          <w:rFonts w:hint="eastAsia" w:ascii="方正仿宋_GBK" w:hAnsi="仿宋" w:eastAsia="方正仿宋_GBK"/>
          <w:b/>
          <w:sz w:val="24"/>
          <w:szCs w:val="24"/>
          <w:highlight w:val="none"/>
          <w:u w:val="none" w:color="auto"/>
        </w:rPr>
      </w:pPr>
      <w:r>
        <w:rPr>
          <w:rFonts w:hint="eastAsia" w:ascii="方正仿宋_GBK" w:hAnsi="仿宋" w:eastAsia="方正仿宋_GBK"/>
          <w:b/>
          <w:sz w:val="24"/>
          <w:szCs w:val="24"/>
          <w:highlight w:val="none"/>
          <w:u w:val="none" w:color="auto"/>
        </w:rPr>
        <w:t>四、其他</w:t>
      </w:r>
    </w:p>
    <w:p w14:paraId="6B9D1542">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（一）其他与项目有关的资料（自附）</w:t>
      </w:r>
    </w:p>
    <w:p w14:paraId="3F810813">
      <w:pPr>
        <w:snapToGrid w:val="0"/>
        <w:spacing w:line="400" w:lineRule="exact"/>
        <w:ind w:firstLine="482" w:firstLineChars="200"/>
        <w:rPr>
          <w:rFonts w:hint="eastAsia" w:ascii="方正仿宋_GBK" w:hAnsi="仿宋" w:eastAsia="方正仿宋_GBK"/>
          <w:b/>
          <w:sz w:val="24"/>
          <w:szCs w:val="24"/>
          <w:highlight w:val="none"/>
          <w:u w:val="none" w:color="auto"/>
        </w:rPr>
      </w:pPr>
      <w:r>
        <w:rPr>
          <w:rFonts w:hint="eastAsia" w:ascii="方正仿宋_GBK" w:hAnsi="仿宋" w:eastAsia="方正仿宋_GBK"/>
          <w:b/>
          <w:sz w:val="24"/>
          <w:szCs w:val="24"/>
          <w:highlight w:val="none"/>
          <w:u w:val="none" w:color="auto"/>
        </w:rPr>
        <w:t>五、资格文件</w:t>
      </w:r>
    </w:p>
    <w:p w14:paraId="068DE828">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（一）法人营业执照（副本）或事业单位法人证书（副本）或个体工商户营业执照或有效的自然人身份证明或社会团体法人登记证书复印件</w:t>
      </w:r>
    </w:p>
    <w:p w14:paraId="05C32D9A">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（二）法定代表人身份证明书（格式）</w:t>
      </w:r>
    </w:p>
    <w:p w14:paraId="7FDC339A">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（三）法定代表人授权委托书（格式）</w:t>
      </w:r>
    </w:p>
    <w:p w14:paraId="4C29E992">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（四）基本资格条件承诺函（格式）</w:t>
      </w:r>
    </w:p>
    <w:p w14:paraId="08C28EED">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（五）特定资格条件证书或证明文件</w:t>
      </w:r>
    </w:p>
    <w:p w14:paraId="3D3B145B">
      <w:pPr>
        <w:snapToGrid w:val="0"/>
        <w:spacing w:line="400" w:lineRule="exact"/>
        <w:ind w:firstLine="480" w:firstLineChars="200"/>
        <w:rPr>
          <w:rFonts w:hint="eastAsia" w:ascii="方正仿宋_GBK" w:hAnsi="宋体" w:eastAsia="方正仿宋_GBK" w:cs="Times New Roman"/>
          <w:sz w:val="24"/>
          <w:szCs w:val="24"/>
          <w:highlight w:val="none"/>
          <w:u w:val="none" w:color="auto"/>
        </w:rPr>
      </w:pPr>
      <w:r>
        <w:rPr>
          <w:rFonts w:hint="eastAsia" w:ascii="方正仿宋_GBK" w:hAnsi="宋体" w:eastAsia="方正仿宋_GBK"/>
          <w:sz w:val="24"/>
          <w:szCs w:val="24"/>
          <w:highlight w:val="none"/>
          <w:u w:val="none" w:color="auto"/>
        </w:rPr>
        <w:t>（</w:t>
      </w:r>
      <w:r>
        <w:rPr>
          <w:rFonts w:hint="eastAsia" w:ascii="方正仿宋_GBK" w:hAnsi="宋体" w:eastAsia="方正仿宋_GBK"/>
          <w:sz w:val="24"/>
          <w:szCs w:val="24"/>
          <w:highlight w:val="none"/>
          <w:u w:val="none" w:color="auto"/>
          <w:lang w:val="en-US" w:eastAsia="zh-CN"/>
        </w:rPr>
        <w:t>六</w:t>
      </w:r>
      <w:r>
        <w:rPr>
          <w:rFonts w:hint="eastAsia" w:ascii="方正仿宋_GBK" w:hAnsi="宋体" w:eastAsia="方正仿宋_GBK"/>
          <w:sz w:val="24"/>
          <w:szCs w:val="24"/>
          <w:highlight w:val="none"/>
          <w:u w:val="none" w:color="auto"/>
        </w:rPr>
        <w:t>）</w:t>
      </w:r>
      <w:r>
        <w:rPr>
          <w:rFonts w:hint="eastAsia" w:ascii="方正仿宋_GBK" w:hAnsi="宋体" w:eastAsia="方正仿宋_GBK" w:cs="Times New Roman"/>
          <w:sz w:val="24"/>
          <w:szCs w:val="24"/>
          <w:highlight w:val="none"/>
          <w:u w:val="none" w:color="auto"/>
        </w:rPr>
        <w:t>投标</w:t>
      </w:r>
      <w:r>
        <w:rPr>
          <w:rFonts w:hint="eastAsia" w:ascii="方正仿宋_GBK" w:hAnsi="宋体" w:eastAsia="方正仿宋_GBK" w:cs="Times New Roman"/>
          <w:sz w:val="24"/>
          <w:szCs w:val="24"/>
          <w:highlight w:val="none"/>
          <w:u w:val="none" w:color="auto"/>
          <w:lang w:val="en-US" w:eastAsia="zh-CN"/>
        </w:rPr>
        <w:t>人</w:t>
      </w:r>
      <w:r>
        <w:rPr>
          <w:rFonts w:hint="eastAsia" w:ascii="方正仿宋_GBK" w:hAnsi="宋体" w:eastAsia="方正仿宋_GBK" w:cs="Times New Roman"/>
          <w:sz w:val="24"/>
          <w:szCs w:val="24"/>
          <w:highlight w:val="none"/>
          <w:u w:val="none" w:color="auto"/>
        </w:rPr>
        <w:t>对公账户开户银行许可证或基本存款账户信息（账户与缴纳保证金的账户一致）复印件加盖鲜章；缴纳保证金的凭证复印件加盖鲜章。</w:t>
      </w:r>
    </w:p>
    <w:p w14:paraId="2246CA6B">
      <w:pPr>
        <w:snapToGrid w:val="0"/>
        <w:spacing w:line="400" w:lineRule="exact"/>
        <w:ind w:firstLine="480" w:firstLineChars="200"/>
        <w:rPr>
          <w:rFonts w:hint="eastAsia" w:ascii="方正仿宋_GBK" w:hAnsi="宋体" w:eastAsia="方正仿宋_GBK"/>
          <w:sz w:val="24"/>
          <w:szCs w:val="24"/>
          <w:highlight w:val="none"/>
          <w:u w:val="none" w:color="auto"/>
        </w:rPr>
      </w:pPr>
    </w:p>
    <w:p w14:paraId="348C650B">
      <w:pPr>
        <w:pStyle w:val="3"/>
        <w:pageBreakBefore/>
        <w:spacing w:line="500" w:lineRule="exact"/>
        <w:ind w:firstLine="562" w:firstLineChars="200"/>
        <w:rPr>
          <w:rFonts w:hint="eastAsia" w:ascii="方正仿宋_GBK" w:hAnsi="仿宋" w:eastAsia="方正仿宋_GBK"/>
          <w:b/>
          <w:szCs w:val="28"/>
          <w:highlight w:val="none"/>
          <w:u w:val="none" w:color="auto"/>
        </w:rPr>
      </w:pPr>
      <w:bookmarkStart w:id="734" w:name="_Toc22899"/>
      <w:bookmarkStart w:id="735" w:name="_Toc29821"/>
      <w:bookmarkStart w:id="736" w:name="_Toc15893"/>
      <w:bookmarkStart w:id="737" w:name="_Toc28601"/>
      <w:bookmarkStart w:id="738" w:name="_Toc18349"/>
      <w:bookmarkStart w:id="739" w:name="_Toc21561"/>
      <w:bookmarkStart w:id="740" w:name="_Toc23361"/>
      <w:bookmarkStart w:id="741" w:name="_Toc27612"/>
      <w:bookmarkStart w:id="742" w:name="_Toc31914"/>
      <w:bookmarkStart w:id="743" w:name="_Toc429584884"/>
      <w:bookmarkStart w:id="744" w:name="_Toc27943"/>
      <w:bookmarkStart w:id="745" w:name="_Toc14568"/>
      <w:bookmarkStart w:id="746" w:name="_Toc25659"/>
      <w:bookmarkStart w:id="747" w:name="_Toc106030417"/>
      <w:bookmarkStart w:id="748" w:name="_Toc805438611"/>
      <w:bookmarkStart w:id="749" w:name="_Toc14552"/>
      <w:bookmarkStart w:id="750" w:name="_Toc10124"/>
      <w:bookmarkStart w:id="751" w:name="_Toc75793540"/>
      <w:bookmarkStart w:id="752" w:name="_Toc13547"/>
      <w:bookmarkStart w:id="753" w:name="_Toc6491"/>
      <w:bookmarkStart w:id="754" w:name="_Toc31828"/>
      <w:r>
        <w:rPr>
          <w:rFonts w:hint="eastAsia" w:ascii="方正仿宋_GBK" w:hAnsi="仿宋" w:eastAsia="方正仿宋_GBK"/>
          <w:b/>
          <w:szCs w:val="28"/>
          <w:highlight w:val="none"/>
          <w:u w:val="none" w:color="auto"/>
        </w:rPr>
        <w:t>一、经济文件</w:t>
      </w:r>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p>
    <w:p w14:paraId="0CB03B4B">
      <w:pPr>
        <w:snapToGrid w:val="0"/>
        <w:spacing w:line="500" w:lineRule="exact"/>
        <w:jc w:val="center"/>
        <w:rPr>
          <w:rFonts w:hint="eastAsia" w:ascii="方正仿宋_GBK" w:hAnsi="宋体" w:eastAsia="方正仿宋_GBK"/>
          <w:szCs w:val="36"/>
          <w:highlight w:val="none"/>
          <w:u w:val="none" w:color="auto"/>
        </w:rPr>
      </w:pPr>
      <w:r>
        <w:rPr>
          <w:rFonts w:hint="eastAsia" w:ascii="方正仿宋_GBK" w:hAnsi="宋体" w:eastAsia="方正仿宋_GBK"/>
          <w:szCs w:val="36"/>
          <w:highlight w:val="none"/>
          <w:u w:val="none" w:color="auto"/>
        </w:rPr>
        <w:t>（一）开标一览表</w:t>
      </w:r>
    </w:p>
    <w:p w14:paraId="180291F9">
      <w:pPr>
        <w:snapToGrid w:val="0"/>
        <w:spacing w:line="4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项目号：</w:t>
      </w:r>
    </w:p>
    <w:p w14:paraId="475BC7D4">
      <w:pPr>
        <w:snapToGrid w:val="0"/>
        <w:spacing w:line="4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招标项目名称：</w:t>
      </w:r>
    </w:p>
    <w:tbl>
      <w:tblPr>
        <w:tblStyle w:val="60"/>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8"/>
        <w:gridCol w:w="2148"/>
        <w:gridCol w:w="932"/>
        <w:gridCol w:w="4760"/>
      </w:tblGrid>
      <w:tr w14:paraId="4749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0" w:hRule="atLeast"/>
        </w:trPr>
        <w:tc>
          <w:tcPr>
            <w:tcW w:w="1788" w:type="dxa"/>
            <w:noWrap w:val="0"/>
            <w:vAlign w:val="center"/>
          </w:tcPr>
          <w:p w14:paraId="58F03CAF">
            <w:pPr>
              <w:spacing w:line="500" w:lineRule="exact"/>
              <w:jc w:val="center"/>
              <w:rPr>
                <w:rFonts w:hint="eastAsia" w:ascii="方正仿宋_GBK" w:hAnsi="宋体" w:eastAsia="方正仿宋_GBK"/>
                <w:sz w:val="21"/>
                <w:szCs w:val="28"/>
                <w:highlight w:val="none"/>
                <w:u w:val="none" w:color="auto"/>
              </w:rPr>
            </w:pPr>
            <w:r>
              <w:rPr>
                <w:rFonts w:hint="eastAsia" w:ascii="方正仿宋_GBK" w:hAnsi="宋体" w:eastAsia="方正仿宋_GBK"/>
                <w:sz w:val="21"/>
                <w:szCs w:val="28"/>
                <w:highlight w:val="none"/>
                <w:u w:val="none" w:color="auto"/>
              </w:rPr>
              <w:t>投标人名称</w:t>
            </w:r>
          </w:p>
        </w:tc>
        <w:tc>
          <w:tcPr>
            <w:tcW w:w="7840" w:type="dxa"/>
            <w:gridSpan w:val="3"/>
            <w:noWrap w:val="0"/>
            <w:vAlign w:val="center"/>
          </w:tcPr>
          <w:p w14:paraId="43AD6B2D">
            <w:pPr>
              <w:spacing w:line="500" w:lineRule="exact"/>
              <w:jc w:val="center"/>
              <w:rPr>
                <w:rFonts w:hint="eastAsia" w:ascii="方正仿宋_GBK" w:hAnsi="宋体" w:eastAsia="方正仿宋_GBK"/>
                <w:sz w:val="21"/>
                <w:szCs w:val="28"/>
                <w:highlight w:val="none"/>
                <w:u w:val="none" w:color="auto"/>
              </w:rPr>
            </w:pPr>
          </w:p>
        </w:tc>
      </w:tr>
      <w:tr w14:paraId="1E8CC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trPr>
        <w:tc>
          <w:tcPr>
            <w:tcW w:w="3936" w:type="dxa"/>
            <w:gridSpan w:val="2"/>
            <w:noWrap w:val="0"/>
            <w:vAlign w:val="center"/>
          </w:tcPr>
          <w:p w14:paraId="3764BFE2">
            <w:pPr>
              <w:spacing w:line="500" w:lineRule="exact"/>
              <w:jc w:val="center"/>
              <w:rPr>
                <w:rFonts w:hint="eastAsia" w:ascii="方正仿宋_GBK" w:hAnsi="宋体" w:eastAsia="方正仿宋_GBK"/>
                <w:sz w:val="21"/>
                <w:szCs w:val="28"/>
                <w:highlight w:val="none"/>
                <w:u w:val="none" w:color="auto"/>
              </w:rPr>
            </w:pPr>
            <w:r>
              <w:rPr>
                <w:rFonts w:hint="eastAsia" w:ascii="方正仿宋_GBK" w:hAnsi="宋体" w:eastAsia="方正仿宋_GBK"/>
                <w:sz w:val="21"/>
                <w:szCs w:val="28"/>
                <w:highlight w:val="none"/>
                <w:u w:val="none" w:color="auto"/>
                <w:lang w:val="en-US" w:eastAsia="zh-CN"/>
              </w:rPr>
              <w:t>项目</w:t>
            </w:r>
            <w:r>
              <w:rPr>
                <w:rFonts w:hint="eastAsia" w:ascii="方正仿宋_GBK" w:hAnsi="宋体" w:eastAsia="方正仿宋_GBK"/>
                <w:sz w:val="21"/>
                <w:szCs w:val="28"/>
                <w:highlight w:val="none"/>
                <w:u w:val="none" w:color="auto"/>
              </w:rPr>
              <w:t>名称</w:t>
            </w:r>
          </w:p>
        </w:tc>
        <w:tc>
          <w:tcPr>
            <w:tcW w:w="932" w:type="dxa"/>
            <w:noWrap w:val="0"/>
            <w:vAlign w:val="center"/>
          </w:tcPr>
          <w:p w14:paraId="799F8F57">
            <w:pPr>
              <w:spacing w:line="500" w:lineRule="exact"/>
              <w:jc w:val="center"/>
              <w:rPr>
                <w:rFonts w:hint="eastAsia" w:ascii="方正仿宋_GBK" w:hAnsi="宋体" w:eastAsia="方正仿宋_GBK"/>
                <w:sz w:val="21"/>
                <w:szCs w:val="28"/>
                <w:highlight w:val="none"/>
                <w:u w:val="none" w:color="auto"/>
              </w:rPr>
            </w:pPr>
            <w:r>
              <w:rPr>
                <w:rFonts w:hint="eastAsia" w:ascii="方正仿宋_GBK" w:hAnsi="宋体" w:eastAsia="方正仿宋_GBK"/>
                <w:sz w:val="21"/>
                <w:szCs w:val="28"/>
                <w:highlight w:val="none"/>
                <w:u w:val="none" w:color="auto"/>
              </w:rPr>
              <w:t>数量</w:t>
            </w:r>
          </w:p>
        </w:tc>
        <w:tc>
          <w:tcPr>
            <w:tcW w:w="4760" w:type="dxa"/>
            <w:noWrap w:val="0"/>
            <w:vAlign w:val="center"/>
          </w:tcPr>
          <w:p w14:paraId="74945576">
            <w:pPr>
              <w:spacing w:line="500" w:lineRule="exact"/>
              <w:jc w:val="center"/>
              <w:rPr>
                <w:rFonts w:hint="eastAsia" w:ascii="方正仿宋_GBK" w:hAnsi="宋体" w:eastAsia="方正仿宋_GBK"/>
                <w:sz w:val="21"/>
                <w:szCs w:val="28"/>
                <w:highlight w:val="none"/>
                <w:u w:val="none" w:color="auto"/>
              </w:rPr>
            </w:pPr>
            <w:r>
              <w:rPr>
                <w:rFonts w:hint="eastAsia" w:ascii="方正仿宋_GBK" w:hAnsi="方正仿宋_GBK" w:eastAsia="方正仿宋_GBK"/>
                <w:sz w:val="21"/>
                <w:szCs w:val="28"/>
                <w:highlight w:val="none"/>
                <w:u w:val="none" w:color="auto"/>
              </w:rPr>
              <w:t>投标报价（小写）</w:t>
            </w:r>
          </w:p>
        </w:tc>
      </w:tr>
      <w:tr w14:paraId="5855C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trPr>
        <w:tc>
          <w:tcPr>
            <w:tcW w:w="3936" w:type="dxa"/>
            <w:gridSpan w:val="2"/>
            <w:tcBorders>
              <w:bottom w:val="single" w:color="auto" w:sz="4" w:space="0"/>
            </w:tcBorders>
            <w:noWrap w:val="0"/>
            <w:vAlign w:val="center"/>
          </w:tcPr>
          <w:p w14:paraId="5C6564B8">
            <w:pPr>
              <w:spacing w:line="500" w:lineRule="exact"/>
              <w:rPr>
                <w:rFonts w:hint="eastAsia" w:ascii="方正仿宋_GBK" w:hAnsi="宋体" w:eastAsia="方正仿宋_GBK"/>
                <w:sz w:val="21"/>
                <w:szCs w:val="28"/>
                <w:highlight w:val="none"/>
                <w:u w:val="none" w:color="auto"/>
              </w:rPr>
            </w:pPr>
          </w:p>
        </w:tc>
        <w:tc>
          <w:tcPr>
            <w:tcW w:w="932" w:type="dxa"/>
            <w:tcBorders>
              <w:bottom w:val="single" w:color="auto" w:sz="4" w:space="0"/>
            </w:tcBorders>
            <w:noWrap w:val="0"/>
            <w:vAlign w:val="top"/>
          </w:tcPr>
          <w:p w14:paraId="535A4BB2">
            <w:pPr>
              <w:spacing w:line="500" w:lineRule="exact"/>
              <w:rPr>
                <w:rFonts w:hint="eastAsia" w:ascii="方正仿宋_GBK" w:hAnsi="宋体" w:eastAsia="方正仿宋_GBK"/>
                <w:sz w:val="21"/>
                <w:szCs w:val="28"/>
                <w:highlight w:val="none"/>
                <w:u w:val="none" w:color="auto"/>
              </w:rPr>
            </w:pPr>
          </w:p>
        </w:tc>
        <w:tc>
          <w:tcPr>
            <w:tcW w:w="4760" w:type="dxa"/>
            <w:tcBorders>
              <w:bottom w:val="single" w:color="auto" w:sz="4" w:space="0"/>
            </w:tcBorders>
            <w:noWrap w:val="0"/>
            <w:vAlign w:val="top"/>
          </w:tcPr>
          <w:p w14:paraId="6EF1DC45">
            <w:pPr>
              <w:spacing w:line="500" w:lineRule="exact"/>
              <w:rPr>
                <w:rFonts w:hint="eastAsia" w:ascii="方正仿宋_GBK" w:hAnsi="宋体" w:eastAsia="方正仿宋_GBK"/>
                <w:sz w:val="21"/>
                <w:szCs w:val="28"/>
                <w:highlight w:val="none"/>
                <w:u w:val="none" w:color="auto"/>
              </w:rPr>
            </w:pPr>
          </w:p>
        </w:tc>
      </w:tr>
      <w:tr w14:paraId="31E6F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trPr>
        <w:tc>
          <w:tcPr>
            <w:tcW w:w="9628" w:type="dxa"/>
            <w:gridSpan w:val="4"/>
            <w:tcBorders>
              <w:bottom w:val="single" w:color="auto" w:sz="4" w:space="0"/>
            </w:tcBorders>
            <w:noWrap w:val="0"/>
            <w:vAlign w:val="center"/>
          </w:tcPr>
          <w:p w14:paraId="5D0418B8">
            <w:pPr>
              <w:spacing w:line="560" w:lineRule="exact"/>
              <w:rPr>
                <w:rFonts w:hint="eastAsia" w:ascii="方正仿宋_GBK" w:hAnsi="宋体" w:eastAsia="方正仿宋_GBK"/>
                <w:sz w:val="21"/>
                <w:szCs w:val="28"/>
                <w:highlight w:val="none"/>
                <w:u w:val="none" w:color="auto"/>
              </w:rPr>
            </w:pPr>
            <w:r>
              <w:rPr>
                <w:rFonts w:hint="eastAsia" w:ascii="方正仿宋_GBK" w:hAnsi="宋体" w:eastAsia="方正仿宋_GBK"/>
                <w:sz w:val="21"/>
                <w:szCs w:val="28"/>
                <w:highlight w:val="none"/>
                <w:u w:val="none" w:color="auto"/>
              </w:rPr>
              <w:t xml:space="preserve">投标报价（大写）：                           </w:t>
            </w:r>
          </w:p>
        </w:tc>
      </w:tr>
      <w:tr w14:paraId="330D5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trPr>
        <w:tc>
          <w:tcPr>
            <w:tcW w:w="9628" w:type="dxa"/>
            <w:gridSpan w:val="4"/>
            <w:noWrap w:val="0"/>
            <w:vAlign w:val="center"/>
          </w:tcPr>
          <w:p w14:paraId="24443541">
            <w:pPr>
              <w:pStyle w:val="34"/>
              <w:spacing w:line="500" w:lineRule="exact"/>
              <w:rPr>
                <w:rFonts w:hint="eastAsia" w:ascii="方正仿宋_GBK" w:hAnsi="宋体" w:eastAsia="方正仿宋_GBK"/>
                <w:sz w:val="21"/>
                <w:szCs w:val="28"/>
                <w:highlight w:val="none"/>
                <w:u w:val="none" w:color="auto"/>
              </w:rPr>
            </w:pPr>
            <w:r>
              <w:rPr>
                <w:rFonts w:hint="eastAsia" w:ascii="方正仿宋_GBK" w:hAnsi="仿宋" w:eastAsia="方正仿宋_GBK"/>
                <w:sz w:val="21"/>
                <w:szCs w:val="28"/>
                <w:highlight w:val="none"/>
                <w:u w:val="none" w:color="auto"/>
              </w:rPr>
              <w:t>备注：</w:t>
            </w:r>
          </w:p>
        </w:tc>
      </w:tr>
    </w:tbl>
    <w:p w14:paraId="308590A3">
      <w:pPr>
        <w:pStyle w:val="34"/>
        <w:spacing w:line="500" w:lineRule="exact"/>
        <w:rPr>
          <w:rFonts w:hint="eastAsia" w:ascii="方正仿宋_GBK" w:hAnsi="宋体" w:eastAsia="方正仿宋_GBK"/>
          <w:sz w:val="24"/>
          <w:szCs w:val="28"/>
          <w:highlight w:val="none"/>
          <w:u w:val="none" w:color="auto"/>
        </w:rPr>
      </w:pPr>
    </w:p>
    <w:p w14:paraId="499E67B0">
      <w:pPr>
        <w:rPr>
          <w:rFonts w:hint="eastAsia" w:ascii="方正仿宋_GBK" w:eastAsia="方正仿宋_GBK"/>
          <w:highlight w:val="none"/>
          <w:u w:val="none" w:color="auto"/>
        </w:rPr>
      </w:pPr>
    </w:p>
    <w:p w14:paraId="0DD0D9BC">
      <w:pPr>
        <w:spacing w:line="500" w:lineRule="exact"/>
        <w:rPr>
          <w:rFonts w:hint="eastAsia" w:ascii="方正仿宋_GBK" w:hAnsi="宋体" w:eastAsia="方正仿宋_GBK"/>
          <w:sz w:val="24"/>
          <w:szCs w:val="28"/>
          <w:highlight w:val="none"/>
          <w:u w:val="none" w:color="auto"/>
        </w:rPr>
      </w:pPr>
    </w:p>
    <w:p w14:paraId="4FB04BB9">
      <w:pPr>
        <w:spacing w:line="5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投标人：                      法定代表人（或法定代表人授权代表）或自然人：</w:t>
      </w:r>
    </w:p>
    <w:p w14:paraId="06284076">
      <w:pPr>
        <w:spacing w:line="500" w:lineRule="exact"/>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 xml:space="preserve">  （投标人公章）                               （签署或盖章）</w:t>
      </w:r>
    </w:p>
    <w:p w14:paraId="1DF6658D">
      <w:pPr>
        <w:spacing w:line="500" w:lineRule="exact"/>
        <w:rPr>
          <w:rFonts w:hint="eastAsia" w:ascii="方正仿宋_GBK" w:hAnsi="宋体" w:eastAsia="方正仿宋_GBK"/>
          <w:sz w:val="24"/>
          <w:szCs w:val="28"/>
          <w:highlight w:val="none"/>
          <w:u w:val="none" w:color="auto"/>
        </w:rPr>
      </w:pPr>
    </w:p>
    <w:p w14:paraId="2DC835F7">
      <w:pPr>
        <w:spacing w:line="500" w:lineRule="exact"/>
        <w:rPr>
          <w:rFonts w:hint="eastAsia" w:ascii="方正仿宋_GBK" w:hAnsi="宋体" w:eastAsia="方正仿宋_GBK"/>
          <w:sz w:val="24"/>
          <w:szCs w:val="28"/>
          <w:highlight w:val="none"/>
          <w:u w:val="none" w:color="auto"/>
        </w:rPr>
      </w:pPr>
    </w:p>
    <w:p w14:paraId="19875FDE">
      <w:pPr>
        <w:spacing w:line="500" w:lineRule="exact"/>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 xml:space="preserve">                                            年     月     日</w:t>
      </w:r>
    </w:p>
    <w:p w14:paraId="3AF210E0">
      <w:pPr>
        <w:snapToGrid w:val="0"/>
        <w:spacing w:line="500" w:lineRule="exact"/>
        <w:ind w:firstLine="480" w:firstLineChars="200"/>
        <w:rPr>
          <w:rFonts w:hint="eastAsia" w:ascii="方正仿宋_GBK" w:hAnsi="宋体" w:eastAsia="方正仿宋_GBK"/>
          <w:sz w:val="24"/>
          <w:szCs w:val="28"/>
          <w:highlight w:val="none"/>
          <w:u w:val="none" w:color="auto"/>
        </w:rPr>
      </w:pPr>
    </w:p>
    <w:p w14:paraId="1A86C603">
      <w:pPr>
        <w:snapToGrid w:val="0"/>
        <w:spacing w:line="500" w:lineRule="exact"/>
        <w:ind w:firstLine="480" w:firstLineChars="200"/>
        <w:rPr>
          <w:rFonts w:hint="eastAsia" w:ascii="方正仿宋_GBK" w:hAnsi="宋体" w:eastAsia="方正仿宋_GBK"/>
          <w:sz w:val="24"/>
          <w:szCs w:val="28"/>
          <w:highlight w:val="none"/>
          <w:u w:val="none" w:color="auto"/>
        </w:rPr>
      </w:pPr>
    </w:p>
    <w:p w14:paraId="73927951">
      <w:pPr>
        <w:snapToGrid w:val="0"/>
        <w:spacing w:line="500" w:lineRule="exact"/>
        <w:ind w:firstLine="480" w:firstLineChars="200"/>
        <w:rPr>
          <w:rFonts w:hint="eastAsia" w:ascii="方正仿宋_GBK" w:hAnsi="宋体" w:eastAsia="方正仿宋_GBK"/>
          <w:sz w:val="24"/>
          <w:szCs w:val="28"/>
          <w:highlight w:val="none"/>
          <w:u w:val="none" w:color="auto"/>
        </w:rPr>
      </w:pPr>
    </w:p>
    <w:p w14:paraId="6A137FCB">
      <w:pPr>
        <w:snapToGrid w:val="0"/>
        <w:spacing w:line="5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说明：</w:t>
      </w:r>
    </w:p>
    <w:p w14:paraId="34E8C758">
      <w:pPr>
        <w:snapToGrid w:val="0"/>
        <w:spacing w:line="5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1.开标一览表按格式填列；</w:t>
      </w:r>
    </w:p>
    <w:p w14:paraId="4D8DE75C">
      <w:pPr>
        <w:snapToGrid w:val="0"/>
        <w:spacing w:line="5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2.开标一览表在开标大会上当众宣读，务必填写清楚，准确无误；</w:t>
      </w:r>
    </w:p>
    <w:p w14:paraId="537BA695">
      <w:pPr>
        <w:snapToGrid w:val="0"/>
        <w:spacing w:line="400" w:lineRule="exact"/>
        <w:ind w:firstLine="560" w:firstLineChars="200"/>
        <w:rPr>
          <w:rFonts w:hint="eastAsia" w:ascii="方正仿宋_GBK" w:eastAsia="方正仿宋_GBK"/>
          <w:szCs w:val="28"/>
          <w:highlight w:val="none"/>
          <w:u w:val="none" w:color="auto"/>
        </w:rPr>
      </w:pPr>
      <w:r>
        <w:rPr>
          <w:rFonts w:hint="eastAsia" w:ascii="方正仿宋_GBK" w:eastAsia="方正仿宋_GBK"/>
          <w:szCs w:val="28"/>
          <w:highlight w:val="none"/>
          <w:u w:val="none" w:color="auto"/>
        </w:rPr>
        <w:br w:type="page"/>
      </w:r>
    </w:p>
    <w:p w14:paraId="7FA7B270">
      <w:pPr>
        <w:snapToGrid w:val="0"/>
        <w:spacing w:line="400" w:lineRule="exact"/>
        <w:ind w:firstLine="560" w:firstLineChars="200"/>
        <w:rPr>
          <w:rFonts w:hint="default" w:ascii="方正仿宋_GBK" w:eastAsia="方正仿宋_GBK"/>
          <w:szCs w:val="28"/>
          <w:highlight w:val="none"/>
          <w:u w:val="none" w:color="auto"/>
          <w:lang w:val="en-US" w:eastAsia="zh-CN"/>
        </w:rPr>
      </w:pPr>
      <w:r>
        <w:rPr>
          <w:rFonts w:hint="eastAsia" w:ascii="方正仿宋_GBK" w:eastAsia="方正仿宋_GBK"/>
          <w:szCs w:val="28"/>
          <w:highlight w:val="none"/>
          <w:u w:val="none" w:color="auto"/>
          <w:lang w:val="en-US" w:eastAsia="zh-CN"/>
        </w:rPr>
        <w:t xml:space="preserve">          </w:t>
      </w:r>
    </w:p>
    <w:p w14:paraId="3FF2B2F5">
      <w:pPr>
        <w:pageBreakBefore/>
        <w:snapToGrid w:val="0"/>
        <w:spacing w:line="500" w:lineRule="exact"/>
        <w:jc w:val="center"/>
        <w:rPr>
          <w:rFonts w:hint="eastAsia" w:ascii="方正仿宋_GBK" w:hAnsi="宋体" w:eastAsia="方正仿宋_GBK"/>
          <w:color w:val="auto"/>
          <w:szCs w:val="36"/>
        </w:rPr>
      </w:pPr>
      <w:r>
        <w:rPr>
          <w:rFonts w:hint="eastAsia" w:ascii="方正仿宋_GBK" w:hAnsi="宋体" w:eastAsia="方正仿宋_GBK"/>
          <w:color w:val="auto"/>
          <w:szCs w:val="36"/>
        </w:rPr>
        <w:t>（二）货物信息报价表</w:t>
      </w:r>
    </w:p>
    <w:p w14:paraId="205EF4A5">
      <w:pPr>
        <w:snapToGrid w:val="0"/>
        <w:spacing w:line="400" w:lineRule="exact"/>
        <w:ind w:firstLine="482" w:firstLineChars="200"/>
        <w:jc w:val="center"/>
        <w:rPr>
          <w:rFonts w:hint="eastAsia" w:ascii="方正仿宋_GBK" w:hAnsi="宋体" w:eastAsia="方正仿宋_GBK"/>
          <w:b/>
          <w:bCs/>
          <w:color w:val="auto"/>
          <w:sz w:val="24"/>
          <w:szCs w:val="28"/>
        </w:rPr>
      </w:pPr>
    </w:p>
    <w:p w14:paraId="4B302442">
      <w:pPr>
        <w:snapToGrid w:val="0"/>
        <w:spacing w:line="400" w:lineRule="exact"/>
        <w:ind w:firstLine="480" w:firstLineChars="200"/>
        <w:rPr>
          <w:rFonts w:hint="eastAsia" w:ascii="方正仿宋_GBK" w:hAnsi="宋体" w:eastAsia="方正仿宋_GBK"/>
          <w:color w:val="auto"/>
          <w:sz w:val="24"/>
          <w:szCs w:val="28"/>
        </w:rPr>
      </w:pPr>
      <w:r>
        <w:rPr>
          <w:rFonts w:hint="eastAsia" w:ascii="方正仿宋_GBK" w:hAnsi="宋体" w:eastAsia="方正仿宋_GBK"/>
          <w:color w:val="auto"/>
          <w:sz w:val="24"/>
          <w:szCs w:val="28"/>
        </w:rPr>
        <w:t>项目号：</w:t>
      </w:r>
    </w:p>
    <w:p w14:paraId="23AC88CA">
      <w:pPr>
        <w:snapToGrid w:val="0"/>
        <w:spacing w:line="400" w:lineRule="exact"/>
        <w:ind w:firstLine="480" w:firstLineChars="200"/>
        <w:rPr>
          <w:rFonts w:hint="eastAsia" w:ascii="方正仿宋_GBK" w:hAnsi="宋体" w:eastAsia="方正仿宋_GBK"/>
          <w:color w:val="auto"/>
          <w:sz w:val="24"/>
          <w:szCs w:val="28"/>
        </w:rPr>
      </w:pPr>
      <w:r>
        <w:rPr>
          <w:rFonts w:hint="eastAsia" w:ascii="方正仿宋_GBK" w:hAnsi="宋体" w:eastAsia="方正仿宋_GBK"/>
          <w:color w:val="auto"/>
          <w:sz w:val="24"/>
          <w:szCs w:val="28"/>
        </w:rPr>
        <w:t xml:space="preserve">招标项目名称：              </w:t>
      </w:r>
    </w:p>
    <w:p w14:paraId="2F95604E">
      <w:pPr>
        <w:snapToGrid w:val="0"/>
        <w:spacing w:line="400" w:lineRule="exact"/>
        <w:ind w:firstLine="480" w:firstLineChars="200"/>
        <w:rPr>
          <w:rFonts w:ascii="方正仿宋_GBK" w:hAnsi="宋体" w:eastAsia="方正仿宋_GBK"/>
          <w:color w:val="auto"/>
          <w:sz w:val="24"/>
          <w:szCs w:val="28"/>
        </w:rPr>
      </w:pPr>
      <w:r>
        <w:rPr>
          <w:rFonts w:hint="eastAsia" w:ascii="方正仿宋_GBK" w:hAnsi="宋体" w:eastAsia="方正仿宋_GBK"/>
          <w:color w:val="auto"/>
          <w:sz w:val="24"/>
          <w:szCs w:val="28"/>
        </w:rPr>
        <w:t xml:space="preserve">                            </w:t>
      </w:r>
    </w:p>
    <w:tbl>
      <w:tblPr>
        <w:tblStyle w:val="60"/>
        <w:tblW w:w="10240"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4"/>
        <w:gridCol w:w="1001"/>
        <w:gridCol w:w="3824"/>
        <w:gridCol w:w="817"/>
        <w:gridCol w:w="939"/>
        <w:gridCol w:w="1150"/>
        <w:gridCol w:w="1160"/>
        <w:gridCol w:w="795"/>
      </w:tblGrid>
      <w:tr w14:paraId="7D68B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554" w:type="dxa"/>
            <w:noWrap/>
            <w:vAlign w:val="center"/>
          </w:tcPr>
          <w:p w14:paraId="0D95E555">
            <w:pPr>
              <w:widowControl/>
              <w:jc w:val="center"/>
              <w:rPr>
                <w:rFonts w:hint="eastAsia" w:ascii="宋体" w:hAnsi="宋体" w:cs="宋体"/>
                <w:color w:val="auto"/>
                <w:kern w:val="0"/>
                <w:sz w:val="24"/>
                <w:szCs w:val="24"/>
              </w:rPr>
            </w:pPr>
            <w:r>
              <w:rPr>
                <w:rFonts w:hint="eastAsia" w:ascii="宋体" w:hAnsi="宋体" w:cs="宋体"/>
                <w:color w:val="auto"/>
                <w:kern w:val="0"/>
                <w:sz w:val="24"/>
                <w:szCs w:val="24"/>
              </w:rPr>
              <w:t>序号</w:t>
            </w:r>
          </w:p>
        </w:tc>
        <w:tc>
          <w:tcPr>
            <w:tcW w:w="1001" w:type="dxa"/>
            <w:noWrap/>
            <w:vAlign w:val="center"/>
          </w:tcPr>
          <w:p w14:paraId="207DCDE0">
            <w:pPr>
              <w:widowControl/>
              <w:jc w:val="center"/>
              <w:rPr>
                <w:rFonts w:hint="eastAsia" w:ascii="宋体" w:hAnsi="宋体" w:cs="宋体"/>
                <w:color w:val="auto"/>
                <w:kern w:val="0"/>
                <w:sz w:val="24"/>
                <w:szCs w:val="24"/>
              </w:rPr>
            </w:pPr>
            <w:r>
              <w:rPr>
                <w:rFonts w:hint="eastAsia" w:ascii="宋体" w:hAnsi="宋体" w:cs="宋体"/>
                <w:color w:val="auto"/>
                <w:kern w:val="0"/>
                <w:sz w:val="24"/>
                <w:szCs w:val="24"/>
              </w:rPr>
              <w:t>名称</w:t>
            </w:r>
          </w:p>
        </w:tc>
        <w:tc>
          <w:tcPr>
            <w:tcW w:w="3824" w:type="dxa"/>
            <w:noWrap/>
            <w:vAlign w:val="center"/>
          </w:tcPr>
          <w:p w14:paraId="02704638">
            <w:pPr>
              <w:widowControl/>
              <w:jc w:val="center"/>
              <w:rPr>
                <w:rFonts w:hint="eastAsia" w:ascii="宋体" w:hAnsi="宋体" w:cs="宋体"/>
                <w:color w:val="auto"/>
                <w:kern w:val="0"/>
                <w:sz w:val="24"/>
                <w:szCs w:val="24"/>
              </w:rPr>
            </w:pPr>
            <w:r>
              <w:rPr>
                <w:rFonts w:hint="eastAsia" w:ascii="宋体" w:hAnsi="宋体" w:cs="宋体"/>
                <w:color w:val="auto"/>
                <w:kern w:val="0"/>
                <w:sz w:val="24"/>
                <w:szCs w:val="24"/>
              </w:rPr>
              <w:t>参数</w:t>
            </w:r>
          </w:p>
        </w:tc>
        <w:tc>
          <w:tcPr>
            <w:tcW w:w="817" w:type="dxa"/>
            <w:noWrap/>
            <w:vAlign w:val="center"/>
          </w:tcPr>
          <w:p w14:paraId="103DBB1B">
            <w:pPr>
              <w:widowControl/>
              <w:jc w:val="center"/>
              <w:rPr>
                <w:rFonts w:hint="eastAsia" w:ascii="宋体" w:hAnsi="宋体" w:cs="宋体"/>
                <w:color w:val="auto"/>
                <w:kern w:val="0"/>
                <w:sz w:val="24"/>
                <w:szCs w:val="24"/>
              </w:rPr>
            </w:pPr>
            <w:r>
              <w:rPr>
                <w:rFonts w:hint="eastAsia" w:ascii="宋体" w:hAnsi="宋体" w:cs="宋体"/>
                <w:color w:val="auto"/>
                <w:kern w:val="0"/>
                <w:sz w:val="24"/>
                <w:szCs w:val="24"/>
              </w:rPr>
              <w:t>数量</w:t>
            </w:r>
          </w:p>
        </w:tc>
        <w:tc>
          <w:tcPr>
            <w:tcW w:w="939" w:type="dxa"/>
            <w:noWrap/>
            <w:vAlign w:val="center"/>
          </w:tcPr>
          <w:p w14:paraId="518C2D09">
            <w:pPr>
              <w:widowControl/>
              <w:jc w:val="center"/>
              <w:rPr>
                <w:rFonts w:hint="eastAsia" w:ascii="宋体" w:hAnsi="宋体" w:cs="宋体"/>
                <w:color w:val="auto"/>
                <w:kern w:val="0"/>
                <w:sz w:val="24"/>
                <w:szCs w:val="24"/>
              </w:rPr>
            </w:pPr>
            <w:r>
              <w:rPr>
                <w:rFonts w:hint="eastAsia" w:ascii="宋体" w:hAnsi="宋体" w:cs="宋体"/>
                <w:color w:val="auto"/>
                <w:kern w:val="0"/>
                <w:sz w:val="24"/>
                <w:szCs w:val="24"/>
              </w:rPr>
              <w:t>单位</w:t>
            </w:r>
          </w:p>
        </w:tc>
        <w:tc>
          <w:tcPr>
            <w:tcW w:w="1150" w:type="dxa"/>
            <w:noWrap/>
            <w:vAlign w:val="center"/>
          </w:tcPr>
          <w:p w14:paraId="72B94D07">
            <w:pPr>
              <w:widowControl/>
              <w:jc w:val="center"/>
              <w:rPr>
                <w:rFonts w:hint="eastAsia" w:ascii="宋体" w:hAnsi="宋体" w:cs="宋体"/>
                <w:color w:val="auto"/>
                <w:kern w:val="0"/>
                <w:sz w:val="24"/>
                <w:szCs w:val="24"/>
              </w:rPr>
            </w:pPr>
            <w:r>
              <w:rPr>
                <w:rFonts w:hint="eastAsia" w:ascii="宋体" w:hAnsi="宋体" w:cs="宋体"/>
                <w:color w:val="auto"/>
                <w:kern w:val="0"/>
                <w:sz w:val="24"/>
                <w:szCs w:val="24"/>
              </w:rPr>
              <w:t>单价</w:t>
            </w:r>
          </w:p>
          <w:p w14:paraId="4B03D362">
            <w:pPr>
              <w:widowControl/>
              <w:jc w:val="center"/>
              <w:rPr>
                <w:rFonts w:hint="eastAsia" w:ascii="宋体" w:hAnsi="宋体" w:cs="宋体"/>
                <w:color w:val="auto"/>
                <w:kern w:val="0"/>
                <w:sz w:val="24"/>
                <w:szCs w:val="24"/>
              </w:rPr>
            </w:pPr>
            <w:r>
              <w:rPr>
                <w:rFonts w:hint="eastAsia" w:ascii="宋体" w:hAnsi="宋体" w:cs="宋体"/>
                <w:color w:val="auto"/>
                <w:kern w:val="0"/>
                <w:sz w:val="24"/>
                <w:szCs w:val="24"/>
              </w:rPr>
              <w:t>（万元）</w:t>
            </w:r>
          </w:p>
        </w:tc>
        <w:tc>
          <w:tcPr>
            <w:tcW w:w="1160" w:type="dxa"/>
            <w:noWrap/>
            <w:vAlign w:val="center"/>
          </w:tcPr>
          <w:p w14:paraId="39BB1EE7">
            <w:pPr>
              <w:widowControl/>
              <w:jc w:val="center"/>
              <w:rPr>
                <w:rFonts w:hint="eastAsia" w:ascii="宋体" w:hAnsi="宋体" w:cs="宋体"/>
                <w:color w:val="auto"/>
                <w:kern w:val="0"/>
                <w:sz w:val="24"/>
                <w:szCs w:val="24"/>
              </w:rPr>
            </w:pPr>
            <w:r>
              <w:rPr>
                <w:rFonts w:hint="eastAsia" w:ascii="宋体" w:hAnsi="宋体" w:cs="宋体"/>
                <w:color w:val="auto"/>
                <w:kern w:val="0"/>
                <w:sz w:val="24"/>
                <w:szCs w:val="24"/>
              </w:rPr>
              <w:t>总价</w:t>
            </w:r>
          </w:p>
          <w:p w14:paraId="537E68D9">
            <w:pPr>
              <w:widowControl/>
              <w:jc w:val="center"/>
              <w:rPr>
                <w:rFonts w:hint="eastAsia" w:ascii="宋体" w:hAnsi="宋体" w:cs="宋体"/>
                <w:color w:val="auto"/>
                <w:kern w:val="0"/>
                <w:sz w:val="24"/>
                <w:szCs w:val="24"/>
              </w:rPr>
            </w:pPr>
            <w:r>
              <w:rPr>
                <w:rFonts w:hint="eastAsia" w:ascii="宋体" w:hAnsi="宋体" w:cs="宋体"/>
                <w:color w:val="auto"/>
                <w:kern w:val="0"/>
                <w:sz w:val="24"/>
                <w:szCs w:val="24"/>
              </w:rPr>
              <w:t>（万元）</w:t>
            </w:r>
          </w:p>
        </w:tc>
        <w:tc>
          <w:tcPr>
            <w:tcW w:w="795" w:type="dxa"/>
            <w:noWrap/>
            <w:vAlign w:val="center"/>
          </w:tcPr>
          <w:p w14:paraId="24A70167">
            <w:pPr>
              <w:widowControl/>
              <w:jc w:val="center"/>
              <w:rPr>
                <w:rFonts w:hint="eastAsia" w:ascii="宋体" w:hAnsi="宋体" w:cs="宋体"/>
                <w:color w:val="auto"/>
                <w:kern w:val="0"/>
                <w:sz w:val="24"/>
                <w:szCs w:val="24"/>
              </w:rPr>
            </w:pPr>
            <w:r>
              <w:rPr>
                <w:rFonts w:hint="eastAsia" w:ascii="宋体" w:hAnsi="宋体" w:cs="宋体"/>
                <w:color w:val="auto"/>
                <w:kern w:val="0"/>
                <w:sz w:val="24"/>
                <w:szCs w:val="24"/>
              </w:rPr>
              <w:t>品牌</w:t>
            </w:r>
          </w:p>
        </w:tc>
      </w:tr>
      <w:tr w14:paraId="7F18F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0" w:hRule="atLeast"/>
        </w:trPr>
        <w:tc>
          <w:tcPr>
            <w:tcW w:w="554" w:type="dxa"/>
            <w:noWrap w:val="0"/>
            <w:vAlign w:val="center"/>
          </w:tcPr>
          <w:p w14:paraId="6EED7F09">
            <w:pPr>
              <w:widowControl/>
              <w:adjustRightInd w:val="0"/>
              <w:snapToGrid w:val="0"/>
              <w:jc w:val="center"/>
              <w:rPr>
                <w:rFonts w:hint="eastAsia" w:ascii="宋体" w:hAnsi="宋体" w:cs="宋体"/>
                <w:color w:val="auto"/>
                <w:kern w:val="0"/>
                <w:sz w:val="24"/>
                <w:szCs w:val="24"/>
              </w:rPr>
            </w:pPr>
            <w:r>
              <w:rPr>
                <w:rFonts w:hint="eastAsia" w:ascii="宋体" w:hAnsi="宋体" w:eastAsia="宋体" w:cs="宋体"/>
                <w:color w:val="auto"/>
                <w:sz w:val="18"/>
                <w:szCs w:val="18"/>
              </w:rPr>
              <w:t>1</w:t>
            </w:r>
          </w:p>
        </w:tc>
        <w:tc>
          <w:tcPr>
            <w:tcW w:w="1001" w:type="dxa"/>
            <w:noWrap/>
            <w:vAlign w:val="center"/>
          </w:tcPr>
          <w:p w14:paraId="4E5A73A5">
            <w:pPr>
              <w:widowControl/>
              <w:adjustRightInd w:val="0"/>
              <w:snapToGrid w:val="0"/>
              <w:jc w:val="left"/>
              <w:rPr>
                <w:rFonts w:hint="eastAsia" w:ascii="宋体" w:hAnsi="宋体" w:cs="宋体"/>
                <w:color w:val="auto"/>
                <w:sz w:val="18"/>
                <w:szCs w:val="18"/>
              </w:rPr>
            </w:pPr>
            <w:r>
              <w:rPr>
                <w:rFonts w:hint="eastAsia" w:ascii="宋体" w:hAnsi="宋体" w:cs="宋体"/>
                <w:color w:val="auto"/>
                <w:sz w:val="18"/>
                <w:szCs w:val="18"/>
              </w:rPr>
              <w:t>吸粪车</w:t>
            </w:r>
          </w:p>
        </w:tc>
        <w:tc>
          <w:tcPr>
            <w:tcW w:w="3824" w:type="dxa"/>
            <w:noWrap/>
            <w:vAlign w:val="center"/>
          </w:tcPr>
          <w:p w14:paraId="153E040F">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1.</w:t>
            </w:r>
            <w:r>
              <w:rPr>
                <w:rFonts w:hint="eastAsia" w:ascii="宋体" w:hAnsi="宋体" w:eastAsia="宋体" w:cs="宋体"/>
                <w:color w:val="auto"/>
                <w:sz w:val="18"/>
                <w:szCs w:val="18"/>
              </w:rPr>
              <w:t>清洗吸污车专用装置：罐体，真空泵，主要用于液态污物和粪便的抽吸、排卸和清洗作业；</w:t>
            </w:r>
          </w:p>
          <w:p w14:paraId="04BBD734">
            <w:pPr>
              <w:widowControl/>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2.</w:t>
            </w:r>
            <w:r>
              <w:rPr>
                <w:rFonts w:hint="eastAsia" w:ascii="宋体" w:hAnsi="宋体" w:eastAsia="宋体" w:cs="宋体"/>
                <w:color w:val="auto"/>
                <w:sz w:val="18"/>
                <w:szCs w:val="18"/>
              </w:rPr>
              <w:t>罐体有效容积≥12m³</w:t>
            </w:r>
            <w:r>
              <w:rPr>
                <w:rFonts w:hint="eastAsia" w:ascii="宋体" w:hAnsi="宋体" w:eastAsia="宋体" w:cs="宋体"/>
                <w:color w:val="auto"/>
                <w:sz w:val="18"/>
                <w:szCs w:val="18"/>
                <w:lang w:eastAsia="zh-CN"/>
              </w:rPr>
              <w:t>；</w:t>
            </w:r>
          </w:p>
          <w:p w14:paraId="158C4F8F">
            <w:pPr>
              <w:widowControl/>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3.整车尺寸：</w:t>
            </w:r>
            <w:r>
              <w:rPr>
                <w:rFonts w:hint="eastAsia" w:ascii="宋体" w:hAnsi="宋体" w:eastAsia="宋体" w:cs="宋体"/>
                <w:color w:val="auto"/>
                <w:sz w:val="18"/>
                <w:szCs w:val="18"/>
              </w:rPr>
              <w:t>7400×2550×3500≥外形尺寸(mm)≥7000×2400×3200</w:t>
            </w:r>
            <w:r>
              <w:rPr>
                <w:rFonts w:hint="eastAsia" w:ascii="宋体" w:hAnsi="宋体" w:eastAsia="宋体" w:cs="宋体"/>
                <w:color w:val="auto"/>
                <w:sz w:val="18"/>
                <w:szCs w:val="18"/>
                <w:lang w:eastAsia="zh-CN"/>
              </w:rPr>
              <w:t>；</w:t>
            </w:r>
          </w:p>
          <w:p w14:paraId="36E912CF">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4.</w:t>
            </w:r>
            <w:r>
              <w:rPr>
                <w:rFonts w:hint="eastAsia" w:ascii="宋体" w:hAnsi="宋体" w:eastAsia="宋体" w:cs="宋体"/>
                <w:color w:val="auto"/>
                <w:sz w:val="18"/>
                <w:szCs w:val="18"/>
              </w:rPr>
              <w:t>轴荷(Kg)≥6500/11500，前悬/后悬(mm)≥1250/2100，轴数≥3；轴距(mm)≥3950；底盘品质≥载货汽车底盘（二类），9/11+8≥钢板弹簧片数≥8/10+7</w:t>
            </w:r>
          </w:p>
          <w:p w14:paraId="51636F40">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5.</w:t>
            </w:r>
            <w:r>
              <w:rPr>
                <w:rFonts w:hint="eastAsia" w:ascii="宋体" w:hAnsi="宋体" w:eastAsia="宋体" w:cs="宋体"/>
                <w:color w:val="auto"/>
                <w:sz w:val="18"/>
                <w:szCs w:val="18"/>
              </w:rPr>
              <w:t>燃料种类：柴油；</w:t>
            </w:r>
          </w:p>
          <w:p w14:paraId="01A7BA92">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6.</w:t>
            </w:r>
            <w:r>
              <w:rPr>
                <w:rFonts w:hint="eastAsia" w:ascii="宋体" w:hAnsi="宋体" w:eastAsia="宋体" w:cs="宋体"/>
                <w:color w:val="auto"/>
                <w:sz w:val="18"/>
                <w:szCs w:val="18"/>
              </w:rPr>
              <w:t>前轮距(mm)≥1900；后轮距≥1800；</w:t>
            </w:r>
          </w:p>
          <w:p w14:paraId="38A81870">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7.</w:t>
            </w:r>
            <w:r>
              <w:rPr>
                <w:rFonts w:hint="eastAsia" w:ascii="宋体" w:hAnsi="宋体" w:eastAsia="宋体" w:cs="宋体"/>
                <w:color w:val="auto"/>
                <w:sz w:val="18"/>
                <w:szCs w:val="18"/>
              </w:rPr>
              <w:t>发动机功率≥145Kw；发动机马力≥200ps。</w:t>
            </w:r>
          </w:p>
          <w:p w14:paraId="4B370E9F">
            <w:pPr>
              <w:widowControl/>
              <w:rPr>
                <w:rFonts w:hint="eastAsia" w:ascii="宋体" w:hAnsi="宋体" w:cs="宋体"/>
                <w:color w:val="auto"/>
                <w:kern w:val="0"/>
                <w:sz w:val="24"/>
                <w:szCs w:val="24"/>
              </w:rPr>
            </w:pPr>
            <w:r>
              <w:rPr>
                <w:rFonts w:hint="eastAsia" w:ascii="宋体" w:hAnsi="宋体" w:eastAsia="宋体" w:cs="宋体"/>
                <w:color w:val="auto"/>
                <w:sz w:val="18"/>
                <w:szCs w:val="18"/>
                <w:lang w:val="en-US" w:eastAsia="zh-CN"/>
              </w:rPr>
              <w:t>8.</w:t>
            </w:r>
            <w:r>
              <w:rPr>
                <w:rFonts w:hint="eastAsia" w:ascii="宋体" w:hAnsi="宋体" w:eastAsia="宋体" w:cs="宋体"/>
                <w:color w:val="auto"/>
                <w:sz w:val="18"/>
                <w:szCs w:val="18"/>
              </w:rPr>
              <w:t>自带吸粪管10米外的带有快速接头的国标排污管100米；附带消防喷水设施。</w:t>
            </w:r>
          </w:p>
        </w:tc>
        <w:tc>
          <w:tcPr>
            <w:tcW w:w="817" w:type="dxa"/>
            <w:noWrap/>
            <w:vAlign w:val="center"/>
          </w:tcPr>
          <w:p w14:paraId="49FF76CE">
            <w:pPr>
              <w:widowControl/>
              <w:numPr>
                <w:ilvl w:val="0"/>
                <w:numId w:val="0"/>
              </w:numPr>
              <w:ind w:left="0" w:leftChars="0" w:firstLine="0" w:firstLineChars="0"/>
              <w:jc w:val="center"/>
              <w:rPr>
                <w:rFonts w:hint="eastAsia" w:ascii="宋体" w:hAnsi="宋体" w:cs="宋体"/>
                <w:color w:val="auto"/>
                <w:sz w:val="24"/>
                <w:szCs w:val="24"/>
              </w:rPr>
            </w:pPr>
            <w:r>
              <w:rPr>
                <w:rFonts w:hint="eastAsia" w:ascii="宋体" w:hAnsi="宋体" w:eastAsia="宋体" w:cs="宋体"/>
                <w:color w:val="auto"/>
                <w:sz w:val="18"/>
                <w:szCs w:val="18"/>
                <w:lang w:val="en-US" w:eastAsia="zh-CN"/>
              </w:rPr>
              <w:t>15</w:t>
            </w:r>
          </w:p>
        </w:tc>
        <w:tc>
          <w:tcPr>
            <w:tcW w:w="939" w:type="dxa"/>
            <w:noWrap/>
            <w:vAlign w:val="center"/>
          </w:tcPr>
          <w:p w14:paraId="07A9EDCC">
            <w:pPr>
              <w:widowControl/>
              <w:numPr>
                <w:ilvl w:val="0"/>
                <w:numId w:val="0"/>
              </w:numPr>
              <w:ind w:left="0" w:leftChars="0" w:firstLine="0" w:firstLineChars="0"/>
              <w:jc w:val="center"/>
              <w:rPr>
                <w:rFonts w:hint="eastAsia" w:ascii="宋体" w:hAnsi="宋体" w:cs="宋体"/>
                <w:color w:val="auto"/>
                <w:sz w:val="24"/>
                <w:szCs w:val="24"/>
              </w:rPr>
            </w:pPr>
            <w:r>
              <w:rPr>
                <w:rFonts w:hint="eastAsia" w:ascii="宋体" w:hAnsi="宋体" w:eastAsia="宋体" w:cs="宋体"/>
                <w:color w:val="auto"/>
                <w:sz w:val="18"/>
                <w:szCs w:val="18"/>
                <w:lang w:val="en-US" w:eastAsia="zh-CN"/>
              </w:rPr>
              <w:t>台</w:t>
            </w:r>
          </w:p>
        </w:tc>
        <w:tc>
          <w:tcPr>
            <w:tcW w:w="1150" w:type="dxa"/>
            <w:noWrap/>
            <w:vAlign w:val="center"/>
          </w:tcPr>
          <w:p w14:paraId="1A8BEFC2">
            <w:pPr>
              <w:widowControl/>
              <w:adjustRightInd w:val="0"/>
              <w:snapToGrid w:val="0"/>
              <w:jc w:val="center"/>
              <w:rPr>
                <w:rFonts w:hint="eastAsia" w:ascii="宋体" w:hAnsi="宋体" w:cs="宋体"/>
                <w:color w:val="auto"/>
                <w:sz w:val="24"/>
                <w:szCs w:val="24"/>
              </w:rPr>
            </w:pPr>
          </w:p>
        </w:tc>
        <w:tc>
          <w:tcPr>
            <w:tcW w:w="1160" w:type="dxa"/>
            <w:noWrap/>
            <w:vAlign w:val="center"/>
          </w:tcPr>
          <w:p w14:paraId="311BC925">
            <w:pPr>
              <w:widowControl/>
              <w:adjustRightInd w:val="0"/>
              <w:snapToGrid w:val="0"/>
              <w:jc w:val="center"/>
              <w:rPr>
                <w:rFonts w:ascii="宋体" w:hAnsi="宋体" w:cs="宋体"/>
                <w:color w:val="auto"/>
                <w:sz w:val="24"/>
                <w:szCs w:val="24"/>
              </w:rPr>
            </w:pPr>
          </w:p>
        </w:tc>
        <w:tc>
          <w:tcPr>
            <w:tcW w:w="795" w:type="dxa"/>
            <w:noWrap/>
            <w:vAlign w:val="center"/>
          </w:tcPr>
          <w:p w14:paraId="74052248">
            <w:pPr>
              <w:widowControl/>
              <w:adjustRightInd w:val="0"/>
              <w:snapToGrid w:val="0"/>
              <w:jc w:val="center"/>
              <w:rPr>
                <w:rFonts w:ascii="宋体" w:hAnsi="宋体" w:cs="宋体"/>
                <w:color w:val="auto"/>
                <w:sz w:val="24"/>
                <w:szCs w:val="24"/>
              </w:rPr>
            </w:pPr>
          </w:p>
        </w:tc>
      </w:tr>
      <w:tr w14:paraId="2C8EB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5" w:hRule="atLeast"/>
        </w:trPr>
        <w:tc>
          <w:tcPr>
            <w:tcW w:w="554" w:type="dxa"/>
            <w:noWrap w:val="0"/>
            <w:vAlign w:val="center"/>
          </w:tcPr>
          <w:p w14:paraId="78773843">
            <w:pPr>
              <w:widowControl/>
              <w:adjustRightInd w:val="0"/>
              <w:snapToGrid w:val="0"/>
              <w:jc w:val="center"/>
              <w:rPr>
                <w:rFonts w:hint="eastAsia" w:ascii="宋体" w:hAnsi="宋体" w:cs="宋体"/>
                <w:color w:val="auto"/>
                <w:kern w:val="0"/>
                <w:sz w:val="24"/>
                <w:szCs w:val="24"/>
              </w:rPr>
            </w:pPr>
            <w:r>
              <w:rPr>
                <w:rFonts w:hint="eastAsia" w:ascii="宋体" w:hAnsi="宋体" w:eastAsia="宋体" w:cs="宋体"/>
                <w:color w:val="auto"/>
                <w:sz w:val="18"/>
                <w:szCs w:val="18"/>
              </w:rPr>
              <w:t>2</w:t>
            </w:r>
          </w:p>
        </w:tc>
        <w:tc>
          <w:tcPr>
            <w:tcW w:w="1001" w:type="dxa"/>
            <w:noWrap/>
            <w:vAlign w:val="center"/>
          </w:tcPr>
          <w:p w14:paraId="7202B304">
            <w:pPr>
              <w:widowControl/>
              <w:adjustRightInd w:val="0"/>
              <w:snapToGrid w:val="0"/>
              <w:jc w:val="left"/>
              <w:rPr>
                <w:rFonts w:hint="eastAsia" w:ascii="宋体" w:hAnsi="宋体" w:cs="宋体"/>
                <w:color w:val="auto"/>
                <w:sz w:val="18"/>
                <w:szCs w:val="18"/>
              </w:rPr>
            </w:pPr>
            <w:r>
              <w:rPr>
                <w:rFonts w:hint="eastAsia" w:ascii="宋体" w:hAnsi="宋体" w:cs="宋体"/>
                <w:color w:val="auto"/>
                <w:sz w:val="18"/>
                <w:szCs w:val="18"/>
              </w:rPr>
              <w:t>履带式新能源无人智能多功能撒肥车</w:t>
            </w:r>
          </w:p>
        </w:tc>
        <w:tc>
          <w:tcPr>
            <w:tcW w:w="3824" w:type="dxa"/>
            <w:noWrap/>
            <w:vAlign w:val="center"/>
          </w:tcPr>
          <w:p w14:paraId="141CDDA6">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一、</w:t>
            </w:r>
            <w:r>
              <w:rPr>
                <w:rFonts w:hint="eastAsia" w:ascii="宋体" w:hAnsi="宋体" w:eastAsia="宋体" w:cs="宋体"/>
                <w:color w:val="auto"/>
                <w:sz w:val="18"/>
                <w:szCs w:val="18"/>
              </w:rPr>
              <w:t>主机平台部分参数：</w:t>
            </w:r>
          </w:p>
          <w:p w14:paraId="2B1BF968">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1.</w:t>
            </w:r>
            <w:r>
              <w:rPr>
                <w:rFonts w:hint="eastAsia" w:ascii="宋体" w:hAnsi="宋体" w:eastAsia="宋体" w:cs="宋体"/>
                <w:color w:val="auto"/>
                <w:sz w:val="18"/>
                <w:szCs w:val="18"/>
              </w:rPr>
              <w:t>电机功率：≥7Kw/3250 r*2个；增程器：≥72V/7.5Kw、水冷发动机；</w:t>
            </w:r>
          </w:p>
          <w:p w14:paraId="0A027C59">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2</w:t>
            </w:r>
            <w:r>
              <w:rPr>
                <w:rFonts w:hint="eastAsia" w:ascii="宋体" w:hAnsi="宋体" w:eastAsia="宋体" w:cs="宋体"/>
                <w:color w:val="auto"/>
                <w:sz w:val="18"/>
                <w:szCs w:val="18"/>
              </w:rPr>
              <w:t>电池参数：电池容量≥90Ah，电压≥81.2V，额定电流≥200A；</w:t>
            </w:r>
          </w:p>
          <w:p w14:paraId="35F2EA82">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3.</w:t>
            </w:r>
            <w:r>
              <w:rPr>
                <w:rFonts w:hint="eastAsia" w:ascii="宋体" w:hAnsi="宋体" w:eastAsia="宋体" w:cs="宋体"/>
                <w:color w:val="auto"/>
                <w:sz w:val="18"/>
                <w:szCs w:val="18"/>
              </w:rPr>
              <w:t>底盘离地间隙：≥300mm；履带宽度：≥250mm；</w:t>
            </w:r>
          </w:p>
          <w:p w14:paraId="474BDBE3">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4.</w:t>
            </w:r>
            <w:r>
              <w:rPr>
                <w:rFonts w:hint="eastAsia" w:ascii="宋体" w:hAnsi="宋体" w:eastAsia="宋体" w:cs="宋体"/>
                <w:color w:val="auto"/>
                <w:sz w:val="18"/>
                <w:szCs w:val="18"/>
              </w:rPr>
              <w:t>履带轨距：≥72mm；履带间距：≥965mm；</w:t>
            </w:r>
          </w:p>
          <w:p w14:paraId="228EC108">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5.</w:t>
            </w:r>
            <w:r>
              <w:rPr>
                <w:rFonts w:hint="eastAsia" w:ascii="宋体" w:hAnsi="宋体" w:eastAsia="宋体" w:cs="宋体"/>
                <w:color w:val="auto"/>
                <w:sz w:val="18"/>
                <w:szCs w:val="18"/>
              </w:rPr>
              <w:t>履带接地长度：≥1400mm。</w:t>
            </w:r>
          </w:p>
          <w:p w14:paraId="2EE1B0DA">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二、</w:t>
            </w:r>
            <w:r>
              <w:rPr>
                <w:rFonts w:hint="eastAsia" w:ascii="宋体" w:hAnsi="宋体" w:eastAsia="宋体" w:cs="宋体"/>
                <w:color w:val="auto"/>
                <w:sz w:val="18"/>
                <w:szCs w:val="18"/>
              </w:rPr>
              <w:t>沼液系统参数：</w:t>
            </w:r>
          </w:p>
          <w:p w14:paraId="74CFCCF2">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1.</w:t>
            </w:r>
            <w:r>
              <w:rPr>
                <w:rFonts w:hint="eastAsia" w:ascii="宋体" w:hAnsi="宋体" w:eastAsia="宋体" w:cs="宋体"/>
                <w:color w:val="auto"/>
                <w:sz w:val="18"/>
                <w:szCs w:val="18"/>
              </w:rPr>
              <w:t>电机功率：≥1000w；</w:t>
            </w:r>
          </w:p>
          <w:p w14:paraId="0F72B929">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2.</w:t>
            </w:r>
            <w:r>
              <w:rPr>
                <w:rFonts w:hint="eastAsia" w:ascii="宋体" w:hAnsi="宋体" w:eastAsia="宋体" w:cs="宋体"/>
                <w:color w:val="auto"/>
                <w:sz w:val="18"/>
                <w:szCs w:val="18"/>
              </w:rPr>
              <w:t>电压：≥72v；</w:t>
            </w:r>
          </w:p>
          <w:p w14:paraId="06F43828">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3.</w:t>
            </w:r>
            <w:r>
              <w:rPr>
                <w:rFonts w:hint="eastAsia" w:ascii="宋体" w:hAnsi="宋体" w:eastAsia="宋体" w:cs="宋体"/>
                <w:color w:val="auto"/>
                <w:sz w:val="18"/>
                <w:szCs w:val="18"/>
              </w:rPr>
              <w:t>流量：10～15m³/h；</w:t>
            </w:r>
          </w:p>
          <w:p w14:paraId="662385F4">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4.</w:t>
            </w:r>
            <w:r>
              <w:rPr>
                <w:rFonts w:hint="eastAsia" w:ascii="宋体" w:hAnsi="宋体" w:eastAsia="宋体" w:cs="宋体"/>
                <w:color w:val="auto"/>
                <w:sz w:val="18"/>
                <w:szCs w:val="18"/>
              </w:rPr>
              <w:t>扬程：20～25m；</w:t>
            </w:r>
          </w:p>
          <w:p w14:paraId="5E4C0959">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5.</w:t>
            </w:r>
            <w:r>
              <w:rPr>
                <w:rFonts w:hint="eastAsia" w:ascii="宋体" w:hAnsi="宋体" w:eastAsia="宋体" w:cs="宋体"/>
                <w:color w:val="auto"/>
                <w:sz w:val="18"/>
                <w:szCs w:val="18"/>
              </w:rPr>
              <w:t>吸程：6～8m；</w:t>
            </w:r>
          </w:p>
          <w:p w14:paraId="3B4940D3">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6.</w:t>
            </w:r>
            <w:r>
              <w:rPr>
                <w:rFonts w:hint="eastAsia" w:ascii="宋体" w:hAnsi="宋体" w:eastAsia="宋体" w:cs="宋体"/>
                <w:color w:val="auto"/>
                <w:sz w:val="18"/>
                <w:szCs w:val="18"/>
              </w:rPr>
              <w:t>泵口径：25～50mm；</w:t>
            </w:r>
          </w:p>
          <w:p w14:paraId="6B874A90">
            <w:pPr>
              <w:widowControl/>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7.</w:t>
            </w:r>
            <w:r>
              <w:rPr>
                <w:rFonts w:hint="eastAsia" w:ascii="宋体" w:hAnsi="宋体" w:eastAsia="宋体" w:cs="宋体"/>
                <w:color w:val="auto"/>
                <w:sz w:val="18"/>
                <w:szCs w:val="18"/>
              </w:rPr>
              <w:t>容积：≥1.5m³；</w:t>
            </w:r>
          </w:p>
          <w:p w14:paraId="23207FB1">
            <w:pPr>
              <w:widowControl/>
              <w:rPr>
                <w:rFonts w:hint="eastAsia" w:ascii="宋体" w:hAnsi="宋体" w:cs="宋体"/>
                <w:color w:val="auto"/>
                <w:kern w:val="0"/>
                <w:sz w:val="24"/>
                <w:szCs w:val="24"/>
              </w:rPr>
            </w:pPr>
            <w:r>
              <w:rPr>
                <w:rFonts w:hint="eastAsia" w:ascii="宋体" w:hAnsi="宋体" w:eastAsia="宋体" w:cs="宋体"/>
                <w:color w:val="auto"/>
                <w:sz w:val="18"/>
                <w:szCs w:val="18"/>
                <w:lang w:val="en-US" w:eastAsia="zh-CN"/>
              </w:rPr>
              <w:t>8.</w:t>
            </w:r>
            <w:r>
              <w:rPr>
                <w:rFonts w:hint="eastAsia" w:ascii="宋体" w:hAnsi="宋体" w:eastAsia="宋体" w:cs="宋体"/>
                <w:color w:val="auto"/>
                <w:sz w:val="18"/>
                <w:szCs w:val="18"/>
              </w:rPr>
              <w:t>罐体外形尺寸：≥1700mm*1300mm*810mm。</w:t>
            </w:r>
          </w:p>
        </w:tc>
        <w:tc>
          <w:tcPr>
            <w:tcW w:w="817" w:type="dxa"/>
            <w:noWrap/>
            <w:vAlign w:val="center"/>
          </w:tcPr>
          <w:p w14:paraId="2AEB1E26">
            <w:pPr>
              <w:widowControl/>
              <w:numPr>
                <w:ilvl w:val="0"/>
                <w:numId w:val="0"/>
              </w:numPr>
              <w:ind w:left="0" w:leftChars="0" w:firstLine="0" w:firstLineChars="0"/>
              <w:jc w:val="center"/>
              <w:rPr>
                <w:rFonts w:hint="eastAsia" w:ascii="宋体" w:hAnsi="宋体" w:cs="宋体"/>
                <w:color w:val="auto"/>
                <w:sz w:val="24"/>
                <w:szCs w:val="24"/>
              </w:rPr>
            </w:pPr>
            <w:r>
              <w:rPr>
                <w:rFonts w:hint="eastAsia" w:ascii="宋体" w:hAnsi="宋体" w:eastAsia="宋体" w:cs="宋体"/>
                <w:color w:val="auto"/>
                <w:sz w:val="18"/>
                <w:szCs w:val="18"/>
                <w:lang w:val="en-US" w:eastAsia="zh-CN"/>
              </w:rPr>
              <w:t>2</w:t>
            </w:r>
          </w:p>
        </w:tc>
        <w:tc>
          <w:tcPr>
            <w:tcW w:w="939" w:type="dxa"/>
            <w:noWrap/>
            <w:vAlign w:val="center"/>
          </w:tcPr>
          <w:p w14:paraId="148DEA06">
            <w:pPr>
              <w:widowControl/>
              <w:numPr>
                <w:ilvl w:val="0"/>
                <w:numId w:val="0"/>
              </w:numPr>
              <w:ind w:left="0" w:leftChars="0" w:firstLine="0" w:firstLineChars="0"/>
              <w:jc w:val="center"/>
              <w:rPr>
                <w:rFonts w:hint="eastAsia" w:ascii="宋体" w:hAnsi="宋体" w:cs="宋体"/>
                <w:color w:val="auto"/>
                <w:sz w:val="24"/>
                <w:szCs w:val="24"/>
              </w:rPr>
            </w:pPr>
            <w:r>
              <w:rPr>
                <w:rFonts w:hint="eastAsia" w:ascii="宋体" w:hAnsi="宋体" w:eastAsia="宋体" w:cs="宋体"/>
                <w:color w:val="auto"/>
                <w:sz w:val="18"/>
                <w:szCs w:val="18"/>
                <w:lang w:val="en-US" w:eastAsia="zh-CN"/>
              </w:rPr>
              <w:t>台</w:t>
            </w:r>
          </w:p>
        </w:tc>
        <w:tc>
          <w:tcPr>
            <w:tcW w:w="1150" w:type="dxa"/>
            <w:noWrap/>
            <w:vAlign w:val="center"/>
          </w:tcPr>
          <w:p w14:paraId="4865A66E">
            <w:pPr>
              <w:widowControl/>
              <w:adjustRightInd w:val="0"/>
              <w:snapToGrid w:val="0"/>
              <w:jc w:val="center"/>
              <w:rPr>
                <w:rFonts w:ascii="宋体" w:hAnsi="宋体" w:cs="宋体"/>
                <w:color w:val="auto"/>
                <w:sz w:val="24"/>
                <w:szCs w:val="24"/>
              </w:rPr>
            </w:pPr>
          </w:p>
        </w:tc>
        <w:tc>
          <w:tcPr>
            <w:tcW w:w="1160" w:type="dxa"/>
            <w:noWrap/>
            <w:vAlign w:val="center"/>
          </w:tcPr>
          <w:p w14:paraId="0E9C53DE">
            <w:pPr>
              <w:widowControl/>
              <w:adjustRightInd w:val="0"/>
              <w:snapToGrid w:val="0"/>
              <w:jc w:val="center"/>
              <w:rPr>
                <w:rFonts w:ascii="宋体" w:hAnsi="宋体" w:cs="宋体"/>
                <w:color w:val="auto"/>
                <w:sz w:val="24"/>
                <w:szCs w:val="24"/>
              </w:rPr>
            </w:pPr>
          </w:p>
        </w:tc>
        <w:tc>
          <w:tcPr>
            <w:tcW w:w="795" w:type="dxa"/>
            <w:noWrap/>
            <w:vAlign w:val="center"/>
          </w:tcPr>
          <w:p w14:paraId="3F71632A">
            <w:pPr>
              <w:widowControl/>
              <w:adjustRightInd w:val="0"/>
              <w:snapToGrid w:val="0"/>
              <w:jc w:val="center"/>
              <w:rPr>
                <w:rFonts w:ascii="宋体" w:hAnsi="宋体" w:cs="宋体"/>
                <w:color w:val="auto"/>
                <w:sz w:val="24"/>
                <w:szCs w:val="24"/>
              </w:rPr>
            </w:pPr>
          </w:p>
        </w:tc>
      </w:tr>
      <w:tr w14:paraId="0F74D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0240" w:type="dxa"/>
            <w:gridSpan w:val="8"/>
            <w:noWrap w:val="0"/>
            <w:vAlign w:val="center"/>
          </w:tcPr>
          <w:p w14:paraId="06D02CFC">
            <w:pPr>
              <w:widowControl/>
              <w:rPr>
                <w:rFonts w:ascii="宋体" w:hAnsi="宋体" w:cs="宋体"/>
                <w:color w:val="auto"/>
                <w:kern w:val="0"/>
                <w:sz w:val="24"/>
                <w:szCs w:val="24"/>
              </w:rPr>
            </w:pPr>
            <w:r>
              <w:rPr>
                <w:rFonts w:hint="eastAsia" w:ascii="宋体" w:hAnsi="宋体" w:cs="宋体"/>
                <w:color w:val="auto"/>
                <w:kern w:val="0"/>
                <w:sz w:val="24"/>
                <w:szCs w:val="24"/>
              </w:rPr>
              <w:t>合计：小写：                    大写：</w:t>
            </w:r>
          </w:p>
        </w:tc>
      </w:tr>
    </w:tbl>
    <w:p w14:paraId="5E2F0A94">
      <w:pPr>
        <w:spacing w:line="500" w:lineRule="exact"/>
        <w:ind w:firstLine="240" w:firstLineChars="100"/>
        <w:rPr>
          <w:rFonts w:hint="eastAsia" w:ascii="方正仿宋_GBK" w:hAnsi="仿宋" w:eastAsia="方正仿宋_GBK"/>
          <w:color w:val="auto"/>
          <w:sz w:val="24"/>
          <w:szCs w:val="28"/>
        </w:rPr>
      </w:pPr>
      <w:r>
        <w:rPr>
          <w:rFonts w:hint="eastAsia" w:ascii="方正仿宋_GBK" w:hAnsi="仿宋" w:eastAsia="方正仿宋_GBK"/>
          <w:color w:val="auto"/>
          <w:sz w:val="24"/>
          <w:szCs w:val="28"/>
        </w:rPr>
        <w:t xml:space="preserve">投标人：                       </w:t>
      </w:r>
      <w:r>
        <w:rPr>
          <w:rFonts w:hint="eastAsia" w:ascii="方正仿宋_GBK" w:hAnsi="宋体" w:eastAsia="方正仿宋_GBK"/>
          <w:color w:val="auto"/>
          <w:sz w:val="24"/>
          <w:szCs w:val="28"/>
        </w:rPr>
        <w:t>法定代表人（或法定代表人授权代表）或自然人：</w:t>
      </w:r>
    </w:p>
    <w:p w14:paraId="3851A46C">
      <w:pPr>
        <w:spacing w:line="500" w:lineRule="exact"/>
        <w:rPr>
          <w:rFonts w:hint="eastAsia" w:ascii="方正仿宋_GBK" w:hAnsi="仿宋" w:eastAsia="方正仿宋_GBK"/>
          <w:color w:val="auto"/>
          <w:sz w:val="24"/>
          <w:szCs w:val="28"/>
        </w:rPr>
      </w:pPr>
      <w:r>
        <w:rPr>
          <w:rFonts w:hint="eastAsia" w:ascii="方正仿宋_GBK" w:hAnsi="仿宋" w:eastAsia="方正仿宋_GBK"/>
          <w:color w:val="auto"/>
          <w:sz w:val="24"/>
          <w:szCs w:val="28"/>
        </w:rPr>
        <w:t xml:space="preserve">  （投标人公章）                               （签署或盖章）</w:t>
      </w:r>
    </w:p>
    <w:p w14:paraId="5260AD87">
      <w:pPr>
        <w:snapToGrid w:val="0"/>
        <w:spacing w:line="500" w:lineRule="exact"/>
        <w:ind w:firstLine="480" w:firstLineChars="200"/>
        <w:rPr>
          <w:rFonts w:hint="eastAsia" w:ascii="方正仿宋_GBK" w:hAnsi="仿宋" w:eastAsia="方正仿宋_GBK"/>
          <w:color w:val="auto"/>
          <w:sz w:val="24"/>
          <w:szCs w:val="28"/>
        </w:rPr>
      </w:pPr>
      <w:r>
        <w:rPr>
          <w:rFonts w:hint="eastAsia" w:ascii="方正仿宋_GBK" w:hAnsi="仿宋" w:eastAsia="方正仿宋_GBK"/>
          <w:color w:val="auto"/>
          <w:sz w:val="24"/>
          <w:szCs w:val="28"/>
        </w:rPr>
        <w:t xml:space="preserve">                                            年     月     日</w:t>
      </w:r>
    </w:p>
    <w:p w14:paraId="6E6D028F">
      <w:pPr>
        <w:snapToGrid w:val="0"/>
        <w:spacing w:line="500" w:lineRule="exact"/>
        <w:ind w:firstLine="480" w:firstLineChars="200"/>
        <w:rPr>
          <w:rFonts w:hint="eastAsia" w:ascii="方正仿宋_GBK" w:hAnsi="仿宋" w:eastAsia="方正仿宋_GBK"/>
          <w:b/>
          <w:color w:val="auto"/>
          <w:szCs w:val="28"/>
        </w:rPr>
      </w:pPr>
      <w:r>
        <w:rPr>
          <w:rFonts w:hint="eastAsia" w:ascii="方正仿宋_GBK" w:hAnsi="仿宋" w:eastAsia="方正仿宋_GBK"/>
          <w:color w:val="auto"/>
          <w:sz w:val="24"/>
          <w:szCs w:val="28"/>
        </w:rPr>
        <w:t>注：1.请投标人完整填写本表；2.该表可扩展。</w:t>
      </w:r>
    </w:p>
    <w:p w14:paraId="380ABF09">
      <w:pPr>
        <w:pStyle w:val="3"/>
        <w:pageBreakBefore/>
        <w:spacing w:line="500" w:lineRule="exact"/>
        <w:rPr>
          <w:rFonts w:hint="eastAsia" w:ascii="方正仿宋_GBK" w:hAnsi="仿宋" w:eastAsia="方正仿宋_GBK"/>
          <w:b/>
          <w:szCs w:val="28"/>
          <w:highlight w:val="none"/>
          <w:u w:val="none" w:color="auto"/>
        </w:rPr>
      </w:pPr>
      <w:bookmarkStart w:id="755" w:name="_Toc23774"/>
      <w:bookmarkStart w:id="756" w:name="_Toc106030418"/>
      <w:bookmarkStart w:id="757" w:name="_Toc1256664133"/>
      <w:bookmarkStart w:id="758" w:name="_Toc3224"/>
      <w:bookmarkStart w:id="759" w:name="_Toc6213"/>
      <w:bookmarkStart w:id="760" w:name="_Toc12770"/>
      <w:bookmarkStart w:id="761" w:name="_Toc15573"/>
      <w:bookmarkStart w:id="762" w:name="_Toc15891"/>
      <w:bookmarkStart w:id="763" w:name="_Toc21779"/>
      <w:bookmarkStart w:id="764" w:name="_Toc27782"/>
      <w:bookmarkStart w:id="765" w:name="_Toc11188"/>
      <w:bookmarkStart w:id="766" w:name="_Toc26723"/>
      <w:bookmarkStart w:id="767" w:name="_Toc493178790"/>
      <w:bookmarkStart w:id="768" w:name="_Toc1842"/>
      <w:bookmarkStart w:id="769" w:name="_Toc14980"/>
      <w:bookmarkStart w:id="770" w:name="_Toc2386"/>
      <w:bookmarkStart w:id="771" w:name="_Toc13820"/>
      <w:bookmarkStart w:id="772" w:name="_Toc2784"/>
      <w:bookmarkStart w:id="773" w:name="_Toc3836"/>
      <w:bookmarkStart w:id="774" w:name="_Toc5166"/>
      <w:bookmarkStart w:id="775" w:name="_Toc21203"/>
      <w:bookmarkStart w:id="776" w:name="_Toc31344"/>
      <w:bookmarkStart w:id="777" w:name="_Toc29441"/>
      <w:bookmarkStart w:id="778" w:name="_Toc75793541"/>
      <w:bookmarkStart w:id="779" w:name="_Toc7244"/>
      <w:r>
        <w:rPr>
          <w:rFonts w:hint="eastAsia" w:ascii="方正仿宋_GBK" w:hAnsi="仿宋" w:eastAsia="方正仿宋_GBK"/>
          <w:b/>
          <w:szCs w:val="28"/>
          <w:highlight w:val="none"/>
          <w:u w:val="none" w:color="auto"/>
        </w:rPr>
        <w:t>二、技术（质量）文件</w:t>
      </w:r>
      <w:bookmarkEnd w:id="755"/>
      <w:bookmarkEnd w:id="756"/>
      <w:bookmarkEnd w:id="757"/>
      <w:bookmarkEnd w:id="758"/>
      <w:bookmarkEnd w:id="759"/>
      <w:bookmarkEnd w:id="760"/>
      <w:bookmarkEnd w:id="761"/>
      <w:bookmarkEnd w:id="762"/>
      <w:bookmarkEnd w:id="763"/>
      <w:bookmarkEnd w:id="764"/>
    </w:p>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p w14:paraId="58C8D8E6">
      <w:pPr>
        <w:ind w:firstLine="480"/>
        <w:jc w:val="left"/>
        <w:rPr>
          <w:rFonts w:hint="eastAsia" w:ascii="方正仿宋_GBK" w:hAnsi="仿宋" w:eastAsia="方正仿宋_GBK"/>
          <w:b/>
          <w:szCs w:val="28"/>
          <w:highlight w:val="none"/>
          <w:u w:val="none" w:color="auto"/>
        </w:rPr>
      </w:pPr>
    </w:p>
    <w:p w14:paraId="3E9BFA37">
      <w:pPr>
        <w:snapToGrid w:val="0"/>
        <w:spacing w:line="4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（一）技术（质量）条款差异表</w:t>
      </w:r>
    </w:p>
    <w:p w14:paraId="4018046C">
      <w:pPr>
        <w:snapToGrid w:val="0"/>
        <w:spacing w:line="4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项目号：</w:t>
      </w:r>
    </w:p>
    <w:p w14:paraId="2495320F">
      <w:pPr>
        <w:snapToGrid w:val="0"/>
        <w:spacing w:line="4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招标项目名称：</w:t>
      </w:r>
    </w:p>
    <w:tbl>
      <w:tblPr>
        <w:tblStyle w:val="60"/>
        <w:tblW w:w="96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2969"/>
        <w:gridCol w:w="3081"/>
        <w:gridCol w:w="2307"/>
      </w:tblGrid>
      <w:tr w14:paraId="2A5AB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71" w:type="dxa"/>
            <w:noWrap w:val="0"/>
            <w:vAlign w:val="center"/>
          </w:tcPr>
          <w:p w14:paraId="4C3CA264">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序号</w:t>
            </w:r>
          </w:p>
        </w:tc>
        <w:tc>
          <w:tcPr>
            <w:tcW w:w="2969" w:type="dxa"/>
            <w:noWrap w:val="0"/>
            <w:vAlign w:val="center"/>
          </w:tcPr>
          <w:p w14:paraId="01762F27">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招标要求</w:t>
            </w:r>
          </w:p>
        </w:tc>
        <w:tc>
          <w:tcPr>
            <w:tcW w:w="3081" w:type="dxa"/>
            <w:noWrap w:val="0"/>
            <w:vAlign w:val="center"/>
          </w:tcPr>
          <w:p w14:paraId="5FCDFD83">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投标应答</w:t>
            </w:r>
          </w:p>
        </w:tc>
        <w:tc>
          <w:tcPr>
            <w:tcW w:w="2307" w:type="dxa"/>
            <w:noWrap w:val="0"/>
            <w:vAlign w:val="center"/>
          </w:tcPr>
          <w:p w14:paraId="4B65630D">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差异说明</w:t>
            </w:r>
          </w:p>
        </w:tc>
      </w:tr>
      <w:tr w14:paraId="7451A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18AFF194">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65CD2071">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5750FD29">
            <w:pPr>
              <w:tabs>
                <w:tab w:val="left" w:pos="6300"/>
              </w:tabs>
              <w:snapToGrid w:val="0"/>
              <w:spacing w:line="500" w:lineRule="exact"/>
              <w:outlineLvl w:val="0"/>
              <w:rPr>
                <w:rFonts w:hint="eastAsia" w:ascii="方正仿宋_GBK" w:hAnsi="仿宋" w:eastAsia="方正仿宋_GBK"/>
                <w:sz w:val="21"/>
                <w:szCs w:val="21"/>
                <w:highlight w:val="none"/>
                <w:u w:val="none" w:color="auto"/>
              </w:rPr>
            </w:pPr>
            <w:r>
              <w:rPr>
                <w:rFonts w:ascii="方正仿宋_GBK" w:hAnsi="仿宋" w:eastAsia="方正仿宋_GBK"/>
                <w:sz w:val="21"/>
                <w:szCs w:val="21"/>
                <w:highlight w:val="none"/>
                <w:u w:val="none" w:color="auto"/>
              </w:rPr>
              <w:t>提醒</w:t>
            </w:r>
            <w:r>
              <w:rPr>
                <w:rFonts w:hint="eastAsia" w:ascii="方正仿宋_GBK" w:hAnsi="仿宋" w:eastAsia="方正仿宋_GBK"/>
                <w:sz w:val="21"/>
                <w:szCs w:val="21"/>
                <w:highlight w:val="none"/>
                <w:u w:val="none" w:color="auto"/>
              </w:rPr>
              <w:t>：</w:t>
            </w:r>
            <w:r>
              <w:rPr>
                <w:rFonts w:ascii="方正仿宋_GBK" w:hAnsi="仿宋" w:eastAsia="方正仿宋_GBK"/>
                <w:sz w:val="21"/>
                <w:szCs w:val="21"/>
                <w:highlight w:val="none"/>
                <w:u w:val="none" w:color="auto"/>
              </w:rPr>
              <w:t>请注明</w:t>
            </w:r>
            <w:r>
              <w:rPr>
                <w:rFonts w:hint="eastAsia" w:ascii="方正仿宋_GBK" w:hAnsi="仿宋" w:eastAsia="方正仿宋_GBK"/>
                <w:sz w:val="21"/>
                <w:szCs w:val="21"/>
                <w:highlight w:val="none"/>
                <w:u w:val="none" w:color="auto"/>
              </w:rPr>
              <w:t>技术</w:t>
            </w:r>
            <w:r>
              <w:rPr>
                <w:rFonts w:ascii="方正仿宋_GBK" w:hAnsi="仿宋" w:eastAsia="方正仿宋_GBK"/>
                <w:sz w:val="21"/>
                <w:szCs w:val="21"/>
                <w:highlight w:val="none"/>
                <w:u w:val="none" w:color="auto"/>
              </w:rPr>
              <w:t>参数或具体内容以及</w:t>
            </w:r>
            <w:r>
              <w:rPr>
                <w:rFonts w:hint="eastAsia" w:ascii="方正仿宋_GBK" w:hAnsi="仿宋" w:eastAsia="方正仿宋_GBK"/>
                <w:sz w:val="21"/>
                <w:szCs w:val="21"/>
                <w:highlight w:val="none"/>
                <w:u w:val="none" w:color="auto"/>
              </w:rPr>
              <w:t>投标文件</w:t>
            </w:r>
            <w:r>
              <w:rPr>
                <w:rFonts w:ascii="方正仿宋_GBK" w:hAnsi="仿宋" w:eastAsia="方正仿宋_GBK"/>
                <w:sz w:val="21"/>
                <w:szCs w:val="21"/>
                <w:highlight w:val="none"/>
                <w:u w:val="none" w:color="auto"/>
              </w:rPr>
              <w:t>中</w:t>
            </w:r>
            <w:r>
              <w:rPr>
                <w:rFonts w:hint="eastAsia" w:ascii="方正仿宋_GBK" w:hAnsi="仿宋" w:eastAsia="方正仿宋_GBK"/>
                <w:sz w:val="21"/>
                <w:szCs w:val="21"/>
                <w:highlight w:val="none"/>
                <w:u w:val="none" w:color="auto"/>
              </w:rPr>
              <w:t>技术</w:t>
            </w:r>
            <w:r>
              <w:rPr>
                <w:rFonts w:ascii="方正仿宋_GBK" w:hAnsi="仿宋" w:eastAsia="方正仿宋_GBK"/>
                <w:sz w:val="21"/>
                <w:szCs w:val="21"/>
                <w:highlight w:val="none"/>
                <w:u w:val="none" w:color="auto"/>
              </w:rPr>
              <w:t>参数或</w:t>
            </w:r>
            <w:r>
              <w:rPr>
                <w:rFonts w:hint="eastAsia" w:ascii="方正仿宋_GBK" w:hAnsi="仿宋" w:eastAsia="方正仿宋_GBK"/>
                <w:sz w:val="21"/>
                <w:szCs w:val="21"/>
                <w:highlight w:val="none"/>
                <w:u w:val="none" w:color="auto"/>
              </w:rPr>
              <w:t>具体</w:t>
            </w:r>
            <w:r>
              <w:rPr>
                <w:rFonts w:ascii="方正仿宋_GBK" w:hAnsi="仿宋" w:eastAsia="方正仿宋_GBK"/>
                <w:sz w:val="21"/>
                <w:szCs w:val="21"/>
                <w:highlight w:val="none"/>
                <w:u w:val="none" w:color="auto"/>
              </w:rPr>
              <w:t>内容</w:t>
            </w:r>
            <w:r>
              <w:rPr>
                <w:rFonts w:hint="eastAsia" w:ascii="方正仿宋_GBK" w:hAnsi="仿宋" w:eastAsia="方正仿宋_GBK"/>
                <w:sz w:val="21"/>
                <w:szCs w:val="21"/>
                <w:highlight w:val="none"/>
                <w:u w:val="none" w:color="auto"/>
              </w:rPr>
              <w:t>的</w:t>
            </w:r>
            <w:r>
              <w:rPr>
                <w:rFonts w:ascii="方正仿宋_GBK" w:hAnsi="仿宋" w:eastAsia="方正仿宋_GBK"/>
                <w:sz w:val="21"/>
                <w:szCs w:val="21"/>
                <w:highlight w:val="none"/>
                <w:u w:val="none" w:color="auto"/>
              </w:rPr>
              <w:t>位置</w:t>
            </w:r>
          </w:p>
        </w:tc>
        <w:tc>
          <w:tcPr>
            <w:tcW w:w="2307" w:type="dxa"/>
            <w:noWrap w:val="0"/>
            <w:vAlign w:val="center"/>
          </w:tcPr>
          <w:p w14:paraId="3CB4F190">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297A7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0FFCA4FF">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11F054CE">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32ED299E">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252064ED">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200DB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5745D640">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11608F58">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33FF38D6">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62F51BF0">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4EF0C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1CCB8A49">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1ACA3F42">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63BA587D">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3A87E6EC">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3AEAA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1AA00B99">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2425500D">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60668EFB">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00A4E9EA">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7B828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60CC5A86">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4695E277">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6FA68B35">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1A8A4294">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47B26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39B7114F">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7A110AAE">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66CB436D">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386752F5">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5CC5B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0DD1E113">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5E186FC1">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22277A7E">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353C763B">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75014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300EFD49">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7F5D6A4C">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4AD1BBF2">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0D257B41">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bl>
    <w:p w14:paraId="63217163">
      <w:pPr>
        <w:spacing w:line="500" w:lineRule="exact"/>
        <w:ind w:firstLine="600" w:firstLineChars="25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投标人：                      法定代表人（或法定代表人授权代表）或自然人：</w:t>
      </w:r>
    </w:p>
    <w:p w14:paraId="1150FAEC">
      <w:pPr>
        <w:spacing w:line="500" w:lineRule="exact"/>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 xml:space="preserve">    </w:t>
      </w:r>
    </w:p>
    <w:p w14:paraId="18DFAFFB">
      <w:pPr>
        <w:spacing w:line="500" w:lineRule="exact"/>
        <w:ind w:firstLine="720" w:firstLineChars="3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（投标人公章）                               （签署或盖章）</w:t>
      </w:r>
    </w:p>
    <w:p w14:paraId="4774D90C">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szCs w:val="28"/>
          <w:highlight w:val="none"/>
          <w:u w:val="none" w:color="auto"/>
        </w:rPr>
        <w:t xml:space="preserve">                                            年     月     日</w:t>
      </w:r>
    </w:p>
    <w:p w14:paraId="15F0E2DF">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注：</w:t>
      </w:r>
    </w:p>
    <w:p w14:paraId="2BD76A22">
      <w:pPr>
        <w:tabs>
          <w:tab w:val="left" w:pos="6300"/>
        </w:tabs>
        <w:snapToGrid w:val="0"/>
        <w:spacing w:line="500" w:lineRule="exact"/>
        <w:ind w:firstLine="570"/>
        <w:rPr>
          <w:rFonts w:hint="eastAsia" w:ascii="方正仿宋_GBK" w:hAnsi="仿宋" w:eastAsia="方正仿宋_GBK"/>
          <w:sz w:val="24"/>
          <w:szCs w:val="24"/>
          <w:highlight w:val="none"/>
          <w:u w:val="none" w:color="auto"/>
        </w:rPr>
      </w:pPr>
      <w:r>
        <w:rPr>
          <w:rFonts w:hint="eastAsia" w:ascii="方正仿宋_GBK" w:hAnsi="仿宋" w:eastAsia="方正仿宋_GBK"/>
          <w:sz w:val="24"/>
          <w:szCs w:val="24"/>
          <w:highlight w:val="none"/>
          <w:u w:val="none" w:color="auto"/>
        </w:rPr>
        <w:t>1.本表即为对本项目“第二篇  项目技术（质量）需求”中所列条款进行比较和响应；</w:t>
      </w:r>
    </w:p>
    <w:p w14:paraId="201A80E4">
      <w:pPr>
        <w:tabs>
          <w:tab w:val="left" w:pos="6300"/>
        </w:tabs>
        <w:snapToGrid w:val="0"/>
        <w:spacing w:line="500" w:lineRule="exact"/>
        <w:ind w:firstLine="570"/>
        <w:rPr>
          <w:rFonts w:hint="eastAsia" w:ascii="方正仿宋_GBK" w:hAnsi="仿宋" w:eastAsia="方正仿宋_GBK"/>
          <w:sz w:val="24"/>
          <w:szCs w:val="24"/>
          <w:highlight w:val="none"/>
          <w:u w:val="none" w:color="auto"/>
        </w:rPr>
      </w:pPr>
      <w:r>
        <w:rPr>
          <w:rFonts w:hint="eastAsia" w:ascii="方正仿宋_GBK" w:hAnsi="仿宋" w:eastAsia="方正仿宋_GBK"/>
          <w:sz w:val="24"/>
          <w:szCs w:val="24"/>
          <w:highlight w:val="none"/>
          <w:u w:val="none" w:color="auto"/>
        </w:rPr>
        <w:t>2.本表可扩展；</w:t>
      </w:r>
    </w:p>
    <w:p w14:paraId="6D7797CB">
      <w:pPr>
        <w:tabs>
          <w:tab w:val="left" w:pos="6300"/>
        </w:tabs>
        <w:snapToGrid w:val="0"/>
        <w:spacing w:line="500" w:lineRule="exact"/>
        <w:ind w:firstLine="570"/>
        <w:rPr>
          <w:rFonts w:hint="eastAsia" w:ascii="方正仿宋_GBK" w:hAnsi="仿宋" w:eastAsia="方正仿宋_GBK"/>
          <w:sz w:val="24"/>
          <w:szCs w:val="24"/>
          <w:highlight w:val="none"/>
          <w:u w:val="none" w:color="auto"/>
        </w:rPr>
      </w:pPr>
      <w:r>
        <w:rPr>
          <w:rFonts w:hint="eastAsia" w:ascii="方正仿宋_GBK" w:hAnsi="仿宋" w:eastAsia="方正仿宋_GBK"/>
          <w:sz w:val="24"/>
          <w:szCs w:val="24"/>
          <w:highlight w:val="none"/>
          <w:u w:val="none" w:color="auto"/>
        </w:rPr>
        <w:t>3.可附相关技术（质量）支撑材料。（格式自定）</w:t>
      </w:r>
    </w:p>
    <w:p w14:paraId="56DA95B9">
      <w:pPr>
        <w:tabs>
          <w:tab w:val="left" w:pos="6300"/>
        </w:tabs>
        <w:snapToGrid w:val="0"/>
        <w:spacing w:line="500" w:lineRule="exact"/>
        <w:ind w:firstLine="570"/>
        <w:rPr>
          <w:rFonts w:hint="eastAsia" w:ascii="方正仿宋_GBK" w:hAnsi="仿宋" w:eastAsia="方正仿宋_GBK"/>
          <w:szCs w:val="24"/>
          <w:highlight w:val="none"/>
          <w:u w:val="none" w:color="auto"/>
        </w:rPr>
      </w:pPr>
      <w:r>
        <w:rPr>
          <w:rFonts w:ascii="方正仿宋_GBK" w:hAnsi="仿宋" w:eastAsia="方正仿宋_GBK"/>
          <w:sz w:val="24"/>
          <w:szCs w:val="28"/>
          <w:highlight w:val="none"/>
          <w:u w:val="none" w:color="auto"/>
        </w:rPr>
        <w:t>4</w:t>
      </w:r>
      <w:r>
        <w:rPr>
          <w:rFonts w:hint="eastAsia" w:ascii="方正仿宋_GBK" w:hAnsi="仿宋" w:eastAsia="方正仿宋_GBK"/>
          <w:sz w:val="24"/>
          <w:szCs w:val="28"/>
          <w:highlight w:val="none"/>
          <w:u w:val="none" w:color="auto"/>
        </w:rPr>
        <w:t>.投标应答栏</w:t>
      </w:r>
      <w:r>
        <w:rPr>
          <w:rFonts w:ascii="方正仿宋_GBK" w:hAnsi="仿宋" w:eastAsia="方正仿宋_GBK"/>
          <w:sz w:val="24"/>
          <w:szCs w:val="28"/>
          <w:highlight w:val="none"/>
          <w:u w:val="none" w:color="auto"/>
        </w:rPr>
        <w:t>中</w:t>
      </w:r>
      <w:r>
        <w:rPr>
          <w:rFonts w:hint="eastAsia" w:ascii="方正仿宋_GBK" w:hAnsi="仿宋" w:eastAsia="方正仿宋_GBK"/>
          <w:sz w:val="24"/>
          <w:szCs w:val="28"/>
          <w:highlight w:val="none"/>
          <w:u w:val="none" w:color="auto"/>
        </w:rPr>
        <w:t>应当注明</w:t>
      </w:r>
      <w:r>
        <w:rPr>
          <w:rFonts w:ascii="方正仿宋_GBK" w:hAnsi="仿宋" w:eastAsia="方正仿宋_GBK"/>
          <w:sz w:val="24"/>
          <w:szCs w:val="28"/>
          <w:highlight w:val="none"/>
          <w:u w:val="none" w:color="auto"/>
        </w:rPr>
        <w:t>技术参数或具体内容，且必须标注</w:t>
      </w:r>
      <w:r>
        <w:rPr>
          <w:rFonts w:hint="eastAsia" w:ascii="方正仿宋_GBK" w:hAnsi="仿宋" w:eastAsia="方正仿宋_GBK"/>
          <w:sz w:val="24"/>
          <w:szCs w:val="28"/>
          <w:highlight w:val="none"/>
          <w:u w:val="none" w:color="auto"/>
        </w:rPr>
        <w:t>技术参数</w:t>
      </w:r>
      <w:r>
        <w:rPr>
          <w:rFonts w:ascii="方正仿宋_GBK" w:hAnsi="仿宋" w:eastAsia="方正仿宋_GBK"/>
          <w:sz w:val="24"/>
          <w:szCs w:val="28"/>
          <w:highlight w:val="none"/>
          <w:u w:val="none" w:color="auto"/>
        </w:rPr>
        <w:t>或具体内容</w:t>
      </w:r>
      <w:r>
        <w:rPr>
          <w:rFonts w:hint="eastAsia" w:ascii="方正仿宋_GBK" w:hAnsi="仿宋" w:eastAsia="方正仿宋_GBK"/>
          <w:sz w:val="24"/>
          <w:szCs w:val="28"/>
          <w:highlight w:val="none"/>
          <w:u w:val="none" w:color="auto"/>
        </w:rPr>
        <w:t>在</w:t>
      </w:r>
      <w:r>
        <w:rPr>
          <w:rFonts w:ascii="方正仿宋_GBK" w:hAnsi="仿宋" w:eastAsia="方正仿宋_GBK"/>
          <w:sz w:val="24"/>
          <w:szCs w:val="28"/>
          <w:highlight w:val="none"/>
          <w:u w:val="none" w:color="auto"/>
        </w:rPr>
        <w:t>投标文件中的位置（</w:t>
      </w:r>
      <w:r>
        <w:rPr>
          <w:rFonts w:hint="eastAsia" w:ascii="方正仿宋_GBK" w:hAnsi="仿宋" w:eastAsia="方正仿宋_GBK"/>
          <w:sz w:val="24"/>
          <w:szCs w:val="28"/>
          <w:highlight w:val="none"/>
          <w:u w:val="none" w:color="auto"/>
        </w:rPr>
        <w:t>页码</w:t>
      </w:r>
      <w:r>
        <w:rPr>
          <w:rFonts w:ascii="方正仿宋_GBK" w:hAnsi="仿宋" w:eastAsia="方正仿宋_GBK"/>
          <w:sz w:val="24"/>
          <w:szCs w:val="28"/>
          <w:highlight w:val="none"/>
          <w:u w:val="none" w:color="auto"/>
        </w:rPr>
        <w:t>）</w:t>
      </w:r>
      <w:r>
        <w:rPr>
          <w:rFonts w:hint="eastAsia" w:ascii="方正仿宋_GBK" w:hAnsi="仿宋" w:eastAsia="方正仿宋_GBK"/>
          <w:sz w:val="24"/>
          <w:szCs w:val="28"/>
          <w:highlight w:val="none"/>
          <w:u w:val="none" w:color="auto"/>
        </w:rPr>
        <w:t>。</w:t>
      </w:r>
    </w:p>
    <w:p w14:paraId="198B9DAA">
      <w:pPr>
        <w:tabs>
          <w:tab w:val="left" w:pos="6300"/>
        </w:tabs>
        <w:snapToGrid w:val="0"/>
        <w:spacing w:line="500" w:lineRule="exact"/>
        <w:ind w:firstLine="570"/>
        <w:rPr>
          <w:rFonts w:hint="eastAsia" w:ascii="方正仿宋_GBK" w:hAnsi="宋体" w:eastAsia="方正仿宋_GBK"/>
          <w:sz w:val="24"/>
          <w:szCs w:val="28"/>
          <w:highlight w:val="none"/>
          <w:u w:val="none" w:color="auto"/>
        </w:rPr>
      </w:pPr>
      <w:r>
        <w:rPr>
          <w:rFonts w:hint="eastAsia" w:ascii="方正仿宋_GBK" w:hAnsi="仿宋" w:eastAsia="方正仿宋_GBK"/>
          <w:szCs w:val="24"/>
          <w:highlight w:val="none"/>
          <w:u w:val="none" w:color="auto"/>
        </w:rPr>
        <w:br w:type="page"/>
      </w:r>
      <w:r>
        <w:rPr>
          <w:rFonts w:hint="eastAsia" w:ascii="方正仿宋_GBK" w:hAnsi="宋体" w:eastAsia="方正仿宋_GBK"/>
          <w:sz w:val="24"/>
          <w:szCs w:val="28"/>
          <w:highlight w:val="none"/>
          <w:u w:val="none" w:color="auto"/>
        </w:rPr>
        <w:t>（二）其他技术（质量）资料</w:t>
      </w:r>
    </w:p>
    <w:p w14:paraId="2017E482">
      <w:pPr>
        <w:snapToGrid w:val="0"/>
        <w:spacing w:line="500" w:lineRule="exact"/>
        <w:ind w:firstLine="480" w:firstLineChars="200"/>
        <w:rPr>
          <w:rFonts w:hint="eastAsia" w:ascii="方正仿宋_GBK" w:hAnsi="仿宋" w:eastAsia="方正仿宋_GBK"/>
          <w:sz w:val="24"/>
          <w:szCs w:val="28"/>
          <w:highlight w:val="none"/>
          <w:u w:val="none" w:color="auto"/>
        </w:rPr>
      </w:pPr>
    </w:p>
    <w:p w14:paraId="082ACED1">
      <w:pPr>
        <w:pStyle w:val="3"/>
        <w:pageBreakBefore/>
        <w:spacing w:line="500" w:lineRule="exact"/>
        <w:ind w:firstLine="562" w:firstLineChars="200"/>
        <w:rPr>
          <w:rFonts w:hint="eastAsia" w:ascii="方正仿宋_GBK" w:hAnsi="仿宋" w:eastAsia="方正仿宋_GBK"/>
          <w:b/>
          <w:szCs w:val="28"/>
          <w:highlight w:val="none"/>
          <w:u w:val="none" w:color="auto"/>
        </w:rPr>
      </w:pPr>
      <w:bookmarkStart w:id="780" w:name="_Toc28242"/>
      <w:bookmarkStart w:id="781" w:name="_Toc10372"/>
      <w:bookmarkStart w:id="782" w:name="_Toc26494"/>
      <w:bookmarkStart w:id="783" w:name="_Toc75793542"/>
      <w:bookmarkStart w:id="784" w:name="_Toc8958"/>
      <w:bookmarkStart w:id="785" w:name="_Toc7069"/>
      <w:bookmarkStart w:id="786" w:name="_Toc14954"/>
      <w:bookmarkStart w:id="787" w:name="_Toc5573"/>
      <w:bookmarkStart w:id="788" w:name="_Toc15441"/>
      <w:bookmarkStart w:id="789" w:name="_Toc30667"/>
      <w:bookmarkStart w:id="790" w:name="_Toc23523"/>
      <w:bookmarkStart w:id="791" w:name="_Toc13591"/>
      <w:bookmarkStart w:id="792" w:name="_Toc22113"/>
      <w:bookmarkStart w:id="793" w:name="_Toc492721039"/>
      <w:bookmarkStart w:id="794" w:name="_Toc30496"/>
      <w:bookmarkStart w:id="795" w:name="_Toc646402978"/>
      <w:bookmarkStart w:id="796" w:name="_Toc493178791"/>
      <w:bookmarkStart w:id="797" w:name="_Toc17290"/>
      <w:bookmarkStart w:id="798" w:name="_Toc4362"/>
      <w:bookmarkStart w:id="799" w:name="_Toc32670"/>
      <w:bookmarkStart w:id="800" w:name="_Toc106030419"/>
      <w:bookmarkStart w:id="801" w:name="_Toc6786"/>
      <w:r>
        <w:rPr>
          <w:rFonts w:hint="eastAsia" w:ascii="方正仿宋_GBK" w:hAnsi="仿宋" w:eastAsia="方正仿宋_GBK"/>
          <w:b/>
          <w:szCs w:val="28"/>
          <w:highlight w:val="none"/>
          <w:u w:val="none" w:color="auto"/>
        </w:rPr>
        <w:t>三、商务文件</w:t>
      </w:r>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p>
    <w:p w14:paraId="5949726B">
      <w:pPr>
        <w:snapToGrid w:val="0"/>
        <w:spacing w:before="120" w:beforeLines="50" w:line="500" w:lineRule="exact"/>
        <w:jc w:val="center"/>
        <w:rPr>
          <w:rFonts w:hint="eastAsia" w:ascii="方正仿宋_GBK" w:hAnsi="仿宋" w:eastAsia="方正仿宋_GBK"/>
          <w:szCs w:val="28"/>
          <w:highlight w:val="none"/>
          <w:u w:val="none" w:color="auto"/>
        </w:rPr>
      </w:pPr>
      <w:r>
        <w:rPr>
          <w:rFonts w:hint="eastAsia" w:ascii="方正仿宋_GBK" w:hAnsi="仿宋" w:eastAsia="方正仿宋_GBK"/>
          <w:szCs w:val="28"/>
          <w:highlight w:val="none"/>
          <w:u w:val="none" w:color="auto"/>
        </w:rPr>
        <w:t>（一）投标函（格式）</w:t>
      </w:r>
    </w:p>
    <w:p w14:paraId="26118BD6">
      <w:pPr>
        <w:spacing w:line="500" w:lineRule="exact"/>
        <w:rPr>
          <w:rFonts w:hint="eastAsia" w:ascii="方正仿宋_GBK" w:hAnsi="仿宋" w:eastAsia="方正仿宋_GBK"/>
          <w:sz w:val="24"/>
          <w:szCs w:val="28"/>
          <w:highlight w:val="none"/>
          <w:u w:val="none" w:color="auto"/>
        </w:rPr>
      </w:pPr>
    </w:p>
    <w:p w14:paraId="0C813AA8">
      <w:pPr>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 xml:space="preserve">招标项目名称：                                             </w:t>
      </w:r>
    </w:p>
    <w:p w14:paraId="29DAEA84">
      <w:pPr>
        <w:spacing w:line="500" w:lineRule="exact"/>
        <w:rPr>
          <w:rFonts w:hint="eastAsia" w:ascii="方正仿宋_GBK" w:hAnsi="仿宋" w:eastAsia="方正仿宋_GBK"/>
          <w:sz w:val="24"/>
          <w:szCs w:val="28"/>
          <w:highlight w:val="none"/>
          <w:u w:val="none" w:color="auto"/>
        </w:rPr>
      </w:pPr>
    </w:p>
    <w:p w14:paraId="6158E48D">
      <w:pPr>
        <w:tabs>
          <w:tab w:val="left" w:pos="6300"/>
        </w:tabs>
        <w:snapToGrid w:val="0"/>
        <w:spacing w:line="500" w:lineRule="exact"/>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致：                    （采购代理机构名称）：</w:t>
      </w:r>
    </w:p>
    <w:p w14:paraId="18CBC26F">
      <w:pPr>
        <w:snapToGrid w:val="0"/>
        <w:spacing w:before="120" w:beforeLines="50"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 xml:space="preserve">                        （投标人名称）系中华人民共和国合法企业，注册地址：                               。我方就参加本次投标有关事项郑重声明如下：</w:t>
      </w:r>
    </w:p>
    <w:p w14:paraId="5AEE5F11">
      <w:pPr>
        <w:tabs>
          <w:tab w:val="left" w:pos="6300"/>
        </w:tabs>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一、我方完全理解并接受该项目招标文件所有要求。</w:t>
      </w:r>
    </w:p>
    <w:p w14:paraId="5A14F5B9">
      <w:pPr>
        <w:tabs>
          <w:tab w:val="left" w:pos="6300"/>
        </w:tabs>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二、我方提交的所有投标文件、资料都是准确和真实的，如有虚假或隐瞒，我方愿意承担一切法律责任。</w:t>
      </w:r>
    </w:p>
    <w:p w14:paraId="2D837EEA">
      <w:pPr>
        <w:tabs>
          <w:tab w:val="left" w:pos="6300"/>
        </w:tabs>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三、我方承诺按照招标文件要求，提供招标项目的技术（质量）服务。</w:t>
      </w:r>
    </w:p>
    <w:p w14:paraId="5C83BE01">
      <w:pPr>
        <w:shd w:val="clear"/>
        <w:tabs>
          <w:tab w:val="left" w:pos="6300"/>
        </w:tabs>
        <w:snapToGrid w:val="0"/>
        <w:spacing w:line="500" w:lineRule="exact"/>
        <w:ind w:firstLine="480" w:firstLineChars="200"/>
        <w:rPr>
          <w:rFonts w:hint="eastAsia" w:ascii="仿宋" w:hAnsi="仿宋" w:eastAsia="仿宋" w:cs="仿宋"/>
          <w:sz w:val="24"/>
          <w:szCs w:val="28"/>
          <w:highlight w:val="none"/>
        </w:rPr>
      </w:pPr>
      <w:r>
        <w:rPr>
          <w:rFonts w:hint="eastAsia" w:ascii="仿宋" w:hAnsi="仿宋" w:eastAsia="仿宋"/>
          <w:sz w:val="24"/>
          <w:szCs w:val="28"/>
          <w:highlight w:val="none"/>
        </w:rPr>
        <w:t>四、我方按招标文件要求提交的投标文件为：</w:t>
      </w:r>
      <w:r>
        <w:rPr>
          <w:rFonts w:hint="eastAsia" w:ascii="仿宋" w:hAnsi="仿宋" w:eastAsia="仿宋" w:cs="仿宋"/>
          <w:sz w:val="24"/>
          <w:szCs w:val="28"/>
          <w:highlight w:val="none"/>
        </w:rPr>
        <w:t>电子投标文件</w:t>
      </w:r>
      <w:r>
        <w:rPr>
          <w:rFonts w:hint="eastAsia" w:ascii="仿宋" w:hAnsi="仿宋" w:eastAsia="仿宋" w:cs="仿宋"/>
          <w:sz w:val="24"/>
          <w:szCs w:val="28"/>
          <w:highlight w:val="none"/>
          <w:lang w:val="en-US" w:eastAsia="zh-CN"/>
        </w:rPr>
        <w:t>壹</w:t>
      </w:r>
      <w:r>
        <w:rPr>
          <w:rFonts w:hint="eastAsia" w:ascii="仿宋" w:hAnsi="仿宋" w:eastAsia="仿宋" w:cs="仿宋"/>
          <w:sz w:val="24"/>
          <w:szCs w:val="28"/>
          <w:highlight w:val="none"/>
        </w:rPr>
        <w:t>份。</w:t>
      </w:r>
    </w:p>
    <w:p w14:paraId="54154B6E">
      <w:pPr>
        <w:shd w:val="clear"/>
        <w:tabs>
          <w:tab w:val="left" w:pos="6300"/>
        </w:tabs>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仿宋" w:hAnsi="仿宋" w:eastAsia="仿宋" w:cs="仿宋"/>
          <w:sz w:val="24"/>
          <w:szCs w:val="28"/>
          <w:highlight w:val="none"/>
        </w:rPr>
        <w:t>五、我方承诺：本次投标的投标有效期为</w:t>
      </w:r>
      <w:r>
        <w:rPr>
          <w:rFonts w:hint="eastAsia" w:ascii="仿宋" w:hAnsi="仿宋" w:eastAsia="仿宋" w:cs="仿宋"/>
          <w:sz w:val="24"/>
          <w:highlight w:val="none"/>
        </w:rPr>
        <w:t>电子投标文件截止时间</w:t>
      </w:r>
      <w:r>
        <w:rPr>
          <w:rFonts w:hint="eastAsia" w:ascii="仿宋" w:hAnsi="仿宋" w:eastAsia="仿宋" w:cs="仿宋"/>
          <w:sz w:val="24"/>
          <w:szCs w:val="28"/>
          <w:highlight w:val="none"/>
        </w:rPr>
        <w:t>起90天。</w:t>
      </w:r>
    </w:p>
    <w:p w14:paraId="522398AF">
      <w:pPr>
        <w:tabs>
          <w:tab w:val="left" w:pos="6300"/>
        </w:tabs>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六、我方投标报价为闭口价。即在投标有效期和合同有效期内，该报价固定不变。</w:t>
      </w:r>
    </w:p>
    <w:p w14:paraId="78F44DBC">
      <w:pPr>
        <w:tabs>
          <w:tab w:val="left" w:pos="6300"/>
        </w:tabs>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七、如果我方中标，我方将履行招标文件中规定的各项要求以及我方投标文件的各项承诺，按《中华人民共和国政府采购法》、《中华人民共和国民法典》及合同约定条款承担我方责任。</w:t>
      </w:r>
    </w:p>
    <w:p w14:paraId="40A73E3C">
      <w:pPr>
        <w:tabs>
          <w:tab w:val="left" w:pos="6300"/>
        </w:tabs>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八、我方未</w:t>
      </w:r>
      <w:r>
        <w:rPr>
          <w:rFonts w:hint="eastAsia" w:ascii="方正仿宋_GBK" w:hAnsi="仿宋" w:eastAsia="方正仿宋_GBK"/>
          <w:sz w:val="24"/>
          <w:szCs w:val="24"/>
          <w:highlight w:val="none"/>
          <w:u w:val="none" w:color="auto"/>
        </w:rPr>
        <w:t>为采购项目提供整体设计、规范编制或者项目管理、监理、检测等服务。</w:t>
      </w:r>
    </w:p>
    <w:p w14:paraId="2CB46B75">
      <w:pPr>
        <w:tabs>
          <w:tab w:val="left" w:pos="6300"/>
        </w:tabs>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九、我方理解，最低报价不是中标的唯一条件。</w:t>
      </w:r>
    </w:p>
    <w:p w14:paraId="2395ED28">
      <w:pPr>
        <w:tabs>
          <w:tab w:val="left" w:pos="6300"/>
        </w:tabs>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十、我方同意按有关规定及招标文件要求，交纳足额投标保证金。</w:t>
      </w:r>
    </w:p>
    <w:p w14:paraId="7222A3CA">
      <w:pPr>
        <w:tabs>
          <w:tab w:val="left" w:pos="6300"/>
        </w:tabs>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十一、若我方中标，愿意按有关规定及招标文件要求缴纳招标代理服务费和交易服务费。</w:t>
      </w:r>
    </w:p>
    <w:p w14:paraId="2AE428C2">
      <w:pPr>
        <w:tabs>
          <w:tab w:val="left" w:pos="6300"/>
        </w:tabs>
        <w:snapToGrid w:val="0"/>
        <w:spacing w:line="500" w:lineRule="exact"/>
        <w:ind w:firstLine="570"/>
        <w:rPr>
          <w:rFonts w:hint="eastAsia" w:ascii="方正仿宋_GBK" w:hAnsi="仿宋" w:eastAsia="方正仿宋_GBK"/>
          <w:sz w:val="24"/>
          <w:szCs w:val="28"/>
          <w:highlight w:val="none"/>
          <w:u w:val="none" w:color="auto"/>
        </w:rPr>
      </w:pPr>
    </w:p>
    <w:p w14:paraId="44CB515F">
      <w:pPr>
        <w:tabs>
          <w:tab w:val="left" w:pos="6300"/>
        </w:tabs>
        <w:snapToGrid w:val="0"/>
        <w:spacing w:line="500" w:lineRule="exact"/>
        <w:ind w:firstLine="5460" w:firstLineChars="2275"/>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（投标人公章或自然人签署）</w:t>
      </w:r>
    </w:p>
    <w:p w14:paraId="4AC8CDCC">
      <w:pPr>
        <w:tabs>
          <w:tab w:val="left" w:pos="6300"/>
        </w:tabs>
        <w:snapToGrid w:val="0"/>
        <w:spacing w:line="500" w:lineRule="exact"/>
        <w:ind w:firstLine="5760" w:firstLineChars="2400"/>
        <w:rPr>
          <w:rFonts w:hint="eastAsia" w:ascii="方正仿宋_GBK" w:hAnsi="仿宋" w:eastAsia="方正仿宋_GBK"/>
          <w:szCs w:val="28"/>
          <w:highlight w:val="none"/>
          <w:u w:val="none" w:color="auto"/>
        </w:rPr>
      </w:pPr>
      <w:r>
        <w:rPr>
          <w:rFonts w:hint="eastAsia" w:ascii="方正仿宋_GBK" w:hAnsi="仿宋" w:eastAsia="方正仿宋_GBK"/>
          <w:sz w:val="24"/>
          <w:szCs w:val="28"/>
          <w:highlight w:val="none"/>
          <w:u w:val="none" w:color="auto"/>
        </w:rPr>
        <w:t>年    月   日</w:t>
      </w:r>
    </w:p>
    <w:p w14:paraId="6157C1B5">
      <w:pPr>
        <w:snapToGrid w:val="0"/>
        <w:spacing w:line="400" w:lineRule="exact"/>
        <w:ind w:firstLine="560" w:firstLineChars="200"/>
        <w:rPr>
          <w:rFonts w:hint="eastAsia" w:ascii="方正仿宋_GBK" w:hAnsi="宋体" w:eastAsia="方正仿宋_GBK"/>
          <w:sz w:val="24"/>
          <w:szCs w:val="28"/>
          <w:highlight w:val="none"/>
          <w:u w:val="none" w:color="auto"/>
        </w:rPr>
      </w:pPr>
      <w:r>
        <w:rPr>
          <w:rFonts w:hint="eastAsia" w:ascii="方正仿宋_GBK" w:hAnsi="仿宋" w:eastAsia="方正仿宋_GBK"/>
          <w:szCs w:val="44"/>
          <w:highlight w:val="none"/>
          <w:u w:val="none" w:color="auto"/>
        </w:rPr>
        <w:br w:type="page"/>
      </w:r>
      <w:r>
        <w:rPr>
          <w:rFonts w:hint="eastAsia" w:ascii="方正仿宋_GBK" w:hAnsi="宋体" w:eastAsia="方正仿宋_GBK"/>
          <w:sz w:val="24"/>
          <w:szCs w:val="28"/>
          <w:highlight w:val="none"/>
          <w:u w:val="none" w:color="auto"/>
        </w:rPr>
        <w:t>（二）商务条款差异表</w:t>
      </w:r>
    </w:p>
    <w:p w14:paraId="1D853108">
      <w:pPr>
        <w:snapToGrid w:val="0"/>
        <w:spacing w:line="4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项目号：</w:t>
      </w:r>
    </w:p>
    <w:p w14:paraId="658D5F23">
      <w:pPr>
        <w:snapToGrid w:val="0"/>
        <w:spacing w:line="4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招标项目名称：</w:t>
      </w:r>
    </w:p>
    <w:tbl>
      <w:tblPr>
        <w:tblStyle w:val="60"/>
        <w:tblW w:w="96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2969"/>
        <w:gridCol w:w="3081"/>
        <w:gridCol w:w="2307"/>
      </w:tblGrid>
      <w:tr w14:paraId="25D1B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71" w:type="dxa"/>
            <w:noWrap w:val="0"/>
            <w:vAlign w:val="center"/>
          </w:tcPr>
          <w:p w14:paraId="260D13D1">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序号</w:t>
            </w:r>
          </w:p>
        </w:tc>
        <w:tc>
          <w:tcPr>
            <w:tcW w:w="2969" w:type="dxa"/>
            <w:noWrap w:val="0"/>
            <w:vAlign w:val="center"/>
          </w:tcPr>
          <w:p w14:paraId="57196922">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招标商务要求</w:t>
            </w:r>
          </w:p>
        </w:tc>
        <w:tc>
          <w:tcPr>
            <w:tcW w:w="3081" w:type="dxa"/>
            <w:noWrap w:val="0"/>
            <w:vAlign w:val="center"/>
          </w:tcPr>
          <w:p w14:paraId="0277EA4D">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投标商务应答</w:t>
            </w:r>
          </w:p>
        </w:tc>
        <w:tc>
          <w:tcPr>
            <w:tcW w:w="2307" w:type="dxa"/>
            <w:noWrap w:val="0"/>
            <w:vAlign w:val="center"/>
          </w:tcPr>
          <w:p w14:paraId="64D126B4">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差异说明</w:t>
            </w:r>
          </w:p>
        </w:tc>
      </w:tr>
      <w:tr w14:paraId="5023B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34FA282A">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093F30C4">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28E1DD87">
            <w:pPr>
              <w:tabs>
                <w:tab w:val="left" w:pos="6300"/>
              </w:tabs>
              <w:snapToGrid w:val="0"/>
              <w:spacing w:line="500" w:lineRule="exact"/>
              <w:outlineLvl w:val="0"/>
              <w:rPr>
                <w:rFonts w:hint="eastAsia" w:ascii="方正仿宋_GBK" w:hAnsi="仿宋" w:eastAsia="方正仿宋_GBK"/>
                <w:sz w:val="21"/>
                <w:szCs w:val="21"/>
                <w:highlight w:val="none"/>
                <w:u w:val="none" w:color="auto"/>
              </w:rPr>
            </w:pPr>
            <w:r>
              <w:rPr>
                <w:rFonts w:ascii="方正仿宋_GBK" w:hAnsi="仿宋" w:eastAsia="方正仿宋_GBK"/>
                <w:sz w:val="21"/>
                <w:szCs w:val="21"/>
                <w:highlight w:val="none"/>
                <w:u w:val="none" w:color="auto"/>
              </w:rPr>
              <w:t>提醒</w:t>
            </w:r>
            <w:r>
              <w:rPr>
                <w:rFonts w:hint="eastAsia" w:ascii="方正仿宋_GBK" w:hAnsi="仿宋" w:eastAsia="方正仿宋_GBK"/>
                <w:sz w:val="21"/>
                <w:szCs w:val="21"/>
                <w:highlight w:val="none"/>
                <w:u w:val="none" w:color="auto"/>
              </w:rPr>
              <w:t>：</w:t>
            </w:r>
            <w:r>
              <w:rPr>
                <w:rFonts w:ascii="方正仿宋_GBK" w:hAnsi="仿宋" w:eastAsia="方正仿宋_GBK"/>
                <w:sz w:val="21"/>
                <w:szCs w:val="21"/>
                <w:highlight w:val="none"/>
                <w:u w:val="none" w:color="auto"/>
              </w:rPr>
              <w:t>请注明具体内容以及</w:t>
            </w:r>
            <w:r>
              <w:rPr>
                <w:rFonts w:hint="eastAsia" w:ascii="方正仿宋_GBK" w:hAnsi="仿宋" w:eastAsia="方正仿宋_GBK"/>
                <w:sz w:val="21"/>
                <w:szCs w:val="21"/>
                <w:highlight w:val="none"/>
                <w:u w:val="none" w:color="auto"/>
              </w:rPr>
              <w:t>投标文件</w:t>
            </w:r>
            <w:r>
              <w:rPr>
                <w:rFonts w:ascii="方正仿宋_GBK" w:hAnsi="仿宋" w:eastAsia="方正仿宋_GBK"/>
                <w:sz w:val="21"/>
                <w:szCs w:val="21"/>
                <w:highlight w:val="none"/>
                <w:u w:val="none" w:color="auto"/>
              </w:rPr>
              <w:t>中</w:t>
            </w:r>
            <w:r>
              <w:rPr>
                <w:rFonts w:hint="eastAsia" w:ascii="方正仿宋_GBK" w:hAnsi="仿宋" w:eastAsia="方正仿宋_GBK"/>
                <w:sz w:val="21"/>
                <w:szCs w:val="21"/>
                <w:highlight w:val="none"/>
                <w:u w:val="none" w:color="auto"/>
              </w:rPr>
              <w:t>具体</w:t>
            </w:r>
            <w:r>
              <w:rPr>
                <w:rFonts w:ascii="方正仿宋_GBK" w:hAnsi="仿宋" w:eastAsia="方正仿宋_GBK"/>
                <w:sz w:val="21"/>
                <w:szCs w:val="21"/>
                <w:highlight w:val="none"/>
                <w:u w:val="none" w:color="auto"/>
              </w:rPr>
              <w:t>内容</w:t>
            </w:r>
            <w:r>
              <w:rPr>
                <w:rFonts w:hint="eastAsia" w:ascii="方正仿宋_GBK" w:hAnsi="仿宋" w:eastAsia="方正仿宋_GBK"/>
                <w:sz w:val="21"/>
                <w:szCs w:val="21"/>
                <w:highlight w:val="none"/>
                <w:u w:val="none" w:color="auto"/>
              </w:rPr>
              <w:t>的</w:t>
            </w:r>
            <w:r>
              <w:rPr>
                <w:rFonts w:ascii="方正仿宋_GBK" w:hAnsi="仿宋" w:eastAsia="方正仿宋_GBK"/>
                <w:sz w:val="21"/>
                <w:szCs w:val="21"/>
                <w:highlight w:val="none"/>
                <w:u w:val="none" w:color="auto"/>
              </w:rPr>
              <w:t>位置（</w:t>
            </w:r>
            <w:r>
              <w:rPr>
                <w:rFonts w:hint="eastAsia" w:ascii="方正仿宋_GBK" w:hAnsi="仿宋" w:eastAsia="方正仿宋_GBK"/>
                <w:sz w:val="21"/>
                <w:szCs w:val="21"/>
                <w:highlight w:val="none"/>
                <w:u w:val="none" w:color="auto"/>
              </w:rPr>
              <w:t>页码</w:t>
            </w:r>
            <w:r>
              <w:rPr>
                <w:rFonts w:ascii="方正仿宋_GBK" w:hAnsi="仿宋" w:eastAsia="方正仿宋_GBK"/>
                <w:sz w:val="21"/>
                <w:szCs w:val="21"/>
                <w:highlight w:val="none"/>
                <w:u w:val="none" w:color="auto"/>
              </w:rPr>
              <w:t>）</w:t>
            </w:r>
          </w:p>
        </w:tc>
        <w:tc>
          <w:tcPr>
            <w:tcW w:w="2307" w:type="dxa"/>
            <w:noWrap w:val="0"/>
            <w:vAlign w:val="center"/>
          </w:tcPr>
          <w:p w14:paraId="60B45DB5">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6DC66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39C244F2">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77FBE74A">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1268FE7D">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3ACAE435">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54BB8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31A6A82E">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279BA385">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6F56D4D2">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7AAE1CC6">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66D58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59F404ED">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6ADE8768">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429F8D4B">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69B105B7">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4E534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507F5024">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7467A5BC">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79561C6C">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0FB960D3">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445EC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18B4BAD2">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5BCFFA06">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3FDFEEE6">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6CA0DAD4">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4B05E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1A5344DF">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135EEA07">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6D89E8E8">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67389D25">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0B7DD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131D4EE3">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621021EC">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298B5CE9">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226FB3B3">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3BE89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60EBFA4D">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5DB4D998">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30B411E2">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1904E49F">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5CDF3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07EBD8B1">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6CE8DC6B">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3DACC23C">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3764C182">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7D099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0E38550C">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2F45B328">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01DE259D">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52A95CE2">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49895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18DD1A99">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3DB85C02">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65CC89A4">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556DCA3E">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34142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1B3D6E60">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430CDB4D">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753D2F8A">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112A34B0">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bl>
    <w:p w14:paraId="43A48E5F">
      <w:pPr>
        <w:spacing w:line="500" w:lineRule="exact"/>
        <w:ind w:firstLine="600" w:firstLineChars="250"/>
        <w:rPr>
          <w:rFonts w:hint="eastAsia" w:ascii="方正仿宋_GBK" w:hAnsi="仿宋" w:eastAsia="方正仿宋_GBK"/>
          <w:sz w:val="24"/>
          <w:szCs w:val="28"/>
          <w:highlight w:val="none"/>
          <w:u w:val="none" w:color="auto"/>
        </w:rPr>
      </w:pPr>
    </w:p>
    <w:p w14:paraId="5664399C">
      <w:pPr>
        <w:spacing w:line="500" w:lineRule="exact"/>
        <w:ind w:firstLine="600" w:firstLineChars="25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 xml:space="preserve">投标人：                     </w:t>
      </w:r>
      <w:r>
        <w:rPr>
          <w:rFonts w:hint="eastAsia" w:ascii="方正仿宋_GBK" w:hAnsi="宋体" w:eastAsia="方正仿宋_GBK"/>
          <w:sz w:val="24"/>
          <w:szCs w:val="28"/>
          <w:highlight w:val="none"/>
          <w:u w:val="none" w:color="auto"/>
        </w:rPr>
        <w:t>法定代表人（或法定代表人授权代表）或自然人：</w:t>
      </w:r>
    </w:p>
    <w:p w14:paraId="5518B8A9">
      <w:pPr>
        <w:spacing w:line="500" w:lineRule="exact"/>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 xml:space="preserve">    （投标人公章）                               （签署或盖章）</w:t>
      </w:r>
    </w:p>
    <w:p w14:paraId="027F2457">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szCs w:val="28"/>
          <w:highlight w:val="none"/>
          <w:u w:val="none" w:color="auto"/>
        </w:rPr>
        <w:t xml:space="preserve">                                            年     月     日</w:t>
      </w:r>
    </w:p>
    <w:p w14:paraId="340BFB10">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注：</w:t>
      </w:r>
    </w:p>
    <w:p w14:paraId="47C32BD5">
      <w:pPr>
        <w:tabs>
          <w:tab w:val="left" w:pos="6300"/>
        </w:tabs>
        <w:snapToGrid w:val="0"/>
        <w:spacing w:line="500" w:lineRule="exact"/>
        <w:ind w:firstLine="570"/>
        <w:rPr>
          <w:rFonts w:hint="eastAsia" w:ascii="方正仿宋_GBK" w:hAnsi="仿宋" w:eastAsia="方正仿宋_GBK"/>
          <w:sz w:val="24"/>
          <w:szCs w:val="24"/>
          <w:highlight w:val="none"/>
          <w:u w:val="none" w:color="auto"/>
        </w:rPr>
      </w:pPr>
      <w:r>
        <w:rPr>
          <w:rFonts w:hint="eastAsia" w:ascii="方正仿宋_GBK" w:hAnsi="仿宋" w:eastAsia="方正仿宋_GBK"/>
          <w:sz w:val="24"/>
          <w:szCs w:val="24"/>
          <w:highlight w:val="none"/>
          <w:u w:val="none" w:color="auto"/>
        </w:rPr>
        <w:t>1.本表即为对本项目“第三篇 项目商务需求”中所列条款进行比较和响应；</w:t>
      </w:r>
    </w:p>
    <w:p w14:paraId="017D73F7">
      <w:pPr>
        <w:tabs>
          <w:tab w:val="left" w:pos="6300"/>
        </w:tabs>
        <w:snapToGrid w:val="0"/>
        <w:spacing w:line="500" w:lineRule="exact"/>
        <w:ind w:firstLine="570"/>
        <w:rPr>
          <w:rFonts w:ascii="方正仿宋_GBK" w:hAnsi="仿宋" w:eastAsia="方正仿宋_GBK"/>
          <w:sz w:val="24"/>
          <w:szCs w:val="24"/>
          <w:highlight w:val="none"/>
          <w:u w:val="none" w:color="auto"/>
        </w:rPr>
      </w:pPr>
      <w:r>
        <w:rPr>
          <w:rFonts w:hint="eastAsia" w:ascii="方正仿宋_GBK" w:hAnsi="仿宋" w:eastAsia="方正仿宋_GBK"/>
          <w:sz w:val="24"/>
          <w:szCs w:val="24"/>
          <w:highlight w:val="none"/>
          <w:u w:val="none" w:color="auto"/>
        </w:rPr>
        <w:t>2.本表可扩展。</w:t>
      </w:r>
    </w:p>
    <w:p w14:paraId="3AE55846">
      <w:pPr>
        <w:tabs>
          <w:tab w:val="left" w:pos="6300"/>
        </w:tabs>
        <w:snapToGrid w:val="0"/>
        <w:spacing w:line="500" w:lineRule="exact"/>
        <w:ind w:firstLine="570"/>
        <w:rPr>
          <w:rFonts w:hint="eastAsia" w:ascii="方正仿宋_GBK" w:hAnsi="仿宋" w:eastAsia="方正仿宋_GBK"/>
          <w:sz w:val="24"/>
          <w:szCs w:val="24"/>
          <w:highlight w:val="none"/>
          <w:u w:val="none" w:color="auto"/>
        </w:rPr>
      </w:pPr>
      <w:r>
        <w:rPr>
          <w:rFonts w:hint="eastAsia" w:ascii="方正仿宋_GBK" w:hAnsi="仿宋" w:eastAsia="方正仿宋_GBK"/>
          <w:sz w:val="24"/>
          <w:szCs w:val="28"/>
          <w:highlight w:val="none"/>
          <w:u w:val="none" w:color="auto"/>
        </w:rPr>
        <w:t>3.投标应答栏</w:t>
      </w:r>
      <w:r>
        <w:rPr>
          <w:rFonts w:ascii="方正仿宋_GBK" w:hAnsi="仿宋" w:eastAsia="方正仿宋_GBK"/>
          <w:sz w:val="24"/>
          <w:szCs w:val="28"/>
          <w:highlight w:val="none"/>
          <w:u w:val="none" w:color="auto"/>
        </w:rPr>
        <w:t>中</w:t>
      </w:r>
      <w:r>
        <w:rPr>
          <w:rFonts w:hint="eastAsia" w:ascii="方正仿宋_GBK" w:hAnsi="仿宋" w:eastAsia="方正仿宋_GBK"/>
          <w:sz w:val="24"/>
          <w:szCs w:val="28"/>
          <w:highlight w:val="none"/>
          <w:u w:val="none" w:color="auto"/>
        </w:rPr>
        <w:t>应当注明</w:t>
      </w:r>
      <w:r>
        <w:rPr>
          <w:rFonts w:ascii="方正仿宋_GBK" w:hAnsi="仿宋" w:eastAsia="方正仿宋_GBK"/>
          <w:sz w:val="24"/>
          <w:szCs w:val="28"/>
          <w:highlight w:val="none"/>
          <w:u w:val="none" w:color="auto"/>
        </w:rPr>
        <w:t>具体内容，且必须标注具体内容</w:t>
      </w:r>
      <w:r>
        <w:rPr>
          <w:rFonts w:hint="eastAsia" w:ascii="方正仿宋_GBK" w:hAnsi="仿宋" w:eastAsia="方正仿宋_GBK"/>
          <w:sz w:val="24"/>
          <w:szCs w:val="28"/>
          <w:highlight w:val="none"/>
          <w:u w:val="none" w:color="auto"/>
        </w:rPr>
        <w:t>在</w:t>
      </w:r>
      <w:r>
        <w:rPr>
          <w:rFonts w:ascii="方正仿宋_GBK" w:hAnsi="仿宋" w:eastAsia="方正仿宋_GBK"/>
          <w:sz w:val="24"/>
          <w:szCs w:val="28"/>
          <w:highlight w:val="none"/>
          <w:u w:val="none" w:color="auto"/>
        </w:rPr>
        <w:t>投标文件中的位置（</w:t>
      </w:r>
      <w:r>
        <w:rPr>
          <w:rFonts w:hint="eastAsia" w:ascii="方正仿宋_GBK" w:hAnsi="仿宋" w:eastAsia="方正仿宋_GBK"/>
          <w:sz w:val="24"/>
          <w:szCs w:val="28"/>
          <w:highlight w:val="none"/>
          <w:u w:val="none" w:color="auto"/>
        </w:rPr>
        <w:t>页码</w:t>
      </w:r>
      <w:r>
        <w:rPr>
          <w:rFonts w:ascii="方正仿宋_GBK" w:hAnsi="仿宋" w:eastAsia="方正仿宋_GBK"/>
          <w:sz w:val="24"/>
          <w:szCs w:val="28"/>
          <w:highlight w:val="none"/>
          <w:u w:val="none" w:color="auto"/>
        </w:rPr>
        <w:t>）</w:t>
      </w:r>
      <w:r>
        <w:rPr>
          <w:rFonts w:hint="eastAsia" w:ascii="方正仿宋_GBK" w:hAnsi="仿宋" w:eastAsia="方正仿宋_GBK"/>
          <w:sz w:val="24"/>
          <w:szCs w:val="28"/>
          <w:highlight w:val="none"/>
          <w:u w:val="none" w:color="auto"/>
        </w:rPr>
        <w:t>。</w:t>
      </w:r>
    </w:p>
    <w:p w14:paraId="27DFF84A">
      <w:pPr>
        <w:snapToGrid w:val="0"/>
        <w:spacing w:line="400" w:lineRule="exact"/>
        <w:ind w:firstLine="560" w:firstLineChars="200"/>
        <w:rPr>
          <w:rFonts w:ascii="方正仿宋_GBK" w:hAnsi="宋体" w:eastAsia="方正仿宋_GBK"/>
          <w:sz w:val="24"/>
          <w:szCs w:val="28"/>
          <w:highlight w:val="none"/>
          <w:u w:val="none" w:color="auto"/>
        </w:rPr>
      </w:pPr>
      <w:r>
        <w:rPr>
          <w:rFonts w:hint="eastAsia" w:ascii="方正仿宋_GBK" w:hAnsi="仿宋" w:eastAsia="方正仿宋_GBK"/>
          <w:szCs w:val="28"/>
          <w:highlight w:val="none"/>
          <w:u w:val="none" w:color="auto"/>
        </w:rPr>
        <w:br w:type="page"/>
      </w:r>
      <w:r>
        <w:rPr>
          <w:rFonts w:hint="eastAsia" w:ascii="方正仿宋_GBK" w:hAnsi="宋体" w:eastAsia="方正仿宋_GBK"/>
          <w:sz w:val="24"/>
          <w:szCs w:val="28"/>
          <w:highlight w:val="none"/>
          <w:u w:val="none" w:color="auto"/>
        </w:rPr>
        <w:t>（三）其他商务资料</w:t>
      </w:r>
    </w:p>
    <w:p w14:paraId="172B8D48">
      <w:pPr>
        <w:snapToGrid w:val="0"/>
        <w:spacing w:line="400" w:lineRule="exact"/>
        <w:ind w:firstLine="480" w:firstLineChars="200"/>
        <w:rPr>
          <w:rFonts w:hint="eastAsia" w:ascii="方正仿宋_GBK" w:hAnsi="宋体" w:eastAsia="方正仿宋_GBK"/>
          <w:sz w:val="24"/>
          <w:szCs w:val="28"/>
          <w:highlight w:val="none"/>
          <w:u w:val="none" w:color="auto"/>
        </w:rPr>
      </w:pPr>
    </w:p>
    <w:p w14:paraId="0B6D157C">
      <w:pPr>
        <w:tabs>
          <w:tab w:val="left" w:pos="6300"/>
        </w:tabs>
        <w:snapToGrid w:val="0"/>
        <w:spacing w:line="500" w:lineRule="exact"/>
        <w:ind w:firstLine="560"/>
        <w:rPr>
          <w:rFonts w:hint="eastAsia" w:ascii="方正仿宋_GBK" w:hAnsi="仿宋" w:eastAsia="方正仿宋_GBK"/>
          <w:szCs w:val="28"/>
          <w:highlight w:val="none"/>
          <w:u w:val="none" w:color="auto"/>
        </w:rPr>
      </w:pPr>
      <w:r>
        <w:rPr>
          <w:rFonts w:hint="eastAsia" w:ascii="方正仿宋_GBK" w:hAnsi="仿宋" w:eastAsia="方正仿宋_GBK"/>
          <w:szCs w:val="28"/>
          <w:highlight w:val="none"/>
          <w:u w:val="none" w:color="auto"/>
        </w:rPr>
        <w:t xml:space="preserve"> </w:t>
      </w:r>
    </w:p>
    <w:p w14:paraId="3358ED57">
      <w:pPr>
        <w:pStyle w:val="3"/>
        <w:pageBreakBefore/>
        <w:spacing w:line="500" w:lineRule="exact"/>
        <w:ind w:firstLine="562" w:firstLineChars="200"/>
        <w:rPr>
          <w:rFonts w:hint="eastAsia" w:ascii="方正仿宋_GBK" w:hAnsi="仿宋" w:eastAsia="方正仿宋_GBK"/>
          <w:b/>
          <w:szCs w:val="28"/>
          <w:highlight w:val="none"/>
          <w:u w:val="none" w:color="auto"/>
        </w:rPr>
      </w:pPr>
      <w:bookmarkStart w:id="802" w:name="_Toc4624"/>
      <w:bookmarkStart w:id="803" w:name="_Toc5854"/>
      <w:bookmarkStart w:id="804" w:name="_Toc11165"/>
      <w:bookmarkStart w:id="805" w:name="_Toc493178792"/>
      <w:bookmarkStart w:id="806" w:name="_Toc23915"/>
      <w:bookmarkStart w:id="807" w:name="_Toc2395"/>
      <w:bookmarkStart w:id="808" w:name="_Toc29543"/>
      <w:bookmarkStart w:id="809" w:name="_Toc75793543"/>
      <w:bookmarkStart w:id="810" w:name="_Toc32289"/>
      <w:bookmarkStart w:id="811" w:name="_Toc492721041"/>
      <w:bookmarkStart w:id="812" w:name="_Toc19657"/>
      <w:bookmarkStart w:id="813" w:name="_Toc27849"/>
      <w:bookmarkStart w:id="814" w:name="_Toc24540"/>
      <w:bookmarkStart w:id="815" w:name="_Toc19687"/>
      <w:bookmarkStart w:id="816" w:name="_Toc30376"/>
      <w:bookmarkStart w:id="817" w:name="_Toc106030420"/>
      <w:bookmarkStart w:id="818" w:name="_Toc6978"/>
      <w:bookmarkStart w:id="819" w:name="_Toc29932"/>
      <w:bookmarkStart w:id="820" w:name="_Toc2006952569"/>
      <w:bookmarkStart w:id="821" w:name="_Toc3199"/>
      <w:bookmarkStart w:id="822" w:name="_Toc7042"/>
      <w:bookmarkStart w:id="823" w:name="_Toc19618"/>
      <w:r>
        <w:rPr>
          <w:rFonts w:hint="eastAsia" w:ascii="方正仿宋_GBK" w:hAnsi="仿宋" w:eastAsia="方正仿宋_GBK"/>
          <w:b/>
          <w:szCs w:val="28"/>
          <w:highlight w:val="none"/>
          <w:u w:val="none" w:color="auto"/>
        </w:rPr>
        <w:t>四、其他</w:t>
      </w:r>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p>
    <w:p w14:paraId="669B889D">
      <w:pPr>
        <w:spacing w:line="4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w:t>
      </w:r>
      <w:r>
        <w:rPr>
          <w:rFonts w:hint="eastAsia" w:ascii="方正仿宋_GBK" w:hAnsi="宋体" w:eastAsia="方正仿宋_GBK"/>
          <w:sz w:val="24"/>
          <w:szCs w:val="28"/>
          <w:highlight w:val="none"/>
          <w:u w:val="none" w:color="auto"/>
          <w:lang w:val="en-US" w:eastAsia="zh-CN"/>
        </w:rPr>
        <w:t>一</w:t>
      </w:r>
      <w:r>
        <w:rPr>
          <w:rFonts w:hint="eastAsia" w:ascii="方正仿宋_GBK" w:hAnsi="宋体" w:eastAsia="方正仿宋_GBK"/>
          <w:sz w:val="24"/>
          <w:szCs w:val="28"/>
          <w:highlight w:val="none"/>
          <w:u w:val="none" w:color="auto"/>
        </w:rPr>
        <w:t>）其他与项目有关的资料（自附）</w:t>
      </w:r>
    </w:p>
    <w:p w14:paraId="2947CF8A">
      <w:pPr>
        <w:pStyle w:val="3"/>
        <w:pageBreakBefore/>
        <w:spacing w:line="500" w:lineRule="exact"/>
        <w:ind w:firstLine="562" w:firstLineChars="200"/>
        <w:rPr>
          <w:rFonts w:hint="eastAsia" w:ascii="方正仿宋_GBK" w:hAnsi="仿宋" w:eastAsia="方正仿宋_GBK"/>
          <w:b/>
          <w:szCs w:val="28"/>
          <w:highlight w:val="none"/>
          <w:u w:val="none" w:color="auto"/>
        </w:rPr>
      </w:pPr>
      <w:bookmarkStart w:id="824" w:name="_Toc492721038"/>
      <w:bookmarkStart w:id="825" w:name="_Toc17829"/>
      <w:bookmarkStart w:id="826" w:name="_Toc23187"/>
      <w:bookmarkStart w:id="827" w:name="_Toc75793544"/>
      <w:bookmarkStart w:id="828" w:name="_Toc16577"/>
      <w:bookmarkStart w:id="829" w:name="_Toc106030421"/>
      <w:bookmarkStart w:id="830" w:name="_Toc6108"/>
      <w:bookmarkStart w:id="831" w:name="_Toc28432"/>
      <w:bookmarkStart w:id="832" w:name="_Toc247380452"/>
      <w:bookmarkStart w:id="833" w:name="_Toc4000"/>
      <w:bookmarkStart w:id="834" w:name="_Toc493178793"/>
      <w:bookmarkStart w:id="835" w:name="_Toc19432"/>
      <w:bookmarkStart w:id="836" w:name="_Toc25730"/>
      <w:bookmarkStart w:id="837" w:name="_Toc21121"/>
      <w:bookmarkStart w:id="838" w:name="_Toc12509"/>
      <w:bookmarkStart w:id="839" w:name="_Toc17848"/>
      <w:bookmarkStart w:id="840" w:name="_Toc20962"/>
      <w:bookmarkStart w:id="841" w:name="_Toc30818"/>
      <w:bookmarkStart w:id="842" w:name="_Toc13249"/>
      <w:bookmarkStart w:id="843" w:name="_Toc11324"/>
      <w:bookmarkStart w:id="844" w:name="_Toc30988"/>
      <w:bookmarkStart w:id="845" w:name="_Toc26381"/>
      <w:r>
        <w:rPr>
          <w:rFonts w:hint="eastAsia" w:ascii="方正仿宋_GBK" w:hAnsi="仿宋" w:eastAsia="方正仿宋_GBK"/>
          <w:b/>
          <w:szCs w:val="28"/>
          <w:highlight w:val="none"/>
          <w:u w:val="none" w:color="auto"/>
        </w:rPr>
        <w:t>五、资格文件</w:t>
      </w:r>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p>
    <w:p w14:paraId="11E09AC4">
      <w:pPr>
        <w:spacing w:line="4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（一）法人营业执照（副本）或事业单位法人证书（副本）或个体工商户营业执照或有效的自然人身份证明或社会团体法人登记证书复印件</w:t>
      </w:r>
    </w:p>
    <w:p w14:paraId="49CF150D">
      <w:pPr>
        <w:tabs>
          <w:tab w:val="left" w:pos="6300"/>
        </w:tabs>
        <w:snapToGrid w:val="0"/>
        <w:spacing w:line="500" w:lineRule="exact"/>
        <w:ind w:firstLine="570"/>
        <w:rPr>
          <w:rFonts w:hint="eastAsia" w:ascii="方正仿宋_GBK" w:hAnsi="仿宋" w:eastAsia="方正仿宋_GBK"/>
          <w:highlight w:val="none"/>
          <w:u w:val="none" w:color="auto"/>
        </w:rPr>
      </w:pPr>
    </w:p>
    <w:p w14:paraId="379ADCC3">
      <w:pPr>
        <w:tabs>
          <w:tab w:val="left" w:pos="6300"/>
        </w:tabs>
        <w:snapToGrid w:val="0"/>
        <w:spacing w:line="500" w:lineRule="exact"/>
        <w:ind w:firstLine="570"/>
        <w:rPr>
          <w:rFonts w:hint="eastAsia" w:ascii="方正仿宋_GBK" w:hAnsi="仿宋" w:eastAsia="方正仿宋_GBK"/>
          <w:highlight w:val="none"/>
          <w:u w:val="none" w:color="auto"/>
        </w:rPr>
      </w:pPr>
    </w:p>
    <w:p w14:paraId="673C66DA">
      <w:pPr>
        <w:tabs>
          <w:tab w:val="left" w:pos="6300"/>
        </w:tabs>
        <w:snapToGrid w:val="0"/>
        <w:spacing w:line="500" w:lineRule="exact"/>
        <w:ind w:firstLine="570"/>
        <w:rPr>
          <w:rFonts w:hint="eastAsia" w:ascii="方正仿宋_GBK" w:hAnsi="仿宋" w:eastAsia="方正仿宋_GBK"/>
          <w:highlight w:val="none"/>
          <w:u w:val="none" w:color="auto"/>
        </w:rPr>
      </w:pPr>
    </w:p>
    <w:p w14:paraId="50550EDF">
      <w:pPr>
        <w:tabs>
          <w:tab w:val="left" w:pos="6300"/>
        </w:tabs>
        <w:snapToGrid w:val="0"/>
        <w:spacing w:line="500" w:lineRule="exact"/>
        <w:ind w:firstLine="570"/>
        <w:rPr>
          <w:rFonts w:hint="eastAsia" w:ascii="方正仿宋_GBK" w:hAnsi="仿宋" w:eastAsia="方正仿宋_GBK"/>
          <w:highlight w:val="none"/>
          <w:u w:val="none" w:color="auto"/>
        </w:rPr>
      </w:pPr>
    </w:p>
    <w:p w14:paraId="596B4C53">
      <w:pPr>
        <w:tabs>
          <w:tab w:val="left" w:pos="6300"/>
        </w:tabs>
        <w:snapToGrid w:val="0"/>
        <w:spacing w:line="500" w:lineRule="exact"/>
        <w:ind w:firstLine="570"/>
        <w:rPr>
          <w:rFonts w:hint="eastAsia" w:ascii="方正仿宋_GBK" w:hAnsi="仿宋" w:eastAsia="方正仿宋_GBK"/>
          <w:highlight w:val="none"/>
          <w:u w:val="none" w:color="auto"/>
        </w:rPr>
      </w:pPr>
    </w:p>
    <w:p w14:paraId="6CA4AB41">
      <w:pPr>
        <w:spacing w:line="400" w:lineRule="exact"/>
        <w:ind w:firstLine="560" w:firstLineChars="200"/>
        <w:rPr>
          <w:rFonts w:hint="eastAsia" w:ascii="方正仿宋_GBK" w:hAnsi="宋体" w:eastAsia="方正仿宋_GBK"/>
          <w:sz w:val="24"/>
          <w:szCs w:val="28"/>
          <w:highlight w:val="none"/>
          <w:u w:val="none" w:color="auto"/>
        </w:rPr>
      </w:pPr>
      <w:r>
        <w:rPr>
          <w:rFonts w:hint="eastAsia" w:ascii="方正仿宋_GBK" w:hAnsi="仿宋" w:eastAsia="方正仿宋_GBK"/>
          <w:highlight w:val="none"/>
          <w:u w:val="none" w:color="auto"/>
        </w:rPr>
        <w:br w:type="page"/>
      </w:r>
      <w:r>
        <w:rPr>
          <w:rFonts w:hint="eastAsia" w:ascii="方正仿宋_GBK" w:hAnsi="宋体" w:eastAsia="方正仿宋_GBK"/>
          <w:sz w:val="24"/>
          <w:szCs w:val="28"/>
          <w:highlight w:val="none"/>
          <w:u w:val="none" w:color="auto"/>
        </w:rPr>
        <w:t>（二）法定代表人身份证明书（格式）</w:t>
      </w:r>
    </w:p>
    <w:p w14:paraId="2B423244">
      <w:pPr>
        <w:tabs>
          <w:tab w:val="left" w:pos="6300"/>
        </w:tabs>
        <w:snapToGrid w:val="0"/>
        <w:spacing w:line="500" w:lineRule="exact"/>
        <w:ind w:firstLine="570"/>
        <w:rPr>
          <w:rFonts w:hint="eastAsia" w:ascii="方正仿宋_GBK" w:hAnsi="仿宋" w:eastAsia="方正仿宋_GBK"/>
          <w:sz w:val="24"/>
          <w:highlight w:val="none"/>
          <w:u w:val="none" w:color="auto"/>
        </w:rPr>
      </w:pPr>
    </w:p>
    <w:p w14:paraId="2B02CCB6">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 xml:space="preserve">招标项目名称：                                                </w:t>
      </w:r>
    </w:p>
    <w:p w14:paraId="68582F45">
      <w:pPr>
        <w:tabs>
          <w:tab w:val="left" w:pos="6300"/>
        </w:tabs>
        <w:snapToGrid w:val="0"/>
        <w:spacing w:line="500" w:lineRule="exact"/>
        <w:ind w:firstLine="570"/>
        <w:rPr>
          <w:rFonts w:hint="eastAsia" w:ascii="方正仿宋_GBK" w:hAnsi="仿宋" w:eastAsia="方正仿宋_GBK"/>
          <w:sz w:val="24"/>
          <w:highlight w:val="none"/>
          <w:u w:val="none" w:color="auto"/>
        </w:rPr>
      </w:pPr>
    </w:p>
    <w:p w14:paraId="1675CB6B">
      <w:pPr>
        <w:tabs>
          <w:tab w:val="left" w:pos="6300"/>
        </w:tabs>
        <w:snapToGrid w:val="0"/>
        <w:spacing w:line="500" w:lineRule="exact"/>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致：                     （采购代理机构名称）：</w:t>
      </w:r>
    </w:p>
    <w:p w14:paraId="6447C329">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 xml:space="preserve">        （法定代表人姓名）在                       （投标人名称）任    （职务名称）职务，是（投标人名称）              的法定代表人。</w:t>
      </w:r>
    </w:p>
    <w:p w14:paraId="5B564350">
      <w:pPr>
        <w:tabs>
          <w:tab w:val="left" w:pos="6300"/>
        </w:tabs>
        <w:snapToGrid w:val="0"/>
        <w:spacing w:line="500" w:lineRule="exact"/>
        <w:ind w:firstLine="570"/>
        <w:rPr>
          <w:rFonts w:hint="eastAsia" w:ascii="方正仿宋_GBK" w:hAnsi="仿宋" w:eastAsia="方正仿宋_GBK"/>
          <w:sz w:val="24"/>
          <w:highlight w:val="none"/>
          <w:u w:val="none" w:color="auto"/>
        </w:rPr>
      </w:pPr>
    </w:p>
    <w:p w14:paraId="42C2BD07">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特此证明。</w:t>
      </w:r>
    </w:p>
    <w:p w14:paraId="77A46D50">
      <w:pPr>
        <w:tabs>
          <w:tab w:val="left" w:pos="6300"/>
        </w:tabs>
        <w:snapToGrid w:val="0"/>
        <w:spacing w:line="500" w:lineRule="exact"/>
        <w:ind w:firstLine="570"/>
        <w:rPr>
          <w:rFonts w:hint="eastAsia" w:ascii="方正仿宋_GBK" w:hAnsi="仿宋" w:eastAsia="方正仿宋_GBK"/>
          <w:sz w:val="24"/>
          <w:highlight w:val="none"/>
          <w:u w:val="none" w:color="auto"/>
        </w:rPr>
      </w:pPr>
    </w:p>
    <w:p w14:paraId="39C6282A">
      <w:pPr>
        <w:tabs>
          <w:tab w:val="left" w:pos="6300"/>
        </w:tabs>
        <w:snapToGrid w:val="0"/>
        <w:spacing w:line="500" w:lineRule="exact"/>
        <w:ind w:firstLine="570"/>
        <w:rPr>
          <w:rFonts w:hint="eastAsia" w:ascii="方正仿宋_GBK" w:hAnsi="仿宋" w:eastAsia="方正仿宋_GBK"/>
          <w:sz w:val="24"/>
          <w:highlight w:val="none"/>
          <w:u w:val="none" w:color="auto"/>
        </w:rPr>
      </w:pPr>
    </w:p>
    <w:p w14:paraId="7613F1DD">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 xml:space="preserve">                                             投标人：</w:t>
      </w:r>
    </w:p>
    <w:p w14:paraId="0A4B5D64">
      <w:pPr>
        <w:tabs>
          <w:tab w:val="left" w:pos="6300"/>
        </w:tabs>
        <w:snapToGrid w:val="0"/>
        <w:spacing w:line="500" w:lineRule="exact"/>
        <w:ind w:firstLine="5848" w:firstLineChars="2437"/>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（投标人公章）</w:t>
      </w:r>
    </w:p>
    <w:p w14:paraId="238229CE">
      <w:pPr>
        <w:tabs>
          <w:tab w:val="left" w:pos="6300"/>
        </w:tabs>
        <w:snapToGrid w:val="0"/>
        <w:spacing w:line="500" w:lineRule="exact"/>
        <w:ind w:firstLine="570"/>
        <w:rPr>
          <w:rFonts w:hint="eastAsia" w:ascii="方正仿宋_GBK" w:hAnsi="仿宋" w:eastAsia="方正仿宋_GBK"/>
          <w:sz w:val="24"/>
          <w:highlight w:val="none"/>
          <w:u w:val="none" w:color="auto"/>
        </w:rPr>
      </w:pPr>
    </w:p>
    <w:p w14:paraId="14E2AF7E">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 xml:space="preserve">                                             年   月   日</w:t>
      </w:r>
    </w:p>
    <w:p w14:paraId="46970676">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法定代表人电话：XXXXXXX      电子邮箱：XXXXXX@XXXXX（若授权他人办理并签署投标文件的可不填写）</w:t>
      </w:r>
    </w:p>
    <w:p w14:paraId="6AA2BBA0">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（附：法定代表人身份证正反面复印件）</w:t>
      </w:r>
    </w:p>
    <w:p w14:paraId="21E718CD">
      <w:pPr>
        <w:tabs>
          <w:tab w:val="left" w:pos="6300"/>
        </w:tabs>
        <w:snapToGrid w:val="0"/>
        <w:spacing w:line="500" w:lineRule="exact"/>
        <w:ind w:firstLine="570"/>
        <w:rPr>
          <w:rFonts w:hint="eastAsia" w:ascii="方正仿宋_GBK" w:hAnsi="仿宋" w:eastAsia="方正仿宋_GBK"/>
          <w:sz w:val="24"/>
          <w:highlight w:val="none"/>
          <w:u w:val="none" w:color="auto"/>
        </w:rPr>
      </w:pPr>
    </w:p>
    <w:p w14:paraId="7B944704">
      <w:pPr>
        <w:tabs>
          <w:tab w:val="left" w:pos="6300"/>
        </w:tabs>
        <w:snapToGrid w:val="0"/>
        <w:spacing w:line="500" w:lineRule="exact"/>
        <w:ind w:firstLine="570"/>
        <w:rPr>
          <w:rFonts w:hint="eastAsia" w:ascii="方正仿宋_GBK" w:hAnsi="仿宋" w:eastAsia="方正仿宋_GBK"/>
          <w:sz w:val="24"/>
          <w:highlight w:val="none"/>
          <w:u w:val="none" w:color="auto"/>
        </w:rPr>
      </w:pPr>
    </w:p>
    <w:p w14:paraId="7984DA52">
      <w:pPr>
        <w:tabs>
          <w:tab w:val="left" w:pos="6300"/>
        </w:tabs>
        <w:snapToGrid w:val="0"/>
        <w:spacing w:line="500" w:lineRule="exact"/>
        <w:ind w:firstLine="570"/>
        <w:rPr>
          <w:rFonts w:hint="eastAsia" w:ascii="方正仿宋_GBK" w:hAnsi="仿宋" w:eastAsia="方正仿宋_GBK"/>
          <w:sz w:val="24"/>
          <w:highlight w:val="none"/>
          <w:u w:val="none" w:color="auto"/>
        </w:rPr>
      </w:pPr>
    </w:p>
    <w:p w14:paraId="3F6E1473">
      <w:pPr>
        <w:tabs>
          <w:tab w:val="left" w:pos="6300"/>
        </w:tabs>
        <w:snapToGrid w:val="0"/>
        <w:spacing w:line="500" w:lineRule="exact"/>
        <w:ind w:firstLine="570"/>
        <w:rPr>
          <w:rFonts w:hint="eastAsia" w:ascii="方正仿宋_GBK" w:hAnsi="仿宋" w:eastAsia="方正仿宋_GBK"/>
          <w:sz w:val="24"/>
          <w:highlight w:val="none"/>
          <w:u w:val="none" w:color="auto"/>
        </w:rPr>
      </w:pPr>
    </w:p>
    <w:p w14:paraId="0FF2D055">
      <w:pPr>
        <w:tabs>
          <w:tab w:val="left" w:pos="6300"/>
        </w:tabs>
        <w:snapToGrid w:val="0"/>
        <w:spacing w:line="500" w:lineRule="exact"/>
        <w:ind w:firstLine="570"/>
        <w:rPr>
          <w:rFonts w:hint="eastAsia" w:ascii="方正仿宋_GBK" w:hAnsi="仿宋" w:eastAsia="方正仿宋_GBK"/>
          <w:sz w:val="24"/>
          <w:highlight w:val="none"/>
          <w:u w:val="none" w:color="auto"/>
        </w:rPr>
      </w:pPr>
    </w:p>
    <w:p w14:paraId="1052E6E8">
      <w:pPr>
        <w:spacing w:line="400" w:lineRule="exact"/>
        <w:ind w:firstLine="560" w:firstLineChars="200"/>
        <w:rPr>
          <w:rFonts w:hint="eastAsia" w:ascii="方正仿宋_GBK" w:hAnsi="宋体" w:eastAsia="方正仿宋_GBK"/>
          <w:sz w:val="24"/>
          <w:szCs w:val="28"/>
          <w:highlight w:val="none"/>
          <w:u w:val="none" w:color="auto"/>
        </w:rPr>
      </w:pPr>
      <w:r>
        <w:rPr>
          <w:rFonts w:hint="eastAsia" w:ascii="方正仿宋_GBK" w:hAnsi="仿宋" w:eastAsia="方正仿宋_GBK"/>
          <w:highlight w:val="none"/>
          <w:u w:val="none" w:color="auto"/>
        </w:rPr>
        <w:br w:type="column"/>
      </w:r>
      <w:r>
        <w:rPr>
          <w:rFonts w:hint="eastAsia" w:ascii="方正仿宋_GBK" w:hAnsi="宋体" w:eastAsia="方正仿宋_GBK"/>
          <w:sz w:val="24"/>
          <w:szCs w:val="28"/>
          <w:highlight w:val="none"/>
          <w:u w:val="none" w:color="auto"/>
        </w:rPr>
        <w:t>（三）法定代表人授权委托书（格式）</w:t>
      </w:r>
    </w:p>
    <w:p w14:paraId="59D7ADE6">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 xml:space="preserve">    </w:t>
      </w:r>
    </w:p>
    <w:p w14:paraId="344B25AC">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r>
        <w:rPr>
          <w:rFonts w:hint="eastAsia" w:ascii="方正仿宋_GBK" w:hAnsi="仿宋" w:eastAsia="方正仿宋_GBK"/>
          <w:sz w:val="24"/>
          <w:szCs w:val="28"/>
          <w:highlight w:val="none"/>
          <w:u w:val="none" w:color="auto"/>
        </w:rPr>
        <w:t>招标项目名称</w:t>
      </w:r>
      <w:r>
        <w:rPr>
          <w:rFonts w:hint="eastAsia" w:ascii="方正仿宋_GBK" w:hAnsi="仿宋" w:eastAsia="方正仿宋_GBK"/>
          <w:sz w:val="24"/>
          <w:highlight w:val="none"/>
          <w:u w:val="none" w:color="auto"/>
        </w:rPr>
        <w:t xml:space="preserve">：                                                </w:t>
      </w:r>
    </w:p>
    <w:p w14:paraId="6A4C3A2A">
      <w:pPr>
        <w:tabs>
          <w:tab w:val="left" w:pos="6300"/>
        </w:tabs>
        <w:snapToGrid w:val="0"/>
        <w:spacing w:line="500" w:lineRule="exact"/>
        <w:ind w:firstLine="570"/>
        <w:rPr>
          <w:rFonts w:hint="eastAsia" w:ascii="方正仿宋_GBK" w:hAnsi="仿宋" w:eastAsia="方正仿宋_GBK"/>
          <w:sz w:val="24"/>
          <w:highlight w:val="none"/>
          <w:u w:val="none" w:color="auto"/>
        </w:rPr>
      </w:pPr>
    </w:p>
    <w:p w14:paraId="26157F52">
      <w:pPr>
        <w:tabs>
          <w:tab w:val="left" w:pos="6300"/>
        </w:tabs>
        <w:snapToGrid w:val="0"/>
        <w:spacing w:line="500" w:lineRule="exact"/>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致：                     （采购代理机构名称）：</w:t>
      </w:r>
    </w:p>
    <w:p w14:paraId="70E49B78">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 xml:space="preserve">            （投标人法定代表人名称）是                    （投标人名称）的法定代表人，特授权          （被授权人姓名及身份证代码）代表我单位全权办理上述项目的投标、谈判、签约等具体工作，并签署全部有关文件、协议及合同。</w:t>
      </w:r>
    </w:p>
    <w:p w14:paraId="0A213BDB">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我单位对被授权人的签署负全部责任。</w:t>
      </w:r>
    </w:p>
    <w:p w14:paraId="0092AD00">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在撤消授权的书面通知以前，本授权书一直有效。被授权人在授权书有效期内签署的所有文件不因授权的撤消而失效。</w:t>
      </w:r>
    </w:p>
    <w:p w14:paraId="50DE401C">
      <w:pPr>
        <w:tabs>
          <w:tab w:val="left" w:pos="6300"/>
        </w:tabs>
        <w:snapToGrid w:val="0"/>
        <w:spacing w:line="500" w:lineRule="exact"/>
        <w:ind w:firstLine="570"/>
        <w:rPr>
          <w:rFonts w:hint="eastAsia" w:ascii="方正仿宋_GBK" w:hAnsi="仿宋" w:eastAsia="方正仿宋_GBK"/>
          <w:sz w:val="24"/>
          <w:highlight w:val="none"/>
          <w:u w:val="none" w:color="auto"/>
        </w:rPr>
      </w:pPr>
    </w:p>
    <w:p w14:paraId="36DF154B">
      <w:pPr>
        <w:tabs>
          <w:tab w:val="left" w:pos="6300"/>
        </w:tabs>
        <w:snapToGrid w:val="0"/>
        <w:spacing w:line="500" w:lineRule="exact"/>
        <w:ind w:firstLine="570"/>
        <w:rPr>
          <w:rFonts w:hint="eastAsia" w:ascii="方正仿宋_GBK" w:hAnsi="仿宋" w:eastAsia="方正仿宋_GBK"/>
          <w:sz w:val="24"/>
          <w:highlight w:val="none"/>
          <w:u w:val="none" w:color="auto"/>
        </w:rPr>
      </w:pPr>
    </w:p>
    <w:p w14:paraId="29C30AC8">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被授权人：                                 投标人法定代表人：</w:t>
      </w:r>
    </w:p>
    <w:p w14:paraId="062F3C91">
      <w:pPr>
        <w:tabs>
          <w:tab w:val="left" w:pos="6300"/>
        </w:tabs>
        <w:snapToGrid w:val="0"/>
        <w:spacing w:line="500" w:lineRule="exact"/>
        <w:ind w:firstLine="57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（签署或盖章）                                （签署或盖章）</w:t>
      </w:r>
    </w:p>
    <w:p w14:paraId="531C88B5">
      <w:pPr>
        <w:tabs>
          <w:tab w:val="left" w:pos="6300"/>
        </w:tabs>
        <w:snapToGrid w:val="0"/>
        <w:spacing w:line="500" w:lineRule="exact"/>
        <w:ind w:firstLine="570"/>
        <w:rPr>
          <w:rFonts w:hint="eastAsia" w:ascii="方正仿宋_GBK" w:hAnsi="仿宋" w:eastAsia="方正仿宋_GBK"/>
          <w:sz w:val="24"/>
          <w:szCs w:val="28"/>
          <w:highlight w:val="none"/>
          <w:u w:val="none" w:color="auto"/>
        </w:rPr>
      </w:pPr>
    </w:p>
    <w:p w14:paraId="528E741C">
      <w:pPr>
        <w:tabs>
          <w:tab w:val="left" w:pos="6300"/>
        </w:tabs>
        <w:snapToGrid w:val="0"/>
        <w:spacing w:line="500" w:lineRule="exact"/>
        <w:ind w:firstLine="570"/>
        <w:rPr>
          <w:rFonts w:hint="eastAsia" w:ascii="方正仿宋_GBK" w:hAnsi="仿宋" w:eastAsia="方正仿宋_GBK"/>
          <w:sz w:val="24"/>
          <w:highlight w:val="none"/>
          <w:u w:val="none" w:color="auto"/>
        </w:rPr>
      </w:pPr>
    </w:p>
    <w:p w14:paraId="27984E52">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（附：被授权人身份证正反面复印件）</w:t>
      </w:r>
    </w:p>
    <w:p w14:paraId="683346EA">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 xml:space="preserve">                                          </w:t>
      </w:r>
    </w:p>
    <w:p w14:paraId="6C120341">
      <w:pPr>
        <w:tabs>
          <w:tab w:val="left" w:pos="6300"/>
        </w:tabs>
        <w:snapToGrid w:val="0"/>
        <w:spacing w:line="500" w:lineRule="exact"/>
        <w:ind w:firstLine="570"/>
        <w:rPr>
          <w:rFonts w:hint="eastAsia" w:ascii="方正仿宋_GBK" w:hAnsi="仿宋" w:eastAsia="方正仿宋_GBK"/>
          <w:sz w:val="24"/>
          <w:highlight w:val="none"/>
          <w:u w:val="none" w:color="auto"/>
        </w:rPr>
      </w:pPr>
    </w:p>
    <w:p w14:paraId="6E71688D">
      <w:pPr>
        <w:tabs>
          <w:tab w:val="left" w:pos="6300"/>
        </w:tabs>
        <w:snapToGrid w:val="0"/>
        <w:spacing w:line="500" w:lineRule="exact"/>
        <w:ind w:right="480" w:firstLine="570"/>
        <w:jc w:val="right"/>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（投标人公章）</w:t>
      </w:r>
    </w:p>
    <w:p w14:paraId="6561C56E">
      <w:pPr>
        <w:tabs>
          <w:tab w:val="left" w:pos="6300"/>
        </w:tabs>
        <w:snapToGrid w:val="0"/>
        <w:spacing w:line="500" w:lineRule="exact"/>
        <w:ind w:right="480" w:firstLine="570"/>
        <w:jc w:val="right"/>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年   月   日</w:t>
      </w:r>
    </w:p>
    <w:p w14:paraId="0E1B714C">
      <w:pPr>
        <w:tabs>
          <w:tab w:val="left" w:pos="6300"/>
        </w:tabs>
        <w:snapToGrid w:val="0"/>
        <w:spacing w:line="500" w:lineRule="exact"/>
        <w:ind w:right="720" w:firstLine="570"/>
        <w:jc w:val="right"/>
        <w:rPr>
          <w:rFonts w:hint="eastAsia" w:ascii="方正仿宋_GBK" w:hAnsi="仿宋" w:eastAsia="方正仿宋_GBK"/>
          <w:sz w:val="24"/>
          <w:highlight w:val="none"/>
          <w:u w:val="none" w:color="auto"/>
        </w:rPr>
      </w:pPr>
    </w:p>
    <w:p w14:paraId="04F1F4DC">
      <w:pPr>
        <w:tabs>
          <w:tab w:val="left" w:pos="6300"/>
        </w:tabs>
        <w:snapToGrid w:val="0"/>
        <w:spacing w:line="500" w:lineRule="exact"/>
        <w:ind w:right="480" w:firstLine="570"/>
        <w:jc w:val="left"/>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被授权人电话：XXXXXXX     电子邮箱：XXXXXX@XXXXX（若法定代表人办理并签署投标文件的可不填写）</w:t>
      </w:r>
    </w:p>
    <w:p w14:paraId="0AC03CFA">
      <w:pPr>
        <w:tabs>
          <w:tab w:val="left" w:pos="6300"/>
        </w:tabs>
        <w:snapToGrid w:val="0"/>
        <w:spacing w:line="500" w:lineRule="exact"/>
        <w:ind w:right="480" w:firstLine="570"/>
        <w:jc w:val="left"/>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注：</w:t>
      </w:r>
    </w:p>
    <w:p w14:paraId="41A0E277">
      <w:pPr>
        <w:tabs>
          <w:tab w:val="left" w:pos="6300"/>
        </w:tabs>
        <w:snapToGrid w:val="0"/>
        <w:spacing w:line="500" w:lineRule="exact"/>
        <w:ind w:right="480" w:firstLine="570"/>
        <w:jc w:val="left"/>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1.若为法定代表人办理并签署投标文件的，不提供此文件。</w:t>
      </w:r>
    </w:p>
    <w:p w14:paraId="472EA1FF">
      <w:pPr>
        <w:tabs>
          <w:tab w:val="left" w:pos="6300"/>
        </w:tabs>
        <w:snapToGrid w:val="0"/>
        <w:spacing w:line="500" w:lineRule="exact"/>
        <w:ind w:right="480" w:firstLine="570"/>
        <w:jc w:val="left"/>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2.若为联合体投标的，法定代表人授权委托书由联合体主办方</w:t>
      </w:r>
      <w:r>
        <w:rPr>
          <w:rFonts w:hint="eastAsia" w:ascii="方正仿宋_GBK" w:hAnsi="仿宋" w:eastAsia="方正仿宋_GBK" w:cs="宋体"/>
          <w:kern w:val="0"/>
          <w:sz w:val="24"/>
          <w:szCs w:val="24"/>
          <w:highlight w:val="none"/>
          <w:u w:val="none" w:color="auto"/>
        </w:rPr>
        <w:t>（主体）</w:t>
      </w:r>
      <w:r>
        <w:rPr>
          <w:rFonts w:hint="eastAsia" w:ascii="方正仿宋_GBK" w:hAnsi="仿宋" w:eastAsia="方正仿宋_GBK"/>
          <w:sz w:val="24"/>
          <w:highlight w:val="none"/>
          <w:u w:val="none" w:color="auto"/>
        </w:rPr>
        <w:t>出具。</w:t>
      </w:r>
    </w:p>
    <w:p w14:paraId="105E49C4">
      <w:pPr>
        <w:spacing w:line="400" w:lineRule="exact"/>
        <w:ind w:firstLine="560" w:firstLineChars="200"/>
        <w:jc w:val="left"/>
        <w:rPr>
          <w:rFonts w:hint="eastAsia" w:ascii="方正仿宋_GBK" w:hAnsi="仿宋" w:eastAsia="方正仿宋_GBK"/>
          <w:sz w:val="24"/>
          <w:szCs w:val="24"/>
          <w:highlight w:val="none"/>
          <w:u w:val="none" w:color="auto"/>
        </w:rPr>
      </w:pPr>
      <w:r>
        <w:rPr>
          <w:rFonts w:hint="eastAsia" w:ascii="方正仿宋_GBK" w:hAnsi="仿宋" w:eastAsia="方正仿宋_GBK"/>
          <w:highlight w:val="none"/>
          <w:u w:val="none" w:color="auto"/>
        </w:rPr>
        <w:br w:type="column"/>
      </w:r>
      <w:r>
        <w:rPr>
          <w:rFonts w:hint="eastAsia" w:ascii="方正仿宋_GBK" w:hAnsi="宋体" w:eastAsia="方正仿宋_GBK"/>
          <w:sz w:val="24"/>
          <w:szCs w:val="28"/>
          <w:highlight w:val="none"/>
          <w:u w:val="none" w:color="auto"/>
        </w:rPr>
        <w:t>（四）基本资格条件承诺函</w:t>
      </w:r>
    </w:p>
    <w:p w14:paraId="3F90D9F9">
      <w:pPr>
        <w:tabs>
          <w:tab w:val="left" w:pos="6300"/>
        </w:tabs>
        <w:snapToGrid w:val="0"/>
        <w:spacing w:line="500" w:lineRule="exact"/>
        <w:ind w:firstLine="643" w:firstLineChars="200"/>
        <w:jc w:val="center"/>
        <w:outlineLvl w:val="0"/>
        <w:rPr>
          <w:rFonts w:hint="eastAsia" w:ascii="方正仿宋_GBK" w:hAnsi="方正仿宋_GBK" w:eastAsia="方正仿宋_GBK" w:cs="方正仿宋_GBK"/>
          <w:b/>
          <w:bCs/>
          <w:sz w:val="32"/>
          <w:szCs w:val="32"/>
          <w:highlight w:val="none"/>
          <w:u w:val="none" w:color="auto"/>
        </w:rPr>
      </w:pPr>
      <w:r>
        <w:rPr>
          <w:rFonts w:hint="eastAsia" w:ascii="方正仿宋_GBK" w:hAnsi="方正仿宋_GBK" w:eastAsia="方正仿宋_GBK" w:cs="方正仿宋_GBK"/>
          <w:b/>
          <w:bCs/>
          <w:sz w:val="32"/>
          <w:szCs w:val="32"/>
          <w:highlight w:val="none"/>
          <w:u w:val="none" w:color="auto"/>
        </w:rPr>
        <w:t>基本资格条件承诺函</w:t>
      </w:r>
    </w:p>
    <w:p w14:paraId="3D40512C">
      <w:pPr>
        <w:tabs>
          <w:tab w:val="left" w:pos="6300"/>
        </w:tabs>
        <w:snapToGrid w:val="0"/>
        <w:spacing w:line="530" w:lineRule="exact"/>
        <w:rPr>
          <w:sz w:val="24"/>
          <w:highlight w:val="none"/>
          <w:u w:val="none" w:color="auto"/>
        </w:rPr>
      </w:pPr>
    </w:p>
    <w:p w14:paraId="32425E1D">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致                   （采购代理机构名称）：</w:t>
      </w:r>
    </w:p>
    <w:p w14:paraId="089BD42D">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 xml:space="preserve">                  （投标人名称）郑重承诺：</w:t>
      </w:r>
    </w:p>
    <w:p w14:paraId="3A60FA5C">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1.我方具有良好的商业信誉和健全的财务会计制度，具有履行合同所必需的设备和专业技术能力，具</w:t>
      </w:r>
      <w:r>
        <w:rPr>
          <w:rFonts w:hint="eastAsia" w:ascii="方正仿宋_GBK" w:hAnsi="仿宋" w:eastAsia="方正仿宋_GBK"/>
          <w:sz w:val="24"/>
          <w:highlight w:val="none"/>
          <w:u w:val="none" w:color="auto"/>
          <w:lang w:val="zh-CN"/>
        </w:rPr>
        <w:t>有依法缴纳税收和社会保障金的良好记录</w:t>
      </w:r>
      <w:r>
        <w:rPr>
          <w:rFonts w:hint="eastAsia" w:ascii="方正仿宋_GBK" w:hAnsi="仿宋" w:eastAsia="方正仿宋_GBK"/>
          <w:sz w:val="24"/>
          <w:highlight w:val="none"/>
          <w:u w:val="none" w:color="auto"/>
        </w:rPr>
        <w:t>，参加本项目采购活动前三年内无重大违法活动记录。</w:t>
      </w:r>
    </w:p>
    <w:p w14:paraId="7AA2129A">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2.我方未列入在信用中国网站（www.creditchina.gov.cn）“失信被执行人”、“重大税收违法案件当事人名单”中，也未列入中国政府采购网（www.ccgp.gov.cn）“政府采购严重违法失信行为记录名单”中。</w:t>
      </w:r>
    </w:p>
    <w:p w14:paraId="2427C77B">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3.我方在采购项目评审（评标）环节结束后，随时接受采购人、采购代理机构的检查验证，配合提供相关证明材料，证明符合《中华人民共和国政府采购法》规定的投标人基本资格条件。</w:t>
      </w:r>
    </w:p>
    <w:p w14:paraId="55868FC4">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我方对以上承诺负全部法律责任。</w:t>
      </w:r>
    </w:p>
    <w:p w14:paraId="241DF33F">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特此承诺。</w:t>
      </w:r>
    </w:p>
    <w:p w14:paraId="69CD9D54">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p>
    <w:p w14:paraId="29033CE6">
      <w:pPr>
        <w:tabs>
          <w:tab w:val="left" w:pos="6300"/>
        </w:tabs>
        <w:snapToGrid w:val="0"/>
        <w:spacing w:line="500" w:lineRule="exact"/>
        <w:ind w:firstLine="480" w:firstLineChars="200"/>
        <w:jc w:val="right"/>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（投标人公章）</w:t>
      </w:r>
    </w:p>
    <w:p w14:paraId="2D97D485">
      <w:pPr>
        <w:tabs>
          <w:tab w:val="left" w:pos="6300"/>
        </w:tabs>
        <w:snapToGrid w:val="0"/>
        <w:spacing w:line="500" w:lineRule="exact"/>
        <w:ind w:firstLine="480" w:firstLineChars="200"/>
        <w:jc w:val="right"/>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年   月   日</w:t>
      </w:r>
    </w:p>
    <w:p w14:paraId="24835A0B">
      <w:pPr>
        <w:snapToGrid w:val="0"/>
        <w:spacing w:line="440" w:lineRule="exact"/>
        <w:ind w:firstLine="480" w:firstLineChars="200"/>
        <w:rPr>
          <w:rFonts w:hint="eastAsia" w:ascii="方正仿宋_GBK" w:hAnsi="仿宋" w:eastAsia="方正仿宋_GBK"/>
          <w:sz w:val="24"/>
          <w:szCs w:val="24"/>
          <w:highlight w:val="none"/>
          <w:u w:val="none" w:color="auto"/>
        </w:rPr>
      </w:pPr>
    </w:p>
    <w:p w14:paraId="4EF7F0DE">
      <w:pPr>
        <w:spacing w:line="400" w:lineRule="exact"/>
        <w:rPr>
          <w:rFonts w:ascii="方正仿宋_GBK" w:hAnsi="仿宋" w:eastAsia="方正仿宋_GBK"/>
          <w:highlight w:val="none"/>
          <w:u w:val="none" w:color="auto"/>
        </w:rPr>
      </w:pPr>
    </w:p>
    <w:p w14:paraId="68BD37E5">
      <w:pPr>
        <w:spacing w:line="400" w:lineRule="exact"/>
        <w:rPr>
          <w:rFonts w:ascii="方正仿宋_GBK" w:hAnsi="仿宋" w:eastAsia="方正仿宋_GBK"/>
          <w:highlight w:val="none"/>
          <w:u w:val="none" w:color="auto"/>
        </w:rPr>
      </w:pPr>
    </w:p>
    <w:p w14:paraId="50740161">
      <w:pPr>
        <w:spacing w:line="400" w:lineRule="exact"/>
        <w:rPr>
          <w:rFonts w:ascii="方正仿宋_GBK" w:hAnsi="仿宋" w:eastAsia="方正仿宋_GBK"/>
          <w:highlight w:val="none"/>
          <w:u w:val="none" w:color="auto"/>
        </w:rPr>
      </w:pPr>
    </w:p>
    <w:p w14:paraId="340A5F51">
      <w:pPr>
        <w:spacing w:line="400" w:lineRule="exact"/>
        <w:rPr>
          <w:rFonts w:ascii="方正仿宋_GBK" w:hAnsi="仿宋" w:eastAsia="方正仿宋_GBK"/>
          <w:highlight w:val="none"/>
          <w:u w:val="none" w:color="auto"/>
        </w:rPr>
      </w:pPr>
    </w:p>
    <w:p w14:paraId="450D5847">
      <w:pPr>
        <w:spacing w:line="400" w:lineRule="exact"/>
        <w:rPr>
          <w:rFonts w:ascii="方正仿宋_GBK" w:hAnsi="仿宋" w:eastAsia="方正仿宋_GBK"/>
          <w:highlight w:val="none"/>
          <w:u w:val="none" w:color="auto"/>
        </w:rPr>
      </w:pPr>
    </w:p>
    <w:p w14:paraId="287084AD">
      <w:pPr>
        <w:spacing w:line="400" w:lineRule="exact"/>
        <w:rPr>
          <w:rFonts w:ascii="方正仿宋_GBK" w:hAnsi="仿宋" w:eastAsia="方正仿宋_GBK"/>
          <w:highlight w:val="none"/>
          <w:u w:val="none" w:color="auto"/>
        </w:rPr>
      </w:pPr>
    </w:p>
    <w:p w14:paraId="1C99F183">
      <w:pPr>
        <w:spacing w:line="400" w:lineRule="exact"/>
        <w:rPr>
          <w:rFonts w:ascii="方正仿宋_GBK" w:hAnsi="仿宋" w:eastAsia="方正仿宋_GBK"/>
          <w:highlight w:val="none"/>
          <w:u w:val="none" w:color="auto"/>
        </w:rPr>
      </w:pPr>
    </w:p>
    <w:p w14:paraId="40E1ADBD">
      <w:pPr>
        <w:spacing w:line="400" w:lineRule="exact"/>
        <w:rPr>
          <w:rFonts w:ascii="方正仿宋_GBK" w:hAnsi="仿宋" w:eastAsia="方正仿宋_GBK"/>
          <w:highlight w:val="none"/>
          <w:u w:val="none" w:color="auto"/>
        </w:rPr>
      </w:pPr>
    </w:p>
    <w:p w14:paraId="23E1F381">
      <w:pPr>
        <w:tabs>
          <w:tab w:val="left" w:pos="6300"/>
        </w:tabs>
        <w:snapToGrid w:val="0"/>
        <w:spacing w:line="500" w:lineRule="exact"/>
        <w:ind w:firstLine="480" w:firstLineChars="200"/>
        <w:rPr>
          <w:rFonts w:hint="eastAsia" w:ascii="方正仿宋_GBK" w:hAnsi="宋体" w:eastAsia="方正仿宋_GBK"/>
          <w:sz w:val="24"/>
          <w:szCs w:val="28"/>
          <w:highlight w:val="none"/>
          <w:u w:val="none" w:color="auto"/>
        </w:rPr>
      </w:pPr>
    </w:p>
    <w:p w14:paraId="3C44157B">
      <w:pPr>
        <w:tabs>
          <w:tab w:val="left" w:pos="6300"/>
        </w:tabs>
        <w:snapToGrid w:val="0"/>
        <w:spacing w:line="500" w:lineRule="exact"/>
        <w:ind w:firstLine="480" w:firstLineChars="200"/>
        <w:rPr>
          <w:rFonts w:hint="eastAsia" w:ascii="方正仿宋_GBK" w:hAnsi="宋体" w:eastAsia="方正仿宋_GBK"/>
          <w:sz w:val="24"/>
          <w:szCs w:val="28"/>
          <w:highlight w:val="none"/>
          <w:u w:val="none" w:color="auto"/>
        </w:rPr>
      </w:pPr>
    </w:p>
    <w:p w14:paraId="1A0C378B">
      <w:pPr>
        <w:tabs>
          <w:tab w:val="left" w:pos="6300"/>
        </w:tabs>
        <w:snapToGrid w:val="0"/>
        <w:spacing w:line="500" w:lineRule="exact"/>
        <w:ind w:firstLine="480" w:firstLineChars="200"/>
        <w:rPr>
          <w:rFonts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（五）特定资格条件证书或证明文件</w:t>
      </w:r>
    </w:p>
    <w:p w14:paraId="7C8AA0EE">
      <w:pPr>
        <w:snapToGrid w:val="0"/>
        <w:spacing w:line="400" w:lineRule="exact"/>
        <w:ind w:firstLine="480" w:firstLineChars="200"/>
        <w:rPr>
          <w:rFonts w:hint="eastAsia" w:ascii="方正仿宋_GBK" w:hAnsi="宋体" w:eastAsia="方正仿宋_GBK" w:cs="Times New Roman"/>
          <w:sz w:val="24"/>
          <w:szCs w:val="24"/>
          <w:highlight w:val="none"/>
          <w:u w:val="none" w:color="auto"/>
        </w:rPr>
      </w:pPr>
      <w:r>
        <w:rPr>
          <w:rFonts w:hint="eastAsia" w:ascii="方正仿宋_GBK" w:hAnsi="宋体" w:eastAsia="方正仿宋_GBK"/>
          <w:sz w:val="24"/>
          <w:szCs w:val="24"/>
          <w:highlight w:val="none"/>
          <w:u w:val="none" w:color="auto"/>
        </w:rPr>
        <w:t>（</w:t>
      </w:r>
      <w:r>
        <w:rPr>
          <w:rFonts w:hint="eastAsia" w:ascii="方正仿宋_GBK" w:hAnsi="宋体" w:eastAsia="方正仿宋_GBK"/>
          <w:sz w:val="24"/>
          <w:szCs w:val="24"/>
          <w:highlight w:val="none"/>
          <w:u w:val="none" w:color="auto"/>
          <w:lang w:val="en-US" w:eastAsia="zh-CN"/>
        </w:rPr>
        <w:t>六</w:t>
      </w:r>
      <w:r>
        <w:rPr>
          <w:rFonts w:hint="eastAsia" w:ascii="方正仿宋_GBK" w:hAnsi="宋体" w:eastAsia="方正仿宋_GBK"/>
          <w:sz w:val="24"/>
          <w:szCs w:val="24"/>
          <w:highlight w:val="none"/>
          <w:u w:val="none" w:color="auto"/>
        </w:rPr>
        <w:t>）</w:t>
      </w:r>
      <w:r>
        <w:rPr>
          <w:rFonts w:hint="eastAsia" w:ascii="方正仿宋_GBK" w:hAnsi="宋体" w:eastAsia="方正仿宋_GBK" w:cs="Times New Roman"/>
          <w:sz w:val="24"/>
          <w:szCs w:val="24"/>
          <w:highlight w:val="none"/>
          <w:u w:val="none" w:color="auto"/>
        </w:rPr>
        <w:t>投标</w:t>
      </w:r>
      <w:r>
        <w:rPr>
          <w:rFonts w:hint="eastAsia" w:ascii="方正仿宋_GBK" w:hAnsi="宋体" w:eastAsia="方正仿宋_GBK" w:cs="Times New Roman"/>
          <w:sz w:val="24"/>
          <w:szCs w:val="24"/>
          <w:highlight w:val="none"/>
          <w:u w:val="none" w:color="auto"/>
          <w:lang w:val="en-US" w:eastAsia="zh-CN"/>
        </w:rPr>
        <w:t>人</w:t>
      </w:r>
      <w:r>
        <w:rPr>
          <w:rFonts w:hint="eastAsia" w:ascii="方正仿宋_GBK" w:hAnsi="宋体" w:eastAsia="方正仿宋_GBK" w:cs="Times New Roman"/>
          <w:sz w:val="24"/>
          <w:szCs w:val="24"/>
          <w:highlight w:val="none"/>
          <w:u w:val="none" w:color="auto"/>
        </w:rPr>
        <w:t>对公账户开户银行许可证或基本存款账户信息（账户与缴纳保证金的账户一致）复印件加盖鲜章；缴纳保证金的凭证复印件加盖鲜章。</w:t>
      </w:r>
    </w:p>
    <w:p w14:paraId="4C7E1569">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14:paraId="1432B6E4">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14:paraId="4D6BF6A0">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14:paraId="2D2F409D">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14:paraId="794962F7">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14:paraId="1017E272">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14:paraId="35A76793">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14:paraId="650AA080">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14:paraId="57E0EEEE">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14:paraId="3C8F88B4">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14:paraId="5318413C">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14:paraId="69126B5C">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14:paraId="3D2CD457">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14:paraId="0D7E94C0">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14:paraId="0A4262B7">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14:paraId="7E32A8D4">
      <w:pPr>
        <w:tabs>
          <w:tab w:val="left" w:pos="6300"/>
        </w:tabs>
        <w:snapToGrid w:val="0"/>
        <w:spacing w:line="500" w:lineRule="exact"/>
        <w:jc w:val="left"/>
        <w:rPr>
          <w:rFonts w:hint="eastAsia" w:ascii="方正仿宋_GBK" w:hAnsi="仿宋" w:eastAsia="方正仿宋_GBK"/>
          <w:sz w:val="24"/>
          <w:highlight w:val="none"/>
          <w:u w:val="none" w:color="auto"/>
        </w:rPr>
      </w:pPr>
    </w:p>
    <w:p w14:paraId="192C7EE3">
      <w:pPr>
        <w:tabs>
          <w:tab w:val="left" w:pos="6300"/>
        </w:tabs>
        <w:snapToGrid w:val="0"/>
        <w:spacing w:line="500" w:lineRule="exact"/>
        <w:ind w:firstLine="480" w:firstLineChars="200"/>
        <w:jc w:val="center"/>
        <w:outlineLvl w:val="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（结束）</w:t>
      </w:r>
    </w:p>
    <w:sectPr>
      <w:footerReference r:id="rId7" w:type="default"/>
      <w:type w:val="nextColumn"/>
      <w:pgSz w:w="11907" w:h="16840"/>
      <w:pgMar w:top="1134" w:right="1191" w:bottom="1134" w:left="1304" w:header="964" w:footer="992" w:gutter="0"/>
      <w:pgBorders w:offsetFrom="page">
        <w:top w:val="none" w:sz="0" w:space="0"/>
        <w:left w:val="none" w:sz="0" w:space="0"/>
        <w:bottom w:val="none" w:sz="0" w:space="0"/>
        <w:right w:val="none" w:sz="0" w:space="0"/>
      </w:pgBorders>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Sitka Text"/>
    <w:panose1 w:val="02020500000000000000"/>
    <w:charset w:val="00"/>
    <w:family w:val="roman"/>
    <w:pitch w:val="default"/>
    <w:sig w:usb0="00000000" w:usb1="00000000" w:usb2="00000016" w:usb3="00000000" w:csb0="00100001" w:csb1="00000000"/>
  </w:font>
  <w:font w:name="Sitka Text">
    <w:panose1 w:val="02000505000000020004"/>
    <w:charset w:val="00"/>
    <w:family w:val="auto"/>
    <w:pitch w:val="default"/>
    <w:sig w:usb0="A00002EF" w:usb1="4000204B"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9" w:usb3="00000000" w:csb0="000001FF" w:csb1="00000000"/>
  </w:font>
  <w:font w:name="Arial Unicode MS">
    <w:altName w:val="Arial"/>
    <w:panose1 w:val="020B0604020202020204"/>
    <w:charset w:val="00"/>
    <w:family w:val="swiss"/>
    <w:pitch w:val="default"/>
    <w:sig w:usb0="00000000" w:usb1="00000000" w:usb2="0000003F" w:usb3="00000000" w:csb0="003F01FF" w:csb1="00000000"/>
  </w:font>
  <w:font w:name="_x000B__x000C_">
    <w:altName w:val="Segoe Print"/>
    <w:panose1 w:val="000000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文鼎粗黑">
    <w:altName w:val="方正黑体_GBK"/>
    <w:panose1 w:val="020B0609010101010101"/>
    <w:charset w:val="00"/>
    <w:family w:val="modern"/>
    <w:pitch w:val="default"/>
    <w:sig w:usb0="00000000" w:usb1="00000000" w:usb2="00000010" w:usb3="00000000" w:csb0="00040000" w:csb1="00000000"/>
  </w:font>
  <w:font w:name="方正黑体_GBK">
    <w:panose1 w:val="03000509000000000000"/>
    <w:charset w:val="86"/>
    <w:family w:val="auto"/>
    <w:pitch w:val="default"/>
    <w:sig w:usb0="00000001" w:usb1="080E0000" w:usb2="00000000" w:usb3="00000000" w:csb0="00040000" w:csb1="00000000"/>
  </w:font>
  <w:font w:name="昆仑楷体">
    <w:altName w:val="方正楷体_GBK"/>
    <w:panose1 w:val="02010609000101010101"/>
    <w:charset w:val="00"/>
    <w:family w:val="modern"/>
    <w:pitch w:val="default"/>
    <w:sig w:usb0="00000000" w:usb1="00000000" w:usb2="00000010" w:usb3="00000000" w:csb0="00040000" w:csb1="00000000"/>
  </w:font>
  <w:font w:name="方正楷体_GBK">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Arial Narrow">
    <w:altName w:val="Arial"/>
    <w:panose1 w:val="020B0606020202030204"/>
    <w:charset w:val="00"/>
    <w:family w:val="swiss"/>
    <w:pitch w:val="default"/>
    <w:sig w:usb0="00000000" w:usb1="00000000" w:usb2="00000000" w:usb3="00000000" w:csb0="2000009F" w:csb1="DFD70000"/>
  </w:font>
  <w:font w:name="Tahoma">
    <w:panose1 w:val="020B0604030504040204"/>
    <w:charset w:val="00"/>
    <w:family w:val="swiss"/>
    <w:pitch w:val="default"/>
    <w:sig w:usb0="E1002EFF" w:usb1="C000605B" w:usb2="00000029" w:usb3="00000000" w:csb0="200101FF" w:csb1="2028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9AFF5F">
    <w:pPr>
      <w:pStyle w:val="37"/>
      <w:jc w:val="center"/>
      <w:rPr>
        <w:rFonts w:hint="eastAsia"/>
        <w:sz w:val="24"/>
      </w:rPr>
    </w:pPr>
    <w:r>
      <w:rPr>
        <w:sz w:val="24"/>
      </w:rPr>
      <w:fldChar w:fldCharType="begin"/>
    </w:r>
    <w:r>
      <w:rPr>
        <w:rStyle w:val="64"/>
        <w:sz w:val="24"/>
      </w:rPr>
      <w:instrText xml:space="preserve"> PAGE </w:instrText>
    </w:r>
    <w:r>
      <w:rPr>
        <w:sz w:val="24"/>
      </w:rPr>
      <w:fldChar w:fldCharType="separate"/>
    </w:r>
    <w:r>
      <w:rPr>
        <w:rStyle w:val="64"/>
        <w:sz w:val="24"/>
      </w:rPr>
      <w:t>- 2 -</w:t>
    </w:r>
    <w:r>
      <w:rPr>
        <w:sz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477B20">
    <w:pPr>
      <w:pStyle w:val="37"/>
      <w:framePr w:wrap="around" w:vAnchor="text" w:hAnchor="margin" w:xAlign="center" w:y="1"/>
      <w:rPr>
        <w:rStyle w:val="64"/>
      </w:rPr>
    </w:pPr>
    <w:r>
      <w:fldChar w:fldCharType="begin"/>
    </w:r>
    <w:r>
      <w:rPr>
        <w:rStyle w:val="64"/>
      </w:rPr>
      <w:instrText xml:space="preserve">PAGE  </w:instrText>
    </w:r>
    <w:r>
      <w:fldChar w:fldCharType="separate"/>
    </w:r>
    <w:r>
      <w:fldChar w:fldCharType="end"/>
    </w:r>
  </w:p>
  <w:p w14:paraId="47F28C7C">
    <w:pPr>
      <w:pStyle w:val="3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B1C3FF">
    <w:pPr>
      <w:pStyle w:val="37"/>
      <w:jc w:val="center"/>
      <w:rPr>
        <w:sz w:val="24"/>
      </w:rPr>
    </w:pPr>
    <w:r>
      <w:rPr>
        <w:sz w:val="24"/>
      </w:rPr>
      <w:fldChar w:fldCharType="begin"/>
    </w:r>
    <w:r>
      <w:rPr>
        <w:rStyle w:val="64"/>
        <w:sz w:val="24"/>
      </w:rPr>
      <w:instrText xml:space="preserve"> PAGE </w:instrText>
    </w:r>
    <w:r>
      <w:rPr>
        <w:sz w:val="24"/>
      </w:rPr>
      <w:fldChar w:fldCharType="separate"/>
    </w:r>
    <w:r>
      <w:rPr>
        <w:rStyle w:val="64"/>
        <w:sz w:val="24"/>
      </w:rPr>
      <w:t>- 32 -</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A291D8">
    <w:pPr>
      <w:pStyle w:val="38"/>
      <w:pBdr>
        <w:bottom w:val="single" w:color="auto" w:sz="4" w:space="1"/>
      </w:pBdr>
      <w:ind w:firstLine="2415" w:firstLineChars="1150"/>
      <w:jc w:val="both"/>
      <w:rPr>
        <w:rFonts w:hint="eastAsia" w:ascii="方正仿宋_GBK" w:eastAsia="方正仿宋_GBK"/>
        <w:sz w:val="21"/>
        <w:szCs w:val="24"/>
      </w:rPr>
    </w:pPr>
    <w:r>
      <w:rPr>
        <w:rFonts w:hint="eastAsia" w:ascii="方正仿宋_GBK" w:eastAsia="方正仿宋_GBK"/>
        <w:sz w:val="21"/>
        <w:szCs w:val="24"/>
      </w:rPr>
      <w:t xml:space="preserve">                                                      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BEFE93">
    <w:pPr>
      <w:pStyle w:val="3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584DEB"/>
    <w:multiLevelType w:val="singleLevel"/>
    <w:tmpl w:val="97584DEB"/>
    <w:lvl w:ilvl="0" w:tentative="0">
      <w:start w:val="2"/>
      <w:numFmt w:val="chineseCounting"/>
      <w:suff w:val="nothing"/>
      <w:lvlText w:val="（%1）"/>
      <w:lvlJc w:val="left"/>
      <w:rPr>
        <w:rFonts w:hint="eastAsia"/>
      </w:rPr>
    </w:lvl>
  </w:abstractNum>
  <w:abstractNum w:abstractNumId="1">
    <w:nsid w:val="CE05F6D7"/>
    <w:multiLevelType w:val="singleLevel"/>
    <w:tmpl w:val="CE05F6D7"/>
    <w:lvl w:ilvl="0" w:tentative="0">
      <w:start w:val="5"/>
      <w:numFmt w:val="chineseCounting"/>
      <w:suff w:val="nothing"/>
      <w:lvlText w:val="%1、"/>
      <w:lvlJc w:val="left"/>
      <w:rPr>
        <w:rFonts w:hint="eastAsia"/>
      </w:rPr>
    </w:lvl>
  </w:abstractNum>
  <w:abstractNum w:abstractNumId="2">
    <w:nsid w:val="F4298C3F"/>
    <w:multiLevelType w:val="singleLevel"/>
    <w:tmpl w:val="F4298C3F"/>
    <w:lvl w:ilvl="0" w:tentative="0">
      <w:start w:val="1"/>
      <w:numFmt w:val="decimal"/>
      <w:suff w:val="nothing"/>
      <w:lvlText w:val="%1、"/>
      <w:lvlJc w:val="left"/>
    </w:lvl>
  </w:abstractNum>
  <w:abstractNum w:abstractNumId="3">
    <w:nsid w:val="00000003"/>
    <w:multiLevelType w:val="singleLevel"/>
    <w:tmpl w:val="00000003"/>
    <w:lvl w:ilvl="0" w:tentative="0">
      <w:start w:val="1"/>
      <w:numFmt w:val="decimal"/>
      <w:pStyle w:val="13"/>
      <w:lvlText w:val="%1."/>
      <w:lvlJc w:val="left"/>
      <w:pPr>
        <w:tabs>
          <w:tab w:val="left" w:pos="780"/>
        </w:tabs>
        <w:ind w:left="780" w:hanging="360"/>
      </w:pPr>
    </w:lvl>
  </w:abstractNum>
  <w:abstractNum w:abstractNumId="4">
    <w:nsid w:val="00000005"/>
    <w:multiLevelType w:val="multilevel"/>
    <w:tmpl w:val="00000005"/>
    <w:lvl w:ilvl="0" w:tentative="0">
      <w:start w:val="1"/>
      <w:numFmt w:val="bullet"/>
      <w:pStyle w:val="129"/>
      <w:lvlText w:val=""/>
      <w:lvlJc w:val="left"/>
      <w:pPr>
        <w:tabs>
          <w:tab w:val="left" w:pos="980"/>
        </w:tabs>
        <w:ind w:left="980" w:hanging="360"/>
      </w:pPr>
      <w:rPr>
        <w:rFonts w:hint="default" w:ascii="Wingdings" w:hAnsi="Wingdings"/>
      </w:rPr>
    </w:lvl>
    <w:lvl w:ilvl="1" w:tentative="0">
      <w:start w:val="1"/>
      <w:numFmt w:val="bullet"/>
      <w:lvlText w:val=""/>
      <w:lvlJc w:val="left"/>
      <w:pPr>
        <w:tabs>
          <w:tab w:val="left" w:pos="1040"/>
        </w:tabs>
        <w:ind w:left="1040" w:hanging="420"/>
      </w:pPr>
      <w:rPr>
        <w:rFonts w:hint="default" w:ascii="Wingdings" w:hAnsi="Wingdings"/>
      </w:rPr>
    </w:lvl>
    <w:lvl w:ilvl="2" w:tentative="0">
      <w:start w:val="1"/>
      <w:numFmt w:val="bullet"/>
      <w:lvlText w:val=""/>
      <w:lvlJc w:val="left"/>
      <w:pPr>
        <w:tabs>
          <w:tab w:val="left" w:pos="1460"/>
        </w:tabs>
        <w:ind w:left="1460" w:hanging="420"/>
      </w:pPr>
      <w:rPr>
        <w:rFonts w:hint="default" w:ascii="Wingdings" w:hAnsi="Wingdings"/>
      </w:rPr>
    </w:lvl>
    <w:lvl w:ilvl="3" w:tentative="0">
      <w:start w:val="1"/>
      <w:numFmt w:val="bullet"/>
      <w:lvlText w:val=""/>
      <w:lvlJc w:val="left"/>
      <w:pPr>
        <w:tabs>
          <w:tab w:val="left" w:pos="1880"/>
        </w:tabs>
        <w:ind w:left="1880" w:hanging="420"/>
      </w:pPr>
      <w:rPr>
        <w:rFonts w:hint="default" w:ascii="Wingdings" w:hAnsi="Wingdings"/>
      </w:rPr>
    </w:lvl>
    <w:lvl w:ilvl="4" w:tentative="0">
      <w:start w:val="1"/>
      <w:numFmt w:val="bullet"/>
      <w:lvlText w:val=""/>
      <w:lvlJc w:val="left"/>
      <w:pPr>
        <w:tabs>
          <w:tab w:val="left" w:pos="2300"/>
        </w:tabs>
        <w:ind w:left="2300" w:hanging="420"/>
      </w:pPr>
      <w:rPr>
        <w:rFonts w:hint="default" w:ascii="Wingdings" w:hAnsi="Wingdings"/>
      </w:rPr>
    </w:lvl>
    <w:lvl w:ilvl="5" w:tentative="0">
      <w:start w:val="1"/>
      <w:numFmt w:val="bullet"/>
      <w:lvlText w:val=""/>
      <w:lvlJc w:val="left"/>
      <w:pPr>
        <w:tabs>
          <w:tab w:val="left" w:pos="2720"/>
        </w:tabs>
        <w:ind w:left="2720" w:hanging="420"/>
      </w:pPr>
      <w:rPr>
        <w:rFonts w:hint="default" w:ascii="Wingdings" w:hAnsi="Wingdings"/>
      </w:rPr>
    </w:lvl>
    <w:lvl w:ilvl="6" w:tentative="0">
      <w:start w:val="1"/>
      <w:numFmt w:val="bullet"/>
      <w:lvlText w:val=""/>
      <w:lvlJc w:val="left"/>
      <w:pPr>
        <w:tabs>
          <w:tab w:val="left" w:pos="3140"/>
        </w:tabs>
        <w:ind w:left="3140" w:hanging="420"/>
      </w:pPr>
      <w:rPr>
        <w:rFonts w:hint="default" w:ascii="Wingdings" w:hAnsi="Wingdings"/>
      </w:rPr>
    </w:lvl>
    <w:lvl w:ilvl="7" w:tentative="0">
      <w:start w:val="1"/>
      <w:numFmt w:val="bullet"/>
      <w:lvlText w:val=""/>
      <w:lvlJc w:val="left"/>
      <w:pPr>
        <w:tabs>
          <w:tab w:val="left" w:pos="3560"/>
        </w:tabs>
        <w:ind w:left="3560" w:hanging="420"/>
      </w:pPr>
      <w:rPr>
        <w:rFonts w:hint="default" w:ascii="Wingdings" w:hAnsi="Wingdings"/>
      </w:rPr>
    </w:lvl>
    <w:lvl w:ilvl="8" w:tentative="0">
      <w:start w:val="1"/>
      <w:numFmt w:val="bullet"/>
      <w:lvlText w:val=""/>
      <w:lvlJc w:val="left"/>
      <w:pPr>
        <w:tabs>
          <w:tab w:val="left" w:pos="3980"/>
        </w:tabs>
        <w:ind w:left="3980" w:hanging="420"/>
      </w:pPr>
      <w:rPr>
        <w:rFonts w:hint="default" w:ascii="Wingdings" w:hAnsi="Wingdings"/>
      </w:rPr>
    </w:lvl>
  </w:abstractNum>
  <w:abstractNum w:abstractNumId="5">
    <w:nsid w:val="00000006"/>
    <w:multiLevelType w:val="singleLevel"/>
    <w:tmpl w:val="00000006"/>
    <w:lvl w:ilvl="0" w:tentative="0">
      <w:start w:val="1"/>
      <w:numFmt w:val="bullet"/>
      <w:pStyle w:val="14"/>
      <w:lvlText w:val=""/>
      <w:lvlJc w:val="left"/>
      <w:pPr>
        <w:tabs>
          <w:tab w:val="left" w:pos="1620"/>
        </w:tabs>
        <w:ind w:left="1620" w:hanging="360"/>
      </w:pPr>
      <w:rPr>
        <w:rFonts w:hint="default" w:ascii="Wingdings" w:hAnsi="Wingdings"/>
      </w:rPr>
    </w:lvl>
  </w:abstractNum>
  <w:abstractNum w:abstractNumId="6">
    <w:nsid w:val="00000007"/>
    <w:multiLevelType w:val="multilevel"/>
    <w:tmpl w:val="00000007"/>
    <w:lvl w:ilvl="0" w:tentative="0">
      <w:start w:val="1"/>
      <w:numFmt w:val="bullet"/>
      <w:pStyle w:val="138"/>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0000008"/>
    <w:multiLevelType w:val="multilevel"/>
    <w:tmpl w:val="00000008"/>
    <w:lvl w:ilvl="0" w:tentative="0">
      <w:start w:val="1"/>
      <w:numFmt w:val="chineseCountingThousand"/>
      <w:pStyle w:val="5"/>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00000009"/>
    <w:multiLevelType w:val="multilevel"/>
    <w:tmpl w:val="00000009"/>
    <w:lvl w:ilvl="0" w:tentative="0">
      <w:start w:val="1"/>
      <w:numFmt w:val="upperLetter"/>
      <w:suff w:val="nothing"/>
      <w:lvlText w:val="附　录　%1"/>
      <w:lvlJc w:val="left"/>
      <w:pPr>
        <w:ind w:left="0" w:firstLine="0"/>
      </w:pPr>
      <w:rPr>
        <w:rFonts w:hint="eastAsia" w:ascii="黑体" w:hAnsi="Times New Roman" w:eastAsia="黑体"/>
        <w:b w:val="0"/>
        <w:i w:val="0"/>
        <w:sz w:val="21"/>
      </w:rPr>
    </w:lvl>
    <w:lvl w:ilvl="1" w:tentative="0">
      <w:start w:val="1"/>
      <w:numFmt w:val="decimal"/>
      <w:pStyle w:val="186"/>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9">
    <w:nsid w:val="0000000A"/>
    <w:multiLevelType w:val="multilevel"/>
    <w:tmpl w:val="0000000A"/>
    <w:lvl w:ilvl="0" w:tentative="0">
      <w:start w:val="8"/>
      <w:numFmt w:val="decimal"/>
      <w:pStyle w:val="185"/>
      <w:lvlText w:val="%1."/>
      <w:lvlJc w:val="left"/>
      <w:pPr>
        <w:tabs>
          <w:tab w:val="left" w:pos="425"/>
        </w:tabs>
        <w:ind w:left="425" w:hanging="425"/>
      </w:pPr>
      <w:rPr>
        <w:rFonts w:hint="eastAsia"/>
      </w:rPr>
    </w:lvl>
    <w:lvl w:ilvl="1" w:tentative="0">
      <w:start w:val="1"/>
      <w:numFmt w:val="decimal"/>
      <w:lvlText w:val="%1.%2."/>
      <w:lvlJc w:val="left"/>
      <w:pPr>
        <w:tabs>
          <w:tab w:val="left" w:pos="747"/>
        </w:tabs>
        <w:ind w:left="747" w:hanging="567"/>
      </w:pPr>
      <w:rPr>
        <w:rFonts w:hint="eastAsia"/>
      </w:rPr>
    </w:lvl>
    <w:lvl w:ilvl="2" w:tentative="0">
      <w:start w:val="1"/>
      <w:numFmt w:val="decimal"/>
      <w:pStyle w:val="116"/>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0">
    <w:nsid w:val="00000012"/>
    <w:multiLevelType w:val="singleLevel"/>
    <w:tmpl w:val="00000012"/>
    <w:lvl w:ilvl="0" w:tentative="0">
      <w:start w:val="1"/>
      <w:numFmt w:val="bullet"/>
      <w:pStyle w:val="28"/>
      <w:lvlText w:val=""/>
      <w:lvlJc w:val="left"/>
      <w:pPr>
        <w:tabs>
          <w:tab w:val="left" w:pos="780"/>
        </w:tabs>
        <w:ind w:left="780" w:hanging="360"/>
      </w:pPr>
      <w:rPr>
        <w:rFonts w:hint="default" w:ascii="Wingdings" w:hAnsi="Wingdings"/>
      </w:rPr>
    </w:lvl>
  </w:abstractNum>
  <w:abstractNum w:abstractNumId="11">
    <w:nsid w:val="00000013"/>
    <w:multiLevelType w:val="multilevel"/>
    <w:tmpl w:val="00000013"/>
    <w:lvl w:ilvl="0" w:tentative="0">
      <w:start w:val="1"/>
      <w:numFmt w:val="bullet"/>
      <w:pStyle w:val="106"/>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2">
    <w:nsid w:val="00000015"/>
    <w:multiLevelType w:val="multilevel"/>
    <w:tmpl w:val="00000015"/>
    <w:lvl w:ilvl="0" w:tentative="0">
      <w:start w:val="1"/>
      <w:numFmt w:val="decimal"/>
      <w:pStyle w:val="200"/>
      <w:lvlText w:val="(%1)"/>
      <w:lvlJc w:val="left"/>
      <w:pPr>
        <w:tabs>
          <w:tab w:val="left" w:pos="397"/>
        </w:tabs>
        <w:ind w:left="397" w:hanging="397"/>
      </w:pPr>
      <w:rPr>
        <w:rFonts w:hint="default" w:ascii="Arial" w:hAnsi="Arial" w:eastAsia="宋体"/>
        <w:b w:val="0"/>
        <w:i w:val="0"/>
        <w:color w:val="auto"/>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00000016"/>
    <w:multiLevelType w:val="singleLevel"/>
    <w:tmpl w:val="00000016"/>
    <w:lvl w:ilvl="0" w:tentative="0">
      <w:start w:val="1"/>
      <w:numFmt w:val="bullet"/>
      <w:pStyle w:val="124"/>
      <w:lvlText w:val=""/>
      <w:lvlJc w:val="left"/>
      <w:pPr>
        <w:tabs>
          <w:tab w:val="left" w:pos="360"/>
        </w:tabs>
        <w:ind w:left="360" w:hanging="360"/>
      </w:pPr>
      <w:rPr>
        <w:rFonts w:hint="default" w:ascii="Wingdings" w:hAnsi="Wingdings"/>
      </w:rPr>
    </w:lvl>
  </w:abstractNum>
  <w:abstractNum w:abstractNumId="14">
    <w:nsid w:val="00000017"/>
    <w:multiLevelType w:val="singleLevel"/>
    <w:tmpl w:val="00000017"/>
    <w:lvl w:ilvl="0" w:tentative="0">
      <w:start w:val="1"/>
      <w:numFmt w:val="bullet"/>
      <w:pStyle w:val="21"/>
      <w:lvlText w:val=""/>
      <w:lvlJc w:val="left"/>
      <w:pPr>
        <w:tabs>
          <w:tab w:val="left" w:pos="1200"/>
        </w:tabs>
        <w:ind w:left="1200" w:hanging="360"/>
      </w:pPr>
      <w:rPr>
        <w:rFonts w:hint="default" w:ascii="Wingdings" w:hAnsi="Wingdings"/>
      </w:rPr>
    </w:lvl>
  </w:abstractNum>
  <w:abstractNum w:abstractNumId="15">
    <w:nsid w:val="00000019"/>
    <w:multiLevelType w:val="singleLevel"/>
    <w:tmpl w:val="00000019"/>
    <w:lvl w:ilvl="0" w:tentative="0">
      <w:start w:val="1"/>
      <w:numFmt w:val="decimal"/>
      <w:pStyle w:val="101"/>
      <w:lvlText w:val="%1)"/>
      <w:lvlJc w:val="left"/>
      <w:pPr>
        <w:tabs>
          <w:tab w:val="left" w:pos="425"/>
        </w:tabs>
        <w:ind w:left="425" w:hanging="425"/>
      </w:pPr>
      <w:rPr>
        <w:rFonts w:hint="eastAsia"/>
      </w:rPr>
    </w:lvl>
  </w:abstractNum>
  <w:abstractNum w:abstractNumId="16">
    <w:nsid w:val="0000001A"/>
    <w:multiLevelType w:val="multilevel"/>
    <w:tmpl w:val="0000001A"/>
    <w:lvl w:ilvl="0" w:tentative="0">
      <w:start w:val="1"/>
      <w:numFmt w:val="decimal"/>
      <w:pStyle w:val="154"/>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0000001D"/>
    <w:multiLevelType w:val="multilevel"/>
    <w:tmpl w:val="0000001D"/>
    <w:lvl w:ilvl="0" w:tentative="0">
      <w:start w:val="1"/>
      <w:numFmt w:val="chineseCountingThousand"/>
      <w:pStyle w:val="159"/>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4684EC49"/>
    <w:multiLevelType w:val="singleLevel"/>
    <w:tmpl w:val="4684EC49"/>
    <w:lvl w:ilvl="0" w:tentative="0">
      <w:start w:val="2"/>
      <w:numFmt w:val="decimal"/>
      <w:suff w:val="nothing"/>
      <w:lvlText w:val="%1．"/>
      <w:lvlJc w:val="left"/>
    </w:lvl>
  </w:abstractNum>
  <w:abstractNum w:abstractNumId="19">
    <w:nsid w:val="540FF785"/>
    <w:multiLevelType w:val="singleLevel"/>
    <w:tmpl w:val="540FF785"/>
    <w:lvl w:ilvl="0" w:tentative="0">
      <w:start w:val="1"/>
      <w:numFmt w:val="decimal"/>
      <w:suff w:val="nothing"/>
      <w:lvlText w:val="（%1）"/>
      <w:lvlJc w:val="left"/>
    </w:lvl>
  </w:abstractNum>
  <w:abstractNum w:abstractNumId="20">
    <w:nsid w:val="5E26BE22"/>
    <w:multiLevelType w:val="singleLevel"/>
    <w:tmpl w:val="5E26BE22"/>
    <w:lvl w:ilvl="0" w:tentative="0">
      <w:start w:val="2"/>
      <w:numFmt w:val="chineseCounting"/>
      <w:suff w:val="space"/>
      <w:lvlText w:val="第%1篇"/>
      <w:lvlJc w:val="left"/>
      <w:rPr>
        <w:rFonts w:hint="eastAsia"/>
      </w:rPr>
    </w:lvl>
  </w:abstractNum>
  <w:num w:numId="1">
    <w:abstractNumId w:val="7"/>
  </w:num>
  <w:num w:numId="2">
    <w:abstractNumId w:val="3"/>
  </w:num>
  <w:num w:numId="3">
    <w:abstractNumId w:val="5"/>
  </w:num>
  <w:num w:numId="4">
    <w:abstractNumId w:val="14"/>
  </w:num>
  <w:num w:numId="5">
    <w:abstractNumId w:val="10"/>
  </w:num>
  <w:num w:numId="6">
    <w:abstractNumId w:val="15"/>
  </w:num>
  <w:num w:numId="7">
    <w:abstractNumId w:val="11"/>
  </w:num>
  <w:num w:numId="8">
    <w:abstractNumId w:val="9"/>
  </w:num>
  <w:num w:numId="9">
    <w:abstractNumId w:val="13"/>
  </w:num>
  <w:num w:numId="10">
    <w:abstractNumId w:val="4"/>
  </w:num>
  <w:num w:numId="11">
    <w:abstractNumId w:val="6"/>
  </w:num>
  <w:num w:numId="12">
    <w:abstractNumId w:val="16"/>
  </w:num>
  <w:num w:numId="13">
    <w:abstractNumId w:val="17"/>
  </w:num>
  <w:num w:numId="14">
    <w:abstractNumId w:val="8"/>
  </w:num>
  <w:num w:numId="15">
    <w:abstractNumId w:val="12"/>
  </w:num>
  <w:num w:numId="16">
    <w:abstractNumId w:val="0"/>
  </w:num>
  <w:num w:numId="17">
    <w:abstractNumId w:val="20"/>
  </w:num>
  <w:num w:numId="18">
    <w:abstractNumId w:val="18"/>
  </w:num>
  <w:num w:numId="19">
    <w:abstractNumId w:val="19"/>
  </w:num>
  <w:num w:numId="20">
    <w:abstractNumId w:val="1"/>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280"/>
  <w:hyphenationZone w:val="360"/>
  <w:drawingGridHorizontalSpacing w:val="140"/>
  <w:drawingGridVerticalSpacing w:val="381"/>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1OTNlNDE3OGQ3MmU5NmU2ZjhlNTY0MTcwZTU4ZDgifQ=="/>
  </w:docVars>
  <w:rsids>
    <w:rsidRoot w:val="00172A27"/>
    <w:rsid w:val="000009FD"/>
    <w:rsid w:val="00000ED2"/>
    <w:rsid w:val="00003684"/>
    <w:rsid w:val="000072F0"/>
    <w:rsid w:val="00010A9A"/>
    <w:rsid w:val="000110F0"/>
    <w:rsid w:val="00011AF1"/>
    <w:rsid w:val="00012203"/>
    <w:rsid w:val="00012ACA"/>
    <w:rsid w:val="00021946"/>
    <w:rsid w:val="000266A1"/>
    <w:rsid w:val="0003075E"/>
    <w:rsid w:val="00030782"/>
    <w:rsid w:val="0003282A"/>
    <w:rsid w:val="00034A67"/>
    <w:rsid w:val="0003767C"/>
    <w:rsid w:val="000376BA"/>
    <w:rsid w:val="00037FAD"/>
    <w:rsid w:val="000408C5"/>
    <w:rsid w:val="000420C0"/>
    <w:rsid w:val="00042250"/>
    <w:rsid w:val="00043311"/>
    <w:rsid w:val="00047144"/>
    <w:rsid w:val="0005078E"/>
    <w:rsid w:val="00056058"/>
    <w:rsid w:val="00057565"/>
    <w:rsid w:val="00060807"/>
    <w:rsid w:val="00060F9F"/>
    <w:rsid w:val="00064EA7"/>
    <w:rsid w:val="0006572E"/>
    <w:rsid w:val="00075252"/>
    <w:rsid w:val="00075520"/>
    <w:rsid w:val="00075BA6"/>
    <w:rsid w:val="00082AC9"/>
    <w:rsid w:val="000857DB"/>
    <w:rsid w:val="000879D1"/>
    <w:rsid w:val="00087E2A"/>
    <w:rsid w:val="000908E7"/>
    <w:rsid w:val="0009136B"/>
    <w:rsid w:val="000946BD"/>
    <w:rsid w:val="00094D91"/>
    <w:rsid w:val="00094FBF"/>
    <w:rsid w:val="000A2FB3"/>
    <w:rsid w:val="000A3ABD"/>
    <w:rsid w:val="000A4BD7"/>
    <w:rsid w:val="000A5589"/>
    <w:rsid w:val="000A5751"/>
    <w:rsid w:val="000A7D62"/>
    <w:rsid w:val="000B2716"/>
    <w:rsid w:val="000B7271"/>
    <w:rsid w:val="000B7BBF"/>
    <w:rsid w:val="000C06D1"/>
    <w:rsid w:val="000C0F7C"/>
    <w:rsid w:val="000C2017"/>
    <w:rsid w:val="000C211D"/>
    <w:rsid w:val="000C2606"/>
    <w:rsid w:val="000C2A90"/>
    <w:rsid w:val="000C345B"/>
    <w:rsid w:val="000C47BC"/>
    <w:rsid w:val="000C59C5"/>
    <w:rsid w:val="000C6075"/>
    <w:rsid w:val="000C6371"/>
    <w:rsid w:val="000C7F1A"/>
    <w:rsid w:val="000D568F"/>
    <w:rsid w:val="000D7645"/>
    <w:rsid w:val="000E1B32"/>
    <w:rsid w:val="000E32C9"/>
    <w:rsid w:val="000E43DC"/>
    <w:rsid w:val="000E491B"/>
    <w:rsid w:val="000E4AA8"/>
    <w:rsid w:val="000E52BD"/>
    <w:rsid w:val="000E6091"/>
    <w:rsid w:val="000E6331"/>
    <w:rsid w:val="000F16AA"/>
    <w:rsid w:val="000F176A"/>
    <w:rsid w:val="000F2213"/>
    <w:rsid w:val="000F30CC"/>
    <w:rsid w:val="000F391C"/>
    <w:rsid w:val="000F482B"/>
    <w:rsid w:val="000F4BEC"/>
    <w:rsid w:val="000F5FF0"/>
    <w:rsid w:val="001001A5"/>
    <w:rsid w:val="001035DF"/>
    <w:rsid w:val="00104A22"/>
    <w:rsid w:val="00104C5C"/>
    <w:rsid w:val="00107F21"/>
    <w:rsid w:val="001103D7"/>
    <w:rsid w:val="00110AA3"/>
    <w:rsid w:val="00111819"/>
    <w:rsid w:val="0011194D"/>
    <w:rsid w:val="00112524"/>
    <w:rsid w:val="001125BF"/>
    <w:rsid w:val="00112BB6"/>
    <w:rsid w:val="00113FC9"/>
    <w:rsid w:val="00121660"/>
    <w:rsid w:val="0012297F"/>
    <w:rsid w:val="00122FAE"/>
    <w:rsid w:val="00124B08"/>
    <w:rsid w:val="00124E2D"/>
    <w:rsid w:val="001250D0"/>
    <w:rsid w:val="001254D3"/>
    <w:rsid w:val="00125E3E"/>
    <w:rsid w:val="001329C4"/>
    <w:rsid w:val="00132AB5"/>
    <w:rsid w:val="00135250"/>
    <w:rsid w:val="0014045A"/>
    <w:rsid w:val="001407F6"/>
    <w:rsid w:val="00143D04"/>
    <w:rsid w:val="00143E2B"/>
    <w:rsid w:val="0015271E"/>
    <w:rsid w:val="001528E5"/>
    <w:rsid w:val="001554C7"/>
    <w:rsid w:val="001578C2"/>
    <w:rsid w:val="00157C05"/>
    <w:rsid w:val="00161645"/>
    <w:rsid w:val="0016239E"/>
    <w:rsid w:val="00163AC1"/>
    <w:rsid w:val="00164405"/>
    <w:rsid w:val="00165AD0"/>
    <w:rsid w:val="00170376"/>
    <w:rsid w:val="0017268B"/>
    <w:rsid w:val="00173AC9"/>
    <w:rsid w:val="00174F15"/>
    <w:rsid w:val="00176391"/>
    <w:rsid w:val="001767A8"/>
    <w:rsid w:val="00176960"/>
    <w:rsid w:val="0018194D"/>
    <w:rsid w:val="00183E69"/>
    <w:rsid w:val="00183EEB"/>
    <w:rsid w:val="001864B0"/>
    <w:rsid w:val="00186A28"/>
    <w:rsid w:val="00187F68"/>
    <w:rsid w:val="00191EDB"/>
    <w:rsid w:val="00192A3E"/>
    <w:rsid w:val="00194E17"/>
    <w:rsid w:val="001960BE"/>
    <w:rsid w:val="001961B5"/>
    <w:rsid w:val="00197352"/>
    <w:rsid w:val="00197B98"/>
    <w:rsid w:val="001A0940"/>
    <w:rsid w:val="001A126D"/>
    <w:rsid w:val="001A648A"/>
    <w:rsid w:val="001B0FEE"/>
    <w:rsid w:val="001B4A20"/>
    <w:rsid w:val="001B539D"/>
    <w:rsid w:val="001B53C1"/>
    <w:rsid w:val="001C08B0"/>
    <w:rsid w:val="001C2080"/>
    <w:rsid w:val="001C3A07"/>
    <w:rsid w:val="001C54FE"/>
    <w:rsid w:val="001C6A1E"/>
    <w:rsid w:val="001D1258"/>
    <w:rsid w:val="001D1F52"/>
    <w:rsid w:val="001D3224"/>
    <w:rsid w:val="001D365F"/>
    <w:rsid w:val="001D3B7E"/>
    <w:rsid w:val="001D5461"/>
    <w:rsid w:val="001D7E51"/>
    <w:rsid w:val="001E2993"/>
    <w:rsid w:val="001E2F12"/>
    <w:rsid w:val="001E4F32"/>
    <w:rsid w:val="001E6382"/>
    <w:rsid w:val="001E6909"/>
    <w:rsid w:val="001F07F7"/>
    <w:rsid w:val="001F2CAB"/>
    <w:rsid w:val="001F381D"/>
    <w:rsid w:val="001F4FBB"/>
    <w:rsid w:val="001F6C1F"/>
    <w:rsid w:val="001F707E"/>
    <w:rsid w:val="002037CF"/>
    <w:rsid w:val="002101B3"/>
    <w:rsid w:val="002129E3"/>
    <w:rsid w:val="00216844"/>
    <w:rsid w:val="00217474"/>
    <w:rsid w:val="00217C0F"/>
    <w:rsid w:val="00220225"/>
    <w:rsid w:val="002208C1"/>
    <w:rsid w:val="002213BF"/>
    <w:rsid w:val="00223B03"/>
    <w:rsid w:val="0022640C"/>
    <w:rsid w:val="0022711C"/>
    <w:rsid w:val="00227651"/>
    <w:rsid w:val="00230CE6"/>
    <w:rsid w:val="00233395"/>
    <w:rsid w:val="00233AFE"/>
    <w:rsid w:val="0023537E"/>
    <w:rsid w:val="00236969"/>
    <w:rsid w:val="00236E09"/>
    <w:rsid w:val="00237468"/>
    <w:rsid w:val="00237C42"/>
    <w:rsid w:val="002435D0"/>
    <w:rsid w:val="00243F8F"/>
    <w:rsid w:val="00245D2A"/>
    <w:rsid w:val="00246B99"/>
    <w:rsid w:val="002474A9"/>
    <w:rsid w:val="00251AB6"/>
    <w:rsid w:val="00251E45"/>
    <w:rsid w:val="00252167"/>
    <w:rsid w:val="00252999"/>
    <w:rsid w:val="0025308A"/>
    <w:rsid w:val="00255D5D"/>
    <w:rsid w:val="0025601D"/>
    <w:rsid w:val="00257FF1"/>
    <w:rsid w:val="00261D69"/>
    <w:rsid w:val="00262267"/>
    <w:rsid w:val="00262F6F"/>
    <w:rsid w:val="00263F00"/>
    <w:rsid w:val="002648D2"/>
    <w:rsid w:val="00264A68"/>
    <w:rsid w:val="00265244"/>
    <w:rsid w:val="00265E5D"/>
    <w:rsid w:val="002665F5"/>
    <w:rsid w:val="00266BCA"/>
    <w:rsid w:val="002709B3"/>
    <w:rsid w:val="00270B2B"/>
    <w:rsid w:val="0027580D"/>
    <w:rsid w:val="00275F04"/>
    <w:rsid w:val="0028066C"/>
    <w:rsid w:val="00282E57"/>
    <w:rsid w:val="002833CF"/>
    <w:rsid w:val="00283675"/>
    <w:rsid w:val="00286D19"/>
    <w:rsid w:val="0029020D"/>
    <w:rsid w:val="0029022C"/>
    <w:rsid w:val="002911BF"/>
    <w:rsid w:val="002919F0"/>
    <w:rsid w:val="00293471"/>
    <w:rsid w:val="00294C77"/>
    <w:rsid w:val="00297B69"/>
    <w:rsid w:val="002A0397"/>
    <w:rsid w:val="002A0576"/>
    <w:rsid w:val="002A5490"/>
    <w:rsid w:val="002B02CF"/>
    <w:rsid w:val="002B26F0"/>
    <w:rsid w:val="002B31D4"/>
    <w:rsid w:val="002B370E"/>
    <w:rsid w:val="002B375E"/>
    <w:rsid w:val="002B5876"/>
    <w:rsid w:val="002B65F8"/>
    <w:rsid w:val="002C0316"/>
    <w:rsid w:val="002C1045"/>
    <w:rsid w:val="002C10FD"/>
    <w:rsid w:val="002C1B7A"/>
    <w:rsid w:val="002C5B74"/>
    <w:rsid w:val="002C6836"/>
    <w:rsid w:val="002C7F2B"/>
    <w:rsid w:val="002D2F75"/>
    <w:rsid w:val="002D5FAF"/>
    <w:rsid w:val="002E0FB6"/>
    <w:rsid w:val="002E1597"/>
    <w:rsid w:val="002E2816"/>
    <w:rsid w:val="002E3949"/>
    <w:rsid w:val="002E41DF"/>
    <w:rsid w:val="002E53CD"/>
    <w:rsid w:val="002E6DFA"/>
    <w:rsid w:val="002F1086"/>
    <w:rsid w:val="002F1557"/>
    <w:rsid w:val="002F4D62"/>
    <w:rsid w:val="002F5812"/>
    <w:rsid w:val="002F5EEF"/>
    <w:rsid w:val="002F62E5"/>
    <w:rsid w:val="003017D2"/>
    <w:rsid w:val="003055FB"/>
    <w:rsid w:val="00305F51"/>
    <w:rsid w:val="00306F4B"/>
    <w:rsid w:val="003075D9"/>
    <w:rsid w:val="003078AE"/>
    <w:rsid w:val="003131E0"/>
    <w:rsid w:val="00313530"/>
    <w:rsid w:val="00314EC1"/>
    <w:rsid w:val="00316847"/>
    <w:rsid w:val="00316C9A"/>
    <w:rsid w:val="003177D5"/>
    <w:rsid w:val="00317BBE"/>
    <w:rsid w:val="00321104"/>
    <w:rsid w:val="003220FF"/>
    <w:rsid w:val="003231A8"/>
    <w:rsid w:val="00325F74"/>
    <w:rsid w:val="00326131"/>
    <w:rsid w:val="00331597"/>
    <w:rsid w:val="00331AC1"/>
    <w:rsid w:val="00333506"/>
    <w:rsid w:val="00333E00"/>
    <w:rsid w:val="003340BB"/>
    <w:rsid w:val="00336B9E"/>
    <w:rsid w:val="00341803"/>
    <w:rsid w:val="00341CD5"/>
    <w:rsid w:val="003431D8"/>
    <w:rsid w:val="00343E1C"/>
    <w:rsid w:val="00344FF3"/>
    <w:rsid w:val="003454D6"/>
    <w:rsid w:val="0034652F"/>
    <w:rsid w:val="00347CE1"/>
    <w:rsid w:val="00350F6A"/>
    <w:rsid w:val="0035195C"/>
    <w:rsid w:val="00351A45"/>
    <w:rsid w:val="003540FC"/>
    <w:rsid w:val="00356617"/>
    <w:rsid w:val="0035698B"/>
    <w:rsid w:val="00357783"/>
    <w:rsid w:val="00357E3E"/>
    <w:rsid w:val="003607B2"/>
    <w:rsid w:val="003624B7"/>
    <w:rsid w:val="00362CFA"/>
    <w:rsid w:val="003657B2"/>
    <w:rsid w:val="00370BF4"/>
    <w:rsid w:val="0037133A"/>
    <w:rsid w:val="0037169E"/>
    <w:rsid w:val="00372DC7"/>
    <w:rsid w:val="003754CD"/>
    <w:rsid w:val="00375B89"/>
    <w:rsid w:val="00375E24"/>
    <w:rsid w:val="00381F76"/>
    <w:rsid w:val="00383C9F"/>
    <w:rsid w:val="003846F7"/>
    <w:rsid w:val="00385D17"/>
    <w:rsid w:val="0038635F"/>
    <w:rsid w:val="00387CE1"/>
    <w:rsid w:val="003902F6"/>
    <w:rsid w:val="003968A8"/>
    <w:rsid w:val="003A3CD7"/>
    <w:rsid w:val="003A4636"/>
    <w:rsid w:val="003A6A32"/>
    <w:rsid w:val="003A7D0A"/>
    <w:rsid w:val="003A7E30"/>
    <w:rsid w:val="003B01D1"/>
    <w:rsid w:val="003B2994"/>
    <w:rsid w:val="003B35D0"/>
    <w:rsid w:val="003B3C4B"/>
    <w:rsid w:val="003B6297"/>
    <w:rsid w:val="003C21D1"/>
    <w:rsid w:val="003C3995"/>
    <w:rsid w:val="003D00D2"/>
    <w:rsid w:val="003D0992"/>
    <w:rsid w:val="003D1370"/>
    <w:rsid w:val="003D1857"/>
    <w:rsid w:val="003D1F45"/>
    <w:rsid w:val="003D6FF0"/>
    <w:rsid w:val="003D7BDE"/>
    <w:rsid w:val="003E39B8"/>
    <w:rsid w:val="003E4DEA"/>
    <w:rsid w:val="003E5E95"/>
    <w:rsid w:val="003E61EF"/>
    <w:rsid w:val="003E699F"/>
    <w:rsid w:val="003F2CFF"/>
    <w:rsid w:val="003F5BC7"/>
    <w:rsid w:val="003F6A6B"/>
    <w:rsid w:val="003F71C9"/>
    <w:rsid w:val="003F7807"/>
    <w:rsid w:val="0040154D"/>
    <w:rsid w:val="00402B2B"/>
    <w:rsid w:val="00404747"/>
    <w:rsid w:val="0040799A"/>
    <w:rsid w:val="00410665"/>
    <w:rsid w:val="00410D92"/>
    <w:rsid w:val="00411390"/>
    <w:rsid w:val="00411C41"/>
    <w:rsid w:val="00412646"/>
    <w:rsid w:val="004157DD"/>
    <w:rsid w:val="00415899"/>
    <w:rsid w:val="004203D9"/>
    <w:rsid w:val="00420FC9"/>
    <w:rsid w:val="00421FE4"/>
    <w:rsid w:val="00422693"/>
    <w:rsid w:val="00422860"/>
    <w:rsid w:val="004250FD"/>
    <w:rsid w:val="00425882"/>
    <w:rsid w:val="00425B08"/>
    <w:rsid w:val="00430330"/>
    <w:rsid w:val="004303EC"/>
    <w:rsid w:val="004308A2"/>
    <w:rsid w:val="0043144E"/>
    <w:rsid w:val="0043419B"/>
    <w:rsid w:val="004344E7"/>
    <w:rsid w:val="004408D3"/>
    <w:rsid w:val="0044180D"/>
    <w:rsid w:val="00442474"/>
    <w:rsid w:val="0044361E"/>
    <w:rsid w:val="00444A06"/>
    <w:rsid w:val="00445158"/>
    <w:rsid w:val="00446B28"/>
    <w:rsid w:val="004517B3"/>
    <w:rsid w:val="0045181E"/>
    <w:rsid w:val="00454511"/>
    <w:rsid w:val="004558F5"/>
    <w:rsid w:val="0045590E"/>
    <w:rsid w:val="0045600B"/>
    <w:rsid w:val="00462D63"/>
    <w:rsid w:val="004668A0"/>
    <w:rsid w:val="00466D5A"/>
    <w:rsid w:val="004717A8"/>
    <w:rsid w:val="00475385"/>
    <w:rsid w:val="00475457"/>
    <w:rsid w:val="0047562B"/>
    <w:rsid w:val="00477B69"/>
    <w:rsid w:val="00480379"/>
    <w:rsid w:val="0048396B"/>
    <w:rsid w:val="00484E7B"/>
    <w:rsid w:val="00485174"/>
    <w:rsid w:val="004867C3"/>
    <w:rsid w:val="00486EC6"/>
    <w:rsid w:val="00487CDA"/>
    <w:rsid w:val="004915E3"/>
    <w:rsid w:val="00491AED"/>
    <w:rsid w:val="004933EB"/>
    <w:rsid w:val="004971EC"/>
    <w:rsid w:val="004978F0"/>
    <w:rsid w:val="00497DFC"/>
    <w:rsid w:val="004A0052"/>
    <w:rsid w:val="004A2306"/>
    <w:rsid w:val="004A263F"/>
    <w:rsid w:val="004A5230"/>
    <w:rsid w:val="004A7303"/>
    <w:rsid w:val="004B1497"/>
    <w:rsid w:val="004B159F"/>
    <w:rsid w:val="004B2831"/>
    <w:rsid w:val="004B4916"/>
    <w:rsid w:val="004B537E"/>
    <w:rsid w:val="004B6210"/>
    <w:rsid w:val="004B69BC"/>
    <w:rsid w:val="004B6CA6"/>
    <w:rsid w:val="004B7FE0"/>
    <w:rsid w:val="004C1305"/>
    <w:rsid w:val="004C133A"/>
    <w:rsid w:val="004C1FC5"/>
    <w:rsid w:val="004C2A6E"/>
    <w:rsid w:val="004C39A0"/>
    <w:rsid w:val="004C4F96"/>
    <w:rsid w:val="004D009E"/>
    <w:rsid w:val="004D154F"/>
    <w:rsid w:val="004D2588"/>
    <w:rsid w:val="004D32AF"/>
    <w:rsid w:val="004D433B"/>
    <w:rsid w:val="004D5994"/>
    <w:rsid w:val="004E0781"/>
    <w:rsid w:val="004E257E"/>
    <w:rsid w:val="004E32CB"/>
    <w:rsid w:val="004E3BD5"/>
    <w:rsid w:val="004E5C25"/>
    <w:rsid w:val="004F2721"/>
    <w:rsid w:val="004F2BA7"/>
    <w:rsid w:val="004F434B"/>
    <w:rsid w:val="00500E9B"/>
    <w:rsid w:val="005016D9"/>
    <w:rsid w:val="00501938"/>
    <w:rsid w:val="00501BE2"/>
    <w:rsid w:val="0050253D"/>
    <w:rsid w:val="00502629"/>
    <w:rsid w:val="00503149"/>
    <w:rsid w:val="00505C2A"/>
    <w:rsid w:val="0051021B"/>
    <w:rsid w:val="005102E2"/>
    <w:rsid w:val="00512491"/>
    <w:rsid w:val="00512C2F"/>
    <w:rsid w:val="00513CBD"/>
    <w:rsid w:val="005148B8"/>
    <w:rsid w:val="00514B93"/>
    <w:rsid w:val="00515415"/>
    <w:rsid w:val="005168BD"/>
    <w:rsid w:val="00516C3E"/>
    <w:rsid w:val="00516FFD"/>
    <w:rsid w:val="00521137"/>
    <w:rsid w:val="00521C37"/>
    <w:rsid w:val="00521ED6"/>
    <w:rsid w:val="00524547"/>
    <w:rsid w:val="00525E4A"/>
    <w:rsid w:val="00526C0A"/>
    <w:rsid w:val="00527955"/>
    <w:rsid w:val="005310E4"/>
    <w:rsid w:val="00531EB9"/>
    <w:rsid w:val="0053343F"/>
    <w:rsid w:val="00533F51"/>
    <w:rsid w:val="00536251"/>
    <w:rsid w:val="005375CE"/>
    <w:rsid w:val="005378DE"/>
    <w:rsid w:val="00537C42"/>
    <w:rsid w:val="00537C5E"/>
    <w:rsid w:val="005406AC"/>
    <w:rsid w:val="00541231"/>
    <w:rsid w:val="005429C0"/>
    <w:rsid w:val="00542E0D"/>
    <w:rsid w:val="0054483D"/>
    <w:rsid w:val="00546C36"/>
    <w:rsid w:val="00550DF3"/>
    <w:rsid w:val="0055311C"/>
    <w:rsid w:val="00557AA1"/>
    <w:rsid w:val="005645D3"/>
    <w:rsid w:val="005663BA"/>
    <w:rsid w:val="00566CBB"/>
    <w:rsid w:val="005731EA"/>
    <w:rsid w:val="00580C31"/>
    <w:rsid w:val="00583A49"/>
    <w:rsid w:val="00586F11"/>
    <w:rsid w:val="005870EE"/>
    <w:rsid w:val="00587496"/>
    <w:rsid w:val="005908C3"/>
    <w:rsid w:val="005943B0"/>
    <w:rsid w:val="005963E8"/>
    <w:rsid w:val="005A18A4"/>
    <w:rsid w:val="005A4766"/>
    <w:rsid w:val="005A5A61"/>
    <w:rsid w:val="005A6846"/>
    <w:rsid w:val="005A6D8B"/>
    <w:rsid w:val="005A7181"/>
    <w:rsid w:val="005A76E5"/>
    <w:rsid w:val="005A7E4B"/>
    <w:rsid w:val="005B0FA4"/>
    <w:rsid w:val="005B1105"/>
    <w:rsid w:val="005B1829"/>
    <w:rsid w:val="005B5D00"/>
    <w:rsid w:val="005C00AC"/>
    <w:rsid w:val="005C215F"/>
    <w:rsid w:val="005C42CA"/>
    <w:rsid w:val="005C4345"/>
    <w:rsid w:val="005C43DA"/>
    <w:rsid w:val="005C466D"/>
    <w:rsid w:val="005C789B"/>
    <w:rsid w:val="005D135A"/>
    <w:rsid w:val="005D2F52"/>
    <w:rsid w:val="005D46F6"/>
    <w:rsid w:val="005D4E6B"/>
    <w:rsid w:val="005E117E"/>
    <w:rsid w:val="005E12B4"/>
    <w:rsid w:val="005E150E"/>
    <w:rsid w:val="005E3225"/>
    <w:rsid w:val="005E7B12"/>
    <w:rsid w:val="005F0E8B"/>
    <w:rsid w:val="005F3BA0"/>
    <w:rsid w:val="005F5262"/>
    <w:rsid w:val="005F65A7"/>
    <w:rsid w:val="00600DF2"/>
    <w:rsid w:val="00601283"/>
    <w:rsid w:val="006016E0"/>
    <w:rsid w:val="006041BB"/>
    <w:rsid w:val="0060469C"/>
    <w:rsid w:val="00606612"/>
    <w:rsid w:val="006069DE"/>
    <w:rsid w:val="00607BFD"/>
    <w:rsid w:val="00612D7E"/>
    <w:rsid w:val="00616EC6"/>
    <w:rsid w:val="00622BA2"/>
    <w:rsid w:val="00623C53"/>
    <w:rsid w:val="00633632"/>
    <w:rsid w:val="006341BD"/>
    <w:rsid w:val="00634482"/>
    <w:rsid w:val="006347BE"/>
    <w:rsid w:val="006356C4"/>
    <w:rsid w:val="00636A59"/>
    <w:rsid w:val="00636C1F"/>
    <w:rsid w:val="00641FD5"/>
    <w:rsid w:val="0064263E"/>
    <w:rsid w:val="0064298F"/>
    <w:rsid w:val="006452D5"/>
    <w:rsid w:val="006456C7"/>
    <w:rsid w:val="0064587D"/>
    <w:rsid w:val="006523A9"/>
    <w:rsid w:val="00653FC4"/>
    <w:rsid w:val="00655645"/>
    <w:rsid w:val="006558D7"/>
    <w:rsid w:val="00655CB3"/>
    <w:rsid w:val="00662357"/>
    <w:rsid w:val="00664D6E"/>
    <w:rsid w:val="006661A4"/>
    <w:rsid w:val="0066764A"/>
    <w:rsid w:val="00675735"/>
    <w:rsid w:val="00675E52"/>
    <w:rsid w:val="00680072"/>
    <w:rsid w:val="006800A2"/>
    <w:rsid w:val="00680CC4"/>
    <w:rsid w:val="00680EEC"/>
    <w:rsid w:val="0068128E"/>
    <w:rsid w:val="00682704"/>
    <w:rsid w:val="0068367F"/>
    <w:rsid w:val="00683887"/>
    <w:rsid w:val="00683DDF"/>
    <w:rsid w:val="00687999"/>
    <w:rsid w:val="00687CA2"/>
    <w:rsid w:val="00692203"/>
    <w:rsid w:val="00692295"/>
    <w:rsid w:val="00696EEA"/>
    <w:rsid w:val="00696FEF"/>
    <w:rsid w:val="006A0741"/>
    <w:rsid w:val="006A0B45"/>
    <w:rsid w:val="006A2E67"/>
    <w:rsid w:val="006A3DC1"/>
    <w:rsid w:val="006A5644"/>
    <w:rsid w:val="006A71EB"/>
    <w:rsid w:val="006B5846"/>
    <w:rsid w:val="006B5B45"/>
    <w:rsid w:val="006C1EAB"/>
    <w:rsid w:val="006C302B"/>
    <w:rsid w:val="006C32BC"/>
    <w:rsid w:val="006C4663"/>
    <w:rsid w:val="006C4830"/>
    <w:rsid w:val="006C4988"/>
    <w:rsid w:val="006C4D2A"/>
    <w:rsid w:val="006C6F73"/>
    <w:rsid w:val="006C790A"/>
    <w:rsid w:val="006C7F40"/>
    <w:rsid w:val="006D3608"/>
    <w:rsid w:val="006D560A"/>
    <w:rsid w:val="006D5E9A"/>
    <w:rsid w:val="006D7125"/>
    <w:rsid w:val="006D7B83"/>
    <w:rsid w:val="006E016E"/>
    <w:rsid w:val="006E1173"/>
    <w:rsid w:val="006E1550"/>
    <w:rsid w:val="006E2F2B"/>
    <w:rsid w:val="006E4563"/>
    <w:rsid w:val="006E5465"/>
    <w:rsid w:val="006F1A60"/>
    <w:rsid w:val="006F24AE"/>
    <w:rsid w:val="006F2F80"/>
    <w:rsid w:val="006F7B0F"/>
    <w:rsid w:val="007016FA"/>
    <w:rsid w:val="00701C96"/>
    <w:rsid w:val="00701E8B"/>
    <w:rsid w:val="007070E3"/>
    <w:rsid w:val="00707567"/>
    <w:rsid w:val="00707D15"/>
    <w:rsid w:val="007101F0"/>
    <w:rsid w:val="00711349"/>
    <w:rsid w:val="007125F7"/>
    <w:rsid w:val="00712A8E"/>
    <w:rsid w:val="007201FE"/>
    <w:rsid w:val="00721A8E"/>
    <w:rsid w:val="00726CCC"/>
    <w:rsid w:val="00727554"/>
    <w:rsid w:val="00727725"/>
    <w:rsid w:val="00730AB1"/>
    <w:rsid w:val="00731E6E"/>
    <w:rsid w:val="0073357F"/>
    <w:rsid w:val="00733B6B"/>
    <w:rsid w:val="00735BA5"/>
    <w:rsid w:val="007430D5"/>
    <w:rsid w:val="007440E6"/>
    <w:rsid w:val="007445DB"/>
    <w:rsid w:val="00746361"/>
    <w:rsid w:val="00751B58"/>
    <w:rsid w:val="007570BB"/>
    <w:rsid w:val="00757139"/>
    <w:rsid w:val="00757B02"/>
    <w:rsid w:val="00757D5E"/>
    <w:rsid w:val="007613AA"/>
    <w:rsid w:val="0076140A"/>
    <w:rsid w:val="007615A8"/>
    <w:rsid w:val="00761E7F"/>
    <w:rsid w:val="007629D1"/>
    <w:rsid w:val="00762A6E"/>
    <w:rsid w:val="00762B56"/>
    <w:rsid w:val="0076380F"/>
    <w:rsid w:val="007641FC"/>
    <w:rsid w:val="00772A80"/>
    <w:rsid w:val="0077586D"/>
    <w:rsid w:val="007762EB"/>
    <w:rsid w:val="007766FA"/>
    <w:rsid w:val="00776803"/>
    <w:rsid w:val="00780465"/>
    <w:rsid w:val="00781400"/>
    <w:rsid w:val="00781E90"/>
    <w:rsid w:val="007843B7"/>
    <w:rsid w:val="007849C7"/>
    <w:rsid w:val="007856C6"/>
    <w:rsid w:val="007859FF"/>
    <w:rsid w:val="0079150F"/>
    <w:rsid w:val="00792A70"/>
    <w:rsid w:val="00793B9D"/>
    <w:rsid w:val="007953B5"/>
    <w:rsid w:val="00795641"/>
    <w:rsid w:val="00795A90"/>
    <w:rsid w:val="00796EBA"/>
    <w:rsid w:val="007977A7"/>
    <w:rsid w:val="007A1958"/>
    <w:rsid w:val="007A1D16"/>
    <w:rsid w:val="007A3596"/>
    <w:rsid w:val="007A4884"/>
    <w:rsid w:val="007A4D8F"/>
    <w:rsid w:val="007A6D2B"/>
    <w:rsid w:val="007A7855"/>
    <w:rsid w:val="007B08DC"/>
    <w:rsid w:val="007B12C5"/>
    <w:rsid w:val="007B1BA5"/>
    <w:rsid w:val="007B2AB1"/>
    <w:rsid w:val="007B346A"/>
    <w:rsid w:val="007B35CD"/>
    <w:rsid w:val="007B5F41"/>
    <w:rsid w:val="007B6CDF"/>
    <w:rsid w:val="007C0815"/>
    <w:rsid w:val="007C7FA8"/>
    <w:rsid w:val="007D0A31"/>
    <w:rsid w:val="007D24C3"/>
    <w:rsid w:val="007D37E0"/>
    <w:rsid w:val="007D4361"/>
    <w:rsid w:val="007D5328"/>
    <w:rsid w:val="007D7A74"/>
    <w:rsid w:val="007E0353"/>
    <w:rsid w:val="007E0429"/>
    <w:rsid w:val="007E0FF7"/>
    <w:rsid w:val="007E2F17"/>
    <w:rsid w:val="007E3F23"/>
    <w:rsid w:val="007E5B91"/>
    <w:rsid w:val="007E5CB9"/>
    <w:rsid w:val="007E7604"/>
    <w:rsid w:val="007F13DC"/>
    <w:rsid w:val="007F2B6C"/>
    <w:rsid w:val="007F31E8"/>
    <w:rsid w:val="007F396F"/>
    <w:rsid w:val="007F3ED7"/>
    <w:rsid w:val="007F4318"/>
    <w:rsid w:val="007F6762"/>
    <w:rsid w:val="007F6E1F"/>
    <w:rsid w:val="00800A7E"/>
    <w:rsid w:val="00805E84"/>
    <w:rsid w:val="00805F43"/>
    <w:rsid w:val="00806E8B"/>
    <w:rsid w:val="00810596"/>
    <w:rsid w:val="00810FFE"/>
    <w:rsid w:val="008124F0"/>
    <w:rsid w:val="00813DB9"/>
    <w:rsid w:val="00813DCB"/>
    <w:rsid w:val="0082125B"/>
    <w:rsid w:val="00822DF5"/>
    <w:rsid w:val="00823323"/>
    <w:rsid w:val="0082401D"/>
    <w:rsid w:val="008243F8"/>
    <w:rsid w:val="00825E3B"/>
    <w:rsid w:val="0082654D"/>
    <w:rsid w:val="008266E0"/>
    <w:rsid w:val="00830EE4"/>
    <w:rsid w:val="00831DEF"/>
    <w:rsid w:val="00836907"/>
    <w:rsid w:val="00841A10"/>
    <w:rsid w:val="0084235F"/>
    <w:rsid w:val="00843954"/>
    <w:rsid w:val="008467BB"/>
    <w:rsid w:val="00846FC1"/>
    <w:rsid w:val="00847436"/>
    <w:rsid w:val="00850495"/>
    <w:rsid w:val="00851796"/>
    <w:rsid w:val="00852CCF"/>
    <w:rsid w:val="008565D1"/>
    <w:rsid w:val="0086075E"/>
    <w:rsid w:val="0086079C"/>
    <w:rsid w:val="00860B96"/>
    <w:rsid w:val="00860FA0"/>
    <w:rsid w:val="00872CE0"/>
    <w:rsid w:val="00873855"/>
    <w:rsid w:val="00873C76"/>
    <w:rsid w:val="00875591"/>
    <w:rsid w:val="00877B25"/>
    <w:rsid w:val="008805E7"/>
    <w:rsid w:val="00881ED8"/>
    <w:rsid w:val="00882D14"/>
    <w:rsid w:val="008852B8"/>
    <w:rsid w:val="00885CBF"/>
    <w:rsid w:val="0088661C"/>
    <w:rsid w:val="0088675E"/>
    <w:rsid w:val="00886B1B"/>
    <w:rsid w:val="00887F44"/>
    <w:rsid w:val="00890DD2"/>
    <w:rsid w:val="008922A1"/>
    <w:rsid w:val="008A056B"/>
    <w:rsid w:val="008A08B7"/>
    <w:rsid w:val="008A0CD5"/>
    <w:rsid w:val="008A0CEB"/>
    <w:rsid w:val="008A1349"/>
    <w:rsid w:val="008A3D3C"/>
    <w:rsid w:val="008A680F"/>
    <w:rsid w:val="008A6DB1"/>
    <w:rsid w:val="008B347B"/>
    <w:rsid w:val="008B3CF6"/>
    <w:rsid w:val="008B73D9"/>
    <w:rsid w:val="008C0317"/>
    <w:rsid w:val="008C1A74"/>
    <w:rsid w:val="008C2124"/>
    <w:rsid w:val="008C4238"/>
    <w:rsid w:val="008C54D0"/>
    <w:rsid w:val="008C5917"/>
    <w:rsid w:val="008C6391"/>
    <w:rsid w:val="008D29B0"/>
    <w:rsid w:val="008D2CD8"/>
    <w:rsid w:val="008D2FB6"/>
    <w:rsid w:val="008D4BC1"/>
    <w:rsid w:val="008D5D99"/>
    <w:rsid w:val="008D6FBF"/>
    <w:rsid w:val="008D7515"/>
    <w:rsid w:val="008E19F1"/>
    <w:rsid w:val="008E4A4A"/>
    <w:rsid w:val="008F04E8"/>
    <w:rsid w:val="008F0CB3"/>
    <w:rsid w:val="008F1AA0"/>
    <w:rsid w:val="008F3BCA"/>
    <w:rsid w:val="008F5420"/>
    <w:rsid w:val="008F6B0B"/>
    <w:rsid w:val="008F7FC7"/>
    <w:rsid w:val="00902DB9"/>
    <w:rsid w:val="0090359C"/>
    <w:rsid w:val="00905B73"/>
    <w:rsid w:val="009060B1"/>
    <w:rsid w:val="00906A06"/>
    <w:rsid w:val="00906CF9"/>
    <w:rsid w:val="009075E7"/>
    <w:rsid w:val="00907D95"/>
    <w:rsid w:val="009111F7"/>
    <w:rsid w:val="00914050"/>
    <w:rsid w:val="00917164"/>
    <w:rsid w:val="0091768E"/>
    <w:rsid w:val="00917A39"/>
    <w:rsid w:val="00920905"/>
    <w:rsid w:val="0092098F"/>
    <w:rsid w:val="00923C4C"/>
    <w:rsid w:val="0092759C"/>
    <w:rsid w:val="00927881"/>
    <w:rsid w:val="00932194"/>
    <w:rsid w:val="00932299"/>
    <w:rsid w:val="00935773"/>
    <w:rsid w:val="00936515"/>
    <w:rsid w:val="00936BAD"/>
    <w:rsid w:val="0093772E"/>
    <w:rsid w:val="00937DE9"/>
    <w:rsid w:val="00940E4C"/>
    <w:rsid w:val="009431CE"/>
    <w:rsid w:val="00944EDB"/>
    <w:rsid w:val="00946ECC"/>
    <w:rsid w:val="00947D6F"/>
    <w:rsid w:val="009510D2"/>
    <w:rsid w:val="00951A22"/>
    <w:rsid w:val="00952A37"/>
    <w:rsid w:val="0095360A"/>
    <w:rsid w:val="00953E22"/>
    <w:rsid w:val="00954432"/>
    <w:rsid w:val="00954627"/>
    <w:rsid w:val="00955FF1"/>
    <w:rsid w:val="009604A2"/>
    <w:rsid w:val="0096296D"/>
    <w:rsid w:val="00963A1D"/>
    <w:rsid w:val="00964F91"/>
    <w:rsid w:val="00965D3C"/>
    <w:rsid w:val="009704E8"/>
    <w:rsid w:val="00970DDF"/>
    <w:rsid w:val="00970F1E"/>
    <w:rsid w:val="00972165"/>
    <w:rsid w:val="0097237A"/>
    <w:rsid w:val="00974407"/>
    <w:rsid w:val="00976C9F"/>
    <w:rsid w:val="00977EA2"/>
    <w:rsid w:val="00981174"/>
    <w:rsid w:val="009815D1"/>
    <w:rsid w:val="009847F2"/>
    <w:rsid w:val="009858E4"/>
    <w:rsid w:val="00986FC8"/>
    <w:rsid w:val="0099205D"/>
    <w:rsid w:val="009925D3"/>
    <w:rsid w:val="009931BD"/>
    <w:rsid w:val="0099391B"/>
    <w:rsid w:val="00993E75"/>
    <w:rsid w:val="009961AF"/>
    <w:rsid w:val="00997ED7"/>
    <w:rsid w:val="009A1782"/>
    <w:rsid w:val="009A19B4"/>
    <w:rsid w:val="009A2F0C"/>
    <w:rsid w:val="009A559F"/>
    <w:rsid w:val="009A7CB1"/>
    <w:rsid w:val="009B01ED"/>
    <w:rsid w:val="009B45E1"/>
    <w:rsid w:val="009B6FBD"/>
    <w:rsid w:val="009B7144"/>
    <w:rsid w:val="009C33FD"/>
    <w:rsid w:val="009C6566"/>
    <w:rsid w:val="009C7E5E"/>
    <w:rsid w:val="009D2DB8"/>
    <w:rsid w:val="009D3468"/>
    <w:rsid w:val="009D3B7C"/>
    <w:rsid w:val="009D3E23"/>
    <w:rsid w:val="009E310B"/>
    <w:rsid w:val="009E4142"/>
    <w:rsid w:val="009E57FA"/>
    <w:rsid w:val="009E6755"/>
    <w:rsid w:val="009E7274"/>
    <w:rsid w:val="009F0877"/>
    <w:rsid w:val="009F0EF5"/>
    <w:rsid w:val="009F2E9F"/>
    <w:rsid w:val="009F3F85"/>
    <w:rsid w:val="009F481A"/>
    <w:rsid w:val="009F54AB"/>
    <w:rsid w:val="00A00F85"/>
    <w:rsid w:val="00A05776"/>
    <w:rsid w:val="00A07FD5"/>
    <w:rsid w:val="00A13A4E"/>
    <w:rsid w:val="00A173AB"/>
    <w:rsid w:val="00A216BD"/>
    <w:rsid w:val="00A22FA7"/>
    <w:rsid w:val="00A25999"/>
    <w:rsid w:val="00A2600F"/>
    <w:rsid w:val="00A26A5F"/>
    <w:rsid w:val="00A26C9F"/>
    <w:rsid w:val="00A27800"/>
    <w:rsid w:val="00A31F76"/>
    <w:rsid w:val="00A320B9"/>
    <w:rsid w:val="00A331D1"/>
    <w:rsid w:val="00A33344"/>
    <w:rsid w:val="00A336ED"/>
    <w:rsid w:val="00A33DAC"/>
    <w:rsid w:val="00A348D5"/>
    <w:rsid w:val="00A34F48"/>
    <w:rsid w:val="00A36EAF"/>
    <w:rsid w:val="00A42D9F"/>
    <w:rsid w:val="00A43B02"/>
    <w:rsid w:val="00A43BFA"/>
    <w:rsid w:val="00A44428"/>
    <w:rsid w:val="00A44532"/>
    <w:rsid w:val="00A44F37"/>
    <w:rsid w:val="00A52466"/>
    <w:rsid w:val="00A52485"/>
    <w:rsid w:val="00A52858"/>
    <w:rsid w:val="00A60309"/>
    <w:rsid w:val="00A6188F"/>
    <w:rsid w:val="00A646A6"/>
    <w:rsid w:val="00A64C89"/>
    <w:rsid w:val="00A66086"/>
    <w:rsid w:val="00A70CFF"/>
    <w:rsid w:val="00A70ECB"/>
    <w:rsid w:val="00A715A9"/>
    <w:rsid w:val="00A7491D"/>
    <w:rsid w:val="00A7593E"/>
    <w:rsid w:val="00A76E93"/>
    <w:rsid w:val="00A770E3"/>
    <w:rsid w:val="00A80C44"/>
    <w:rsid w:val="00A80F41"/>
    <w:rsid w:val="00A84CC4"/>
    <w:rsid w:val="00A85534"/>
    <w:rsid w:val="00A85AFE"/>
    <w:rsid w:val="00A87965"/>
    <w:rsid w:val="00A926AD"/>
    <w:rsid w:val="00A9327B"/>
    <w:rsid w:val="00A96FAC"/>
    <w:rsid w:val="00A97379"/>
    <w:rsid w:val="00AA135C"/>
    <w:rsid w:val="00AA1511"/>
    <w:rsid w:val="00AA178F"/>
    <w:rsid w:val="00AA29D5"/>
    <w:rsid w:val="00AA3559"/>
    <w:rsid w:val="00AA3A39"/>
    <w:rsid w:val="00AA3DB5"/>
    <w:rsid w:val="00AA3EA9"/>
    <w:rsid w:val="00AA5FAE"/>
    <w:rsid w:val="00AA695F"/>
    <w:rsid w:val="00AA7A5C"/>
    <w:rsid w:val="00AB14D0"/>
    <w:rsid w:val="00AB2CBD"/>
    <w:rsid w:val="00AB3539"/>
    <w:rsid w:val="00AB3AD7"/>
    <w:rsid w:val="00AB3FB5"/>
    <w:rsid w:val="00AB43B6"/>
    <w:rsid w:val="00AB49FE"/>
    <w:rsid w:val="00AB5BF1"/>
    <w:rsid w:val="00AB65A4"/>
    <w:rsid w:val="00AB6BE9"/>
    <w:rsid w:val="00AC0D4B"/>
    <w:rsid w:val="00AC34CB"/>
    <w:rsid w:val="00AC4D6E"/>
    <w:rsid w:val="00AC5DAD"/>
    <w:rsid w:val="00AC76E8"/>
    <w:rsid w:val="00AC7E13"/>
    <w:rsid w:val="00AD13BD"/>
    <w:rsid w:val="00AD5E85"/>
    <w:rsid w:val="00AE009D"/>
    <w:rsid w:val="00AE242B"/>
    <w:rsid w:val="00AE317A"/>
    <w:rsid w:val="00AE3828"/>
    <w:rsid w:val="00AE5610"/>
    <w:rsid w:val="00AE6D6B"/>
    <w:rsid w:val="00AE7E8A"/>
    <w:rsid w:val="00AF0EB0"/>
    <w:rsid w:val="00AF34DE"/>
    <w:rsid w:val="00AF54C3"/>
    <w:rsid w:val="00AF6446"/>
    <w:rsid w:val="00AF6737"/>
    <w:rsid w:val="00AF6910"/>
    <w:rsid w:val="00AF7733"/>
    <w:rsid w:val="00B0025D"/>
    <w:rsid w:val="00B00575"/>
    <w:rsid w:val="00B00DDD"/>
    <w:rsid w:val="00B01DC4"/>
    <w:rsid w:val="00B03427"/>
    <w:rsid w:val="00B10447"/>
    <w:rsid w:val="00B1258F"/>
    <w:rsid w:val="00B15773"/>
    <w:rsid w:val="00B17150"/>
    <w:rsid w:val="00B20D2D"/>
    <w:rsid w:val="00B20DE3"/>
    <w:rsid w:val="00B22041"/>
    <w:rsid w:val="00B24A51"/>
    <w:rsid w:val="00B31094"/>
    <w:rsid w:val="00B332F8"/>
    <w:rsid w:val="00B40E48"/>
    <w:rsid w:val="00B42056"/>
    <w:rsid w:val="00B44B63"/>
    <w:rsid w:val="00B4651A"/>
    <w:rsid w:val="00B46AE5"/>
    <w:rsid w:val="00B47211"/>
    <w:rsid w:val="00B477F3"/>
    <w:rsid w:val="00B479A2"/>
    <w:rsid w:val="00B47EE6"/>
    <w:rsid w:val="00B50086"/>
    <w:rsid w:val="00B50125"/>
    <w:rsid w:val="00B52479"/>
    <w:rsid w:val="00B54805"/>
    <w:rsid w:val="00B54C95"/>
    <w:rsid w:val="00B55FC2"/>
    <w:rsid w:val="00B57186"/>
    <w:rsid w:val="00B57EE1"/>
    <w:rsid w:val="00B60E89"/>
    <w:rsid w:val="00B61D5E"/>
    <w:rsid w:val="00B6252D"/>
    <w:rsid w:val="00B66F07"/>
    <w:rsid w:val="00B70BAA"/>
    <w:rsid w:val="00B718DB"/>
    <w:rsid w:val="00B7368D"/>
    <w:rsid w:val="00B744BA"/>
    <w:rsid w:val="00B74E30"/>
    <w:rsid w:val="00B82429"/>
    <w:rsid w:val="00B82C14"/>
    <w:rsid w:val="00B83E7A"/>
    <w:rsid w:val="00B86553"/>
    <w:rsid w:val="00B92BBF"/>
    <w:rsid w:val="00B92E0E"/>
    <w:rsid w:val="00B931E9"/>
    <w:rsid w:val="00B9347F"/>
    <w:rsid w:val="00B94513"/>
    <w:rsid w:val="00B94DDB"/>
    <w:rsid w:val="00B95CBD"/>
    <w:rsid w:val="00B964E1"/>
    <w:rsid w:val="00B966B5"/>
    <w:rsid w:val="00B972D6"/>
    <w:rsid w:val="00BA0493"/>
    <w:rsid w:val="00BA22E6"/>
    <w:rsid w:val="00BA2364"/>
    <w:rsid w:val="00BA23A2"/>
    <w:rsid w:val="00BA33A9"/>
    <w:rsid w:val="00BA4C26"/>
    <w:rsid w:val="00BA4E65"/>
    <w:rsid w:val="00BA6068"/>
    <w:rsid w:val="00BB33E0"/>
    <w:rsid w:val="00BB7EE0"/>
    <w:rsid w:val="00BC1092"/>
    <w:rsid w:val="00BC1F99"/>
    <w:rsid w:val="00BC2045"/>
    <w:rsid w:val="00BC4871"/>
    <w:rsid w:val="00BC4D5D"/>
    <w:rsid w:val="00BC7CD5"/>
    <w:rsid w:val="00BD1012"/>
    <w:rsid w:val="00BD2884"/>
    <w:rsid w:val="00BD39A0"/>
    <w:rsid w:val="00BD4EB2"/>
    <w:rsid w:val="00BD5097"/>
    <w:rsid w:val="00BD5761"/>
    <w:rsid w:val="00BD6D76"/>
    <w:rsid w:val="00BD7D77"/>
    <w:rsid w:val="00BE1321"/>
    <w:rsid w:val="00BE1950"/>
    <w:rsid w:val="00BE1DD6"/>
    <w:rsid w:val="00BE200A"/>
    <w:rsid w:val="00BE3C20"/>
    <w:rsid w:val="00BE4B8F"/>
    <w:rsid w:val="00BE7B06"/>
    <w:rsid w:val="00BF155C"/>
    <w:rsid w:val="00BF17DF"/>
    <w:rsid w:val="00BF312A"/>
    <w:rsid w:val="00BF4212"/>
    <w:rsid w:val="00C0541C"/>
    <w:rsid w:val="00C06066"/>
    <w:rsid w:val="00C067F0"/>
    <w:rsid w:val="00C10672"/>
    <w:rsid w:val="00C11047"/>
    <w:rsid w:val="00C11DF3"/>
    <w:rsid w:val="00C11EC1"/>
    <w:rsid w:val="00C12450"/>
    <w:rsid w:val="00C143C7"/>
    <w:rsid w:val="00C15C6F"/>
    <w:rsid w:val="00C165A1"/>
    <w:rsid w:val="00C22FB5"/>
    <w:rsid w:val="00C23C59"/>
    <w:rsid w:val="00C2583F"/>
    <w:rsid w:val="00C31834"/>
    <w:rsid w:val="00C33173"/>
    <w:rsid w:val="00C33D5D"/>
    <w:rsid w:val="00C35F43"/>
    <w:rsid w:val="00C36A5C"/>
    <w:rsid w:val="00C36D39"/>
    <w:rsid w:val="00C423BA"/>
    <w:rsid w:val="00C45ACD"/>
    <w:rsid w:val="00C46ED6"/>
    <w:rsid w:val="00C50D1D"/>
    <w:rsid w:val="00C53C69"/>
    <w:rsid w:val="00C54522"/>
    <w:rsid w:val="00C55164"/>
    <w:rsid w:val="00C558E6"/>
    <w:rsid w:val="00C56A16"/>
    <w:rsid w:val="00C56F90"/>
    <w:rsid w:val="00C62071"/>
    <w:rsid w:val="00C62A1C"/>
    <w:rsid w:val="00C63015"/>
    <w:rsid w:val="00C6671D"/>
    <w:rsid w:val="00C66820"/>
    <w:rsid w:val="00C71166"/>
    <w:rsid w:val="00C71788"/>
    <w:rsid w:val="00C73510"/>
    <w:rsid w:val="00C74BE1"/>
    <w:rsid w:val="00C74BE4"/>
    <w:rsid w:val="00C76777"/>
    <w:rsid w:val="00C778A3"/>
    <w:rsid w:val="00C7796A"/>
    <w:rsid w:val="00C815BF"/>
    <w:rsid w:val="00C826B3"/>
    <w:rsid w:val="00C82BDF"/>
    <w:rsid w:val="00C82C04"/>
    <w:rsid w:val="00C83DBD"/>
    <w:rsid w:val="00C85D31"/>
    <w:rsid w:val="00C870F5"/>
    <w:rsid w:val="00C92399"/>
    <w:rsid w:val="00C92F37"/>
    <w:rsid w:val="00C95622"/>
    <w:rsid w:val="00C96695"/>
    <w:rsid w:val="00C96B99"/>
    <w:rsid w:val="00C975D7"/>
    <w:rsid w:val="00CA1E5E"/>
    <w:rsid w:val="00CA35F2"/>
    <w:rsid w:val="00CA4768"/>
    <w:rsid w:val="00CA5C13"/>
    <w:rsid w:val="00CB0593"/>
    <w:rsid w:val="00CB06D1"/>
    <w:rsid w:val="00CB1039"/>
    <w:rsid w:val="00CB1B17"/>
    <w:rsid w:val="00CB2295"/>
    <w:rsid w:val="00CB3AC8"/>
    <w:rsid w:val="00CB6218"/>
    <w:rsid w:val="00CC416B"/>
    <w:rsid w:val="00CC658E"/>
    <w:rsid w:val="00CD07B0"/>
    <w:rsid w:val="00CD0F11"/>
    <w:rsid w:val="00CD27D6"/>
    <w:rsid w:val="00CD4831"/>
    <w:rsid w:val="00CD5E38"/>
    <w:rsid w:val="00CE0795"/>
    <w:rsid w:val="00CE4627"/>
    <w:rsid w:val="00CE5393"/>
    <w:rsid w:val="00CE69EB"/>
    <w:rsid w:val="00CE6A29"/>
    <w:rsid w:val="00CE7EBD"/>
    <w:rsid w:val="00CF77A4"/>
    <w:rsid w:val="00CF7D09"/>
    <w:rsid w:val="00D00074"/>
    <w:rsid w:val="00D004DE"/>
    <w:rsid w:val="00D00769"/>
    <w:rsid w:val="00D0392A"/>
    <w:rsid w:val="00D0447F"/>
    <w:rsid w:val="00D054B6"/>
    <w:rsid w:val="00D104E4"/>
    <w:rsid w:val="00D175E6"/>
    <w:rsid w:val="00D20D73"/>
    <w:rsid w:val="00D21407"/>
    <w:rsid w:val="00D23720"/>
    <w:rsid w:val="00D2387A"/>
    <w:rsid w:val="00D24053"/>
    <w:rsid w:val="00D24863"/>
    <w:rsid w:val="00D25D38"/>
    <w:rsid w:val="00D27B9A"/>
    <w:rsid w:val="00D32E09"/>
    <w:rsid w:val="00D33903"/>
    <w:rsid w:val="00D33981"/>
    <w:rsid w:val="00D408A2"/>
    <w:rsid w:val="00D40C2F"/>
    <w:rsid w:val="00D40ED4"/>
    <w:rsid w:val="00D46AA8"/>
    <w:rsid w:val="00D521D5"/>
    <w:rsid w:val="00D52469"/>
    <w:rsid w:val="00D5598F"/>
    <w:rsid w:val="00D56691"/>
    <w:rsid w:val="00D57697"/>
    <w:rsid w:val="00D57A8C"/>
    <w:rsid w:val="00D61D7B"/>
    <w:rsid w:val="00D6264F"/>
    <w:rsid w:val="00D629C4"/>
    <w:rsid w:val="00D655D1"/>
    <w:rsid w:val="00D6744A"/>
    <w:rsid w:val="00D70362"/>
    <w:rsid w:val="00D70C99"/>
    <w:rsid w:val="00D72022"/>
    <w:rsid w:val="00D725D5"/>
    <w:rsid w:val="00D72A76"/>
    <w:rsid w:val="00D75720"/>
    <w:rsid w:val="00D771DD"/>
    <w:rsid w:val="00D805F6"/>
    <w:rsid w:val="00D81485"/>
    <w:rsid w:val="00D84383"/>
    <w:rsid w:val="00D937BB"/>
    <w:rsid w:val="00D93E8A"/>
    <w:rsid w:val="00D95EF5"/>
    <w:rsid w:val="00D96D4D"/>
    <w:rsid w:val="00D9797E"/>
    <w:rsid w:val="00DA1045"/>
    <w:rsid w:val="00DA23F0"/>
    <w:rsid w:val="00DA255D"/>
    <w:rsid w:val="00DA4329"/>
    <w:rsid w:val="00DA46EA"/>
    <w:rsid w:val="00DA473D"/>
    <w:rsid w:val="00DA5311"/>
    <w:rsid w:val="00DA5EE0"/>
    <w:rsid w:val="00DA65D9"/>
    <w:rsid w:val="00DB120C"/>
    <w:rsid w:val="00DB142F"/>
    <w:rsid w:val="00DB1DD6"/>
    <w:rsid w:val="00DB361F"/>
    <w:rsid w:val="00DB367D"/>
    <w:rsid w:val="00DB4665"/>
    <w:rsid w:val="00DB5171"/>
    <w:rsid w:val="00DB54D4"/>
    <w:rsid w:val="00DB5600"/>
    <w:rsid w:val="00DB7523"/>
    <w:rsid w:val="00DB7DF8"/>
    <w:rsid w:val="00DC16CA"/>
    <w:rsid w:val="00DC2DE1"/>
    <w:rsid w:val="00DC663A"/>
    <w:rsid w:val="00DC6E9C"/>
    <w:rsid w:val="00DC6F45"/>
    <w:rsid w:val="00DD0496"/>
    <w:rsid w:val="00DD0884"/>
    <w:rsid w:val="00DD10E8"/>
    <w:rsid w:val="00DD16EF"/>
    <w:rsid w:val="00DD3DE2"/>
    <w:rsid w:val="00DE13C5"/>
    <w:rsid w:val="00DE2684"/>
    <w:rsid w:val="00DE4196"/>
    <w:rsid w:val="00DE4E0A"/>
    <w:rsid w:val="00DE63D8"/>
    <w:rsid w:val="00DE699A"/>
    <w:rsid w:val="00DF1F97"/>
    <w:rsid w:val="00DF461B"/>
    <w:rsid w:val="00E0288B"/>
    <w:rsid w:val="00E03578"/>
    <w:rsid w:val="00E0374D"/>
    <w:rsid w:val="00E03A0F"/>
    <w:rsid w:val="00E059BE"/>
    <w:rsid w:val="00E070B4"/>
    <w:rsid w:val="00E1047D"/>
    <w:rsid w:val="00E12C8D"/>
    <w:rsid w:val="00E15AE5"/>
    <w:rsid w:val="00E209E7"/>
    <w:rsid w:val="00E20B5E"/>
    <w:rsid w:val="00E271CA"/>
    <w:rsid w:val="00E306E5"/>
    <w:rsid w:val="00E30B66"/>
    <w:rsid w:val="00E3738C"/>
    <w:rsid w:val="00E3776E"/>
    <w:rsid w:val="00E37AF0"/>
    <w:rsid w:val="00E411B5"/>
    <w:rsid w:val="00E45EEC"/>
    <w:rsid w:val="00E4796E"/>
    <w:rsid w:val="00E54008"/>
    <w:rsid w:val="00E60816"/>
    <w:rsid w:val="00E60B6E"/>
    <w:rsid w:val="00E61E33"/>
    <w:rsid w:val="00E626F9"/>
    <w:rsid w:val="00E63F89"/>
    <w:rsid w:val="00E665AA"/>
    <w:rsid w:val="00E70EA9"/>
    <w:rsid w:val="00E72280"/>
    <w:rsid w:val="00E74456"/>
    <w:rsid w:val="00E8293A"/>
    <w:rsid w:val="00E82AAD"/>
    <w:rsid w:val="00E84777"/>
    <w:rsid w:val="00E91361"/>
    <w:rsid w:val="00E92712"/>
    <w:rsid w:val="00E934D8"/>
    <w:rsid w:val="00E93790"/>
    <w:rsid w:val="00E948F6"/>
    <w:rsid w:val="00E94985"/>
    <w:rsid w:val="00E952C0"/>
    <w:rsid w:val="00E9551F"/>
    <w:rsid w:val="00E95955"/>
    <w:rsid w:val="00EA09A7"/>
    <w:rsid w:val="00EA229F"/>
    <w:rsid w:val="00EA5253"/>
    <w:rsid w:val="00EA6C9A"/>
    <w:rsid w:val="00EB0239"/>
    <w:rsid w:val="00EB0DCB"/>
    <w:rsid w:val="00EB5698"/>
    <w:rsid w:val="00EB640D"/>
    <w:rsid w:val="00EC272E"/>
    <w:rsid w:val="00EC4FAB"/>
    <w:rsid w:val="00EC531F"/>
    <w:rsid w:val="00EC53CC"/>
    <w:rsid w:val="00EC667E"/>
    <w:rsid w:val="00EC6822"/>
    <w:rsid w:val="00ED17A2"/>
    <w:rsid w:val="00ED27C8"/>
    <w:rsid w:val="00ED4DE3"/>
    <w:rsid w:val="00ED51FD"/>
    <w:rsid w:val="00ED53B5"/>
    <w:rsid w:val="00EE3A96"/>
    <w:rsid w:val="00EE4B26"/>
    <w:rsid w:val="00EE50D3"/>
    <w:rsid w:val="00EE6FB0"/>
    <w:rsid w:val="00EE719A"/>
    <w:rsid w:val="00EF0CCD"/>
    <w:rsid w:val="00EF1FD9"/>
    <w:rsid w:val="00EF28AC"/>
    <w:rsid w:val="00EF316B"/>
    <w:rsid w:val="00EF7D65"/>
    <w:rsid w:val="00F028F2"/>
    <w:rsid w:val="00F03B5D"/>
    <w:rsid w:val="00F06FCC"/>
    <w:rsid w:val="00F07437"/>
    <w:rsid w:val="00F07AB9"/>
    <w:rsid w:val="00F11682"/>
    <w:rsid w:val="00F15861"/>
    <w:rsid w:val="00F15A69"/>
    <w:rsid w:val="00F15DD7"/>
    <w:rsid w:val="00F170A4"/>
    <w:rsid w:val="00F277B7"/>
    <w:rsid w:val="00F30399"/>
    <w:rsid w:val="00F30D73"/>
    <w:rsid w:val="00F311D0"/>
    <w:rsid w:val="00F32025"/>
    <w:rsid w:val="00F32D08"/>
    <w:rsid w:val="00F32D45"/>
    <w:rsid w:val="00F40CE1"/>
    <w:rsid w:val="00F419E7"/>
    <w:rsid w:val="00F428FB"/>
    <w:rsid w:val="00F44B47"/>
    <w:rsid w:val="00F47D12"/>
    <w:rsid w:val="00F5023C"/>
    <w:rsid w:val="00F5045C"/>
    <w:rsid w:val="00F5092F"/>
    <w:rsid w:val="00F50EB8"/>
    <w:rsid w:val="00F51255"/>
    <w:rsid w:val="00F52093"/>
    <w:rsid w:val="00F53286"/>
    <w:rsid w:val="00F5378F"/>
    <w:rsid w:val="00F54177"/>
    <w:rsid w:val="00F556EF"/>
    <w:rsid w:val="00F5685E"/>
    <w:rsid w:val="00F60E28"/>
    <w:rsid w:val="00F626E3"/>
    <w:rsid w:val="00F65063"/>
    <w:rsid w:val="00F65F16"/>
    <w:rsid w:val="00F7103B"/>
    <w:rsid w:val="00F73901"/>
    <w:rsid w:val="00F753A8"/>
    <w:rsid w:val="00F76CFF"/>
    <w:rsid w:val="00F76D1C"/>
    <w:rsid w:val="00F7735B"/>
    <w:rsid w:val="00F805EB"/>
    <w:rsid w:val="00F830A4"/>
    <w:rsid w:val="00F83430"/>
    <w:rsid w:val="00F8738A"/>
    <w:rsid w:val="00F908B9"/>
    <w:rsid w:val="00F91743"/>
    <w:rsid w:val="00F91748"/>
    <w:rsid w:val="00F923B8"/>
    <w:rsid w:val="00F92421"/>
    <w:rsid w:val="00F94DDA"/>
    <w:rsid w:val="00F967AF"/>
    <w:rsid w:val="00F97F8F"/>
    <w:rsid w:val="00FA2BEF"/>
    <w:rsid w:val="00FA3477"/>
    <w:rsid w:val="00FA422E"/>
    <w:rsid w:val="00FA53AB"/>
    <w:rsid w:val="00FA5A32"/>
    <w:rsid w:val="00FA65AC"/>
    <w:rsid w:val="00FA72B1"/>
    <w:rsid w:val="00FA78AB"/>
    <w:rsid w:val="00FB26B3"/>
    <w:rsid w:val="00FB501D"/>
    <w:rsid w:val="00FB74BD"/>
    <w:rsid w:val="00FB7965"/>
    <w:rsid w:val="00FC00B9"/>
    <w:rsid w:val="00FC059C"/>
    <w:rsid w:val="00FC10F7"/>
    <w:rsid w:val="00FC21FA"/>
    <w:rsid w:val="00FC25CF"/>
    <w:rsid w:val="00FC35DC"/>
    <w:rsid w:val="00FC44EC"/>
    <w:rsid w:val="00FC6A7B"/>
    <w:rsid w:val="00FD07BB"/>
    <w:rsid w:val="00FD3C88"/>
    <w:rsid w:val="00FD4E11"/>
    <w:rsid w:val="00FD5C43"/>
    <w:rsid w:val="00FD5F25"/>
    <w:rsid w:val="00FD6C3E"/>
    <w:rsid w:val="00FE21C0"/>
    <w:rsid w:val="00FE5B17"/>
    <w:rsid w:val="00FE76ED"/>
    <w:rsid w:val="00FF0245"/>
    <w:rsid w:val="00FF0FD8"/>
    <w:rsid w:val="00FF19E5"/>
    <w:rsid w:val="00FF2D68"/>
    <w:rsid w:val="00FF4EB9"/>
    <w:rsid w:val="00FF6A3A"/>
    <w:rsid w:val="00FF7EB1"/>
    <w:rsid w:val="00FF7ECD"/>
    <w:rsid w:val="03C10F15"/>
    <w:rsid w:val="060557CF"/>
    <w:rsid w:val="06FB5E20"/>
    <w:rsid w:val="071E0F8F"/>
    <w:rsid w:val="08C96827"/>
    <w:rsid w:val="08F23F7E"/>
    <w:rsid w:val="0925123F"/>
    <w:rsid w:val="09A17C56"/>
    <w:rsid w:val="09DE7F72"/>
    <w:rsid w:val="0A6749FB"/>
    <w:rsid w:val="0A770A5E"/>
    <w:rsid w:val="0A8C0583"/>
    <w:rsid w:val="0B7C44D7"/>
    <w:rsid w:val="0B971310"/>
    <w:rsid w:val="0CCE0D62"/>
    <w:rsid w:val="0D486632"/>
    <w:rsid w:val="0DD24882"/>
    <w:rsid w:val="0E487142"/>
    <w:rsid w:val="0E4D0C5D"/>
    <w:rsid w:val="10635C65"/>
    <w:rsid w:val="110A53F0"/>
    <w:rsid w:val="127203E1"/>
    <w:rsid w:val="136C3083"/>
    <w:rsid w:val="14921E74"/>
    <w:rsid w:val="174C7453"/>
    <w:rsid w:val="178C3CF3"/>
    <w:rsid w:val="180A5FEA"/>
    <w:rsid w:val="187C0F36"/>
    <w:rsid w:val="18F27DB6"/>
    <w:rsid w:val="1AE50086"/>
    <w:rsid w:val="1BB06255"/>
    <w:rsid w:val="1BC02864"/>
    <w:rsid w:val="1BEE201C"/>
    <w:rsid w:val="1BFF75D6"/>
    <w:rsid w:val="1CAF497B"/>
    <w:rsid w:val="1CB718CD"/>
    <w:rsid w:val="1DBD3351"/>
    <w:rsid w:val="1F0665C8"/>
    <w:rsid w:val="209D0EA7"/>
    <w:rsid w:val="21584C46"/>
    <w:rsid w:val="23530719"/>
    <w:rsid w:val="23CD2694"/>
    <w:rsid w:val="256966EC"/>
    <w:rsid w:val="262D66A1"/>
    <w:rsid w:val="270642B1"/>
    <w:rsid w:val="274F0899"/>
    <w:rsid w:val="27CF8C9A"/>
    <w:rsid w:val="29812FA2"/>
    <w:rsid w:val="2D157E8F"/>
    <w:rsid w:val="2E2F5248"/>
    <w:rsid w:val="2E7FAA4D"/>
    <w:rsid w:val="2FE75B13"/>
    <w:rsid w:val="312B4AC8"/>
    <w:rsid w:val="32117F54"/>
    <w:rsid w:val="338143E2"/>
    <w:rsid w:val="33D7637B"/>
    <w:rsid w:val="345E1343"/>
    <w:rsid w:val="35F3501A"/>
    <w:rsid w:val="369E4356"/>
    <w:rsid w:val="36EBE16A"/>
    <w:rsid w:val="388E7474"/>
    <w:rsid w:val="389F4528"/>
    <w:rsid w:val="38FB2DF5"/>
    <w:rsid w:val="3A8D375B"/>
    <w:rsid w:val="3B2E64D6"/>
    <w:rsid w:val="3B8D2412"/>
    <w:rsid w:val="3F0D0102"/>
    <w:rsid w:val="3F890995"/>
    <w:rsid w:val="40B41A41"/>
    <w:rsid w:val="4255177A"/>
    <w:rsid w:val="42E9650F"/>
    <w:rsid w:val="436900CD"/>
    <w:rsid w:val="458A2D7F"/>
    <w:rsid w:val="463D4287"/>
    <w:rsid w:val="46EB3CE3"/>
    <w:rsid w:val="475C7DB9"/>
    <w:rsid w:val="47F210A1"/>
    <w:rsid w:val="4817039A"/>
    <w:rsid w:val="48662902"/>
    <w:rsid w:val="49846661"/>
    <w:rsid w:val="4A2614A0"/>
    <w:rsid w:val="4A5C7538"/>
    <w:rsid w:val="4A834C0C"/>
    <w:rsid w:val="4AAD305D"/>
    <w:rsid w:val="4AF91B85"/>
    <w:rsid w:val="4B0B70C5"/>
    <w:rsid w:val="4B0E61F2"/>
    <w:rsid w:val="4BEA27BB"/>
    <w:rsid w:val="4D8A6B0D"/>
    <w:rsid w:val="4ECB3072"/>
    <w:rsid w:val="4FF43C08"/>
    <w:rsid w:val="52ED0DE3"/>
    <w:rsid w:val="533118FD"/>
    <w:rsid w:val="53815038"/>
    <w:rsid w:val="54FF1D62"/>
    <w:rsid w:val="55596B43"/>
    <w:rsid w:val="57DA75C4"/>
    <w:rsid w:val="58476727"/>
    <w:rsid w:val="58A1307C"/>
    <w:rsid w:val="58D42829"/>
    <w:rsid w:val="58FB7309"/>
    <w:rsid w:val="5AA93841"/>
    <w:rsid w:val="5B105BB6"/>
    <w:rsid w:val="5B8419B9"/>
    <w:rsid w:val="5DFFB1B4"/>
    <w:rsid w:val="5F772160"/>
    <w:rsid w:val="5FFF8CFA"/>
    <w:rsid w:val="60780305"/>
    <w:rsid w:val="620D6DAC"/>
    <w:rsid w:val="621719D8"/>
    <w:rsid w:val="62A21FF1"/>
    <w:rsid w:val="62DD677E"/>
    <w:rsid w:val="634D3AD1"/>
    <w:rsid w:val="64A5151D"/>
    <w:rsid w:val="64E606BF"/>
    <w:rsid w:val="64F8789F"/>
    <w:rsid w:val="65F828DB"/>
    <w:rsid w:val="664545A7"/>
    <w:rsid w:val="66923F8C"/>
    <w:rsid w:val="66E53E53"/>
    <w:rsid w:val="677F2CAD"/>
    <w:rsid w:val="67ADB566"/>
    <w:rsid w:val="685C3D33"/>
    <w:rsid w:val="68EE53C3"/>
    <w:rsid w:val="6B3C2AF3"/>
    <w:rsid w:val="6D6476CF"/>
    <w:rsid w:val="6F651FD5"/>
    <w:rsid w:val="6FBDE84B"/>
    <w:rsid w:val="70025A76"/>
    <w:rsid w:val="70F250FA"/>
    <w:rsid w:val="711517D9"/>
    <w:rsid w:val="717402AD"/>
    <w:rsid w:val="727115C4"/>
    <w:rsid w:val="727C3822"/>
    <w:rsid w:val="733852DC"/>
    <w:rsid w:val="739B4217"/>
    <w:rsid w:val="755A58E6"/>
    <w:rsid w:val="75A5137D"/>
    <w:rsid w:val="763F273F"/>
    <w:rsid w:val="76A01B45"/>
    <w:rsid w:val="77200C8C"/>
    <w:rsid w:val="77C47AB5"/>
    <w:rsid w:val="783E18A8"/>
    <w:rsid w:val="791F1447"/>
    <w:rsid w:val="79733540"/>
    <w:rsid w:val="7A680BCB"/>
    <w:rsid w:val="7B726C28"/>
    <w:rsid w:val="7BBDF057"/>
    <w:rsid w:val="7C5B064D"/>
    <w:rsid w:val="7DFFEAE3"/>
    <w:rsid w:val="7E332273"/>
    <w:rsid w:val="7EF70770"/>
    <w:rsid w:val="7F1F78FC"/>
    <w:rsid w:val="7FBB1016"/>
    <w:rsid w:val="7FEF05E2"/>
    <w:rsid w:val="9A7F04BC"/>
    <w:rsid w:val="B3DF65B9"/>
    <w:rsid w:val="BA950EA4"/>
    <w:rsid w:val="BFDE203E"/>
    <w:rsid w:val="C7F692D5"/>
    <w:rsid w:val="CFD1B6A7"/>
    <w:rsid w:val="DFEFCF8D"/>
    <w:rsid w:val="ED5E4559"/>
    <w:rsid w:val="EED8A522"/>
    <w:rsid w:val="EFB63885"/>
    <w:rsid w:val="F73D94C9"/>
    <w:rsid w:val="FAE73427"/>
    <w:rsid w:val="FB3B928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iPriority="99" w:name="List Bullet 5"/>
    <w:lsdException w:qFormat="1" w:unhideWhenUsed="0" w:uiPriority="0" w:semiHidden="0" w:name="List Number 2"/>
    <w:lsdException w:qFormat="1" w:unhideWhenUsed="0" w:uiPriority="0" w:semiHidden="0"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lang w:val="en-US" w:eastAsia="zh-CN" w:bidi="ar-SA"/>
    </w:rPr>
  </w:style>
  <w:style w:type="paragraph" w:styleId="2">
    <w:name w:val="heading 1"/>
    <w:basedOn w:val="1"/>
    <w:next w:val="1"/>
    <w:qFormat/>
    <w:uiPriority w:val="0"/>
    <w:pPr>
      <w:keepNext/>
      <w:tabs>
        <w:tab w:val="left" w:pos="3360"/>
      </w:tabs>
      <w:snapToGrid w:val="0"/>
      <w:spacing w:before="312" w:beforeLines="100" w:beforeAutospacing="0" w:after="156" w:afterLines="50" w:afterAutospacing="0" w:line="800" w:lineRule="atLeast"/>
      <w:jc w:val="center"/>
      <w:outlineLvl w:val="0"/>
    </w:pPr>
    <w:rPr>
      <w:rFonts w:eastAsia="黑体"/>
      <w:sz w:val="44"/>
    </w:rPr>
  </w:style>
  <w:style w:type="paragraph" w:styleId="3">
    <w:name w:val="heading 2"/>
    <w:basedOn w:val="1"/>
    <w:next w:val="1"/>
    <w:link w:val="71"/>
    <w:qFormat/>
    <w:uiPriority w:val="0"/>
    <w:pPr>
      <w:keepNext/>
      <w:keepLines/>
      <w:adjustRightInd w:val="0"/>
      <w:snapToGrid w:val="0"/>
      <w:spacing w:line="360" w:lineRule="auto"/>
      <w:outlineLvl w:val="1"/>
    </w:pPr>
    <w:rPr>
      <w:rFonts w:ascii="宋体" w:hAnsi="宋体"/>
    </w:rPr>
  </w:style>
  <w:style w:type="paragraph" w:styleId="4">
    <w:name w:val="heading 3"/>
    <w:basedOn w:val="1"/>
    <w:next w:val="1"/>
    <w:qFormat/>
    <w:uiPriority w:val="0"/>
    <w:pPr>
      <w:keepNext/>
      <w:keepLines/>
      <w:spacing w:before="260" w:beforeLines="0" w:beforeAutospacing="0" w:after="260" w:afterLines="0" w:afterAutospacing="0" w:line="413" w:lineRule="auto"/>
      <w:jc w:val="center"/>
      <w:outlineLvl w:val="2"/>
    </w:pPr>
    <w:rPr>
      <w:b/>
      <w:sz w:val="44"/>
    </w:rPr>
  </w:style>
  <w:style w:type="paragraph" w:styleId="5">
    <w:name w:val="heading 4"/>
    <w:basedOn w:val="1"/>
    <w:next w:val="1"/>
    <w:qFormat/>
    <w:uiPriority w:val="0"/>
    <w:pPr>
      <w:keepNext/>
      <w:keepLines/>
      <w:numPr>
        <w:ilvl w:val="0"/>
        <w:numId w:val="1"/>
      </w:numPr>
      <w:spacing w:before="560" w:beforeLines="0" w:after="290" w:afterLines="0" w:line="377" w:lineRule="auto"/>
      <w:outlineLvl w:val="3"/>
    </w:pPr>
    <w:rPr>
      <w:rFonts w:ascii="Arial" w:hAnsi="Arial" w:eastAsia="黑体"/>
      <w:b/>
    </w:rPr>
  </w:style>
  <w:style w:type="paragraph" w:styleId="6">
    <w:name w:val="heading 5"/>
    <w:basedOn w:val="1"/>
    <w:next w:val="1"/>
    <w:qFormat/>
    <w:uiPriority w:val="0"/>
    <w:pPr>
      <w:keepNext/>
      <w:keepLines/>
      <w:tabs>
        <w:tab w:val="left" w:pos="2551"/>
      </w:tabs>
      <w:spacing w:before="280" w:beforeLines="0" w:beforeAutospacing="0" w:after="290" w:afterLines="0" w:afterAutospacing="0" w:line="372" w:lineRule="auto"/>
      <w:ind w:left="2551" w:hanging="850"/>
      <w:outlineLvl w:val="4"/>
    </w:pPr>
    <w:rPr>
      <w:b/>
    </w:rPr>
  </w:style>
  <w:style w:type="paragraph" w:styleId="7">
    <w:name w:val="heading 6"/>
    <w:basedOn w:val="1"/>
    <w:next w:val="1"/>
    <w:qFormat/>
    <w:uiPriority w:val="0"/>
    <w:pPr>
      <w:keepNext/>
      <w:keepLines/>
      <w:tabs>
        <w:tab w:val="left" w:pos="1152"/>
      </w:tabs>
      <w:adjustRightInd w:val="0"/>
      <w:snapToGrid w:val="0"/>
      <w:spacing w:before="240" w:beforeLines="0" w:beforeAutospacing="0" w:after="64" w:afterLines="0" w:afterAutospacing="0" w:line="317" w:lineRule="auto"/>
      <w:ind w:left="1152" w:hanging="1152"/>
      <w:outlineLvl w:val="5"/>
    </w:pPr>
    <w:rPr>
      <w:rFonts w:ascii="Arial" w:hAnsi="Arial" w:eastAsia="黑体"/>
      <w:b/>
      <w:sz w:val="24"/>
    </w:rPr>
  </w:style>
  <w:style w:type="paragraph" w:styleId="8">
    <w:name w:val="heading 7"/>
    <w:basedOn w:val="1"/>
    <w:next w:val="1"/>
    <w:qFormat/>
    <w:uiPriority w:val="0"/>
    <w:pPr>
      <w:keepNext/>
      <w:keepLines/>
      <w:tabs>
        <w:tab w:val="left" w:pos="1296"/>
      </w:tabs>
      <w:adjustRightInd w:val="0"/>
      <w:snapToGrid w:val="0"/>
      <w:spacing w:before="240" w:beforeLines="0" w:beforeAutospacing="0" w:after="64" w:afterLines="0" w:afterAutospacing="0" w:line="317" w:lineRule="auto"/>
      <w:ind w:left="1296" w:hanging="1296"/>
      <w:outlineLvl w:val="6"/>
    </w:pPr>
    <w:rPr>
      <w:rFonts w:ascii="Arial" w:hAnsi="Arial" w:eastAsia="黑体"/>
      <w:b/>
      <w:sz w:val="24"/>
    </w:rPr>
  </w:style>
  <w:style w:type="paragraph" w:styleId="9">
    <w:name w:val="heading 8"/>
    <w:basedOn w:val="1"/>
    <w:next w:val="1"/>
    <w:qFormat/>
    <w:uiPriority w:val="0"/>
    <w:pPr>
      <w:keepNext/>
      <w:keepLines/>
      <w:tabs>
        <w:tab w:val="left" w:pos="1440"/>
      </w:tabs>
      <w:adjustRightInd w:val="0"/>
      <w:snapToGrid w:val="0"/>
      <w:spacing w:before="240" w:beforeLines="0" w:beforeAutospacing="0" w:after="64" w:afterLines="0" w:afterAutospacing="0" w:line="317" w:lineRule="auto"/>
      <w:ind w:left="1440" w:hanging="1440"/>
      <w:outlineLvl w:val="7"/>
    </w:pPr>
    <w:rPr>
      <w:rFonts w:ascii="Arial" w:hAnsi="Arial" w:eastAsia="黑体"/>
      <w:b/>
      <w:sz w:val="24"/>
    </w:rPr>
  </w:style>
  <w:style w:type="paragraph" w:styleId="10">
    <w:name w:val="heading 9"/>
    <w:basedOn w:val="1"/>
    <w:next w:val="1"/>
    <w:qFormat/>
    <w:uiPriority w:val="0"/>
    <w:pPr>
      <w:keepNext/>
      <w:keepLines/>
      <w:tabs>
        <w:tab w:val="left" w:pos="1584"/>
      </w:tabs>
      <w:adjustRightInd w:val="0"/>
      <w:snapToGrid w:val="0"/>
      <w:spacing w:before="240" w:beforeLines="0" w:beforeAutospacing="0" w:after="64" w:afterLines="0" w:afterAutospacing="0" w:line="317" w:lineRule="auto"/>
      <w:ind w:left="1584" w:hanging="1584"/>
      <w:outlineLvl w:val="8"/>
    </w:pPr>
    <w:rPr>
      <w:rFonts w:ascii="Arial" w:hAnsi="Arial" w:eastAsia="黑体"/>
      <w:b/>
      <w:sz w:val="24"/>
    </w:rPr>
  </w:style>
  <w:style w:type="character" w:default="1" w:styleId="62">
    <w:name w:val="Default Paragraph Font"/>
    <w:qFormat/>
    <w:uiPriority w:val="0"/>
  </w:style>
  <w:style w:type="table" w:default="1" w:styleId="60">
    <w:name w:val="Normal Table"/>
    <w:unhideWhenUsed/>
    <w:qFormat/>
    <w:uiPriority w:val="99"/>
    <w:tblPr>
      <w:tblCellMar>
        <w:top w:w="0" w:type="dxa"/>
        <w:left w:w="108" w:type="dxa"/>
        <w:bottom w:w="0" w:type="dxa"/>
        <w:right w:w="108" w:type="dxa"/>
      </w:tblCellMar>
    </w:tblPr>
  </w:style>
  <w:style w:type="paragraph" w:styleId="11">
    <w:name w:val="List 3"/>
    <w:basedOn w:val="1"/>
    <w:qFormat/>
    <w:uiPriority w:val="0"/>
    <w:pPr>
      <w:adjustRightInd w:val="0"/>
      <w:snapToGrid w:val="0"/>
      <w:spacing w:line="360" w:lineRule="auto"/>
      <w:ind w:left="100" w:leftChars="400" w:hanging="200" w:hangingChars="200"/>
    </w:pPr>
    <w:rPr>
      <w:sz w:val="24"/>
    </w:rPr>
  </w:style>
  <w:style w:type="paragraph" w:styleId="12">
    <w:name w:val="toc 7"/>
    <w:basedOn w:val="1"/>
    <w:next w:val="1"/>
    <w:qFormat/>
    <w:uiPriority w:val="0"/>
    <w:pPr>
      <w:ind w:left="2520" w:leftChars="1200"/>
    </w:pPr>
  </w:style>
  <w:style w:type="paragraph" w:styleId="13">
    <w:name w:val="List Number 2"/>
    <w:basedOn w:val="1"/>
    <w:qFormat/>
    <w:uiPriority w:val="0"/>
    <w:pPr>
      <w:numPr>
        <w:ilvl w:val="0"/>
        <w:numId w:val="2"/>
      </w:numPr>
      <w:spacing w:line="360" w:lineRule="auto"/>
    </w:pPr>
    <w:rPr>
      <w:sz w:val="24"/>
    </w:rPr>
  </w:style>
  <w:style w:type="paragraph" w:styleId="14">
    <w:name w:val="List Bullet 4"/>
    <w:basedOn w:val="1"/>
    <w:qFormat/>
    <w:uiPriority w:val="0"/>
    <w:pPr>
      <w:widowControl/>
      <w:numPr>
        <w:ilvl w:val="0"/>
        <w:numId w:val="3"/>
      </w:numPr>
      <w:tabs>
        <w:tab w:val="left" w:pos="1134"/>
        <w:tab w:val="clear" w:pos="1620"/>
      </w:tabs>
      <w:adjustRightInd w:val="0"/>
      <w:snapToGrid w:val="0"/>
      <w:spacing w:before="120" w:beforeLines="0" w:line="280" w:lineRule="atLeast"/>
      <w:ind w:left="1418" w:hanging="284"/>
      <w:jc w:val="left"/>
    </w:pPr>
    <w:rPr>
      <w:rFonts w:ascii="宋体"/>
      <w:kern w:val="0"/>
      <w:sz w:val="22"/>
    </w:rPr>
  </w:style>
  <w:style w:type="paragraph" w:styleId="15">
    <w:name w:val="Normal Indent"/>
    <w:basedOn w:val="1"/>
    <w:next w:val="1"/>
    <w:qFormat/>
    <w:uiPriority w:val="0"/>
    <w:pPr>
      <w:adjustRightInd w:val="0"/>
      <w:snapToGrid w:val="0"/>
      <w:spacing w:line="360" w:lineRule="auto"/>
      <w:ind w:firstLine="420"/>
    </w:pPr>
    <w:rPr>
      <w:sz w:val="24"/>
    </w:rPr>
  </w:style>
  <w:style w:type="paragraph" w:styleId="16">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7">
    <w:name w:val="Document Map"/>
    <w:basedOn w:val="1"/>
    <w:qFormat/>
    <w:uiPriority w:val="0"/>
    <w:pPr>
      <w:shd w:val="clear" w:color="auto" w:fill="000080"/>
    </w:pPr>
  </w:style>
  <w:style w:type="paragraph" w:styleId="18">
    <w:name w:val="toa heading"/>
    <w:basedOn w:val="1"/>
    <w:next w:val="1"/>
    <w:qFormat/>
    <w:uiPriority w:val="0"/>
    <w:pPr>
      <w:spacing w:before="120" w:beforeLines="0" w:beforeAutospacing="0"/>
    </w:pPr>
    <w:rPr>
      <w:rFonts w:ascii="Arial" w:hAnsi="Arial"/>
      <w:sz w:val="24"/>
    </w:rPr>
  </w:style>
  <w:style w:type="paragraph" w:styleId="19">
    <w:name w:val="annotation text"/>
    <w:basedOn w:val="1"/>
    <w:link w:val="72"/>
    <w:qFormat/>
    <w:uiPriority w:val="0"/>
    <w:pPr>
      <w:widowControl/>
      <w:tabs>
        <w:tab w:val="left" w:pos="1134"/>
      </w:tabs>
      <w:adjustRightInd w:val="0"/>
      <w:snapToGrid w:val="0"/>
      <w:spacing w:line="280" w:lineRule="atLeast"/>
      <w:jc w:val="left"/>
    </w:pPr>
    <w:rPr>
      <w:rFonts w:eastAsia="PMingLiU"/>
      <w:kern w:val="0"/>
      <w:sz w:val="24"/>
      <w:lang w:eastAsia="zh-TW"/>
    </w:rPr>
  </w:style>
  <w:style w:type="paragraph" w:styleId="20">
    <w:name w:val="Body Text 3"/>
    <w:basedOn w:val="1"/>
    <w:qFormat/>
    <w:uiPriority w:val="0"/>
    <w:pPr>
      <w:adjustRightInd w:val="0"/>
      <w:snapToGrid w:val="0"/>
      <w:spacing w:after="120" w:afterLines="0" w:afterAutospacing="0" w:line="360" w:lineRule="auto"/>
    </w:pPr>
    <w:rPr>
      <w:sz w:val="16"/>
    </w:rPr>
  </w:style>
  <w:style w:type="paragraph" w:styleId="21">
    <w:name w:val="List Bullet 3"/>
    <w:basedOn w:val="1"/>
    <w:qFormat/>
    <w:uiPriority w:val="0"/>
    <w:pPr>
      <w:numPr>
        <w:ilvl w:val="0"/>
        <w:numId w:val="4"/>
      </w:numPr>
      <w:adjustRightInd w:val="0"/>
      <w:snapToGrid w:val="0"/>
      <w:spacing w:line="360" w:lineRule="auto"/>
    </w:pPr>
    <w:rPr>
      <w:sz w:val="24"/>
    </w:rPr>
  </w:style>
  <w:style w:type="paragraph" w:styleId="22">
    <w:name w:val="Body Text"/>
    <w:basedOn w:val="1"/>
    <w:next w:val="23"/>
    <w:qFormat/>
    <w:uiPriority w:val="0"/>
    <w:rPr>
      <w:rFonts w:ascii="仿宋_GB2312" w:eastAsia="仿宋_GB2312"/>
      <w:kern w:val="2"/>
      <w:sz w:val="32"/>
    </w:rPr>
  </w:style>
  <w:style w:type="paragraph" w:customStyle="1" w:styleId="23">
    <w:name w:val="默认"/>
    <w:qFormat/>
    <w:uiPriority w:val="0"/>
    <w:rPr>
      <w:rFonts w:ascii="Helvetica" w:hAnsi="Helvetica" w:eastAsia="Helvetica" w:cs="Helvetica"/>
      <w:color w:val="000000"/>
      <w:sz w:val="22"/>
      <w:szCs w:val="22"/>
      <w:lang w:val="en-US" w:eastAsia="zh-CN" w:bidi="ar-SA"/>
    </w:rPr>
  </w:style>
  <w:style w:type="paragraph" w:styleId="24">
    <w:name w:val="Body Text Indent"/>
    <w:basedOn w:val="1"/>
    <w:next w:val="22"/>
    <w:qFormat/>
    <w:uiPriority w:val="0"/>
    <w:pPr>
      <w:spacing w:line="700" w:lineRule="exact"/>
      <w:ind w:left="960"/>
    </w:pPr>
    <w:rPr>
      <w:sz w:val="44"/>
    </w:rPr>
  </w:style>
  <w:style w:type="paragraph" w:styleId="25">
    <w:name w:val="List Number 3"/>
    <w:basedOn w:val="1"/>
    <w:qFormat/>
    <w:uiPriority w:val="0"/>
    <w:pPr>
      <w:tabs>
        <w:tab w:val="left" w:pos="2120"/>
      </w:tabs>
      <w:adjustRightInd w:val="0"/>
      <w:snapToGrid w:val="0"/>
      <w:spacing w:line="360" w:lineRule="auto"/>
      <w:ind w:left="2120" w:hanging="720"/>
    </w:pPr>
    <w:rPr>
      <w:sz w:val="24"/>
    </w:rPr>
  </w:style>
  <w:style w:type="paragraph" w:styleId="26">
    <w:name w:val="List 2"/>
    <w:basedOn w:val="1"/>
    <w:qFormat/>
    <w:uiPriority w:val="0"/>
    <w:pPr>
      <w:adjustRightInd w:val="0"/>
      <w:snapToGrid w:val="0"/>
      <w:spacing w:line="360" w:lineRule="auto"/>
      <w:ind w:left="100" w:leftChars="200" w:hanging="200" w:hangingChars="200"/>
    </w:pPr>
    <w:rPr>
      <w:sz w:val="24"/>
    </w:rPr>
  </w:style>
  <w:style w:type="paragraph" w:styleId="27">
    <w:name w:val="List Continue"/>
    <w:basedOn w:val="1"/>
    <w:qFormat/>
    <w:uiPriority w:val="0"/>
    <w:pPr>
      <w:adjustRightInd w:val="0"/>
      <w:snapToGrid w:val="0"/>
      <w:spacing w:after="120" w:afterLines="0" w:afterAutospacing="0" w:line="360" w:lineRule="auto"/>
      <w:ind w:left="420" w:leftChars="200"/>
    </w:pPr>
    <w:rPr>
      <w:sz w:val="24"/>
    </w:rPr>
  </w:style>
  <w:style w:type="paragraph" w:styleId="28">
    <w:name w:val="List Bullet 2"/>
    <w:basedOn w:val="1"/>
    <w:qFormat/>
    <w:uiPriority w:val="0"/>
    <w:pPr>
      <w:numPr>
        <w:ilvl w:val="0"/>
        <w:numId w:val="5"/>
      </w:numPr>
      <w:adjustRightInd w:val="0"/>
      <w:snapToGrid w:val="0"/>
      <w:spacing w:line="360" w:lineRule="auto"/>
    </w:pPr>
    <w:rPr>
      <w:sz w:val="24"/>
    </w:rPr>
  </w:style>
  <w:style w:type="paragraph" w:styleId="29">
    <w:name w:val="index 4"/>
    <w:basedOn w:val="1"/>
    <w:next w:val="1"/>
    <w:qFormat/>
    <w:uiPriority w:val="0"/>
    <w:pPr>
      <w:ind w:left="600" w:leftChars="600"/>
    </w:pPr>
  </w:style>
  <w:style w:type="paragraph" w:styleId="30">
    <w:name w:val="toc 5"/>
    <w:basedOn w:val="1"/>
    <w:next w:val="1"/>
    <w:qFormat/>
    <w:uiPriority w:val="0"/>
    <w:pPr>
      <w:ind w:left="1680" w:leftChars="800"/>
    </w:pPr>
  </w:style>
  <w:style w:type="paragraph" w:styleId="31">
    <w:name w:val="toc 3"/>
    <w:basedOn w:val="4"/>
    <w:next w:val="1"/>
    <w:qFormat/>
    <w:uiPriority w:val="0"/>
    <w:pPr>
      <w:ind w:left="840" w:leftChars="400"/>
    </w:pPr>
  </w:style>
  <w:style w:type="paragraph" w:styleId="32">
    <w:name w:val="Plain Text"/>
    <w:basedOn w:val="1"/>
    <w:qFormat/>
    <w:uiPriority w:val="0"/>
    <w:pPr>
      <w:adjustRightInd w:val="0"/>
      <w:snapToGrid w:val="0"/>
      <w:spacing w:line="360" w:lineRule="auto"/>
    </w:pPr>
    <w:rPr>
      <w:rFonts w:ascii="宋体" w:hAnsi="Courier New"/>
      <w:sz w:val="21"/>
    </w:rPr>
  </w:style>
  <w:style w:type="paragraph" w:styleId="33">
    <w:name w:val="toc 8"/>
    <w:basedOn w:val="1"/>
    <w:next w:val="1"/>
    <w:qFormat/>
    <w:uiPriority w:val="0"/>
    <w:pPr>
      <w:ind w:left="2940" w:leftChars="1400"/>
    </w:pPr>
  </w:style>
  <w:style w:type="paragraph" w:styleId="34">
    <w:name w:val="Date"/>
    <w:basedOn w:val="1"/>
    <w:next w:val="1"/>
    <w:link w:val="73"/>
    <w:qFormat/>
    <w:uiPriority w:val="0"/>
  </w:style>
  <w:style w:type="paragraph" w:styleId="35">
    <w:name w:val="Body Text Indent 2"/>
    <w:basedOn w:val="1"/>
    <w:qFormat/>
    <w:uiPriority w:val="0"/>
    <w:pPr>
      <w:snapToGrid w:val="0"/>
      <w:spacing w:line="440" w:lineRule="atLeast"/>
      <w:ind w:firstLine="570"/>
    </w:pPr>
    <w:rPr>
      <w:rFonts w:ascii="宋体"/>
    </w:rPr>
  </w:style>
  <w:style w:type="paragraph" w:styleId="36">
    <w:name w:val="Balloon Text"/>
    <w:basedOn w:val="1"/>
    <w:qFormat/>
    <w:uiPriority w:val="0"/>
    <w:rPr>
      <w:sz w:val="18"/>
    </w:rPr>
  </w:style>
  <w:style w:type="paragraph" w:styleId="37">
    <w:name w:val="footer"/>
    <w:basedOn w:val="1"/>
    <w:qFormat/>
    <w:uiPriority w:val="0"/>
    <w:pPr>
      <w:tabs>
        <w:tab w:val="center" w:pos="4153"/>
        <w:tab w:val="right" w:pos="8306"/>
      </w:tabs>
      <w:snapToGrid w:val="0"/>
      <w:jc w:val="left"/>
    </w:pPr>
    <w:rPr>
      <w:rFonts w:eastAsia="宋体"/>
      <w:kern w:val="2"/>
      <w:sz w:val="18"/>
      <w:lang w:val="en-US" w:eastAsia="zh-CN"/>
    </w:rPr>
  </w:style>
  <w:style w:type="paragraph" w:styleId="38">
    <w:name w:val="header"/>
    <w:basedOn w:val="1"/>
    <w:qFormat/>
    <w:uiPriority w:val="0"/>
    <w:pPr>
      <w:pBdr>
        <w:bottom w:val="single" w:color="auto" w:sz="6" w:space="1"/>
      </w:pBdr>
      <w:tabs>
        <w:tab w:val="center" w:pos="4153"/>
        <w:tab w:val="right" w:pos="8306"/>
      </w:tabs>
      <w:snapToGrid w:val="0"/>
      <w:jc w:val="center"/>
    </w:pPr>
    <w:rPr>
      <w:rFonts w:eastAsia="宋体"/>
      <w:kern w:val="2"/>
      <w:sz w:val="18"/>
      <w:lang w:val="en-US" w:eastAsia="zh-CN"/>
    </w:rPr>
  </w:style>
  <w:style w:type="paragraph" w:styleId="39">
    <w:name w:val="toc 1"/>
    <w:basedOn w:val="2"/>
    <w:next w:val="1"/>
    <w:qFormat/>
    <w:uiPriority w:val="39"/>
    <w:pPr>
      <w:tabs>
        <w:tab w:val="left" w:pos="1260"/>
        <w:tab w:val="left" w:pos="1685"/>
        <w:tab w:val="right" w:leader="dot" w:pos="8400"/>
        <w:tab w:val="clear" w:pos="3360"/>
      </w:tabs>
      <w:spacing w:line="320" w:lineRule="exact"/>
      <w:ind w:firstLine="280" w:firstLineChars="100"/>
    </w:pPr>
    <w:rPr>
      <w:rFonts w:ascii="Times New Roman" w:hAnsi="Times New Roman" w:eastAsia="宋体"/>
      <w:b/>
    </w:rPr>
  </w:style>
  <w:style w:type="paragraph" w:styleId="40">
    <w:name w:val="List Continue 4"/>
    <w:basedOn w:val="1"/>
    <w:qFormat/>
    <w:uiPriority w:val="0"/>
    <w:pPr>
      <w:adjustRightInd w:val="0"/>
      <w:snapToGrid w:val="0"/>
      <w:spacing w:after="120" w:afterLines="0" w:afterAutospacing="0" w:line="360" w:lineRule="auto"/>
      <w:ind w:left="1680" w:leftChars="800"/>
    </w:pPr>
    <w:rPr>
      <w:sz w:val="24"/>
    </w:rPr>
  </w:style>
  <w:style w:type="paragraph" w:styleId="41">
    <w:name w:val="toc 4"/>
    <w:basedOn w:val="1"/>
    <w:next w:val="1"/>
    <w:qFormat/>
    <w:uiPriority w:val="0"/>
    <w:pPr>
      <w:ind w:left="1260" w:leftChars="600"/>
    </w:pPr>
  </w:style>
  <w:style w:type="paragraph" w:styleId="42">
    <w:name w:val="Subtitle"/>
    <w:basedOn w:val="1"/>
    <w:qFormat/>
    <w:uiPriority w:val="0"/>
    <w:pPr>
      <w:widowControl/>
      <w:jc w:val="center"/>
    </w:pPr>
    <w:rPr>
      <w:kern w:val="0"/>
      <w:sz w:val="20"/>
      <w:u w:val="single"/>
      <w:lang w:eastAsia="en-US"/>
    </w:rPr>
  </w:style>
  <w:style w:type="paragraph" w:styleId="43">
    <w:name w:val="footnote text"/>
    <w:basedOn w:val="1"/>
    <w:qFormat/>
    <w:uiPriority w:val="0"/>
    <w:pPr>
      <w:spacing w:line="360" w:lineRule="auto"/>
    </w:pPr>
    <w:rPr>
      <w:sz w:val="18"/>
    </w:rPr>
  </w:style>
  <w:style w:type="paragraph" w:styleId="44">
    <w:name w:val="toc 6"/>
    <w:basedOn w:val="1"/>
    <w:next w:val="1"/>
    <w:qFormat/>
    <w:uiPriority w:val="0"/>
    <w:pPr>
      <w:ind w:left="2100" w:leftChars="1000"/>
    </w:pPr>
  </w:style>
  <w:style w:type="paragraph" w:styleId="45">
    <w:name w:val="List 5"/>
    <w:basedOn w:val="1"/>
    <w:qFormat/>
    <w:uiPriority w:val="0"/>
    <w:pPr>
      <w:adjustRightInd w:val="0"/>
      <w:snapToGrid w:val="0"/>
      <w:spacing w:line="360" w:lineRule="auto"/>
      <w:ind w:left="100" w:leftChars="800" w:hanging="200" w:hangingChars="200"/>
    </w:pPr>
    <w:rPr>
      <w:sz w:val="24"/>
    </w:rPr>
  </w:style>
  <w:style w:type="paragraph" w:styleId="46">
    <w:name w:val="Body Text Indent 3"/>
    <w:basedOn w:val="1"/>
    <w:qFormat/>
    <w:uiPriority w:val="0"/>
    <w:pPr>
      <w:spacing w:line="360" w:lineRule="auto"/>
      <w:ind w:firstLine="632"/>
    </w:pPr>
    <w:rPr>
      <w:rFonts w:ascii="黑体" w:eastAsia="黑体"/>
    </w:rPr>
  </w:style>
  <w:style w:type="paragraph" w:styleId="47">
    <w:name w:val="table of figures"/>
    <w:basedOn w:val="1"/>
    <w:next w:val="1"/>
    <w:qFormat/>
    <w:uiPriority w:val="0"/>
    <w:pPr>
      <w:tabs>
        <w:tab w:val="right" w:leader="dot" w:pos="8640"/>
      </w:tabs>
      <w:spacing w:line="360" w:lineRule="auto"/>
      <w:ind w:left="400" w:hanging="400"/>
    </w:pPr>
    <w:rPr>
      <w:sz w:val="24"/>
    </w:rPr>
  </w:style>
  <w:style w:type="paragraph" w:styleId="48">
    <w:name w:val="toc 2"/>
    <w:basedOn w:val="3"/>
    <w:next w:val="1"/>
    <w:qFormat/>
    <w:uiPriority w:val="39"/>
    <w:pPr>
      <w:tabs>
        <w:tab w:val="right" w:leader="dot" w:pos="8400"/>
      </w:tabs>
      <w:spacing w:line="440" w:lineRule="exact"/>
      <w:ind w:left="280" w:leftChars="100" w:rightChars="-91"/>
    </w:pPr>
  </w:style>
  <w:style w:type="paragraph" w:styleId="49">
    <w:name w:val="toc 9"/>
    <w:basedOn w:val="1"/>
    <w:next w:val="1"/>
    <w:qFormat/>
    <w:uiPriority w:val="0"/>
    <w:pPr>
      <w:ind w:left="3360" w:leftChars="1600"/>
    </w:pPr>
  </w:style>
  <w:style w:type="paragraph" w:styleId="50">
    <w:name w:val="Body Text 2"/>
    <w:basedOn w:val="1"/>
    <w:qFormat/>
    <w:uiPriority w:val="0"/>
    <w:pPr>
      <w:adjustRightInd w:val="0"/>
      <w:snapToGrid w:val="0"/>
      <w:spacing w:after="120" w:afterLines="0" w:afterAutospacing="0" w:line="480" w:lineRule="auto"/>
    </w:pPr>
    <w:rPr>
      <w:sz w:val="24"/>
    </w:rPr>
  </w:style>
  <w:style w:type="paragraph" w:styleId="51">
    <w:name w:val="List 4"/>
    <w:basedOn w:val="1"/>
    <w:qFormat/>
    <w:uiPriority w:val="0"/>
    <w:pPr>
      <w:adjustRightInd w:val="0"/>
      <w:snapToGrid w:val="0"/>
      <w:spacing w:line="360" w:lineRule="auto"/>
      <w:ind w:left="100" w:leftChars="600" w:hanging="200" w:hangingChars="200"/>
    </w:pPr>
    <w:rPr>
      <w:sz w:val="24"/>
    </w:rPr>
  </w:style>
  <w:style w:type="paragraph" w:styleId="52">
    <w:name w:val="List Continue 2"/>
    <w:basedOn w:val="1"/>
    <w:qFormat/>
    <w:uiPriority w:val="0"/>
    <w:pPr>
      <w:adjustRightInd w:val="0"/>
      <w:snapToGrid w:val="0"/>
      <w:spacing w:after="120" w:afterLines="0" w:afterAutospacing="0" w:line="360" w:lineRule="auto"/>
      <w:ind w:left="840" w:leftChars="400"/>
    </w:pPr>
    <w:rPr>
      <w:sz w:val="24"/>
    </w:rPr>
  </w:style>
  <w:style w:type="paragraph" w:styleId="53">
    <w:name w:val="Normal (Web)"/>
    <w:basedOn w:val="1"/>
    <w:qFormat/>
    <w:uiPriority w:val="0"/>
    <w:pPr>
      <w:widowControl/>
      <w:spacing w:before="100" w:beforeLines="0" w:beforeAutospacing="1" w:after="100" w:afterLines="0" w:afterAutospacing="1"/>
      <w:jc w:val="left"/>
    </w:pPr>
    <w:rPr>
      <w:rFonts w:ascii="Arial Unicode MS" w:hAnsi="Arial Unicode MS" w:eastAsia="Arial Unicode MS"/>
      <w:kern w:val="0"/>
      <w:sz w:val="24"/>
    </w:rPr>
  </w:style>
  <w:style w:type="paragraph" w:styleId="54">
    <w:name w:val="List Continue 3"/>
    <w:basedOn w:val="1"/>
    <w:qFormat/>
    <w:uiPriority w:val="0"/>
    <w:pPr>
      <w:adjustRightInd w:val="0"/>
      <w:snapToGrid w:val="0"/>
      <w:spacing w:after="120" w:afterLines="0" w:afterAutospacing="0" w:line="360" w:lineRule="auto"/>
      <w:ind w:left="1260" w:leftChars="600"/>
    </w:pPr>
    <w:rPr>
      <w:sz w:val="24"/>
    </w:rPr>
  </w:style>
  <w:style w:type="paragraph" w:styleId="55">
    <w:name w:val="index 1"/>
    <w:basedOn w:val="1"/>
    <w:next w:val="1"/>
    <w:qFormat/>
    <w:uiPriority w:val="0"/>
    <w:pPr>
      <w:adjustRightInd w:val="0"/>
      <w:spacing w:line="240" w:lineRule="atLeast"/>
      <w:textAlignment w:val="baseline"/>
    </w:pPr>
    <w:rPr>
      <w:rFonts w:ascii="宋体"/>
      <w:kern w:val="0"/>
      <w:sz w:val="21"/>
    </w:rPr>
  </w:style>
  <w:style w:type="paragraph" w:styleId="56">
    <w:name w:val="Title"/>
    <w:basedOn w:val="1"/>
    <w:qFormat/>
    <w:uiPriority w:val="0"/>
    <w:pPr>
      <w:widowControl/>
      <w:spacing w:after="240" w:afterLines="0" w:afterAutospacing="0" w:line="360" w:lineRule="auto"/>
      <w:jc w:val="center"/>
    </w:pPr>
    <w:rPr>
      <w:rFonts w:ascii="Arial" w:hAnsi="Arial" w:eastAsia="宋体"/>
      <w:b/>
      <w:smallCaps/>
      <w:kern w:val="28"/>
      <w:sz w:val="36"/>
      <w:lang w:val="en-US" w:eastAsia="en-US"/>
    </w:rPr>
  </w:style>
  <w:style w:type="paragraph" w:styleId="57">
    <w:name w:val="annotation subject"/>
    <w:basedOn w:val="19"/>
    <w:next w:val="19"/>
    <w:qFormat/>
    <w:uiPriority w:val="0"/>
    <w:pPr>
      <w:widowControl w:val="0"/>
      <w:tabs>
        <w:tab w:val="clear" w:pos="1134"/>
      </w:tabs>
      <w:adjustRightInd/>
      <w:snapToGrid/>
      <w:spacing w:line="240" w:lineRule="auto"/>
    </w:pPr>
    <w:rPr>
      <w:rFonts w:eastAsia="宋体"/>
      <w:b/>
      <w:kern w:val="2"/>
      <w:sz w:val="21"/>
      <w:lang w:val="en-US" w:eastAsia="zh-CN"/>
    </w:rPr>
  </w:style>
  <w:style w:type="paragraph" w:styleId="58">
    <w:name w:val="Body Text First Indent"/>
    <w:basedOn w:val="22"/>
    <w:next w:val="1"/>
    <w:qFormat/>
    <w:uiPriority w:val="0"/>
    <w:pPr>
      <w:spacing w:line="360" w:lineRule="auto"/>
      <w:ind w:firstLine="420"/>
    </w:pPr>
    <w:rPr>
      <w:rFonts w:ascii="宋体" w:hAnsi="宋体"/>
      <w:sz w:val="24"/>
    </w:rPr>
  </w:style>
  <w:style w:type="paragraph" w:styleId="59">
    <w:name w:val="Body Text First Indent 2"/>
    <w:basedOn w:val="24"/>
    <w:qFormat/>
    <w:uiPriority w:val="0"/>
    <w:pPr>
      <w:spacing w:after="120" w:afterLines="0" w:afterAutospacing="0" w:line="240" w:lineRule="auto"/>
      <w:ind w:left="420" w:leftChars="200" w:firstLine="420" w:firstLineChars="200"/>
    </w:pPr>
    <w:rPr>
      <w:sz w:val="21"/>
    </w:rPr>
  </w:style>
  <w:style w:type="table" w:styleId="61">
    <w:name w:val="Table Grid"/>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3">
    <w:name w:val="Strong"/>
    <w:qFormat/>
    <w:uiPriority w:val="22"/>
    <w:rPr>
      <w:b/>
    </w:rPr>
  </w:style>
  <w:style w:type="character" w:styleId="64">
    <w:name w:val="page number"/>
    <w:basedOn w:val="62"/>
    <w:qFormat/>
    <w:uiPriority w:val="0"/>
  </w:style>
  <w:style w:type="character" w:styleId="65">
    <w:name w:val="FollowedHyperlink"/>
    <w:qFormat/>
    <w:uiPriority w:val="0"/>
    <w:rPr>
      <w:color w:val="800080"/>
      <w:u w:val="single"/>
    </w:rPr>
  </w:style>
  <w:style w:type="character" w:styleId="66">
    <w:name w:val="Emphasis"/>
    <w:qFormat/>
    <w:uiPriority w:val="0"/>
    <w:rPr>
      <w:i/>
    </w:rPr>
  </w:style>
  <w:style w:type="character" w:styleId="67">
    <w:name w:val="Hyperlink"/>
    <w:qFormat/>
    <w:uiPriority w:val="99"/>
    <w:rPr>
      <w:color w:val="0000FF"/>
      <w:u w:val="single"/>
    </w:rPr>
  </w:style>
  <w:style w:type="character" w:styleId="68">
    <w:name w:val="annotation reference"/>
    <w:qFormat/>
    <w:uiPriority w:val="0"/>
    <w:rPr>
      <w:sz w:val="21"/>
    </w:rPr>
  </w:style>
  <w:style w:type="character" w:styleId="69">
    <w:name w:val="footnote reference"/>
    <w:qFormat/>
    <w:uiPriority w:val="0"/>
    <w:rPr>
      <w:position w:val="6"/>
      <w:sz w:val="14"/>
      <w:vertAlign w:val="superscript"/>
    </w:rPr>
  </w:style>
  <w:style w:type="paragraph" w:customStyle="1" w:styleId="70">
    <w:name w:val="目录 53"/>
    <w:next w:val="1"/>
    <w:qFormat/>
    <w:uiPriority w:val="0"/>
    <w:pPr>
      <w:wordWrap w:val="0"/>
      <w:ind w:left="1275"/>
      <w:jc w:val="both"/>
    </w:pPr>
    <w:rPr>
      <w:rFonts w:ascii="Times New Roman" w:hAnsi="Times New Roman" w:eastAsia="宋体" w:cs="Times New Roman"/>
      <w:sz w:val="21"/>
      <w:lang w:val="en-US" w:eastAsia="zh-CN" w:bidi="ar-SA"/>
    </w:rPr>
  </w:style>
  <w:style w:type="character" w:customStyle="1" w:styleId="71">
    <w:name w:val="标题 2 Char"/>
    <w:link w:val="3"/>
    <w:qFormat/>
    <w:uiPriority w:val="0"/>
    <w:rPr>
      <w:rFonts w:ascii="宋体" w:hAnsi="宋体"/>
      <w:kern w:val="2"/>
      <w:sz w:val="28"/>
    </w:rPr>
  </w:style>
  <w:style w:type="character" w:customStyle="1" w:styleId="72">
    <w:name w:val="批注文字 Char"/>
    <w:link w:val="19"/>
    <w:qFormat/>
    <w:uiPriority w:val="0"/>
    <w:rPr>
      <w:rFonts w:eastAsia="PMingLiU"/>
      <w:sz w:val="24"/>
      <w:lang w:eastAsia="zh-TW"/>
    </w:rPr>
  </w:style>
  <w:style w:type="character" w:customStyle="1" w:styleId="73">
    <w:name w:val="日期 Char"/>
    <w:link w:val="34"/>
    <w:qFormat/>
    <w:uiPriority w:val="0"/>
    <w:rPr>
      <w:kern w:val="2"/>
      <w:sz w:val="28"/>
    </w:rPr>
  </w:style>
  <w:style w:type="character" w:customStyle="1" w:styleId="74">
    <w:name w:val="正文 + 三号 Char"/>
    <w:qFormat/>
    <w:uiPriority w:val="0"/>
    <w:rPr>
      <w:rFonts w:eastAsia="宋体"/>
      <w:kern w:val="2"/>
      <w:sz w:val="21"/>
      <w:lang w:val="en-US" w:eastAsia="zh-CN"/>
    </w:rPr>
  </w:style>
  <w:style w:type="character" w:customStyle="1" w:styleId="75">
    <w:name w:val="content-white1"/>
    <w:qFormat/>
    <w:uiPriority w:val="0"/>
    <w:rPr>
      <w:rFonts w:ascii="_x000B__x000C_" w:hAnsi="_x000B__x000C_"/>
      <w:color w:val="auto"/>
      <w:sz w:val="18"/>
      <w:u w:val="none"/>
    </w:rPr>
  </w:style>
  <w:style w:type="character" w:customStyle="1" w:styleId="76">
    <w:name w:val=" Char Char"/>
    <w:qFormat/>
    <w:uiPriority w:val="0"/>
    <w:rPr>
      <w:rFonts w:ascii="宋体" w:hAnsi="宋体" w:eastAsia="宋体"/>
      <w:kern w:val="2"/>
      <w:sz w:val="24"/>
      <w:lang w:val="en-US" w:eastAsia="zh-CN" w:bidi="ar-SA"/>
    </w:rPr>
  </w:style>
  <w:style w:type="character" w:customStyle="1" w:styleId="77">
    <w:name w:val=" Char Char5"/>
    <w:qFormat/>
    <w:uiPriority w:val="0"/>
    <w:rPr>
      <w:rFonts w:ascii="Arial" w:hAnsi="Arial" w:eastAsia="宋体"/>
      <w:b/>
      <w:smallCaps/>
      <w:kern w:val="28"/>
      <w:sz w:val="36"/>
      <w:lang w:val="en-US" w:eastAsia="en-US"/>
    </w:rPr>
  </w:style>
  <w:style w:type="character" w:customStyle="1" w:styleId="78">
    <w:name w:val=" Char Char4"/>
    <w:qFormat/>
    <w:uiPriority w:val="0"/>
    <w:rPr>
      <w:rFonts w:eastAsia="宋体"/>
      <w:b/>
      <w:kern w:val="2"/>
      <w:sz w:val="21"/>
      <w:lang w:val="en-US" w:eastAsia="zh-CN"/>
    </w:rPr>
  </w:style>
  <w:style w:type="character" w:customStyle="1" w:styleId="79">
    <w:name w:val="样式 宋体"/>
    <w:qFormat/>
    <w:uiPriority w:val="0"/>
    <w:rPr>
      <w:rFonts w:ascii="宋体" w:hAnsi="宋体" w:eastAsia="宋体"/>
      <w:sz w:val="28"/>
    </w:rPr>
  </w:style>
  <w:style w:type="character" w:customStyle="1" w:styleId="80">
    <w:name w:val=" Char Char7"/>
    <w:qFormat/>
    <w:uiPriority w:val="0"/>
    <w:rPr>
      <w:rFonts w:ascii="宋体" w:hAnsi="宋体" w:eastAsia="宋体"/>
      <w:kern w:val="2"/>
      <w:sz w:val="28"/>
    </w:rPr>
  </w:style>
  <w:style w:type="character" w:customStyle="1" w:styleId="81">
    <w:name w:val=" Char Char6"/>
    <w:qFormat/>
    <w:uiPriority w:val="0"/>
    <w:rPr>
      <w:rFonts w:ascii="仿宋_GB2312" w:eastAsia="仿宋_GB2312"/>
      <w:kern w:val="2"/>
      <w:sz w:val="32"/>
    </w:rPr>
  </w:style>
  <w:style w:type="character" w:customStyle="1" w:styleId="82">
    <w:name w:val=" Char Char2"/>
    <w:qFormat/>
    <w:uiPriority w:val="0"/>
    <w:rPr>
      <w:rFonts w:eastAsia="宋体"/>
      <w:kern w:val="2"/>
      <w:sz w:val="18"/>
      <w:lang w:val="en-US" w:eastAsia="zh-CN"/>
    </w:rPr>
  </w:style>
  <w:style w:type="character" w:customStyle="1" w:styleId="83">
    <w:name w:val="font1"/>
    <w:qFormat/>
    <w:uiPriority w:val="0"/>
    <w:rPr>
      <w:color w:val="000000"/>
      <w:sz w:val="18"/>
    </w:rPr>
  </w:style>
  <w:style w:type="character" w:customStyle="1" w:styleId="84">
    <w:name w:val="小 Char"/>
    <w:qFormat/>
    <w:uiPriority w:val="0"/>
    <w:rPr>
      <w:rFonts w:ascii="宋体" w:hAnsi="Courier New" w:eastAsia="宋体"/>
      <w:kern w:val="2"/>
      <w:sz w:val="21"/>
      <w:lang w:val="en-US" w:eastAsia="zh-CN" w:bidi="ar-SA"/>
    </w:rPr>
  </w:style>
  <w:style w:type="character" w:customStyle="1" w:styleId="85">
    <w:name w:val="v151"/>
    <w:qFormat/>
    <w:uiPriority w:val="0"/>
    <w:rPr>
      <w:sz w:val="18"/>
    </w:rPr>
  </w:style>
  <w:style w:type="character" w:customStyle="1" w:styleId="86">
    <w:name w:val="Table Text Char Char Char Char"/>
    <w:qFormat/>
    <w:uiPriority w:val="0"/>
    <w:rPr>
      <w:rFonts w:ascii="Arial" w:hAnsi="Arial"/>
      <w:kern w:val="2"/>
      <w:sz w:val="18"/>
      <w:lang w:val="en-US" w:eastAsia="zh-CN" w:bidi="ar-SA"/>
    </w:rPr>
  </w:style>
  <w:style w:type="character" w:customStyle="1" w:styleId="87">
    <w:name w:val="Table Text Char1 Char"/>
    <w:qFormat/>
    <w:uiPriority w:val="0"/>
    <w:rPr>
      <w:rFonts w:ascii="Arial" w:hAnsi="Arial"/>
      <w:kern w:val="2"/>
      <w:sz w:val="18"/>
      <w:lang w:val="en-US" w:eastAsia="zh-CN" w:bidi="ar-SA"/>
    </w:rPr>
  </w:style>
  <w:style w:type="character" w:customStyle="1" w:styleId="88">
    <w:name w:val="Table Text Char"/>
    <w:qFormat/>
    <w:uiPriority w:val="0"/>
    <w:rPr>
      <w:rFonts w:ascii="Arial" w:hAnsi="Arial"/>
      <w:kern w:val="2"/>
      <w:sz w:val="18"/>
      <w:lang w:val="en-US" w:eastAsia="zh-CN" w:bidi="ar-SA"/>
    </w:rPr>
  </w:style>
  <w:style w:type="character" w:customStyle="1" w:styleId="89">
    <w:name w:val="文字 Char"/>
    <w:link w:val="90"/>
    <w:qFormat/>
    <w:uiPriority w:val="0"/>
    <w:rPr>
      <w:rFonts w:ascii="宋体" w:eastAsia="宋体"/>
      <w:kern w:val="2"/>
      <w:sz w:val="28"/>
      <w:lang w:val="en-US" w:eastAsia="zh-CN" w:bidi="ar-SA"/>
    </w:rPr>
  </w:style>
  <w:style w:type="paragraph" w:customStyle="1" w:styleId="90">
    <w:name w:val="文字"/>
    <w:basedOn w:val="1"/>
    <w:link w:val="89"/>
    <w:qFormat/>
    <w:uiPriority w:val="0"/>
    <w:pPr>
      <w:tabs>
        <w:tab w:val="left" w:pos="8520"/>
      </w:tabs>
      <w:spacing w:line="312" w:lineRule="auto"/>
      <w:ind w:right="-210" w:firstLine="556"/>
    </w:pPr>
    <w:rPr>
      <w:rFonts w:ascii="宋体"/>
    </w:rPr>
  </w:style>
  <w:style w:type="character" w:customStyle="1" w:styleId="91">
    <w:name w:val="标书正文:  0.74 厘米 Char1"/>
    <w:qFormat/>
    <w:uiPriority w:val="0"/>
    <w:rPr>
      <w:rFonts w:eastAsia="宋体"/>
      <w:kern w:val="2"/>
      <w:sz w:val="24"/>
      <w:lang w:val="en-US" w:eastAsia="zh-CN"/>
    </w:rPr>
  </w:style>
  <w:style w:type="character" w:customStyle="1" w:styleId="92">
    <w:name w:val="crowed11"/>
    <w:qFormat/>
    <w:uiPriority w:val="0"/>
    <w:rPr>
      <w:rFonts w:hint="default" w:ascii="_x000B__x000C_" w:hAnsi="_x000B__x000C_"/>
      <w:sz w:val="24"/>
    </w:rPr>
  </w:style>
  <w:style w:type="character" w:customStyle="1" w:styleId="93">
    <w:name w:val="Table Heading Char Char"/>
    <w:qFormat/>
    <w:uiPriority w:val="0"/>
    <w:rPr>
      <w:rFonts w:ascii="Arial" w:hAnsi="Arial" w:eastAsia="黑体"/>
      <w:kern w:val="2"/>
      <w:sz w:val="18"/>
      <w:lang w:val="en-US" w:eastAsia="zh-CN"/>
    </w:rPr>
  </w:style>
  <w:style w:type="character" w:customStyle="1" w:styleId="94">
    <w:name w:val="未命名11"/>
    <w:qFormat/>
    <w:uiPriority w:val="0"/>
    <w:rPr>
      <w:color w:val="77FFFF"/>
      <w:sz w:val="24"/>
    </w:rPr>
  </w:style>
  <w:style w:type="character" w:customStyle="1" w:styleId="95">
    <w:name w:val=" Char Char3"/>
    <w:qFormat/>
    <w:uiPriority w:val="0"/>
    <w:rPr>
      <w:rFonts w:eastAsia="宋体"/>
      <w:kern w:val="2"/>
      <w:sz w:val="18"/>
      <w:lang w:val="en-US" w:eastAsia="zh-CN"/>
    </w:rPr>
  </w:style>
  <w:style w:type="character" w:customStyle="1" w:styleId="96">
    <w:name w:val="top-det1"/>
    <w:qFormat/>
    <w:uiPriority w:val="0"/>
    <w:rPr>
      <w:b/>
      <w:color w:val="000000"/>
    </w:rPr>
  </w:style>
  <w:style w:type="paragraph" w:customStyle="1" w:styleId="97">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98">
    <w:name w:val="样式 标题 1章标题Heading 0Section HeadPIM 1H1h11st levell11H1..."/>
    <w:basedOn w:val="2"/>
    <w:qFormat/>
    <w:uiPriority w:val="0"/>
    <w:pPr>
      <w:keepLines/>
      <w:pageBreakBefore/>
      <w:tabs>
        <w:tab w:val="left" w:pos="432"/>
        <w:tab w:val="clear" w:pos="3360"/>
      </w:tabs>
      <w:autoSpaceDE w:val="0"/>
      <w:autoSpaceDN w:val="0"/>
      <w:adjustRightInd w:val="0"/>
      <w:spacing w:before="340" w:beforeLines="0" w:beforeAutospacing="0" w:after="330" w:afterLines="0" w:afterAutospacing="0" w:line="578" w:lineRule="atLeast"/>
      <w:jc w:val="both"/>
      <w:textAlignment w:val="bottom"/>
    </w:pPr>
    <w:rPr>
      <w:rFonts w:ascii="宋体" w:hAnsi="宋体"/>
      <w:b/>
      <w:kern w:val="44"/>
      <w:sz w:val="36"/>
    </w:rPr>
  </w:style>
  <w:style w:type="paragraph" w:customStyle="1" w:styleId="99">
    <w:name w:val="xl23"/>
    <w:basedOn w:val="1"/>
    <w:qFormat/>
    <w:uiPriority w:val="0"/>
    <w:pPr>
      <w:widowControl/>
      <w:spacing w:before="100" w:beforeLines="0" w:beforeAutospacing="1" w:after="100" w:afterLines="0" w:afterAutospacing="1" w:line="360" w:lineRule="auto"/>
      <w:textAlignment w:val="top"/>
    </w:pPr>
    <w:rPr>
      <w:kern w:val="0"/>
      <w:sz w:val="24"/>
    </w:rPr>
  </w:style>
  <w:style w:type="paragraph" w:customStyle="1" w:styleId="100">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01">
    <w:name w:val="操作步骤"/>
    <w:basedOn w:val="1"/>
    <w:qFormat/>
    <w:uiPriority w:val="0"/>
    <w:pPr>
      <w:numPr>
        <w:ilvl w:val="0"/>
        <w:numId w:val="6"/>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102">
    <w:name w:val="标题3——2"/>
    <w:basedOn w:val="4"/>
    <w:next w:val="58"/>
    <w:qFormat/>
    <w:uiPriority w:val="0"/>
    <w:pPr>
      <w:tabs>
        <w:tab w:val="left" w:pos="1280"/>
        <w:tab w:val="right" w:leader="dot" w:pos="8777"/>
      </w:tabs>
      <w:spacing w:before="312" w:beforeLines="100" w:beforeAutospacing="0" w:after="0" w:afterLines="0" w:afterAutospacing="0" w:line="240" w:lineRule="auto"/>
      <w:ind w:left="851" w:hanging="851"/>
      <w:jc w:val="both"/>
      <w:outlineLvl w:val="9"/>
    </w:pPr>
    <w:rPr>
      <w:rFonts w:ascii="黑体" w:hAnsi="宋体" w:eastAsia="黑体"/>
      <w:sz w:val="30"/>
    </w:rPr>
  </w:style>
  <w:style w:type="paragraph" w:customStyle="1" w:styleId="103">
    <w:name w:val=" Char Char1"/>
    <w:basedOn w:val="1"/>
    <w:qFormat/>
    <w:uiPriority w:val="0"/>
    <w:pPr>
      <w:widowControl/>
      <w:spacing w:after="160" w:afterLines="0" w:afterAutospacing="0" w:line="240" w:lineRule="exact"/>
      <w:jc w:val="left"/>
    </w:pPr>
    <w:rPr>
      <w:rFonts w:ascii="Verdana" w:hAnsi="Verdana"/>
      <w:kern w:val="0"/>
      <w:sz w:val="20"/>
      <w:lang w:eastAsia="en-US"/>
    </w:rPr>
  </w:style>
  <w:style w:type="paragraph" w:customStyle="1" w:styleId="104">
    <w:name w:val="正文（首行不缩进）"/>
    <w:basedOn w:val="1"/>
    <w:qFormat/>
    <w:uiPriority w:val="0"/>
    <w:pPr>
      <w:autoSpaceDE w:val="0"/>
      <w:autoSpaceDN w:val="0"/>
      <w:adjustRightInd w:val="0"/>
      <w:spacing w:line="360" w:lineRule="auto"/>
      <w:jc w:val="left"/>
    </w:pPr>
    <w:rPr>
      <w:kern w:val="0"/>
      <w:sz w:val="21"/>
    </w:rPr>
  </w:style>
  <w:style w:type="paragraph" w:customStyle="1" w:styleId="105">
    <w:name w:val="1.正文"/>
    <w:basedOn w:val="1"/>
    <w:qFormat/>
    <w:uiPriority w:val="0"/>
    <w:pPr>
      <w:spacing w:line="360" w:lineRule="auto"/>
      <w:ind w:left="540" w:leftChars="225" w:firstLine="540" w:firstLineChars="225"/>
    </w:pPr>
    <w:rPr>
      <w:sz w:val="24"/>
    </w:rPr>
  </w:style>
  <w:style w:type="paragraph" w:customStyle="1" w:styleId="106">
    <w:name w:val="Item List"/>
    <w:qFormat/>
    <w:uiPriority w:val="0"/>
    <w:pPr>
      <w:numPr>
        <w:ilvl w:val="0"/>
        <w:numId w:val="7"/>
      </w:numPr>
      <w:spacing w:line="300" w:lineRule="auto"/>
      <w:jc w:val="both"/>
    </w:pPr>
    <w:rPr>
      <w:rFonts w:ascii="Arial" w:hAnsi="Arial" w:eastAsia="宋体" w:cs="Times New Roman"/>
      <w:sz w:val="21"/>
      <w:lang w:val="en-US" w:eastAsia="zh-CN" w:bidi="ar-SA"/>
    </w:rPr>
  </w:style>
  <w:style w:type="paragraph" w:customStyle="1" w:styleId="107">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108">
    <w:name w:val="Title - Revision"/>
    <w:basedOn w:val="56"/>
    <w:qFormat/>
    <w:uiPriority w:val="0"/>
    <w:pPr>
      <w:spacing w:before="720" w:beforeLines="0" w:beforeAutospacing="0"/>
    </w:pPr>
  </w:style>
  <w:style w:type="paragraph" w:customStyle="1" w:styleId="109">
    <w:name w:val="样式 宋体 五号 两端对齐 行距: 单倍行距"/>
    <w:basedOn w:val="1"/>
    <w:qFormat/>
    <w:uiPriority w:val="0"/>
    <w:pPr>
      <w:adjustRightInd w:val="0"/>
      <w:textAlignment w:val="baseline"/>
    </w:pPr>
    <w:rPr>
      <w:rFonts w:ascii="宋体" w:hAnsi="宋体"/>
      <w:kern w:val="0"/>
      <w:sz w:val="21"/>
    </w:rPr>
  </w:style>
  <w:style w:type="paragraph" w:customStyle="1" w:styleId="110">
    <w:name w:val="图片文字"/>
    <w:basedOn w:val="1"/>
    <w:qFormat/>
    <w:uiPriority w:val="0"/>
    <w:pPr>
      <w:spacing w:line="240" w:lineRule="atLeast"/>
      <w:jc w:val="center"/>
    </w:pPr>
    <w:rPr>
      <w:sz w:val="21"/>
    </w:rPr>
  </w:style>
  <w:style w:type="paragraph" w:customStyle="1" w:styleId="111">
    <w:name w:val="Table Contents"/>
    <w:basedOn w:val="22"/>
    <w:qFormat/>
    <w:uiPriority w:val="0"/>
    <w:pPr>
      <w:suppressAutoHyphens/>
      <w:jc w:val="left"/>
    </w:pPr>
    <w:rPr>
      <w:rFonts w:ascii="Times New Roman" w:eastAsia="Times New Roman"/>
      <w:kern w:val="0"/>
      <w:sz w:val="24"/>
    </w:rPr>
  </w:style>
  <w:style w:type="paragraph" w:customStyle="1" w:styleId="112">
    <w:name w:val="表格文本"/>
    <w:qFormat/>
    <w:uiPriority w:val="0"/>
    <w:pPr>
      <w:tabs>
        <w:tab w:val="decimal" w:pos="0"/>
      </w:tabs>
    </w:pPr>
    <w:rPr>
      <w:rFonts w:ascii="Arial" w:hAnsi="Arial" w:eastAsia="宋体" w:cs="Times New Roman"/>
      <w:sz w:val="21"/>
      <w:lang w:val="en-US" w:eastAsia="zh-CN" w:bidi="ar-SA"/>
    </w:rPr>
  </w:style>
  <w:style w:type="paragraph" w:customStyle="1" w:styleId="113">
    <w:name w:val="style1"/>
    <w:basedOn w:val="1"/>
    <w:qFormat/>
    <w:uiPriority w:val="0"/>
    <w:pPr>
      <w:widowControl/>
      <w:spacing w:before="100" w:beforeLines="0" w:beforeAutospacing="1" w:after="100" w:afterLines="0" w:afterAutospacing="1"/>
      <w:jc w:val="left"/>
    </w:pPr>
    <w:rPr>
      <w:rFonts w:ascii="宋体" w:hAnsi="宋体"/>
      <w:kern w:val="0"/>
      <w:sz w:val="21"/>
    </w:rPr>
  </w:style>
  <w:style w:type="paragraph" w:customStyle="1" w:styleId="114">
    <w:name w:val=" Char Char1 Char Char Char Char Char Char Char Char Char Char Char Char Char Char"/>
    <w:basedOn w:val="1"/>
    <w:qFormat/>
    <w:uiPriority w:val="0"/>
    <w:pPr>
      <w:widowControl/>
      <w:spacing w:after="160" w:afterLines="0" w:afterAutospacing="0" w:line="240" w:lineRule="exact"/>
      <w:jc w:val="left"/>
    </w:pPr>
    <w:rPr>
      <w:rFonts w:ascii="Verdana" w:hAnsi="Verdana"/>
      <w:kern w:val="0"/>
      <w:sz w:val="20"/>
      <w:lang w:eastAsia="en-US"/>
    </w:rPr>
  </w:style>
  <w:style w:type="paragraph" w:customStyle="1" w:styleId="115">
    <w:name w:val="xl27"/>
    <w:basedOn w:val="1"/>
    <w:qFormat/>
    <w:uiPriority w:val="0"/>
    <w:pPr>
      <w:widowControl/>
      <w:pBdr>
        <w:left w:val="single" w:color="auto" w:sz="8"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kern w:val="0"/>
      <w:sz w:val="21"/>
    </w:rPr>
  </w:style>
  <w:style w:type="paragraph" w:customStyle="1" w:styleId="116">
    <w:name w:val="Style Heading 3h3Heading 3 - oldLevel 3 HeadH3level_3PIM 3se..."/>
    <w:basedOn w:val="4"/>
    <w:qFormat/>
    <w:uiPriority w:val="0"/>
    <w:pPr>
      <w:numPr>
        <w:ilvl w:val="2"/>
        <w:numId w:val="8"/>
      </w:numPr>
      <w:jc w:val="both"/>
    </w:pPr>
    <w:rPr>
      <w:sz w:val="32"/>
    </w:rPr>
  </w:style>
  <w:style w:type="paragraph" w:customStyle="1" w:styleId="117">
    <w:name w:val="样式3"/>
    <w:basedOn w:val="2"/>
    <w:next w:val="2"/>
    <w:qFormat/>
    <w:uiPriority w:val="0"/>
    <w:pPr>
      <w:keepLines/>
      <w:tabs>
        <w:tab w:val="clear" w:pos="3360"/>
      </w:tabs>
      <w:adjustRightInd w:val="0"/>
      <w:spacing w:before="340" w:beforeLines="0" w:beforeAutospacing="0" w:after="330" w:afterLines="0" w:afterAutospacing="0" w:line="576" w:lineRule="auto"/>
      <w:jc w:val="both"/>
    </w:pPr>
    <w:rPr>
      <w:b/>
      <w:kern w:val="44"/>
    </w:rPr>
  </w:style>
  <w:style w:type="paragraph" w:customStyle="1" w:styleId="118">
    <w:name w:val="Table Text Char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19">
    <w:name w:val="标题2"/>
    <w:basedOn w:val="3"/>
    <w:qFormat/>
    <w:uiPriority w:val="0"/>
    <w:pPr>
      <w:keepNext w:val="0"/>
      <w:keepLines w:val="0"/>
      <w:snapToGrid w:val="0"/>
      <w:spacing w:before="0" w:beforeLines="0" w:beforeAutospacing="0" w:after="0" w:afterLines="0" w:afterAutospacing="0"/>
      <w:ind w:firstLine="574" w:firstLineChars="196"/>
      <w:outlineLvl w:val="9"/>
    </w:pPr>
    <w:rPr>
      <w:b/>
      <w:spacing w:val="6"/>
      <w:u w:val="single"/>
    </w:rPr>
  </w:style>
  <w:style w:type="paragraph" w:customStyle="1" w:styleId="120">
    <w:name w:val="首行缩进"/>
    <w:basedOn w:val="1"/>
    <w:qFormat/>
    <w:uiPriority w:val="0"/>
    <w:pPr>
      <w:spacing w:line="360" w:lineRule="auto"/>
      <w:ind w:firstLine="420" w:firstLineChars="200"/>
    </w:pPr>
    <w:rPr>
      <w:sz w:val="21"/>
    </w:rPr>
  </w:style>
  <w:style w:type="paragraph" w:customStyle="1" w:styleId="121">
    <w:name w:val="标准正文"/>
    <w:basedOn w:val="24"/>
    <w:qFormat/>
    <w:uiPriority w:val="0"/>
    <w:pPr>
      <w:spacing w:before="60" w:beforeLines="0" w:beforeAutospacing="0" w:after="60" w:afterLines="0" w:afterAutospacing="0" w:line="360" w:lineRule="auto"/>
      <w:ind w:left="0" w:firstLine="482"/>
    </w:pPr>
    <w:rPr>
      <w:rFonts w:ascii="Arial" w:hAnsi="Arial"/>
      <w:sz w:val="24"/>
    </w:rPr>
  </w:style>
  <w:style w:type="paragraph" w:customStyle="1" w:styleId="122">
    <w:name w:val="表格内文字"/>
    <w:basedOn w:val="32"/>
    <w:qFormat/>
    <w:uiPriority w:val="0"/>
    <w:pPr>
      <w:snapToGrid/>
      <w:spacing w:line="240" w:lineRule="auto"/>
    </w:pPr>
    <w:rPr>
      <w:color w:val="000000"/>
      <w:lang w:val="en-GB"/>
    </w:rPr>
  </w:style>
  <w:style w:type="paragraph" w:customStyle="1" w:styleId="123">
    <w:name w:val="标书正文:  0.74 厘米"/>
    <w:basedOn w:val="1"/>
    <w:qFormat/>
    <w:uiPriority w:val="0"/>
    <w:pPr>
      <w:snapToGrid w:val="0"/>
      <w:spacing w:line="360" w:lineRule="auto"/>
      <w:ind w:firstLine="420"/>
    </w:pPr>
    <w:rPr>
      <w:rFonts w:eastAsia="宋体"/>
      <w:kern w:val="2"/>
      <w:sz w:val="24"/>
      <w:lang w:val="en-US" w:eastAsia="zh-CN"/>
    </w:rPr>
  </w:style>
  <w:style w:type="paragraph" w:customStyle="1" w:styleId="124">
    <w:name w:val="表号"/>
    <w:basedOn w:val="1"/>
    <w:qFormat/>
    <w:uiPriority w:val="0"/>
    <w:pPr>
      <w:numPr>
        <w:ilvl w:val="0"/>
        <w:numId w:val="9"/>
      </w:numPr>
      <w:tabs>
        <w:tab w:val="left" w:pos="648"/>
        <w:tab w:val="clear" w:pos="360"/>
      </w:tabs>
      <w:autoSpaceDE w:val="0"/>
      <w:autoSpaceDN w:val="0"/>
      <w:adjustRightInd w:val="0"/>
      <w:spacing w:before="210" w:beforeLines="0" w:after="210" w:afterLines="0"/>
      <w:ind w:left="425" w:hanging="137"/>
      <w:jc w:val="center"/>
    </w:pPr>
    <w:rPr>
      <w:kern w:val="0"/>
      <w:sz w:val="21"/>
      <w:lang w:eastAsia="en-US"/>
    </w:rPr>
  </w:style>
  <w:style w:type="paragraph" w:customStyle="1" w:styleId="125">
    <w:name w:val="样式 标题 6第五层条 + 三号 段前: 0.5 行"/>
    <w:basedOn w:val="7"/>
    <w:qFormat/>
    <w:uiPriority w:val="0"/>
    <w:pPr>
      <w:widowControl/>
      <w:numPr>
        <w:ilvl w:val="5"/>
        <w:numId w:val="0"/>
      </w:numPr>
      <w:adjustRightInd/>
      <w:snapToGrid/>
      <w:spacing w:before="156" w:beforeLines="50" w:beforeAutospacing="0"/>
      <w:ind w:left="1152" w:hanging="1152"/>
      <w:jc w:val="left"/>
    </w:pPr>
    <w:rPr>
      <w:snapToGrid w:val="0"/>
      <w:kern w:val="24"/>
      <w:sz w:val="28"/>
    </w:rPr>
  </w:style>
  <w:style w:type="paragraph" w:customStyle="1" w:styleId="126">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127">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128">
    <w:name w:val="关键词"/>
    <w:basedOn w:val="1"/>
    <w:next w:val="1"/>
    <w:qFormat/>
    <w:uiPriority w:val="0"/>
    <w:pPr>
      <w:spacing w:line="360" w:lineRule="auto"/>
    </w:pPr>
    <w:rPr>
      <w:rFonts w:eastAsia="黑体"/>
      <w:sz w:val="20"/>
    </w:rPr>
  </w:style>
  <w:style w:type="paragraph" w:customStyle="1" w:styleId="129">
    <w:name w:val="列表项目"/>
    <w:basedOn w:val="1"/>
    <w:qFormat/>
    <w:uiPriority w:val="0"/>
    <w:pPr>
      <w:numPr>
        <w:ilvl w:val="0"/>
        <w:numId w:val="10"/>
      </w:numPr>
      <w:tabs>
        <w:tab w:val="left" w:pos="420"/>
        <w:tab w:val="clear" w:pos="980"/>
      </w:tabs>
      <w:spacing w:line="288" w:lineRule="auto"/>
      <w:ind w:left="840" w:leftChars="200" w:hanging="420" w:hangingChars="200"/>
    </w:pPr>
    <w:rPr>
      <w:sz w:val="21"/>
    </w:rPr>
  </w:style>
  <w:style w:type="paragraph" w:customStyle="1" w:styleId="130">
    <w:name w:val=" Char Char Char Char Char Char Char"/>
    <w:basedOn w:val="1"/>
    <w:qFormat/>
    <w:uiPriority w:val="0"/>
    <w:pPr>
      <w:widowControl/>
      <w:spacing w:after="160" w:afterLines="0" w:line="240" w:lineRule="exact"/>
      <w:jc w:val="left"/>
    </w:pPr>
    <w:rPr>
      <w:rFonts w:ascii="Verdana" w:hAnsi="Verdana" w:eastAsia="仿宋_GB2312"/>
      <w:kern w:val="0"/>
      <w:sz w:val="24"/>
      <w:lang w:eastAsia="en-US"/>
    </w:rPr>
  </w:style>
  <w:style w:type="paragraph" w:customStyle="1" w:styleId="131">
    <w:name w:val="content"/>
    <w:basedOn w:val="1"/>
    <w:qFormat/>
    <w:uiPriority w:val="0"/>
    <w:pPr>
      <w:widowControl/>
      <w:spacing w:before="100" w:beforeLines="0" w:beforeAutospacing="1" w:after="100" w:afterLines="0" w:afterAutospacing="1" w:line="280" w:lineRule="atLeast"/>
      <w:ind w:firstLine="375"/>
      <w:jc w:val="left"/>
    </w:pPr>
    <w:rPr>
      <w:rFonts w:ascii="宋体" w:hAnsi="宋体"/>
      <w:color w:val="000000"/>
      <w:kern w:val="0"/>
      <w:sz w:val="18"/>
    </w:rPr>
  </w:style>
  <w:style w:type="paragraph" w:customStyle="1" w:styleId="132">
    <w:name w:val="00"/>
    <w:basedOn w:val="1"/>
    <w:qFormat/>
    <w:uiPriority w:val="0"/>
    <w:pPr>
      <w:autoSpaceDE w:val="0"/>
      <w:autoSpaceDN w:val="0"/>
      <w:adjustRightInd w:val="0"/>
      <w:jc w:val="left"/>
    </w:pPr>
    <w:rPr>
      <w:rFonts w:ascii="黑体" w:eastAsia="黑体"/>
      <w:b/>
      <w:kern w:val="0"/>
      <w:sz w:val="20"/>
    </w:rPr>
  </w:style>
  <w:style w:type="paragraph" w:customStyle="1" w:styleId="133">
    <w:name w:val="正文字缩2字"/>
    <w:basedOn w:val="1"/>
    <w:qFormat/>
    <w:uiPriority w:val="0"/>
    <w:pPr>
      <w:spacing w:before="60" w:beforeLines="0" w:beforeAutospacing="0" w:after="60" w:afterLines="0" w:afterAutospacing="0" w:line="360" w:lineRule="auto"/>
      <w:ind w:left="200" w:leftChars="200" w:firstLine="200" w:firstLineChars="200"/>
    </w:pPr>
    <w:rPr>
      <w:sz w:val="24"/>
    </w:rPr>
  </w:style>
  <w:style w:type="paragraph" w:customStyle="1" w:styleId="134">
    <w:name w:val="bt"/>
    <w:basedOn w:val="1"/>
    <w:next w:val="22"/>
    <w:qFormat/>
    <w:uiPriority w:val="0"/>
    <w:pPr>
      <w:numPr>
        <w:ilvl w:val="0"/>
        <w:numId w:val="0"/>
      </w:numPr>
      <w:overflowPunct w:val="0"/>
      <w:autoSpaceDE w:val="0"/>
      <w:autoSpaceDN w:val="0"/>
      <w:adjustRightInd w:val="0"/>
      <w:snapToGrid w:val="0"/>
      <w:spacing w:before="100" w:beforeLines="0" w:beforeAutospacing="0" w:after="100" w:afterLines="0" w:afterAutospacing="0" w:line="240" w:lineRule="atLeast"/>
      <w:ind w:left="2880" w:hanging="360"/>
      <w:textAlignment w:val="baseline"/>
    </w:pPr>
    <w:rPr>
      <w:rFonts w:ascii="宋体"/>
      <w:kern w:val="0"/>
      <w:sz w:val="20"/>
    </w:rPr>
  </w:style>
  <w:style w:type="paragraph" w:customStyle="1" w:styleId="135">
    <w:name w:val="正文1"/>
    <w:basedOn w:val="1"/>
    <w:qFormat/>
    <w:uiPriority w:val="0"/>
    <w:pPr>
      <w:spacing w:line="300" w:lineRule="auto"/>
      <w:ind w:firstLine="200" w:firstLineChars="200"/>
    </w:pPr>
    <w:rPr>
      <w:sz w:val="24"/>
    </w:rPr>
  </w:style>
  <w:style w:type="paragraph" w:customStyle="1" w:styleId="136">
    <w:name w:val="标题无"/>
    <w:basedOn w:val="1"/>
    <w:qFormat/>
    <w:uiPriority w:val="0"/>
    <w:pPr>
      <w:spacing w:line="360" w:lineRule="auto"/>
    </w:pPr>
    <w:rPr>
      <w:sz w:val="24"/>
    </w:rPr>
  </w:style>
  <w:style w:type="paragraph" w:customStyle="1" w:styleId="137">
    <w:name w:val="正文4"/>
    <w:basedOn w:val="1"/>
    <w:qFormat/>
    <w:uiPriority w:val="0"/>
    <w:pPr>
      <w:tabs>
        <w:tab w:val="left" w:pos="1275"/>
      </w:tabs>
      <w:spacing w:before="60" w:beforeLines="0" w:beforeAutospacing="0" w:after="60" w:afterLines="0" w:afterAutospacing="0" w:line="360" w:lineRule="auto"/>
      <w:ind w:left="820" w:leftChars="400" w:hanging="705"/>
    </w:pPr>
    <w:rPr>
      <w:sz w:val="24"/>
    </w:rPr>
  </w:style>
  <w:style w:type="paragraph" w:customStyle="1" w:styleId="138">
    <w:name w:val="样式 正文首行缩进 2 + 首行缩进:  2 字符"/>
    <w:basedOn w:val="1"/>
    <w:qFormat/>
    <w:uiPriority w:val="0"/>
    <w:pPr>
      <w:numPr>
        <w:ilvl w:val="0"/>
        <w:numId w:val="11"/>
      </w:numPr>
      <w:adjustRightInd w:val="0"/>
      <w:snapToGrid w:val="0"/>
      <w:spacing w:line="360" w:lineRule="auto"/>
    </w:pPr>
    <w:rPr>
      <w:rFonts w:ascii="Arial" w:hAnsi="Arial"/>
      <w:b/>
      <w:sz w:val="24"/>
    </w:rPr>
  </w:style>
  <w:style w:type="paragraph" w:customStyle="1" w:styleId="139">
    <w:name w:val="xl53"/>
    <w:basedOn w:val="1"/>
    <w:qFormat/>
    <w:uiPriority w:val="0"/>
    <w:pPr>
      <w:widowControl/>
      <w:pBdr>
        <w:left w:val="single" w:color="auto" w:sz="4" w:space="0"/>
        <w:bottom w:val="single" w:color="auto" w:sz="4" w:space="0"/>
      </w:pBdr>
      <w:spacing w:before="100" w:beforeLines="0" w:beforeAutospacing="1" w:after="100" w:afterLines="0" w:afterAutospacing="1"/>
      <w:jc w:val="center"/>
      <w:textAlignment w:val="center"/>
    </w:pPr>
    <w:rPr>
      <w:rFonts w:ascii="宋体" w:hAnsi="宋体"/>
      <w:kern w:val="0"/>
      <w:sz w:val="24"/>
    </w:rPr>
  </w:style>
  <w:style w:type="paragraph" w:customStyle="1" w:styleId="140">
    <w:name w:val="Body Text 2"/>
    <w:basedOn w:val="1"/>
    <w:qFormat/>
    <w:uiPriority w:val="0"/>
    <w:pPr>
      <w:adjustRightInd w:val="0"/>
      <w:spacing w:before="120" w:beforeLines="0" w:beforeAutospacing="0" w:line="360" w:lineRule="auto"/>
      <w:ind w:firstLine="480"/>
      <w:textAlignment w:val="baseline"/>
    </w:pPr>
    <w:rPr>
      <w:sz w:val="24"/>
    </w:rPr>
  </w:style>
  <w:style w:type="paragraph" w:customStyle="1" w:styleId="141">
    <w:name w:val=" Char"/>
    <w:basedOn w:val="1"/>
    <w:qFormat/>
    <w:uiPriority w:val="0"/>
    <w:pPr>
      <w:spacing w:line="240" w:lineRule="atLeast"/>
      <w:ind w:left="420" w:firstLine="420"/>
    </w:pPr>
    <w:rPr>
      <w:kern w:val="0"/>
      <w:sz w:val="21"/>
    </w:rPr>
  </w:style>
  <w:style w:type="paragraph" w:customStyle="1" w:styleId="142">
    <w:name w:val="_Style 137"/>
    <w:qFormat/>
    <w:uiPriority w:val="0"/>
    <w:rPr>
      <w:rFonts w:ascii="Times New Roman" w:hAnsi="Times New Roman" w:eastAsia="宋体" w:cs="Times New Roman"/>
      <w:kern w:val="2"/>
      <w:sz w:val="21"/>
      <w:lang w:val="en-US" w:eastAsia="zh-CN" w:bidi="ar-SA"/>
    </w:rPr>
  </w:style>
  <w:style w:type="paragraph" w:customStyle="1" w:styleId="143">
    <w:name w:val="文章正文"/>
    <w:basedOn w:val="1"/>
    <w:qFormat/>
    <w:uiPriority w:val="0"/>
    <w:pPr>
      <w:ind w:firstLine="560" w:firstLineChars="200"/>
    </w:pPr>
    <w:rPr>
      <w:rFonts w:ascii="仿宋_GB2312" w:hAnsi="宋体" w:eastAsia="仿宋_GB2312"/>
      <w:color w:val="000000"/>
    </w:rPr>
  </w:style>
  <w:style w:type="paragraph" w:customStyle="1" w:styleId="144">
    <w:name w:val="Figure Description"/>
    <w:next w:val="1"/>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145">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46">
    <w:name w:val="编号正文"/>
    <w:basedOn w:val="147"/>
    <w:qFormat/>
    <w:uiPriority w:val="0"/>
    <w:pPr>
      <w:snapToGrid/>
      <w:spacing w:line="360" w:lineRule="auto"/>
      <w:ind w:left="1407" w:hanging="1047"/>
      <w:jc w:val="left"/>
    </w:pPr>
    <w:rPr>
      <w:rFonts w:eastAsia="仿宋_GB2312"/>
    </w:rPr>
  </w:style>
  <w:style w:type="paragraph" w:customStyle="1" w:styleId="147">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148">
    <w:name w:val=" Char Char Char Char Char Char1 Char"/>
    <w:basedOn w:val="1"/>
    <w:qFormat/>
    <w:uiPriority w:val="0"/>
    <w:pPr>
      <w:widowControl/>
      <w:spacing w:after="160" w:afterLines="0" w:afterAutospacing="0" w:line="240" w:lineRule="exact"/>
      <w:jc w:val="left"/>
    </w:pPr>
    <w:rPr>
      <w:rFonts w:ascii="Verdana" w:hAnsi="Verdana"/>
      <w:kern w:val="0"/>
      <w:sz w:val="21"/>
      <w:lang w:eastAsia="en-US"/>
    </w:rPr>
  </w:style>
  <w:style w:type="paragraph" w:customStyle="1" w:styleId="149">
    <w:name w:val="样式 首行缩进:  0.74 厘米"/>
    <w:basedOn w:val="1"/>
    <w:qFormat/>
    <w:uiPriority w:val="0"/>
    <w:pPr>
      <w:spacing w:line="360" w:lineRule="auto"/>
      <w:ind w:firstLine="420"/>
    </w:pPr>
    <w:rPr>
      <w:sz w:val="24"/>
    </w:rPr>
  </w:style>
  <w:style w:type="paragraph" w:customStyle="1" w:styleId="150">
    <w:name w:val="摘要"/>
    <w:basedOn w:val="1"/>
    <w:next w:val="3"/>
    <w:qFormat/>
    <w:uiPriority w:val="0"/>
    <w:pPr>
      <w:spacing w:line="360" w:lineRule="auto"/>
    </w:pPr>
    <w:rPr>
      <w:rFonts w:eastAsia="黑体"/>
      <w:sz w:val="20"/>
    </w:rPr>
  </w:style>
  <w:style w:type="paragraph" w:customStyle="1" w:styleId="151">
    <w:name w:val="样式 宋体 五号 行距: 单倍行距"/>
    <w:basedOn w:val="1"/>
    <w:qFormat/>
    <w:uiPriority w:val="0"/>
    <w:pPr>
      <w:adjustRightInd w:val="0"/>
      <w:jc w:val="left"/>
    </w:pPr>
    <w:rPr>
      <w:rFonts w:ascii="宋体" w:hAnsi="宋体"/>
      <w:kern w:val="0"/>
      <w:sz w:val="21"/>
    </w:rPr>
  </w:style>
  <w:style w:type="paragraph" w:customStyle="1" w:styleId="152">
    <w:name w:val="样式 行距: 1.5 倍行距1"/>
    <w:basedOn w:val="1"/>
    <w:qFormat/>
    <w:uiPriority w:val="0"/>
    <w:pPr>
      <w:snapToGrid w:val="0"/>
    </w:pPr>
    <w:rPr>
      <w:sz w:val="21"/>
    </w:rPr>
  </w:style>
  <w:style w:type="paragraph" w:customStyle="1" w:styleId="153">
    <w:name w:val="附录4"/>
    <w:basedOn w:val="1"/>
    <w:next w:val="1"/>
    <w:qFormat/>
    <w:uiPriority w:val="0"/>
    <w:pPr>
      <w:widowControl/>
      <w:numPr>
        <w:ilvl w:val="3"/>
        <w:numId w:val="0"/>
      </w:numPr>
      <w:tabs>
        <w:tab w:val="left" w:pos="1134"/>
      </w:tabs>
      <w:spacing w:line="300" w:lineRule="auto"/>
      <w:ind w:left="1361" w:hanging="1361"/>
      <w:outlineLvl w:val="3"/>
    </w:pPr>
    <w:rPr>
      <w:rFonts w:ascii="Arial" w:hAnsi="Arial" w:eastAsia="黑体"/>
      <w:kern w:val="0"/>
    </w:rPr>
  </w:style>
  <w:style w:type="paragraph" w:customStyle="1" w:styleId="154">
    <w:name w:val="样式 样式 首行缩进:  2 字符 + 首行缩进:  2 字符"/>
    <w:basedOn w:val="1"/>
    <w:qFormat/>
    <w:uiPriority w:val="0"/>
    <w:pPr>
      <w:numPr>
        <w:ilvl w:val="0"/>
        <w:numId w:val="12"/>
      </w:numPr>
      <w:tabs>
        <w:tab w:val="clear" w:pos="1230"/>
      </w:tabs>
      <w:spacing w:line="360" w:lineRule="auto"/>
      <w:ind w:firstLine="480" w:firstLineChars="200"/>
    </w:pPr>
    <w:rPr>
      <w:sz w:val="24"/>
    </w:rPr>
  </w:style>
  <w:style w:type="paragraph" w:customStyle="1" w:styleId="155">
    <w:name w:val="样式 正文缩进正文（首行缩进两字）表正文正文非缩进特点标题4段1 + 首行缩进:  2 字符"/>
    <w:basedOn w:val="15"/>
    <w:qFormat/>
    <w:uiPriority w:val="0"/>
    <w:pPr>
      <w:ind w:firstLine="480" w:firstLineChars="200"/>
    </w:pPr>
  </w:style>
  <w:style w:type="paragraph" w:customStyle="1" w:styleId="156">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57">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158">
    <w:name w:val=" Char Char Char"/>
    <w:basedOn w:val="1"/>
    <w:qFormat/>
    <w:uiPriority w:val="0"/>
    <w:rPr>
      <w:rFonts w:ascii="Tahoma" w:hAnsi="Tahoma"/>
      <w:sz w:val="24"/>
    </w:rPr>
  </w:style>
  <w:style w:type="paragraph" w:customStyle="1" w:styleId="159">
    <w:name w:val="样式2"/>
    <w:basedOn w:val="5"/>
    <w:qFormat/>
    <w:uiPriority w:val="0"/>
    <w:pPr>
      <w:numPr>
        <w:ilvl w:val="0"/>
        <w:numId w:val="13"/>
      </w:numPr>
      <w:spacing w:line="400" w:lineRule="exact"/>
      <w:jc w:val="center"/>
      <w:outlineLvl w:val="0"/>
    </w:pPr>
    <w:rPr>
      <w:b w:val="0"/>
      <w:sz w:val="44"/>
    </w:rPr>
  </w:style>
  <w:style w:type="paragraph" w:customStyle="1" w:styleId="160">
    <w:name w:val="Char Char Char Char"/>
    <w:basedOn w:val="1"/>
    <w:qFormat/>
    <w:uiPriority w:val="0"/>
    <w:pPr>
      <w:pageBreakBefore/>
      <w:widowControl/>
      <w:spacing w:after="160" w:afterLines="0" w:line="240" w:lineRule="exact"/>
      <w:jc w:val="left"/>
    </w:pPr>
    <w:rPr>
      <w:rFonts w:ascii="Verdana" w:hAnsi="Verdana"/>
      <w:kern w:val="0"/>
      <w:sz w:val="20"/>
      <w:lang w:eastAsia="en-US"/>
    </w:rPr>
  </w:style>
  <w:style w:type="paragraph" w:customStyle="1" w:styleId="161">
    <w:name w:val=" Char Char 字元 字元 字元 Char Char Char Char"/>
    <w:basedOn w:val="1"/>
    <w:qFormat/>
    <w:uiPriority w:val="0"/>
    <w:pPr>
      <w:adjustRightInd w:val="0"/>
      <w:spacing w:line="360" w:lineRule="auto"/>
    </w:pPr>
    <w:rPr>
      <w:kern w:val="0"/>
      <w:sz w:val="24"/>
    </w:rPr>
  </w:style>
  <w:style w:type="paragraph" w:customStyle="1" w:styleId="162">
    <w:name w:val="项目"/>
    <w:basedOn w:val="1"/>
    <w:qFormat/>
    <w:uiPriority w:val="0"/>
    <w:pPr>
      <w:tabs>
        <w:tab w:val="left" w:pos="1280"/>
      </w:tabs>
      <w:spacing w:before="120" w:beforeLines="0" w:beforeAutospacing="0" w:after="120" w:afterLines="0" w:afterAutospacing="0" w:line="360" w:lineRule="auto"/>
      <w:ind w:left="-7" w:firstLine="567"/>
      <w:jc w:val="left"/>
      <w:textAlignment w:val="baseline"/>
    </w:pPr>
    <w:rPr>
      <w:rFonts w:ascii="宋体"/>
      <w:kern w:val="0"/>
      <w:sz w:val="24"/>
    </w:rPr>
  </w:style>
  <w:style w:type="paragraph" w:customStyle="1" w:styleId="163">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164">
    <w:name w:val=" Char1"/>
    <w:basedOn w:val="1"/>
    <w:qFormat/>
    <w:uiPriority w:val="0"/>
    <w:rPr>
      <w:sz w:val="21"/>
    </w:rPr>
  </w:style>
  <w:style w:type="paragraph" w:customStyle="1" w:styleId="165">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166">
    <w:name w:val="表头文本"/>
    <w:qFormat/>
    <w:uiPriority w:val="0"/>
    <w:pPr>
      <w:jc w:val="center"/>
    </w:pPr>
    <w:rPr>
      <w:rFonts w:ascii="Arial" w:hAnsi="Arial" w:eastAsia="宋体" w:cs="Times New Roman"/>
      <w:b/>
      <w:sz w:val="21"/>
      <w:lang w:val="en-US" w:eastAsia="zh-CN" w:bidi="ar-SA"/>
    </w:rPr>
  </w:style>
  <w:style w:type="paragraph" w:customStyle="1" w:styleId="167">
    <w:name w:val="Table Description"/>
    <w:next w:val="1"/>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168">
    <w:name w:val="内容标题"/>
    <w:basedOn w:val="17"/>
    <w:qFormat/>
    <w:uiPriority w:val="0"/>
    <w:rPr>
      <w:rFonts w:ascii="Tahoma" w:hAnsi="Tahoma"/>
      <w:sz w:val="24"/>
    </w:rPr>
  </w:style>
  <w:style w:type="paragraph" w:customStyle="1" w:styleId="169">
    <w:name w:val="表头样式"/>
    <w:basedOn w:val="1"/>
    <w:qFormat/>
    <w:uiPriority w:val="0"/>
    <w:pPr>
      <w:autoSpaceDE w:val="0"/>
      <w:autoSpaceDN w:val="0"/>
      <w:adjustRightInd w:val="0"/>
      <w:spacing w:line="360" w:lineRule="auto"/>
      <w:jc w:val="left"/>
    </w:pPr>
    <w:rPr>
      <w:b/>
      <w:kern w:val="0"/>
      <w:sz w:val="21"/>
    </w:rPr>
  </w:style>
  <w:style w:type="paragraph" w:customStyle="1" w:styleId="170">
    <w:name w:val="1"/>
    <w:basedOn w:val="1"/>
    <w:qFormat/>
    <w:uiPriority w:val="0"/>
    <w:rPr>
      <w:rFonts w:ascii="Tahoma" w:hAnsi="Tahoma"/>
      <w:sz w:val="24"/>
    </w:rPr>
  </w:style>
  <w:style w:type="paragraph" w:customStyle="1" w:styleId="171">
    <w:name w:val="IN Step"/>
    <w:basedOn w:val="1"/>
    <w:qFormat/>
    <w:uiPriority w:val="0"/>
    <w:pPr>
      <w:keepLines/>
      <w:widowControl/>
      <w:tabs>
        <w:tab w:val="left" w:pos="1134"/>
      </w:tabs>
      <w:spacing w:before="80" w:beforeLines="0" w:beforeAutospacing="0" w:after="80" w:afterLines="0" w:afterAutospacing="0" w:line="300" w:lineRule="auto"/>
      <w:ind w:left="1134" w:hanging="907"/>
      <w:outlineLvl w:val="8"/>
    </w:pPr>
    <w:rPr>
      <w:rFonts w:ascii="Arial" w:hAnsi="Arial"/>
      <w:kern w:val="0"/>
      <w:sz w:val="21"/>
    </w:rPr>
  </w:style>
  <w:style w:type="paragraph" w:customStyle="1" w:styleId="172">
    <w:name w:val="简单回函地址"/>
    <w:basedOn w:val="1"/>
    <w:qFormat/>
    <w:uiPriority w:val="0"/>
    <w:pPr>
      <w:adjustRightInd w:val="0"/>
      <w:snapToGrid w:val="0"/>
      <w:spacing w:line="360" w:lineRule="auto"/>
    </w:pPr>
    <w:rPr>
      <w:sz w:val="24"/>
    </w:rPr>
  </w:style>
  <w:style w:type="paragraph" w:customStyle="1" w:styleId="173">
    <w:name w:val="正文 + 三号"/>
    <w:basedOn w:val="1"/>
    <w:qFormat/>
    <w:uiPriority w:val="0"/>
    <w:rPr>
      <w:rFonts w:eastAsia="宋体"/>
      <w:kern w:val="2"/>
      <w:sz w:val="21"/>
      <w:lang w:val="en-US" w:eastAsia="zh-CN"/>
    </w:rPr>
  </w:style>
  <w:style w:type="paragraph" w:customStyle="1" w:styleId="174">
    <w:name w:val="图标"/>
    <w:basedOn w:val="1"/>
    <w:next w:val="1"/>
    <w:qFormat/>
    <w:uiPriority w:val="0"/>
    <w:pPr>
      <w:tabs>
        <w:tab w:val="left" w:pos="420"/>
        <w:tab w:val="left" w:pos="567"/>
        <w:tab w:val="left" w:pos="720"/>
      </w:tabs>
      <w:autoSpaceDE w:val="0"/>
      <w:autoSpaceDN w:val="0"/>
      <w:adjustRightInd w:val="0"/>
      <w:snapToGrid w:val="0"/>
      <w:spacing w:before="120" w:beforeLines="0" w:beforeAutospacing="0" w:after="120" w:afterLines="0" w:afterAutospacing="0" w:line="320" w:lineRule="atLeast"/>
      <w:ind w:left="420" w:hanging="420"/>
      <w:jc w:val="center"/>
      <w:textAlignment w:val="baseline"/>
    </w:pPr>
    <w:rPr>
      <w:rFonts w:eastAsia="仿宋_GB2312"/>
      <w:kern w:val="0"/>
      <w:sz w:val="24"/>
    </w:rPr>
  </w:style>
  <w:style w:type="paragraph" w:customStyle="1" w:styleId="175">
    <w:name w:val="标题5"/>
    <w:basedOn w:val="1"/>
    <w:qFormat/>
    <w:uiPriority w:val="0"/>
    <w:pPr>
      <w:tabs>
        <w:tab w:val="left" w:pos="0"/>
      </w:tabs>
      <w:autoSpaceDE w:val="0"/>
      <w:autoSpaceDN w:val="0"/>
      <w:adjustRightInd w:val="0"/>
      <w:snapToGrid w:val="0"/>
      <w:spacing w:line="320" w:lineRule="atLeast"/>
    </w:pPr>
    <w:rPr>
      <w:rFonts w:ascii="宋体"/>
      <w:kern w:val="0"/>
      <w:sz w:val="21"/>
    </w:rPr>
  </w:style>
  <w:style w:type="paragraph" w:customStyle="1" w:styleId="176">
    <w:name w:val="默认段落字体 Para Char Char Char Char Char Char Char"/>
    <w:basedOn w:val="1"/>
    <w:qFormat/>
    <w:uiPriority w:val="0"/>
    <w:rPr>
      <w:rFonts w:ascii="Tahoma" w:hAnsi="Tahoma"/>
      <w:sz w:val="24"/>
    </w:rPr>
  </w:style>
  <w:style w:type="paragraph" w:customStyle="1" w:styleId="177">
    <w:name w:val="正文表格"/>
    <w:basedOn w:val="1"/>
    <w:qFormat/>
    <w:uiPriority w:val="0"/>
    <w:pPr>
      <w:adjustRightInd w:val="0"/>
      <w:spacing w:before="40" w:beforeLines="0" w:beforeAutospacing="0" w:after="40" w:afterLines="0" w:afterAutospacing="0"/>
    </w:pPr>
    <w:rPr>
      <w:sz w:val="24"/>
    </w:rPr>
  </w:style>
  <w:style w:type="paragraph" w:customStyle="1" w:styleId="178">
    <w:name w:val="附录3"/>
    <w:basedOn w:val="1"/>
    <w:next w:val="1"/>
    <w:qFormat/>
    <w:uiPriority w:val="0"/>
    <w:pPr>
      <w:numPr>
        <w:ilvl w:val="2"/>
        <w:numId w:val="0"/>
      </w:numPr>
      <w:tabs>
        <w:tab w:val="left" w:pos="851"/>
      </w:tabs>
      <w:ind w:left="425" w:hanging="425"/>
      <w:outlineLvl w:val="2"/>
    </w:pPr>
    <w:rPr>
      <w:rFonts w:eastAsia="黑体"/>
      <w:b/>
      <w:sz w:val="32"/>
    </w:rPr>
  </w:style>
  <w:style w:type="paragraph" w:customStyle="1" w:styleId="179">
    <w:name w:val="图例"/>
    <w:basedOn w:val="1"/>
    <w:qFormat/>
    <w:uiPriority w:val="0"/>
    <w:pPr>
      <w:spacing w:before="120" w:beforeLines="0" w:beforeAutospacing="0" w:after="120" w:afterLines="0" w:afterAutospacing="0" w:line="360" w:lineRule="auto"/>
      <w:jc w:val="center"/>
    </w:pPr>
    <w:rPr>
      <w:rFonts w:eastAsia="仿宋_GB2312"/>
      <w:b/>
      <w:sz w:val="24"/>
    </w:rPr>
  </w:style>
  <w:style w:type="paragraph" w:customStyle="1" w:styleId="180">
    <w:name w:val="Title - Date"/>
    <w:basedOn w:val="56"/>
    <w:next w:val="1"/>
    <w:qFormat/>
    <w:uiPriority w:val="0"/>
    <w:pPr>
      <w:spacing w:before="240" w:beforeLines="0" w:beforeAutospacing="0" w:after="720" w:afterLines="0" w:afterAutospacing="0"/>
    </w:pPr>
    <w:rPr>
      <w:sz w:val="28"/>
    </w:rPr>
  </w:style>
  <w:style w:type="paragraph" w:customStyle="1" w:styleId="181">
    <w:name w:val="样式 样式 正文首行缩进 2 + 左  0 字符 + 首行缩进:  2.57 字符"/>
    <w:basedOn w:val="1"/>
    <w:next w:val="1"/>
    <w:qFormat/>
    <w:uiPriority w:val="0"/>
    <w:pPr>
      <w:adjustRightInd w:val="0"/>
      <w:snapToGrid w:val="0"/>
      <w:spacing w:after="120" w:afterLines="0" w:afterAutospacing="0"/>
      <w:ind w:firstLine="540" w:firstLineChars="257"/>
    </w:pPr>
    <w:rPr>
      <w:sz w:val="21"/>
    </w:rPr>
  </w:style>
  <w:style w:type="paragraph" w:customStyle="1" w:styleId="182">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183">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84">
    <w:name w:val="_"/>
    <w:basedOn w:val="1"/>
    <w:qFormat/>
    <w:uiPriority w:val="0"/>
    <w:pPr>
      <w:adjustRightInd w:val="0"/>
      <w:spacing w:line="360" w:lineRule="auto"/>
      <w:ind w:left="480" w:firstLine="200" w:firstLineChars="200"/>
      <w:textAlignment w:val="baseline"/>
    </w:pPr>
    <w:rPr>
      <w:kern w:val="0"/>
      <w:sz w:val="24"/>
    </w:rPr>
  </w:style>
  <w:style w:type="paragraph" w:customStyle="1" w:styleId="185">
    <w:name w:val=" Char Char Char Char Char"/>
    <w:basedOn w:val="1"/>
    <w:qFormat/>
    <w:uiPriority w:val="0"/>
    <w:pPr>
      <w:numPr>
        <w:ilvl w:val="0"/>
        <w:numId w:val="8"/>
      </w:numPr>
    </w:pPr>
    <w:rPr>
      <w:rFonts w:ascii="Tahoma" w:hAnsi="Tahoma"/>
      <w:sz w:val="24"/>
    </w:rPr>
  </w:style>
  <w:style w:type="paragraph" w:customStyle="1" w:styleId="186">
    <w:name w:val="章标题"/>
    <w:next w:val="1"/>
    <w:qFormat/>
    <w:uiPriority w:val="0"/>
    <w:pPr>
      <w:numPr>
        <w:ilvl w:val="1"/>
        <w:numId w:val="14"/>
      </w:numPr>
      <w:spacing w:before="156" w:beforeLines="50" w:after="156" w:afterLines="50"/>
      <w:ind w:left="0"/>
      <w:jc w:val="both"/>
      <w:outlineLvl w:val="1"/>
    </w:pPr>
    <w:rPr>
      <w:rFonts w:ascii="黑体" w:hAnsi="Times New Roman" w:eastAsia="黑体" w:cs="Times New Roman"/>
      <w:sz w:val="24"/>
      <w:lang w:val="en-US" w:eastAsia="zh-CN" w:bidi="ar-SA"/>
    </w:rPr>
  </w:style>
  <w:style w:type="paragraph" w:customStyle="1" w:styleId="187">
    <w:name w:val=" Char1 Char Char Char"/>
    <w:basedOn w:val="1"/>
    <w:qFormat/>
    <w:uiPriority w:val="0"/>
    <w:rPr>
      <w:rFonts w:ascii="Tahoma" w:hAnsi="Tahoma"/>
      <w:sz w:val="24"/>
    </w:rPr>
  </w:style>
  <w:style w:type="paragraph" w:customStyle="1" w:styleId="188">
    <w:name w:val="样式 标题 1 + 居中 段前: 6 磅 段后: 6 磅 行距: 1.5 倍行距"/>
    <w:basedOn w:val="2"/>
    <w:qFormat/>
    <w:uiPriority w:val="0"/>
    <w:pPr>
      <w:keepLines/>
      <w:tabs>
        <w:tab w:val="clear" w:pos="3360"/>
      </w:tabs>
      <w:adjustRightInd w:val="0"/>
      <w:spacing w:before="120" w:beforeLines="0" w:beforeAutospacing="0" w:line="360" w:lineRule="auto"/>
    </w:pPr>
    <w:rPr>
      <w:rFonts w:eastAsia="宋体"/>
      <w:b/>
      <w:kern w:val="44"/>
      <w:sz w:val="32"/>
    </w:rPr>
  </w:style>
  <w:style w:type="paragraph" w:customStyle="1" w:styleId="189">
    <w:name w:val="样式4"/>
    <w:basedOn w:val="5"/>
    <w:qFormat/>
    <w:uiPriority w:val="0"/>
    <w:pPr>
      <w:numPr>
        <w:ilvl w:val="0"/>
        <w:numId w:val="0"/>
      </w:numPr>
      <w:adjustRightInd w:val="0"/>
      <w:snapToGrid w:val="0"/>
      <w:spacing w:before="280" w:beforeLines="0" w:beforeAutospacing="0" w:line="372" w:lineRule="auto"/>
    </w:pPr>
  </w:style>
  <w:style w:type="paragraph" w:customStyle="1" w:styleId="190">
    <w:name w:val="普通正文"/>
    <w:basedOn w:val="1"/>
    <w:qFormat/>
    <w:uiPriority w:val="0"/>
    <w:pPr>
      <w:adjustRightInd w:val="0"/>
      <w:spacing w:before="120" w:beforeLines="0" w:beforeAutospacing="0" w:after="120" w:afterLines="0" w:afterAutospacing="0" w:line="360" w:lineRule="auto"/>
      <w:ind w:firstLine="480"/>
      <w:jc w:val="left"/>
      <w:textAlignment w:val="baseline"/>
    </w:pPr>
    <w:rPr>
      <w:rFonts w:ascii="Arial" w:hAnsi="Arial"/>
      <w:kern w:val="0"/>
      <w:sz w:val="24"/>
    </w:rPr>
  </w:style>
  <w:style w:type="paragraph" w:customStyle="1" w:styleId="191">
    <w:name w:val="CSS1级正文 Char"/>
    <w:basedOn w:val="22"/>
    <w:qFormat/>
    <w:uiPriority w:val="0"/>
    <w:pPr>
      <w:adjustRightInd w:val="0"/>
      <w:snapToGrid w:val="0"/>
      <w:spacing w:line="360" w:lineRule="auto"/>
      <w:ind w:firstLine="480"/>
    </w:pPr>
    <w:rPr>
      <w:rFonts w:ascii="Times New Roman" w:eastAsia="宋体"/>
      <w:sz w:val="24"/>
    </w:rPr>
  </w:style>
  <w:style w:type="paragraph" w:customStyle="1" w:styleId="192">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93">
    <w:name w:val="段落正文"/>
    <w:basedOn w:val="1"/>
    <w:qFormat/>
    <w:uiPriority w:val="0"/>
    <w:pPr>
      <w:spacing w:before="156" w:beforeLines="50" w:beforeAutospacing="0" w:line="360" w:lineRule="auto"/>
      <w:ind w:firstLine="200" w:firstLineChars="200"/>
    </w:pPr>
    <w:rPr>
      <w:spacing w:val="2"/>
      <w:sz w:val="24"/>
    </w:rPr>
  </w:style>
  <w:style w:type="paragraph" w:customStyle="1" w:styleId="194">
    <w:name w:val=" Char Char Char Char Char Char Char Char Char Char Char Char Char"/>
    <w:basedOn w:val="1"/>
    <w:qFormat/>
    <w:uiPriority w:val="0"/>
    <w:pPr>
      <w:widowControl/>
      <w:spacing w:after="160" w:afterLines="0" w:afterAutospacing="0" w:line="240" w:lineRule="exact"/>
      <w:jc w:val="left"/>
    </w:pPr>
    <w:rPr>
      <w:rFonts w:ascii="Verdana" w:hAnsi="Verdana" w:eastAsia="仿宋_GB2312"/>
      <w:kern w:val="0"/>
      <w:sz w:val="24"/>
      <w:lang w:eastAsia="en-US"/>
    </w:rPr>
  </w:style>
  <w:style w:type="paragraph" w:customStyle="1" w:styleId="195">
    <w:name w:val="Char"/>
    <w:basedOn w:val="1"/>
    <w:qFormat/>
    <w:uiPriority w:val="0"/>
    <w:pPr>
      <w:widowControl/>
      <w:spacing w:line="400" w:lineRule="exact"/>
      <w:jc w:val="center"/>
    </w:pPr>
    <w:rPr>
      <w:sz w:val="24"/>
    </w:rPr>
  </w:style>
  <w:style w:type="paragraph" w:customStyle="1" w:styleId="196">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beforeLines="0" w:beforeAutospacing="0" w:after="240" w:afterLines="0" w:afterAutospacing="0" w:line="288" w:lineRule="auto"/>
      <w:ind w:left="144" w:right="144"/>
      <w:jc w:val="center"/>
    </w:pPr>
    <w:rPr>
      <w:b/>
      <w:i/>
      <w:sz w:val="24"/>
    </w:rPr>
  </w:style>
  <w:style w:type="paragraph" w:customStyle="1" w:styleId="197">
    <w:name w:val="Body Text Indent 2"/>
    <w:basedOn w:val="1"/>
    <w:qFormat/>
    <w:uiPriority w:val="0"/>
    <w:pPr>
      <w:adjustRightInd w:val="0"/>
      <w:spacing w:before="120" w:beforeLines="0" w:beforeAutospacing="0"/>
      <w:ind w:firstLine="420"/>
      <w:textAlignment w:val="baseline"/>
    </w:pPr>
    <w:rPr>
      <w:sz w:val="24"/>
    </w:rPr>
  </w:style>
  <w:style w:type="paragraph" w:customStyle="1" w:styleId="198">
    <w:name w:val="没有缩进（为图形使用）"/>
    <w:basedOn w:val="1"/>
    <w:qFormat/>
    <w:uiPriority w:val="0"/>
    <w:pPr>
      <w:spacing w:before="120" w:beforeLines="0" w:beforeAutospacing="0" w:after="120" w:afterLines="0" w:afterAutospacing="0" w:line="360" w:lineRule="auto"/>
    </w:pPr>
    <w:rPr>
      <w:sz w:val="24"/>
    </w:rPr>
  </w:style>
  <w:style w:type="paragraph" w:customStyle="1" w:styleId="199">
    <w:name w:val="xl40"/>
    <w:basedOn w:val="1"/>
    <w:qFormat/>
    <w:uiPriority w:val="0"/>
    <w:pPr>
      <w:widowControl/>
      <w:pBdr>
        <w:left w:val="single" w:color="auto" w:sz="4" w:space="0"/>
        <w:right w:val="single" w:color="auto" w:sz="4" w:space="0"/>
      </w:pBdr>
      <w:spacing w:before="100" w:beforeLines="0" w:beforeAutospacing="1" w:after="100" w:afterLines="0" w:afterAutospacing="1"/>
      <w:jc w:val="center"/>
    </w:pPr>
    <w:rPr>
      <w:rFonts w:ascii="宋体" w:hAnsi="宋体"/>
      <w:kern w:val="0"/>
      <w:sz w:val="24"/>
    </w:rPr>
  </w:style>
  <w:style w:type="paragraph" w:customStyle="1" w:styleId="200">
    <w:name w:val="Item Step in Table"/>
    <w:qFormat/>
    <w:uiPriority w:val="0"/>
    <w:pPr>
      <w:numPr>
        <w:ilvl w:val="0"/>
        <w:numId w:val="15"/>
      </w:numPr>
      <w:spacing w:before="40" w:after="40"/>
      <w:jc w:val="both"/>
    </w:pPr>
    <w:rPr>
      <w:rFonts w:ascii="Arial" w:hAnsi="Arial" w:eastAsia="宋体" w:cs="Times New Roman"/>
      <w:sz w:val="18"/>
      <w:lang w:val="en-US" w:eastAsia="zh-CN" w:bidi="ar-SA"/>
    </w:rPr>
  </w:style>
  <w:style w:type="paragraph" w:customStyle="1" w:styleId="201">
    <w:name w:val="Char1 Char Char Char"/>
    <w:basedOn w:val="1"/>
    <w:qFormat/>
    <w:uiPriority w:val="0"/>
    <w:rPr>
      <w:rFonts w:ascii="Tahoma" w:hAnsi="Tahoma"/>
      <w:sz w:val="21"/>
    </w:rPr>
  </w:style>
  <w:style w:type="paragraph" w:customStyle="1" w:styleId="202">
    <w:name w:val="Char Char Char Char Char Char Char"/>
    <w:basedOn w:val="17"/>
    <w:qFormat/>
    <w:uiPriority w:val="0"/>
    <w:rPr>
      <w:rFonts w:ascii="宋体" w:hAnsi="Tahoma"/>
    </w:rPr>
  </w:style>
  <w:style w:type="paragraph" w:customStyle="1" w:styleId="203">
    <w:name w:val="tabletext"/>
    <w:basedOn w:val="1"/>
    <w:qFormat/>
    <w:uiPriority w:val="0"/>
    <w:pPr>
      <w:widowControl/>
      <w:spacing w:before="100" w:beforeLines="0" w:beforeAutospacing="1" w:after="100" w:afterLines="0" w:afterAutospacing="1"/>
      <w:jc w:val="left"/>
    </w:pPr>
    <w:rPr>
      <w:rFonts w:ascii="宋体" w:hAnsi="宋体" w:cs="宋体"/>
      <w:kern w:val="0"/>
      <w:sz w:val="24"/>
      <w:szCs w:val="24"/>
    </w:rPr>
  </w:style>
  <w:style w:type="paragraph" w:customStyle="1" w:styleId="204">
    <w:name w:val="样式1"/>
    <w:basedOn w:val="5"/>
    <w:qFormat/>
    <w:uiPriority w:val="0"/>
    <w:pPr>
      <w:spacing w:before="500" w:beforeLines="0" w:after="260" w:afterLines="0" w:line="560" w:lineRule="atLeast"/>
    </w:pPr>
  </w:style>
  <w:style w:type="paragraph" w:customStyle="1" w:styleId="205">
    <w:name w:val="二级列表"/>
    <w:basedOn w:val="193"/>
    <w:next w:val="193"/>
    <w:qFormat/>
    <w:uiPriority w:val="0"/>
    <w:pPr>
      <w:tabs>
        <w:tab w:val="left" w:pos="2120"/>
      </w:tabs>
      <w:ind w:firstLine="0" w:firstLineChars="0"/>
    </w:pPr>
    <w:rPr>
      <w:b/>
    </w:rPr>
  </w:style>
  <w:style w:type="paragraph" w:customStyle="1" w:styleId="206">
    <w:name w:val="可研正文"/>
    <w:basedOn w:val="22"/>
    <w:qFormat/>
    <w:uiPriority w:val="0"/>
    <w:pPr>
      <w:adjustRightInd w:val="0"/>
      <w:snapToGrid w:val="0"/>
      <w:spacing w:line="440" w:lineRule="exact"/>
      <w:ind w:firstLine="567"/>
    </w:pPr>
    <w:rPr>
      <w:sz w:val="28"/>
    </w:rPr>
  </w:style>
  <w:style w:type="paragraph" w:customStyle="1" w:styleId="207">
    <w:name w:val="默认段落字体 Para Char Char Char Char Char Char Char Char Char1 Char Char Char Char"/>
    <w:basedOn w:val="1"/>
    <w:qFormat/>
    <w:uiPriority w:val="0"/>
    <w:rPr>
      <w:rFonts w:ascii="Tahoma" w:hAnsi="Tahoma"/>
      <w:sz w:val="24"/>
    </w:rPr>
  </w:style>
  <w:style w:type="paragraph" w:customStyle="1" w:styleId="208">
    <w:name w:val=" Char Char1 Char"/>
    <w:basedOn w:val="1"/>
    <w:qFormat/>
    <w:uiPriority w:val="0"/>
    <w:rPr>
      <w:rFonts w:ascii="Tahoma" w:hAnsi="Tahoma"/>
      <w:sz w:val="24"/>
      <w:szCs w:val="24"/>
    </w:rPr>
  </w:style>
  <w:style w:type="paragraph" w:customStyle="1" w:styleId="209">
    <w:name w:val="Char Char1 Char Char Char Char Char Char Char Char"/>
    <w:basedOn w:val="1"/>
    <w:qFormat/>
    <w:uiPriority w:val="0"/>
    <w:pPr>
      <w:widowControl/>
      <w:spacing w:after="160" w:afterLines="0" w:line="240" w:lineRule="exact"/>
      <w:jc w:val="left"/>
    </w:pPr>
    <w:rPr>
      <w:rFonts w:ascii="Verdana" w:hAnsi="Verdana"/>
      <w:kern w:val="0"/>
      <w:sz w:val="20"/>
      <w:lang w:eastAsia="en-US"/>
    </w:rPr>
  </w:style>
  <w:style w:type="paragraph" w:customStyle="1" w:styleId="210">
    <w:name w:val="Note"/>
    <w:basedOn w:val="1"/>
    <w:qFormat/>
    <w:uiPriority w:val="0"/>
    <w:pPr>
      <w:pBdr>
        <w:top w:val="single" w:color="auto" w:sz="12" w:space="3"/>
        <w:bottom w:val="single" w:color="auto" w:sz="12" w:space="3"/>
      </w:pBdr>
      <w:spacing w:line="360" w:lineRule="auto"/>
    </w:pPr>
    <w:rPr>
      <w:sz w:val="24"/>
    </w:rPr>
  </w:style>
  <w:style w:type="paragraph" w:customStyle="1" w:styleId="211">
    <w:name w:val="文本1"/>
    <w:basedOn w:val="1"/>
    <w:qFormat/>
    <w:uiPriority w:val="0"/>
    <w:pPr>
      <w:adjustRightInd w:val="0"/>
      <w:spacing w:line="312" w:lineRule="atLeast"/>
      <w:jc w:val="center"/>
      <w:textAlignment w:val="baseline"/>
    </w:pPr>
    <w:rPr>
      <w:kern w:val="0"/>
      <w:sz w:val="18"/>
    </w:rPr>
  </w:style>
  <w:style w:type="paragraph" w:customStyle="1" w:styleId="212">
    <w:name w:val="Table Text"/>
    <w:qFormat/>
    <w:uiPriority w:val="0"/>
    <w:pPr>
      <w:snapToGrid w:val="0"/>
      <w:spacing w:before="80" w:after="80"/>
    </w:pPr>
    <w:rPr>
      <w:rFonts w:ascii="Arial" w:hAnsi="Arial" w:eastAsia="宋体" w:cs="Times New Roman"/>
      <w:kern w:val="2"/>
      <w:sz w:val="18"/>
      <w:lang w:val="en-US" w:eastAsia="zh-CN" w:bidi="ar-SA"/>
    </w:rPr>
  </w:style>
  <w:style w:type="paragraph" w:customStyle="1" w:styleId="213">
    <w:name w:val="文本框样式1"/>
    <w:basedOn w:val="1"/>
    <w:qFormat/>
    <w:uiPriority w:val="0"/>
    <w:pPr>
      <w:adjustRightInd w:val="0"/>
      <w:snapToGrid w:val="0"/>
      <w:spacing w:before="60" w:beforeLines="0" w:beforeAutospacing="0" w:line="180" w:lineRule="exact"/>
      <w:jc w:val="center"/>
    </w:pPr>
    <w:rPr>
      <w:sz w:val="21"/>
    </w:rPr>
  </w:style>
  <w:style w:type="paragraph" w:customStyle="1" w:styleId="214">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215">
    <w:name w:val="样式1xz"/>
    <w:basedOn w:val="1"/>
    <w:qFormat/>
    <w:uiPriority w:val="0"/>
    <w:pPr>
      <w:tabs>
        <w:tab w:val="left" w:pos="1050"/>
        <w:tab w:val="right" w:leader="dot" w:pos="8296"/>
      </w:tabs>
    </w:pPr>
    <w:rPr>
      <w:caps/>
      <w:spacing w:val="20"/>
      <w:sz w:val="24"/>
    </w:rPr>
  </w:style>
  <w:style w:type="paragraph" w:customStyle="1" w:styleId="216">
    <w:name w:val="IN Feature"/>
    <w:next w:val="171"/>
    <w:qFormat/>
    <w:uiPriority w:val="0"/>
    <w:pPr>
      <w:keepNext/>
      <w:keepLines/>
      <w:spacing w:before="240" w:after="240"/>
      <w:outlineLvl w:val="7"/>
    </w:pPr>
    <w:rPr>
      <w:rFonts w:ascii="Arial" w:hAnsi="Arial" w:eastAsia="黑体" w:cs="Times New Roman"/>
      <w:sz w:val="21"/>
      <w:lang w:val="en-US" w:eastAsia="zh-CN" w:bidi="ar-SA"/>
    </w:rPr>
  </w:style>
  <w:style w:type="paragraph" w:customStyle="1" w:styleId="217">
    <w:name w:val="首行缩进 1"/>
    <w:basedOn w:val="1"/>
    <w:qFormat/>
    <w:uiPriority w:val="0"/>
    <w:pPr>
      <w:spacing w:after="120" w:afterLines="0" w:afterAutospacing="0" w:line="360" w:lineRule="auto"/>
      <w:ind w:firstLine="200" w:firstLineChars="200"/>
    </w:pPr>
    <w:rPr>
      <w:sz w:val="24"/>
    </w:rPr>
  </w:style>
  <w:style w:type="paragraph" w:customStyle="1" w:styleId="218">
    <w:name w:val="表文字"/>
    <w:qFormat/>
    <w:uiPriority w:val="0"/>
    <w:rPr>
      <w:rFonts w:ascii="宋体" w:hAnsi="Times New Roman" w:eastAsia="宋体" w:cs="Times New Roman"/>
      <w:kern w:val="2"/>
      <w:lang w:val="en-US" w:eastAsia="zh-CN" w:bidi="ar-SA"/>
    </w:rPr>
  </w:style>
  <w:style w:type="character" w:customStyle="1" w:styleId="219">
    <w:name w:val="批注文字 Char1"/>
    <w:qFormat/>
    <w:uiPriority w:val="0"/>
    <w:rPr>
      <w:rFonts w:eastAsia="PMingLiU"/>
      <w:sz w:val="24"/>
      <w:lang w:eastAsia="zh-TW"/>
    </w:rPr>
  </w:style>
  <w:style w:type="paragraph" w:styleId="220">
    <w:name w:val="List Paragraph"/>
    <w:basedOn w:val="1"/>
    <w:qFormat/>
    <w:uiPriority w:val="34"/>
    <w:pPr>
      <w:ind w:firstLine="420" w:firstLineChars="200"/>
    </w:pPr>
    <w:rPr>
      <w:rFonts w:eastAsia="宋体" w:cs="Times New Roman"/>
      <w:color w:val="auto"/>
    </w:rPr>
  </w:style>
  <w:style w:type="character" w:customStyle="1" w:styleId="221">
    <w:name w:val="font61"/>
    <w:basedOn w:val="62"/>
    <w:qFormat/>
    <w:uiPriority w:val="0"/>
    <w:rPr>
      <w:rFonts w:hint="eastAsia" w:ascii="方正仿宋_GBK" w:hAnsi="方正仿宋_GBK" w:eastAsia="方正仿宋_GBK" w:cs="方正仿宋_GBK"/>
      <w:color w:val="000000"/>
      <w:sz w:val="24"/>
      <w:szCs w:val="24"/>
      <w:u w:val="none"/>
    </w:rPr>
  </w:style>
  <w:style w:type="character" w:customStyle="1" w:styleId="222">
    <w:name w:val="font01"/>
    <w:basedOn w:val="62"/>
    <w:qFormat/>
    <w:uiPriority w:val="0"/>
    <w:rPr>
      <w:rFonts w:hint="default" w:ascii="Times New Roman" w:hAnsi="Times New Roman" w:cs="Times New Roman"/>
      <w:color w:val="000000"/>
      <w:sz w:val="24"/>
      <w:szCs w:val="24"/>
      <w:u w:val="none"/>
    </w:rPr>
  </w:style>
  <w:style w:type="character" w:customStyle="1" w:styleId="223">
    <w:name w:val="font11"/>
    <w:basedOn w:val="62"/>
    <w:qFormat/>
    <w:uiPriority w:val="0"/>
    <w:rPr>
      <w:rFonts w:hint="default" w:ascii="方正仿宋_GBK" w:hAnsi="方正仿宋_GBK" w:eastAsia="方正仿宋_GBK" w:cs="方正仿宋_GBK"/>
      <w:color w:val="000000"/>
      <w:sz w:val="22"/>
      <w:szCs w:val="22"/>
      <w:u w:val="none"/>
    </w:rPr>
  </w:style>
  <w:style w:type="character" w:customStyle="1" w:styleId="224">
    <w:name w:val="font51"/>
    <w:basedOn w:val="62"/>
    <w:qFormat/>
    <w:uiPriority w:val="0"/>
    <w:rPr>
      <w:rFonts w:hint="default" w:ascii="Times New Roman" w:hAnsi="Times New Roman" w:cs="Times New Roman"/>
      <w:color w:val="000000"/>
      <w:sz w:val="24"/>
      <w:szCs w:val="24"/>
      <w:u w:val="none"/>
    </w:rPr>
  </w:style>
  <w:style w:type="character" w:customStyle="1" w:styleId="225">
    <w:name w:val="font41"/>
    <w:basedOn w:val="62"/>
    <w:qFormat/>
    <w:uiPriority w:val="0"/>
    <w:rPr>
      <w:rFonts w:hint="eastAsia" w:ascii="方正仿宋_GBK" w:hAnsi="方正仿宋_GBK" w:eastAsia="方正仿宋_GBK" w:cs="方正仿宋_GBK"/>
      <w:color w:val="000000"/>
      <w:sz w:val="24"/>
      <w:szCs w:val="24"/>
      <w:u w:val="none"/>
    </w:rPr>
  </w:style>
  <w:style w:type="paragraph" w:customStyle="1" w:styleId="226">
    <w:name w:val="Normal_47"/>
    <w:qFormat/>
    <w:uiPriority w:val="0"/>
    <w:pPr>
      <w:spacing w:before="120" w:after="240"/>
      <w:jc w:val="both"/>
    </w:pPr>
    <w:rPr>
      <w:rFonts w:ascii="Calibri" w:hAnsi="Calibri" w:eastAsia="Calibri" w:cs="Times New Roman"/>
      <w:sz w:val="22"/>
      <w:szCs w:val="22"/>
      <w:lang w:val="ru-RU" w:eastAsia="en-US" w:bidi="ar-SA"/>
    </w:rPr>
  </w:style>
  <w:style w:type="paragraph" w:customStyle="1" w:styleId="227">
    <w:name w:val="正  文"/>
    <w:basedOn w:val="1"/>
    <w:qFormat/>
    <w:uiPriority w:val="0"/>
    <w:pPr>
      <w:spacing w:line="360" w:lineRule="auto"/>
      <w:ind w:firstLine="200" w:firstLineChars="200"/>
    </w:pPr>
    <w:rPr>
      <w:rFonts w:ascii="宋体" w:hAnsi="Calibri"/>
      <w:sz w:val="24"/>
    </w:rPr>
  </w:style>
  <w:style w:type="paragraph" w:customStyle="1" w:styleId="228">
    <w:name w:val="正文 A"/>
    <w:basedOn w:val="1"/>
    <w:qFormat/>
    <w:uiPriority w:val="0"/>
    <w:rPr>
      <w:rFonts w:ascii="Arial Unicode MS" w:hAnsi="Arial Unicode MS" w:cs="Arial Unicode MS"/>
      <w:color w:val="000000"/>
      <w:sz w:val="28"/>
      <w:szCs w:val="28"/>
    </w:rPr>
  </w:style>
  <w:style w:type="paragraph" w:customStyle="1" w:styleId="229">
    <w:name w:val="Heading3"/>
    <w:basedOn w:val="1"/>
    <w:next w:val="1"/>
    <w:qFormat/>
    <w:uiPriority w:val="99"/>
    <w:pPr>
      <w:spacing w:before="16"/>
      <w:jc w:val="left"/>
    </w:pPr>
    <w:rPr>
      <w:rFonts w:ascii="仿宋_GB2312" w:hAnsi="宋体" w:eastAsia="仿宋_GB2312" w:cs="仿宋_GB2312"/>
      <w:b/>
      <w:bCs/>
      <w:sz w:val="24"/>
    </w:rPr>
  </w:style>
  <w:style w:type="paragraph" w:customStyle="1" w:styleId="230">
    <w:name w:val="列出段落2"/>
    <w:basedOn w:val="1"/>
    <w:qFormat/>
    <w:uiPriority w:val="1"/>
    <w:pPr>
      <w:ind w:left="100" w:firstLine="420"/>
    </w:pPr>
    <w:rPr>
      <w:rFonts w:ascii="宋体" w:hAnsi="宋体" w:cs="宋体"/>
    </w:rPr>
  </w:style>
  <w:style w:type="paragraph" w:customStyle="1" w:styleId="231">
    <w:name w:val="Table Paragraph"/>
    <w:basedOn w:val="1"/>
    <w:qFormat/>
    <w:uiPriority w:val="1"/>
    <w:rPr>
      <w:rFonts w:ascii="宋体" w:hAnsi="宋体" w:cs="宋体"/>
    </w:rPr>
  </w:style>
  <w:style w:type="table" w:customStyle="1" w:styleId="232">
    <w:name w:val="Table Normal1"/>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37</Pages>
  <Words>17439</Words>
  <Characters>18612</Characters>
  <Lines>198</Lines>
  <Paragraphs>55</Paragraphs>
  <TotalTime>50</TotalTime>
  <ScaleCrop>false</ScaleCrop>
  <LinksUpToDate>false</LinksUpToDate>
  <CharactersWithSpaces>19987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2022-06-22T00:33:00Z</dcterms:created>
  <dc:creator>admin</dc:creator>
  <cp:lastModifiedBy>汪静思</cp:lastModifiedBy>
  <cp:lastPrinted>2023-11-23T00:01:00Z</cp:lastPrinted>
  <dcterms:modified xsi:type="dcterms:W3CDTF">2025-10-20T08:20:02Z</dcterms:modified>
  <dc:title>货物</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4B3460ECD75EC9B03E25D16860D5B081_43</vt:lpwstr>
  </property>
  <property fmtid="{D5CDD505-2E9C-101B-9397-08002B2CF9AE}" pid="4" name="KSOTemplateDocerSaveRecord">
    <vt:lpwstr>eyJoZGlkIjoiYWJkZDkzNmU1MWVlZmJhMjc0NDdhN2ExYWJiNjUxMmYiLCJ1c2VySWQiOiIxNjcxOTg0ODg1In0=</vt:lpwstr>
  </property>
</Properties>
</file>