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D1" w:rsidRDefault="00A73BD1">
      <w:pPr>
        <w:jc w:val="center"/>
        <w:rPr>
          <w:rFonts w:ascii="宋体" w:cs="Times New Roman"/>
          <w:b/>
          <w:bCs/>
          <w:sz w:val="84"/>
          <w:szCs w:val="84"/>
        </w:rPr>
      </w:pPr>
    </w:p>
    <w:p w:rsidR="00A73BD1" w:rsidRDefault="00A73BD1">
      <w:pPr>
        <w:pStyle w:val="ab"/>
      </w:pPr>
    </w:p>
    <w:p w:rsidR="00A73BD1" w:rsidRDefault="00D16DD2">
      <w:pPr>
        <w:jc w:val="center"/>
        <w:rPr>
          <w:rFonts w:ascii="宋体" w:hAnsi="宋体" w:cs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重庆交通大学询价书</w:t>
      </w:r>
    </w:p>
    <w:p w:rsidR="00A73BD1" w:rsidRDefault="00A73BD1">
      <w:pPr>
        <w:jc w:val="center"/>
        <w:rPr>
          <w:rFonts w:ascii="宋体" w:cs="Times New Roman"/>
          <w:b/>
          <w:bCs/>
          <w:sz w:val="52"/>
          <w:szCs w:val="52"/>
        </w:rPr>
      </w:pPr>
    </w:p>
    <w:p w:rsidR="00A73BD1" w:rsidRDefault="00A73BD1">
      <w:pPr>
        <w:jc w:val="center"/>
        <w:rPr>
          <w:rFonts w:ascii="宋体" w:cs="Times New Roman"/>
          <w:sz w:val="28"/>
          <w:szCs w:val="28"/>
        </w:rPr>
      </w:pPr>
    </w:p>
    <w:p w:rsidR="00A73BD1" w:rsidRDefault="00A73BD1">
      <w:pPr>
        <w:pStyle w:val="ab"/>
      </w:pPr>
    </w:p>
    <w:p w:rsidR="00A73BD1" w:rsidRDefault="00A73BD1">
      <w:pPr>
        <w:pStyle w:val="ab"/>
      </w:pPr>
    </w:p>
    <w:p w:rsidR="00A73BD1" w:rsidRDefault="00A73BD1">
      <w:pPr>
        <w:ind w:left="3213" w:hangingChars="1000" w:hanging="3213"/>
        <w:rPr>
          <w:rFonts w:ascii="宋体" w:hAnsi="宋体" w:cs="宋体"/>
          <w:b/>
          <w:bCs/>
          <w:sz w:val="32"/>
          <w:szCs w:val="32"/>
        </w:rPr>
      </w:pPr>
    </w:p>
    <w:p w:rsidR="00A73BD1" w:rsidRDefault="00A73BD1">
      <w:pPr>
        <w:ind w:left="3213" w:hangingChars="1000" w:hanging="3213"/>
        <w:rPr>
          <w:rFonts w:ascii="宋体" w:hAnsi="宋体" w:cs="宋体"/>
          <w:b/>
          <w:bCs/>
          <w:sz w:val="32"/>
          <w:szCs w:val="32"/>
        </w:rPr>
      </w:pPr>
    </w:p>
    <w:p w:rsidR="00A73BD1" w:rsidRDefault="00A73BD1">
      <w:pPr>
        <w:ind w:left="3213" w:hangingChars="1000" w:hanging="3213"/>
        <w:rPr>
          <w:rFonts w:ascii="宋体" w:hAnsi="宋体" w:cs="宋体"/>
          <w:b/>
          <w:bCs/>
          <w:sz w:val="32"/>
          <w:szCs w:val="32"/>
        </w:rPr>
      </w:pPr>
    </w:p>
    <w:p w:rsidR="00A73BD1" w:rsidRDefault="00D16DD2">
      <w:pPr>
        <w:ind w:firstLineChars="100" w:firstLine="321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项目名称：</w:t>
      </w:r>
      <w:r>
        <w:rPr>
          <w:rFonts w:ascii="宋体" w:hAnsi="宋体" w:hint="eastAsia"/>
          <w:b/>
          <w:sz w:val="32"/>
          <w:szCs w:val="32"/>
        </w:rPr>
        <w:t>研究生导师培训室多媒体设施设备</w:t>
      </w:r>
    </w:p>
    <w:p w:rsidR="00A73BD1" w:rsidRDefault="00A73BD1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A73BD1" w:rsidRDefault="00D16DD2">
      <w:pPr>
        <w:ind w:firstLineChars="100" w:firstLine="321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项目编号：</w:t>
      </w:r>
      <w:r w:rsidR="001001A3">
        <w:rPr>
          <w:rFonts w:ascii="宋体" w:hAnsi="宋体" w:cs="宋体" w:hint="eastAsia"/>
          <w:b/>
          <w:bCs/>
          <w:sz w:val="32"/>
          <w:szCs w:val="32"/>
        </w:rPr>
        <w:t>JD</w:t>
      </w:r>
      <w:r>
        <w:rPr>
          <w:rFonts w:ascii="宋体" w:hAnsi="宋体" w:cs="宋体" w:hint="eastAsia"/>
          <w:b/>
          <w:bCs/>
          <w:sz w:val="32"/>
          <w:szCs w:val="32"/>
        </w:rPr>
        <w:t>23A00020 </w:t>
      </w:r>
    </w:p>
    <w:p w:rsidR="00A73BD1" w:rsidRDefault="00A73BD1">
      <w:pPr>
        <w:ind w:firstLineChars="150" w:firstLine="482"/>
        <w:rPr>
          <w:rFonts w:ascii="宋体" w:cs="Times New Roman"/>
          <w:b/>
          <w:bCs/>
          <w:sz w:val="32"/>
          <w:szCs w:val="32"/>
        </w:rPr>
      </w:pPr>
    </w:p>
    <w:p w:rsidR="00A73BD1" w:rsidRDefault="00A73BD1">
      <w:pPr>
        <w:ind w:firstLineChars="150" w:firstLine="482"/>
        <w:rPr>
          <w:rFonts w:ascii="宋体" w:cs="Times New Roman"/>
          <w:b/>
          <w:bCs/>
          <w:sz w:val="32"/>
          <w:szCs w:val="32"/>
        </w:rPr>
      </w:pPr>
    </w:p>
    <w:p w:rsidR="00A73BD1" w:rsidRDefault="00D16DD2">
      <w:pPr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采购人：重庆交通大学</w:t>
      </w:r>
    </w:p>
    <w:p w:rsidR="00A73BD1" w:rsidRDefault="00A73BD1">
      <w:pPr>
        <w:ind w:firstLineChars="200" w:firstLine="643"/>
        <w:jc w:val="center"/>
        <w:rPr>
          <w:rFonts w:ascii="宋体" w:cs="Times New Roman"/>
          <w:b/>
          <w:bCs/>
          <w:sz w:val="32"/>
          <w:szCs w:val="32"/>
        </w:rPr>
      </w:pPr>
    </w:p>
    <w:p w:rsidR="00A73BD1" w:rsidRDefault="00D16DD2">
      <w:pPr>
        <w:ind w:firstLineChars="200" w:firstLine="643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日期：</w:t>
      </w:r>
      <w:r>
        <w:rPr>
          <w:rFonts w:ascii="宋体" w:hAnsi="宋体" w:cs="宋体"/>
          <w:b/>
          <w:bCs/>
          <w:sz w:val="32"/>
          <w:szCs w:val="32"/>
        </w:rPr>
        <w:t>20</w:t>
      </w:r>
      <w:r>
        <w:rPr>
          <w:rFonts w:ascii="宋体" w:hAnsi="宋体" w:cs="宋体" w:hint="eastAsia"/>
          <w:b/>
          <w:bCs/>
          <w:sz w:val="32"/>
          <w:szCs w:val="32"/>
        </w:rPr>
        <w:t>23年</w:t>
      </w:r>
      <w:r w:rsidR="001001A3">
        <w:rPr>
          <w:rFonts w:ascii="宋体" w:hAnsi="宋体" w:cs="宋体" w:hint="eastAsia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>月</w:t>
      </w:r>
    </w:p>
    <w:p w:rsidR="00A73BD1" w:rsidRDefault="00D16DD2">
      <w:pPr>
        <w:widowControl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宋体" w:cs="Times New Roman"/>
          <w:sz w:val="28"/>
          <w:szCs w:val="28"/>
        </w:rPr>
        <w:br w:type="page"/>
      </w:r>
      <w:r>
        <w:rPr>
          <w:rFonts w:ascii="楷体_GB2312" w:eastAsia="楷体_GB2312" w:hAnsi="Times New Roman" w:cs="楷体_GB2312" w:hint="eastAsia"/>
          <w:sz w:val="24"/>
          <w:szCs w:val="24"/>
        </w:rPr>
        <w:lastRenderedPageBreak/>
        <w:t>一、供应商资格及要求：</w:t>
      </w:r>
    </w:p>
    <w:p w:rsidR="00A73BD1" w:rsidRDefault="00D16DD2">
      <w:pPr>
        <w:widowControl/>
        <w:spacing w:line="460" w:lineRule="exact"/>
        <w:ind w:firstLineChars="200" w:firstLine="48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 w:hint="eastAsia"/>
          <w:sz w:val="24"/>
          <w:szCs w:val="24"/>
        </w:rPr>
        <w:t>（一）基本资格条件</w:t>
      </w:r>
    </w:p>
    <w:p w:rsidR="00A73BD1" w:rsidRDefault="00D16DD2">
      <w:pPr>
        <w:snapToGrid w:val="0"/>
        <w:spacing w:line="460" w:lineRule="exact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/>
          <w:sz w:val="24"/>
          <w:szCs w:val="24"/>
        </w:rPr>
        <w:t>1</w:t>
      </w:r>
      <w:r>
        <w:rPr>
          <w:rFonts w:ascii="楷体_GB2312" w:eastAsia="楷体_GB2312" w:hAnsi="Times New Roman" w:cs="楷体_GB2312" w:hint="eastAsia"/>
          <w:sz w:val="24"/>
          <w:szCs w:val="24"/>
        </w:rPr>
        <w:t>、具有独立承担民事责任的能力；</w:t>
      </w:r>
    </w:p>
    <w:p w:rsidR="00A73BD1" w:rsidRDefault="00D16DD2">
      <w:pPr>
        <w:snapToGrid w:val="0"/>
        <w:spacing w:line="460" w:lineRule="exact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/>
          <w:sz w:val="24"/>
          <w:szCs w:val="24"/>
        </w:rPr>
        <w:t>2</w:t>
      </w:r>
      <w:r>
        <w:rPr>
          <w:rFonts w:ascii="楷体_GB2312" w:eastAsia="楷体_GB2312" w:hAnsi="Times New Roman" w:cs="楷体_GB2312" w:hint="eastAsia"/>
          <w:sz w:val="24"/>
          <w:szCs w:val="24"/>
        </w:rPr>
        <w:t>、具有良好的商业信誉和健全的财务会计制度；</w:t>
      </w:r>
    </w:p>
    <w:p w:rsidR="00A73BD1" w:rsidRDefault="00D16DD2">
      <w:pPr>
        <w:snapToGrid w:val="0"/>
        <w:spacing w:line="460" w:lineRule="exact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/>
          <w:sz w:val="24"/>
          <w:szCs w:val="24"/>
        </w:rPr>
        <w:t>3</w:t>
      </w:r>
      <w:r>
        <w:rPr>
          <w:rFonts w:ascii="楷体_GB2312" w:eastAsia="楷体_GB2312" w:hAnsi="Times New Roman" w:cs="楷体_GB2312" w:hint="eastAsia"/>
          <w:sz w:val="24"/>
          <w:szCs w:val="24"/>
        </w:rPr>
        <w:t>、具有履行合同所必需的设备和专业技术能力；</w:t>
      </w:r>
    </w:p>
    <w:p w:rsidR="00A73BD1" w:rsidRDefault="00D16DD2">
      <w:pPr>
        <w:snapToGrid w:val="0"/>
        <w:spacing w:line="460" w:lineRule="exact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/>
          <w:sz w:val="24"/>
          <w:szCs w:val="24"/>
        </w:rPr>
        <w:t>4</w:t>
      </w:r>
      <w:r>
        <w:rPr>
          <w:rFonts w:ascii="楷体_GB2312" w:eastAsia="楷体_GB2312" w:hAnsi="Times New Roman" w:cs="楷体_GB2312" w:hint="eastAsia"/>
          <w:sz w:val="24"/>
          <w:szCs w:val="24"/>
        </w:rPr>
        <w:t>、有依法缴纳税收和社会保障资金的良好记录；</w:t>
      </w:r>
    </w:p>
    <w:p w:rsidR="00A73BD1" w:rsidRDefault="00D16DD2">
      <w:pPr>
        <w:snapToGrid w:val="0"/>
        <w:spacing w:line="460" w:lineRule="exact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/>
          <w:sz w:val="24"/>
          <w:szCs w:val="24"/>
        </w:rPr>
        <w:t>5</w:t>
      </w:r>
      <w:r>
        <w:rPr>
          <w:rFonts w:ascii="楷体_GB2312" w:eastAsia="楷体_GB2312" w:hAnsi="Times New Roman" w:cs="楷体_GB2312" w:hint="eastAsia"/>
          <w:sz w:val="24"/>
          <w:szCs w:val="24"/>
        </w:rPr>
        <w:t>、参加政府采购活动近三年内，在经营活动中没有重大违法记录。</w:t>
      </w:r>
    </w:p>
    <w:p w:rsidR="00A73BD1" w:rsidRDefault="00D16DD2">
      <w:pPr>
        <w:snapToGrid w:val="0"/>
        <w:spacing w:line="460" w:lineRule="exact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/>
          <w:sz w:val="24"/>
          <w:szCs w:val="24"/>
        </w:rPr>
        <w:t>6</w:t>
      </w:r>
      <w:r>
        <w:rPr>
          <w:rFonts w:ascii="楷体_GB2312" w:eastAsia="楷体_GB2312" w:hAnsi="Times New Roman" w:cs="楷体_GB2312" w:hint="eastAsia"/>
          <w:sz w:val="24"/>
          <w:szCs w:val="24"/>
        </w:rPr>
        <w:t>、法律、行政法规规定的其他条件</w:t>
      </w:r>
    </w:p>
    <w:p w:rsidR="00A73BD1" w:rsidRDefault="00D16DD2">
      <w:pPr>
        <w:snapToGrid w:val="0"/>
        <w:spacing w:line="460" w:lineRule="exact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 w:hint="eastAsia"/>
          <w:sz w:val="24"/>
          <w:szCs w:val="24"/>
        </w:rPr>
        <w:t>（二）特定资格条件</w:t>
      </w:r>
    </w:p>
    <w:p w:rsidR="00A73BD1" w:rsidRDefault="00D16DD2">
      <w:pPr>
        <w:ind w:firstLineChars="600" w:firstLine="1440"/>
        <w:rPr>
          <w:rFonts w:ascii="楷体_GB2312" w:eastAsia="楷体_GB2312" w:hAnsi="Times New Roman" w:cs="Times New Roman"/>
          <w:color w:val="0000FF"/>
          <w:sz w:val="24"/>
          <w:szCs w:val="24"/>
        </w:rPr>
      </w:pPr>
      <w:r>
        <w:rPr>
          <w:rFonts w:ascii="楷体_GB2312" w:eastAsia="楷体_GB2312" w:hAnsi="Times New Roman" w:cs="楷体_GB2312" w:hint="eastAsia"/>
          <w:sz w:val="24"/>
          <w:szCs w:val="24"/>
        </w:rPr>
        <w:t>无</w:t>
      </w:r>
    </w:p>
    <w:p w:rsidR="00A73BD1" w:rsidRDefault="00D16DD2">
      <w:pPr>
        <w:widowControl/>
        <w:spacing w:line="460" w:lineRule="exac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楷体_GB2312" w:hint="eastAsia"/>
          <w:sz w:val="24"/>
          <w:szCs w:val="24"/>
        </w:rPr>
        <w:t>二、1、货物需求一览表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1627"/>
        <w:gridCol w:w="2235"/>
        <w:gridCol w:w="2431"/>
      </w:tblGrid>
      <w:tr w:rsidR="00A73BD1">
        <w:trPr>
          <w:trHeight w:hRule="exact" w:val="327"/>
          <w:jc w:val="center"/>
        </w:trPr>
        <w:tc>
          <w:tcPr>
            <w:tcW w:w="2947" w:type="dxa"/>
            <w:vAlign w:val="center"/>
          </w:tcPr>
          <w:p w:rsidR="00A73BD1" w:rsidRDefault="00D16DD2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627" w:type="dxa"/>
            <w:vAlign w:val="center"/>
          </w:tcPr>
          <w:p w:rsidR="00A73BD1" w:rsidRDefault="00D16DD2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  <w:t>数量</w:t>
            </w:r>
            <w:r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  <w:t>(</w:t>
            </w:r>
            <w:r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  <w:t>批</w:t>
            </w:r>
            <w:r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35" w:type="dxa"/>
            <w:vAlign w:val="center"/>
          </w:tcPr>
          <w:p w:rsidR="00A73BD1" w:rsidRDefault="00D16DD2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  <w:t>最高限价（万元）</w:t>
            </w:r>
          </w:p>
        </w:tc>
        <w:tc>
          <w:tcPr>
            <w:tcW w:w="2431" w:type="dxa"/>
          </w:tcPr>
          <w:p w:rsidR="00A73BD1" w:rsidRDefault="00D16DD2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备注</w:t>
            </w:r>
          </w:p>
        </w:tc>
      </w:tr>
      <w:tr w:rsidR="00A73BD1">
        <w:trPr>
          <w:trHeight w:hRule="exact" w:val="2280"/>
          <w:jc w:val="center"/>
        </w:trPr>
        <w:tc>
          <w:tcPr>
            <w:tcW w:w="2947" w:type="dxa"/>
            <w:vAlign w:val="center"/>
          </w:tcPr>
          <w:p w:rsidR="00A73BD1" w:rsidRDefault="00D16DD2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研究生导师培训室多媒体设施设备</w:t>
            </w:r>
          </w:p>
        </w:tc>
        <w:tc>
          <w:tcPr>
            <w:tcW w:w="1627" w:type="dxa"/>
            <w:vAlign w:val="center"/>
          </w:tcPr>
          <w:p w:rsidR="00A73BD1" w:rsidRDefault="00D16DD2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center"/>
          </w:tcPr>
          <w:p w:rsidR="00A73BD1" w:rsidRDefault="00D16DD2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1" w:type="dxa"/>
            <w:vAlign w:val="center"/>
          </w:tcPr>
          <w:p w:rsidR="00A73BD1" w:rsidRDefault="00D16DD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1、超过本项目</w:t>
            </w:r>
            <w:r>
              <w:rPr>
                <w:rFonts w:ascii="宋体" w:hAnsi="宋体" w:hint="eastAsia"/>
              </w:rPr>
              <w:t>最高限价</w:t>
            </w:r>
            <w:r>
              <w:rPr>
                <w:rFonts w:ascii="宋体" w:hAnsi="宋体"/>
              </w:rPr>
              <w:t>将失去成为中标候选供应商的资格。</w:t>
            </w:r>
          </w:p>
          <w:p w:rsidR="00A73BD1" w:rsidRDefault="00D16DD2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</w:rPr>
              <w:t>2、本项目投标产品必须为中国大陆境内生产。</w:t>
            </w:r>
          </w:p>
        </w:tc>
      </w:tr>
    </w:tbl>
    <w:p w:rsidR="00A73BD1" w:rsidRDefault="00A73BD1">
      <w:pPr>
        <w:widowControl/>
        <w:spacing w:line="460" w:lineRule="exact"/>
        <w:rPr>
          <w:rFonts w:ascii="楷体_GB2312" w:eastAsia="楷体_GB2312" w:hAnsi="Times New Roman" w:cs="楷体_GB2312"/>
          <w:sz w:val="24"/>
          <w:szCs w:val="24"/>
        </w:rPr>
      </w:pPr>
    </w:p>
    <w:p w:rsidR="00A73BD1" w:rsidRDefault="00D16DD2">
      <w:pPr>
        <w:widowControl/>
        <w:spacing w:line="460" w:lineRule="exact"/>
        <w:rPr>
          <w:rFonts w:ascii="楷体_GB2312" w:eastAsia="楷体_GB2312" w:hAnsi="Times New Roman" w:cs="楷体_GB2312"/>
          <w:sz w:val="24"/>
          <w:szCs w:val="24"/>
        </w:rPr>
      </w:pPr>
      <w:r>
        <w:rPr>
          <w:rFonts w:ascii="楷体_GB2312" w:eastAsia="楷体_GB2312" w:hAnsi="Times New Roman" w:cs="楷体_GB2312" w:hint="eastAsia"/>
          <w:sz w:val="24"/>
          <w:szCs w:val="24"/>
        </w:rPr>
        <w:t>1</w:t>
      </w:r>
      <w:r>
        <w:rPr>
          <w:rFonts w:ascii="楷体_GB2312" w:eastAsia="楷体_GB2312" w:hAnsi="Times New Roman" w:cs="楷体_GB2312"/>
          <w:sz w:val="24"/>
          <w:szCs w:val="24"/>
        </w:rPr>
        <w:t>.</w:t>
      </w:r>
      <w:r>
        <w:rPr>
          <w:rFonts w:ascii="楷体_GB2312" w:eastAsia="楷体_GB2312" w:hAnsi="Times New Roman" w:cs="楷体_GB2312" w:hint="eastAsia"/>
          <w:sz w:val="24"/>
          <w:szCs w:val="24"/>
        </w:rPr>
        <w:t>采购需求：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827"/>
        <w:gridCol w:w="1559"/>
        <w:gridCol w:w="2268"/>
      </w:tblGrid>
      <w:tr w:rsidR="00A73BD1">
        <w:trPr>
          <w:trHeight w:val="570"/>
        </w:trPr>
        <w:tc>
          <w:tcPr>
            <w:tcW w:w="560" w:type="dxa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27" w:type="dxa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sz w:val="24"/>
                <w:szCs w:val="24"/>
              </w:rPr>
              <w:t>标的名称</w:t>
            </w:r>
          </w:p>
        </w:tc>
        <w:tc>
          <w:tcPr>
            <w:tcW w:w="1559" w:type="dxa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2268" w:type="dxa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A73BD1">
        <w:trPr>
          <w:trHeight w:val="450"/>
        </w:trPr>
        <w:tc>
          <w:tcPr>
            <w:tcW w:w="560" w:type="dxa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1</w:t>
            </w:r>
          </w:p>
        </w:tc>
        <w:tc>
          <w:tcPr>
            <w:tcW w:w="4827" w:type="dxa"/>
            <w:vAlign w:val="center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研究生导师培训室多媒体设施设备</w:t>
            </w:r>
          </w:p>
        </w:tc>
        <w:tc>
          <w:tcPr>
            <w:tcW w:w="1559" w:type="dxa"/>
            <w:vAlign w:val="center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批</w:t>
            </w:r>
          </w:p>
        </w:tc>
        <w:tc>
          <w:tcPr>
            <w:tcW w:w="2268" w:type="dxa"/>
            <w:vAlign w:val="center"/>
          </w:tcPr>
          <w:p w:rsidR="00A73BD1" w:rsidRDefault="00D16DD2">
            <w:pPr>
              <w:widowControl/>
              <w:spacing w:line="460" w:lineRule="exact"/>
              <w:rPr>
                <w:rFonts w:ascii="楷体_GB2312" w:eastAsia="楷体_GB2312" w:hAnsi="Times New Roman" w:cs="楷体_GB2312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1</w:t>
            </w:r>
          </w:p>
        </w:tc>
      </w:tr>
    </w:tbl>
    <w:p w:rsidR="00A73BD1" w:rsidRDefault="00A73BD1">
      <w:pPr>
        <w:widowControl/>
        <w:tabs>
          <w:tab w:val="left" w:pos="312"/>
        </w:tabs>
        <w:spacing w:line="460" w:lineRule="exact"/>
        <w:rPr>
          <w:rFonts w:ascii="楷体_GB2312" w:eastAsia="楷体_GB2312" w:hAnsi="Times New Roman" w:cs="楷体_GB2312"/>
          <w:sz w:val="24"/>
          <w:szCs w:val="24"/>
        </w:rPr>
      </w:pPr>
    </w:p>
    <w:p w:rsidR="00A73BD1" w:rsidRDefault="00D16DD2">
      <w:pPr>
        <w:widowControl/>
        <w:tabs>
          <w:tab w:val="left" w:pos="312"/>
        </w:tabs>
        <w:spacing w:line="460" w:lineRule="exact"/>
        <w:rPr>
          <w:rFonts w:ascii="楷体_GB2312" w:eastAsia="楷体_GB2312" w:hAnsi="Times New Roman" w:cs="楷体_GB2312"/>
          <w:sz w:val="24"/>
          <w:szCs w:val="24"/>
        </w:rPr>
      </w:pPr>
      <w:r>
        <w:rPr>
          <w:rFonts w:ascii="楷体_GB2312" w:eastAsia="楷体_GB2312" w:hAnsi="Times New Roman" w:cs="楷体_GB2312" w:hint="eastAsia"/>
          <w:sz w:val="24"/>
          <w:szCs w:val="24"/>
        </w:rPr>
        <w:t>2</w:t>
      </w:r>
      <w:r>
        <w:rPr>
          <w:rFonts w:ascii="楷体_GB2312" w:eastAsia="楷体_GB2312" w:hAnsi="Times New Roman" w:cs="楷体_GB2312"/>
          <w:sz w:val="24"/>
          <w:szCs w:val="24"/>
        </w:rPr>
        <w:t>.</w:t>
      </w:r>
      <w:r>
        <w:rPr>
          <w:rFonts w:ascii="楷体_GB2312" w:eastAsia="楷体_GB2312" w:hAnsi="Times New Roman" w:cs="楷体_GB2312" w:hint="eastAsia"/>
          <w:sz w:val="24"/>
          <w:szCs w:val="24"/>
        </w:rPr>
        <w:t>技术需求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2086"/>
        <w:gridCol w:w="3456"/>
        <w:gridCol w:w="732"/>
        <w:gridCol w:w="636"/>
        <w:gridCol w:w="1525"/>
      </w:tblGrid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主要技术参数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推荐品牌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1.导师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讨论室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音频扩声系统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线性音柱扬声器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1.系 统：≥1*8寸二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分频全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频音箱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2.高音单元：≥1x25mm音圈压缩单元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3.低音单元：≥1x38mm音圈驱动单元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4.频率响应：≥75Hz-18KHz (-3dB)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5.功 率：≥150W（RMS） 300W （PEAK）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6.标称阻抗：8Ω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7.灵 敏 度：≥94dB/1W/1M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8.最大声压：≥118dB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9.覆盖角度：≥水平 80° 垂直 50°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10.颜色：白色；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只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HUAIN/华音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Chuartion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/创讯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FCRC/集议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大功率同轴吸顶扬声器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1.系统：≥6"天花吸顶音箱；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2.额定功率≥60W、峰值功率≥100W；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3.阻抗：8Ω；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4.频率响应：≥70Hz-20KHz；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5.灵敏度：≥91dB/1W/1M；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6.机身材质：铁后壳/ABS面板；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7.颜色：白色；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HUAIN/华音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Chuartion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/创讯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FCRC/集议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四通道功率放大器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1.具备≥160×32高亮度显示屏，可显示通道音量等信息；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2.系统具备自动限幅输出、短路过载、高温、开机延时等保护功能（需提供“功放线路自检嵌入式集成控制软件”计算机软件著作权登记证书，提供制造商盖公章的证书复印件）；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3.支持≥2×400W/8Ω，≥2×800W/4Ω、桥接≥1×1000W/8Ω多种阻抗功率；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4.内置滤波功能，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可滤除数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声及其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它设备的高频干扰；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5.频率响应≥20Hz-20KHz；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HUAIN/华音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Chuartion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/创讯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FCRC/集议</w:t>
            </w: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A73BD1" w:rsidRPr="001001A3" w:rsidRDefault="00A73BD1" w:rsidP="00E9325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6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音视频管控平台主机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1.内建网络接口、支持网络级联、支持远程网络控制，兼容IOS与Android系统；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2.系统同时支持433MHz无线射频通讯技术和2.4G/5G无线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通讯技术；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3.采用667MHz主频32位内嵌式处理器，ARM11 CPU、1G内存及2G FLASH存储器；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4.系统装备7"LCD电容触控屏，具备快速调节音视频控制功能，支持UI界面上传；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5.全面支持TCP/UDP控制协议，一个网口一条网线即可控制多台网络设备；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6.全面兼容无线触摸屏、有线触摸屏、PC电脑、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iPad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、iPhone、Android系统终端控制；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7.支持多台相同或者不相同的控制终端同时控制同一台中控主机，可自定义控制终端权限；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8.采用24位数模转换，96KHz音频采样频率，频率响应为20Hz-20KHz；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9.内置反馈抑制（AFC）、环境噪音回声消除（AEC）、噪声抑制（ANC）、自动增益控制（AGC）自动混音（Auto Mixer）、增益共享、门限自动混音、闪避器功能；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10.支持8×8路模拟输入输出音频通道，可选配8×8路Dante协议音频通道；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11.支持连接8台高清摄像机，内置8×8路HDMI高清视频矩阵，可连接各种HDMI高清信号；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12.具备8路独立动态可编程RS-232（内部使用2路）与4路RS-485控制接口，系统全面支持各种控制连接协议；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13.具备6路IR红外发射接口、4路数字 I/0输入输出控制口、4路RY弱继电器控制接口；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14.具备8路GPIO可独立配置输入输出接口，配置输入时可用作独立ADC模式转换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器；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15.内置自动识别USB接口声卡，支持本地录播和远程会议多种场合使用；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16.支持16组音频模式设定与调用，每种预设模式独立工作;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17.支持扩展Dante协议音频输出，可与其它Dante音频设备进行语音通讯；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18.具有恢复出厂值功能，支持一键复位至出厂状态，防止调乱参数；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19.投标产品具备“音视频管理平台控制软件”软件著作权登记证书，并获得了高新技术产品认定证书；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HUAIN/华音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Chuartion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/创讯</w:t>
            </w:r>
          </w:p>
          <w:p w:rsidR="00A73BD1" w:rsidRPr="001001A3" w:rsidRDefault="00D16DD2" w:rsidP="00E9325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FCRC/集议</w:t>
            </w:r>
          </w:p>
        </w:tc>
      </w:tr>
      <w:tr w:rsidR="00A73BD1">
        <w:trPr>
          <w:trHeight w:val="36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无线话筒（一手持一领夹）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1.采用UHF双通道多频道设计，运用高精度锁相环频率合成PLL技术，传输更稳定；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2.装备2×3英寸高亮度LCD显示屏，可动态显示系统信号.音量.通道.频点数值；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3.采用先进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自动对频技术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，系统具备自动搜索选择频率及ACT（自动频道追锁）功能；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4.采用615.125-664.75MHz频段，具备200个可选频点，方便多套使用，轻松避开各类干扰；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5.具有独立接收灵敏度调节功能，可对系统输出信号人性化调节，可初始化音频调节；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6.超强抗手机干扰能力，来电时绝不产生噪音，在有手机信号屏蔽器会场可正常使用；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7.具备两路独立卡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输出及一路6.35mm混合输出，方便会议全程音频独立录音保存；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8.理想环境有效距离可达80米，具备自由发言工作模式，适用于各类高要求会议场合；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9.同一场合可多套主机同时使用，可与领夹话筒.桌面会议单元混合使用，通用性强；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HUAIN/华音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Chuartion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/创讯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FCRC/集议</w:t>
            </w:r>
          </w:p>
        </w:tc>
      </w:tr>
      <w:tr w:rsidR="00A73BD1">
        <w:trPr>
          <w:trHeight w:val="36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电容式演讲话筒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1.采用铝合金一体成型面板，表面无接缝、无螺丝孔；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2.具备防水防尘功能，防止开会过程中茶水泼溅影响设备正常使用；（获得IP68以上的防水等级证书，提供加盖产品制造商公章的证明文件）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3.高灵敏度设计，具备自动增益AGC功能；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4.采用先进静电隔离技术设计，即使在干燥的环境和地区也可以避免产生静电；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5.采用数字强抗干扰技术，确保会场内设备不受手机、蓝牙、无线电、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等信号干扰；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6.高保真无损音频传输技术，48KHz音频采样频率，拾音灵敏、语音清晰，频率响应可达30Hz-20KHz；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7.内置音头前置供电及放大器组件，采用外接直流48V幻象供电工作；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8.具备发言开关按键，操作简捷、快速；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HUAIN/华音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Chuartion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/创讯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FCRC/集议</w:t>
            </w: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6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机柜电源净化处理器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1.具备8路16A双重净化专用EMI一级滤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波净化系统电源，可消除灯光.线路.电磁等对音频系统的干扰；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2.具有1路前置常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供电非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时序电源及8路后置时序电源输出接口，总输出电流为40A；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3.具备1路前置可控开/关USB接口，方便给常用电源设备供电，可连接&lt;50mA的USB照明灯；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4.装备128×64LCD显示屏，高精度电压表可实时监控电压，支持电源指示，8路独立继电器工作状态指示；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5.可设置每个通道开启或关闭延时时间，延时可设置为0-999秒，默认延时为1秒；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6.协议和接口的开放性，提供1路RS-232控制接口与所有可编程控制主机兼容或电脑软件控制；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7.配套全功能电源时序器控制软件，实时状态监测和实时控制；（需提供“电源时序器与控制器管理软件”计算机软件著作权登记证书，提供制造商盖公章的证书复印件）；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HUAIN/华音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Chuartion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/创讯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FCRC/集议</w:t>
            </w: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6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高清视频显示系统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投影仪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 w:rsidP="00E932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1.ISO亮度≧4500 流明 ，DLP技术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2.对比度≧20000：1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3.均匀度≧90%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4.分辨率≧1920*1080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5.支持镜头垂直水平位移功能 ,密封光机\光源系统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6.激光光源（寿命20000小时），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7.接口：VGAIN*1，3D-Sync Out*1、HDMI*3、12V控制口*1、RJ-45*1,USB*1 、内置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HDBaseT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接收器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8.几何校正功能(四角校正、水平梯形校正、垂直梯形校正)；　　　　　　　　　　　　　　　　　　　　　　　　　　　　　　　　　　　　　　　　　　　　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9.支持720度任意吊装（镜头向上或下360度、侧面360度安装），净重 ≥10.7KG(不含包装和配件)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10.支持2.35:1投影画面模式, 支持蓝光3D、IR 3D、DLP-Link 3D，3D-Sync in\out接口，堆叠偏光3D设计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11.具有DICOM模式,适合医疗教育及培训使用,摇控器可临时关闭投画面和画面冻结功能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12.提供投标产品</w:t>
            </w:r>
            <w:r w:rsidR="00E932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国家知识产权局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电子器件的散热装置的认证证书复印件（加盖投标产品制造商鲜章）;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13.提供投标产品</w:t>
            </w:r>
            <w:r w:rsidR="00E932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国家知识产权局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电子元件承载组件的认证证书复印件（加盖投标产品制造商鲜章）;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14.提供</w:t>
            </w:r>
            <w:r w:rsidR="00E9325E" w:rsidRPr="00E932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国家广电产品质量监督检验中心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投标产品数字投影机激光光源的检测报告（</w:t>
            </w:r>
            <w:r w:rsidR="00E932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加盖投标产品制造商鲜章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spellStart"/>
            <w:r w:rsidRPr="001001A3">
              <w:rPr>
                <w:rFonts w:ascii="宋体" w:hAnsi="宋体" w:cs="宋体" w:hint="eastAsia"/>
                <w:sz w:val="15"/>
                <w:szCs w:val="15"/>
                <w:shd w:val="clear" w:color="auto" w:fill="FFFFFF"/>
              </w:rPr>
              <w:t>Vivitek</w:t>
            </w:r>
            <w:proofErr w:type="spellEnd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  <w:r w:rsidRPr="001001A3">
              <w:rPr>
                <w:rStyle w:val="aa"/>
                <w:rFonts w:ascii="宋体" w:hAnsi="宋体" w:cs="宋体" w:hint="eastAsia"/>
                <w:i w:val="0"/>
                <w:sz w:val="15"/>
                <w:szCs w:val="15"/>
                <w:shd w:val="clear" w:color="auto" w:fill="FFFFFF"/>
              </w:rPr>
              <w:t>丽讯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EPSON/爱普生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Panasonic/松下</w:t>
            </w: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电动投影幕布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120寸：16：9电动投影幕布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  <w:shd w:val="clear" w:color="auto" w:fill="FFFFFF"/>
              </w:rPr>
            </w:pPr>
            <w:r w:rsidRPr="001001A3">
              <w:rPr>
                <w:rFonts w:ascii="宋体" w:hAnsi="宋体" w:cs="宋体" w:hint="eastAsia"/>
                <w:sz w:val="15"/>
                <w:szCs w:val="15"/>
                <w:shd w:val="clear" w:color="auto" w:fill="FFFFFF"/>
              </w:rPr>
              <w:t>红叶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白雪</w:t>
            </w:r>
          </w:p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视美佳</w:t>
            </w:r>
            <w:proofErr w:type="gramEnd"/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固定投影吊架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最大承重：15KG，手动调节高度，行程1.5米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控制电脑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3BD1" w:rsidRDefault="00D16DD2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I5处理器，500G硬盘，4G内存，2G独显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线材及辅材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2x1.5mm² 护套喇叭线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2x1.5mm²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安装用音频信号线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2×0.37mm²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电源线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RVV3*1.5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CAT6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HDMI高清信号线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HDMI，20米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HDMI音频分离器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HDMI音频分离器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芯卡龙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公插头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芯卡龙母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插头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PVC线管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PVC25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安装附材及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安装配件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</w:tc>
      </w:tr>
      <w:tr w:rsidR="00A73BD1">
        <w:trPr>
          <w:trHeight w:val="38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高品质讲桌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1、钢木材料，木质护手，采用分体式设计，桌面部分和桌体部分自成一体；桌体采用≥1.5mm冷轧钢板；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附锁钥匙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2套； 2、桌面采用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木纹色耐划木质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材料，扶手及L型板，整体圆弧设计； 3、长宽高（mm）：≥1100* 800* 1000； 4、可安装17-21.5寸液晶显示器，液晶屏采用机械式升降设计，使视线和显示器接近垂直，键盘采用翻转式操作； 5、提供左右扶手、前置活动L型板； 6、隐藏式滑轨抽拉，可容纳键盘、鼠标、控制面板 ； 7、设备箱内隔板活动可调，所有铰链为内藏式铰链； 8、坚固的磁控锁防护，保护设备的互循环散热结构； 9、内设漏电断电保护装置、并配备智能排风降温防潮系 统, 保护内部设备的互循环散热，温度40度以上自动运行系统; 10、右侧可放置实物展示台，采用自动阻尼隐藏抽拉式设计，实物展台部分只要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合闭后就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可以自动锁闭，不需要单独的锁具或手动锁，一把钥匙两把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锁控制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整个讲台； 11、下体可以放置台式机电脑主机、分体式中控主机、功放机、DVD、卡座、无线话筒等设备； 12、功能丰富的ADS材料信息接口面板（VGA≥1个、AUDIO≥1个、USB≥2个、网络接口≥1个、话筒接口≥1个）； 13、小门式光驱位，可经由计算机播放 DVD、VCD等光盘片；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D1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BD1" w:rsidRPr="001001A3" w:rsidRDefault="00D16DD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001A3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国优</w:t>
            </w: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A73BD1" w:rsidRPr="001001A3" w:rsidRDefault="00A73B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</w:tbl>
    <w:p w:rsidR="00A73BD1" w:rsidRDefault="00A73BD1">
      <w:pPr>
        <w:adjustRightInd w:val="0"/>
        <w:snapToGrid w:val="0"/>
        <w:spacing w:line="400" w:lineRule="atLeast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0" w:name="_Toc41472324"/>
    </w:p>
    <w:p w:rsidR="00A73BD1" w:rsidRDefault="00D16DD2">
      <w:pPr>
        <w:spacing w:line="500" w:lineRule="exact"/>
        <w:ind w:left="482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（1）、本项目属于“交钥匙”工程，报价含该项目所涉及的所有费用。</w:t>
      </w:r>
    </w:p>
    <w:p w:rsidR="00A73BD1" w:rsidRDefault="00D16DD2" w:rsidP="00E9325E">
      <w:pPr>
        <w:spacing w:line="500" w:lineRule="exact"/>
        <w:ind w:left="482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（2）、为保证B栋521教室内信息化设备的互联互通与兼容性，</w:t>
      </w:r>
      <w:r w:rsidR="003043CA">
        <w:rPr>
          <w:rFonts w:ascii="宋体" w:hAnsi="宋体" w:hint="eastAsia"/>
          <w:bCs/>
          <w:sz w:val="24"/>
          <w:szCs w:val="24"/>
        </w:rPr>
        <w:t>以及后期统一维护的需要，</w:t>
      </w:r>
      <w:r>
        <w:rPr>
          <w:rFonts w:ascii="宋体" w:hAnsi="宋体" w:hint="eastAsia"/>
          <w:bCs/>
          <w:sz w:val="24"/>
          <w:szCs w:val="24"/>
        </w:rPr>
        <w:t>要求B栋521教室内</w:t>
      </w:r>
      <w:r w:rsidR="00E9325E" w:rsidRPr="00E9325E">
        <w:rPr>
          <w:rFonts w:ascii="宋体" w:hAnsi="宋体" w:hint="eastAsia"/>
          <w:bCs/>
          <w:sz w:val="24"/>
          <w:szCs w:val="24"/>
        </w:rPr>
        <w:t>线性音柱扬声器</w:t>
      </w:r>
      <w:r w:rsidR="00E9325E">
        <w:rPr>
          <w:rFonts w:ascii="宋体" w:hAnsi="宋体" w:hint="eastAsia"/>
          <w:bCs/>
          <w:sz w:val="24"/>
          <w:szCs w:val="24"/>
        </w:rPr>
        <w:t>、</w:t>
      </w:r>
      <w:r w:rsidR="00E9325E" w:rsidRPr="00E9325E">
        <w:rPr>
          <w:rFonts w:ascii="宋体" w:hAnsi="宋体" w:hint="eastAsia"/>
          <w:bCs/>
          <w:sz w:val="24"/>
          <w:szCs w:val="24"/>
        </w:rPr>
        <w:t>大功率同轴吸顶扬声器</w:t>
      </w:r>
      <w:r w:rsidR="00E9325E">
        <w:rPr>
          <w:rFonts w:ascii="宋体" w:hAnsi="宋体" w:hint="eastAsia"/>
          <w:bCs/>
          <w:sz w:val="24"/>
          <w:szCs w:val="24"/>
        </w:rPr>
        <w:t>、</w:t>
      </w:r>
      <w:r w:rsidR="00E9325E" w:rsidRPr="00E9325E">
        <w:rPr>
          <w:rFonts w:ascii="宋体" w:hAnsi="宋体" w:hint="eastAsia"/>
          <w:bCs/>
          <w:sz w:val="24"/>
          <w:szCs w:val="24"/>
        </w:rPr>
        <w:t>四通道功率放大器</w:t>
      </w:r>
      <w:r w:rsidR="00E9325E">
        <w:rPr>
          <w:rFonts w:ascii="宋体" w:hAnsi="宋体" w:hint="eastAsia"/>
          <w:bCs/>
          <w:sz w:val="24"/>
          <w:szCs w:val="24"/>
        </w:rPr>
        <w:t>、</w:t>
      </w:r>
      <w:r w:rsidR="00E9325E" w:rsidRPr="00E9325E">
        <w:rPr>
          <w:rFonts w:ascii="宋体" w:hAnsi="宋体" w:hint="eastAsia"/>
          <w:bCs/>
          <w:sz w:val="24"/>
          <w:szCs w:val="24"/>
        </w:rPr>
        <w:t>音视频管控平台主机</w:t>
      </w:r>
      <w:r w:rsidR="00E9325E">
        <w:rPr>
          <w:rFonts w:ascii="宋体" w:hAnsi="宋体" w:hint="eastAsia"/>
          <w:bCs/>
          <w:sz w:val="24"/>
          <w:szCs w:val="24"/>
        </w:rPr>
        <w:t>、</w:t>
      </w:r>
      <w:r w:rsidR="00E9325E">
        <w:rPr>
          <w:rFonts w:hint="eastAsia"/>
        </w:rPr>
        <w:t>无线话筒（一手持一领夹）、电容式演讲话筒、机柜电源</w:t>
      </w:r>
      <w:r w:rsidR="00E9325E">
        <w:rPr>
          <w:rFonts w:hint="eastAsia"/>
        </w:rPr>
        <w:lastRenderedPageBreak/>
        <w:t>净化处</w:t>
      </w:r>
      <w:r w:rsidR="00E9325E" w:rsidRPr="003043CA">
        <w:rPr>
          <w:rFonts w:ascii="宋体" w:hAnsi="宋体" w:hint="eastAsia"/>
          <w:bCs/>
          <w:sz w:val="24"/>
          <w:szCs w:val="24"/>
        </w:rPr>
        <w:t>理器</w:t>
      </w:r>
      <w:r w:rsidRPr="003043CA">
        <w:rPr>
          <w:rFonts w:ascii="宋体" w:hAnsi="宋体" w:hint="eastAsia"/>
          <w:bCs/>
          <w:sz w:val="24"/>
          <w:szCs w:val="24"/>
        </w:rPr>
        <w:t>为同一品牌</w:t>
      </w:r>
      <w:r>
        <w:rPr>
          <w:rFonts w:ascii="宋体" w:hAnsi="宋体" w:hint="eastAsia"/>
          <w:bCs/>
          <w:sz w:val="24"/>
          <w:szCs w:val="24"/>
        </w:rPr>
        <w:t>。</w:t>
      </w:r>
    </w:p>
    <w:p w:rsidR="00A73BD1" w:rsidRDefault="00D16DD2">
      <w:pPr>
        <w:spacing w:line="500" w:lineRule="exact"/>
        <w:ind w:left="482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</w:t>
      </w:r>
      <w:r w:rsidR="00E9325E">
        <w:rPr>
          <w:rFonts w:ascii="宋体" w:hAnsi="宋体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）、各产品必须符合国家颁布或行业规定的环保和消防要求；</w:t>
      </w:r>
    </w:p>
    <w:p w:rsidR="00A73BD1" w:rsidRDefault="00D16DD2">
      <w:pPr>
        <w:spacing w:line="50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</w:t>
      </w:r>
      <w:r w:rsidR="00E9325E">
        <w:rPr>
          <w:rFonts w:ascii="宋体" w:hAnsi="宋体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）、竞标人所投设备配置必须完全符合或高于上述要求，否则作废标处理；</w:t>
      </w:r>
    </w:p>
    <w:p w:rsidR="00A73BD1" w:rsidRDefault="00D16DD2" w:rsidP="001B4597">
      <w:pPr>
        <w:adjustRightInd w:val="0"/>
        <w:snapToGrid w:val="0"/>
        <w:spacing w:line="400" w:lineRule="atLeas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</w:t>
      </w:r>
      <w:r w:rsidR="00E9325E">
        <w:rPr>
          <w:rFonts w:ascii="宋体" w:hAnsi="宋体"/>
          <w:bCs/>
          <w:sz w:val="24"/>
          <w:szCs w:val="24"/>
        </w:rPr>
        <w:t>5</w:t>
      </w:r>
      <w:r>
        <w:rPr>
          <w:rFonts w:ascii="宋体" w:hAnsi="宋体" w:hint="eastAsia"/>
          <w:bCs/>
          <w:sz w:val="24"/>
          <w:szCs w:val="24"/>
        </w:rPr>
        <w:t>）、竞标人须在货物情况报告中详细列出所投货物的配置情况（品牌、型号）及配件（如有配件的请专门注明其单价、功能等，以便评标时参考）。</w:t>
      </w:r>
    </w:p>
    <w:p w:rsidR="00A73BD1" w:rsidRDefault="00D16DD2">
      <w:pPr>
        <w:adjustRightInd w:val="0"/>
        <w:snapToGrid w:val="0"/>
        <w:spacing w:line="400" w:lineRule="atLeast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3.其他要求</w:t>
      </w:r>
    </w:p>
    <w:bookmarkEnd w:id="0"/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．本项目报价含开发、安装、培训、软件接口、税费、利润等一切费用，为总包干价格。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．参与报价的单位必须满足标书要求，对于未能满足标书要求参与报价且成为中标候选人的单位，将取消中标资格、没收其投标保证金、并且三年内不得再次参与学校的招标采购活动。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3．中标候选人应在竞</w:t>
      </w:r>
      <w:proofErr w:type="gramStart"/>
      <w:r>
        <w:rPr>
          <w:rFonts w:ascii="宋体" w:hAnsi="宋体" w:cs="宋体" w:hint="eastAsia"/>
          <w:sz w:val="24"/>
          <w:szCs w:val="24"/>
        </w:rPr>
        <w:t>标结束</w:t>
      </w:r>
      <w:proofErr w:type="gramEnd"/>
      <w:r>
        <w:rPr>
          <w:rFonts w:ascii="宋体" w:hAnsi="宋体" w:cs="宋体" w:hint="eastAsia"/>
          <w:sz w:val="24"/>
          <w:szCs w:val="24"/>
        </w:rPr>
        <w:t>后</w:t>
      </w:r>
      <w:r>
        <w:rPr>
          <w:rFonts w:ascii="宋体" w:hAnsi="宋体" w:cs="宋体" w:hint="eastAsia"/>
          <w:sz w:val="24"/>
          <w:szCs w:val="24"/>
          <w:u w:val="single"/>
        </w:rPr>
        <w:t>2</w:t>
      </w:r>
      <w:r>
        <w:rPr>
          <w:rFonts w:ascii="宋体" w:hAnsi="宋体" w:cs="宋体" w:hint="eastAsia"/>
          <w:sz w:val="24"/>
          <w:szCs w:val="24"/>
        </w:rPr>
        <w:t>个工作日内需向招标人提供下列以下资料，招标人审核合格后方能签订合同，否则视为虚假应标：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）营业执照（副本）或事业单位法人证书（副本）复印件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）组织机构代码证复印件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）上一年度财务状况报告（表）复印件，本年度新成立的公司提供竞标截止时间前一个月的财务状况报告（表）复印件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）税务登记证（副本）复印件和社会保险缴纳证明材料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）信用中国网站（</w:t>
      </w:r>
      <w:r>
        <w:rPr>
          <w:rFonts w:ascii="宋体" w:hAnsi="宋体" w:cs="宋体"/>
          <w:sz w:val="24"/>
          <w:szCs w:val="24"/>
        </w:rPr>
        <w:t>www.creditchina.gov.cn</w:t>
      </w:r>
      <w:r>
        <w:rPr>
          <w:rFonts w:ascii="宋体" w:hAnsi="宋体" w:cs="宋体" w:hint="eastAsia"/>
          <w:sz w:val="24"/>
          <w:szCs w:val="24"/>
        </w:rPr>
        <w:t>）及中国政府采购网（</w:t>
      </w:r>
      <w:r>
        <w:rPr>
          <w:rFonts w:ascii="宋体" w:hAnsi="宋体" w:cs="宋体"/>
          <w:sz w:val="24"/>
          <w:szCs w:val="24"/>
        </w:rPr>
        <w:t>www.ccgp.gov.cn</w:t>
      </w:r>
      <w:r>
        <w:rPr>
          <w:rFonts w:ascii="宋体" w:hAnsi="宋体" w:cs="宋体" w:hint="eastAsia"/>
          <w:sz w:val="24"/>
          <w:szCs w:val="24"/>
        </w:rPr>
        <w:t>）查询结果（查询时间为本项目采购公告发布之日起至竞标截止时间前，提供查询结果网页</w:t>
      </w:r>
      <w:proofErr w:type="gramStart"/>
      <w:r>
        <w:rPr>
          <w:rFonts w:ascii="宋体" w:hAnsi="宋体" w:cs="宋体" w:hint="eastAsia"/>
          <w:sz w:val="24"/>
          <w:szCs w:val="24"/>
        </w:rPr>
        <w:t>打印件并加盖</w:t>
      </w:r>
      <w:proofErr w:type="gramEnd"/>
      <w:r>
        <w:rPr>
          <w:rFonts w:ascii="宋体" w:hAnsi="宋体" w:cs="宋体" w:hint="eastAsia"/>
          <w:sz w:val="24"/>
          <w:szCs w:val="24"/>
        </w:rPr>
        <w:t>供应商公章），查询内容包括：“信用信息”查询结果；“失信被执行人”查询结果；“重大税收违法案件当事人名单”查询结果；“政府行政许可与行政处罚”查询结果；“政府采购严重违法失信行为记录名单”查询结果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）特定资格条件证书或证明文件</w:t>
      </w:r>
    </w:p>
    <w:p w:rsidR="00A73BD1" w:rsidRDefault="00D16DD2">
      <w:pPr>
        <w:spacing w:line="440" w:lineRule="exact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（7）技术响应及货物一览表</w:t>
      </w:r>
      <w:r>
        <w:rPr>
          <w:rFonts w:ascii="宋体" w:cs="Times New Roman" w:hint="eastAsia"/>
          <w:b/>
          <w:sz w:val="24"/>
          <w:szCs w:val="24"/>
        </w:rPr>
        <w:t>（网上竞价时需同时上传此响应表）</w:t>
      </w:r>
    </w:p>
    <w:p w:rsidR="00A73BD1" w:rsidRDefault="00D16DD2">
      <w:pPr>
        <w:spacing w:line="440" w:lineRule="exact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（8）报价方确认为有必要提供的其他资料。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4．项目执行人：龚老师　       联系电话：02362652445</w:t>
      </w:r>
    </w:p>
    <w:p w:rsidR="00A73BD1" w:rsidRPr="001001A3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cs="Times New Roman"/>
          <w:sz w:val="24"/>
          <w:szCs w:val="24"/>
        </w:rPr>
        <w:tab/>
      </w:r>
      <w:r w:rsidRPr="001001A3">
        <w:rPr>
          <w:rFonts w:ascii="宋体" w:hAnsi="宋体" w:cs="宋体" w:hint="eastAsia"/>
          <w:sz w:val="24"/>
          <w:szCs w:val="24"/>
        </w:rPr>
        <w:t>技术负责人：</w:t>
      </w:r>
      <w:r w:rsidR="001001A3">
        <w:rPr>
          <w:rFonts w:ascii="宋体" w:hAnsi="宋体" w:cs="宋体" w:hint="eastAsia"/>
          <w:sz w:val="24"/>
          <w:szCs w:val="24"/>
        </w:rPr>
        <w:t xml:space="preserve">张老师         </w:t>
      </w:r>
      <w:r w:rsidRPr="001001A3">
        <w:rPr>
          <w:rFonts w:ascii="宋体" w:hAnsi="宋体" w:cs="宋体" w:hint="eastAsia"/>
          <w:sz w:val="24"/>
          <w:szCs w:val="24"/>
        </w:rPr>
        <w:t>联系电话：</w:t>
      </w:r>
      <w:r w:rsidR="001001A3">
        <w:rPr>
          <w:rFonts w:ascii="宋体" w:hAnsi="宋体" w:cs="宋体" w:hint="eastAsia"/>
          <w:sz w:val="24"/>
          <w:szCs w:val="24"/>
        </w:rPr>
        <w:t>02362650399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三、成交原则</w:t>
      </w:r>
    </w:p>
    <w:p w:rsidR="00A73BD1" w:rsidRDefault="00D16DD2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1、根据供应商需提供的资料进行资格审</w:t>
      </w:r>
      <w:proofErr w:type="gramStart"/>
      <w:r>
        <w:rPr>
          <w:rFonts w:ascii="宋体" w:cs="宋体" w:hint="eastAsia"/>
          <w:sz w:val="24"/>
          <w:szCs w:val="24"/>
        </w:rPr>
        <w:t>査</w:t>
      </w:r>
      <w:proofErr w:type="gramEnd"/>
      <w:r>
        <w:rPr>
          <w:rFonts w:ascii="宋体" w:cs="宋体" w:hint="eastAsia"/>
          <w:sz w:val="24"/>
          <w:szCs w:val="24"/>
        </w:rPr>
        <w:t>，缺少任何一项均视为无效报价，作废标处理。</w:t>
      </w:r>
    </w:p>
    <w:p w:rsidR="00A73BD1" w:rsidRDefault="00D16DD2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lastRenderedPageBreak/>
        <w:t>2、未提供满足询价文件参数要求的样品到校的供应商视为无效报价，作废标处理。</w:t>
      </w:r>
    </w:p>
    <w:p w:rsidR="00A73BD1" w:rsidRDefault="00D16DD2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3、经学校采购小组审核材料及样品符合竞价文件要求，确定为有效报价。在合格供应商中确定最低价为中标人。</w:t>
      </w:r>
    </w:p>
    <w:p w:rsidR="00A73BD1" w:rsidRDefault="00D16DD2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4、成交供应商的变更 :中标候选人经审查不符合标书要求或其拒绝与采购人签订合同，同时其他投标人不少于三家的，采购人可以按照系统推荐的成交候选人顺序，确定排名下一位的候选人为成交人，也可以重新开展政府采购活动。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四、商务条款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（一）交货时间：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中标人应在采购合同签订后</w:t>
      </w:r>
      <w:r>
        <w:rPr>
          <w:rFonts w:ascii="宋体" w:hAnsi="宋体" w:cs="宋体" w:hint="eastAsia"/>
          <w:color w:val="FF0000"/>
          <w:sz w:val="24"/>
          <w:szCs w:val="24"/>
          <w:u w:val="single"/>
        </w:rPr>
        <w:t>20</w:t>
      </w:r>
      <w:r>
        <w:rPr>
          <w:rFonts w:ascii="宋体" w:cs="宋体" w:hint="eastAsia"/>
          <w:sz w:val="24"/>
          <w:szCs w:val="24"/>
        </w:rPr>
        <w:t>个日历日内交货并</w:t>
      </w:r>
      <w:r>
        <w:rPr>
          <w:rFonts w:ascii="宋体" w:hAnsi="宋体" w:cs="宋体" w:hint="eastAsia"/>
          <w:sz w:val="24"/>
          <w:szCs w:val="24"/>
        </w:rPr>
        <w:t>完成安装调试.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（二）交货地点：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重庆交通大学南岸校区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（三）验收方式： 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1、货物到达现场后，供应商应经采购人或其指定验收单位清点品名、规格、数量；检查外观，</w:t>
      </w:r>
      <w:proofErr w:type="gramStart"/>
      <w:r>
        <w:rPr>
          <w:rFonts w:ascii="宋体" w:hAnsi="宋体" w:cs="宋体" w:hint="eastAsia"/>
          <w:sz w:val="24"/>
          <w:szCs w:val="24"/>
        </w:rPr>
        <w:t>作出</w:t>
      </w:r>
      <w:proofErr w:type="gramEnd"/>
      <w:r>
        <w:rPr>
          <w:rFonts w:ascii="宋体" w:hAnsi="宋体" w:cs="宋体" w:hint="eastAsia"/>
          <w:sz w:val="24"/>
          <w:szCs w:val="24"/>
        </w:rPr>
        <w:t>验收记录，双方签字确认。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2、供应商应保证货物到达用户所在地完好无损，如有缺漏、损坏，由供应商负责调换、补齐或赔偿。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3、供应商应提供完备的技术资料、装箱单和合格证等，并派遣专业技术人员进行现场安装调试。验收合格条件如下：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3.1设备品种、规格、数量、技术参数以及商品品牌、生产厂家等与采购合同一致，性能指标达到规定的标准。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3.2货物技术资料、装箱单、合格证等资料齐全。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3.3在规定时间内完成交货并验收，并经采购人确认。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4、供应商提供的货物未达到询价文件规定要求，且对采购人造成损失的，由供应商承担一切责任，并赔偿所造成的损失。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5、大型或者复杂的政府采购产品项目，采购人可邀请国家认可的质量检测机构参加验收工作。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6、采购人需要厂家对成交供应商交付的产品（包括质量、技术参数等）进行确认的，厂家应予以配合，并出具书面意见。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7、产品包装材料归采购人所有。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（四）质量保证及售后服务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1、产品质量保证期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（1）自最终验收协议签署生效之日起，提供</w:t>
      </w:r>
      <w:r w:rsidR="00E72E68">
        <w:rPr>
          <w:rFonts w:ascii="宋体" w:cs="Times New Roman" w:hint="eastAsia"/>
          <w:sz w:val="24"/>
          <w:szCs w:val="24"/>
          <w:u w:val="single"/>
        </w:rPr>
        <w:t>2</w:t>
      </w:r>
      <w:bookmarkStart w:id="1" w:name="_GoBack"/>
      <w:bookmarkEnd w:id="1"/>
      <w:r>
        <w:rPr>
          <w:rFonts w:ascii="宋体" w:cs="Times New Roman" w:hint="eastAsia"/>
          <w:sz w:val="24"/>
          <w:szCs w:val="24"/>
        </w:rPr>
        <w:t>年的免费质保期；（若供应商有更优惠的质保期，请在响应文件中明确应答）。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（2）采购货物属于国家规定“三包”范围的，其产品质量保证期不得低于“三包”规定。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（3）采购货物由产品生产厂家（指产品生产厂家或其负责销售、售后服务机构，以下同）负责标准售后服务，应当在响应文件中予以明确说明，并提供相关文件。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2、售后服务内容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供应商和厂家在质量保证期内应当为采购人提供以下技术支持服务：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2.1质量保证期内服务要求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2.1.1电话咨询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成交供应商和厂家应当为用户提供技术援助电话，解答用户在使用中遇到的问题，及时为用户提出解决问题的建议。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2.1.2现场响应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用户遇到使用及技术问题，电话咨询不能解决的，成交供应商或厂家应在,</w:t>
      </w:r>
      <w:r>
        <w:rPr>
          <w:rFonts w:ascii="宋体" w:cs="Times New Roman"/>
          <w:sz w:val="24"/>
          <w:szCs w:val="24"/>
        </w:rPr>
        <w:t>24</w:t>
      </w:r>
      <w:r>
        <w:rPr>
          <w:rFonts w:ascii="宋体" w:cs="Times New Roman" w:hint="eastAsia"/>
          <w:sz w:val="24"/>
          <w:szCs w:val="24"/>
        </w:rPr>
        <w:t xml:space="preserve">小时内采取相应响应措施；无法在 </w:t>
      </w:r>
      <w:r>
        <w:rPr>
          <w:rFonts w:ascii="宋体" w:cs="Times New Roman"/>
          <w:sz w:val="24"/>
          <w:szCs w:val="24"/>
        </w:rPr>
        <w:t>24</w:t>
      </w:r>
      <w:r>
        <w:rPr>
          <w:rFonts w:ascii="宋体" w:cs="Times New Roman" w:hint="eastAsia"/>
          <w:sz w:val="24"/>
          <w:szCs w:val="24"/>
        </w:rPr>
        <w:t xml:space="preserve">小时内解决的，应在 </w:t>
      </w:r>
      <w:r>
        <w:rPr>
          <w:rFonts w:ascii="宋体" w:cs="Times New Roman"/>
          <w:sz w:val="24"/>
          <w:szCs w:val="24"/>
        </w:rPr>
        <w:t>72</w:t>
      </w:r>
      <w:r>
        <w:rPr>
          <w:rFonts w:ascii="宋体" w:cs="Times New Roman" w:hint="eastAsia"/>
          <w:sz w:val="24"/>
          <w:szCs w:val="24"/>
        </w:rPr>
        <w:t xml:space="preserve"> 时内派出专业人员进行技术支持。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2.1.3技术升级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在质保期内，如果成交供应商和厂家的产品技术升级，成交供应商应及时通知采购人，如采购人有相应要求，成交供应商和厂家应对采购人进行升级服务。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2.2质保期外服务要求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2.2.1质量保证期过后，成交供应商和厂家应同样提供免费电话咨询服务，并应承诺提供产品上门维护服务。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2.2.2质量保证期过后，采购人需要继续由</w:t>
      </w:r>
      <w:proofErr w:type="gramStart"/>
      <w:r>
        <w:rPr>
          <w:rFonts w:ascii="宋体" w:cs="Times New Roman" w:hint="eastAsia"/>
          <w:sz w:val="24"/>
          <w:szCs w:val="24"/>
        </w:rPr>
        <w:t>原成交</w:t>
      </w:r>
      <w:proofErr w:type="gramEnd"/>
      <w:r>
        <w:rPr>
          <w:rFonts w:ascii="宋体" w:cs="Times New Roman" w:hint="eastAsia"/>
          <w:sz w:val="24"/>
          <w:szCs w:val="24"/>
        </w:rPr>
        <w:t>供应商和厂家提供售后服务的，成交供应商和厂家应以优惠价格提供售后服务。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3、故障响应时间要求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供应</w:t>
      </w:r>
      <w:proofErr w:type="gramStart"/>
      <w:r>
        <w:rPr>
          <w:rFonts w:ascii="宋体" w:cs="Times New Roman" w:hint="eastAsia"/>
          <w:sz w:val="24"/>
          <w:szCs w:val="24"/>
        </w:rPr>
        <w:t>商接到</w:t>
      </w:r>
      <w:proofErr w:type="gramEnd"/>
      <w:r>
        <w:rPr>
          <w:rFonts w:ascii="宋体" w:cs="Times New Roman" w:hint="eastAsia"/>
          <w:sz w:val="24"/>
          <w:szCs w:val="24"/>
        </w:rPr>
        <w:t>使用方产品出现问题的通知后立即</w:t>
      </w:r>
      <w:proofErr w:type="gramStart"/>
      <w:r>
        <w:rPr>
          <w:rFonts w:ascii="宋体" w:cs="Times New Roman" w:hint="eastAsia"/>
          <w:sz w:val="24"/>
          <w:szCs w:val="24"/>
        </w:rPr>
        <w:t>作出</w:t>
      </w:r>
      <w:proofErr w:type="gramEnd"/>
      <w:r>
        <w:rPr>
          <w:rFonts w:ascii="宋体" w:cs="Times New Roman" w:hint="eastAsia"/>
          <w:sz w:val="24"/>
          <w:szCs w:val="24"/>
        </w:rPr>
        <w:t>响应，72 小时内到达现场进行处理。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lastRenderedPageBreak/>
        <w:t>4、维修配件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成交供应商或厂家应提供备品备件，保证用户应急所需。使用的维修零配件应为原厂配件，未经用户同意不得使用非原厂配件。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（五）付款方式：</w:t>
      </w:r>
    </w:p>
    <w:p w:rsidR="00A73BD1" w:rsidRDefault="00D16DD2">
      <w:pPr>
        <w:spacing w:line="360" w:lineRule="auto"/>
        <w:ind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安装调试完毕、验收合格后20个工作日内，支付合同金额100%货款（中标单位出具增值税专用发票）。</w:t>
      </w:r>
    </w:p>
    <w:p w:rsidR="00A73BD1" w:rsidRDefault="00D16DD2">
      <w:pPr>
        <w:spacing w:line="360" w:lineRule="auto"/>
        <w:ind w:firstLine="48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（六）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其他未尽事宜双方在合同中约定。</w:t>
      </w:r>
    </w:p>
    <w:p w:rsidR="00A73BD1" w:rsidRDefault="00A73BD1">
      <w:pPr>
        <w:widowControl/>
        <w:jc w:val="left"/>
        <w:rPr>
          <w:rFonts w:ascii="Times New Roman" w:hAnsi="Times New Roman" w:cs="Times New Roman"/>
          <w:color w:val="000000"/>
        </w:rPr>
      </w:pPr>
    </w:p>
    <w:p w:rsidR="00A73BD1" w:rsidRDefault="00A73BD1">
      <w:pPr>
        <w:widowControl/>
        <w:jc w:val="left"/>
        <w:rPr>
          <w:rFonts w:ascii="Times New Roman" w:hAnsi="Times New Roman" w:cs="Times New Roman"/>
          <w:color w:val="000000"/>
        </w:rPr>
      </w:pPr>
    </w:p>
    <w:p w:rsidR="00A73BD1" w:rsidRDefault="00A73BD1">
      <w:pPr>
        <w:widowControl/>
        <w:jc w:val="left"/>
        <w:rPr>
          <w:rFonts w:ascii="Times New Roman" w:hAnsi="Times New Roman" w:cs="Times New Roman"/>
          <w:color w:val="000000"/>
        </w:rPr>
      </w:pPr>
    </w:p>
    <w:p w:rsidR="00A73BD1" w:rsidRDefault="00A73BD1">
      <w:pPr>
        <w:widowControl/>
        <w:jc w:val="left"/>
        <w:rPr>
          <w:rFonts w:ascii="Times New Roman" w:hAnsi="Times New Roman" w:cs="Times New Roman"/>
          <w:color w:val="000000"/>
        </w:rPr>
      </w:pPr>
    </w:p>
    <w:p w:rsidR="00A73BD1" w:rsidRDefault="00A73BD1">
      <w:pPr>
        <w:widowControl/>
        <w:jc w:val="left"/>
        <w:rPr>
          <w:rFonts w:ascii="Times New Roman" w:hAnsi="Times New Roman" w:cs="Times New Roman"/>
          <w:color w:val="000000"/>
        </w:rPr>
        <w:sectPr w:rsidR="00A73BD1">
          <w:pgSz w:w="11906" w:h="16838"/>
          <w:pgMar w:top="1440" w:right="1230" w:bottom="1440" w:left="1230" w:header="851" w:footer="992" w:gutter="0"/>
          <w:cols w:space="425"/>
          <w:docGrid w:type="linesAndChars" w:linePitch="312"/>
        </w:sectPr>
      </w:pPr>
    </w:p>
    <w:p w:rsidR="00A73BD1" w:rsidRDefault="00D16DD2">
      <w:pPr>
        <w:widowControl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lastRenderedPageBreak/>
        <w:t>附表</w:t>
      </w:r>
      <w:r>
        <w:rPr>
          <w:rFonts w:ascii="Times New Roman" w:hAnsi="Times New Roman" w:cs="Times New Roman" w:hint="eastAsia"/>
          <w:color w:val="000000"/>
        </w:rPr>
        <w:t>1</w:t>
      </w:r>
      <w:r>
        <w:rPr>
          <w:rFonts w:ascii="Times New Roman" w:hAnsi="Times New Roman" w:cs="Times New Roman" w:hint="eastAsia"/>
          <w:color w:val="000000"/>
        </w:rPr>
        <w:t>：</w:t>
      </w:r>
      <w:r>
        <w:rPr>
          <w:rFonts w:ascii="Times New Roman" w:hAnsi="Times New Roman" w:cs="Times New Roman" w:hint="eastAsia"/>
          <w:color w:val="000000"/>
        </w:rPr>
        <w:t xml:space="preserve"> </w:t>
      </w:r>
    </w:p>
    <w:p w:rsidR="00A73BD1" w:rsidRDefault="00A73BD1">
      <w:pPr>
        <w:widowControl/>
        <w:jc w:val="left"/>
        <w:rPr>
          <w:rFonts w:ascii="Times New Roman" w:hAnsi="Times New Roman" w:cs="Times New Roman"/>
          <w:color w:val="000000"/>
        </w:rPr>
      </w:pPr>
    </w:p>
    <w:p w:rsidR="00A73BD1" w:rsidRDefault="00D16DD2"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ascii="微软雅黑" w:eastAsia="微软雅黑" w:hAnsi="微软雅黑" w:cs="微软雅黑"/>
          <w:sz w:val="28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技术响应及货物一览表</w:t>
      </w:r>
    </w:p>
    <w:p w:rsidR="00A73BD1" w:rsidRDefault="00D16DD2">
      <w:pPr>
        <w:tabs>
          <w:tab w:val="left" w:pos="6300"/>
        </w:tabs>
        <w:snapToGrid w:val="0"/>
        <w:spacing w:line="500" w:lineRule="exact"/>
        <w:ind w:firstLineChars="200" w:firstLine="480"/>
        <w:outlineLvl w:val="0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0"/>
        </w:rPr>
        <w:t>项目号：</w:t>
      </w:r>
    </w:p>
    <w:p w:rsidR="00A73BD1" w:rsidRDefault="00D16DD2">
      <w:pPr>
        <w:tabs>
          <w:tab w:val="left" w:pos="6300"/>
        </w:tabs>
        <w:snapToGrid w:val="0"/>
        <w:spacing w:line="500" w:lineRule="exact"/>
        <w:ind w:firstLineChars="200" w:firstLine="480"/>
        <w:outlineLvl w:val="0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0"/>
        </w:rPr>
        <w:t>项目名称：</w:t>
      </w:r>
    </w:p>
    <w:tbl>
      <w:tblPr>
        <w:tblW w:w="12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352"/>
        <w:gridCol w:w="1155"/>
        <w:gridCol w:w="1134"/>
        <w:gridCol w:w="1275"/>
        <w:gridCol w:w="1276"/>
        <w:gridCol w:w="1587"/>
        <w:gridCol w:w="1249"/>
        <w:gridCol w:w="1418"/>
        <w:gridCol w:w="1418"/>
      </w:tblGrid>
      <w:tr w:rsidR="00A73BD1">
        <w:trPr>
          <w:trHeight w:val="515"/>
          <w:jc w:val="center"/>
        </w:trPr>
        <w:tc>
          <w:tcPr>
            <w:tcW w:w="776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序号</w:t>
            </w:r>
          </w:p>
        </w:tc>
        <w:tc>
          <w:tcPr>
            <w:tcW w:w="1352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功能需求及技术要求</w:t>
            </w:r>
          </w:p>
        </w:tc>
        <w:tc>
          <w:tcPr>
            <w:tcW w:w="1155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响应情况</w:t>
            </w:r>
          </w:p>
        </w:tc>
        <w:tc>
          <w:tcPr>
            <w:tcW w:w="1134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差异说明</w:t>
            </w:r>
          </w:p>
        </w:tc>
        <w:tc>
          <w:tcPr>
            <w:tcW w:w="1275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货物名称</w:t>
            </w:r>
          </w:p>
        </w:tc>
        <w:tc>
          <w:tcPr>
            <w:tcW w:w="1276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品牌型号</w:t>
            </w:r>
          </w:p>
        </w:tc>
        <w:tc>
          <w:tcPr>
            <w:tcW w:w="1587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生产厂商</w:t>
            </w:r>
          </w:p>
        </w:tc>
        <w:tc>
          <w:tcPr>
            <w:tcW w:w="1249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报价单价</w:t>
            </w:r>
          </w:p>
        </w:tc>
        <w:tc>
          <w:tcPr>
            <w:tcW w:w="1418" w:type="dxa"/>
            <w:vAlign w:val="center"/>
          </w:tcPr>
          <w:p w:rsidR="00A73BD1" w:rsidRDefault="00D16DD2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报价合价</w:t>
            </w:r>
          </w:p>
        </w:tc>
      </w:tr>
      <w:tr w:rsidR="00A73BD1">
        <w:trPr>
          <w:trHeight w:val="599"/>
          <w:jc w:val="center"/>
        </w:trPr>
        <w:tc>
          <w:tcPr>
            <w:tcW w:w="776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52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55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34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75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76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87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49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18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18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</w:tr>
      <w:tr w:rsidR="00A73BD1">
        <w:trPr>
          <w:trHeight w:val="599"/>
          <w:jc w:val="center"/>
        </w:trPr>
        <w:tc>
          <w:tcPr>
            <w:tcW w:w="776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52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55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34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75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76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87" w:type="dxa"/>
            <w:vAlign w:val="center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49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18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418" w:type="dxa"/>
          </w:tcPr>
          <w:p w:rsidR="00A73BD1" w:rsidRDefault="00A73BD1">
            <w:pPr>
              <w:tabs>
                <w:tab w:val="left" w:pos="6300"/>
              </w:tabs>
              <w:snapToGrid w:val="0"/>
              <w:spacing w:line="500" w:lineRule="exact"/>
              <w:jc w:val="center"/>
              <w:outlineLvl w:val="0"/>
              <w:rPr>
                <w:rFonts w:ascii="微软雅黑" w:eastAsia="微软雅黑" w:hAnsi="微软雅黑" w:cs="微软雅黑"/>
              </w:rPr>
            </w:pPr>
          </w:p>
        </w:tc>
      </w:tr>
    </w:tbl>
    <w:p w:rsidR="00A73BD1" w:rsidRDefault="00D16DD2">
      <w:pPr>
        <w:spacing w:line="500" w:lineRule="exact"/>
        <w:ind w:firstLineChars="250" w:firstLine="600"/>
        <w:rPr>
          <w:rFonts w:ascii="微软雅黑" w:eastAsia="微软雅黑" w:hAnsi="微软雅黑" w:cs="微软雅黑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 xml:space="preserve">供应商：                                         </w:t>
      </w:r>
      <w:r>
        <w:rPr>
          <w:rFonts w:ascii="微软雅黑" w:eastAsia="微软雅黑" w:hAnsi="微软雅黑" w:cs="微软雅黑" w:hint="eastAsia"/>
          <w:color w:val="000000"/>
          <w:sz w:val="24"/>
          <w:szCs w:val="28"/>
        </w:rPr>
        <w:t>法定代表人授权代表：</w:t>
      </w:r>
    </w:p>
    <w:p w:rsidR="00A73BD1" w:rsidRDefault="00D16DD2">
      <w:pPr>
        <w:spacing w:line="500" w:lineRule="exact"/>
        <w:rPr>
          <w:rFonts w:ascii="微软雅黑" w:eastAsia="微软雅黑" w:hAnsi="微软雅黑" w:cs="微软雅黑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 xml:space="preserve">    </w:t>
      </w:r>
    </w:p>
    <w:p w:rsidR="00A73BD1" w:rsidRDefault="00D16DD2">
      <w:pPr>
        <w:spacing w:line="500" w:lineRule="exact"/>
        <w:ind w:firstLineChars="300" w:firstLine="720"/>
        <w:rPr>
          <w:rFonts w:ascii="微软雅黑" w:eastAsia="微软雅黑" w:hAnsi="微软雅黑" w:cs="微软雅黑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（供应商公章）                               （签字或盖章）</w:t>
      </w:r>
    </w:p>
    <w:p w:rsidR="00A73BD1" w:rsidRDefault="00D16DD2">
      <w:pPr>
        <w:tabs>
          <w:tab w:val="left" w:pos="6300"/>
        </w:tabs>
        <w:snapToGrid w:val="0"/>
        <w:spacing w:line="500" w:lineRule="exact"/>
        <w:ind w:firstLine="570"/>
        <w:jc w:val="right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 xml:space="preserve">                                            年     月     日</w:t>
      </w:r>
    </w:p>
    <w:p w:rsidR="00A73BD1" w:rsidRDefault="00D16DD2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0"/>
        </w:rPr>
        <w:t>注：</w:t>
      </w:r>
    </w:p>
    <w:p w:rsidR="00A73BD1" w:rsidRDefault="00D16DD2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0"/>
        </w:rPr>
        <w:t>、本表即为对本项目“设备技术需求表”中所列技术要求进行比较和响应；</w:t>
      </w:r>
    </w:p>
    <w:p w:rsidR="00A73BD1" w:rsidRDefault="00D16DD2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0"/>
        </w:rPr>
        <w:t>2、该表必须按照要求逐条如实填写。</w:t>
      </w:r>
    </w:p>
    <w:p w:rsidR="00A73BD1" w:rsidRDefault="00D16DD2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0"/>
        </w:rPr>
      </w:pPr>
      <w:r>
        <w:rPr>
          <w:rFonts w:ascii="微软雅黑" w:eastAsia="微软雅黑" w:hAnsi="微软雅黑" w:cs="微软雅黑" w:hint="eastAsia"/>
          <w:sz w:val="24"/>
          <w:szCs w:val="20"/>
        </w:rPr>
        <w:t>3、该表可扩展</w:t>
      </w:r>
      <w:r>
        <w:rPr>
          <w:rFonts w:ascii="微软雅黑" w:eastAsia="微软雅黑" w:hAnsi="微软雅黑" w:cs="微软雅黑" w:hint="eastAsia"/>
          <w:sz w:val="24"/>
          <w:szCs w:val="28"/>
        </w:rPr>
        <w:t>，并逐页签字或盖章</w:t>
      </w:r>
      <w:r>
        <w:rPr>
          <w:rFonts w:ascii="微软雅黑" w:eastAsia="微软雅黑" w:hAnsi="微软雅黑" w:cs="微软雅黑" w:hint="eastAsia"/>
          <w:sz w:val="24"/>
          <w:szCs w:val="20"/>
        </w:rPr>
        <w:t>；</w:t>
      </w:r>
    </w:p>
    <w:p w:rsidR="00A73BD1" w:rsidRDefault="00A73BD1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0"/>
        </w:rPr>
      </w:pPr>
    </w:p>
    <w:sectPr w:rsidR="00A73BD1">
      <w:pgSz w:w="16838" w:h="11906" w:orient="landscape"/>
      <w:pgMar w:top="1230" w:right="1440" w:bottom="1230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2U1NzViNjQyMDFkYTdjNDdiOGUxYTA1NGIzNWQifQ=="/>
  </w:docVars>
  <w:rsids>
    <w:rsidRoot w:val="003E72F0"/>
    <w:rsid w:val="001001A3"/>
    <w:rsid w:val="001B4597"/>
    <w:rsid w:val="003043CA"/>
    <w:rsid w:val="00325E50"/>
    <w:rsid w:val="00370258"/>
    <w:rsid w:val="003E72F0"/>
    <w:rsid w:val="005A73EE"/>
    <w:rsid w:val="005D3C80"/>
    <w:rsid w:val="009C509F"/>
    <w:rsid w:val="00A73BD1"/>
    <w:rsid w:val="00AF2D10"/>
    <w:rsid w:val="00D16DD2"/>
    <w:rsid w:val="00E72E68"/>
    <w:rsid w:val="00E9325E"/>
    <w:rsid w:val="00EC4A02"/>
    <w:rsid w:val="00FA6D68"/>
    <w:rsid w:val="196108C9"/>
    <w:rsid w:val="2BB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qFormat/>
    <w:locked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4">
    <w:name w:val="heading 4"/>
    <w:basedOn w:val="a"/>
    <w:next w:val="a"/>
    <w:qFormat/>
    <w:locked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Body Text"/>
    <w:basedOn w:val="a"/>
    <w:next w:val="a"/>
    <w:link w:val="Char"/>
    <w:qFormat/>
    <w:rPr>
      <w:rFonts w:ascii="仿宋_GB2312" w:eastAsia="仿宋_GB2312"/>
      <w:sz w:val="32"/>
    </w:rPr>
  </w:style>
  <w:style w:type="paragraph" w:styleId="a5">
    <w:name w:val="Plain Text"/>
    <w:basedOn w:val="a"/>
    <w:next w:val="Default"/>
    <w:qFormat/>
    <w:rPr>
      <w:rFonts w:ascii="宋体" w:hAnsi="Courier Ne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/>
      <w:color w:val="000000"/>
      <w:sz w:val="24"/>
    </w:rPr>
  </w:style>
  <w:style w:type="paragraph" w:styleId="a6">
    <w:name w:val="Balloon Text"/>
    <w:basedOn w:val="a"/>
    <w:link w:val="Char0"/>
    <w:uiPriority w:val="99"/>
    <w:semiHidden/>
    <w:rPr>
      <w:kern w:val="0"/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Body Text First Indent"/>
    <w:basedOn w:val="a4"/>
    <w:link w:val="Char3"/>
    <w:unhideWhenUsed/>
    <w:qFormat/>
    <w:pPr>
      <w:spacing w:after="120"/>
      <w:ind w:firstLineChars="1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Emphasis"/>
    <w:uiPriority w:val="20"/>
    <w:qFormat/>
    <w:locked/>
    <w:rPr>
      <w:i/>
    </w:rPr>
  </w:style>
  <w:style w:type="paragraph" w:customStyle="1" w:styleId="ab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Char0">
    <w:name w:val="批注框文本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locked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074Char1">
    <w:name w:val="标书正文:  0.74 厘米 Char1"/>
    <w:qFormat/>
    <w:rPr>
      <w:rFonts w:eastAsia="宋体"/>
      <w:kern w:val="2"/>
      <w:sz w:val="24"/>
      <w:lang w:val="en-US" w:eastAsia="zh-CN"/>
    </w:rPr>
  </w:style>
  <w:style w:type="character" w:customStyle="1" w:styleId="Char">
    <w:name w:val="正文文本 Char"/>
    <w:basedOn w:val="a0"/>
    <w:link w:val="a4"/>
    <w:qFormat/>
    <w:rPr>
      <w:rFonts w:ascii="仿宋_GB2312" w:eastAsia="仿宋_GB2312" w:cs="Calibri"/>
      <w:kern w:val="2"/>
      <w:sz w:val="32"/>
      <w:szCs w:val="21"/>
    </w:rPr>
  </w:style>
  <w:style w:type="character" w:customStyle="1" w:styleId="Char3">
    <w:name w:val="正文首行缩进 Char"/>
    <w:basedOn w:val="Char"/>
    <w:link w:val="a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1"/>
    <w:basedOn w:val="a"/>
    <w:next w:val="a5"/>
    <w:qFormat/>
    <w:rPr>
      <w:rFonts w:ascii="宋体" w:hAnsi="Courier New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qFormat/>
    <w:locked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4">
    <w:name w:val="heading 4"/>
    <w:basedOn w:val="a"/>
    <w:next w:val="a"/>
    <w:qFormat/>
    <w:locked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Body Text"/>
    <w:basedOn w:val="a"/>
    <w:next w:val="a"/>
    <w:link w:val="Char"/>
    <w:qFormat/>
    <w:rPr>
      <w:rFonts w:ascii="仿宋_GB2312" w:eastAsia="仿宋_GB2312"/>
      <w:sz w:val="32"/>
    </w:rPr>
  </w:style>
  <w:style w:type="paragraph" w:styleId="a5">
    <w:name w:val="Plain Text"/>
    <w:basedOn w:val="a"/>
    <w:next w:val="Default"/>
    <w:qFormat/>
    <w:rPr>
      <w:rFonts w:ascii="宋体" w:hAnsi="Courier Ne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/>
      <w:color w:val="000000"/>
      <w:sz w:val="24"/>
    </w:rPr>
  </w:style>
  <w:style w:type="paragraph" w:styleId="a6">
    <w:name w:val="Balloon Text"/>
    <w:basedOn w:val="a"/>
    <w:link w:val="Char0"/>
    <w:uiPriority w:val="99"/>
    <w:semiHidden/>
    <w:rPr>
      <w:kern w:val="0"/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Body Text First Indent"/>
    <w:basedOn w:val="a4"/>
    <w:link w:val="Char3"/>
    <w:unhideWhenUsed/>
    <w:qFormat/>
    <w:pPr>
      <w:spacing w:after="120"/>
      <w:ind w:firstLineChars="1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Emphasis"/>
    <w:uiPriority w:val="20"/>
    <w:qFormat/>
    <w:locked/>
    <w:rPr>
      <w:i/>
    </w:rPr>
  </w:style>
  <w:style w:type="paragraph" w:customStyle="1" w:styleId="ab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Char0">
    <w:name w:val="批注框文本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locked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074Char1">
    <w:name w:val="标书正文:  0.74 厘米 Char1"/>
    <w:qFormat/>
    <w:rPr>
      <w:rFonts w:eastAsia="宋体"/>
      <w:kern w:val="2"/>
      <w:sz w:val="24"/>
      <w:lang w:val="en-US" w:eastAsia="zh-CN"/>
    </w:rPr>
  </w:style>
  <w:style w:type="character" w:customStyle="1" w:styleId="Char">
    <w:name w:val="正文文本 Char"/>
    <w:basedOn w:val="a0"/>
    <w:link w:val="a4"/>
    <w:qFormat/>
    <w:rPr>
      <w:rFonts w:ascii="仿宋_GB2312" w:eastAsia="仿宋_GB2312" w:cs="Calibri"/>
      <w:kern w:val="2"/>
      <w:sz w:val="32"/>
      <w:szCs w:val="21"/>
    </w:rPr>
  </w:style>
  <w:style w:type="character" w:customStyle="1" w:styleId="Char3">
    <w:name w:val="正文首行缩进 Char"/>
    <w:basedOn w:val="Char"/>
    <w:link w:val="a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1"/>
    <w:basedOn w:val="a"/>
    <w:next w:val="a5"/>
    <w:qFormat/>
    <w:rPr>
      <w:rFonts w:ascii="宋体" w:hAnsi="Courier New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1297</Words>
  <Characters>7396</Characters>
  <Application>Microsoft Office Word</Application>
  <DocSecurity>0</DocSecurity>
  <Lines>61</Lines>
  <Paragraphs>17</Paragraphs>
  <ScaleCrop>false</ScaleCrop>
  <Company>mycomputer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2020-05-19T14:51:00Z</cp:lastPrinted>
  <dcterms:created xsi:type="dcterms:W3CDTF">2023-05-30T07:07:00Z</dcterms:created>
  <dcterms:modified xsi:type="dcterms:W3CDTF">2023-06-19T02:47:00Z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0DA25331044D4E36B621BD893FDB9DEA</vt:lpwstr>
  </property>
</Properties>
</file>