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left"/>
        <w:outlineLvl w:val="0"/>
        <w:rPr>
          <w:rFonts w:hint="eastAsia" w:ascii="方正仿宋_GBK" w:eastAsia="方正仿宋_GBK"/>
          <w:sz w:val="32"/>
          <w:szCs w:val="32"/>
          <w:highlight w:val="none"/>
          <w:u w:val="none" w:color="auto"/>
        </w:rPr>
      </w:pPr>
    </w:p>
    <w:p>
      <w:pPr>
        <w:spacing w:line="1600" w:lineRule="exact"/>
        <w:jc w:val="center"/>
        <w:outlineLvl w:val="0"/>
        <w:rPr>
          <w:rFonts w:hint="eastAsia" w:ascii="方正黑体_GBK" w:eastAsia="方正黑体_GBK"/>
          <w:sz w:val="100"/>
          <w:highlight w:val="none"/>
          <w:u w:val="none" w:color="auto"/>
        </w:rPr>
      </w:pPr>
      <w:r>
        <w:rPr>
          <w:rFonts w:hint="eastAsia" w:ascii="方正黑体_GBK" w:eastAsia="方正黑体_GBK"/>
          <w:sz w:val="100"/>
          <w:highlight w:val="none"/>
          <w:u w:val="none" w:color="auto"/>
          <w:lang w:eastAsia="zh-CN"/>
        </w:rPr>
        <w:t>国企</w:t>
      </w:r>
      <w:r>
        <w:rPr>
          <w:rFonts w:hint="eastAsia" w:ascii="方正黑体_GBK" w:eastAsia="方正黑体_GBK"/>
          <w:sz w:val="100"/>
          <w:highlight w:val="none"/>
          <w:u w:val="none" w:color="auto"/>
        </w:rPr>
        <w:t>采购</w:t>
      </w:r>
    </w:p>
    <w:p>
      <w:pPr>
        <w:spacing w:line="1600" w:lineRule="exact"/>
        <w:jc w:val="center"/>
        <w:outlineLvl w:val="0"/>
        <w:rPr>
          <w:rFonts w:hint="eastAsia" w:ascii="方正黑体_GBK" w:hAnsi="宋体" w:eastAsia="方正黑体_GBK"/>
          <w:sz w:val="130"/>
          <w:szCs w:val="130"/>
          <w:highlight w:val="none"/>
          <w:u w:val="none" w:color="auto"/>
        </w:rPr>
      </w:pPr>
      <w:r>
        <w:rPr>
          <w:rFonts w:hint="eastAsia" w:ascii="方正黑体_GBK" w:hAnsi="宋体" w:eastAsia="方正黑体_GBK"/>
          <w:sz w:val="130"/>
          <w:szCs w:val="130"/>
          <w:highlight w:val="none"/>
          <w:u w:val="none" w:color="auto"/>
        </w:rPr>
        <w:t>招 标 文 件</w:t>
      </w:r>
    </w:p>
    <w:p>
      <w:pPr>
        <w:pStyle w:val="25"/>
        <w:spacing w:line="500" w:lineRule="exact"/>
        <w:ind w:left="0"/>
        <w:jc w:val="left"/>
        <w:rPr>
          <w:rFonts w:hint="eastAsia" w:ascii="方正黑体_GBK" w:eastAsia="方正黑体_GBK"/>
          <w:color w:val="FF0000"/>
          <w:sz w:val="32"/>
          <w:highlight w:val="none"/>
          <w:u w:val="none" w:color="auto"/>
        </w:rPr>
      </w:pPr>
    </w:p>
    <w:p>
      <w:pPr>
        <w:pStyle w:val="25"/>
        <w:spacing w:line="500" w:lineRule="exact"/>
        <w:ind w:left="0"/>
        <w:jc w:val="left"/>
        <w:rPr>
          <w:rFonts w:hint="eastAsia" w:ascii="方正黑体_GBK" w:eastAsia="方正黑体_GBK"/>
          <w:color w:val="FF0000"/>
          <w:sz w:val="32"/>
          <w:highlight w:val="none"/>
          <w:u w:val="none" w:color="auto"/>
        </w:rPr>
      </w:pPr>
    </w:p>
    <w:p>
      <w:pPr>
        <w:pStyle w:val="25"/>
        <w:spacing w:line="500" w:lineRule="exact"/>
        <w:ind w:left="0"/>
        <w:jc w:val="center"/>
        <w:rPr>
          <w:rFonts w:hint="eastAsia" w:ascii="方正黑体_GBK" w:eastAsia="方正黑体_GBK"/>
          <w:sz w:val="32"/>
          <w:highlight w:val="none"/>
          <w:u w:val="none" w:color="auto"/>
        </w:rPr>
      </w:pPr>
    </w:p>
    <w:p>
      <w:pPr>
        <w:pStyle w:val="25"/>
        <w:spacing w:line="500" w:lineRule="exact"/>
        <w:ind w:left="0"/>
        <w:jc w:val="center"/>
        <w:rPr>
          <w:rFonts w:hint="eastAsia" w:ascii="方正小标宋_GBK" w:eastAsia="方正小标宋_GBK"/>
          <w:sz w:val="32"/>
          <w:highlight w:val="none"/>
          <w:u w:val="none" w:color="auto"/>
        </w:rPr>
      </w:pPr>
    </w:p>
    <w:p>
      <w:pPr>
        <w:spacing w:line="500" w:lineRule="exact"/>
        <w:ind w:firstLine="0" w:firstLineChars="0"/>
        <w:outlineLvl w:val="0"/>
        <w:rPr>
          <w:rFonts w:hint="default" w:ascii="方正小标宋_GBK" w:hAnsi="宋体" w:eastAsia="方正小标宋_GBK"/>
          <w:sz w:val="36"/>
          <w:szCs w:val="36"/>
          <w:highlight w:val="none"/>
          <w:u w:val="none" w:color="auto"/>
          <w:lang w:val="en-US" w:eastAsia="zh-CN"/>
        </w:rPr>
      </w:pPr>
      <w:r>
        <w:rPr>
          <w:rFonts w:hint="eastAsia" w:ascii="方正小标宋_GBK" w:hAnsi="宋体" w:eastAsia="方正小标宋_GBK"/>
          <w:sz w:val="36"/>
          <w:szCs w:val="36"/>
          <w:highlight w:val="none"/>
          <w:u w:val="none" w:color="auto"/>
        </w:rPr>
        <w:t xml:space="preserve">项  </w:t>
      </w:r>
      <w:r>
        <w:rPr>
          <w:rFonts w:hint="eastAsia" w:ascii="方正小标宋_GBK" w:hAnsi="宋体" w:eastAsia="方正小标宋_GBK"/>
          <w:sz w:val="36"/>
          <w:szCs w:val="36"/>
          <w:highlight w:val="none"/>
          <w:u w:val="none" w:color="auto"/>
          <w:lang w:val="en-US" w:eastAsia="zh-CN"/>
        </w:rPr>
        <w:t xml:space="preserve"> </w:t>
      </w:r>
      <w:r>
        <w:rPr>
          <w:rFonts w:hint="eastAsia" w:ascii="方正小标宋_GBK" w:hAnsi="宋体" w:eastAsia="方正小标宋_GBK"/>
          <w:sz w:val="36"/>
          <w:szCs w:val="36"/>
          <w:highlight w:val="none"/>
          <w:u w:val="none" w:color="auto"/>
        </w:rPr>
        <w:t xml:space="preserve">目  </w:t>
      </w:r>
      <w:r>
        <w:rPr>
          <w:rFonts w:hint="eastAsia" w:ascii="方正小标宋_GBK" w:hAnsi="宋体" w:eastAsia="方正小标宋_GBK"/>
          <w:sz w:val="36"/>
          <w:szCs w:val="36"/>
          <w:highlight w:val="none"/>
          <w:u w:val="none" w:color="auto"/>
          <w:lang w:val="en-US" w:eastAsia="zh-CN"/>
        </w:rPr>
        <w:t xml:space="preserve"> </w:t>
      </w:r>
      <w:r>
        <w:rPr>
          <w:rFonts w:hint="eastAsia" w:ascii="方正小标宋_GBK" w:hAnsi="宋体" w:eastAsia="方正小标宋_GBK"/>
          <w:sz w:val="36"/>
          <w:szCs w:val="36"/>
          <w:highlight w:val="none"/>
          <w:u w:val="none" w:color="auto"/>
        </w:rPr>
        <w:t>号：</w:t>
      </w:r>
      <w:bookmarkStart w:id="0" w:name="OLE_LINK6"/>
      <w:r>
        <w:rPr>
          <w:rFonts w:hint="eastAsia" w:ascii="方正小标宋_GBK" w:hAnsi="宋体" w:eastAsia="方正小标宋_GBK"/>
          <w:sz w:val="36"/>
          <w:szCs w:val="36"/>
          <w:highlight w:val="none"/>
          <w:u w:val="none" w:color="auto"/>
          <w:lang w:val="en-US" w:eastAsia="zh-CN"/>
        </w:rPr>
        <w:t>DJGZ25A00006</w:t>
      </w:r>
    </w:p>
    <w:bookmarkEnd w:id="0"/>
    <w:p>
      <w:pPr>
        <w:spacing w:line="500" w:lineRule="exact"/>
        <w:ind w:left="2520" w:hanging="2520" w:hangingChars="700"/>
        <w:outlineLvl w:val="0"/>
        <w:rPr>
          <w:rFonts w:hint="eastAsia" w:ascii="方正小标宋_GBK" w:hAnsi="宋体" w:eastAsia="方正小标宋_GBK"/>
          <w:sz w:val="36"/>
          <w:szCs w:val="36"/>
          <w:highlight w:val="none"/>
          <w:u w:val="none" w:color="auto"/>
          <w:lang w:val="en-US" w:eastAsia="zh-CN"/>
        </w:rPr>
      </w:pPr>
      <w:r>
        <w:rPr>
          <w:rFonts w:hint="eastAsia" w:ascii="方正小标宋_GBK" w:hAnsi="宋体" w:eastAsia="方正小标宋_GBK"/>
          <w:sz w:val="36"/>
          <w:szCs w:val="36"/>
          <w:highlight w:val="none"/>
          <w:u w:val="none" w:color="auto"/>
        </w:rPr>
        <w:t>招标项目名称：</w:t>
      </w:r>
      <w:bookmarkStart w:id="1" w:name="OLE_LINK5"/>
      <w:r>
        <w:rPr>
          <w:rFonts w:hint="eastAsia" w:ascii="方正小标宋_GBK" w:hAnsi="宋体" w:eastAsia="方正小标宋_GBK"/>
          <w:sz w:val="36"/>
          <w:szCs w:val="36"/>
          <w:highlight w:val="none"/>
          <w:u w:val="none" w:color="auto"/>
          <w:lang w:eastAsia="zh-CN"/>
        </w:rPr>
        <w:t>重庆康科特建筑材料有限公司贸易砂石采购</w:t>
      </w:r>
    </w:p>
    <w:bookmarkEnd w:id="1"/>
    <w:p>
      <w:pPr>
        <w:pStyle w:val="25"/>
        <w:spacing w:line="500" w:lineRule="exact"/>
        <w:ind w:left="0"/>
        <w:jc w:val="center"/>
        <w:rPr>
          <w:rFonts w:hint="eastAsia" w:ascii="方正小标宋_GBK" w:eastAsia="方正小标宋_GBK"/>
          <w:sz w:val="32"/>
          <w:highlight w:val="none"/>
          <w:u w:val="none" w:color="auto"/>
        </w:rPr>
      </w:pPr>
    </w:p>
    <w:p>
      <w:pPr>
        <w:pStyle w:val="25"/>
        <w:spacing w:line="500" w:lineRule="exact"/>
        <w:ind w:left="0"/>
        <w:jc w:val="center"/>
        <w:rPr>
          <w:rFonts w:hint="eastAsia" w:ascii="方正小标宋_GBK" w:eastAsia="方正小标宋_GBK"/>
          <w:sz w:val="32"/>
          <w:highlight w:val="none"/>
          <w:u w:val="none" w:color="auto"/>
        </w:rPr>
      </w:pPr>
    </w:p>
    <w:p>
      <w:pPr>
        <w:spacing w:line="500" w:lineRule="exact"/>
        <w:jc w:val="center"/>
        <w:rPr>
          <w:rFonts w:hint="eastAsia" w:ascii="方正小标宋_GBK" w:eastAsia="方正小标宋_GBK"/>
          <w:sz w:val="32"/>
          <w:highlight w:val="none"/>
          <w:u w:val="none" w:color="auto"/>
        </w:rPr>
      </w:pPr>
    </w:p>
    <w:p>
      <w:pPr>
        <w:spacing w:line="500" w:lineRule="exact"/>
        <w:jc w:val="center"/>
        <w:rPr>
          <w:rFonts w:hint="eastAsia" w:ascii="方正小标宋_GBK" w:eastAsia="方正小标宋_GBK"/>
          <w:sz w:val="36"/>
          <w:szCs w:val="36"/>
          <w:highlight w:val="none"/>
          <w:u w:val="none" w:color="auto"/>
        </w:rPr>
      </w:pPr>
    </w:p>
    <w:p>
      <w:pPr>
        <w:spacing w:line="500" w:lineRule="exact"/>
        <w:jc w:val="center"/>
        <w:rPr>
          <w:rFonts w:hint="eastAsia" w:ascii="方正小标宋_GBK" w:eastAsia="方正小标宋_GBK"/>
          <w:sz w:val="36"/>
          <w:szCs w:val="36"/>
          <w:highlight w:val="none"/>
          <w:u w:val="none" w:color="auto"/>
        </w:rPr>
      </w:pPr>
    </w:p>
    <w:p>
      <w:pPr>
        <w:spacing w:line="500" w:lineRule="exact"/>
        <w:jc w:val="center"/>
        <w:outlineLvl w:val="0"/>
        <w:rPr>
          <w:rFonts w:hint="default" w:ascii="方正小标宋_GBK" w:eastAsia="方正小标宋_GBK"/>
          <w:sz w:val="36"/>
          <w:szCs w:val="36"/>
          <w:highlight w:val="none"/>
          <w:u w:val="none" w:color="auto"/>
          <w:lang w:val="en-US" w:eastAsia="zh-CN"/>
        </w:rPr>
      </w:pPr>
      <w:r>
        <w:rPr>
          <w:rFonts w:hint="eastAsia" w:ascii="方正小标宋_GBK" w:eastAsia="方正小标宋_GBK"/>
          <w:sz w:val="36"/>
          <w:szCs w:val="36"/>
          <w:highlight w:val="none"/>
          <w:u w:val="none" w:color="auto"/>
        </w:rPr>
        <w:t>采购人：</w:t>
      </w:r>
      <w:bookmarkStart w:id="2" w:name="OLE_LINK7"/>
      <w:r>
        <w:rPr>
          <w:rFonts w:hint="eastAsia" w:ascii="方正小标宋_GBK" w:eastAsia="方正小标宋_GBK"/>
          <w:sz w:val="36"/>
          <w:szCs w:val="36"/>
          <w:highlight w:val="none"/>
          <w:u w:val="none" w:color="auto"/>
          <w:lang w:val="en-US" w:eastAsia="zh-CN"/>
        </w:rPr>
        <w:t>重庆康科特建筑材料有限公司</w:t>
      </w:r>
      <w:bookmarkEnd w:id="2"/>
    </w:p>
    <w:p>
      <w:pPr>
        <w:spacing w:line="500" w:lineRule="exact"/>
        <w:jc w:val="center"/>
        <w:outlineLvl w:val="0"/>
        <w:rPr>
          <w:rFonts w:hint="eastAsia" w:ascii="方正小标宋_GBK" w:eastAsia="方正小标宋_GBK"/>
          <w:sz w:val="36"/>
          <w:szCs w:val="36"/>
          <w:highlight w:val="none"/>
          <w:u w:val="none" w:color="auto"/>
        </w:rPr>
      </w:pPr>
      <w:r>
        <w:rPr>
          <w:rFonts w:hint="eastAsia" w:ascii="方正小标宋_GBK" w:eastAsia="方正小标宋_GBK"/>
          <w:sz w:val="36"/>
          <w:szCs w:val="36"/>
          <w:highlight w:val="none"/>
          <w:u w:val="none" w:color="auto"/>
        </w:rPr>
        <w:t xml:space="preserve">采购代理机构：垫江县公共资源交易中心 </w:t>
      </w:r>
    </w:p>
    <w:p>
      <w:pPr>
        <w:snapToGrid w:val="0"/>
        <w:spacing w:line="500" w:lineRule="exact"/>
        <w:jc w:val="center"/>
        <w:rPr>
          <w:rFonts w:hint="eastAsia" w:ascii="方正小标宋_GBK" w:eastAsia="方正小标宋_GBK"/>
          <w:sz w:val="36"/>
          <w:szCs w:val="36"/>
          <w:highlight w:val="none"/>
          <w:u w:val="none" w:color="auto"/>
        </w:rPr>
      </w:pPr>
    </w:p>
    <w:p>
      <w:pPr>
        <w:snapToGrid w:val="0"/>
        <w:spacing w:line="500" w:lineRule="exact"/>
        <w:jc w:val="center"/>
        <w:rPr>
          <w:rFonts w:hint="eastAsia" w:ascii="方正仿宋_GBK" w:eastAsia="方正仿宋_GBK"/>
          <w:sz w:val="36"/>
          <w:szCs w:val="36"/>
          <w:highlight w:val="none"/>
          <w:u w:val="none" w:color="auto"/>
        </w:rPr>
      </w:pPr>
      <w:r>
        <w:rPr>
          <w:rFonts w:hint="eastAsia" w:ascii="方正小标宋_GBK" w:eastAsia="方正小标宋_GBK"/>
          <w:sz w:val="36"/>
          <w:szCs w:val="36"/>
          <w:highlight w:val="none"/>
          <w:u w:val="none" w:color="auto"/>
        </w:rPr>
        <w:t>二○二</w:t>
      </w:r>
      <w:r>
        <w:rPr>
          <w:rFonts w:hint="eastAsia" w:ascii="方正小标宋_GBK" w:eastAsia="方正小标宋_GBK"/>
          <w:sz w:val="36"/>
          <w:szCs w:val="36"/>
          <w:highlight w:val="none"/>
          <w:u w:val="none" w:color="auto"/>
          <w:lang w:val="en-US" w:eastAsia="zh-CN"/>
        </w:rPr>
        <w:t>五</w:t>
      </w:r>
      <w:r>
        <w:rPr>
          <w:rFonts w:hint="eastAsia" w:ascii="方正小标宋_GBK" w:eastAsia="方正小标宋_GBK"/>
          <w:sz w:val="36"/>
          <w:szCs w:val="36"/>
          <w:highlight w:val="none"/>
          <w:u w:val="none" w:color="auto"/>
        </w:rPr>
        <w:t>年</w:t>
      </w:r>
      <w:r>
        <w:rPr>
          <w:rFonts w:hint="eastAsia" w:ascii="方正小标宋_GBK" w:eastAsia="方正小标宋_GBK"/>
          <w:sz w:val="36"/>
          <w:szCs w:val="36"/>
          <w:highlight w:val="none"/>
          <w:u w:val="none" w:color="auto"/>
          <w:lang w:eastAsia="zh-CN"/>
        </w:rPr>
        <w:t>六</w:t>
      </w:r>
      <w:r>
        <w:rPr>
          <w:rFonts w:hint="eastAsia" w:ascii="方正小标宋_GBK" w:eastAsia="方正小标宋_GBK"/>
          <w:sz w:val="36"/>
          <w:szCs w:val="36"/>
          <w:highlight w:val="none"/>
          <w:u w:val="none" w:color="auto"/>
        </w:rPr>
        <w:t>月</w:t>
      </w:r>
    </w:p>
    <w:p>
      <w:pPr>
        <w:snapToGrid w:val="0"/>
        <w:spacing w:line="500" w:lineRule="exact"/>
        <w:rPr>
          <w:rFonts w:hint="eastAsia" w:ascii="方正仿宋_GBK" w:eastAsia="方正仿宋_GBK"/>
          <w:sz w:val="44"/>
          <w:highlight w:val="none"/>
          <w:u w:val="none" w:color="auto"/>
        </w:rPr>
        <w:sectPr>
          <w:headerReference r:id="rId4" w:type="first"/>
          <w:headerReference r:id="rId3" w:type="default"/>
          <w:footerReference r:id="rId5" w:type="default"/>
          <w:footerReference r:id="rId6" w:type="even"/>
          <w:pgSz w:w="11907" w:h="16840"/>
          <w:pgMar w:top="1134" w:right="1191" w:bottom="1134" w:left="1304" w:header="964" w:footer="992" w:gutter="0"/>
          <w:pgBorders w:offsetFrom="page">
            <w:top w:val="none" w:sz="0" w:space="0"/>
            <w:left w:val="none" w:sz="0" w:space="0"/>
            <w:bottom w:val="none" w:sz="0" w:space="0"/>
            <w:right w:val="none" w:sz="0" w:space="0"/>
          </w:pgBorders>
          <w:pgNumType w:start="1"/>
          <w:cols w:space="720" w:num="1"/>
          <w:titlePg/>
          <w:docGrid w:linePitch="312" w:charSpace="0"/>
        </w:sectPr>
      </w:pPr>
    </w:p>
    <w:p>
      <w:pPr>
        <w:pStyle w:val="39"/>
        <w:tabs>
          <w:tab w:val="right" w:leader="dot" w:pos="9412"/>
          <w:tab w:val="clear" w:pos="1260"/>
          <w:tab w:val="clear" w:pos="1685"/>
          <w:tab w:val="clear" w:pos="8400"/>
        </w:tabs>
        <w:rPr>
          <w:rFonts w:hint="eastAsia" w:ascii="方正仿宋_GBK" w:eastAsia="方正仿宋_GBK"/>
          <w:highlight w:val="none"/>
          <w:lang w:eastAsia="zh-CN"/>
        </w:rPr>
      </w:pPr>
      <w:bookmarkStart w:id="3" w:name="_Toc880881470"/>
      <w:r>
        <w:rPr>
          <w:rFonts w:hint="eastAsia" w:ascii="方正仿宋_GBK" w:eastAsia="方正仿宋_GBK"/>
          <w:highlight w:val="none"/>
          <w:lang w:eastAsia="zh-CN"/>
        </w:rPr>
        <w:t>目录</w:t>
      </w:r>
      <w:bookmarkEnd w:id="3"/>
    </w:p>
    <w:p>
      <w:pPr>
        <w:pStyle w:val="39"/>
        <w:tabs>
          <w:tab w:val="right" w:leader="dot" w:pos="9412"/>
          <w:tab w:val="clear" w:pos="1260"/>
          <w:tab w:val="clear" w:pos="1685"/>
          <w:tab w:val="clear" w:pos="8400"/>
        </w:tabs>
        <w:rPr>
          <w:rFonts w:hint="eastAsia" w:ascii="方正仿宋_GBK" w:hAnsi="宋体" w:eastAsia="方正仿宋_GBK"/>
          <w:sz w:val="21"/>
          <w:szCs w:val="21"/>
          <w:highlight w:val="none"/>
          <w:u w:val="none" w:color="auto"/>
          <w:lang w:eastAsia="zh-CN"/>
        </w:rPr>
      </w:pP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TOC \o "1-2" \h \z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_Toc880881470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目录</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_Toc880881470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_Toc2015656353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第一篇 投标邀请书</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_Toc2015656353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_Toc540731154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一、招标项目内容</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_Toc540731154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_Toc1817134769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二、资金来源</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_Toc1817134769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_Toc1625262376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三、投标人资格要求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_Toc1625262376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_Toc1857664984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四、投标、开标有关说明</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_Toc1857664984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_Toc1682395973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五、投标保证金</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_Toc1682395973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- 5 -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_Toc1448065236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六、投标有关规定</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_Toc1448065236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- 7 -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_Toc285014822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七、联系方式</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_Toc285014822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_Toc1489737317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第二篇 项目技术（质量）需求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_Toc1489737317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_Toc1898173379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第三篇  项目商务需求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_Toc1898173379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_Toc1201513958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一、交货时间、交货地点及验收方式</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_Toc1201513958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_Toc1138199966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二、报价要求</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_Toc1138199966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_Toc1527330255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三、质量保证期及售后服务</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_Toc1527330255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_Toc1090455567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四、付款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_Toc1090455567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_Toc578124353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五、知识产权</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_Toc578124353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_Toc813588820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六、培训</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_Toc813588820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- 10 -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_Toc101913182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第四篇  资格审查及评标办法</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_Toc101913182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_Toc353494948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一、资格审查及符合性审查</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_Toc353494948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_Toc1384981093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二、评标方法</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_Toc1384981093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- 12 -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_Toc675004504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三、评标标准</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_Toc675004504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- 12 -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_Toc1833321924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四、无效投标条款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_Toc1833321924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_Toc176251944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五、废标条款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_Toc176251944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_Toc861001972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第五篇  投标人须知</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_Toc861001972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_Toc112859808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一、投标人</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_Toc112859808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_Toc109073776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二、招标文件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_Toc109073776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_Toc386443395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三、电子投标文件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_Toc386443395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- 14 -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_Toc706054047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四、开标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_Toc706054047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- 16 -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_Toc1828965547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五、评标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_Toc1828965547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- 16 -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_Toc101696577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六、定标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_Toc101696577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- 16 -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_Toc269511298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七、中标</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_Toc269511298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- 17 -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_Toc562363369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八、询问和质疑</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_Toc562363369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- 17 -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_Toc2117352930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九、采购代理服务费</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_Toc2117352930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_Toc810242452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十、交易服务费</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_Toc810242452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_Toc232014491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十一、签订合同</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_Toc232014491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_Toc1595131659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十二、项目验收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_Toc1595131659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_Toc520423789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第六篇  合同主要条款和格式合同（样本）</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_Toc520423789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_Toc1914410464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一、合同主要条款</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_Toc1914410464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- 19 -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_Toc895713247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第七篇  电子投标文件格式</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_Toc895713247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- 29 -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_Toc805438611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一、经济文件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_Toc805438611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- 31 -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_Toc1256664133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二、技术（质量）文件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_Toc1256664133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- 33 -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_Toc646402978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三、商务文件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_Toc646402978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- 35 -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_Toc2006952569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四、其他</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_Toc2006952569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- 38 -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HYPERLINK \l _Toc247380452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五、资格文件</w:t>
      </w:r>
      <w:r>
        <w:rPr>
          <w:rFonts w:hint="eastAsia" w:ascii="宋体" w:hAnsi="宋体" w:eastAsia="宋体" w:cs="Times New Roman"/>
          <w:b w:val="0"/>
          <w:kern w:val="2"/>
          <w:sz w:val="28"/>
          <w:lang w:val="en-US" w:eastAsia="zh-CN" w:bidi="ar-SA"/>
        </w:rPr>
        <w:tab/>
      </w:r>
      <w:r>
        <w:rPr>
          <w:rFonts w:hint="eastAsia" w:ascii="宋体" w:hAnsi="宋体" w:eastAsia="宋体" w:cs="Times New Roman"/>
          <w:b w:val="0"/>
          <w:kern w:val="2"/>
          <w:sz w:val="28"/>
          <w:lang w:val="en-US" w:eastAsia="zh-CN" w:bidi="ar-SA"/>
        </w:rPr>
        <w:fldChar w:fldCharType="begin"/>
      </w:r>
      <w:r>
        <w:rPr>
          <w:rFonts w:hint="eastAsia" w:ascii="宋体" w:hAnsi="宋体" w:eastAsia="宋体" w:cs="Times New Roman"/>
          <w:b w:val="0"/>
          <w:kern w:val="2"/>
          <w:sz w:val="28"/>
          <w:lang w:val="en-US" w:eastAsia="zh-CN" w:bidi="ar-SA"/>
        </w:rPr>
        <w:instrText xml:space="preserve"> PAGEREF _Toc247380452 \h </w:instrText>
      </w:r>
      <w:r>
        <w:rPr>
          <w:rFonts w:hint="eastAsia" w:ascii="宋体" w:hAnsi="宋体" w:eastAsia="宋体" w:cs="Times New Roman"/>
          <w:b w:val="0"/>
          <w:kern w:val="2"/>
          <w:sz w:val="28"/>
          <w:lang w:val="en-US" w:eastAsia="zh-CN" w:bidi="ar-SA"/>
        </w:rPr>
        <w:fldChar w:fldCharType="separate"/>
      </w:r>
      <w:r>
        <w:rPr>
          <w:rFonts w:hint="eastAsia" w:ascii="宋体" w:hAnsi="宋体" w:eastAsia="宋体" w:cs="Times New Roman"/>
          <w:b w:val="0"/>
          <w:kern w:val="2"/>
          <w:sz w:val="28"/>
          <w:lang w:val="en-US" w:eastAsia="zh-CN" w:bidi="ar-SA"/>
        </w:rPr>
        <w:t>- 39 -</w:t>
      </w:r>
      <w:r>
        <w:rPr>
          <w:rFonts w:hint="eastAsia" w:ascii="宋体" w:hAnsi="宋体" w:eastAsia="宋体" w:cs="Times New Roman"/>
          <w:b w:val="0"/>
          <w:kern w:val="2"/>
          <w:sz w:val="28"/>
          <w:lang w:val="en-US" w:eastAsia="zh-CN" w:bidi="ar-SA"/>
        </w:rPr>
        <w:fldChar w:fldCharType="end"/>
      </w: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pPr>
      <w:r>
        <w:rPr>
          <w:rFonts w:hint="eastAsia" w:ascii="宋体" w:hAnsi="宋体" w:eastAsia="宋体" w:cs="Times New Roman"/>
          <w:b w:val="0"/>
          <w:kern w:val="2"/>
          <w:sz w:val="28"/>
          <w:lang w:val="en-US" w:eastAsia="zh-CN" w:bidi="ar-SA"/>
        </w:rPr>
        <w:fldChar w:fldCharType="end"/>
      </w:r>
    </w:p>
    <w:p>
      <w:pPr>
        <w:pStyle w:val="39"/>
        <w:tabs>
          <w:tab w:val="right" w:leader="dot" w:pos="9412"/>
          <w:tab w:val="clear" w:pos="1260"/>
          <w:tab w:val="clear" w:pos="1685"/>
          <w:tab w:val="clear" w:pos="8400"/>
        </w:tabs>
        <w:rPr>
          <w:rFonts w:hint="eastAsia" w:ascii="宋体" w:hAnsi="宋体" w:eastAsia="宋体" w:cs="Times New Roman"/>
          <w:b w:val="0"/>
          <w:kern w:val="2"/>
          <w:sz w:val="28"/>
          <w:lang w:val="en-US" w:eastAsia="zh-CN" w:bidi="ar-SA"/>
        </w:rPr>
        <w:sectPr>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start="1"/>
          <w:cols w:space="720" w:num="1"/>
          <w:docGrid w:linePitch="312" w:charSpace="0"/>
        </w:sectPr>
      </w:pPr>
    </w:p>
    <w:p>
      <w:pPr>
        <w:pStyle w:val="3"/>
        <w:spacing w:before="0" w:beforeLines="0" w:after="0" w:afterLines="0" w:line="360" w:lineRule="auto"/>
        <w:rPr>
          <w:rFonts w:hint="eastAsia" w:ascii="方正仿宋_GBK" w:eastAsia="方正仿宋_GBK"/>
          <w:b/>
          <w:highlight w:val="none"/>
          <w:u w:val="none" w:color="auto"/>
        </w:rPr>
      </w:pPr>
      <w:bookmarkStart w:id="4" w:name="_Toc21468"/>
      <w:bookmarkStart w:id="5" w:name="_Toc3517"/>
      <w:bookmarkStart w:id="6" w:name="_Toc25832"/>
      <w:bookmarkStart w:id="7" w:name="_Toc2977"/>
      <w:bookmarkStart w:id="8" w:name="_Toc21631"/>
      <w:bookmarkStart w:id="9" w:name="_Toc6967"/>
      <w:bookmarkStart w:id="10" w:name="_Toc5284"/>
      <w:bookmarkStart w:id="11" w:name="_Toc2015656353"/>
      <w:bookmarkStart w:id="12" w:name="_Toc1386"/>
      <w:bookmarkStart w:id="13" w:name="_Toc75793495"/>
      <w:bookmarkStart w:id="14" w:name="_Toc13722"/>
      <w:bookmarkStart w:id="15" w:name="_Toc14947"/>
      <w:bookmarkStart w:id="16" w:name="_Toc14366"/>
      <w:bookmarkStart w:id="17" w:name="_Toc31300"/>
      <w:bookmarkStart w:id="18" w:name="_Toc19468"/>
      <w:bookmarkStart w:id="19" w:name="_Toc4502"/>
      <w:bookmarkStart w:id="20" w:name="_Toc21693"/>
      <w:bookmarkStart w:id="21" w:name="_Toc106030371"/>
      <w:bookmarkStart w:id="22" w:name="_Toc5896"/>
      <w:bookmarkStart w:id="23" w:name="_Toc16178"/>
      <w:r>
        <w:rPr>
          <w:rFonts w:hint="eastAsia" w:ascii="方正仿宋_GBK" w:eastAsia="方正仿宋_GBK"/>
          <w:b/>
          <w:highlight w:val="none"/>
          <w:u w:val="none" w:color="auto"/>
        </w:rPr>
        <w:t>第一篇 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垫江县公共资源交易中心受</w:t>
      </w:r>
      <w:r>
        <w:rPr>
          <w:rFonts w:hint="eastAsia" w:ascii="方正仿宋_GBK" w:hAnsi="宋体" w:eastAsia="方正仿宋_GBK"/>
          <w:sz w:val="24"/>
          <w:szCs w:val="24"/>
          <w:highlight w:val="none"/>
          <w:u w:val="none" w:color="auto"/>
          <w:lang w:val="en-US" w:eastAsia="zh-CN"/>
        </w:rPr>
        <w:t>重庆康科特建筑材料有限公司</w:t>
      </w:r>
      <w:r>
        <w:rPr>
          <w:rFonts w:hint="eastAsia" w:ascii="方正仿宋_GBK" w:hAnsi="宋体" w:eastAsia="方正仿宋_GBK"/>
          <w:sz w:val="24"/>
          <w:szCs w:val="24"/>
          <w:highlight w:val="none"/>
          <w:u w:val="none" w:color="auto"/>
        </w:rPr>
        <w:t>的委托，对</w:t>
      </w:r>
      <w:r>
        <w:rPr>
          <w:rFonts w:hint="eastAsia" w:ascii="方正仿宋_GBK" w:hAnsi="宋体" w:eastAsia="方正仿宋_GBK"/>
          <w:sz w:val="24"/>
          <w:szCs w:val="24"/>
          <w:highlight w:val="none"/>
          <w:u w:val="none" w:color="auto"/>
          <w:lang w:val="en-US" w:eastAsia="zh-CN"/>
        </w:rPr>
        <w:t>重庆康科特建筑材料有限公司贸易砂石采购</w:t>
      </w:r>
      <w:r>
        <w:rPr>
          <w:rFonts w:hint="eastAsia" w:ascii="方正仿宋_GBK" w:hAnsi="宋体" w:eastAsia="方正仿宋_GBK"/>
          <w:sz w:val="24"/>
          <w:szCs w:val="24"/>
          <w:highlight w:val="none"/>
          <w:u w:val="none" w:color="auto"/>
        </w:rPr>
        <w:t>进行公开招标，欢迎有资格的投标人参加投标。</w:t>
      </w:r>
    </w:p>
    <w:p>
      <w:pPr>
        <w:pStyle w:val="4"/>
        <w:spacing w:line="400" w:lineRule="exact"/>
        <w:ind w:firstLine="482" w:firstLineChars="200"/>
        <w:rPr>
          <w:rFonts w:hint="eastAsia" w:ascii="方正仿宋_GBK" w:eastAsia="方正仿宋_GBK"/>
          <w:b/>
          <w:sz w:val="24"/>
          <w:highlight w:val="none"/>
          <w:u w:val="none" w:color="auto"/>
        </w:rPr>
      </w:pPr>
      <w:bookmarkStart w:id="24" w:name="_Toc14081"/>
      <w:bookmarkStart w:id="25" w:name="_Toc12083"/>
      <w:bookmarkStart w:id="26" w:name="_Toc75793496"/>
      <w:bookmarkStart w:id="27" w:name="_Toc27035"/>
      <w:bookmarkStart w:id="28" w:name="_Toc8806"/>
      <w:bookmarkStart w:id="29" w:name="_Toc19219"/>
      <w:bookmarkStart w:id="30" w:name="_Toc25215"/>
      <w:bookmarkStart w:id="31" w:name="_Toc19648"/>
      <w:bookmarkStart w:id="32" w:name="_Toc9233"/>
      <w:bookmarkStart w:id="33" w:name="_Toc16810"/>
      <w:bookmarkStart w:id="34" w:name="_Toc540731154"/>
      <w:bookmarkStart w:id="35" w:name="_Toc2284"/>
      <w:bookmarkStart w:id="36" w:name="_Toc25391"/>
      <w:bookmarkStart w:id="37" w:name="_Toc10092"/>
      <w:bookmarkStart w:id="38" w:name="_Toc11858"/>
      <w:bookmarkStart w:id="39" w:name="_Toc19082"/>
      <w:bookmarkStart w:id="40" w:name="_Toc398"/>
      <w:bookmarkStart w:id="41" w:name="_Toc15112"/>
      <w:bookmarkStart w:id="42" w:name="_Toc106030372"/>
      <w:bookmarkStart w:id="43" w:name="_Toc9774"/>
      <w:r>
        <w:rPr>
          <w:rFonts w:hint="eastAsia" w:ascii="方正仿宋_GBK" w:eastAsia="方正仿宋_GBK"/>
          <w:b/>
          <w:sz w:val="24"/>
          <w:highlight w:val="none"/>
          <w:u w:val="none" w:color="auto"/>
        </w:rPr>
        <w:t>一、招标项目内容</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tbl>
      <w:tblPr>
        <w:tblStyle w:val="60"/>
        <w:tblW w:w="85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4"/>
        <w:gridCol w:w="2127"/>
        <w:gridCol w:w="1693"/>
        <w:gridCol w:w="1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jc w:val="center"/>
        </w:trPr>
        <w:tc>
          <w:tcPr>
            <w:tcW w:w="2914" w:type="dxa"/>
            <w:noWrap w:val="0"/>
            <w:vAlign w:val="center"/>
          </w:tcPr>
          <w:p>
            <w:pPr>
              <w:pStyle w:val="25"/>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lang w:val="en-US" w:eastAsia="zh-CN"/>
              </w:rPr>
              <w:t>包号及</w:t>
            </w:r>
            <w:r>
              <w:rPr>
                <w:rFonts w:hint="eastAsia" w:ascii="方正仿宋_GBK" w:hAnsi="宋体" w:eastAsia="方正仿宋_GBK"/>
                <w:b/>
                <w:sz w:val="21"/>
                <w:szCs w:val="21"/>
                <w:highlight w:val="none"/>
                <w:u w:val="none" w:color="auto"/>
              </w:rPr>
              <w:t>名称</w:t>
            </w:r>
          </w:p>
        </w:tc>
        <w:tc>
          <w:tcPr>
            <w:tcW w:w="2127" w:type="dxa"/>
            <w:noWrap w:val="0"/>
            <w:vAlign w:val="center"/>
          </w:tcPr>
          <w:p>
            <w:pPr>
              <w:pStyle w:val="25"/>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lang w:eastAsia="zh-CN"/>
              </w:rPr>
              <w:t>总价</w:t>
            </w:r>
            <w:r>
              <w:rPr>
                <w:rFonts w:hint="eastAsia" w:ascii="方正仿宋_GBK" w:hAnsi="宋体" w:eastAsia="方正仿宋_GBK"/>
                <w:b/>
                <w:sz w:val="21"/>
                <w:szCs w:val="21"/>
                <w:highlight w:val="none"/>
                <w:u w:val="none" w:color="auto"/>
              </w:rPr>
              <w:t>最高限价</w:t>
            </w:r>
          </w:p>
          <w:p>
            <w:pPr>
              <w:pStyle w:val="25"/>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（万元）</w:t>
            </w:r>
          </w:p>
        </w:tc>
        <w:tc>
          <w:tcPr>
            <w:tcW w:w="1693" w:type="dxa"/>
            <w:noWrap w:val="0"/>
            <w:vAlign w:val="center"/>
          </w:tcPr>
          <w:p>
            <w:pPr>
              <w:pStyle w:val="25"/>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投标保证金</w:t>
            </w:r>
          </w:p>
          <w:p>
            <w:pPr>
              <w:pStyle w:val="25"/>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（万元）</w:t>
            </w:r>
          </w:p>
        </w:tc>
        <w:tc>
          <w:tcPr>
            <w:tcW w:w="1784" w:type="dxa"/>
            <w:noWrap w:val="0"/>
            <w:vAlign w:val="center"/>
          </w:tcPr>
          <w:p>
            <w:pPr>
              <w:pStyle w:val="25"/>
              <w:spacing w:line="240" w:lineRule="auto"/>
              <w:ind w:left="0"/>
              <w:jc w:val="center"/>
              <w:outlineLvl w:val="0"/>
              <w:rPr>
                <w:rFonts w:hint="eastAsia" w:ascii="方正仿宋_GBK" w:hAnsi="宋体" w:eastAsia="方正仿宋_GBK"/>
                <w:b/>
                <w:sz w:val="21"/>
                <w:szCs w:val="21"/>
                <w:highlight w:val="none"/>
                <w:u w:val="none" w:color="auto"/>
              </w:rPr>
            </w:pPr>
            <w:r>
              <w:rPr>
                <w:rFonts w:hint="eastAsia" w:ascii="方正仿宋_GBK" w:hAnsi="宋体" w:eastAsia="方正仿宋_GBK"/>
                <w:b/>
                <w:sz w:val="21"/>
                <w:szCs w:val="21"/>
                <w:highlight w:val="none"/>
                <w:u w:val="none" w:color="auto"/>
              </w:rPr>
              <w:t>中标人数量（名）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2914" w:type="dxa"/>
            <w:noWrap w:val="0"/>
            <w:vAlign w:val="center"/>
          </w:tcPr>
          <w:p>
            <w:pPr>
              <w:pStyle w:val="25"/>
              <w:spacing w:line="240" w:lineRule="auto"/>
              <w:ind w:left="0"/>
              <w:jc w:val="center"/>
              <w:outlineLvl w:val="0"/>
              <w:rPr>
                <w:rFonts w:hint="eastAsia" w:ascii="方正仿宋_GBK" w:hAnsi="宋体" w:eastAsia="方正仿宋_GBK"/>
                <w:b w:val="0"/>
                <w:bCs/>
                <w:sz w:val="21"/>
                <w:szCs w:val="21"/>
                <w:highlight w:val="none"/>
                <w:u w:val="none" w:color="auto"/>
                <w:lang w:eastAsia="zh-CN"/>
              </w:rPr>
            </w:pPr>
            <w:r>
              <w:rPr>
                <w:rFonts w:hint="eastAsia" w:ascii="方正仿宋_GBK" w:hAnsi="宋体" w:eastAsia="方正仿宋_GBK"/>
                <w:b w:val="0"/>
                <w:bCs/>
                <w:sz w:val="21"/>
                <w:szCs w:val="21"/>
                <w:highlight w:val="none"/>
                <w:u w:val="none" w:color="auto"/>
                <w:lang w:val="en-US" w:eastAsia="zh-CN"/>
              </w:rPr>
              <w:t>重庆康科特建筑材料有限公司贸易砂石采购</w:t>
            </w:r>
          </w:p>
        </w:tc>
        <w:tc>
          <w:tcPr>
            <w:tcW w:w="2127" w:type="dxa"/>
            <w:noWrap w:val="0"/>
            <w:vAlign w:val="center"/>
          </w:tcPr>
          <w:p>
            <w:pPr>
              <w:pStyle w:val="25"/>
              <w:spacing w:line="240" w:lineRule="auto"/>
              <w:ind w:left="0"/>
              <w:jc w:val="center"/>
              <w:outlineLvl w:val="0"/>
              <w:rPr>
                <w:rFonts w:hint="default" w:ascii="方正仿宋_GBK" w:hAnsi="宋体" w:eastAsia="方正仿宋_GBK"/>
                <w:b w:val="0"/>
                <w:bCs/>
                <w:sz w:val="21"/>
                <w:szCs w:val="21"/>
                <w:highlight w:val="none"/>
                <w:u w:val="none" w:color="auto"/>
                <w:lang w:val="en-US" w:eastAsia="zh-CN"/>
              </w:rPr>
            </w:pPr>
            <w:r>
              <w:rPr>
                <w:rFonts w:hint="eastAsia" w:ascii="方正仿宋_GBK" w:hAnsi="宋体" w:eastAsia="方正仿宋_GBK"/>
                <w:bCs/>
                <w:sz w:val="21"/>
                <w:szCs w:val="21"/>
                <w:highlight w:val="none"/>
                <w:lang w:val="en-US" w:eastAsia="zh-CN"/>
              </w:rPr>
              <w:t>362.8</w:t>
            </w:r>
          </w:p>
        </w:tc>
        <w:tc>
          <w:tcPr>
            <w:tcW w:w="1693" w:type="dxa"/>
            <w:noWrap w:val="0"/>
            <w:vAlign w:val="center"/>
          </w:tcPr>
          <w:p>
            <w:pPr>
              <w:pStyle w:val="25"/>
              <w:spacing w:line="240" w:lineRule="auto"/>
              <w:ind w:left="0"/>
              <w:jc w:val="center"/>
              <w:outlineLvl w:val="0"/>
              <w:rPr>
                <w:rFonts w:hint="default"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7</w:t>
            </w:r>
          </w:p>
        </w:tc>
        <w:tc>
          <w:tcPr>
            <w:tcW w:w="1784" w:type="dxa"/>
            <w:noWrap w:val="0"/>
            <w:vAlign w:val="center"/>
          </w:tcPr>
          <w:p>
            <w:pPr>
              <w:pStyle w:val="25"/>
              <w:spacing w:line="240" w:lineRule="auto"/>
              <w:ind w:left="0"/>
              <w:jc w:val="center"/>
              <w:outlineLvl w:val="0"/>
              <w:rPr>
                <w:rFonts w:hint="eastAsia" w:ascii="方正仿宋_GBK" w:hAnsi="宋体" w:eastAsia="方正仿宋_GBK"/>
                <w:b w:val="0"/>
                <w:bCs/>
                <w:sz w:val="21"/>
                <w:szCs w:val="21"/>
                <w:highlight w:val="none"/>
                <w:u w:val="none" w:color="auto"/>
                <w:lang w:val="en-US" w:eastAsia="zh-CN"/>
              </w:rPr>
            </w:pPr>
            <w:r>
              <w:rPr>
                <w:rFonts w:hint="eastAsia" w:ascii="方正仿宋_GBK" w:hAnsi="宋体" w:eastAsia="方正仿宋_GBK"/>
                <w:b w:val="0"/>
                <w:bCs/>
                <w:sz w:val="21"/>
                <w:szCs w:val="21"/>
                <w:highlight w:val="none"/>
                <w:u w:val="none" w:color="auto"/>
                <w:lang w:val="en-US" w:eastAsia="zh-CN"/>
              </w:rPr>
              <w:t>1</w:t>
            </w:r>
          </w:p>
        </w:tc>
      </w:tr>
    </w:tbl>
    <w:p>
      <w:pPr>
        <w:pStyle w:val="4"/>
        <w:spacing w:line="400" w:lineRule="exact"/>
        <w:ind w:firstLine="482" w:firstLineChars="200"/>
        <w:rPr>
          <w:rFonts w:hint="eastAsia" w:ascii="方正仿宋_GBK" w:eastAsia="方正仿宋_GBK"/>
          <w:b/>
          <w:sz w:val="24"/>
          <w:highlight w:val="none"/>
          <w:u w:val="none" w:color="auto"/>
        </w:rPr>
      </w:pPr>
      <w:bookmarkStart w:id="44" w:name="_Toc1817134769"/>
      <w:bookmarkStart w:id="45" w:name="_Toc22549"/>
      <w:bookmarkStart w:id="46" w:name="_Toc75793497"/>
      <w:bookmarkStart w:id="47" w:name="_Toc26507"/>
      <w:bookmarkStart w:id="48" w:name="_Toc31180"/>
      <w:bookmarkStart w:id="49" w:name="_Toc25556"/>
      <w:bookmarkStart w:id="50" w:name="_Toc22327"/>
      <w:bookmarkStart w:id="51" w:name="_Toc7121"/>
      <w:bookmarkStart w:id="52" w:name="_Toc12298"/>
      <w:bookmarkStart w:id="53" w:name="_Toc15272"/>
      <w:bookmarkStart w:id="54" w:name="_Toc29240"/>
      <w:bookmarkStart w:id="55" w:name="_Toc31390"/>
      <w:bookmarkStart w:id="56" w:name="_Toc9736"/>
      <w:bookmarkStart w:id="57" w:name="_Toc24106"/>
      <w:bookmarkStart w:id="58" w:name="_Toc15664"/>
      <w:bookmarkStart w:id="59" w:name="_Toc26284"/>
      <w:bookmarkStart w:id="60" w:name="_Toc26540"/>
      <w:bookmarkStart w:id="61" w:name="_Toc856"/>
      <w:bookmarkStart w:id="62" w:name="_Toc106030373"/>
      <w:bookmarkStart w:id="63" w:name="_Toc514"/>
      <w:r>
        <w:rPr>
          <w:rFonts w:hint="eastAsia" w:ascii="方正仿宋_GBK" w:eastAsia="方正仿宋_GBK"/>
          <w:b/>
          <w:sz w:val="24"/>
          <w:highlight w:val="none"/>
          <w:u w:val="none" w:color="auto"/>
        </w:rPr>
        <w:t>二、资金来源</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仿宋" w:eastAsia="方正仿宋_GBK"/>
          <w:sz w:val="24"/>
          <w:szCs w:val="24"/>
          <w:highlight w:val="none"/>
          <w:u w:val="none" w:color="auto"/>
        </w:rPr>
        <w:t>财政预算资金（或单位自筹资金），预算金额为</w:t>
      </w:r>
      <w:r>
        <w:rPr>
          <w:rFonts w:hint="eastAsia" w:ascii="方正仿宋_GBK" w:hAnsi="仿宋" w:eastAsia="方正仿宋_GBK"/>
          <w:sz w:val="24"/>
          <w:szCs w:val="24"/>
          <w:highlight w:val="none"/>
          <w:u w:val="none" w:color="auto"/>
          <w:lang w:val="en-US" w:eastAsia="zh-CN"/>
        </w:rPr>
        <w:t>362.8</w:t>
      </w:r>
      <w:r>
        <w:rPr>
          <w:rFonts w:hint="eastAsia" w:ascii="方正仿宋_GBK" w:hAnsi="仿宋" w:eastAsia="方正仿宋_GBK"/>
          <w:sz w:val="24"/>
          <w:szCs w:val="24"/>
          <w:highlight w:val="none"/>
          <w:u w:val="none" w:color="auto"/>
        </w:rPr>
        <w:t>万元。</w:t>
      </w:r>
    </w:p>
    <w:p>
      <w:pPr>
        <w:pStyle w:val="4"/>
        <w:spacing w:line="400" w:lineRule="exact"/>
        <w:ind w:firstLine="482" w:firstLineChars="200"/>
        <w:rPr>
          <w:rFonts w:hint="eastAsia" w:ascii="方正仿宋_GBK" w:eastAsia="方正仿宋_GBK"/>
          <w:b/>
          <w:sz w:val="24"/>
          <w:highlight w:val="none"/>
          <w:u w:val="none" w:color="auto"/>
        </w:rPr>
      </w:pPr>
      <w:bookmarkStart w:id="64" w:name="_Toc26478"/>
      <w:bookmarkStart w:id="65" w:name="_Toc20698"/>
      <w:bookmarkStart w:id="66" w:name="_Toc682"/>
      <w:bookmarkStart w:id="67" w:name="_Toc75793498"/>
      <w:bookmarkStart w:id="68" w:name="_Toc11835"/>
      <w:bookmarkStart w:id="69" w:name="_Toc6453"/>
      <w:bookmarkStart w:id="70" w:name="_Toc21668"/>
      <w:bookmarkStart w:id="71" w:name="_Toc106030374"/>
      <w:bookmarkStart w:id="72" w:name="_Toc28070"/>
      <w:bookmarkStart w:id="73" w:name="_Toc20925"/>
      <w:bookmarkStart w:id="74" w:name="_Toc4504"/>
      <w:bookmarkStart w:id="75" w:name="_Toc7983"/>
      <w:bookmarkStart w:id="76" w:name="_Toc21210"/>
      <w:bookmarkStart w:id="77" w:name="_Toc2256"/>
      <w:bookmarkStart w:id="78" w:name="_Toc1625262376"/>
      <w:bookmarkStart w:id="79" w:name="_Toc29468"/>
      <w:bookmarkStart w:id="80" w:name="_Toc12813"/>
      <w:bookmarkStart w:id="81" w:name="_Toc13316"/>
      <w:bookmarkStart w:id="82" w:name="_Toc4356"/>
      <w:bookmarkStart w:id="83" w:name="_Toc23472"/>
      <w:r>
        <w:rPr>
          <w:rFonts w:hint="eastAsia" w:ascii="方正仿宋_GBK" w:eastAsia="方正仿宋_GBK"/>
          <w:b/>
          <w:sz w:val="24"/>
          <w:highlight w:val="none"/>
          <w:u w:val="none" w:color="auto"/>
        </w:rPr>
        <w:t>三、投标人资格要求</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（一）满足《中华人民共和国政府采购法》第二十二条规定；</w:t>
      </w:r>
    </w:p>
    <w:p>
      <w:pPr>
        <w:spacing w:line="400" w:lineRule="exact"/>
        <w:ind w:firstLine="480" w:firstLineChars="200"/>
        <w:rPr>
          <w:rFonts w:hint="eastAsia" w:ascii="方正仿宋_GBK" w:hAnsi="宋体" w:eastAsia="方正仿宋_GBK"/>
          <w:i w:val="0"/>
          <w:iCs w:val="0"/>
          <w:sz w:val="24"/>
          <w:szCs w:val="24"/>
          <w:highlight w:val="none"/>
          <w:u w:val="none" w:color="auto"/>
          <w:lang w:val="en-US" w:eastAsia="zh-CN"/>
        </w:rPr>
      </w:pPr>
      <w:r>
        <w:rPr>
          <w:rFonts w:hint="eastAsia" w:ascii="方正仿宋_GBK" w:hAnsi="宋体" w:eastAsia="方正仿宋_GBK"/>
          <w:sz w:val="24"/>
          <w:szCs w:val="24"/>
          <w:highlight w:val="none"/>
          <w:u w:val="none" w:color="auto"/>
        </w:rPr>
        <w:t>（二）落实政府采购政策需满足的资格要求：</w:t>
      </w:r>
      <w:r>
        <w:rPr>
          <w:rFonts w:hint="eastAsia" w:ascii="方正仿宋_GBK" w:hAnsi="宋体" w:eastAsia="方正仿宋_GBK"/>
          <w:i w:val="0"/>
          <w:iCs w:val="0"/>
          <w:sz w:val="24"/>
          <w:szCs w:val="24"/>
          <w:highlight w:val="none"/>
          <w:u w:val="none" w:color="auto"/>
          <w:lang w:val="en-US" w:eastAsia="zh-CN"/>
        </w:rPr>
        <w:t>无；</w:t>
      </w:r>
    </w:p>
    <w:p>
      <w:pPr>
        <w:spacing w:line="400" w:lineRule="exact"/>
        <w:ind w:firstLine="480" w:firstLineChars="200"/>
        <w:rPr>
          <w:rFonts w:hint="eastAsia" w:eastAsia="方正仿宋_GBK"/>
          <w:highlight w:val="none"/>
          <w:lang w:val="en-US" w:eastAsia="zh-CN"/>
        </w:rPr>
      </w:pPr>
      <w:bookmarkStart w:id="84" w:name="_Toc10603"/>
      <w:r>
        <w:rPr>
          <w:rFonts w:hint="eastAsia" w:ascii="方正仿宋_GBK" w:hAnsi="宋体" w:eastAsia="方正仿宋_GBK"/>
          <w:b w:val="0"/>
          <w:bCs w:val="0"/>
          <w:sz w:val="24"/>
          <w:szCs w:val="24"/>
          <w:highlight w:val="none"/>
          <w:u w:val="none" w:color="auto"/>
        </w:rPr>
        <w:t>（</w:t>
      </w:r>
      <w:r>
        <w:rPr>
          <w:rFonts w:hint="eastAsia" w:ascii="方正仿宋_GBK" w:hAnsi="宋体" w:eastAsia="方正仿宋_GBK"/>
          <w:b w:val="0"/>
          <w:bCs w:val="0"/>
          <w:sz w:val="24"/>
          <w:szCs w:val="24"/>
          <w:highlight w:val="none"/>
          <w:u w:val="none" w:color="auto"/>
          <w:lang w:val="en-US" w:eastAsia="zh-CN"/>
        </w:rPr>
        <w:t>三</w:t>
      </w:r>
      <w:r>
        <w:rPr>
          <w:rFonts w:hint="eastAsia" w:ascii="方正仿宋_GBK" w:hAnsi="宋体" w:eastAsia="方正仿宋_GBK"/>
          <w:b w:val="0"/>
          <w:bCs w:val="0"/>
          <w:sz w:val="24"/>
          <w:szCs w:val="24"/>
          <w:highlight w:val="none"/>
          <w:u w:val="none" w:color="auto"/>
        </w:rPr>
        <w:t>）</w:t>
      </w:r>
      <w:r>
        <w:rPr>
          <w:rFonts w:hint="eastAsia" w:ascii="方正仿宋_GBK" w:hAnsi="宋体" w:eastAsia="方正仿宋_GBK" w:cs="Times New Roman"/>
          <w:b w:val="0"/>
          <w:bCs w:val="0"/>
          <w:sz w:val="24"/>
          <w:szCs w:val="24"/>
          <w:highlight w:val="none"/>
          <w:u w:val="none" w:color="auto"/>
        </w:rPr>
        <w:t>本项目的特定资格要求：</w:t>
      </w:r>
      <w:bookmarkEnd w:id="84"/>
      <w:bookmarkStart w:id="85" w:name="_Toc27732"/>
      <w:bookmarkStart w:id="86" w:name="_Toc11987"/>
      <w:bookmarkStart w:id="87" w:name="_Toc28188"/>
      <w:bookmarkStart w:id="88" w:name="_Toc1132"/>
      <w:bookmarkStart w:id="89" w:name="_Toc15980"/>
      <w:bookmarkStart w:id="90" w:name="_Toc22464"/>
      <w:bookmarkStart w:id="91" w:name="_Toc27442"/>
      <w:bookmarkStart w:id="92" w:name="_Toc5414"/>
      <w:bookmarkStart w:id="93" w:name="_Toc11276"/>
      <w:bookmarkStart w:id="94" w:name="_Toc13076"/>
      <w:bookmarkStart w:id="95" w:name="_Toc75793499"/>
      <w:bookmarkStart w:id="96" w:name="_Toc24618"/>
      <w:bookmarkStart w:id="97" w:name="_Toc9335"/>
      <w:bookmarkStart w:id="98" w:name="_Toc8255"/>
      <w:bookmarkStart w:id="99" w:name="_Toc12680"/>
      <w:bookmarkStart w:id="100" w:name="_Toc106030375"/>
      <w:r>
        <w:rPr>
          <w:rFonts w:hint="eastAsia" w:ascii="方正仿宋_GBK" w:hAnsi="宋体" w:eastAsia="方正仿宋_GBK" w:cs="Times New Roman"/>
          <w:b w:val="0"/>
          <w:bCs w:val="0"/>
          <w:sz w:val="24"/>
          <w:szCs w:val="24"/>
          <w:highlight w:val="none"/>
          <w:u w:val="none" w:color="auto"/>
        </w:rPr>
        <w:t>无</w:t>
      </w:r>
      <w:r>
        <w:rPr>
          <w:rFonts w:hint="eastAsia" w:ascii="方正仿宋_GBK" w:hAnsi="宋体" w:eastAsia="方正仿宋_GBK" w:cs="Times New Roman"/>
          <w:b w:val="0"/>
          <w:bCs w:val="0"/>
          <w:sz w:val="24"/>
          <w:szCs w:val="24"/>
          <w:highlight w:val="none"/>
          <w:u w:val="none" w:color="auto"/>
          <w:lang w:eastAsia="zh-CN"/>
        </w:rPr>
        <w:t>。</w:t>
      </w:r>
    </w:p>
    <w:p>
      <w:pPr>
        <w:pStyle w:val="4"/>
        <w:numPr>
          <w:ilvl w:val="0"/>
          <w:numId w:val="0"/>
        </w:numPr>
        <w:spacing w:line="400" w:lineRule="exact"/>
        <w:ind w:firstLine="482" w:firstLineChars="200"/>
        <w:rPr>
          <w:rFonts w:hint="eastAsia" w:ascii="方正仿宋_GBK" w:eastAsia="方正仿宋_GBK"/>
          <w:b/>
          <w:sz w:val="24"/>
          <w:highlight w:val="none"/>
          <w:u w:val="none" w:color="auto"/>
        </w:rPr>
      </w:pPr>
      <w:bookmarkStart w:id="101" w:name="_Toc6308"/>
      <w:bookmarkStart w:id="102" w:name="_Toc1857664984"/>
      <w:bookmarkStart w:id="103" w:name="_Toc19630"/>
      <w:bookmarkStart w:id="104" w:name="_Toc21328"/>
      <w:r>
        <w:rPr>
          <w:rFonts w:hint="eastAsia" w:ascii="方正仿宋_GBK" w:eastAsia="方正仿宋_GBK"/>
          <w:b/>
          <w:sz w:val="24"/>
          <w:highlight w:val="none"/>
          <w:u w:val="none" w:color="auto"/>
        </w:rPr>
        <w:t>四、投标、开标有关说明</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（一）投标人应通过</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val="en-US" w:eastAsia="zh-CN"/>
        </w:rPr>
        <w:t>https://djxgzw.gec123.com/</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行采家（https://www.gec123.com）登记</w:t>
      </w:r>
      <w:r>
        <w:rPr>
          <w:rFonts w:hint="eastAsia" w:ascii="方正仿宋_GBK" w:hAnsi="宋体" w:eastAsia="方正仿宋_GBK"/>
          <w:sz w:val="24"/>
          <w:szCs w:val="24"/>
          <w:highlight w:val="none"/>
          <w:u w:val="none" w:color="auto"/>
          <w:lang w:eastAsia="zh-CN"/>
        </w:rPr>
        <w:t>注册</w:t>
      </w:r>
      <w:r>
        <w:rPr>
          <w:rFonts w:hint="eastAsia" w:ascii="方正仿宋_GBK" w:hAnsi="宋体" w:eastAsia="方正仿宋_GBK"/>
          <w:sz w:val="24"/>
          <w:szCs w:val="24"/>
          <w:highlight w:val="none"/>
          <w:u w:val="none" w:color="auto"/>
        </w:rPr>
        <w:t>。</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（二）凡有意参加投标的投标人，请登陆“</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电子投标在线报名”处→搜索该项目并点击“在线获取”按钮。完成本项目招标文件以及图纸、澄清等开标前公布的所有项目资料（本次招标不提供纸质版招标文件）的获取和下载，无论投标人下载或获取与否，均视为已知晓所有招标内容。</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（三）招标公告所附招标文件仅供阅览使用，投标人只有登陆“</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在“电子投标在线报名”处→搜索该项目并点击“在线获取”按钮完成网上获取采购文件，投标人才被视为合法获取了采购文件，否则其投标将被拒绝。即：若投标人未通过以上获取采购文件流程完成采购文件的下载、获取，投标人将无法在电子招投标系统中上传电子投标文件。</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注意事项：本项目为</w:t>
      </w:r>
      <w:r>
        <w:rPr>
          <w:rFonts w:hint="eastAsia" w:ascii="方正仿宋_GBK" w:hAnsi="宋体" w:eastAsia="方正仿宋_GBK"/>
          <w:sz w:val="24"/>
          <w:szCs w:val="24"/>
          <w:highlight w:val="none"/>
          <w:u w:val="none" w:color="auto"/>
          <w:lang w:val="en-US" w:eastAsia="zh-CN"/>
        </w:rPr>
        <w:t>垫江县</w:t>
      </w:r>
      <w:r>
        <w:rPr>
          <w:rFonts w:hint="eastAsia" w:ascii="方正仿宋_GBK" w:hAnsi="宋体" w:eastAsia="方正仿宋_GBK"/>
          <w:sz w:val="24"/>
          <w:szCs w:val="24"/>
          <w:highlight w:val="none"/>
          <w:u w:val="none" w:color="auto"/>
        </w:rPr>
        <w:t>属国有企业采购电子招投标项目，首次参与电子招投标的投标人须申请行采家账号密码、办理CA证书（</w:t>
      </w:r>
      <w:r>
        <w:rPr>
          <w:rFonts w:hint="eastAsia" w:ascii="方正仿宋_GBK" w:hAnsi="宋体" w:eastAsia="方正仿宋_GBK"/>
          <w:b/>
          <w:bCs/>
          <w:sz w:val="24"/>
          <w:szCs w:val="24"/>
          <w:highlight w:val="none"/>
          <w:u w:val="none" w:color="auto"/>
        </w:rPr>
        <w:t>办理CA证书费用由供应商自行承担</w:t>
      </w:r>
      <w:r>
        <w:rPr>
          <w:rFonts w:hint="eastAsia" w:ascii="方正仿宋_GBK" w:hAnsi="宋体" w:eastAsia="方正仿宋_GBK"/>
          <w:sz w:val="24"/>
          <w:szCs w:val="24"/>
          <w:highlight w:val="none"/>
          <w:u w:val="none" w:color="auto"/>
        </w:rPr>
        <w:t>）并下载大家采投标文件制作系统，制作电子投标文件进行互联网在线投标，具体操作流程请下载项目公告附件《采购公告附件（行采家供应商必看手册）24-3版》进行查看。因未注册行采家账号、未办理CA证书、操作不当等原因造成无法投标或投标失败的后果由投标人自行承担。</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1.CA证书的办理流程：下载采购公告附件《采购公告附件（行采家供应商必看手册）24-3版》-《重庆政府采购（兼用行采家）全程电子化招标采购CA办理手册》，并按照要求操作。</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2.电子投标文件制作：登录“行采家”→“个人中心”→“电子招投标”→“电子招投标中心”→“相关下载”栏目，下载“大家采投标文件制作工具”、“统一签章客户端” 安装包，并按照《采购公告附件（行采家供应商必看手册）24-3版》-《【供应商必看】行采家（CA版）供应商投标前软件安装手册》、《行采家全程电子化操作手册-供应商(CA证书解密版)》操作。</w:t>
      </w:r>
    </w:p>
    <w:p>
      <w:pPr>
        <w:spacing w:line="400" w:lineRule="exact"/>
        <w:ind w:firstLine="482" w:firstLineChars="200"/>
        <w:rPr>
          <w:rFonts w:hint="eastAsia" w:ascii="方正仿宋_GBK" w:hAnsi="宋体" w:eastAsia="方正仿宋_GBK"/>
          <w:b/>
          <w:bCs/>
          <w:color w:val="FF0000"/>
          <w:sz w:val="24"/>
          <w:szCs w:val="24"/>
          <w:highlight w:val="none"/>
          <w:u w:val="none" w:color="auto"/>
          <w:lang w:val="en-US" w:eastAsia="zh-CN"/>
        </w:rPr>
      </w:pPr>
      <w:r>
        <w:rPr>
          <w:rFonts w:hint="eastAsia" w:ascii="方正仿宋_GBK" w:hAnsi="宋体" w:eastAsia="方正仿宋_GBK"/>
          <w:b/>
          <w:bCs/>
          <w:color w:val="FF0000"/>
          <w:sz w:val="24"/>
          <w:szCs w:val="24"/>
          <w:highlight w:val="none"/>
          <w:u w:val="none" w:color="auto"/>
          <w:lang w:val="en-US" w:eastAsia="zh-CN"/>
        </w:rPr>
        <w:t>3.</w:t>
      </w:r>
      <w:r>
        <w:rPr>
          <w:rFonts w:hint="eastAsia" w:ascii="方正仿宋_GBK" w:hAnsi="宋体" w:eastAsia="方正仿宋_GBK"/>
          <w:b/>
          <w:bCs/>
          <w:color w:val="FF0000"/>
          <w:sz w:val="24"/>
          <w:szCs w:val="24"/>
          <w:highlight w:val="none"/>
          <w:u w:val="none" w:color="auto"/>
        </w:rPr>
        <w:t>重庆</w:t>
      </w:r>
      <w:r>
        <w:rPr>
          <w:rFonts w:hint="eastAsia" w:ascii="方正仿宋_GBK" w:hAnsi="宋体" w:eastAsia="方正仿宋_GBK"/>
          <w:b/>
          <w:bCs/>
          <w:color w:val="FF0000"/>
          <w:sz w:val="24"/>
          <w:szCs w:val="24"/>
          <w:highlight w:val="none"/>
          <w:u w:val="none" w:color="auto"/>
          <w:lang w:eastAsia="zh-CN"/>
        </w:rPr>
        <w:t>市</w:t>
      </w:r>
      <w:r>
        <w:rPr>
          <w:rFonts w:hint="eastAsia" w:ascii="方正仿宋_GBK" w:hAnsi="宋体" w:eastAsia="方正仿宋_GBK"/>
          <w:b/>
          <w:bCs/>
          <w:color w:val="FF0000"/>
          <w:sz w:val="24"/>
          <w:szCs w:val="24"/>
          <w:highlight w:val="none"/>
          <w:u w:val="none" w:color="auto"/>
        </w:rPr>
        <w:t>政府采购</w:t>
      </w:r>
      <w:r>
        <w:rPr>
          <w:rFonts w:hint="eastAsia" w:ascii="方正仿宋_GBK" w:hAnsi="宋体" w:eastAsia="方正仿宋_GBK"/>
          <w:b/>
          <w:bCs/>
          <w:color w:val="FF0000"/>
          <w:sz w:val="24"/>
          <w:szCs w:val="24"/>
          <w:highlight w:val="none"/>
          <w:u w:val="none" w:color="auto"/>
          <w:lang w:eastAsia="zh-CN"/>
        </w:rPr>
        <w:t>网和行采家的</w:t>
      </w:r>
      <w:r>
        <w:rPr>
          <w:rFonts w:hint="eastAsia" w:ascii="方正仿宋_GBK" w:hAnsi="宋体" w:eastAsia="方正仿宋_GBK"/>
          <w:b/>
          <w:bCs/>
          <w:color w:val="FF0000"/>
          <w:sz w:val="24"/>
          <w:szCs w:val="24"/>
          <w:highlight w:val="none"/>
          <w:u w:val="none" w:color="auto"/>
        </w:rPr>
        <w:t>CA</w:t>
      </w:r>
      <w:r>
        <w:rPr>
          <w:rFonts w:hint="eastAsia" w:ascii="方正仿宋_GBK" w:hAnsi="宋体" w:eastAsia="方正仿宋_GBK"/>
          <w:b/>
          <w:bCs/>
          <w:color w:val="FF0000"/>
          <w:sz w:val="24"/>
          <w:szCs w:val="24"/>
          <w:highlight w:val="none"/>
          <w:u w:val="none" w:color="auto"/>
          <w:lang w:eastAsia="zh-CN"/>
        </w:rPr>
        <w:t>证书通用，供应商无需重复办理。</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四</w:t>
      </w:r>
      <w:r>
        <w:rPr>
          <w:rFonts w:hint="eastAsia" w:ascii="方正仿宋_GBK" w:hAnsi="宋体" w:eastAsia="方正仿宋_GBK"/>
          <w:sz w:val="24"/>
          <w:szCs w:val="24"/>
          <w:highlight w:val="none"/>
          <w:u w:val="none" w:color="auto"/>
        </w:rPr>
        <w:t>）招标文件公告期限：自采购公告发布之日起五个工作日。</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五</w:t>
      </w:r>
      <w:r>
        <w:rPr>
          <w:rFonts w:hint="eastAsia" w:ascii="方正仿宋_GBK" w:hAnsi="宋体" w:eastAsia="方正仿宋_GBK"/>
          <w:sz w:val="24"/>
          <w:szCs w:val="24"/>
          <w:highlight w:val="none"/>
          <w:u w:val="none" w:color="auto"/>
        </w:rPr>
        <w:t>）招标文件提供期限</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1.招标文件提供期限：同</w:t>
      </w:r>
      <w:r>
        <w:rPr>
          <w:rFonts w:hint="eastAsia" w:ascii="方正仿宋_GBK" w:hAnsi="宋体" w:eastAsia="方正仿宋_GBK"/>
          <w:sz w:val="24"/>
          <w:szCs w:val="24"/>
          <w:highlight w:val="none"/>
          <w:u w:val="none" w:color="auto"/>
          <w:lang w:val="en-US" w:eastAsia="zh-CN"/>
        </w:rPr>
        <w:t>招标</w:t>
      </w:r>
      <w:r>
        <w:rPr>
          <w:rFonts w:hint="eastAsia" w:ascii="方正仿宋_GBK" w:hAnsi="宋体" w:eastAsia="方正仿宋_GBK"/>
          <w:sz w:val="24"/>
          <w:szCs w:val="24"/>
          <w:highlight w:val="none"/>
          <w:u w:val="none" w:color="auto"/>
        </w:rPr>
        <w:t>公告期限。</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2.招标文件阅览：详见本项目招标公告的附件。</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3.招标文件售价：人民币</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元/包。</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eastAsia="zh-CN"/>
        </w:rPr>
        <w:t>六</w:t>
      </w:r>
      <w:r>
        <w:rPr>
          <w:rFonts w:hint="eastAsia" w:ascii="方正仿宋_GBK" w:hAnsi="宋体" w:eastAsia="方正仿宋_GBK"/>
          <w:sz w:val="24"/>
          <w:szCs w:val="24"/>
          <w:highlight w:val="none"/>
          <w:u w:val="none" w:color="auto"/>
        </w:rPr>
        <w:t>）电子投标文件递交</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1.电子投标文件递交方式：本项目采用网上递交方式，投标人于电子投标文件递交截止时间前，登录“</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行采家”，进入“电子招投标”栏目，在“我的投标项目”→“在线投标”板块递交。</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2.电子投标文件截止时间：202</w:t>
      </w:r>
      <w:r>
        <w:rPr>
          <w:rFonts w:hint="eastAsia" w:ascii="方正仿宋_GBK" w:hAnsi="宋体" w:eastAsia="方正仿宋_GBK"/>
          <w:sz w:val="24"/>
          <w:szCs w:val="24"/>
          <w:highlight w:val="none"/>
          <w:u w:val="none" w:color="auto"/>
          <w:lang w:val="en-US" w:eastAsia="zh-CN"/>
        </w:rPr>
        <w:t>5</w:t>
      </w:r>
      <w:r>
        <w:rPr>
          <w:rFonts w:hint="eastAsia" w:ascii="方正仿宋_GBK" w:hAnsi="宋体" w:eastAsia="方正仿宋_GBK"/>
          <w:sz w:val="24"/>
          <w:szCs w:val="24"/>
          <w:highlight w:val="none"/>
          <w:u w:val="none" w:color="auto"/>
        </w:rPr>
        <w:t>年</w:t>
      </w:r>
      <w:r>
        <w:rPr>
          <w:rFonts w:hint="eastAsia" w:ascii="方正仿宋_GBK" w:hAnsi="宋体" w:eastAsia="方正仿宋_GBK"/>
          <w:sz w:val="24"/>
          <w:szCs w:val="24"/>
          <w:highlight w:val="none"/>
          <w:u w:val="none" w:color="auto"/>
          <w:lang w:val="en-US" w:eastAsia="zh-CN"/>
        </w:rPr>
        <w:t xml:space="preserve">7 </w:t>
      </w:r>
      <w:r>
        <w:rPr>
          <w:rFonts w:hint="eastAsia" w:ascii="方正仿宋_GBK" w:hAnsi="宋体" w:eastAsia="方正仿宋_GBK"/>
          <w:sz w:val="24"/>
          <w:szCs w:val="24"/>
          <w:highlight w:val="none"/>
          <w:u w:val="none" w:color="auto"/>
        </w:rPr>
        <w:t>月</w:t>
      </w:r>
      <w:r>
        <w:rPr>
          <w:rFonts w:hint="eastAsia" w:ascii="方正仿宋_GBK" w:hAnsi="宋体" w:eastAsia="方正仿宋_GBK"/>
          <w:sz w:val="24"/>
          <w:szCs w:val="24"/>
          <w:highlight w:val="none"/>
          <w:u w:val="none" w:color="auto"/>
          <w:lang w:val="en-US" w:eastAsia="zh-CN"/>
        </w:rPr>
        <w:t xml:space="preserve"> 14</w:t>
      </w:r>
      <w:r>
        <w:rPr>
          <w:rFonts w:hint="eastAsia" w:ascii="方正仿宋_GBK" w:hAnsi="宋体" w:eastAsia="方正仿宋_GBK"/>
          <w:sz w:val="24"/>
          <w:szCs w:val="24"/>
          <w:highlight w:val="none"/>
          <w:u w:val="none" w:color="auto"/>
        </w:rPr>
        <w:t>日北京时间</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0:00（以电子招投标平台显示的时间为准，其他时间不接受任何形式的送达）。</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（七）开标信息</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1.开标时间：202</w:t>
      </w:r>
      <w:r>
        <w:rPr>
          <w:rFonts w:hint="eastAsia" w:ascii="方正仿宋_GBK" w:hAnsi="宋体" w:eastAsia="方正仿宋_GBK"/>
          <w:sz w:val="24"/>
          <w:szCs w:val="24"/>
          <w:highlight w:val="none"/>
          <w:u w:val="none" w:color="auto"/>
          <w:lang w:val="en-US" w:eastAsia="zh-CN"/>
        </w:rPr>
        <w:t>5</w:t>
      </w:r>
      <w:r>
        <w:rPr>
          <w:rFonts w:hint="eastAsia" w:ascii="方正仿宋_GBK" w:hAnsi="宋体" w:eastAsia="方正仿宋_GBK"/>
          <w:sz w:val="24"/>
          <w:szCs w:val="24"/>
          <w:highlight w:val="none"/>
          <w:u w:val="none" w:color="auto"/>
        </w:rPr>
        <w:t>年</w:t>
      </w:r>
      <w:r>
        <w:rPr>
          <w:rFonts w:hint="eastAsia" w:ascii="方正仿宋_GBK" w:hAnsi="宋体" w:eastAsia="方正仿宋_GBK"/>
          <w:sz w:val="24"/>
          <w:szCs w:val="24"/>
          <w:highlight w:val="none"/>
          <w:u w:val="none" w:color="auto"/>
          <w:lang w:val="en-US" w:eastAsia="zh-CN"/>
        </w:rPr>
        <w:t xml:space="preserve">7 </w:t>
      </w:r>
      <w:r>
        <w:rPr>
          <w:rFonts w:hint="eastAsia" w:ascii="方正仿宋_GBK" w:hAnsi="宋体" w:eastAsia="方正仿宋_GBK"/>
          <w:sz w:val="24"/>
          <w:szCs w:val="24"/>
          <w:highlight w:val="none"/>
          <w:u w:val="none" w:color="auto"/>
        </w:rPr>
        <w:t>月</w:t>
      </w:r>
      <w:r>
        <w:rPr>
          <w:rFonts w:hint="eastAsia" w:ascii="方正仿宋_GBK" w:hAnsi="宋体" w:eastAsia="方正仿宋_GBK"/>
          <w:sz w:val="24"/>
          <w:szCs w:val="24"/>
          <w:highlight w:val="none"/>
          <w:u w:val="none" w:color="auto"/>
          <w:lang w:val="en-US" w:eastAsia="zh-CN"/>
        </w:rPr>
        <w:t xml:space="preserve">14 </w:t>
      </w:r>
      <w:r>
        <w:rPr>
          <w:rFonts w:hint="eastAsia" w:ascii="方正仿宋_GBK" w:hAnsi="宋体" w:eastAsia="方正仿宋_GBK"/>
          <w:sz w:val="24"/>
          <w:szCs w:val="24"/>
          <w:highlight w:val="none"/>
          <w:u w:val="none" w:color="auto"/>
        </w:rPr>
        <w:t>日北京时间</w:t>
      </w:r>
      <w:r>
        <w:rPr>
          <w:rFonts w:hint="eastAsia" w:ascii="方正仿宋_GBK" w:hAnsi="宋体" w:eastAsia="方正仿宋_GBK"/>
          <w:sz w:val="24"/>
          <w:szCs w:val="24"/>
          <w:highlight w:val="none"/>
          <w:u w:val="none" w:color="auto"/>
          <w:lang w:val="en-US" w:eastAsia="zh-CN"/>
        </w:rPr>
        <w:t>10</w:t>
      </w: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0</w:t>
      </w:r>
      <w:r>
        <w:rPr>
          <w:rFonts w:hint="eastAsia" w:ascii="方正仿宋_GBK" w:hAnsi="宋体" w:eastAsia="方正仿宋_GBK"/>
          <w:sz w:val="24"/>
          <w:szCs w:val="24"/>
          <w:highlight w:val="none"/>
          <w:u w:val="none" w:color="auto"/>
        </w:rPr>
        <w:t>0:00</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2.开标方式：本项目采用网上在线开标方式，投标人的法定代表人或其授权代表须持CA证书和可以上网的电脑（用于在线开标的电脑必须带有摄像头和麦克风、声卡等功能），于规定的开标时间前30分钟登录“</w:t>
      </w:r>
      <w:r>
        <w:rPr>
          <w:rFonts w:hint="eastAsia" w:ascii="方正仿宋_GBK" w:hAnsi="宋体" w:eastAsia="方正仿宋_GBK"/>
          <w:sz w:val="24"/>
          <w:szCs w:val="24"/>
          <w:highlight w:val="none"/>
          <w:u w:val="none" w:color="auto"/>
          <w:lang w:val="en-US" w:eastAsia="zh-CN"/>
        </w:rPr>
        <w:t>垫江县国企数字化</w:t>
      </w:r>
      <w:r>
        <w:rPr>
          <w:rFonts w:hint="eastAsia" w:ascii="方正仿宋_GBK" w:hAnsi="宋体" w:eastAsia="方正仿宋_GBK"/>
          <w:sz w:val="24"/>
          <w:szCs w:val="24"/>
          <w:highlight w:val="none"/>
          <w:u w:val="none" w:color="auto"/>
        </w:rPr>
        <w:t>采购平台</w:t>
      </w:r>
      <w:r>
        <w:rPr>
          <w:rFonts w:hint="eastAsia" w:ascii="方正仿宋_GBK" w:hAnsi="宋体" w:eastAsia="方正仿宋_GBK"/>
          <w:sz w:val="24"/>
          <w:szCs w:val="24"/>
          <w:highlight w:val="none"/>
          <w:u w:val="none" w:color="auto"/>
          <w:lang w:eastAsia="zh-CN"/>
        </w:rPr>
        <w:t>或</w:t>
      </w:r>
      <w:r>
        <w:rPr>
          <w:rFonts w:hint="eastAsia" w:ascii="方正仿宋_GBK" w:hAnsi="宋体" w:eastAsia="方正仿宋_GBK"/>
          <w:sz w:val="24"/>
          <w:szCs w:val="24"/>
          <w:highlight w:val="none"/>
          <w:u w:val="none" w:color="auto"/>
        </w:rPr>
        <w:t>行采家”→“个人中心”→“电子招投标”→“开评标大厅”，进入电子开标室完成在线准备。开标开始后投标人须根据采购代理机构引导在电子开标室完成电子投标文件解密、查看开标一览汇总表等工作。</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投标人的法定代表人或其授权代表也可以持CA证书和可以无线上网的笔记本电脑（用于在线开标的笔记本电脑必须带有摄像头和麦克风、声卡、等功能）、无线网卡于开标时间前，到达线下指定开标地点（</w:t>
      </w:r>
      <w:r>
        <w:rPr>
          <w:rFonts w:hint="eastAsia" w:ascii="方正仿宋_GBK" w:hAnsi="宋体" w:eastAsia="方正仿宋_GBK"/>
          <w:b/>
          <w:bCs/>
          <w:sz w:val="24"/>
          <w:szCs w:val="24"/>
          <w:highlight w:val="none"/>
          <w:u w:val="none" w:color="auto"/>
          <w:lang w:eastAsia="zh-CN"/>
        </w:rPr>
        <w:t>重庆市垫江县公共资源交易中心开标室</w:t>
      </w:r>
      <w:r>
        <w:rPr>
          <w:rFonts w:hint="eastAsia" w:ascii="方正仿宋_GBK" w:hAnsi="宋体" w:eastAsia="方正仿宋_GBK"/>
          <w:sz w:val="24"/>
          <w:szCs w:val="24"/>
          <w:highlight w:val="none"/>
          <w:u w:val="none" w:color="auto"/>
        </w:rPr>
        <w:t>）参加在线开标。投标人线下持对应设备到线下指定开标地点参与在线开标都是由投标人主观自行决定。因投标人自身原因导致未能在规定时间内解密电子投标文件或参与在线开标的，其后果由投标人自行承担。</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3.线下指定开标地点：重庆市垫江县公共资源交易中心开标室（垫江县南阳公园县级机关综合办公楼（二）2楼）。</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注：电子招投标系统开标时间前的半个小时是供应商自主在线准备环节时间（是否在线准备由供应商主观决定，在线准备环节意义在于提前测试CA证书与当前电脑设备运行环境是否正常），在线准备环节不具备签到意义特此声明。</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（八）其他补充事宜</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1.投标人如未在规定解密时长（系统默认30分钟解密时长，采购人/采购代理机构可根据现场投标情况进行延长/变更解密时长）内解密电子投标文件的情形约定：</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1）因行采家全程电子化系统客观原因影响解密时长的，采购人/采购代理机构可根据现场实际情况延长解密时长。投标人在仍不能正常解密的情况下，投标人可向采购人/采购代理机构申请，启用上传不加密的电子备份投标文件的方法作为补救措施；在规定的解密时长内，投标人既不解密，也未提供不加密的电子备份投标文件作为补救措施的，视为投标人主动放弃对该项目的投标资格。</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因投标人主观原因未完成解密工作的，且未在规定解密时长内向采购人/采购代理机构申请启用上传不加密的电子备份投标文件的方法作为补救措施或者已申请启用电子备份投标文件后仍不在规定解密时长内提供有效不加密的电子备份投标文件的情况，都视为投标人在递交电子投标文件截止时间后撤销电子投标文件，投标无效且投标人不得再参与本项目后续采购活动。</w:t>
      </w:r>
    </w:p>
    <w:p>
      <w:pPr>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2.本项目采用全流程电子招投标。各投标人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pPr>
        <w:pStyle w:val="4"/>
        <w:spacing w:line="400" w:lineRule="exact"/>
        <w:ind w:firstLine="482" w:firstLineChars="200"/>
        <w:rPr>
          <w:rFonts w:hint="eastAsia" w:ascii="方正仿宋_GBK" w:eastAsia="方正仿宋_GBK"/>
          <w:b/>
          <w:sz w:val="24"/>
          <w:highlight w:val="none"/>
          <w:u w:val="none" w:color="auto"/>
        </w:rPr>
      </w:pPr>
      <w:bookmarkStart w:id="105" w:name="_Toc524"/>
      <w:bookmarkStart w:id="106" w:name="_Toc1682395973"/>
      <w:bookmarkStart w:id="107" w:name="_Toc15717"/>
      <w:bookmarkStart w:id="108" w:name="_Toc18100"/>
      <w:bookmarkStart w:id="109" w:name="_Toc3476"/>
      <w:bookmarkStart w:id="110" w:name="_Toc12663"/>
      <w:bookmarkStart w:id="111" w:name="_Toc6572"/>
      <w:bookmarkStart w:id="112" w:name="_Toc23960"/>
      <w:bookmarkStart w:id="113" w:name="_Toc30895"/>
      <w:bookmarkStart w:id="114" w:name="_Toc9290"/>
      <w:bookmarkStart w:id="115" w:name="_Toc11844"/>
      <w:bookmarkStart w:id="116" w:name="_Toc75793500"/>
      <w:bookmarkStart w:id="117" w:name="_Toc6289"/>
      <w:bookmarkStart w:id="118" w:name="_Toc12090"/>
      <w:bookmarkStart w:id="119" w:name="_Toc106030376"/>
      <w:bookmarkStart w:id="120" w:name="_Toc24604"/>
      <w:bookmarkStart w:id="121" w:name="_Toc7836"/>
      <w:bookmarkStart w:id="122" w:name="_Toc25854"/>
      <w:bookmarkStart w:id="123" w:name="_Toc22111"/>
      <w:bookmarkStart w:id="124" w:name="_Toc12140"/>
      <w:r>
        <w:rPr>
          <w:rFonts w:hint="eastAsia" w:ascii="方正仿宋_GBK" w:eastAsia="方正仿宋_GBK"/>
          <w:b/>
          <w:sz w:val="24"/>
          <w:highlight w:val="none"/>
          <w:u w:val="none" w:color="auto"/>
        </w:rPr>
        <w:t>五、投标保证金</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pPr>
        <w:spacing w:line="400" w:lineRule="exact"/>
        <w:ind w:firstLine="482" w:firstLineChars="200"/>
        <w:rPr>
          <w:rFonts w:hint="eastAsia" w:ascii="方正仿宋_GBK" w:hAnsi="宋体" w:eastAsia="方正仿宋_GBK" w:cs="Times New Roman"/>
          <w:b/>
          <w:bCs/>
          <w:color w:val="auto"/>
          <w:sz w:val="24"/>
          <w:szCs w:val="24"/>
          <w:highlight w:val="none"/>
          <w:lang w:val="en-US" w:eastAsia="zh-CN"/>
        </w:rPr>
      </w:pPr>
      <w:bookmarkStart w:id="125" w:name="_Toc1726648127"/>
      <w:bookmarkStart w:id="126" w:name="_Toc1152263147"/>
      <w:bookmarkStart w:id="127" w:name="_Toc478915681"/>
      <w:bookmarkStart w:id="128" w:name="_Toc16198"/>
      <w:bookmarkStart w:id="129" w:name="_Toc8081"/>
      <w:bookmarkStart w:id="130" w:name="_Toc12760"/>
      <w:bookmarkStart w:id="131" w:name="_Toc24689"/>
      <w:bookmarkStart w:id="132" w:name="_Toc75793501"/>
      <w:bookmarkStart w:id="133" w:name="_Toc22275"/>
      <w:bookmarkStart w:id="134" w:name="_Toc21524"/>
      <w:bookmarkStart w:id="135" w:name="_Toc18254"/>
      <w:bookmarkStart w:id="136" w:name="_Toc5839"/>
      <w:bookmarkStart w:id="137" w:name="_Toc3188"/>
      <w:bookmarkStart w:id="138" w:name="_Toc441"/>
      <w:bookmarkStart w:id="139" w:name="_Toc29744"/>
      <w:bookmarkStart w:id="140" w:name="_Toc28799"/>
      <w:bookmarkStart w:id="141" w:name="_Toc24588"/>
      <w:bookmarkStart w:id="142" w:name="_Toc9257"/>
      <w:bookmarkStart w:id="143" w:name="_Toc29945"/>
      <w:bookmarkStart w:id="144" w:name="_Toc106030377"/>
      <w:bookmarkStart w:id="145" w:name="_Toc19780"/>
      <w:bookmarkStart w:id="146" w:name="_Toc18802"/>
      <w:r>
        <w:rPr>
          <w:rFonts w:hint="eastAsia" w:ascii="方正仿宋_GBK" w:hAnsi="宋体" w:eastAsia="方正仿宋_GBK" w:cs="Times New Roman"/>
          <w:b/>
          <w:bCs/>
          <w:color w:val="auto"/>
          <w:sz w:val="24"/>
          <w:szCs w:val="24"/>
          <w:highlight w:val="none"/>
          <w:lang w:val="en-US" w:eastAsia="zh-CN"/>
        </w:rPr>
        <w:t>本项目投标保证金：</w:t>
      </w:r>
      <w:r>
        <w:rPr>
          <w:rFonts w:hint="eastAsia" w:ascii="方正仿宋_GBK" w:hAnsi="宋体" w:eastAsia="方正仿宋_GBK" w:cs="Times New Roman"/>
          <w:b/>
          <w:bCs/>
          <w:color w:val="FF0000"/>
          <w:sz w:val="24"/>
          <w:szCs w:val="24"/>
          <w:highlight w:val="none"/>
          <w:u w:val="single"/>
          <w:lang w:val="en-US" w:eastAsia="zh-CN"/>
        </w:rPr>
        <w:t>7</w:t>
      </w:r>
      <w:r>
        <w:rPr>
          <w:rFonts w:hint="eastAsia" w:ascii="方正仿宋_GBK" w:hAnsi="宋体" w:eastAsia="方正仿宋_GBK" w:cs="Times New Roman"/>
          <w:b/>
          <w:bCs/>
          <w:color w:val="auto"/>
          <w:sz w:val="24"/>
          <w:szCs w:val="24"/>
          <w:highlight w:val="none"/>
          <w:lang w:val="en-US" w:eastAsia="zh-CN"/>
        </w:rPr>
        <w:t>万元</w:t>
      </w:r>
      <w:bookmarkEnd w:id="125"/>
      <w:bookmarkEnd w:id="126"/>
      <w:bookmarkEnd w:id="127"/>
    </w:p>
    <w:p>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60"/>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2355" w:type="dxa"/>
            <w:noWrap w:val="0"/>
            <w:vAlign w:val="center"/>
          </w:tcPr>
          <w:p>
            <w:pPr>
              <w:snapToGrid w:val="0"/>
              <w:spacing w:line="400" w:lineRule="exact"/>
              <w:ind w:firstLine="0" w:firstLineChars="0"/>
              <w:jc w:val="center"/>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户  名</w:t>
            </w:r>
          </w:p>
        </w:tc>
        <w:tc>
          <w:tcPr>
            <w:tcW w:w="5103" w:type="dxa"/>
            <w:noWrap w:val="0"/>
            <w:vAlign w:val="center"/>
          </w:tcPr>
          <w:p>
            <w:pPr>
              <w:snapToGrid w:val="0"/>
              <w:spacing w:line="400" w:lineRule="exact"/>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垫江县公共资源交易中心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2355" w:type="dxa"/>
            <w:vMerge w:val="restart"/>
            <w:noWrap w:val="0"/>
            <w:vAlign w:val="center"/>
          </w:tcPr>
          <w:p>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开户行</w:t>
            </w:r>
          </w:p>
          <w:p>
            <w:pPr>
              <w:snapToGrid w:val="0"/>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帐号（任选其一）</w:t>
            </w:r>
          </w:p>
        </w:tc>
        <w:tc>
          <w:tcPr>
            <w:tcW w:w="5103" w:type="dxa"/>
            <w:noWrap w:val="0"/>
            <w:vAlign w:val="top"/>
          </w:tcPr>
          <w:p>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银行名称:重庆银行股份有限公司垫江支行</w:t>
            </w:r>
          </w:p>
          <w:p>
            <w:pPr>
              <w:keepNext w:val="0"/>
              <w:keepLines w:val="0"/>
              <w:widowControl/>
              <w:suppressLineNumbers w:val="0"/>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银行账号:820101040000584-100044</w:t>
            </w:r>
            <w:bookmarkStart w:id="908" w:name="_GoBack"/>
            <w:bookmarkEnd w:id="9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2355" w:type="dxa"/>
            <w:vMerge w:val="continue"/>
            <w:noWrap w:val="0"/>
            <w:vAlign w:val="center"/>
          </w:tcPr>
          <w:p>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p>
        </w:tc>
        <w:tc>
          <w:tcPr>
            <w:tcW w:w="5103" w:type="dxa"/>
            <w:noWrap w:val="0"/>
            <w:vAlign w:val="top"/>
          </w:tcPr>
          <w:p>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银行名称:中国银行垫江支行营业部</w:t>
            </w:r>
          </w:p>
          <w:p>
            <w:pPr>
              <w:keepNext w:val="0"/>
              <w:keepLines w:val="0"/>
              <w:widowControl/>
              <w:suppressLineNumbers w:val="0"/>
              <w:jc w:val="lef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银行账号:110246891673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2355" w:type="dxa"/>
            <w:vMerge w:val="continue"/>
            <w:noWrap w:val="0"/>
            <w:vAlign w:val="center"/>
          </w:tcPr>
          <w:p>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p>
        </w:tc>
        <w:tc>
          <w:tcPr>
            <w:tcW w:w="5103" w:type="dxa"/>
            <w:noWrap w:val="0"/>
            <w:vAlign w:val="top"/>
          </w:tcPr>
          <w:p>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银行名称:重庆农村商业银行垫江支行</w:t>
            </w:r>
          </w:p>
          <w:p>
            <w:pPr>
              <w:tabs>
                <w:tab w:val="left" w:pos="700"/>
              </w:tabs>
              <w:spacing w:line="400" w:lineRule="exact"/>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银行账号:2501010120010009065-000009</w:t>
            </w:r>
          </w:p>
        </w:tc>
      </w:tr>
    </w:tbl>
    <w:p>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1.网银缴纳：开通网上银行（基本存款账户）支付功能的，直接通过网上银行（基本存款账户）支付方式缴纳投标保证金。</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2.银行转账：未开通网上银行的投标人，通过从企业基本存款账户转账的方式缴纳。</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（三）投标保证金到账截止时间为电子投标文件递交截止时间。</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注意事项：</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投标保证金必须从投标人基本存款账户转出（投标人按第七篇格式要求提供基本存款账户开户许可证复印件、投标保证金回单复印件等资料，评标委员会或采购据此认定其投标保证金是否从投标人基本存款账户转出）。</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2.投标人自行考虑汇入时间风险，如异地汇入、跨行汇入的时间要求，到帐时间以银行到帐时间为准。</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3.注意区分缴纳保证金的账户、账号。每个项目及其分包、标段以及重新招标项目的保证金账号各不相同，应按照指定的账户账号对应缴入。</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4.如本项目投标截止时间延期，投标保证金缴纳截止时间也相应顺延，已经缴纳的投标保证金不予提前退还，按“投标保证金的退还”条款进行退还或处理。</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5.投标人应仔细阅读采购文件中有关投标保证金的内容，并按采购文件要求的时限、金额和指定的账户账号等信息缴纳投标保证金。未按要求缴纳投标保证金而影响对其投标保证金到账认定和退还的，由投标人自行承担。</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lang w:val="en-US" w:eastAsia="zh-CN"/>
        </w:rPr>
        <w:t>四</w:t>
      </w:r>
      <w:r>
        <w:rPr>
          <w:rFonts w:hint="eastAsia" w:ascii="方正仿宋_GBK" w:hAnsi="宋体" w:eastAsia="方正仿宋_GBK"/>
          <w:sz w:val="24"/>
          <w:szCs w:val="24"/>
          <w:highlight w:val="none"/>
          <w:lang w:eastAsia="zh-CN"/>
        </w:rPr>
        <w:t>）</w:t>
      </w:r>
      <w:r>
        <w:rPr>
          <w:rFonts w:hint="eastAsia" w:ascii="方正仿宋_GBK" w:hAnsi="宋体" w:eastAsia="方正仿宋_GBK"/>
          <w:sz w:val="24"/>
          <w:szCs w:val="24"/>
          <w:highlight w:val="none"/>
        </w:rPr>
        <w:t>保证金退还</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所有进入“投标保证金指定收取账户”的资金，包括投标截止时间延期、投标人未按要求缴纳、缴入账户错误、缴纳金额错误、多次缴入的投标保证金（或其它资金）等，在本项目开标前均不予退还，开标后按下列情况进行退还或处理（特殊退还除外）：</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应退还的保证金，退还至原进账账户。</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1.未中标人的保证金。在成交通知书发出之日起5个工作日内退还。</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 xml:space="preserve">2.中标人（中标候选人）的保证金。中标候选人与业主签订书面合同之日起5个工作日内退还中标人（中标候选人）的保证金。 </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3.流标项目的保证金。公示期满后，无质疑、投诉、举报的情况下5个工作日内退还。</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4.有质疑、投诉、举报等情况的保证金，根据受理的行政部门出具的处理意见进行处理。</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5.若投标人发生采购文件规定不予退还保证金情形的，其保证金不予退还。</w:t>
      </w:r>
    </w:p>
    <w:p>
      <w:pPr>
        <w:snapToGrid w:val="0"/>
        <w:spacing w:line="400" w:lineRule="exact"/>
        <w:ind w:firstLine="482" w:firstLineChars="200"/>
        <w:rPr>
          <w:rFonts w:hint="eastAsia" w:ascii="方正仿宋_GBK" w:hAnsi="宋体" w:eastAsia="方正仿宋_GBK" w:cs="Times New Roman"/>
          <w:b/>
          <w:bCs/>
          <w:color w:val="auto"/>
          <w:sz w:val="24"/>
          <w:szCs w:val="24"/>
          <w:highlight w:val="none"/>
        </w:rPr>
      </w:pPr>
      <w:r>
        <w:rPr>
          <w:rFonts w:hint="eastAsia" w:ascii="方正仿宋_GBK" w:hAnsi="宋体" w:eastAsia="方正仿宋_GBK" w:cs="Times New Roman"/>
          <w:b/>
          <w:bCs/>
          <w:color w:val="auto"/>
          <w:sz w:val="24"/>
          <w:szCs w:val="24"/>
          <w:highlight w:val="none"/>
        </w:rPr>
        <w:t>方式二：</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（一）投标保证金的交纳</w:t>
      </w:r>
    </w:p>
    <w:p>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1.投标保证金交纳形式及要求：</w:t>
      </w:r>
    </w:p>
    <w:p>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（1）缴纳形式：</w:t>
      </w:r>
      <w:r>
        <w:rPr>
          <w:rFonts w:hint="eastAsia" w:ascii="方正仿宋_GBK" w:hAnsi="宋体" w:eastAsia="方正仿宋_GBK"/>
          <w:sz w:val="24"/>
          <w:szCs w:val="24"/>
          <w:highlight w:val="none"/>
        </w:rPr>
        <w:t>投标人</w:t>
      </w:r>
      <w:r>
        <w:rPr>
          <w:rFonts w:hint="eastAsia" w:ascii="方正仿宋_GBK" w:hAnsi="宋体" w:eastAsia="方正仿宋_GBK"/>
          <w:color w:val="auto"/>
          <w:sz w:val="24"/>
          <w:szCs w:val="24"/>
          <w:highlight w:val="none"/>
        </w:rPr>
        <w:t>提供不可撤销且见索即付的金融机构或担保机构纸质保函；</w:t>
      </w:r>
    </w:p>
    <w:p>
      <w:pPr>
        <w:snapToGrid w:val="0"/>
        <w:spacing w:line="400" w:lineRule="exact"/>
        <w:ind w:firstLine="480" w:firstLineChars="200"/>
        <w:rPr>
          <w:rFonts w:hint="eastAsia" w:ascii="方正仿宋_GBK" w:hAnsi="宋体" w:eastAsia="方正仿宋_GBK" w:cs="Times New Roman"/>
          <w:b w:val="0"/>
          <w:color w:val="auto"/>
          <w:sz w:val="24"/>
          <w:szCs w:val="24"/>
          <w:highlight w:val="none"/>
        </w:rPr>
      </w:pPr>
      <w:r>
        <w:rPr>
          <w:rFonts w:hint="eastAsia" w:ascii="方正仿宋_GBK" w:hAnsi="宋体" w:eastAsia="方正仿宋_GBK"/>
          <w:color w:val="auto"/>
          <w:sz w:val="24"/>
          <w:szCs w:val="24"/>
          <w:highlight w:val="none"/>
        </w:rPr>
        <w:t>（2）具体要求：</w:t>
      </w:r>
      <w:r>
        <w:rPr>
          <w:rFonts w:hint="eastAsia" w:ascii="方正仿宋_GBK" w:hAnsi="宋体" w:eastAsia="方正仿宋_GBK" w:cs="Times New Roman"/>
          <w:b w:val="0"/>
          <w:color w:val="auto"/>
          <w:sz w:val="24"/>
          <w:szCs w:val="24"/>
          <w:highlight w:val="none"/>
        </w:rPr>
        <w:t>投标人须提供一份纸质投标保函正本和一份纸质投标保函正本纸质复制件、一份纸质投标保函正本电子复制件并加盖投标人单位鲜章。一份电子复制件须装在“第七篇  投标文件格式”规定的“四、其他（二）其他与项目有关的资料（自附）”的电子投标文件中，另一份纸质复印件和纸质投标保函正本原件单独密封装订，并于电子投标文件递交截止时间前在开标前的现场递交给采购人审查、保管。</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应至少体现如下内容：①担保项目必须为投标人所投子项目；②受益人必须为本项目招标人；③保函担保金额必须满足投标人所投子项目要求；④保函生效时间必须在在电子投标文件递交截止时间前，有效期限必须至少包含整个投标有效期。否则，</w:t>
      </w: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保函无效。投标人的投标文件由评标委员会作否决投标处理。</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注：</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（1）</w:t>
      </w:r>
      <w:bookmarkStart w:id="147" w:name="_Hlk148216153"/>
      <w:r>
        <w:rPr>
          <w:rFonts w:hint="eastAsia" w:ascii="方正仿宋_GBK" w:hAnsi="宋体" w:eastAsia="方正仿宋_GBK" w:cs="Times New Roman"/>
          <w:color w:val="auto"/>
          <w:sz w:val="24"/>
          <w:szCs w:val="24"/>
          <w:highlight w:val="none"/>
        </w:rPr>
        <w:t>若电子投标文件递交截止时间延期，则纸质保函递交的截止时间和电子投标文件递交截止时间保持一致。</w:t>
      </w:r>
    </w:p>
    <w:bookmarkEnd w:id="147"/>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（2）采购人负责对纸质保函正本内容进行形式审查，不满足上述要求的纸质保函无效。纸质保函正本原件由采购人负责保管。</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2.以纸质保函形式提供投标保证金的金额：详见本篇“一、</w:t>
      </w:r>
      <w:r>
        <w:rPr>
          <w:rFonts w:hint="eastAsia" w:ascii="方正仿宋_GBK" w:hAnsi="宋体" w:eastAsia="方正仿宋_GBK" w:cs="Times New Roman"/>
          <w:sz w:val="24"/>
          <w:szCs w:val="24"/>
          <w:highlight w:val="none"/>
        </w:rPr>
        <w:t>招标项目内容</w:t>
      </w:r>
      <w:r>
        <w:rPr>
          <w:rFonts w:hint="eastAsia" w:ascii="方正仿宋_GBK" w:hAnsi="宋体" w:eastAsia="方正仿宋_GBK" w:cs="Times New Roman"/>
          <w:color w:val="auto"/>
          <w:sz w:val="24"/>
          <w:szCs w:val="24"/>
          <w:highlight w:val="none"/>
        </w:rPr>
        <w:t>”。</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3.投标人对其递交的纸质保函的真实性、合法性负责。</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4.</w:t>
      </w:r>
      <w:bookmarkStart w:id="148" w:name="_Hlk148216181"/>
      <w:r>
        <w:rPr>
          <w:rFonts w:hint="eastAsia" w:ascii="方正仿宋_GBK" w:hAnsi="宋体" w:eastAsia="方正仿宋_GBK" w:cs="Times New Roman"/>
          <w:color w:val="auto"/>
          <w:sz w:val="24"/>
          <w:szCs w:val="24"/>
          <w:highlight w:val="none"/>
        </w:rPr>
        <w:t>投标人在开标前，现场递交的纸质保函原件应与电子投标文件中提供的纸质保函正本电子复制件一致，不一致的以正本原件为准。</w:t>
      </w:r>
      <w:bookmarkEnd w:id="148"/>
    </w:p>
    <w:p>
      <w:pPr>
        <w:snapToGrid w:val="0"/>
        <w:spacing w:line="400" w:lineRule="exact"/>
        <w:ind w:firstLine="480" w:firstLineChars="200"/>
        <w:rPr>
          <w:rFonts w:hint="eastAsia" w:ascii="方正仿宋_GBK" w:hAnsi="宋体" w:eastAsia="方正仿宋_GBK" w:cs="Times New Roman"/>
          <w:sz w:val="24"/>
          <w:szCs w:val="24"/>
          <w:highlight w:val="none"/>
        </w:rPr>
      </w:pPr>
      <w:r>
        <w:rPr>
          <w:rFonts w:hint="eastAsia" w:ascii="方正仿宋_GBK" w:hAnsi="宋体" w:eastAsia="方正仿宋_GBK" w:cs="Times New Roman"/>
          <w:color w:val="auto"/>
          <w:sz w:val="24"/>
          <w:szCs w:val="24"/>
          <w:highlight w:val="none"/>
        </w:rPr>
        <w:t>5.如果发现投标人递交的纸质保函存在弄虚作假的，采购人或采购代理机构应当报行政主管部门依法处理。</w:t>
      </w:r>
    </w:p>
    <w:p>
      <w:pPr>
        <w:snapToGrid w:val="0"/>
        <w:spacing w:line="400" w:lineRule="exact"/>
        <w:ind w:firstLine="480" w:firstLineChars="200"/>
        <w:rPr>
          <w:rFonts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color w:val="auto"/>
          <w:sz w:val="24"/>
          <w:szCs w:val="24"/>
          <w:highlight w:val="none"/>
        </w:rPr>
        <w:t>纸质</w:t>
      </w:r>
      <w:r>
        <w:rPr>
          <w:rFonts w:hint="eastAsia" w:ascii="方正仿宋_GBK" w:hAnsi="宋体" w:eastAsia="方正仿宋_GBK"/>
          <w:sz w:val="24"/>
          <w:szCs w:val="24"/>
          <w:highlight w:val="none"/>
        </w:rPr>
        <w:t>保函的退还、注销</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具体</w:t>
      </w:r>
      <w:r>
        <w:rPr>
          <w:rFonts w:hint="eastAsia" w:ascii="方正仿宋_GBK" w:hAnsi="宋体" w:eastAsia="方正仿宋_GBK" w:cs="Times New Roman"/>
          <w:color w:val="auto"/>
          <w:sz w:val="24"/>
          <w:szCs w:val="24"/>
          <w:highlight w:val="none"/>
          <w:lang w:eastAsia="zh-CN"/>
        </w:rPr>
        <w:t>投标</w:t>
      </w:r>
      <w:r>
        <w:rPr>
          <w:rFonts w:hint="eastAsia" w:ascii="方正仿宋_GBK" w:hAnsi="宋体" w:eastAsia="方正仿宋_GBK" w:cs="Times New Roman"/>
          <w:color w:val="auto"/>
          <w:sz w:val="24"/>
          <w:szCs w:val="24"/>
          <w:highlight w:val="none"/>
        </w:rPr>
        <w:t>保函注销事宜由</w:t>
      </w:r>
      <w:r>
        <w:rPr>
          <w:rFonts w:hint="eastAsia" w:ascii="方正仿宋_GBK" w:eastAsia="方正仿宋_GBK"/>
          <w:sz w:val="24"/>
          <w:szCs w:val="24"/>
          <w:highlight w:val="none"/>
          <w:lang w:eastAsia="zh-CN"/>
        </w:rPr>
        <w:t>投标人</w:t>
      </w:r>
      <w:r>
        <w:rPr>
          <w:rFonts w:hint="eastAsia" w:ascii="方正仿宋_GBK" w:hAnsi="宋体" w:eastAsia="方正仿宋_GBK" w:cs="Times New Roman"/>
          <w:color w:val="auto"/>
          <w:sz w:val="24"/>
          <w:szCs w:val="24"/>
          <w:highlight w:val="none"/>
        </w:rPr>
        <w:t>与金融机构或担保机构协商。</w:t>
      </w:r>
    </w:p>
    <w:p>
      <w:pPr>
        <w:pStyle w:val="4"/>
        <w:snapToGrid w:val="0"/>
        <w:spacing w:line="400" w:lineRule="exact"/>
        <w:ind w:firstLine="482" w:firstLineChars="200"/>
        <w:rPr>
          <w:rFonts w:hint="eastAsia" w:ascii="方正仿宋_GBK" w:hAnsi="宋体" w:eastAsia="方正仿宋_GBK"/>
          <w:sz w:val="24"/>
          <w:szCs w:val="24"/>
          <w:highlight w:val="none"/>
          <w:u w:val="none" w:color="auto"/>
        </w:rPr>
      </w:pPr>
      <w:bookmarkStart w:id="149" w:name="_Toc1448065236"/>
      <w:r>
        <w:rPr>
          <w:rFonts w:hint="eastAsia" w:ascii="方正仿宋_GBK" w:eastAsia="方正仿宋_GBK"/>
          <w:b/>
          <w:sz w:val="24"/>
          <w:highlight w:val="none"/>
          <w:u w:val="none" w:color="auto"/>
        </w:rPr>
        <w:t>六、投标有关规定</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9"/>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（一）单位负责人为同一人或者存在直接控股、管理关系的不同投标人，不得参加同一合同项（包）下的政府采购活动。</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（二）为采购项目提供整体设计、规范编制或者项目管理、监理、检测等服务的投标人，不得再参加该采购项目的其他采购活动。</w:t>
      </w:r>
    </w:p>
    <w:p>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（三）本项目若有澄清文件一律在</w:t>
      </w:r>
      <w:r>
        <w:rPr>
          <w:rFonts w:hint="eastAsia" w:ascii="方正仿宋_GBK" w:hAnsi="方正仿宋_GBK" w:eastAsia="方正仿宋_GBK" w:cs="方正仿宋_GBK"/>
          <w:color w:val="auto"/>
          <w:sz w:val="24"/>
          <w:szCs w:val="24"/>
          <w:highlight w:val="none"/>
          <w:lang w:val="en-US" w:eastAsia="zh-CN"/>
        </w:rPr>
        <w:t>垫江县国企数字化</w:t>
      </w:r>
      <w:r>
        <w:rPr>
          <w:rFonts w:hint="eastAsia" w:ascii="方正仿宋_GBK" w:hAnsi="方正仿宋_GBK" w:eastAsia="方正仿宋_GBK" w:cs="方正仿宋_GBK"/>
          <w:color w:val="auto"/>
          <w:sz w:val="24"/>
          <w:szCs w:val="24"/>
          <w:highlight w:val="none"/>
        </w:rPr>
        <w:t>采购平台（</w:t>
      </w:r>
      <w:r>
        <w:rPr>
          <w:rFonts w:hint="eastAsia" w:ascii="方正仿宋_GBK" w:hAnsi="方正仿宋_GBK" w:eastAsia="方正仿宋_GBK" w:cs="方正仿宋_GBK"/>
          <w:color w:val="auto"/>
          <w:sz w:val="24"/>
          <w:szCs w:val="24"/>
          <w:highlight w:val="none"/>
          <w:lang w:val="en-US" w:eastAsia="zh-CN"/>
        </w:rPr>
        <w:t>https://djxgzw.gec123.com/</w:t>
      </w:r>
      <w:r>
        <w:rPr>
          <w:rFonts w:hint="eastAsia" w:ascii="方正仿宋_GBK" w:hAnsi="方正仿宋_GBK" w:eastAsia="方正仿宋_GBK" w:cs="方正仿宋_GBK"/>
          <w:color w:val="auto"/>
          <w:sz w:val="24"/>
          <w:szCs w:val="24"/>
          <w:highlight w:val="none"/>
        </w:rPr>
        <w:t>）、行采家（https://www.gec123.com）和重庆市公共资源交易网（</w:t>
      </w:r>
      <w:r>
        <w:rPr>
          <w:rFonts w:hint="eastAsia" w:ascii="方正仿宋_GBK" w:hAnsi="方正仿宋_GBK" w:eastAsia="方正仿宋_GBK" w:cs="方正仿宋_GBK"/>
          <w:color w:val="auto"/>
          <w:sz w:val="24"/>
          <w:szCs w:val="24"/>
          <w:highlight w:val="none"/>
          <w:lang w:val="en-US" w:eastAsia="zh-CN"/>
        </w:rPr>
        <w:t>垫江县</w:t>
      </w:r>
      <w:r>
        <w:rPr>
          <w:rFonts w:hint="eastAsia" w:ascii="方正仿宋_GBK" w:hAnsi="方正仿宋_GBK" w:eastAsia="方正仿宋_GBK" w:cs="方正仿宋_GBK"/>
          <w:color w:val="auto"/>
          <w:sz w:val="24"/>
          <w:szCs w:val="24"/>
          <w:highlight w:val="none"/>
        </w:rPr>
        <w:t>）（https://www.cqggzy.com/dianjiangweb/）上发布，请各投标人注意下载；无论投标人下载与否，均视同投标人已知晓本项目补遗文件的内容。</w:t>
      </w:r>
    </w:p>
    <w:p>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（四）超过电子投标文件递交截止时间递交的电子投标文件，恕不接收。</w:t>
      </w:r>
    </w:p>
    <w:p>
      <w:pPr>
        <w:pageBreakBefore w:val="0"/>
        <w:widowControl w:val="0"/>
        <w:shd w:val="clear"/>
        <w:kinsoku/>
        <w:wordWrap/>
        <w:overflowPunct/>
        <w:topLinePunct w:val="0"/>
        <w:autoSpaceDE/>
        <w:autoSpaceDN/>
        <w:bidi w:val="0"/>
        <w:snapToGrid w:val="0"/>
        <w:spacing w:line="480" w:lineRule="exact"/>
        <w:ind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（五）投标费用：无论投标结果如何，投标人参与本项目投标的所有费用均应由投标人自行承担。</w:t>
      </w:r>
    </w:p>
    <w:p>
      <w:pPr>
        <w:snapToGrid w:val="0"/>
        <w:spacing w:line="400" w:lineRule="exact"/>
        <w:ind w:firstLine="482" w:firstLineChars="200"/>
        <w:rPr>
          <w:rFonts w:hint="eastAsia" w:ascii="方正仿宋_GBK" w:hAnsi="宋体" w:eastAsia="方正仿宋_GBK"/>
          <w:b/>
          <w:bCs/>
          <w:i w:val="0"/>
          <w:iCs w:val="0"/>
          <w:sz w:val="24"/>
          <w:szCs w:val="24"/>
          <w:highlight w:val="none"/>
          <w:u w:val="none" w:color="auto"/>
        </w:rPr>
      </w:pPr>
      <w:r>
        <w:rPr>
          <w:rFonts w:hint="eastAsia" w:ascii="方正仿宋_GBK" w:hAnsi="宋体" w:eastAsia="方正仿宋_GBK"/>
          <w:b/>
          <w:bCs/>
          <w:sz w:val="24"/>
          <w:szCs w:val="24"/>
          <w:highlight w:val="none"/>
          <w:u w:val="none" w:color="auto"/>
        </w:rPr>
        <w:t>（六）本项目接</w:t>
      </w:r>
      <w:r>
        <w:rPr>
          <w:rFonts w:hint="eastAsia" w:ascii="方正仿宋_GBK" w:hAnsi="宋体" w:eastAsia="方正仿宋_GBK"/>
          <w:b/>
          <w:bCs/>
          <w:sz w:val="24"/>
          <w:szCs w:val="24"/>
          <w:highlight w:val="none"/>
          <w:u w:val="none" w:color="auto"/>
          <w:lang w:val="en-US" w:eastAsia="zh-CN"/>
        </w:rPr>
        <w:t>不</w:t>
      </w:r>
      <w:r>
        <w:rPr>
          <w:rFonts w:hint="eastAsia" w:ascii="方正仿宋_GBK" w:hAnsi="宋体" w:eastAsia="方正仿宋_GBK"/>
          <w:b/>
          <w:bCs/>
          <w:sz w:val="24"/>
          <w:szCs w:val="24"/>
          <w:highlight w:val="none"/>
          <w:u w:val="none" w:color="auto"/>
        </w:rPr>
        <w:t>受联合体参与</w:t>
      </w:r>
      <w:r>
        <w:rPr>
          <w:rFonts w:hint="eastAsia" w:ascii="方正仿宋_GBK" w:hAnsi="宋体" w:eastAsia="方正仿宋_GBK"/>
          <w:b/>
          <w:bCs/>
          <w:i w:val="0"/>
          <w:iCs w:val="0"/>
          <w:sz w:val="24"/>
          <w:szCs w:val="24"/>
          <w:highlight w:val="none"/>
          <w:u w:val="none" w:color="auto"/>
        </w:rPr>
        <w:t>投标，否则按无效投标处理。</w:t>
      </w:r>
    </w:p>
    <w:p>
      <w:pPr>
        <w:snapToGrid w:val="0"/>
        <w:spacing w:line="400" w:lineRule="exact"/>
        <w:ind w:firstLine="482" w:firstLineChars="200"/>
        <w:rPr>
          <w:rFonts w:hint="eastAsia" w:ascii="方正仿宋_GBK" w:hAnsi="宋体" w:eastAsia="方正仿宋_GBK"/>
          <w:b/>
          <w:bCs/>
          <w:i w:val="0"/>
          <w:iCs w:val="0"/>
          <w:sz w:val="24"/>
          <w:szCs w:val="24"/>
          <w:highlight w:val="none"/>
          <w:u w:val="none" w:color="auto"/>
        </w:rPr>
      </w:pPr>
      <w:r>
        <w:rPr>
          <w:rFonts w:hint="eastAsia" w:ascii="方正仿宋_GBK" w:hAnsi="宋体" w:eastAsia="方正仿宋_GBK"/>
          <w:b/>
          <w:bCs/>
          <w:i w:val="0"/>
          <w:iCs w:val="0"/>
          <w:sz w:val="24"/>
          <w:szCs w:val="24"/>
          <w:highlight w:val="none"/>
          <w:u w:val="none" w:color="auto"/>
        </w:rPr>
        <w:t>（七）本项目不接受合同分包，否则按无效投标处理</w:t>
      </w:r>
      <w:r>
        <w:rPr>
          <w:rFonts w:hint="eastAsia" w:ascii="方正仿宋_GBK" w:eastAsia="方正仿宋_GBK"/>
          <w:b/>
          <w:bCs/>
          <w:i w:val="0"/>
          <w:iCs w:val="0"/>
          <w:sz w:val="24"/>
          <w:szCs w:val="24"/>
          <w:highlight w:val="none"/>
          <w:u w:val="none" w:color="auto"/>
        </w:rPr>
        <w:t>。</w:t>
      </w:r>
    </w:p>
    <w:p>
      <w:pPr>
        <w:snapToGrid w:val="0"/>
        <w:spacing w:line="400" w:lineRule="exact"/>
        <w:ind w:firstLine="480" w:firstLineChars="200"/>
        <w:rPr>
          <w:rFonts w:hint="eastAsia" w:ascii="方正仿宋_GBK" w:eastAsia="方正仿宋_GBK"/>
          <w:sz w:val="24"/>
          <w:szCs w:val="24"/>
          <w:highlight w:val="none"/>
          <w:u w:val="none" w:color="auto"/>
        </w:rPr>
      </w:pPr>
      <w:r>
        <w:rPr>
          <w:rFonts w:hint="eastAsia" w:ascii="方正仿宋_GBK" w:hAnsi="宋体" w:eastAsia="方正仿宋_GBK"/>
          <w:sz w:val="24"/>
          <w:szCs w:val="24"/>
          <w:highlight w:val="none"/>
          <w:u w:val="none" w:color="auto"/>
        </w:rPr>
        <w:t>（八）</w:t>
      </w:r>
      <w:bookmarkStart w:id="150" w:name="OLE_LINK1"/>
      <w:bookmarkStart w:id="151" w:name="OLE_LINK2"/>
      <w:r>
        <w:rPr>
          <w:rFonts w:hint="eastAsia" w:ascii="方正仿宋_GBK" w:eastAsia="方正仿宋_GBK"/>
          <w:sz w:val="24"/>
          <w:szCs w:val="24"/>
          <w:highlight w:val="none"/>
          <w:u w:val="none" w:color="auto"/>
        </w:rPr>
        <w:t>按照</w:t>
      </w:r>
      <w:r>
        <w:rPr>
          <w:rFonts w:hint="eastAsia" w:ascii="方正仿宋_GBK" w:hAnsi="宋体" w:eastAsia="方正仿宋_GBK"/>
          <w:sz w:val="24"/>
          <w:szCs w:val="24"/>
          <w:highlight w:val="none"/>
          <w:u w:val="none" w:color="auto"/>
        </w:rPr>
        <w:t>《</w:t>
      </w:r>
      <w:r>
        <w:rPr>
          <w:rFonts w:hint="eastAsia" w:ascii="方正仿宋_GBK" w:eastAsia="方正仿宋_GBK"/>
          <w:sz w:val="24"/>
          <w:szCs w:val="24"/>
          <w:highlight w:val="none"/>
          <w:u w:val="none" w:color="auto"/>
        </w:rPr>
        <w:t>财政部关于在政府采购活动中查询及使用信用记录有关问题的通知</w:t>
      </w:r>
      <w:r>
        <w:rPr>
          <w:rFonts w:hint="eastAsia" w:ascii="方正仿宋_GBK" w:hAnsi="宋体" w:eastAsia="方正仿宋_GBK"/>
          <w:sz w:val="24"/>
          <w:szCs w:val="24"/>
          <w:highlight w:val="none"/>
          <w:u w:val="none" w:color="auto"/>
        </w:rPr>
        <w:t>》</w:t>
      </w:r>
      <w:r>
        <w:rPr>
          <w:rFonts w:hint="eastAsia" w:ascii="方正仿宋_GBK" w:eastAsia="方正仿宋_GBK"/>
          <w:sz w:val="24"/>
          <w:szCs w:val="24"/>
          <w:highlight w:val="none"/>
          <w:u w:val="none" w:color="auto"/>
        </w:rPr>
        <w:t>财库〔2016〕125号，投标人列入失信被执行人、重大税收违法案件当事人名单、政府采购严重违法失信行为记录名单及其他不符合《中华人民共和国政府采购法》第二十二条规定条件的</w:t>
      </w:r>
      <w:bookmarkEnd w:id="150"/>
      <w:bookmarkEnd w:id="151"/>
      <w:r>
        <w:rPr>
          <w:rFonts w:hint="eastAsia" w:ascii="方正仿宋_GBK" w:eastAsia="方正仿宋_GBK"/>
          <w:sz w:val="24"/>
          <w:szCs w:val="24"/>
          <w:highlight w:val="none"/>
          <w:u w:val="none" w:color="auto"/>
        </w:rPr>
        <w:t>投标人，将拒绝其参与政府采购活动。</w:t>
      </w:r>
    </w:p>
    <w:p>
      <w:pPr>
        <w:pStyle w:val="4"/>
        <w:spacing w:line="400" w:lineRule="exact"/>
        <w:ind w:firstLine="482" w:firstLineChars="200"/>
        <w:rPr>
          <w:rFonts w:hint="eastAsia" w:ascii="方正仿宋_GBK" w:eastAsia="方正仿宋_GBK"/>
          <w:b/>
          <w:sz w:val="24"/>
          <w:highlight w:val="none"/>
          <w:u w:val="none" w:color="auto"/>
        </w:rPr>
      </w:pPr>
      <w:bookmarkStart w:id="152" w:name="_Toc29685"/>
      <w:bookmarkStart w:id="153" w:name="_Toc12717"/>
      <w:bookmarkStart w:id="154" w:name="_Toc11494"/>
      <w:bookmarkStart w:id="155" w:name="_Toc75793503"/>
      <w:bookmarkStart w:id="156" w:name="_Toc67"/>
      <w:bookmarkStart w:id="157" w:name="_Toc20452"/>
      <w:bookmarkStart w:id="158" w:name="_Toc9632"/>
      <w:bookmarkStart w:id="159" w:name="_Toc26782"/>
      <w:bookmarkStart w:id="160" w:name="_Toc24181"/>
      <w:bookmarkStart w:id="161" w:name="_Toc106030379"/>
      <w:bookmarkStart w:id="162" w:name="_Toc29351"/>
      <w:bookmarkStart w:id="163" w:name="_Toc16508"/>
      <w:bookmarkStart w:id="164" w:name="_Toc28776"/>
      <w:bookmarkStart w:id="165" w:name="_Toc5228"/>
      <w:bookmarkStart w:id="166" w:name="_Toc15522"/>
      <w:bookmarkStart w:id="167" w:name="_Toc28772"/>
      <w:bookmarkStart w:id="168" w:name="_Toc19676"/>
      <w:bookmarkStart w:id="169" w:name="_Toc30488"/>
      <w:bookmarkStart w:id="170" w:name="_Toc13885"/>
      <w:bookmarkStart w:id="171" w:name="_Toc285014822"/>
      <w:r>
        <w:rPr>
          <w:rFonts w:hint="eastAsia" w:ascii="方正仿宋_GBK" w:eastAsia="方正仿宋_GBK"/>
          <w:b/>
          <w:sz w:val="24"/>
          <w:highlight w:val="none"/>
          <w:u w:val="none" w:color="auto"/>
          <w:lang w:val="en-US" w:eastAsia="zh-CN"/>
        </w:rPr>
        <w:t>七</w:t>
      </w:r>
      <w:r>
        <w:rPr>
          <w:rFonts w:hint="eastAsia" w:ascii="方正仿宋_GBK" w:eastAsia="方正仿宋_GBK"/>
          <w:b/>
          <w:sz w:val="24"/>
          <w:highlight w:val="none"/>
          <w:u w:val="none" w:color="auto"/>
        </w:rPr>
        <w:t>、联系方式</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p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（一）采购人：</w:t>
      </w:r>
      <w:r>
        <w:rPr>
          <w:rFonts w:hint="eastAsia" w:ascii="方正仿宋_GBK" w:hAnsi="宋体" w:eastAsia="方正仿宋_GBK"/>
          <w:sz w:val="24"/>
          <w:szCs w:val="24"/>
          <w:highlight w:val="none"/>
          <w:u w:val="none" w:color="auto"/>
          <w:lang w:val="en-US" w:eastAsia="zh-CN"/>
        </w:rPr>
        <w:t>重庆康科特建筑材料有限公司</w:t>
      </w:r>
      <w:r>
        <w:rPr>
          <w:rFonts w:hint="eastAsia" w:ascii="方正仿宋_GBK" w:hAnsi="宋体" w:eastAsia="方正仿宋_GBK"/>
          <w:sz w:val="24"/>
          <w:szCs w:val="24"/>
          <w:highlight w:val="none"/>
          <w:u w:val="none" w:color="auto"/>
        </w:rPr>
        <w:t xml:space="preserve"> </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eastAsia="zh-CN"/>
        </w:rPr>
        <w:t>孙老师</w:t>
      </w:r>
      <w:r>
        <w:rPr>
          <w:rFonts w:hint="eastAsia" w:ascii="方正仿宋_GBK" w:hAnsi="宋体" w:eastAsia="方正仿宋_GBK"/>
          <w:sz w:val="24"/>
          <w:szCs w:val="24"/>
          <w:highlight w:val="none"/>
          <w:u w:val="none" w:color="auto"/>
        </w:rPr>
        <w:t xml:space="preserve">  </w:t>
      </w:r>
    </w:p>
    <w:p>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w:t>
      </w:r>
      <w:r>
        <w:rPr>
          <w:rFonts w:hint="eastAsia" w:ascii="方正仿宋_GBK" w:hAnsi="宋体" w:eastAsia="方正仿宋_GBK"/>
          <w:sz w:val="24"/>
          <w:szCs w:val="24"/>
          <w:highlight w:val="none"/>
          <w:lang w:val="en-US" w:eastAsia="zh-CN"/>
        </w:rPr>
        <w:t>19115035096</w:t>
      </w:r>
    </w:p>
    <w:p>
      <w:pPr>
        <w:numPr>
          <w:ilvl w:val="0"/>
          <w:numId w:val="16"/>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 xml:space="preserve">采购代理机构：垫江县公共资源交易中心 </w:t>
      </w:r>
    </w:p>
    <w:p>
      <w:pPr>
        <w:numPr>
          <w:ilvl w:val="0"/>
          <w:numId w:val="0"/>
        </w:numPr>
        <w:snapToGrid w:val="0"/>
        <w:spacing w:line="400" w:lineRule="exact"/>
        <w:ind w:firstLine="480" w:firstLineChars="200"/>
        <w:outlineLvl w:val="2"/>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联系人：</w:t>
      </w:r>
      <w:r>
        <w:rPr>
          <w:rFonts w:hint="eastAsia" w:ascii="方正仿宋_GBK" w:hAnsi="宋体" w:eastAsia="方正仿宋_GBK"/>
          <w:sz w:val="24"/>
          <w:szCs w:val="24"/>
          <w:highlight w:val="none"/>
          <w:u w:val="none" w:color="auto"/>
          <w:lang w:val="en-US" w:eastAsia="zh-CN"/>
        </w:rPr>
        <w:t>陈老师</w:t>
      </w:r>
      <w:r>
        <w:rPr>
          <w:rFonts w:hint="eastAsia" w:ascii="方正仿宋_GBK" w:hAnsi="宋体" w:eastAsia="方正仿宋_GBK"/>
          <w:sz w:val="24"/>
          <w:szCs w:val="24"/>
          <w:highlight w:val="none"/>
          <w:u w:val="none" w:color="auto"/>
        </w:rPr>
        <w:t xml:space="preserve"> </w:t>
      </w:r>
    </w:p>
    <w:p>
      <w:pPr>
        <w:snapToGrid w:val="0"/>
        <w:spacing w:line="400" w:lineRule="exact"/>
        <w:ind w:firstLine="480" w:firstLineChars="200"/>
        <w:rPr>
          <w:rFonts w:hint="default" w:ascii="方正仿宋_GBK" w:hAnsi="宋体" w:eastAsia="方正仿宋_GBK"/>
          <w:sz w:val="24"/>
          <w:szCs w:val="24"/>
          <w:highlight w:val="none"/>
          <w:u w:val="none" w:color="auto"/>
          <w:lang w:val="en-US" w:eastAsia="zh-CN"/>
        </w:rPr>
      </w:pPr>
      <w:r>
        <w:rPr>
          <w:rFonts w:hint="eastAsia" w:ascii="方正仿宋_GBK" w:hAnsi="宋体" w:eastAsia="方正仿宋_GBK"/>
          <w:sz w:val="24"/>
          <w:szCs w:val="24"/>
          <w:highlight w:val="none"/>
          <w:u w:val="none" w:color="auto"/>
        </w:rPr>
        <w:t>电  话：023-</w:t>
      </w:r>
      <w:r>
        <w:rPr>
          <w:rFonts w:hint="eastAsia" w:ascii="方正仿宋_GBK" w:hAnsi="宋体" w:eastAsia="方正仿宋_GBK"/>
          <w:sz w:val="24"/>
          <w:szCs w:val="24"/>
          <w:highlight w:val="none"/>
          <w:u w:val="none" w:color="auto"/>
          <w:lang w:val="en-US" w:eastAsia="zh-CN"/>
        </w:rPr>
        <w:t>74528661</w:t>
      </w:r>
    </w:p>
    <w:p>
      <w:pPr>
        <w:snapToGrid w:val="0"/>
        <w:spacing w:line="400" w:lineRule="exact"/>
        <w:ind w:firstLine="480" w:firstLineChars="200"/>
        <w:outlineLvl w:val="2"/>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val="en-US" w:eastAsia="zh-CN"/>
        </w:rPr>
        <w:t>三</w:t>
      </w:r>
      <w:r>
        <w:rPr>
          <w:rFonts w:hint="eastAsia" w:ascii="方正仿宋_GBK" w:eastAsia="方正仿宋_GBK"/>
          <w:sz w:val="24"/>
          <w:szCs w:val="24"/>
          <w:highlight w:val="none"/>
        </w:rPr>
        <w:t>）电子招投标系统技术指导：重庆港澳大家软件产业有限公司</w:t>
      </w:r>
    </w:p>
    <w:p>
      <w:pPr>
        <w:snapToGrid w:val="0"/>
        <w:spacing w:line="400" w:lineRule="exact"/>
        <w:ind w:firstLine="480" w:firstLineChars="200"/>
        <w:outlineLvl w:val="2"/>
        <w:rPr>
          <w:rFonts w:hint="eastAsia" w:ascii="方正仿宋_GBK" w:eastAsia="方正仿宋_GBK"/>
          <w:sz w:val="24"/>
          <w:szCs w:val="24"/>
          <w:highlight w:val="none"/>
        </w:rPr>
      </w:pPr>
      <w:r>
        <w:rPr>
          <w:rFonts w:hint="eastAsia" w:ascii="方正仿宋_GBK" w:eastAsia="方正仿宋_GBK"/>
          <w:sz w:val="24"/>
          <w:szCs w:val="24"/>
          <w:highlight w:val="none"/>
        </w:rPr>
        <w:t>客服联系电话：023-88158029（工作日）   18183107831（节假日）</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w:t>
      </w:r>
      <w:r>
        <w:rPr>
          <w:rFonts w:hint="eastAsia" w:ascii="方正仿宋_GBK" w:eastAsia="方正仿宋_GBK"/>
          <w:sz w:val="24"/>
          <w:szCs w:val="24"/>
          <w:highlight w:val="none"/>
          <w:lang w:eastAsia="zh-CN"/>
        </w:rPr>
        <w:t>四</w:t>
      </w:r>
      <w:r>
        <w:rPr>
          <w:rFonts w:hint="eastAsia" w:ascii="方正仿宋_GBK" w:eastAsia="方正仿宋_GBK"/>
          <w:sz w:val="24"/>
          <w:szCs w:val="24"/>
          <w:highlight w:val="none"/>
        </w:rPr>
        <w:t>）CA数字证书办理服务平台：</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1.CA数字证书：网证通</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联系人：刘娟</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电话：023-63010240  18996084960</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2.CA数字证书：东方中讯数字证书认证有限公司</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联系人：何晓伦</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eastAsia="方正仿宋_GBK"/>
          <w:sz w:val="24"/>
          <w:szCs w:val="24"/>
          <w:highlight w:val="none"/>
        </w:rPr>
        <w:t>电话：023-88257082  023-63153662</w:t>
      </w:r>
    </w:p>
    <w:p>
      <w:pPr>
        <w:pStyle w:val="3"/>
        <w:numPr>
          <w:ilvl w:val="0"/>
          <w:numId w:val="17"/>
        </w:numPr>
        <w:spacing w:before="0" w:beforeLines="0" w:after="0" w:afterLines="0" w:line="360" w:lineRule="auto"/>
        <w:rPr>
          <w:rFonts w:hint="eastAsia" w:ascii="方正仿宋_GBK" w:eastAsia="方正仿宋_GBK"/>
          <w:b/>
          <w:highlight w:val="none"/>
          <w:u w:val="none" w:color="auto"/>
        </w:rPr>
      </w:pPr>
      <w:r>
        <w:rPr>
          <w:rFonts w:hint="eastAsia" w:ascii="方正仿宋_GBK" w:eastAsia="方正仿宋_GBK"/>
          <w:highlight w:val="none"/>
          <w:u w:val="none" w:color="auto"/>
        </w:rPr>
        <w:br w:type="page"/>
      </w:r>
      <w:bookmarkStart w:id="172" w:name="_Toc106030380"/>
      <w:bookmarkStart w:id="173" w:name="_Toc5988"/>
      <w:bookmarkStart w:id="174" w:name="_Toc1489737317"/>
      <w:bookmarkStart w:id="175" w:name="_Toc13851"/>
      <w:bookmarkStart w:id="176" w:name="_Toc13380"/>
      <w:r>
        <w:rPr>
          <w:rFonts w:hint="eastAsia" w:ascii="方正仿宋_GBK" w:eastAsia="方正仿宋_GBK"/>
          <w:b/>
          <w:highlight w:val="none"/>
          <w:u w:val="none" w:color="auto"/>
        </w:rPr>
        <w:t>项目技术（质量）需求</w:t>
      </w:r>
      <w:bookmarkEnd w:id="172"/>
      <w:bookmarkEnd w:id="173"/>
      <w:bookmarkEnd w:id="174"/>
      <w:bookmarkEnd w:id="175"/>
      <w:bookmarkEnd w:id="176"/>
    </w:p>
    <w:p>
      <w:pPr>
        <w:numPr>
          <w:ilvl w:val="0"/>
          <w:numId w:val="0"/>
        </w:numPr>
        <w:snapToGrid w:val="0"/>
        <w:spacing w:line="400" w:lineRule="exact"/>
        <w:ind w:left="502" w:leftChars="0"/>
        <w:outlineLvl w:val="2"/>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一、采购数量及单价最高限价</w:t>
      </w:r>
    </w:p>
    <w:p>
      <w:pPr>
        <w:numPr>
          <w:ilvl w:val="0"/>
          <w:numId w:val="0"/>
        </w:numPr>
        <w:snapToGrid w:val="0"/>
        <w:spacing w:line="400" w:lineRule="exact"/>
        <w:ind w:left="502" w:leftChars="0"/>
        <w:outlineLvl w:val="2"/>
        <w:rPr>
          <w:rFonts w:hint="eastAsia" w:ascii="方正仿宋_GBK" w:hAnsi="宋体" w:eastAsia="方正仿宋_GBK" w:cs="宋体"/>
          <w:color w:val="auto"/>
          <w:kern w:val="0"/>
          <w:sz w:val="24"/>
          <w:szCs w:val="24"/>
          <w:highlight w:val="none"/>
          <w:lang w:eastAsia="zh-CN"/>
        </w:rPr>
      </w:pPr>
      <w:bookmarkStart w:id="177" w:name="_Toc28164"/>
      <w:bookmarkStart w:id="178" w:name="_Toc9920"/>
      <w:bookmarkStart w:id="179" w:name="_Toc21557"/>
      <w:bookmarkStart w:id="180" w:name="_Toc75793508"/>
      <w:bookmarkStart w:id="181" w:name="_Toc20842"/>
      <w:bookmarkStart w:id="182" w:name="_Toc9326"/>
      <w:bookmarkStart w:id="183" w:name="_Toc1363"/>
      <w:bookmarkStart w:id="184" w:name="_Toc18187"/>
      <w:bookmarkStart w:id="185" w:name="_Toc13990"/>
      <w:bookmarkStart w:id="186" w:name="_Toc8633"/>
      <w:bookmarkStart w:id="187" w:name="_Toc26363"/>
      <w:bookmarkStart w:id="188" w:name="_Toc31584"/>
      <w:bookmarkStart w:id="189" w:name="_Toc2095"/>
      <w:bookmarkStart w:id="190" w:name="_Toc15467"/>
      <w:bookmarkStart w:id="191" w:name="_Toc19536"/>
      <w:bookmarkStart w:id="192" w:name="_Toc5213"/>
      <w:bookmarkStart w:id="193" w:name="_Toc11262"/>
      <w:bookmarkStart w:id="194" w:name="_Toc106030384"/>
      <w:bookmarkStart w:id="195" w:name="_Toc31994"/>
      <w:r>
        <w:rPr>
          <w:rFonts w:hint="eastAsia" w:ascii="方正仿宋_GBK" w:hAnsi="宋体" w:eastAsia="方正仿宋_GBK" w:cs="宋体"/>
          <w:color w:val="auto"/>
          <w:kern w:val="0"/>
          <w:sz w:val="24"/>
          <w:szCs w:val="24"/>
          <w:highlight w:val="none"/>
          <w:lang w:val="en-US" w:eastAsia="zh-CN"/>
        </w:rPr>
        <w:t>1、</w:t>
      </w:r>
      <w:r>
        <w:rPr>
          <w:rFonts w:hint="eastAsia" w:ascii="方正仿宋_GBK" w:hAnsi="宋体" w:eastAsia="方正仿宋_GBK" w:cs="宋体"/>
          <w:color w:val="auto"/>
          <w:kern w:val="0"/>
          <w:sz w:val="24"/>
          <w:szCs w:val="24"/>
          <w:highlight w:val="none"/>
          <w:lang w:eastAsia="zh-CN"/>
        </w:rPr>
        <w:t>碎石，2.5万吨，单价最高限价63元/吨</w:t>
      </w:r>
    </w:p>
    <w:p>
      <w:pPr>
        <w:numPr>
          <w:ilvl w:val="0"/>
          <w:numId w:val="0"/>
        </w:numPr>
        <w:snapToGrid w:val="0"/>
        <w:spacing w:line="400" w:lineRule="exact"/>
        <w:ind w:left="502" w:leftChars="0"/>
        <w:outlineLvl w:val="2"/>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lang w:val="en-US" w:eastAsia="zh-CN"/>
        </w:rPr>
        <w:t>2、</w:t>
      </w:r>
      <w:r>
        <w:rPr>
          <w:rFonts w:hint="eastAsia" w:ascii="方正仿宋_GBK" w:hAnsi="宋体" w:eastAsia="方正仿宋_GBK" w:cs="宋体"/>
          <w:color w:val="auto"/>
          <w:kern w:val="0"/>
          <w:sz w:val="24"/>
          <w:szCs w:val="24"/>
          <w:highlight w:val="none"/>
          <w:lang w:eastAsia="zh-CN"/>
        </w:rPr>
        <w:t>石粉，1万吨，单价最高限价58元/吨</w:t>
      </w:r>
    </w:p>
    <w:p>
      <w:pPr>
        <w:numPr>
          <w:ilvl w:val="0"/>
          <w:numId w:val="0"/>
        </w:numPr>
        <w:snapToGrid w:val="0"/>
        <w:spacing w:line="400" w:lineRule="exact"/>
        <w:ind w:left="502" w:leftChars="0"/>
        <w:outlineLvl w:val="2"/>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lang w:val="en-US" w:eastAsia="zh-CN"/>
        </w:rPr>
        <w:t>3、</w:t>
      </w:r>
      <w:r>
        <w:rPr>
          <w:rFonts w:hint="eastAsia" w:ascii="方正仿宋_GBK" w:hAnsi="宋体" w:eastAsia="方正仿宋_GBK" w:cs="宋体"/>
          <w:color w:val="auto"/>
          <w:kern w:val="0"/>
          <w:sz w:val="24"/>
          <w:szCs w:val="24"/>
          <w:highlight w:val="none"/>
          <w:lang w:eastAsia="zh-CN"/>
        </w:rPr>
        <w:t>机制砂，6000吨，单价最高限价62元/吨</w:t>
      </w:r>
    </w:p>
    <w:p>
      <w:pPr>
        <w:numPr>
          <w:ilvl w:val="0"/>
          <w:numId w:val="0"/>
        </w:numPr>
        <w:snapToGrid w:val="0"/>
        <w:spacing w:line="400" w:lineRule="exact"/>
        <w:ind w:left="502" w:leftChars="0"/>
        <w:outlineLvl w:val="2"/>
        <w:rPr>
          <w:rFonts w:hint="eastAsia" w:ascii="方正仿宋_GBK" w:hAnsi="宋体" w:eastAsia="方正仿宋_GBK" w:cs="宋体"/>
          <w:color w:val="auto"/>
          <w:kern w:val="0"/>
          <w:sz w:val="24"/>
          <w:szCs w:val="24"/>
          <w:highlight w:val="none"/>
          <w:lang w:eastAsia="zh-CN"/>
        </w:rPr>
      </w:pPr>
      <w:r>
        <w:rPr>
          <w:rFonts w:hint="eastAsia" w:ascii="方正仿宋_GBK" w:hAnsi="宋体" w:eastAsia="方正仿宋_GBK" w:cs="宋体"/>
          <w:color w:val="auto"/>
          <w:kern w:val="0"/>
          <w:sz w:val="24"/>
          <w:szCs w:val="24"/>
          <w:highlight w:val="none"/>
          <w:lang w:val="en-US" w:eastAsia="zh-CN"/>
        </w:rPr>
        <w:t>4、</w:t>
      </w:r>
      <w:r>
        <w:rPr>
          <w:rFonts w:hint="eastAsia" w:ascii="方正仿宋_GBK" w:hAnsi="宋体" w:eastAsia="方正仿宋_GBK" w:cs="宋体"/>
          <w:color w:val="auto"/>
          <w:kern w:val="0"/>
          <w:sz w:val="24"/>
          <w:szCs w:val="24"/>
          <w:highlight w:val="none"/>
          <w:lang w:eastAsia="zh-CN"/>
        </w:rPr>
        <w:t>水洗砂，3000吨，单价最高限价77元/吨</w:t>
      </w:r>
    </w:p>
    <w:p>
      <w:pPr>
        <w:numPr>
          <w:ilvl w:val="0"/>
          <w:numId w:val="0"/>
        </w:numPr>
        <w:snapToGrid w:val="0"/>
        <w:spacing w:line="400" w:lineRule="exact"/>
        <w:ind w:left="502" w:leftChars="0"/>
        <w:outlineLvl w:val="2"/>
        <w:rPr>
          <w:rFonts w:hint="eastAsia"/>
          <w:lang w:val="en-US" w:eastAsia="zh-CN"/>
        </w:rPr>
      </w:pPr>
      <w:r>
        <w:rPr>
          <w:rFonts w:hint="eastAsia" w:ascii="方正仿宋_GBK" w:hAnsi="宋体" w:eastAsia="方正仿宋_GBK" w:cs="宋体"/>
          <w:color w:val="auto"/>
          <w:kern w:val="0"/>
          <w:sz w:val="24"/>
          <w:szCs w:val="24"/>
          <w:highlight w:val="none"/>
          <w:lang w:val="en-US" w:eastAsia="zh-CN"/>
        </w:rPr>
        <w:t>5、</w:t>
      </w:r>
      <w:r>
        <w:rPr>
          <w:rFonts w:hint="eastAsia" w:ascii="方正仿宋_GBK" w:hAnsi="宋体" w:eastAsia="方正仿宋_GBK" w:cs="宋体"/>
          <w:color w:val="auto"/>
          <w:kern w:val="0"/>
          <w:sz w:val="24"/>
          <w:szCs w:val="24"/>
          <w:highlight w:val="none"/>
          <w:lang w:eastAsia="zh-CN"/>
        </w:rPr>
        <w:t>江沙（特细）6000吨，单价最高限价145元/吨</w:t>
      </w:r>
    </w:p>
    <w:p>
      <w:pPr>
        <w:snapToGrid w:val="0"/>
        <w:spacing w:line="400" w:lineRule="exact"/>
        <w:ind w:firstLine="480" w:firstLineChars="200"/>
        <w:outlineLvl w:val="2"/>
        <w:rPr>
          <w:rFonts w:hint="eastAsia" w:ascii="方正仿宋_GBK" w:eastAsia="方正仿宋_GBK"/>
          <w:b/>
          <w:highlight w:val="none"/>
          <w:u w:val="none" w:color="auto"/>
          <w:lang w:eastAsia="zh-CN"/>
        </w:rPr>
      </w:pPr>
      <w:r>
        <w:rPr>
          <w:rFonts w:hint="eastAsia" w:ascii="方正仿宋_GBK" w:hAnsi="宋体" w:eastAsia="方正仿宋_GBK" w:cs="宋体"/>
          <w:color w:val="auto"/>
          <w:kern w:val="0"/>
          <w:sz w:val="24"/>
          <w:szCs w:val="24"/>
          <w:highlight w:val="none"/>
          <w:lang w:eastAsia="zh-CN"/>
        </w:rPr>
        <w:t>二、质量要求：符合行业相关标准。检测依据JGJ 52-2006 。</w:t>
      </w:r>
      <w:r>
        <w:rPr>
          <w:rFonts w:hint="eastAsia" w:ascii="方正仿宋_GBK" w:eastAsia="方正仿宋_GBK"/>
          <w:b/>
          <w:highlight w:val="none"/>
          <w:u w:val="none" w:color="auto"/>
          <w:lang w:eastAsia="zh-CN"/>
        </w:rPr>
        <w:t xml:space="preserve"> </w:t>
      </w:r>
    </w:p>
    <w:p>
      <w:pPr>
        <w:snapToGrid w:val="0"/>
        <w:spacing w:line="400" w:lineRule="exact"/>
        <w:ind w:firstLine="562" w:firstLineChars="200"/>
        <w:outlineLvl w:val="2"/>
        <w:rPr>
          <w:rFonts w:hint="eastAsia" w:ascii="方正仿宋_GBK" w:eastAsia="方正仿宋_GBK"/>
          <w:b/>
          <w:highlight w:val="none"/>
          <w:u w:val="none" w:color="auto"/>
          <w:lang w:eastAsia="zh-CN"/>
        </w:rPr>
      </w:pPr>
      <w:r>
        <w:rPr>
          <w:rFonts w:hint="eastAsia" w:ascii="方正仿宋_GBK" w:eastAsia="方正仿宋_GBK"/>
          <w:b/>
          <w:highlight w:val="none"/>
          <w:u w:val="none" w:color="auto"/>
          <w:lang w:eastAsia="zh-CN"/>
        </w:rPr>
        <w:t xml:space="preserve">    </w:t>
      </w:r>
    </w:p>
    <w:p>
      <w:pPr>
        <w:pStyle w:val="3"/>
        <w:spacing w:before="0" w:beforeLines="0" w:after="0" w:afterLines="0" w:line="360" w:lineRule="auto"/>
        <w:rPr>
          <w:rFonts w:hint="eastAsia" w:ascii="方正仿宋_GBK" w:eastAsia="方正仿宋_GBK"/>
          <w:b/>
          <w:highlight w:val="none"/>
          <w:u w:val="none" w:color="auto"/>
        </w:rPr>
      </w:pPr>
      <w:bookmarkStart w:id="196" w:name="_Toc1898173379"/>
      <w:r>
        <w:rPr>
          <w:rFonts w:hint="eastAsia" w:ascii="方正仿宋_GBK" w:eastAsia="方正仿宋_GBK"/>
          <w:b/>
          <w:highlight w:val="none"/>
          <w:u w:val="none" w:color="auto"/>
        </w:rPr>
        <w:t xml:space="preserve">第三篇  </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hint="eastAsia" w:ascii="方正仿宋_GBK" w:eastAsia="方正仿宋_GBK"/>
          <w:b/>
          <w:highlight w:val="none"/>
          <w:u w:val="none" w:color="auto"/>
        </w:rPr>
        <w:t>项目商务需求</w:t>
      </w:r>
      <w:bookmarkEnd w:id="192"/>
      <w:bookmarkEnd w:id="193"/>
      <w:bookmarkEnd w:id="194"/>
      <w:bookmarkEnd w:id="195"/>
      <w:bookmarkEnd w:id="196"/>
    </w:p>
    <w:p>
      <w:pPr>
        <w:pStyle w:val="4"/>
        <w:spacing w:line="400" w:lineRule="exact"/>
        <w:ind w:firstLine="482" w:firstLineChars="200"/>
        <w:rPr>
          <w:rFonts w:hint="eastAsia" w:ascii="方正仿宋_GBK" w:eastAsia="方正仿宋_GBK"/>
          <w:b/>
          <w:sz w:val="24"/>
          <w:szCs w:val="24"/>
          <w:highlight w:val="none"/>
          <w:u w:val="none" w:color="auto"/>
        </w:rPr>
      </w:pPr>
      <w:bookmarkStart w:id="197" w:name="_Toc9676"/>
      <w:bookmarkStart w:id="198" w:name="_Toc11380"/>
      <w:bookmarkStart w:id="199" w:name="_Toc8088"/>
      <w:bookmarkStart w:id="200" w:name="_Toc12768"/>
      <w:bookmarkStart w:id="201" w:name="_Toc22944"/>
      <w:bookmarkStart w:id="202" w:name="_Toc6595"/>
      <w:bookmarkStart w:id="203" w:name="_Toc21429"/>
      <w:bookmarkStart w:id="204" w:name="_Toc28521"/>
      <w:bookmarkStart w:id="205" w:name="_Toc23501"/>
      <w:bookmarkStart w:id="206" w:name="_Toc30118"/>
      <w:bookmarkStart w:id="207" w:name="_Toc10039"/>
      <w:bookmarkStart w:id="208" w:name="_Toc14029"/>
      <w:bookmarkStart w:id="209" w:name="_Toc13389"/>
      <w:bookmarkStart w:id="210" w:name="_Toc13728"/>
      <w:bookmarkStart w:id="211" w:name="_Toc267320049"/>
      <w:bookmarkStart w:id="212" w:name="_Toc106030385"/>
      <w:bookmarkStart w:id="213" w:name="_Toc8752"/>
      <w:bookmarkStart w:id="214" w:name="_Toc75793509"/>
      <w:bookmarkStart w:id="215" w:name="_Toc1201513958"/>
      <w:r>
        <w:rPr>
          <w:rFonts w:hint="eastAsia" w:ascii="方正仿宋_GBK" w:eastAsia="方正仿宋_GBK"/>
          <w:b/>
          <w:sz w:val="24"/>
          <w:szCs w:val="24"/>
          <w:highlight w:val="none"/>
          <w:u w:val="none" w:color="auto"/>
        </w:rPr>
        <w:t>一、</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r>
        <w:rPr>
          <w:rFonts w:hint="eastAsia" w:ascii="方正仿宋_GBK" w:eastAsia="方正仿宋_GBK"/>
          <w:b/>
          <w:color w:val="auto"/>
          <w:sz w:val="24"/>
          <w:szCs w:val="24"/>
          <w:highlight w:val="none"/>
        </w:rPr>
        <w:t>交货时间、交货地点及验收方式</w:t>
      </w:r>
      <w:bookmarkEnd w:id="215"/>
    </w:p>
    <w:p>
      <w:pPr>
        <w:snapToGrid w:val="0"/>
        <w:spacing w:line="400" w:lineRule="exact"/>
        <w:ind w:firstLine="480" w:firstLineChars="200"/>
        <w:rPr>
          <w:rFonts w:hint="eastAsia"/>
          <w:lang w:val="en-US" w:eastAsia="zh-CN"/>
        </w:rPr>
      </w:pPr>
      <w:r>
        <w:rPr>
          <w:rFonts w:hint="eastAsia" w:ascii="方正仿宋_GBK" w:hAnsi="宋体" w:eastAsia="方正仿宋_GBK" w:cs="宋体"/>
          <w:kern w:val="0"/>
          <w:sz w:val="24"/>
          <w:szCs w:val="24"/>
          <w:highlight w:val="none"/>
          <w:u w:val="none" w:color="auto"/>
          <w:lang w:val="en-US" w:eastAsia="zh-CN"/>
        </w:rPr>
        <w:t>（一）交货时间</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r>
        <w:rPr>
          <w:rFonts w:hint="eastAsia" w:ascii="方正仿宋_GBK" w:hAnsi="宋体" w:eastAsia="方正仿宋_GBK" w:cs="宋体"/>
          <w:kern w:val="0"/>
          <w:sz w:val="24"/>
          <w:szCs w:val="24"/>
          <w:highlight w:val="none"/>
          <w:u w:val="none" w:color="auto"/>
          <w:lang w:val="en-US" w:eastAsia="zh-CN"/>
        </w:rPr>
        <w:t>具体实施（交货）时间以采购人通知为准，供应商须承诺在收到采购人通知（包括但不限于书面、电话、微信等通讯方式）之时起24小时内（起止时间以采购人通知时间至成交供应商货物到采购人地磅处过磅时间为准）将货物运达指定交货地点，采购数量供完即止。</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r>
        <w:rPr>
          <w:rFonts w:hint="eastAsia" w:ascii="方正仿宋_GBK" w:hAnsi="宋体" w:eastAsia="方正仿宋_GBK" w:cs="宋体"/>
          <w:kern w:val="0"/>
          <w:sz w:val="24"/>
          <w:szCs w:val="24"/>
          <w:highlight w:val="none"/>
          <w:u w:val="none" w:color="auto"/>
          <w:lang w:val="en-US" w:eastAsia="zh-CN"/>
        </w:rPr>
        <w:t>（二）交货地点</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r>
        <w:rPr>
          <w:rFonts w:hint="eastAsia" w:ascii="方正仿宋_GBK" w:hAnsi="宋体" w:eastAsia="方正仿宋_GBK" w:cs="宋体"/>
          <w:kern w:val="0"/>
          <w:sz w:val="24"/>
          <w:szCs w:val="24"/>
          <w:highlight w:val="none"/>
          <w:u w:val="none" w:color="auto"/>
          <w:lang w:val="en-US" w:eastAsia="zh-CN"/>
        </w:rPr>
        <w:t>交货地点：具体交货地点以采购人通知为准。</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r>
        <w:rPr>
          <w:rFonts w:hint="eastAsia" w:ascii="方正仿宋_GBK" w:hAnsi="宋体" w:eastAsia="方正仿宋_GBK" w:cs="宋体"/>
          <w:kern w:val="0"/>
          <w:sz w:val="24"/>
          <w:szCs w:val="24"/>
          <w:highlight w:val="none"/>
          <w:u w:val="none" w:color="auto"/>
          <w:lang w:val="en-US" w:eastAsia="zh-CN"/>
        </w:rPr>
        <w:t>（三）验收方式</w:t>
      </w:r>
    </w:p>
    <w:p>
      <w:pPr>
        <w:pStyle w:val="4"/>
        <w:spacing w:line="400" w:lineRule="exact"/>
        <w:ind w:firstLine="480" w:firstLineChars="200"/>
        <w:rPr>
          <w:rFonts w:hint="eastAsia" w:ascii="方正仿宋_GBK" w:eastAsia="方正仿宋_GBK"/>
          <w:b/>
          <w:sz w:val="24"/>
          <w:szCs w:val="24"/>
          <w:highlight w:val="none"/>
          <w:u w:val="none" w:color="auto"/>
        </w:rPr>
      </w:pPr>
      <w:bookmarkStart w:id="216" w:name="_Toc20367"/>
      <w:bookmarkStart w:id="217" w:name="_Toc22142"/>
      <w:bookmarkStart w:id="218" w:name="_Toc29436"/>
      <w:bookmarkStart w:id="219" w:name="_Toc29144"/>
      <w:bookmarkStart w:id="220" w:name="_Toc18152"/>
      <w:bookmarkStart w:id="221" w:name="_Toc8592"/>
      <w:bookmarkStart w:id="222" w:name="_Toc11898"/>
      <w:bookmarkStart w:id="223" w:name="_Toc7746"/>
      <w:bookmarkStart w:id="224" w:name="_Toc1484"/>
      <w:bookmarkStart w:id="225" w:name="_Toc22158"/>
      <w:bookmarkStart w:id="226" w:name="_Toc26287"/>
      <w:bookmarkStart w:id="227" w:name="_Toc1138199966"/>
      <w:bookmarkStart w:id="228" w:name="_Toc4036"/>
      <w:bookmarkStart w:id="229" w:name="_Toc21022"/>
      <w:bookmarkStart w:id="230" w:name="_Toc106030386"/>
      <w:bookmarkStart w:id="231" w:name="_Toc28679"/>
      <w:bookmarkStart w:id="232" w:name="_Toc75793510"/>
      <w:bookmarkStart w:id="233" w:name="_Toc27545"/>
      <w:bookmarkStart w:id="234" w:name="_Toc13418"/>
      <w:bookmarkStart w:id="235" w:name="_Toc30781"/>
      <w:bookmarkStart w:id="236" w:name="_Toc267320050"/>
      <w:r>
        <w:rPr>
          <w:rFonts w:hint="eastAsia" w:ascii="方正仿宋_GBK" w:hAnsi="宋体" w:eastAsia="方正仿宋_GBK" w:cs="宋体"/>
          <w:kern w:val="0"/>
          <w:sz w:val="24"/>
          <w:szCs w:val="24"/>
          <w:highlight w:val="none"/>
          <w:u w:val="none" w:color="auto"/>
          <w:lang w:val="en-US" w:eastAsia="zh-CN"/>
        </w:rPr>
        <w:t>（1）采购人有权根据需要随机抽取货物进行检测，如检测不合格，成交供应商负责赔偿采购人一切损失。（2）中标人应按合同规定的货物性能、技术要求、质量标准向采购人提供未经使用的全新产品。中标人提供的原材料须符合现行国家、行业标准及招标文件要求。原材料进场，要提供合格证和质量证明文件，并按规定取样。（3）采购人须检查产品合格证的品种、强度等级等指标是否符合要求，进货品种是否与合格证相符。（4）中标人供货的原材料应做好防尘、防受潮措施。不得有受潮、结块、混入杂原材料的情况，采购人可对中标人所供原材料进行试验的取样方法进行检测验收，若发现原材料有受潮、结块或混入杂原材料的情况，采购人有权拒绝收货，并让中标人在规定的时间内重新供货，若对采购人造成损失的，须对采购人进行赔偿。（5）供货数量按照招标人现场过磅数量为准。</w:t>
      </w:r>
      <w:r>
        <w:rPr>
          <w:rFonts w:hint="eastAsia" w:ascii="方正仿宋_GBK" w:eastAsia="方正仿宋_GBK"/>
          <w:b/>
          <w:sz w:val="24"/>
          <w:szCs w:val="24"/>
          <w:highlight w:val="none"/>
          <w:u w:val="none" w:color="auto"/>
        </w:rPr>
        <w:t>二、报价要求</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lang w:val="en-US" w:eastAsia="zh-CN"/>
        </w:rPr>
        <w:t>.</w:t>
      </w:r>
      <w:r>
        <w:rPr>
          <w:rFonts w:hint="eastAsia" w:ascii="方正仿宋_GBK" w:hAnsi="宋体" w:eastAsia="方正仿宋_GBK" w:cs="宋体"/>
          <w:kern w:val="0"/>
          <w:sz w:val="24"/>
          <w:szCs w:val="24"/>
          <w:highlight w:val="none"/>
          <w:u w:val="none" w:color="auto"/>
        </w:rPr>
        <w:t>本次报价须为人民币报价，</w:t>
      </w:r>
      <w:r>
        <w:rPr>
          <w:rFonts w:hint="eastAsia" w:ascii="方正仿宋_GBK" w:hAnsi="宋体" w:eastAsia="方正仿宋_GBK" w:cs="宋体"/>
          <w:color w:val="auto"/>
          <w:kern w:val="0"/>
          <w:sz w:val="24"/>
          <w:szCs w:val="24"/>
          <w:highlight w:val="none"/>
        </w:rPr>
        <w:t>是将满足采购人要求的产品运至采购人指定交货地点的综合报价，报价包括但不限产品本身费用、人工费、材料费、工器具使用费、安装费、运输费、上下车费、安全费（本项目在采购人验收合格前的一切与项目相关的安全责任由</w:t>
      </w:r>
      <w:r>
        <w:rPr>
          <w:rFonts w:hint="eastAsia" w:ascii="方正仿宋_GBK" w:hAnsi="宋体" w:eastAsia="方正仿宋_GBK" w:cs="宋体"/>
          <w:color w:val="auto"/>
          <w:kern w:val="0"/>
          <w:sz w:val="24"/>
          <w:szCs w:val="24"/>
          <w:highlight w:val="none"/>
          <w:lang w:eastAsia="zh-CN"/>
        </w:rPr>
        <w:t>投标人</w:t>
      </w:r>
      <w:r>
        <w:rPr>
          <w:rFonts w:hint="eastAsia" w:ascii="方正仿宋_GBK" w:hAnsi="宋体" w:eastAsia="方正仿宋_GBK" w:cs="宋体"/>
          <w:color w:val="auto"/>
          <w:kern w:val="0"/>
          <w:sz w:val="24"/>
          <w:szCs w:val="24"/>
          <w:highlight w:val="none"/>
        </w:rPr>
        <w:t>承担）、税金等费用等一切与货物有关的价格以及招标文件明示或暗示的所有责任、义务和一切风险等</w:t>
      </w:r>
      <w:r>
        <w:rPr>
          <w:rFonts w:hint="eastAsia" w:ascii="方正仿宋_GBK" w:hAnsi="宋体" w:eastAsia="方正仿宋_GBK" w:cs="宋体"/>
          <w:kern w:val="0"/>
          <w:sz w:val="24"/>
          <w:szCs w:val="24"/>
          <w:highlight w:val="none"/>
          <w:u w:val="none" w:color="auto"/>
          <w:lang w:eastAsia="zh-CN"/>
        </w:rPr>
        <w:t>，</w:t>
      </w:r>
      <w:r>
        <w:rPr>
          <w:rFonts w:hint="eastAsia" w:ascii="方正仿宋_GBK" w:hAnsi="宋体" w:eastAsia="方正仿宋_GBK" w:cs="宋体"/>
          <w:color w:val="auto"/>
          <w:kern w:val="0"/>
          <w:sz w:val="24"/>
          <w:szCs w:val="24"/>
          <w:highlight w:val="none"/>
        </w:rPr>
        <w:t>各</w:t>
      </w:r>
      <w:r>
        <w:rPr>
          <w:rFonts w:hint="eastAsia" w:ascii="方正仿宋_GBK" w:hAnsi="宋体" w:eastAsia="方正仿宋_GBK" w:cs="宋体"/>
          <w:color w:val="auto"/>
          <w:kern w:val="0"/>
          <w:sz w:val="24"/>
          <w:szCs w:val="24"/>
          <w:highlight w:val="none"/>
          <w:lang w:eastAsia="zh-CN"/>
        </w:rPr>
        <w:t>投标人</w:t>
      </w:r>
      <w:r>
        <w:rPr>
          <w:rFonts w:hint="eastAsia" w:ascii="方正仿宋_GBK" w:hAnsi="宋体" w:eastAsia="方正仿宋_GBK" w:cs="宋体"/>
          <w:color w:val="auto"/>
          <w:kern w:val="0"/>
          <w:sz w:val="24"/>
          <w:szCs w:val="24"/>
          <w:highlight w:val="none"/>
        </w:rPr>
        <w:t>须结合自身情况及市场行情合理报价，不予增加任何费用。</w:t>
      </w:r>
      <w:r>
        <w:rPr>
          <w:rFonts w:hint="eastAsia" w:ascii="方正仿宋_GBK" w:hAnsi="宋体" w:eastAsia="方正仿宋_GBK" w:cs="宋体"/>
          <w:kern w:val="0"/>
          <w:sz w:val="24"/>
          <w:szCs w:val="24"/>
          <w:highlight w:val="none"/>
          <w:u w:val="none" w:color="auto"/>
        </w:rPr>
        <w:t>因</w:t>
      </w:r>
      <w:r>
        <w:rPr>
          <w:rFonts w:hint="eastAsia" w:ascii="方正仿宋_GBK" w:hAnsi="宋体" w:eastAsia="方正仿宋_GBK" w:cs="宋体"/>
          <w:kern w:val="0"/>
          <w:sz w:val="24"/>
          <w:szCs w:val="24"/>
          <w:highlight w:val="none"/>
          <w:u w:val="none" w:color="auto"/>
          <w:lang w:eastAsia="zh-CN"/>
        </w:rPr>
        <w:t>投标人</w:t>
      </w:r>
      <w:r>
        <w:rPr>
          <w:rFonts w:hint="eastAsia" w:ascii="方正仿宋_GBK" w:hAnsi="宋体" w:eastAsia="方正仿宋_GBK" w:cs="宋体"/>
          <w:kern w:val="0"/>
          <w:sz w:val="24"/>
          <w:szCs w:val="24"/>
          <w:highlight w:val="none"/>
          <w:u w:val="none" w:color="auto"/>
        </w:rPr>
        <w:t>自身原因造成漏报、少报皆由其自行承担责任，采购人不再补偿。</w:t>
      </w:r>
    </w:p>
    <w:p>
      <w:pPr>
        <w:pStyle w:val="4"/>
        <w:spacing w:line="400" w:lineRule="exact"/>
        <w:ind w:firstLine="482" w:firstLineChars="200"/>
        <w:rPr>
          <w:rFonts w:hint="eastAsia" w:ascii="方正仿宋_GBK" w:eastAsia="方正仿宋_GBK"/>
          <w:b/>
          <w:sz w:val="24"/>
          <w:szCs w:val="24"/>
          <w:highlight w:val="none"/>
          <w:u w:val="none" w:color="auto"/>
        </w:rPr>
      </w:pPr>
      <w:bookmarkStart w:id="237" w:name="_Toc3465"/>
      <w:bookmarkStart w:id="238" w:name="_Toc2244"/>
      <w:bookmarkStart w:id="239" w:name="_Toc32313"/>
      <w:bookmarkStart w:id="240" w:name="_Toc106030387"/>
      <w:bookmarkStart w:id="241" w:name="_Toc145"/>
      <w:bookmarkStart w:id="242" w:name="_Toc4252"/>
      <w:bookmarkStart w:id="243" w:name="_Toc4774"/>
      <w:bookmarkStart w:id="244" w:name="_Toc7976"/>
      <w:bookmarkStart w:id="245" w:name="_Toc17137"/>
      <w:bookmarkStart w:id="246" w:name="_Toc15096"/>
      <w:bookmarkStart w:id="247" w:name="_Toc14177"/>
      <w:bookmarkStart w:id="248" w:name="_Toc23903"/>
      <w:bookmarkStart w:id="249" w:name="_Toc75793511"/>
      <w:bookmarkStart w:id="250" w:name="_Toc2821"/>
      <w:bookmarkStart w:id="251" w:name="_Toc16693"/>
      <w:bookmarkStart w:id="252" w:name="_Toc15677"/>
      <w:bookmarkStart w:id="253" w:name="_Toc20887"/>
      <w:bookmarkStart w:id="254" w:name="_Toc27382"/>
      <w:bookmarkStart w:id="255" w:name="_Toc1527330255"/>
      <w:bookmarkStart w:id="256" w:name="_Toc1450"/>
      <w:r>
        <w:rPr>
          <w:rFonts w:hint="eastAsia" w:ascii="方正仿宋_GBK" w:eastAsia="方正仿宋_GBK"/>
          <w:b/>
          <w:sz w:val="24"/>
          <w:szCs w:val="24"/>
          <w:highlight w:val="none"/>
          <w:u w:val="none" w:color="auto"/>
        </w:rPr>
        <w:t>三、质量保证</w:t>
      </w:r>
      <w:r>
        <w:rPr>
          <w:rFonts w:hint="eastAsia" w:ascii="方正仿宋_GBK" w:eastAsia="方正仿宋_GBK"/>
          <w:b/>
          <w:sz w:val="24"/>
          <w:szCs w:val="24"/>
          <w:highlight w:val="none"/>
          <w:u w:val="none" w:color="auto"/>
          <w:lang w:eastAsia="zh-CN"/>
        </w:rPr>
        <w:t>期</w:t>
      </w:r>
      <w:r>
        <w:rPr>
          <w:rFonts w:hint="eastAsia" w:ascii="方正仿宋_GBK" w:eastAsia="方正仿宋_GBK"/>
          <w:b/>
          <w:sz w:val="24"/>
          <w:szCs w:val="24"/>
          <w:highlight w:val="none"/>
          <w:u w:val="none" w:color="auto"/>
        </w:rPr>
        <w:t>及售后服务</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lang w:eastAsia="zh-CN"/>
        </w:rPr>
      </w:pPr>
      <w:r>
        <w:rPr>
          <w:rFonts w:hint="eastAsia" w:ascii="方正仿宋_GBK" w:hAnsi="宋体" w:eastAsia="方正仿宋_GBK" w:cs="宋体"/>
          <w:kern w:val="0"/>
          <w:sz w:val="24"/>
          <w:szCs w:val="24"/>
          <w:highlight w:val="none"/>
          <w:u w:val="none" w:color="auto"/>
        </w:rPr>
        <w:t>（一）产品质量保证</w:t>
      </w:r>
      <w:r>
        <w:rPr>
          <w:rFonts w:hint="eastAsia" w:ascii="方正仿宋_GBK" w:hAnsi="宋体" w:eastAsia="方正仿宋_GBK" w:cs="宋体"/>
          <w:kern w:val="0"/>
          <w:sz w:val="24"/>
          <w:szCs w:val="24"/>
          <w:highlight w:val="none"/>
          <w:u w:val="none" w:color="auto"/>
          <w:lang w:eastAsia="zh-CN"/>
        </w:rPr>
        <w:t>期</w:t>
      </w:r>
      <w:r>
        <w:rPr>
          <w:rFonts w:hint="eastAsia"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lang w:eastAsia="zh-CN"/>
        </w:rPr>
        <w:t>按碎石、石粉、机制砂、水洗砂、江沙（特细）国家相关规定。</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lang w:eastAsia="zh-CN"/>
        </w:rPr>
      </w:pPr>
      <w:r>
        <w:rPr>
          <w:rFonts w:hint="eastAsia" w:ascii="方正仿宋_GBK" w:hAnsi="宋体" w:eastAsia="方正仿宋_GBK" w:cs="宋体"/>
          <w:kern w:val="0"/>
          <w:sz w:val="24"/>
          <w:szCs w:val="24"/>
          <w:highlight w:val="none"/>
          <w:u w:val="none" w:color="auto"/>
        </w:rPr>
        <w:t>（二）售后服务</w:t>
      </w:r>
      <w:r>
        <w:rPr>
          <w:rFonts w:hint="eastAsia" w:ascii="方正仿宋_GBK" w:hAnsi="宋体" w:eastAsia="方正仿宋_GBK" w:cs="宋体"/>
          <w:kern w:val="0"/>
          <w:sz w:val="24"/>
          <w:szCs w:val="24"/>
          <w:highlight w:val="none"/>
          <w:u w:val="none" w:color="auto"/>
          <w:lang w:eastAsia="zh-CN"/>
        </w:rPr>
        <w:t>：</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（一）转包或分包</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1.本合同范围的货物，应由乙方直接供应，不得转让给第三方供应；</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2.非经甲方书面同意，乙方不得将本合同范围的货物全部或部分，分包给其他第三方供应；</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3.如有转让和未经甲方同意的分包行为，甲方有权解除合同，并且不予退还履约保证金并追究乙方的违约责任。</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（二）乙方应按合同规定的货物性能、技术要求、质量标准向甲方提供未经使用的全新产品。</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（三）乙方提供的货物在质保期内因货物本身的质量问题发生故障乙方应负责免费更换。对达不到技术要求者，根据实际情况，经双方协商，可按以下办法处理：</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1.更换：由乙方承担所发生的全部费用。</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2.贬值处理：由甲乙双方合议定价。</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3.退货处理：已支付货款的乙方应退还甲方支付的合同款同时应承担该货物的直接费用(检验、货款利息及银行手续费等)。</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（四）乙方应对货物出现的质量及安全问题负责处理解决并承担一切费用。</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（五）乙方运输货物车辆到达甲方之后必须听从甲方相关人员的指挥。</w:t>
      </w:r>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（六）乙方应随货物提供合格证和质量证明文件</w:t>
      </w:r>
    </w:p>
    <w:p>
      <w:pPr>
        <w:pStyle w:val="4"/>
        <w:spacing w:line="400" w:lineRule="exact"/>
        <w:ind w:firstLine="482" w:firstLineChars="200"/>
        <w:rPr>
          <w:rFonts w:hint="eastAsia" w:ascii="方正仿宋_GBK" w:eastAsia="方正仿宋_GBK"/>
          <w:b/>
          <w:sz w:val="24"/>
          <w:szCs w:val="24"/>
          <w:highlight w:val="none"/>
          <w:u w:val="none" w:color="auto"/>
        </w:rPr>
      </w:pPr>
      <w:bookmarkStart w:id="257" w:name="_Toc267320051"/>
      <w:bookmarkStart w:id="258" w:name="_Toc19350"/>
      <w:bookmarkStart w:id="259" w:name="_Toc29286"/>
      <w:bookmarkStart w:id="260" w:name="_Toc25932"/>
      <w:bookmarkStart w:id="261" w:name="_Toc1008"/>
      <w:bookmarkStart w:id="262" w:name="_Toc1090455567"/>
      <w:bookmarkStart w:id="263" w:name="_Toc12285"/>
      <w:bookmarkStart w:id="264" w:name="_Toc75793512"/>
      <w:bookmarkStart w:id="265" w:name="_Toc32722"/>
      <w:bookmarkStart w:id="266" w:name="_Toc18007"/>
      <w:bookmarkStart w:id="267" w:name="_Toc25745"/>
      <w:bookmarkStart w:id="268" w:name="_Toc30442"/>
      <w:bookmarkStart w:id="269" w:name="_Toc20186"/>
      <w:bookmarkStart w:id="270" w:name="_Toc8955"/>
      <w:bookmarkStart w:id="271" w:name="_Toc106030388"/>
      <w:bookmarkStart w:id="272" w:name="_Toc5174"/>
      <w:bookmarkStart w:id="273" w:name="_Toc25552"/>
      <w:bookmarkStart w:id="274" w:name="_Toc21888"/>
      <w:bookmarkStart w:id="275" w:name="_Toc22695"/>
      <w:bookmarkStart w:id="276" w:name="_Toc9543"/>
      <w:bookmarkStart w:id="277" w:name="_Toc21413"/>
      <w:r>
        <w:rPr>
          <w:rFonts w:hint="eastAsia" w:ascii="方正仿宋_GBK" w:eastAsia="方正仿宋_GBK"/>
          <w:b/>
          <w:sz w:val="24"/>
          <w:szCs w:val="24"/>
          <w:highlight w:val="none"/>
          <w:u w:val="none" w:color="auto"/>
        </w:rPr>
        <w:t>四、付款</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pPr>
        <w:snapToGrid w:val="0"/>
        <w:spacing w:line="400" w:lineRule="exact"/>
        <w:ind w:firstLine="480" w:firstLineChars="200"/>
        <w:rPr>
          <w:rFonts w:hint="eastAsia" w:ascii="方正仿宋_GBK" w:hAnsi="宋体" w:eastAsia="方正仿宋_GBK" w:cs="宋体"/>
          <w:color w:val="auto"/>
          <w:kern w:val="0"/>
          <w:sz w:val="24"/>
          <w:szCs w:val="24"/>
          <w:highlight w:val="none"/>
          <w:lang w:val="en-US" w:eastAsia="zh-CN" w:bidi="ar-SA"/>
        </w:rPr>
      </w:pPr>
      <w:bookmarkStart w:id="278" w:name="_Toc28056"/>
      <w:bookmarkStart w:id="279" w:name="_Toc24739"/>
      <w:bookmarkStart w:id="280" w:name="_Toc6116"/>
      <w:bookmarkStart w:id="281" w:name="_Toc9213"/>
      <w:bookmarkStart w:id="282" w:name="_Toc18959"/>
      <w:bookmarkStart w:id="283" w:name="_Toc267320052"/>
      <w:bookmarkStart w:id="284" w:name="_Toc11399"/>
      <w:bookmarkStart w:id="285" w:name="_Toc25410"/>
      <w:bookmarkStart w:id="286" w:name="_Toc106030389"/>
      <w:bookmarkStart w:id="287" w:name="_Toc22431"/>
      <w:bookmarkStart w:id="288" w:name="_Toc75793513"/>
      <w:bookmarkStart w:id="289" w:name="_Toc27144"/>
      <w:bookmarkStart w:id="290" w:name="_Toc14333"/>
      <w:bookmarkStart w:id="291" w:name="_Toc11060"/>
      <w:bookmarkStart w:id="292" w:name="_Toc4339"/>
      <w:bookmarkStart w:id="293" w:name="_Toc4897"/>
      <w:bookmarkStart w:id="294" w:name="_Toc20369"/>
      <w:bookmarkStart w:id="295" w:name="_Toc3311"/>
      <w:bookmarkStart w:id="296" w:name="_Toc10105"/>
      <w:bookmarkStart w:id="297" w:name="_Toc3565"/>
      <w:r>
        <w:rPr>
          <w:rFonts w:hint="eastAsia" w:ascii="方正仿宋_GBK" w:hAnsi="宋体" w:eastAsia="方正仿宋_GBK" w:cs="宋体"/>
          <w:color w:val="auto"/>
          <w:kern w:val="0"/>
          <w:sz w:val="24"/>
          <w:szCs w:val="24"/>
          <w:highlight w:val="none"/>
          <w:lang w:val="en-US" w:eastAsia="zh-CN" w:bidi="ar-SA"/>
        </w:rPr>
        <w:t>1、月结，成交供应商向采购人开具增值税专用发票，账期3个月，采购人第4个月凭增值税专用发票以转账方式向成交供应商支付第1个月货款，以此类推。合同期限为壹年，若合同期限满一年或供货金额达到总金额合同立即终止，数量据实结算。</w:t>
      </w:r>
    </w:p>
    <w:p>
      <w:pPr>
        <w:snapToGrid w:val="0"/>
        <w:spacing w:line="400" w:lineRule="exact"/>
        <w:ind w:firstLine="480" w:firstLineChars="200"/>
        <w:rPr>
          <w:rFonts w:hint="default"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2.</w:t>
      </w:r>
      <w:bookmarkStart w:id="298" w:name="OLE_LINK4"/>
      <w:bookmarkStart w:id="299" w:name="OLE_LINK3"/>
      <w:r>
        <w:rPr>
          <w:rFonts w:hint="eastAsia" w:ascii="方正仿宋_GBK" w:hAnsi="宋体" w:eastAsia="方正仿宋_GBK" w:cs="宋体"/>
          <w:color w:val="auto"/>
          <w:kern w:val="0"/>
          <w:sz w:val="24"/>
          <w:szCs w:val="24"/>
          <w:highlight w:val="none"/>
        </w:rPr>
        <w:t>合同签订时中标人向采购人缴纳合同金额10%的履约保证金（以支票、汇票、本票或者金融机构、担保机构出具的保函等非现金形式提交</w:t>
      </w:r>
      <w:bookmarkEnd w:id="298"/>
      <w:bookmarkEnd w:id="299"/>
      <w:r>
        <w:rPr>
          <w:rFonts w:hint="eastAsia" w:ascii="方正仿宋_GBK" w:hAnsi="宋体" w:eastAsia="方正仿宋_GBK" w:cs="宋体"/>
          <w:color w:val="auto"/>
          <w:kern w:val="0"/>
          <w:sz w:val="24"/>
          <w:szCs w:val="24"/>
          <w:highlight w:val="none"/>
        </w:rPr>
        <w:t>。）；供货完毕后在30日内一次性无息退还。</w:t>
      </w:r>
    </w:p>
    <w:p>
      <w:pPr>
        <w:pStyle w:val="4"/>
        <w:spacing w:line="400" w:lineRule="exact"/>
        <w:ind w:firstLine="482" w:firstLineChars="200"/>
        <w:rPr>
          <w:rFonts w:hint="eastAsia" w:ascii="方正仿宋_GBK" w:eastAsia="方正仿宋_GBK"/>
          <w:b/>
          <w:sz w:val="24"/>
          <w:szCs w:val="24"/>
          <w:highlight w:val="none"/>
          <w:u w:val="none" w:color="auto"/>
        </w:rPr>
      </w:pPr>
      <w:bookmarkStart w:id="300" w:name="_Toc578124353"/>
      <w:r>
        <w:rPr>
          <w:rFonts w:hint="eastAsia" w:ascii="方正仿宋_GBK" w:eastAsia="方正仿宋_GBK"/>
          <w:b/>
          <w:sz w:val="24"/>
          <w:szCs w:val="24"/>
          <w:highlight w:val="none"/>
          <w:u w:val="none" w:color="auto"/>
        </w:rPr>
        <w:t>五、知识产权</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300"/>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采购人在中华人民共和国境内使用投标人提供的货物及服务时免受第三方提出的侵犯其专利权或其它知识产权的起诉。如果第三方提出侵权指控，中标人应承担由此而引起的一切法律责任和费用。</w:t>
      </w:r>
    </w:p>
    <w:p>
      <w:pPr>
        <w:pStyle w:val="4"/>
        <w:spacing w:line="400" w:lineRule="exact"/>
        <w:ind w:firstLine="482" w:firstLineChars="200"/>
        <w:rPr>
          <w:rFonts w:hint="eastAsia" w:ascii="方正仿宋_GBK" w:eastAsia="方正仿宋_GBK"/>
          <w:b/>
          <w:sz w:val="24"/>
          <w:szCs w:val="24"/>
          <w:highlight w:val="none"/>
          <w:u w:val="none" w:color="auto"/>
        </w:rPr>
      </w:pPr>
      <w:bookmarkStart w:id="301" w:name="_Toc29615"/>
      <w:bookmarkStart w:id="302" w:name="_Toc813588820"/>
      <w:bookmarkStart w:id="303" w:name="_Toc25464"/>
      <w:bookmarkStart w:id="304" w:name="_Toc714"/>
      <w:bookmarkStart w:id="305" w:name="_Toc26926"/>
      <w:bookmarkStart w:id="306" w:name="_Toc75793514"/>
      <w:bookmarkStart w:id="307" w:name="_Toc15109"/>
      <w:bookmarkStart w:id="308" w:name="_Toc31803"/>
      <w:bookmarkStart w:id="309" w:name="_Toc1026"/>
      <w:bookmarkStart w:id="310" w:name="_Toc106030390"/>
      <w:bookmarkStart w:id="311" w:name="_Toc27637"/>
      <w:bookmarkStart w:id="312" w:name="_Toc3404"/>
      <w:bookmarkStart w:id="313" w:name="_Toc1949"/>
      <w:bookmarkStart w:id="314" w:name="_Toc15548"/>
      <w:bookmarkStart w:id="315" w:name="_Toc14096"/>
      <w:bookmarkStart w:id="316" w:name="_Toc267320053"/>
      <w:bookmarkStart w:id="317" w:name="_Toc29618"/>
      <w:bookmarkStart w:id="318" w:name="_Toc7629"/>
      <w:bookmarkStart w:id="319" w:name="_Toc4784"/>
      <w:bookmarkStart w:id="320" w:name="_Toc19948"/>
      <w:bookmarkStart w:id="321" w:name="_Toc15159"/>
      <w:r>
        <w:rPr>
          <w:rFonts w:hint="eastAsia" w:ascii="方正仿宋_GBK" w:eastAsia="方正仿宋_GBK"/>
          <w:b/>
          <w:sz w:val="24"/>
          <w:szCs w:val="24"/>
          <w:highlight w:val="none"/>
          <w:u w:val="none" w:color="auto"/>
        </w:rPr>
        <w:t>六、培训</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投标人对其提供产品的使用和操作应尽培训义务。</w:t>
      </w:r>
      <w:r>
        <w:rPr>
          <w:rFonts w:hint="eastAsia" w:ascii="方正仿宋_GBK" w:hAnsi="宋体" w:eastAsia="方正仿宋_GBK" w:cs="宋体"/>
          <w:kern w:val="0"/>
          <w:sz w:val="24"/>
          <w:szCs w:val="24"/>
          <w:highlight w:val="none"/>
          <w:u w:val="none" w:color="auto"/>
          <w:lang w:eastAsia="zh-CN"/>
        </w:rPr>
        <w:t>成交供应商</w:t>
      </w:r>
      <w:r>
        <w:rPr>
          <w:rFonts w:hint="eastAsia" w:ascii="方正仿宋_GBK" w:hAnsi="宋体" w:eastAsia="方正仿宋_GBK" w:cs="宋体"/>
          <w:kern w:val="0"/>
          <w:sz w:val="24"/>
          <w:szCs w:val="24"/>
          <w:highlight w:val="none"/>
          <w:u w:val="none" w:color="auto"/>
        </w:rPr>
        <w:t>应提供对采购人的各操作人员进行免费培训，直到使用者能独立熟练操作为止。</w:t>
      </w:r>
      <w:bookmarkStart w:id="322" w:name="_Toc32453"/>
    </w:p>
    <w:p>
      <w:pPr>
        <w:pStyle w:val="3"/>
        <w:spacing w:before="0" w:beforeLines="0" w:after="0" w:afterLines="0" w:line="240" w:lineRule="auto"/>
        <w:rPr>
          <w:rFonts w:hint="eastAsia" w:ascii="方正仿宋_GBK" w:eastAsia="方正仿宋_GBK"/>
          <w:b/>
          <w:highlight w:val="none"/>
          <w:u w:val="none" w:color="auto"/>
        </w:rPr>
      </w:pPr>
      <w:r>
        <w:rPr>
          <w:rFonts w:hint="eastAsia" w:ascii="方正仿宋_GBK" w:hAnsi="宋体" w:eastAsia="方正仿宋_GBK"/>
          <w:sz w:val="24"/>
          <w:szCs w:val="28"/>
          <w:highlight w:val="none"/>
          <w:u w:val="none" w:color="auto"/>
        </w:rPr>
        <w:br w:type="page"/>
      </w:r>
      <w:bookmarkStart w:id="323" w:name="_Toc16278"/>
      <w:bookmarkStart w:id="324" w:name="_Toc8133"/>
      <w:bookmarkStart w:id="325" w:name="_Toc3339"/>
      <w:bookmarkStart w:id="326" w:name="_Toc106030393"/>
      <w:bookmarkStart w:id="327" w:name="_Toc30067"/>
      <w:bookmarkStart w:id="328" w:name="_Toc24966"/>
      <w:bookmarkStart w:id="329" w:name="_Toc22763"/>
      <w:bookmarkStart w:id="330" w:name="_Toc101913182"/>
      <w:bookmarkStart w:id="331" w:name="_Toc23377"/>
      <w:bookmarkStart w:id="332" w:name="_Toc25911"/>
      <w:bookmarkStart w:id="333" w:name="_Toc22420"/>
      <w:bookmarkStart w:id="334" w:name="_Toc2406"/>
      <w:bookmarkStart w:id="335" w:name="_Toc11875"/>
      <w:bookmarkStart w:id="336" w:name="_Toc15693"/>
      <w:bookmarkStart w:id="337" w:name="_Toc2487"/>
      <w:bookmarkStart w:id="338" w:name="_Toc8488"/>
      <w:bookmarkStart w:id="339" w:name="_Toc75793517"/>
      <w:bookmarkStart w:id="340" w:name="_Toc25165"/>
      <w:bookmarkStart w:id="341" w:name="_Toc25903"/>
      <w:r>
        <w:rPr>
          <w:rFonts w:hint="eastAsia" w:ascii="方正仿宋_GBK" w:eastAsia="方正仿宋_GBK"/>
          <w:b/>
          <w:highlight w:val="none"/>
          <w:u w:val="none" w:color="auto"/>
        </w:rPr>
        <w:t>第四篇  资格审查及评标办法</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4"/>
        <w:spacing w:line="400" w:lineRule="exact"/>
        <w:ind w:firstLine="482" w:firstLineChars="200"/>
        <w:rPr>
          <w:rFonts w:hint="eastAsia" w:ascii="方正仿宋_GBK" w:eastAsia="方正仿宋_GBK"/>
          <w:b/>
          <w:sz w:val="24"/>
          <w:szCs w:val="24"/>
          <w:highlight w:val="none"/>
          <w:u w:val="none" w:color="auto"/>
        </w:rPr>
      </w:pPr>
      <w:bookmarkStart w:id="342" w:name="_Toc1497"/>
      <w:bookmarkStart w:id="343" w:name="_Toc28903"/>
      <w:bookmarkStart w:id="344" w:name="_Toc29755"/>
      <w:bookmarkStart w:id="345" w:name="_Toc25971"/>
      <w:bookmarkStart w:id="346" w:name="_Toc12641"/>
      <w:bookmarkStart w:id="347" w:name="_Toc8983"/>
      <w:bookmarkStart w:id="348" w:name="_Toc75793518"/>
      <w:bookmarkStart w:id="349" w:name="_Toc28360"/>
      <w:bookmarkStart w:id="350" w:name="_Toc27081"/>
      <w:bookmarkStart w:id="351" w:name="_Toc21859"/>
      <w:bookmarkStart w:id="352" w:name="_Toc14564"/>
      <w:bookmarkStart w:id="353" w:name="_Toc26309"/>
      <w:bookmarkStart w:id="354" w:name="_Toc20541"/>
      <w:bookmarkStart w:id="355" w:name="_Toc23973"/>
      <w:bookmarkStart w:id="356" w:name="_Toc4071"/>
      <w:bookmarkStart w:id="357" w:name="_Toc29973"/>
      <w:bookmarkStart w:id="358" w:name="_Toc353494948"/>
      <w:bookmarkStart w:id="359" w:name="_Toc29"/>
      <w:bookmarkStart w:id="360" w:name="_Toc766"/>
      <w:bookmarkStart w:id="361" w:name="_Toc106030394"/>
      <w:r>
        <w:rPr>
          <w:rFonts w:hint="eastAsia" w:ascii="方正仿宋_GBK" w:eastAsia="方正仿宋_GBK"/>
          <w:b/>
          <w:sz w:val="24"/>
          <w:szCs w:val="24"/>
          <w:highlight w:val="none"/>
          <w:u w:val="none" w:color="auto"/>
        </w:rPr>
        <w:t>一、资格审查</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r>
        <w:rPr>
          <w:rFonts w:hint="eastAsia" w:ascii="方正仿宋_GBK" w:eastAsia="方正仿宋_GBK"/>
          <w:b/>
          <w:sz w:val="24"/>
          <w:szCs w:val="24"/>
          <w:highlight w:val="none"/>
          <w:u w:val="none" w:color="auto"/>
        </w:rPr>
        <w:t>及</w:t>
      </w:r>
      <w:r>
        <w:rPr>
          <w:rFonts w:ascii="方正仿宋_GBK" w:eastAsia="方正仿宋_GBK"/>
          <w:b/>
          <w:sz w:val="24"/>
          <w:szCs w:val="24"/>
          <w:highlight w:val="none"/>
          <w:u w:val="none" w:color="auto"/>
        </w:rPr>
        <w:t>符合性审查</w:t>
      </w:r>
      <w:bookmarkEnd w:id="357"/>
      <w:bookmarkEnd w:id="358"/>
      <w:bookmarkEnd w:id="359"/>
      <w:bookmarkEnd w:id="360"/>
      <w:bookmarkEnd w:id="361"/>
    </w:p>
    <w:p>
      <w:pPr>
        <w:snapToGrid w:val="0"/>
        <w:spacing w:line="400" w:lineRule="exact"/>
        <w:ind w:firstLine="482" w:firstLineChars="200"/>
        <w:rPr>
          <w:rFonts w:hint="eastAsia" w:ascii="方正仿宋_GBK" w:eastAsia="方正仿宋_GBK"/>
          <w:b/>
          <w:color w:val="FF0000"/>
          <w:sz w:val="24"/>
          <w:szCs w:val="24"/>
          <w:highlight w:val="none"/>
          <w:u w:val="none" w:color="auto"/>
        </w:rPr>
      </w:pPr>
      <w:r>
        <w:rPr>
          <w:rFonts w:hint="eastAsia" w:ascii="方正仿宋_GBK" w:eastAsia="方正仿宋_GBK"/>
          <w:b/>
          <w:color w:val="FF0000"/>
          <w:sz w:val="24"/>
          <w:szCs w:val="24"/>
          <w:highlight w:val="none"/>
          <w:u w:val="none" w:color="auto"/>
        </w:rPr>
        <w:t>若未</w:t>
      </w:r>
      <w:r>
        <w:rPr>
          <w:rFonts w:ascii="方正仿宋_GBK" w:eastAsia="方正仿宋_GBK"/>
          <w:b/>
          <w:color w:val="FF0000"/>
          <w:sz w:val="24"/>
          <w:szCs w:val="24"/>
          <w:highlight w:val="none"/>
          <w:u w:val="none" w:color="auto"/>
        </w:rPr>
        <w:t>通过</w:t>
      </w:r>
      <w:r>
        <w:rPr>
          <w:rFonts w:hint="eastAsia" w:ascii="方正仿宋_GBK" w:eastAsia="方正仿宋_GBK"/>
          <w:b/>
          <w:color w:val="FF0000"/>
          <w:sz w:val="24"/>
          <w:szCs w:val="24"/>
          <w:highlight w:val="none"/>
          <w:u w:val="none" w:color="auto"/>
        </w:rPr>
        <w:t>资格审查</w:t>
      </w:r>
      <w:r>
        <w:rPr>
          <w:rFonts w:ascii="方正仿宋_GBK" w:eastAsia="方正仿宋_GBK"/>
          <w:b/>
          <w:color w:val="FF0000"/>
          <w:sz w:val="24"/>
          <w:szCs w:val="24"/>
          <w:highlight w:val="none"/>
          <w:u w:val="none" w:color="auto"/>
        </w:rPr>
        <w:t>及符合性审查的投标文件，</w:t>
      </w:r>
      <w:r>
        <w:rPr>
          <w:rFonts w:hint="eastAsia" w:ascii="方正仿宋_GBK" w:eastAsia="方正仿宋_GBK"/>
          <w:b/>
          <w:color w:val="FF0000"/>
          <w:sz w:val="24"/>
          <w:szCs w:val="24"/>
          <w:highlight w:val="none"/>
          <w:u w:val="none" w:color="auto"/>
        </w:rPr>
        <w:t>不进入</w:t>
      </w:r>
      <w:r>
        <w:rPr>
          <w:rFonts w:ascii="方正仿宋_GBK" w:eastAsia="方正仿宋_GBK"/>
          <w:b/>
          <w:color w:val="FF0000"/>
          <w:sz w:val="24"/>
          <w:szCs w:val="24"/>
          <w:highlight w:val="none"/>
          <w:u w:val="none" w:color="auto"/>
        </w:rPr>
        <w:t>评审</w:t>
      </w:r>
      <w:r>
        <w:rPr>
          <w:rFonts w:hint="eastAsia" w:ascii="方正仿宋_GBK" w:eastAsia="方正仿宋_GBK"/>
          <w:b/>
          <w:color w:val="FF0000"/>
          <w:sz w:val="24"/>
          <w:szCs w:val="24"/>
          <w:highlight w:val="none"/>
          <w:u w:val="none" w:color="auto"/>
        </w:rPr>
        <w:t>环节</w:t>
      </w:r>
      <w:r>
        <w:rPr>
          <w:rFonts w:ascii="方正仿宋_GBK" w:eastAsia="方正仿宋_GBK"/>
          <w:b/>
          <w:color w:val="FF0000"/>
          <w:sz w:val="24"/>
          <w:szCs w:val="24"/>
          <w:highlight w:val="none"/>
          <w:u w:val="none" w:color="auto"/>
        </w:rPr>
        <w:t>。</w:t>
      </w:r>
    </w:p>
    <w:p>
      <w:pPr>
        <w:snapToGrid w:val="0"/>
        <w:spacing w:line="400" w:lineRule="exact"/>
        <w:ind w:firstLine="482" w:firstLineChars="200"/>
        <w:rPr>
          <w:rFonts w:ascii="方正仿宋_GBK" w:hAnsi="宋体" w:eastAsia="方正仿宋_GBK" w:cs="宋体"/>
          <w:kern w:val="0"/>
          <w:sz w:val="24"/>
          <w:szCs w:val="24"/>
          <w:highlight w:val="none"/>
          <w:u w:val="none" w:color="auto"/>
        </w:rPr>
      </w:pPr>
      <w:r>
        <w:rPr>
          <w:rFonts w:hint="eastAsia" w:ascii="方正仿宋_GBK" w:eastAsia="方正仿宋_GBK"/>
          <w:b/>
          <w:sz w:val="24"/>
          <w:szCs w:val="24"/>
          <w:highlight w:val="none"/>
          <w:u w:val="none" w:color="auto"/>
        </w:rPr>
        <w:t>（一）资格审查</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依据政府采购相关法律法规规定，由</w:t>
      </w:r>
      <w:r>
        <w:rPr>
          <w:rFonts w:hint="eastAsia" w:ascii="方正仿宋_GBK" w:hAnsi="宋体" w:eastAsia="方正仿宋_GBK" w:cs="宋体"/>
          <w:kern w:val="0"/>
          <w:sz w:val="24"/>
          <w:szCs w:val="24"/>
          <w:highlight w:val="none"/>
          <w:u w:val="none" w:color="auto"/>
          <w:lang w:eastAsia="zh-CN"/>
        </w:rPr>
        <w:t>评标委员会</w:t>
      </w:r>
      <w:r>
        <w:rPr>
          <w:rFonts w:hint="eastAsia" w:ascii="方正仿宋_GBK" w:hAnsi="宋体" w:eastAsia="方正仿宋_GBK" w:cs="宋体"/>
          <w:kern w:val="0"/>
          <w:sz w:val="24"/>
          <w:szCs w:val="24"/>
          <w:highlight w:val="none"/>
          <w:u w:val="none" w:color="auto"/>
        </w:rPr>
        <w:t>对</w:t>
      </w:r>
      <w:r>
        <w:rPr>
          <w:rFonts w:hint="eastAsia" w:ascii="方正仿宋_GBK" w:hAnsi="宋体" w:eastAsia="方正仿宋_GBK" w:cs="宋体"/>
          <w:kern w:val="0"/>
          <w:sz w:val="24"/>
          <w:szCs w:val="24"/>
          <w:highlight w:val="none"/>
          <w:u w:val="none" w:color="auto"/>
          <w:lang w:eastAsia="zh-CN"/>
        </w:rPr>
        <w:t>电子</w:t>
      </w:r>
      <w:r>
        <w:rPr>
          <w:rFonts w:hint="eastAsia" w:ascii="方正仿宋_GBK" w:hAnsi="宋体" w:eastAsia="方正仿宋_GBK" w:cs="宋体"/>
          <w:kern w:val="0"/>
          <w:sz w:val="24"/>
          <w:szCs w:val="24"/>
          <w:highlight w:val="none"/>
          <w:u w:val="none" w:color="auto"/>
        </w:rPr>
        <w:t>投标文件中的资格证明文件进行审查。资格审查资料表如下：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7" w:type="dxa"/>
            <w:noWrap w:val="0"/>
            <w:vAlign w:val="center"/>
          </w:tcPr>
          <w:p>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序号</w:t>
            </w:r>
          </w:p>
        </w:tc>
        <w:tc>
          <w:tcPr>
            <w:tcW w:w="3827" w:type="dxa"/>
            <w:gridSpan w:val="2"/>
            <w:noWrap w:val="0"/>
            <w:vAlign w:val="center"/>
          </w:tcPr>
          <w:p>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检查因素</w:t>
            </w:r>
          </w:p>
        </w:tc>
        <w:tc>
          <w:tcPr>
            <w:tcW w:w="4984" w:type="dxa"/>
            <w:noWrap w:val="0"/>
            <w:vAlign w:val="center"/>
          </w:tcPr>
          <w:p>
            <w:pPr>
              <w:jc w:val="center"/>
              <w:rPr>
                <w:rFonts w:hint="eastAsia" w:ascii="方正仿宋_GBK" w:hAnsi="仿宋" w:eastAsia="方正仿宋_GBK" w:cs="宋体"/>
                <w:b/>
                <w:kern w:val="0"/>
                <w:sz w:val="21"/>
                <w:szCs w:val="21"/>
                <w:highlight w:val="none"/>
                <w:u w:val="none" w:color="auto"/>
              </w:rPr>
            </w:pPr>
            <w:r>
              <w:rPr>
                <w:rFonts w:hint="eastAsia" w:ascii="方正仿宋_GBK" w:hAnsi="仿宋" w:eastAsia="方正仿宋_GBK" w:cs="宋体"/>
                <w:b/>
                <w:kern w:val="0"/>
                <w:sz w:val="21"/>
                <w:szCs w:val="21"/>
                <w:highlight w:val="none"/>
                <w:u w:val="none" w:color="auto"/>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restart"/>
            <w:noWrap w:val="0"/>
            <w:vAlign w:val="center"/>
          </w:tcPr>
          <w:p>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（一）</w:t>
            </w:r>
          </w:p>
        </w:tc>
        <w:tc>
          <w:tcPr>
            <w:tcW w:w="709" w:type="dxa"/>
            <w:vMerge w:val="restart"/>
            <w:noWrap w:val="0"/>
            <w:vAlign w:val="center"/>
          </w:tcPr>
          <w:p>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《中华人民共和国政府采购法》第二十二条规定</w:t>
            </w:r>
          </w:p>
        </w:tc>
        <w:tc>
          <w:tcPr>
            <w:tcW w:w="3118"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1.具有独立承担民事责任的能力</w:t>
            </w:r>
          </w:p>
        </w:tc>
        <w:tc>
          <w:tcPr>
            <w:tcW w:w="4984"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 xml:space="preserve">1.投标人法人营业执照（副本）或事业单位法人证书（副本）或个体工商户营业执照或有效的自然人身份证明或社会团体法人登记证书（提供复印件）。 </w:t>
            </w:r>
          </w:p>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2.投标人法定代表人身份证明和法定代表人授权代表委托书。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cs="仿宋_GB2312"/>
                <w:sz w:val="21"/>
                <w:szCs w:val="21"/>
                <w:highlight w:val="none"/>
                <w:u w:val="none" w:color="auto"/>
                <w:lang w:val="zh-CN"/>
              </w:rPr>
              <w:t>2.</w:t>
            </w:r>
            <w:r>
              <w:rPr>
                <w:rFonts w:hint="eastAsia" w:ascii="方正仿宋_GBK" w:hAnsi="仿宋" w:eastAsia="方正仿宋_GBK"/>
                <w:sz w:val="21"/>
                <w:szCs w:val="21"/>
                <w:highlight w:val="none"/>
                <w:u w:val="none" w:color="auto"/>
              </w:rPr>
              <w:t>具有良好的商业信誉和健全的财务会计制度</w:t>
            </w:r>
          </w:p>
        </w:tc>
        <w:tc>
          <w:tcPr>
            <w:tcW w:w="4984" w:type="dxa"/>
            <w:vMerge w:val="restart"/>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投标人提供“基本资格条件承诺函”（格式详见第七篇）</w:t>
            </w:r>
          </w:p>
          <w:p>
            <w:pPr>
              <w:rPr>
                <w:rFonts w:hint="eastAsia" w:ascii="方正仿宋_GBK" w:hAnsi="仿宋" w:eastAsia="方正仿宋_GBK"/>
                <w:b/>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3.具有履行合同所必需的设备和专业技术能力</w:t>
            </w:r>
          </w:p>
        </w:tc>
        <w:tc>
          <w:tcPr>
            <w:tcW w:w="4984" w:type="dxa"/>
            <w:vMerge w:val="continue"/>
            <w:noWrap w:val="0"/>
            <w:vAlign w:val="center"/>
          </w:tcPr>
          <w:p>
            <w:pP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cs="仿宋_GB2312"/>
                <w:sz w:val="21"/>
                <w:szCs w:val="21"/>
                <w:highlight w:val="none"/>
                <w:u w:val="none" w:color="auto"/>
                <w:lang w:val="zh-CN"/>
              </w:rPr>
              <w:t>4.有依法缴纳税收和社会保障金的良好记录</w:t>
            </w:r>
          </w:p>
        </w:tc>
        <w:tc>
          <w:tcPr>
            <w:tcW w:w="4984" w:type="dxa"/>
            <w:vMerge w:val="continue"/>
            <w:noWrap w:val="0"/>
            <w:vAlign w:val="center"/>
          </w:tcPr>
          <w:p>
            <w:pP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pPr>
              <w:rPr>
                <w:rFonts w:hint="eastAsia" w:ascii="方正仿宋_GBK" w:hAnsi="仿宋" w:eastAsia="方正仿宋_GBK" w:cs="仿宋_GB2312"/>
                <w:sz w:val="21"/>
                <w:szCs w:val="21"/>
                <w:highlight w:val="none"/>
                <w:u w:val="none" w:color="auto"/>
                <w:lang w:val="zh-CN"/>
              </w:rPr>
            </w:pPr>
          </w:p>
        </w:tc>
        <w:tc>
          <w:tcPr>
            <w:tcW w:w="3118" w:type="dxa"/>
            <w:noWrap w:val="0"/>
            <w:vAlign w:val="center"/>
          </w:tcPr>
          <w:p>
            <w:pPr>
              <w:rPr>
                <w:rFonts w:hint="eastAsia" w:ascii="方正仿宋_GBK" w:hAnsi="仿宋" w:eastAsia="方正仿宋_GBK" w:cs="仿宋_GB2312"/>
                <w:sz w:val="21"/>
                <w:szCs w:val="21"/>
                <w:highlight w:val="none"/>
                <w:u w:val="none" w:color="auto"/>
                <w:lang w:val="zh-CN"/>
              </w:rPr>
            </w:pPr>
            <w:r>
              <w:rPr>
                <w:rFonts w:hint="eastAsia" w:ascii="方正仿宋_GBK" w:hAnsi="仿宋" w:eastAsia="方正仿宋_GBK"/>
                <w:sz w:val="21"/>
                <w:szCs w:val="21"/>
                <w:highlight w:val="none"/>
                <w:u w:val="none" w:color="auto"/>
              </w:rPr>
              <w:t>5.参加政府采购活动前三年内，在经营活动中没有重大违法记录（注</w:t>
            </w:r>
            <w:r>
              <w:rPr>
                <w:rFonts w:hint="eastAsia" w:ascii="方正仿宋_GBK" w:hAnsi="仿宋" w:eastAsia="方正仿宋_GBK"/>
                <w:sz w:val="21"/>
                <w:szCs w:val="21"/>
                <w:highlight w:val="none"/>
                <w:u w:val="none" w:color="auto"/>
              </w:rPr>
              <w:fldChar w:fldCharType="begin"/>
            </w:r>
            <w:r>
              <w:rPr>
                <w:rFonts w:hint="eastAsia" w:ascii="方正仿宋_GBK" w:hAnsi="仿宋" w:eastAsia="方正仿宋_GBK"/>
                <w:sz w:val="21"/>
                <w:szCs w:val="21"/>
                <w:highlight w:val="none"/>
                <w:u w:val="none" w:color="auto"/>
              </w:rPr>
              <w:instrText xml:space="preserve"> EQ \o\ac(○,</w:instrText>
            </w:r>
            <w:r>
              <w:rPr>
                <w:rFonts w:hint="eastAsia" w:ascii="方正仿宋_GBK" w:hAnsi="仿宋" w:eastAsia="方正仿宋_GBK"/>
                <w:position w:val="2"/>
                <w:sz w:val="14"/>
                <w:szCs w:val="21"/>
                <w:highlight w:val="none"/>
                <w:u w:val="none" w:color="auto"/>
              </w:rPr>
              <w:instrText xml:space="preserve">1</w:instrText>
            </w:r>
            <w:r>
              <w:rPr>
                <w:rFonts w:hint="eastAsia" w:ascii="方正仿宋_GBK" w:hAnsi="仿宋" w:eastAsia="方正仿宋_GBK"/>
                <w:sz w:val="21"/>
                <w:szCs w:val="21"/>
                <w:highlight w:val="none"/>
                <w:u w:val="none" w:color="auto"/>
              </w:rPr>
              <w:instrText xml:space="preserve">)</w:instrText>
            </w:r>
            <w:r>
              <w:rPr>
                <w:rFonts w:hint="eastAsia" w:ascii="方正仿宋_GBK" w:hAnsi="仿宋" w:eastAsia="方正仿宋_GBK"/>
                <w:sz w:val="21"/>
                <w:szCs w:val="21"/>
                <w:highlight w:val="none"/>
                <w:u w:val="none" w:color="auto"/>
              </w:rPr>
              <w:fldChar w:fldCharType="end"/>
            </w:r>
            <w:r>
              <w:rPr>
                <w:rFonts w:hint="eastAsia" w:ascii="方正仿宋_GBK" w:hAnsi="仿宋" w:eastAsia="方正仿宋_GBK"/>
                <w:sz w:val="21"/>
                <w:szCs w:val="21"/>
                <w:highlight w:val="none"/>
                <w:u w:val="none" w:color="auto"/>
              </w:rPr>
              <w:t>）</w:t>
            </w:r>
          </w:p>
        </w:tc>
        <w:tc>
          <w:tcPr>
            <w:tcW w:w="4984" w:type="dxa"/>
            <w:vMerge w:val="continue"/>
            <w:noWrap w:val="0"/>
            <w:vAlign w:val="center"/>
          </w:tcPr>
          <w:p>
            <w:pPr>
              <w:rPr>
                <w:rFonts w:hint="eastAsia" w:ascii="方正仿宋_GBK" w:hAnsi="仿宋" w:eastAsia="方正仿宋_GBK"/>
                <w:b/>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817" w:type="dxa"/>
            <w:vMerge w:val="continue"/>
            <w:noWrap w:val="0"/>
            <w:vAlign w:val="center"/>
          </w:tcPr>
          <w:p>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pPr>
              <w:rPr>
                <w:rFonts w:hint="eastAsia" w:ascii="方正仿宋_GBK" w:hAnsi="仿宋" w:eastAsia="方正仿宋_GBK" w:cs="仿宋_GB2312"/>
                <w:sz w:val="21"/>
                <w:szCs w:val="21"/>
                <w:highlight w:val="none"/>
                <w:u w:val="none" w:color="auto"/>
              </w:rPr>
            </w:pPr>
          </w:p>
        </w:tc>
        <w:tc>
          <w:tcPr>
            <w:tcW w:w="3118"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6.法律、行政法规规定的其他条件</w:t>
            </w:r>
          </w:p>
        </w:tc>
        <w:tc>
          <w:tcPr>
            <w:tcW w:w="4984" w:type="dxa"/>
            <w:noWrap w:val="0"/>
            <w:vAlign w:val="center"/>
          </w:tcPr>
          <w:p>
            <w:pP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817" w:type="dxa"/>
            <w:vMerge w:val="continue"/>
            <w:noWrap w:val="0"/>
            <w:vAlign w:val="center"/>
          </w:tcPr>
          <w:p>
            <w:pPr>
              <w:jc w:val="center"/>
              <w:rPr>
                <w:rFonts w:hint="eastAsia" w:ascii="方正仿宋_GBK" w:hAnsi="仿宋" w:eastAsia="方正仿宋_GBK"/>
                <w:sz w:val="21"/>
                <w:szCs w:val="21"/>
                <w:highlight w:val="none"/>
                <w:u w:val="none" w:color="auto"/>
              </w:rPr>
            </w:pPr>
          </w:p>
        </w:tc>
        <w:tc>
          <w:tcPr>
            <w:tcW w:w="709" w:type="dxa"/>
            <w:vMerge w:val="continue"/>
            <w:noWrap w:val="0"/>
            <w:vAlign w:val="center"/>
          </w:tcPr>
          <w:p>
            <w:pPr>
              <w:rPr>
                <w:rFonts w:hint="eastAsia" w:ascii="方正仿宋_GBK" w:hAnsi="仿宋" w:eastAsia="方正仿宋_GBK" w:cs="仿宋_GB2312"/>
                <w:sz w:val="21"/>
                <w:szCs w:val="21"/>
                <w:highlight w:val="none"/>
                <w:u w:val="none" w:color="auto"/>
              </w:rPr>
            </w:pPr>
          </w:p>
        </w:tc>
        <w:tc>
          <w:tcPr>
            <w:tcW w:w="3118"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7.本项目的特定资格要求</w:t>
            </w:r>
          </w:p>
        </w:tc>
        <w:tc>
          <w:tcPr>
            <w:tcW w:w="4984"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按第一篇“三、投标人资格要求（三）本项目的特定资格要求”的要求提交</w:t>
            </w:r>
            <w:r>
              <w:rPr>
                <w:rFonts w:hint="eastAsia" w:ascii="方正仿宋_GBK" w:hAnsi="宋体" w:eastAsia="方正仿宋_GBK"/>
                <w:sz w:val="21"/>
                <w:szCs w:val="21"/>
                <w:highlight w:val="none"/>
                <w:u w:val="none" w:color="auto"/>
              </w:rPr>
              <w:t>（如果有）</w:t>
            </w:r>
            <w:r>
              <w:rPr>
                <w:rFonts w:hint="eastAsia" w:ascii="方正仿宋_GBK" w:hAnsi="仿宋" w:eastAsia="方正仿宋_GBK"/>
                <w:sz w:val="21"/>
                <w:szCs w:val="21"/>
                <w:highlight w:val="none"/>
                <w:u w:val="none" w:color="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（二）</w:t>
            </w:r>
          </w:p>
        </w:tc>
        <w:tc>
          <w:tcPr>
            <w:tcW w:w="3827" w:type="dxa"/>
            <w:gridSpan w:val="2"/>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落实政府采购政策需满足的资格要求</w:t>
            </w:r>
          </w:p>
        </w:tc>
        <w:tc>
          <w:tcPr>
            <w:tcW w:w="4984"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按第一篇“三、投标人资格要求（二）落实政府采购政策需满足的资格要求”的要求提交</w:t>
            </w:r>
            <w:r>
              <w:rPr>
                <w:rFonts w:hint="eastAsia" w:ascii="方正仿宋_GBK" w:hAnsi="宋体" w:eastAsia="方正仿宋_GBK"/>
                <w:sz w:val="21"/>
                <w:szCs w:val="21"/>
                <w:highlight w:val="none"/>
                <w:u w:val="none" w:color="auto"/>
              </w:rPr>
              <w:t>（如果有）</w:t>
            </w:r>
            <w:r>
              <w:rPr>
                <w:rFonts w:hint="eastAsia" w:ascii="方正仿宋_GBK" w:hAnsi="仿宋" w:eastAsia="方正仿宋_GBK"/>
                <w:sz w:val="21"/>
                <w:szCs w:val="21"/>
                <w:highlight w:val="none"/>
                <w:u w:val="none" w:color="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817" w:type="dxa"/>
            <w:noWrap w:val="0"/>
            <w:vAlign w:val="center"/>
          </w:tcPr>
          <w:p>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（三）</w:t>
            </w:r>
          </w:p>
        </w:tc>
        <w:tc>
          <w:tcPr>
            <w:tcW w:w="3827" w:type="dxa"/>
            <w:gridSpan w:val="2"/>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投标保证金</w:t>
            </w:r>
          </w:p>
        </w:tc>
        <w:tc>
          <w:tcPr>
            <w:tcW w:w="4984" w:type="dxa"/>
            <w:noWrap w:val="0"/>
            <w:vAlign w:val="center"/>
          </w:tcPr>
          <w:p>
            <w:pP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按照招标文件要求足额交纳所投包的投标保证金。</w:t>
            </w:r>
          </w:p>
        </w:tc>
      </w:tr>
    </w:tbl>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注：</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w:t>
      </w:r>
      <w:r>
        <w:rPr>
          <w:rFonts w:ascii="方正仿宋_GBK" w:hAnsi="宋体" w:eastAsia="方正仿宋_GBK" w:cs="宋体"/>
          <w:kern w:val="0"/>
          <w:sz w:val="24"/>
          <w:szCs w:val="24"/>
          <w:highlight w:val="none"/>
          <w:u w:val="none" w:color="auto"/>
        </w:rPr>
        <w:t>财政部关于</w:t>
      </w:r>
      <w:r>
        <w:rPr>
          <w:rFonts w:hint="eastAsia" w:ascii="方正仿宋_GBK" w:hAnsi="宋体" w:eastAsia="方正仿宋_GBK" w:cs="宋体"/>
          <w:kern w:val="0"/>
          <w:sz w:val="24"/>
          <w:szCs w:val="24"/>
          <w:highlight w:val="none"/>
          <w:u w:val="none" w:color="auto"/>
        </w:rPr>
        <w:t>&lt;</w:t>
      </w:r>
      <w:r>
        <w:rPr>
          <w:rFonts w:ascii="方正仿宋_GBK" w:hAnsi="宋体" w:eastAsia="方正仿宋_GBK" w:cs="宋体"/>
          <w:kern w:val="0"/>
          <w:sz w:val="24"/>
          <w:szCs w:val="24"/>
          <w:highlight w:val="none"/>
          <w:u w:val="none" w:color="auto"/>
        </w:rPr>
        <w:t>中华人民共和国政府采购法实施条例</w:t>
      </w:r>
      <w:r>
        <w:rPr>
          <w:rFonts w:hint="eastAsia" w:ascii="方正仿宋_GBK" w:hAnsi="宋体" w:eastAsia="方正仿宋_GBK" w:cs="宋体"/>
          <w:kern w:val="0"/>
          <w:sz w:val="24"/>
          <w:szCs w:val="24"/>
          <w:highlight w:val="none"/>
          <w:u w:val="none" w:color="auto"/>
        </w:rPr>
        <w:t>&gt;</w:t>
      </w:r>
      <w:r>
        <w:rPr>
          <w:rFonts w:ascii="方正仿宋_GBK" w:hAnsi="宋体" w:eastAsia="方正仿宋_GBK" w:cs="宋体"/>
          <w:kern w:val="0"/>
          <w:sz w:val="24"/>
          <w:szCs w:val="24"/>
          <w:highlight w:val="none"/>
          <w:u w:val="none" w:color="auto"/>
        </w:rPr>
        <w:t>第十九条第一款</w:t>
      </w:r>
      <w:r>
        <w:rPr>
          <w:rFonts w:hint="eastAsia" w:ascii="方正仿宋_GBK" w:hAnsi="宋体" w:eastAsia="方正仿宋_GBK" w:cs="宋体"/>
          <w:kern w:val="0"/>
          <w:sz w:val="24"/>
          <w:szCs w:val="24"/>
          <w:highlight w:val="none"/>
          <w:u w:val="none" w:color="auto"/>
        </w:rPr>
        <w:t>“较大</w:t>
      </w:r>
      <w:r>
        <w:rPr>
          <w:rFonts w:ascii="方正仿宋_GBK" w:hAnsi="宋体" w:eastAsia="方正仿宋_GBK" w:cs="宋体"/>
          <w:kern w:val="0"/>
          <w:sz w:val="24"/>
          <w:szCs w:val="24"/>
          <w:highlight w:val="none"/>
          <w:u w:val="none" w:color="auto"/>
        </w:rPr>
        <w:t>数额罚款</w:t>
      </w:r>
      <w:r>
        <w:rPr>
          <w:rFonts w:hint="eastAsia" w:ascii="方正仿宋_GBK" w:hAnsi="宋体" w:eastAsia="方正仿宋_GBK" w:cs="宋体"/>
          <w:kern w:val="0"/>
          <w:sz w:val="24"/>
          <w:szCs w:val="24"/>
          <w:highlight w:val="none"/>
          <w:u w:val="none" w:color="auto"/>
        </w:rPr>
        <w:t>”</w:t>
      </w:r>
      <w:r>
        <w:rPr>
          <w:rFonts w:ascii="方正仿宋_GBK" w:hAnsi="宋体" w:eastAsia="方正仿宋_GBK" w:cs="宋体"/>
          <w:kern w:val="0"/>
          <w:sz w:val="24"/>
          <w:szCs w:val="24"/>
          <w:highlight w:val="none"/>
          <w:u w:val="none" w:color="auto"/>
        </w:rPr>
        <w:t>具体适用问题的意见</w:t>
      </w:r>
      <w:r>
        <w:rPr>
          <w:rFonts w:hint="eastAsia" w:ascii="方正仿宋_GBK" w:hAnsi="宋体" w:eastAsia="方正仿宋_GBK" w:cs="宋体"/>
          <w:kern w:val="0"/>
          <w:sz w:val="24"/>
          <w:szCs w:val="24"/>
          <w:highlight w:val="none"/>
          <w:u w:val="none" w:color="auto"/>
        </w:rPr>
        <w:t>》</w:t>
      </w:r>
      <w:r>
        <w:rPr>
          <w:rFonts w:ascii="方正仿宋_GBK" w:hAnsi="宋体" w:eastAsia="方正仿宋_GBK" w:cs="宋体"/>
          <w:kern w:val="0"/>
          <w:sz w:val="24"/>
          <w:szCs w:val="24"/>
          <w:highlight w:val="none"/>
          <w:u w:val="none" w:color="auto"/>
        </w:rPr>
        <w:t>（财库〔</w:t>
      </w:r>
      <w:r>
        <w:rPr>
          <w:rFonts w:hint="eastAsia" w:ascii="方正仿宋_GBK" w:hAnsi="宋体" w:eastAsia="方正仿宋_GBK" w:cs="宋体"/>
          <w:kern w:val="0"/>
          <w:sz w:val="24"/>
          <w:szCs w:val="24"/>
          <w:highlight w:val="none"/>
          <w:u w:val="none" w:color="auto"/>
        </w:rPr>
        <w:t>2022</w:t>
      </w:r>
      <w:r>
        <w:rPr>
          <w:rFonts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rPr>
        <w:t>3号</w:t>
      </w:r>
      <w:r>
        <w:rPr>
          <w:rFonts w:ascii="方正仿宋_GBK" w:hAnsi="宋体" w:eastAsia="方正仿宋_GBK" w:cs="宋体"/>
          <w:kern w:val="0"/>
          <w:sz w:val="24"/>
          <w:szCs w:val="24"/>
          <w:highlight w:val="none"/>
          <w:u w:val="none" w:color="auto"/>
        </w:rPr>
        <w:t>）</w:t>
      </w:r>
      <w:r>
        <w:rPr>
          <w:rFonts w:hint="eastAsia" w:ascii="方正仿宋_GBK" w:hAnsi="宋体" w:eastAsia="方正仿宋_GBK" w:cs="宋体"/>
          <w:kern w:val="0"/>
          <w:sz w:val="24"/>
          <w:szCs w:val="24"/>
          <w:highlight w:val="none"/>
          <w:u w:val="none" w:color="auto"/>
        </w:rPr>
        <w:t>执行。投标人</w:t>
      </w:r>
      <w:r>
        <w:rPr>
          <w:rFonts w:hint="eastAsia" w:ascii="方正仿宋_GBK" w:hAnsi="宋体" w:eastAsia="方正仿宋_GBK" w:cs="宋体"/>
          <w:kern w:val="0"/>
          <w:sz w:val="24"/>
          <w:szCs w:val="24"/>
          <w:highlight w:val="none"/>
          <w:u w:val="none" w:color="auto"/>
          <w:lang w:val="en-US" w:eastAsia="zh-CN"/>
        </w:rPr>
        <w:t>可</w:t>
      </w:r>
      <w:r>
        <w:rPr>
          <w:rFonts w:hint="eastAsia" w:ascii="方正仿宋_GBK" w:hAnsi="宋体" w:eastAsia="方正仿宋_GBK" w:cs="宋体"/>
          <w:kern w:val="0"/>
          <w:sz w:val="24"/>
          <w:szCs w:val="24"/>
          <w:highlight w:val="none"/>
          <w:u w:val="none" w:color="auto"/>
        </w:rPr>
        <w:t>于电子投标文件递交时间前通过“信用中国”网站(www.creditchina.gov.cn)、"中国政府采购网"(www.ccgp.gov.cn)等渠道查询信用记录。</w:t>
      </w:r>
    </w:p>
    <w:p>
      <w:pPr>
        <w:snapToGrid w:val="0"/>
        <w:spacing w:line="400" w:lineRule="exact"/>
        <w:ind w:firstLine="480" w:firstLineChars="200"/>
        <w:rPr>
          <w:rFonts w:hint="eastAsia" w:ascii="方正仿宋_GBK" w:hAnsi="宋体" w:eastAsia="方正仿宋_GBK" w:cs="宋体"/>
          <w:kern w:val="0"/>
          <w:sz w:val="24"/>
          <w:szCs w:val="24"/>
          <w:highlight w:val="none"/>
          <w:u w:val="none" w:color="auto"/>
        </w:rPr>
      </w:pPr>
      <w:r>
        <w:rPr>
          <w:rFonts w:hint="eastAsia" w:ascii="方正仿宋_GBK" w:hAnsi="宋体" w:eastAsia="方正仿宋_GBK" w:cs="宋体"/>
          <w:kern w:val="0"/>
          <w:sz w:val="24"/>
          <w:szCs w:val="24"/>
          <w:highlight w:val="none"/>
          <w:u w:val="none" w:color="auto"/>
        </w:rPr>
        <w:t>（</w:t>
      </w:r>
      <w:r>
        <w:rPr>
          <w:rFonts w:hint="eastAsia" w:ascii="方正仿宋_GBK" w:hAnsi="宋体" w:eastAsia="方正仿宋_GBK" w:cs="宋体"/>
          <w:b/>
          <w:kern w:val="0"/>
          <w:sz w:val="24"/>
          <w:szCs w:val="24"/>
          <w:highlight w:val="none"/>
          <w:u w:val="none" w:color="auto"/>
        </w:rPr>
        <w:t>二</w:t>
      </w:r>
      <w:r>
        <w:rPr>
          <w:rFonts w:hint="eastAsia" w:ascii="方正仿宋_GBK" w:hAnsi="宋体" w:eastAsia="方正仿宋_GBK" w:cs="宋体"/>
          <w:kern w:val="0"/>
          <w:sz w:val="24"/>
          <w:szCs w:val="24"/>
          <w:highlight w:val="none"/>
          <w:u w:val="none" w:color="auto"/>
        </w:rPr>
        <w:t>）符合性审查</w:t>
      </w:r>
    </w:p>
    <w:p>
      <w:pPr>
        <w:snapToGrid w:val="0"/>
        <w:spacing w:line="400" w:lineRule="exact"/>
        <w:ind w:firstLine="480" w:firstLineChars="200"/>
        <w:rPr>
          <w:rFonts w:hint="eastAsia" w:ascii="方正仿宋_GBK" w:eastAsia="方正仿宋_GBK"/>
          <w:kern w:val="0"/>
          <w:sz w:val="24"/>
          <w:szCs w:val="24"/>
          <w:highlight w:val="none"/>
          <w:u w:val="none" w:color="auto"/>
        </w:rPr>
      </w:pPr>
      <w:r>
        <w:rPr>
          <w:rFonts w:hint="eastAsia" w:ascii="方正仿宋_GBK" w:hAnsi="宋体" w:eastAsia="方正仿宋_GBK" w:cs="宋体"/>
          <w:kern w:val="0"/>
          <w:sz w:val="24"/>
          <w:szCs w:val="24"/>
          <w:highlight w:val="none"/>
          <w:u w:val="none" w:color="auto"/>
        </w:rPr>
        <w:t>评标委员会应当对符合资格的投标人的</w:t>
      </w:r>
      <w:r>
        <w:rPr>
          <w:rFonts w:hint="eastAsia" w:ascii="方正仿宋_GBK" w:hAnsi="宋体" w:eastAsia="方正仿宋_GBK" w:cs="宋体"/>
          <w:kern w:val="0"/>
          <w:sz w:val="24"/>
          <w:szCs w:val="24"/>
          <w:highlight w:val="none"/>
          <w:u w:val="none" w:color="auto"/>
          <w:lang w:eastAsia="zh-CN"/>
        </w:rPr>
        <w:t>电子</w:t>
      </w:r>
      <w:r>
        <w:rPr>
          <w:rFonts w:hint="eastAsia" w:ascii="方正仿宋_GBK" w:hAnsi="宋体" w:eastAsia="方正仿宋_GBK" w:cs="宋体"/>
          <w:kern w:val="0"/>
          <w:sz w:val="24"/>
          <w:szCs w:val="24"/>
          <w:highlight w:val="none"/>
          <w:u w:val="none" w:color="auto"/>
        </w:rPr>
        <w:t>投标文件进行符合性审查，以确定其是否满足招标文件的实质性要求。符合性审查资料表如下：</w:t>
      </w:r>
    </w:p>
    <w:tbl>
      <w:tblPr>
        <w:tblStyle w:val="60"/>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2"/>
        <w:gridCol w:w="1557"/>
        <w:gridCol w:w="5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675" w:type="dxa"/>
            <w:noWrap w:val="0"/>
            <w:vAlign w:val="center"/>
          </w:tcPr>
          <w:p>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序号</w:t>
            </w:r>
          </w:p>
        </w:tc>
        <w:tc>
          <w:tcPr>
            <w:tcW w:w="3119" w:type="dxa"/>
            <w:gridSpan w:val="2"/>
            <w:noWrap w:val="0"/>
            <w:vAlign w:val="center"/>
          </w:tcPr>
          <w:p>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评审因素</w:t>
            </w:r>
          </w:p>
        </w:tc>
        <w:tc>
          <w:tcPr>
            <w:tcW w:w="5836" w:type="dxa"/>
            <w:noWrap w:val="0"/>
            <w:vAlign w:val="center"/>
          </w:tcPr>
          <w:p>
            <w:pPr>
              <w:jc w:val="center"/>
              <w:rPr>
                <w:rFonts w:hint="eastAsia" w:ascii="方正仿宋_GBK" w:hAnsi="宋体" w:eastAsia="方正仿宋_GBK" w:cs="宋体"/>
                <w:b/>
                <w:kern w:val="0"/>
                <w:sz w:val="21"/>
                <w:szCs w:val="21"/>
                <w:highlight w:val="none"/>
                <w:u w:val="none" w:color="auto"/>
              </w:rPr>
            </w:pPr>
            <w:r>
              <w:rPr>
                <w:rFonts w:hint="eastAsia" w:ascii="方正仿宋_GBK" w:hAnsi="宋体" w:eastAsia="方正仿宋_GBK" w:cs="宋体"/>
                <w:b/>
                <w:kern w:val="0"/>
                <w:sz w:val="21"/>
                <w:szCs w:val="21"/>
                <w:highlight w:val="none"/>
                <w:u w:val="none" w:color="auto"/>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675" w:type="dxa"/>
            <w:vMerge w:val="restart"/>
            <w:noWrap w:val="0"/>
            <w:vAlign w:val="center"/>
          </w:tcPr>
          <w:p>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1</w:t>
            </w:r>
          </w:p>
        </w:tc>
        <w:tc>
          <w:tcPr>
            <w:tcW w:w="1562" w:type="dxa"/>
            <w:vMerge w:val="restart"/>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有效性审查</w:t>
            </w:r>
          </w:p>
        </w:tc>
        <w:tc>
          <w:tcPr>
            <w:tcW w:w="1557" w:type="dxa"/>
            <w:noWrap w:val="0"/>
            <w:vAlign w:val="center"/>
          </w:tcPr>
          <w:p>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rPr>
              <w:t>投标文件签署</w:t>
            </w:r>
            <w:r>
              <w:rPr>
                <w:rFonts w:hint="eastAsia" w:ascii="方正仿宋_GBK" w:hAnsi="方正仿宋_GBK" w:eastAsia="方正仿宋_GBK" w:cs="方正仿宋_GBK"/>
                <w:sz w:val="21"/>
                <w:szCs w:val="21"/>
                <w:highlight w:val="none"/>
                <w:lang w:val="en-US" w:eastAsia="zh-CN"/>
              </w:rPr>
              <w:t>或盖章</w:t>
            </w:r>
          </w:p>
        </w:tc>
        <w:tc>
          <w:tcPr>
            <w:tcW w:w="5836" w:type="dxa"/>
            <w:noWrap w:val="0"/>
            <w:vAlign w:val="center"/>
          </w:tcPr>
          <w:p>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rPr>
              <w:t>投标文件上法定代表人（或其授权代表）或自然人（投标人为自然人）的签署或盖章齐全。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675" w:type="dxa"/>
            <w:vMerge w:val="continue"/>
            <w:noWrap w:val="0"/>
            <w:vAlign w:val="center"/>
          </w:tcPr>
          <w:p>
            <w:pPr>
              <w:jc w:val="center"/>
              <w:rPr>
                <w:rFonts w:hint="eastAsia" w:ascii="方正仿宋_GBK" w:hAnsi="方正仿宋_GBK" w:eastAsia="方正仿宋_GBK" w:cs="方正仿宋_GBK"/>
                <w:kern w:val="0"/>
                <w:sz w:val="21"/>
                <w:szCs w:val="21"/>
                <w:highlight w:val="none"/>
                <w:u w:val="none" w:color="auto"/>
              </w:rPr>
            </w:pPr>
          </w:p>
        </w:tc>
        <w:tc>
          <w:tcPr>
            <w:tcW w:w="1562" w:type="dxa"/>
            <w:vMerge w:val="continue"/>
            <w:noWrap w:val="0"/>
            <w:vAlign w:val="center"/>
          </w:tcPr>
          <w:p>
            <w:pPr>
              <w:rPr>
                <w:rFonts w:hint="eastAsia" w:ascii="方正仿宋_GBK" w:hAnsi="方正仿宋_GBK" w:eastAsia="方正仿宋_GBK" w:cs="方正仿宋_GBK"/>
                <w:kern w:val="0"/>
                <w:sz w:val="21"/>
                <w:szCs w:val="21"/>
                <w:highlight w:val="none"/>
                <w:u w:val="none" w:color="auto"/>
              </w:rPr>
            </w:pPr>
          </w:p>
        </w:tc>
        <w:tc>
          <w:tcPr>
            <w:tcW w:w="1557" w:type="dxa"/>
            <w:noWrap w:val="0"/>
            <w:vAlign w:val="center"/>
          </w:tcPr>
          <w:p>
            <w:pPr>
              <w:rPr>
                <w:rFonts w:hint="eastAsia" w:ascii="方正仿宋_GBK" w:hAnsi="方正仿宋_GBK" w:eastAsia="方正仿宋_GBK" w:cs="方正仿宋_GBK"/>
                <w:sz w:val="21"/>
                <w:szCs w:val="21"/>
                <w:highlight w:val="none"/>
                <w:u w:val="none" w:color="auto"/>
                <w:lang w:val="zh-CN"/>
              </w:rPr>
            </w:pPr>
            <w:r>
              <w:rPr>
                <w:rFonts w:hint="eastAsia" w:ascii="方正仿宋_GBK" w:hAnsi="方正仿宋_GBK" w:eastAsia="方正仿宋_GBK" w:cs="方正仿宋_GBK"/>
                <w:sz w:val="21"/>
                <w:szCs w:val="21"/>
                <w:highlight w:val="none"/>
                <w:u w:val="none" w:color="auto"/>
                <w:lang w:val="zh-CN"/>
              </w:rPr>
              <w:t>投标方案</w:t>
            </w:r>
          </w:p>
        </w:tc>
        <w:tc>
          <w:tcPr>
            <w:tcW w:w="5836"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u w:val="none" w:color="auto"/>
                <w:lang w:val="zh-CN"/>
              </w:rPr>
              <w:t>每个包只能有一个方案投标。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675" w:type="dxa"/>
            <w:vMerge w:val="continue"/>
            <w:noWrap w:val="0"/>
            <w:vAlign w:val="center"/>
          </w:tcPr>
          <w:p>
            <w:pPr>
              <w:jc w:val="center"/>
              <w:rPr>
                <w:rFonts w:hint="eastAsia" w:ascii="方正仿宋_GBK" w:hAnsi="方正仿宋_GBK" w:eastAsia="方正仿宋_GBK" w:cs="方正仿宋_GBK"/>
                <w:kern w:val="0"/>
                <w:sz w:val="21"/>
                <w:szCs w:val="21"/>
                <w:highlight w:val="none"/>
                <w:u w:val="none" w:color="auto"/>
              </w:rPr>
            </w:pPr>
          </w:p>
        </w:tc>
        <w:tc>
          <w:tcPr>
            <w:tcW w:w="1562" w:type="dxa"/>
            <w:vMerge w:val="continue"/>
            <w:noWrap w:val="0"/>
            <w:vAlign w:val="center"/>
          </w:tcPr>
          <w:p>
            <w:pPr>
              <w:rPr>
                <w:rFonts w:hint="eastAsia" w:ascii="方正仿宋_GBK" w:hAnsi="方正仿宋_GBK" w:eastAsia="方正仿宋_GBK" w:cs="方正仿宋_GBK"/>
                <w:kern w:val="0"/>
                <w:sz w:val="21"/>
                <w:szCs w:val="21"/>
                <w:highlight w:val="none"/>
                <w:u w:val="none" w:color="auto"/>
              </w:rPr>
            </w:pPr>
          </w:p>
        </w:tc>
        <w:tc>
          <w:tcPr>
            <w:tcW w:w="1557" w:type="dxa"/>
            <w:noWrap w:val="0"/>
            <w:vAlign w:val="center"/>
          </w:tcPr>
          <w:p>
            <w:pPr>
              <w:rPr>
                <w:rFonts w:hint="eastAsia" w:ascii="方正仿宋_GBK" w:hAnsi="方正仿宋_GBK" w:eastAsia="方正仿宋_GBK" w:cs="方正仿宋_GBK"/>
                <w:sz w:val="21"/>
                <w:szCs w:val="21"/>
                <w:highlight w:val="none"/>
                <w:u w:val="none" w:color="auto"/>
                <w:lang w:val="zh-CN"/>
              </w:rPr>
            </w:pPr>
            <w:r>
              <w:rPr>
                <w:rFonts w:hint="eastAsia" w:ascii="方正仿宋_GBK" w:hAnsi="方正仿宋_GBK" w:eastAsia="方正仿宋_GBK" w:cs="方正仿宋_GBK"/>
                <w:sz w:val="21"/>
                <w:szCs w:val="21"/>
                <w:highlight w:val="none"/>
                <w:u w:val="none" w:color="auto"/>
              </w:rPr>
              <w:t>报价唯一</w:t>
            </w:r>
          </w:p>
        </w:tc>
        <w:tc>
          <w:tcPr>
            <w:tcW w:w="5836"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u w:val="none" w:color="auto"/>
                <w:lang w:val="zh-CN"/>
              </w:rPr>
              <w:t>只能在预算金额和最高限价内报价，</w:t>
            </w:r>
            <w:r>
              <w:rPr>
                <w:rFonts w:hint="eastAsia" w:ascii="方正仿宋_GBK" w:hAnsi="方正仿宋_GBK" w:eastAsia="方正仿宋_GBK" w:cs="方正仿宋_GBK"/>
                <w:sz w:val="21"/>
                <w:szCs w:val="21"/>
                <w:highlight w:val="none"/>
                <w:u w:val="none" w:color="auto"/>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675" w:type="dxa"/>
            <w:noWrap w:val="0"/>
            <w:vAlign w:val="center"/>
          </w:tcPr>
          <w:p>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2</w:t>
            </w:r>
          </w:p>
        </w:tc>
        <w:tc>
          <w:tcPr>
            <w:tcW w:w="1562"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完整性审查</w:t>
            </w:r>
          </w:p>
        </w:tc>
        <w:tc>
          <w:tcPr>
            <w:tcW w:w="1557" w:type="dxa"/>
            <w:noWrap w:val="0"/>
            <w:vAlign w:val="center"/>
          </w:tcPr>
          <w:p>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zh-CN"/>
              </w:rPr>
              <w:t>投标文件份数</w:t>
            </w:r>
          </w:p>
        </w:tc>
        <w:tc>
          <w:tcPr>
            <w:tcW w:w="5836" w:type="dxa"/>
            <w:noWrap w:val="0"/>
            <w:vAlign w:val="center"/>
          </w:tcPr>
          <w:p>
            <w:pPr>
              <w:shd w:val="clear"/>
              <w:spacing w:line="240" w:lineRule="exact"/>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sz w:val="21"/>
                <w:szCs w:val="21"/>
                <w:highlight w:val="none"/>
                <w:lang w:val="zh-CN"/>
              </w:rPr>
              <w:t>电子投标文件数量</w:t>
            </w:r>
            <w:r>
              <w:rPr>
                <w:rFonts w:hint="eastAsia" w:ascii="方正仿宋_GBK" w:hAnsi="方正仿宋_GBK" w:eastAsia="方正仿宋_GBK" w:cs="方正仿宋_GBK"/>
                <w:sz w:val="21"/>
                <w:szCs w:val="21"/>
                <w:highlight w:val="none"/>
                <w:lang w:val="en-US" w:eastAsia="zh-CN"/>
              </w:rPr>
              <w:t>和须提交的相关原件数量（如果有）</w:t>
            </w:r>
            <w:r>
              <w:rPr>
                <w:rFonts w:hint="eastAsia" w:ascii="方正仿宋_GBK" w:hAnsi="方正仿宋_GBK" w:eastAsia="方正仿宋_GBK" w:cs="方正仿宋_GBK"/>
                <w:sz w:val="21"/>
                <w:szCs w:val="21"/>
                <w:highlight w:val="none"/>
                <w:lang w:val="zh-CN"/>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675" w:type="dxa"/>
            <w:noWrap w:val="0"/>
            <w:vAlign w:val="center"/>
          </w:tcPr>
          <w:p>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3</w:t>
            </w:r>
          </w:p>
        </w:tc>
        <w:tc>
          <w:tcPr>
            <w:tcW w:w="1562"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技术部分</w:t>
            </w:r>
          </w:p>
        </w:tc>
        <w:tc>
          <w:tcPr>
            <w:tcW w:w="1557"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本招标文件第二篇</w:t>
            </w:r>
            <w:r>
              <w:rPr>
                <w:rFonts w:hint="eastAsia" w:ascii="方正仿宋_GBK" w:hAnsi="方正仿宋_GBK" w:eastAsia="方正仿宋_GBK" w:cs="方正仿宋_GBK"/>
                <w:kern w:val="0"/>
                <w:sz w:val="21"/>
                <w:szCs w:val="21"/>
                <w:highlight w:val="none"/>
                <w:u w:val="none" w:color="auto"/>
                <w:lang w:eastAsia="zh-CN"/>
              </w:rPr>
              <w:t>的内容</w:t>
            </w:r>
            <w:r>
              <w:rPr>
                <w:rFonts w:hint="eastAsia" w:ascii="方正仿宋_GBK" w:hAnsi="方正仿宋_GBK" w:eastAsia="方正仿宋_GBK" w:cs="方正仿宋_GBK"/>
                <w:kern w:val="0"/>
                <w:sz w:val="21"/>
                <w:szCs w:val="21"/>
                <w:highlight w:val="none"/>
                <w:u w:val="none" w:color="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675" w:type="dxa"/>
            <w:noWrap w:val="0"/>
            <w:vAlign w:val="center"/>
          </w:tcPr>
          <w:p>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4</w:t>
            </w:r>
          </w:p>
        </w:tc>
        <w:tc>
          <w:tcPr>
            <w:tcW w:w="1562"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商务部分</w:t>
            </w:r>
          </w:p>
        </w:tc>
        <w:tc>
          <w:tcPr>
            <w:tcW w:w="1557"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本招标文件第三篇</w:t>
            </w:r>
            <w:r>
              <w:rPr>
                <w:rFonts w:hint="eastAsia" w:ascii="方正仿宋_GBK" w:hAnsi="方正仿宋_GBK" w:eastAsia="方正仿宋_GBK" w:cs="方正仿宋_GBK"/>
                <w:kern w:val="0"/>
                <w:sz w:val="21"/>
                <w:szCs w:val="21"/>
                <w:highlight w:val="none"/>
                <w:u w:val="none" w:color="auto"/>
                <w:lang w:eastAsia="zh-CN"/>
              </w:rPr>
              <w:t>的内容</w:t>
            </w:r>
            <w:r>
              <w:rPr>
                <w:rFonts w:hint="eastAsia" w:ascii="方正仿宋_GBK" w:hAnsi="方正仿宋_GBK" w:eastAsia="方正仿宋_GBK" w:cs="方正仿宋_GBK"/>
                <w:kern w:val="0"/>
                <w:sz w:val="21"/>
                <w:szCs w:val="21"/>
                <w:highlight w:val="none"/>
                <w:u w:val="none" w:color="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 w:hRule="atLeast"/>
        </w:trPr>
        <w:tc>
          <w:tcPr>
            <w:tcW w:w="675" w:type="dxa"/>
            <w:noWrap w:val="0"/>
            <w:vAlign w:val="center"/>
          </w:tcPr>
          <w:p>
            <w:pPr>
              <w:jc w:val="cente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5</w:t>
            </w:r>
          </w:p>
        </w:tc>
        <w:tc>
          <w:tcPr>
            <w:tcW w:w="1562"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投标有效期</w:t>
            </w:r>
          </w:p>
        </w:tc>
        <w:tc>
          <w:tcPr>
            <w:tcW w:w="1557"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投标文件内容</w:t>
            </w:r>
          </w:p>
        </w:tc>
        <w:tc>
          <w:tcPr>
            <w:tcW w:w="5836" w:type="dxa"/>
            <w:noWrap w:val="0"/>
            <w:vAlign w:val="center"/>
          </w:tcPr>
          <w:p>
            <w:pPr>
              <w:rPr>
                <w:rFonts w:hint="eastAsia" w:ascii="方正仿宋_GBK" w:hAnsi="方正仿宋_GBK" w:eastAsia="方正仿宋_GBK" w:cs="方正仿宋_GBK"/>
                <w:kern w:val="0"/>
                <w:sz w:val="21"/>
                <w:szCs w:val="21"/>
                <w:highlight w:val="none"/>
                <w:u w:val="none" w:color="auto"/>
              </w:rPr>
            </w:pPr>
            <w:r>
              <w:rPr>
                <w:rFonts w:hint="eastAsia" w:ascii="方正仿宋_GBK" w:hAnsi="方正仿宋_GBK" w:eastAsia="方正仿宋_GBK" w:cs="方正仿宋_GBK"/>
                <w:kern w:val="0"/>
                <w:sz w:val="21"/>
                <w:szCs w:val="21"/>
                <w:highlight w:val="none"/>
                <w:u w:val="none" w:color="auto"/>
              </w:rPr>
              <w:t>投标有效期为</w:t>
            </w:r>
            <w:r>
              <w:rPr>
                <w:rFonts w:hint="eastAsia" w:ascii="方正仿宋_GBK" w:hAnsi="方正仿宋_GBK" w:eastAsia="方正仿宋_GBK" w:cs="方正仿宋_GBK"/>
                <w:kern w:val="0"/>
                <w:sz w:val="21"/>
                <w:szCs w:val="21"/>
                <w:highlight w:val="none"/>
                <w:u w:val="none" w:color="auto"/>
                <w:lang w:eastAsia="zh-CN"/>
              </w:rPr>
              <w:t>电子</w:t>
            </w:r>
            <w:r>
              <w:rPr>
                <w:rFonts w:hint="eastAsia" w:ascii="方正仿宋_GBK" w:hAnsi="方正仿宋_GBK" w:eastAsia="方正仿宋_GBK" w:cs="方正仿宋_GBK"/>
                <w:kern w:val="0"/>
                <w:sz w:val="21"/>
                <w:szCs w:val="21"/>
                <w:highlight w:val="none"/>
                <w:u w:val="none" w:color="auto"/>
              </w:rPr>
              <w:t>投标截止时间起90天。</w:t>
            </w:r>
          </w:p>
        </w:tc>
      </w:tr>
    </w:tbl>
    <w:p>
      <w:pPr>
        <w:pStyle w:val="4"/>
        <w:spacing w:line="400" w:lineRule="exact"/>
        <w:ind w:firstLine="482" w:firstLineChars="200"/>
        <w:rPr>
          <w:rFonts w:hint="eastAsia" w:ascii="方正仿宋_GBK" w:hAnsi="方正仿宋_GBK" w:eastAsia="方正仿宋_GBK" w:cs="方正仿宋_GBK"/>
          <w:b/>
          <w:sz w:val="24"/>
          <w:szCs w:val="24"/>
          <w:highlight w:val="none"/>
          <w:u w:val="none" w:color="auto"/>
        </w:rPr>
      </w:pPr>
      <w:bookmarkStart w:id="362" w:name="_Toc27633"/>
      <w:bookmarkStart w:id="363" w:name="_Toc1384981093"/>
      <w:bookmarkStart w:id="364" w:name="_Toc30717"/>
      <w:bookmarkStart w:id="365" w:name="_Toc31997"/>
      <w:bookmarkStart w:id="366" w:name="_Toc75793519"/>
      <w:bookmarkStart w:id="367" w:name="_Toc27015"/>
      <w:bookmarkStart w:id="368" w:name="_Toc30011"/>
      <w:bookmarkStart w:id="369" w:name="_Toc9094"/>
      <w:bookmarkStart w:id="370" w:name="_Toc29140"/>
      <w:bookmarkStart w:id="371" w:name="_Toc14824"/>
      <w:bookmarkStart w:id="372" w:name="_Toc5620"/>
      <w:bookmarkStart w:id="373" w:name="_Toc28549"/>
      <w:bookmarkStart w:id="374" w:name="_Toc11654"/>
      <w:bookmarkStart w:id="375" w:name="_Toc25341"/>
      <w:bookmarkStart w:id="376" w:name="_Toc5674"/>
      <w:bookmarkStart w:id="377" w:name="_Toc26796"/>
      <w:bookmarkStart w:id="378" w:name="_Toc20171"/>
      <w:bookmarkStart w:id="379" w:name="_Toc10909"/>
      <w:bookmarkStart w:id="380" w:name="_Toc21650"/>
      <w:bookmarkStart w:id="381" w:name="_Toc106030395"/>
      <w:r>
        <w:rPr>
          <w:rFonts w:hint="eastAsia" w:ascii="方正仿宋_GBK" w:hAnsi="方正仿宋_GBK" w:eastAsia="方正仿宋_GBK" w:cs="方正仿宋_GBK"/>
          <w:b/>
          <w:sz w:val="24"/>
          <w:szCs w:val="24"/>
          <w:highlight w:val="none"/>
          <w:u w:val="none" w:color="auto"/>
        </w:rPr>
        <w:t>二、评标方法</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p>
    <w:p>
      <w:pPr>
        <w:snapToGrid w:val="0"/>
        <w:spacing w:line="400" w:lineRule="exact"/>
        <w:ind w:firstLine="480" w:firstLineChars="200"/>
        <w:rPr>
          <w:rFonts w:hint="eastAsia" w:ascii="方正仿宋_GBK" w:hAnsi="方正仿宋_GBK" w:eastAsia="方正仿宋_GBK" w:cs="方正仿宋_GBK"/>
          <w:kern w:val="0"/>
          <w:sz w:val="24"/>
          <w:szCs w:val="24"/>
          <w:highlight w:val="none"/>
          <w:u w:val="none" w:color="auto"/>
        </w:rPr>
      </w:pPr>
      <w:r>
        <w:rPr>
          <w:rFonts w:hint="eastAsia" w:ascii="方正仿宋_GBK" w:hAnsi="方正仿宋_GBK" w:eastAsia="方正仿宋_GBK" w:cs="方正仿宋_GBK"/>
          <w:kern w:val="0"/>
          <w:sz w:val="24"/>
          <w:szCs w:val="24"/>
          <w:highlight w:val="none"/>
          <w:u w:val="none" w:color="auto"/>
        </w:rPr>
        <w:t>本项目采用</w:t>
      </w:r>
      <w:r>
        <w:rPr>
          <w:rFonts w:hint="eastAsia" w:ascii="方正仿宋_GBK" w:hAnsi="方正仿宋_GBK" w:eastAsia="方正仿宋_GBK" w:cs="方正仿宋_GBK"/>
          <w:kern w:val="0"/>
          <w:sz w:val="24"/>
          <w:szCs w:val="24"/>
          <w:highlight w:val="none"/>
        </w:rPr>
        <w:t>最低评标价法</w:t>
      </w:r>
      <w:r>
        <w:rPr>
          <w:rFonts w:hint="eastAsia" w:ascii="方正仿宋_GBK" w:hAnsi="方正仿宋_GBK" w:eastAsia="方正仿宋_GBK" w:cs="方正仿宋_GBK"/>
          <w:kern w:val="0"/>
          <w:sz w:val="24"/>
          <w:szCs w:val="24"/>
          <w:highlight w:val="none"/>
          <w:u w:val="none" w:color="auto"/>
        </w:rPr>
        <w:t>进行评标。</w:t>
      </w:r>
    </w:p>
    <w:p>
      <w:pPr>
        <w:snapToGrid w:val="0"/>
        <w:spacing w:line="400" w:lineRule="exact"/>
        <w:ind w:firstLine="480" w:firstLineChars="200"/>
        <w:rPr>
          <w:rFonts w:hint="eastAsia" w:ascii="方正仿宋_GBK" w:hAnsi="方正仿宋_GBK" w:eastAsia="方正仿宋_GBK" w:cs="方正仿宋_GBK"/>
          <w:kern w:val="0"/>
          <w:sz w:val="24"/>
          <w:szCs w:val="24"/>
          <w:highlight w:val="none"/>
          <w:u w:val="none" w:color="auto"/>
        </w:rPr>
      </w:pPr>
      <w:r>
        <w:rPr>
          <w:rFonts w:hint="eastAsia" w:ascii="方正仿宋_GBK" w:hAnsi="方正仿宋_GBK" w:eastAsia="方正仿宋_GBK" w:cs="方正仿宋_GBK"/>
          <w:kern w:val="0"/>
          <w:sz w:val="24"/>
          <w:szCs w:val="24"/>
          <w:highlight w:val="none"/>
        </w:rPr>
        <w:t>最低评标价法，是指</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投标文件满足招标文件全部实质性要求且投标报价最低的投标人为中标候选人的评标方法。</w:t>
      </w:r>
      <w:r>
        <w:rPr>
          <w:rFonts w:hint="eastAsia" w:ascii="方正仿宋_GBK" w:hAnsi="方正仿宋_GBK" w:eastAsia="方正仿宋_GBK" w:cs="方正仿宋_GBK"/>
          <w:kern w:val="0"/>
          <w:sz w:val="24"/>
          <w:szCs w:val="24"/>
          <w:highlight w:val="none"/>
          <w:u w:val="none" w:color="auto"/>
        </w:rPr>
        <w:t>。</w:t>
      </w:r>
    </w:p>
    <w:p>
      <w:pPr>
        <w:snapToGrid w:val="0"/>
        <w:spacing w:line="400" w:lineRule="exact"/>
        <w:ind w:firstLine="480" w:firstLineChars="200"/>
        <w:rPr>
          <w:rFonts w:hint="eastAsia" w:ascii="方正仿宋_GBK" w:hAnsi="方正仿宋_GBK" w:eastAsia="方正仿宋_GBK" w:cs="方正仿宋_GBK"/>
          <w:sz w:val="24"/>
          <w:szCs w:val="24"/>
          <w:highlight w:val="none"/>
          <w:u w:val="none" w:color="auto"/>
        </w:rPr>
      </w:pPr>
      <w:r>
        <w:rPr>
          <w:rFonts w:hint="eastAsia" w:ascii="方正仿宋_GBK" w:hAnsi="方正仿宋_GBK" w:eastAsia="方正仿宋_GBK" w:cs="方正仿宋_GBK"/>
          <w:sz w:val="24"/>
          <w:szCs w:val="24"/>
          <w:highlight w:val="none"/>
          <w:u w:val="none" w:color="auto"/>
        </w:rPr>
        <w:t>澄清有关问题。</w:t>
      </w:r>
      <w:r>
        <w:rPr>
          <w:rFonts w:hint="eastAsia" w:ascii="方正仿宋_GBK" w:hAnsi="方正仿宋_GBK" w:eastAsia="方正仿宋_GBK" w:cs="方正仿宋_GBK"/>
          <w:kern w:val="0"/>
          <w:sz w:val="24"/>
          <w:szCs w:val="24"/>
          <w:highlight w:val="none"/>
        </w:rPr>
        <w:t>对电子投标文件中含义不明确、同类问题表述不一致或者有明显文字和计算错误的内容，评标委员会可在线要求投标人作出必要澄清、说明或者纠正，其澄清的内容不得超出电子投标文件的范围或者改变电子投标文件的实质性内容。澄清内容以线下书面形式作出，</w:t>
      </w:r>
      <w:bookmarkStart w:id="382" w:name="_Hlk148269031"/>
      <w:r>
        <w:rPr>
          <w:rFonts w:hint="eastAsia" w:ascii="方正仿宋_GBK" w:hAnsi="方正仿宋_GBK" w:eastAsia="方正仿宋_GBK" w:cs="方正仿宋_GBK"/>
          <w:kern w:val="0"/>
          <w:sz w:val="24"/>
          <w:szCs w:val="24"/>
          <w:highlight w:val="none"/>
        </w:rPr>
        <w:t>文件电子化上传</w:t>
      </w:r>
      <w:bookmarkEnd w:id="382"/>
      <w:r>
        <w:rPr>
          <w:rFonts w:hint="eastAsia" w:ascii="方正仿宋_GBK" w:hAnsi="方正仿宋_GBK" w:eastAsia="方正仿宋_GBK" w:cs="方正仿宋_GBK"/>
          <w:kern w:val="0"/>
          <w:sz w:val="24"/>
          <w:szCs w:val="24"/>
          <w:highlight w:val="none"/>
        </w:rPr>
        <w:t>。</w:t>
      </w:r>
      <w:bookmarkStart w:id="383" w:name="_Hlk148269077"/>
      <w:r>
        <w:rPr>
          <w:rFonts w:hint="eastAsia" w:ascii="方正仿宋_GBK" w:hAnsi="方正仿宋_GBK" w:eastAsia="方正仿宋_GBK" w:cs="方正仿宋_GBK"/>
          <w:kern w:val="0"/>
          <w:sz w:val="24"/>
          <w:szCs w:val="24"/>
          <w:highlight w:val="none"/>
        </w:rPr>
        <w:t>投标人通过书面形式作出的澄清、说明或者纠正应当由法定代表人（或其授权代表）或自然人（投标人为自然人）签署或者加盖公章并将澄清等文件扫描为PDF格式，上传至电子开标室的“问题澄清”输入框中的“澄清附件”中。由授权代表签署的，应当附法定代表人授权书。投标人为自然人的，应当由本人签署并附身份证明。以上签署等文件都要以PDF格式上传到“问题澄清”输入框中的“澄清附件”（澄清附件只允许一个文档上传，所有上传文件都应归到一个PDF文档当中）</w:t>
      </w:r>
      <w:bookmarkEnd w:id="383"/>
      <w:r>
        <w:rPr>
          <w:rFonts w:hint="eastAsia" w:ascii="方正仿宋_GBK" w:hAnsi="方正仿宋_GBK" w:eastAsia="方正仿宋_GBK" w:cs="方正仿宋_GBK"/>
          <w:sz w:val="24"/>
          <w:szCs w:val="24"/>
          <w:highlight w:val="none"/>
          <w:u w:val="none" w:color="auto"/>
        </w:rPr>
        <w:t>。</w:t>
      </w:r>
    </w:p>
    <w:p>
      <w:pPr>
        <w:snapToGrid w:val="0"/>
        <w:spacing w:line="400" w:lineRule="exact"/>
        <w:ind w:firstLine="482" w:firstLineChars="200"/>
        <w:outlineLvl w:val="2"/>
        <w:rPr>
          <w:rFonts w:hint="eastAsia" w:ascii="方正仿宋_GBK" w:hAnsi="方正仿宋_GBK" w:eastAsia="方正仿宋_GBK" w:cs="方正仿宋_GBK"/>
          <w:b/>
          <w:sz w:val="24"/>
          <w:szCs w:val="24"/>
          <w:highlight w:val="none"/>
        </w:rPr>
      </w:pPr>
      <w:bookmarkStart w:id="384" w:name="_Toc267320057"/>
      <w:bookmarkStart w:id="385" w:name="_Toc22225"/>
      <w:bookmarkStart w:id="386" w:name="_Toc75793520"/>
      <w:bookmarkStart w:id="387" w:name="_Toc15716"/>
      <w:bookmarkStart w:id="388" w:name="_Toc17311"/>
      <w:bookmarkStart w:id="389" w:name="_Toc6342"/>
      <w:bookmarkStart w:id="390" w:name="_Toc19924"/>
      <w:bookmarkStart w:id="391" w:name="_Toc16020"/>
      <w:bookmarkStart w:id="392" w:name="_Toc20875"/>
      <w:bookmarkStart w:id="393" w:name="_Toc25814"/>
      <w:bookmarkStart w:id="394" w:name="_Toc20699"/>
      <w:bookmarkStart w:id="395" w:name="_Toc4511"/>
      <w:bookmarkStart w:id="396" w:name="_Toc22772"/>
      <w:bookmarkStart w:id="397" w:name="_Toc106030396"/>
      <w:bookmarkStart w:id="398" w:name="_Toc20800"/>
      <w:bookmarkStart w:id="399" w:name="_Toc24377"/>
      <w:bookmarkStart w:id="400" w:name="_Toc1055"/>
      <w:bookmarkStart w:id="401" w:name="_Toc20354"/>
      <w:bookmarkStart w:id="402" w:name="_Toc17116"/>
      <w:bookmarkStart w:id="403" w:name="_Toc5799"/>
      <w:r>
        <w:rPr>
          <w:rFonts w:hint="eastAsia" w:ascii="方正仿宋_GBK" w:hAnsi="方正仿宋_GBK" w:eastAsia="方正仿宋_GBK" w:cs="方正仿宋_GBK"/>
          <w:b/>
          <w:sz w:val="24"/>
          <w:szCs w:val="24"/>
          <w:highlight w:val="none"/>
        </w:rPr>
        <w:t>最低评标价法：</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cs="方正仿宋_GBK"/>
          <w:sz w:val="24"/>
          <w:szCs w:val="24"/>
          <w:highlight w:val="none"/>
        </w:rPr>
        <w:t>（一）比较与评价。按招标文件中规定</w:t>
      </w:r>
      <w:r>
        <w:rPr>
          <w:rFonts w:hint="eastAsia" w:ascii="方正仿宋_GBK" w:hAnsi="宋体" w:eastAsia="方正仿宋_GBK"/>
          <w:sz w:val="24"/>
          <w:szCs w:val="24"/>
          <w:highlight w:val="none"/>
        </w:rPr>
        <w:t>的评标方法和标准，对资格审查和符合性审查合格的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投标文件进行商务和技术评估。</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同一合同项（包）下为单一品目或非单一品目核心产品品牌的货物采购招标中，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（二）推荐中标候选人名单。</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推荐投标文件满足招标文件全部实质性要求，投标报价进行政策性扣减，并依据扣减后的价格按照由低到高的顺序排名前三的投标人为中标候选人，其中排名第一的投标人为第一中标候选人。</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rPr>
        <w:t>评标结果按投标报价由低到高顺序排列，若投标报价相同的并列。</w:t>
      </w:r>
    </w:p>
    <w:p>
      <w:pPr>
        <w:pStyle w:val="4"/>
        <w:spacing w:line="400" w:lineRule="exact"/>
        <w:ind w:firstLine="482" w:firstLineChars="200"/>
        <w:rPr>
          <w:rFonts w:hint="eastAsia" w:ascii="方正仿宋_GBK" w:eastAsia="方正仿宋_GBK"/>
          <w:b/>
          <w:sz w:val="24"/>
          <w:szCs w:val="24"/>
          <w:highlight w:val="none"/>
          <w:u w:val="none" w:color="auto"/>
        </w:rPr>
      </w:pPr>
      <w:bookmarkStart w:id="404" w:name="_Toc675004504"/>
      <w:r>
        <w:rPr>
          <w:rFonts w:hint="eastAsia" w:ascii="方正仿宋_GBK" w:eastAsia="方正仿宋_GBK"/>
          <w:b/>
          <w:sz w:val="24"/>
          <w:szCs w:val="24"/>
          <w:highlight w:val="none"/>
          <w:u w:val="none" w:color="auto"/>
        </w:rPr>
        <w:t>三、评标标准</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pPr>
        <w:snapToGrid w:val="0"/>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最低评标价法：</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（一）关于技术（质量）、商务偏离</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1.投标文件投标应答有一条及以上不满足招标文件“第二篇 项目技术（质量）需求”要求的（“※”号标注的部分除外），投标人将失去成为中标候选人的资格；</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2.投标文件投标应答有一条及以上不满足招标文件“第三篇 项目商务需求”要求的（“※”号标注的部分除外），投标人将失去成为中标候选人的资格；</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4"/>
        <w:spacing w:line="400" w:lineRule="exact"/>
        <w:ind w:firstLine="482" w:firstLineChars="200"/>
        <w:rPr>
          <w:rFonts w:hint="eastAsia" w:ascii="方正仿宋_GBK" w:eastAsia="方正仿宋_GBK"/>
          <w:b/>
          <w:sz w:val="24"/>
          <w:szCs w:val="24"/>
          <w:highlight w:val="none"/>
          <w:u w:val="none" w:color="auto"/>
        </w:rPr>
      </w:pPr>
      <w:bookmarkStart w:id="405" w:name="_Toc20423"/>
      <w:bookmarkStart w:id="406" w:name="_Toc13045"/>
      <w:bookmarkStart w:id="407" w:name="_Toc17065"/>
      <w:bookmarkStart w:id="408" w:name="_Toc2483"/>
      <w:bookmarkStart w:id="409" w:name="_Toc4045"/>
      <w:bookmarkStart w:id="410" w:name="_Toc29586"/>
      <w:bookmarkStart w:id="411" w:name="_Toc29658"/>
      <w:bookmarkStart w:id="412" w:name="_Toc19638"/>
      <w:bookmarkStart w:id="413" w:name="_Toc30659"/>
      <w:bookmarkStart w:id="414" w:name="_Toc10923"/>
      <w:bookmarkStart w:id="415" w:name="_Toc1833321924"/>
      <w:bookmarkStart w:id="416" w:name="_Toc18716"/>
      <w:bookmarkStart w:id="417" w:name="_Toc5010"/>
      <w:bookmarkStart w:id="418" w:name="_Toc26747"/>
      <w:bookmarkStart w:id="419" w:name="_Toc22167"/>
      <w:bookmarkStart w:id="420" w:name="_Toc27926"/>
      <w:bookmarkStart w:id="421" w:name="_Toc13232"/>
      <w:bookmarkStart w:id="422" w:name="_Toc106030397"/>
      <w:bookmarkStart w:id="423" w:name="_Toc15200"/>
      <w:bookmarkStart w:id="424" w:name="_Toc75793521"/>
      <w:r>
        <w:rPr>
          <w:rFonts w:hint="eastAsia" w:ascii="方正仿宋_GBK" w:eastAsia="方正仿宋_GBK"/>
          <w:b/>
          <w:sz w:val="24"/>
          <w:szCs w:val="24"/>
          <w:highlight w:val="none"/>
          <w:u w:val="none" w:color="auto"/>
        </w:rPr>
        <w:t>四、无效投标条款</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投标人或其投标文件出现下列情况之一者，应为无效投标：</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（一）未按照招标文件的规定提交投标保证金的；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w:t>
      </w:r>
      <w:r>
        <w:rPr>
          <w:rFonts w:hint="eastAsia" w:ascii="方正仿宋_GBK" w:hAnsi="宋体" w:eastAsia="方正仿宋_GBK"/>
          <w:sz w:val="24"/>
          <w:szCs w:val="24"/>
          <w:highlight w:val="none"/>
          <w:u w:val="none" w:color="auto"/>
          <w:lang w:eastAsia="zh-CN"/>
        </w:rPr>
        <w:t>电子</w:t>
      </w:r>
      <w:r>
        <w:rPr>
          <w:rFonts w:hint="eastAsia" w:ascii="方正仿宋_GBK" w:hAnsi="宋体" w:eastAsia="方正仿宋_GBK"/>
          <w:sz w:val="24"/>
          <w:szCs w:val="24"/>
          <w:highlight w:val="none"/>
          <w:u w:val="none" w:color="auto"/>
        </w:rPr>
        <w:t>投标文件未按招标文件要求签署、盖章的；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（三）不具备招标文件中规定的资格要求的；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（四）报价超过招标文件中规定的预算金额或者最高限价的；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（五）</w:t>
      </w:r>
      <w:r>
        <w:rPr>
          <w:rFonts w:hint="eastAsia" w:ascii="方正仿宋_GBK" w:hAnsi="宋体" w:eastAsia="方正仿宋_GBK"/>
          <w:sz w:val="24"/>
          <w:szCs w:val="24"/>
          <w:highlight w:val="none"/>
          <w:u w:val="none" w:color="auto"/>
          <w:lang w:eastAsia="zh-CN"/>
        </w:rPr>
        <w:t>电子</w:t>
      </w:r>
      <w:r>
        <w:rPr>
          <w:rFonts w:hint="eastAsia" w:ascii="方正仿宋_GBK" w:hAnsi="宋体" w:eastAsia="方正仿宋_GBK"/>
          <w:sz w:val="24"/>
          <w:szCs w:val="24"/>
          <w:highlight w:val="none"/>
          <w:u w:val="none" w:color="auto"/>
        </w:rPr>
        <w:t>投标文件含有采购人不能接受的附加条件的；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（六）投标人串通投标的；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（七）法律、法规和招标文件规定的其他无效情形。</w:t>
      </w:r>
    </w:p>
    <w:p>
      <w:pPr>
        <w:pStyle w:val="4"/>
        <w:spacing w:line="400" w:lineRule="exact"/>
        <w:ind w:firstLine="482" w:firstLineChars="200"/>
        <w:rPr>
          <w:rFonts w:hint="eastAsia" w:ascii="方正仿宋_GBK" w:eastAsia="方正仿宋_GBK"/>
          <w:b/>
          <w:sz w:val="24"/>
          <w:szCs w:val="24"/>
          <w:highlight w:val="none"/>
          <w:u w:val="none" w:color="auto"/>
        </w:rPr>
      </w:pPr>
      <w:bookmarkStart w:id="425" w:name="_Toc7802"/>
      <w:bookmarkStart w:id="426" w:name="_Toc25960"/>
      <w:bookmarkStart w:id="427" w:name="_Toc4422"/>
      <w:bookmarkStart w:id="428" w:name="_Toc75793522"/>
      <w:bookmarkStart w:id="429" w:name="_Toc6204"/>
      <w:bookmarkStart w:id="430" w:name="_Toc106030398"/>
      <w:bookmarkStart w:id="431" w:name="_Toc6719"/>
      <w:bookmarkStart w:id="432" w:name="_Toc11293"/>
      <w:bookmarkStart w:id="433" w:name="_Toc21946"/>
      <w:bookmarkStart w:id="434" w:name="_Toc30605"/>
      <w:bookmarkStart w:id="435" w:name="_Toc6956"/>
      <w:bookmarkStart w:id="436" w:name="_Toc176251944"/>
      <w:bookmarkStart w:id="437" w:name="_Toc23533"/>
      <w:bookmarkStart w:id="438" w:name="_Toc20005"/>
      <w:bookmarkStart w:id="439" w:name="_Toc10367"/>
      <w:bookmarkStart w:id="440" w:name="_Toc29242"/>
      <w:bookmarkStart w:id="441" w:name="_Toc27133"/>
      <w:bookmarkStart w:id="442" w:name="_Toc19742"/>
      <w:bookmarkStart w:id="443" w:name="_Toc25549"/>
      <w:bookmarkStart w:id="444" w:name="_Toc14355"/>
      <w:r>
        <w:rPr>
          <w:rFonts w:hint="eastAsia" w:ascii="方正仿宋_GBK" w:eastAsia="方正仿宋_GBK"/>
          <w:b/>
          <w:sz w:val="24"/>
          <w:szCs w:val="24"/>
          <w:highlight w:val="none"/>
          <w:u w:val="none" w:color="auto"/>
        </w:rPr>
        <w:t>五、废标条款</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在招标采购中，出现下列情形之一的，应予废标：</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（一）符合专业条件的投标人或者对招标文件作实质响应的投标人不足三家的；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（二）投标人的报价均超过了采购预算，采购人不能支付的；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（三）出现影响采购公正的违法、违规行为的；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（四）因重大变故，采购任务取消的。</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废标后，除采购任务取消情形外，应当重新组织采购。</w:t>
      </w:r>
    </w:p>
    <w:p>
      <w:pPr>
        <w:pStyle w:val="3"/>
        <w:spacing w:before="0" w:beforeLines="0" w:after="0" w:afterLines="0" w:line="360" w:lineRule="auto"/>
        <w:rPr>
          <w:rFonts w:hint="eastAsia" w:ascii="方正仿宋_GBK" w:eastAsia="方正仿宋_GBK"/>
          <w:b/>
          <w:highlight w:val="none"/>
          <w:u w:val="none" w:color="auto"/>
        </w:rPr>
      </w:pPr>
      <w:r>
        <w:rPr>
          <w:rFonts w:hint="eastAsia" w:ascii="方正仿宋_GBK" w:hAnsi="宋体" w:eastAsia="方正仿宋_GBK"/>
          <w:sz w:val="28"/>
          <w:highlight w:val="none"/>
          <w:u w:val="none" w:color="auto"/>
        </w:rPr>
        <w:br w:type="page"/>
      </w:r>
      <w:bookmarkStart w:id="445" w:name="_Toc22201"/>
      <w:bookmarkStart w:id="446" w:name="_Toc29546"/>
      <w:bookmarkStart w:id="447" w:name="_Toc24387"/>
      <w:bookmarkStart w:id="448" w:name="_Toc1982"/>
      <w:bookmarkStart w:id="449" w:name="_Toc25962"/>
      <w:bookmarkStart w:id="450" w:name="_Toc18502"/>
      <w:bookmarkStart w:id="451" w:name="_Toc106030399"/>
      <w:bookmarkStart w:id="452" w:name="_Toc19831"/>
      <w:bookmarkStart w:id="453" w:name="_Toc19441"/>
      <w:bookmarkStart w:id="454" w:name="_Toc5106"/>
      <w:bookmarkStart w:id="455" w:name="_Toc861001972"/>
      <w:bookmarkStart w:id="456" w:name="_Toc22256"/>
      <w:bookmarkStart w:id="457" w:name="_Toc21000"/>
      <w:bookmarkStart w:id="458" w:name="_Toc25755"/>
      <w:bookmarkStart w:id="459" w:name="_Toc16241"/>
      <w:bookmarkStart w:id="460" w:name="_Toc75793523"/>
      <w:bookmarkStart w:id="461" w:name="_Toc21720"/>
      <w:bookmarkStart w:id="462" w:name="_Toc4735"/>
      <w:bookmarkStart w:id="463" w:name="_Toc13159"/>
      <w:bookmarkStart w:id="464" w:name="_Toc12533"/>
      <w:r>
        <w:rPr>
          <w:rFonts w:hint="eastAsia" w:ascii="方正仿宋_GBK" w:eastAsia="方正仿宋_GBK"/>
          <w:b/>
          <w:highlight w:val="none"/>
          <w:u w:val="none" w:color="auto"/>
        </w:rPr>
        <w:t>第五篇  投标人须知</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pStyle w:val="4"/>
        <w:spacing w:line="400" w:lineRule="exact"/>
        <w:ind w:firstLine="482" w:firstLineChars="200"/>
        <w:rPr>
          <w:rFonts w:hint="eastAsia" w:ascii="方正仿宋_GBK" w:eastAsia="方正仿宋_GBK"/>
          <w:b/>
          <w:sz w:val="24"/>
          <w:highlight w:val="none"/>
          <w:u w:val="none" w:color="auto"/>
        </w:rPr>
      </w:pPr>
      <w:bookmarkStart w:id="465" w:name="_Toc12955"/>
      <w:bookmarkStart w:id="466" w:name="_Toc3327"/>
      <w:bookmarkStart w:id="467" w:name="_Toc27405"/>
      <w:bookmarkStart w:id="468" w:name="_Toc18929"/>
      <w:bookmarkStart w:id="469" w:name="_Toc11996"/>
      <w:bookmarkStart w:id="470" w:name="_Toc422"/>
      <w:bookmarkStart w:id="471" w:name="_Toc18655"/>
      <w:bookmarkStart w:id="472" w:name="_Toc1327"/>
      <w:bookmarkStart w:id="473" w:name="_Toc112859808"/>
      <w:bookmarkStart w:id="474" w:name="_Toc106030400"/>
      <w:bookmarkStart w:id="475" w:name="_Toc10657"/>
      <w:bookmarkStart w:id="476" w:name="_Toc75793524"/>
      <w:bookmarkStart w:id="477" w:name="_Toc15432"/>
      <w:bookmarkStart w:id="478" w:name="_Toc29189"/>
      <w:bookmarkStart w:id="479" w:name="_Toc2439"/>
      <w:bookmarkStart w:id="480" w:name="_Toc3330"/>
      <w:bookmarkStart w:id="481" w:name="_Toc20020"/>
      <w:bookmarkStart w:id="482" w:name="_Toc10325"/>
      <w:bookmarkStart w:id="483" w:name="_Toc13197"/>
      <w:bookmarkStart w:id="484" w:name="_Toc12172"/>
      <w:r>
        <w:rPr>
          <w:rFonts w:hint="eastAsia" w:ascii="方正仿宋_GBK" w:eastAsia="方正仿宋_GBK"/>
          <w:b/>
          <w:sz w:val="24"/>
          <w:highlight w:val="none"/>
          <w:u w:val="none" w:color="auto"/>
        </w:rPr>
        <w:t>一、投标人</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（一）投标人</w:t>
      </w:r>
    </w:p>
    <w:p>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投标人是指响应招标、参加投标竞争的法人、其他组织或者自然人。</w:t>
      </w:r>
    </w:p>
    <w:p>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（二）合格投标人条件</w:t>
      </w:r>
    </w:p>
    <w:p>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合格投标人应完全符合招标文件第一篇中规定的投标人资格条件，并对招标文件作出实质性响应。</w:t>
      </w:r>
    </w:p>
    <w:p>
      <w:pPr>
        <w:snapToGrid w:val="0"/>
        <w:spacing w:line="400" w:lineRule="exact"/>
        <w:ind w:firstLine="480" w:firstLineChars="200"/>
        <w:outlineLvl w:val="2"/>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（三）投标人的风险</w:t>
      </w:r>
    </w:p>
    <w:p>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投标人没有按照招标文件要求提供全部资料，或者投标人没有对招标文件在各方面作出实质性响应，可能导致投标被拒绝或评定为无效投标。</w:t>
      </w:r>
    </w:p>
    <w:p>
      <w:pPr>
        <w:snapToGrid w:val="0"/>
        <w:spacing w:line="400" w:lineRule="exact"/>
        <w:ind w:firstLine="480" w:firstLineChars="200"/>
        <w:outlineLvl w:val="2"/>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（四）法律责任</w:t>
      </w:r>
    </w:p>
    <w:p>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投标人违反《中华人民共和国政府采购法》、《中华人民共和国政府采购实施条例》等相关规定，将按规定追究投标人法律责任。</w:t>
      </w:r>
    </w:p>
    <w:p>
      <w:pPr>
        <w:pStyle w:val="4"/>
        <w:spacing w:line="400" w:lineRule="exact"/>
        <w:ind w:firstLine="482" w:firstLineChars="200"/>
        <w:rPr>
          <w:rFonts w:hint="eastAsia" w:ascii="方正仿宋_GBK" w:eastAsia="方正仿宋_GBK"/>
          <w:b/>
          <w:sz w:val="24"/>
          <w:highlight w:val="none"/>
          <w:u w:val="none" w:color="auto"/>
        </w:rPr>
      </w:pPr>
      <w:bookmarkStart w:id="485" w:name="_Toc12347"/>
      <w:bookmarkStart w:id="486" w:name="_Toc2692"/>
      <w:bookmarkStart w:id="487" w:name="_Toc4836"/>
      <w:bookmarkStart w:id="488" w:name="_Toc20751"/>
      <w:bookmarkStart w:id="489" w:name="_Toc15851"/>
      <w:bookmarkStart w:id="490" w:name="_Toc17367"/>
      <w:bookmarkStart w:id="491" w:name="_Toc22254"/>
      <w:bookmarkStart w:id="492" w:name="_Toc167"/>
      <w:bookmarkStart w:id="493" w:name="_Toc109073776"/>
      <w:bookmarkStart w:id="494" w:name="_Toc15037"/>
      <w:bookmarkStart w:id="495" w:name="_Toc1815"/>
      <w:bookmarkStart w:id="496" w:name="_Toc26158"/>
      <w:bookmarkStart w:id="497" w:name="_Toc11909"/>
      <w:bookmarkStart w:id="498" w:name="_Toc106030401"/>
      <w:bookmarkStart w:id="499" w:name="_Toc15849"/>
      <w:bookmarkStart w:id="500" w:name="_Toc26074"/>
      <w:bookmarkStart w:id="501" w:name="_Toc29334"/>
      <w:bookmarkStart w:id="502" w:name="_Toc75793525"/>
      <w:bookmarkStart w:id="503" w:name="_Toc32343"/>
      <w:bookmarkStart w:id="504" w:name="_Toc13133"/>
      <w:r>
        <w:rPr>
          <w:rFonts w:hint="eastAsia" w:ascii="方正仿宋_GBK" w:eastAsia="方正仿宋_GBK"/>
          <w:b/>
          <w:sz w:val="24"/>
          <w:highlight w:val="none"/>
          <w:u w:val="none" w:color="auto"/>
        </w:rPr>
        <w:t>二、招标文件</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招标文件是投标人编制投标文件的依据，是评标委员会评判依据和标准。招标文件也是采购人与中标人签订合同的基础。</w:t>
      </w:r>
    </w:p>
    <w:p>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hAnsi="宋体" w:eastAsia="方正仿宋_GBK"/>
          <w:sz w:val="24"/>
          <w:highlight w:val="none"/>
          <w:u w:val="none" w:color="auto"/>
        </w:rPr>
        <w:t>（一）</w:t>
      </w:r>
      <w:r>
        <w:rPr>
          <w:rFonts w:hint="eastAsia" w:ascii="方正仿宋_GBK" w:eastAsia="方正仿宋_GBK"/>
          <w:sz w:val="24"/>
          <w:highlight w:val="none"/>
          <w:u w:val="none" w:color="auto"/>
        </w:rPr>
        <w:t>招标文件由投标邀请书；项目技术（质量）需求；商务条款；投标人须知；评标方法、评标标准、无效投标条款和废标条款；合同主要条款、合同范本；</w:t>
      </w:r>
      <w:r>
        <w:rPr>
          <w:rFonts w:hint="eastAsia" w:ascii="方正仿宋_GBK" w:eastAsia="方正仿宋_GBK"/>
          <w:sz w:val="24"/>
          <w:highlight w:val="none"/>
          <w:u w:val="none" w:color="auto"/>
          <w:lang w:eastAsia="zh-CN"/>
        </w:rPr>
        <w:t>电子</w:t>
      </w:r>
      <w:r>
        <w:rPr>
          <w:rFonts w:hint="eastAsia" w:ascii="方正仿宋_GBK" w:eastAsia="方正仿宋_GBK"/>
          <w:sz w:val="24"/>
          <w:highlight w:val="none"/>
          <w:u w:val="none" w:color="auto"/>
        </w:rPr>
        <w:t>投标文件格式等七部分组成。</w:t>
      </w:r>
    </w:p>
    <w:p>
      <w:pPr>
        <w:snapToGrid w:val="0"/>
        <w:spacing w:line="400" w:lineRule="exact"/>
        <w:ind w:firstLine="480"/>
        <w:rPr>
          <w:rFonts w:hint="eastAsia" w:ascii="方正仿宋_GBK" w:hAnsi="方正仿宋_GBK" w:eastAsia="方正仿宋_GBK"/>
          <w:sz w:val="24"/>
          <w:highlight w:val="none"/>
          <w:u w:val="none" w:color="auto"/>
        </w:rPr>
      </w:pPr>
      <w:r>
        <w:rPr>
          <w:rFonts w:hint="eastAsia" w:ascii="方正仿宋_GBK" w:hAnsi="宋体" w:eastAsia="方正仿宋_GBK"/>
          <w:sz w:val="24"/>
          <w:szCs w:val="28"/>
          <w:highlight w:val="none"/>
          <w:u w:val="none" w:color="auto"/>
        </w:rPr>
        <w:t>（二）</w:t>
      </w:r>
      <w:r>
        <w:rPr>
          <w:rFonts w:hint="eastAsia" w:ascii="方正仿宋_GBK" w:hAnsi="方正仿宋_GBK" w:eastAsia="方正仿宋_GBK"/>
          <w:sz w:val="24"/>
          <w:highlight w:val="none"/>
          <w:u w:val="none" w:color="auto"/>
        </w:rPr>
        <w:t>采购代理机构对招标文件所作的一切有效的书面通知、修改及补充，都是招标文件不可分割的部分。</w:t>
      </w:r>
    </w:p>
    <w:p>
      <w:pPr>
        <w:snapToGrid w:val="0"/>
        <w:spacing w:line="400" w:lineRule="exact"/>
        <w:ind w:firstLine="48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三）本项目的招标文件、补遗文件（如果有）一律在垫江县国企数字化采购平台（https://djxgzw.gec123.com/）、行采家（https://www.gec123.com）和重庆市公共资源交易网（垫江县）（https://www.cqggzy.com/dianjiangweb/）上发布，请各投标人注意下载；无论投标人下载与否，均视同投标人已知晓本项目招标文件、补遗文件的内容。</w:t>
      </w:r>
    </w:p>
    <w:p>
      <w:pPr>
        <w:snapToGrid w:val="0"/>
        <w:spacing w:line="400" w:lineRule="exact"/>
        <w:ind w:firstLine="48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sz w:val="24"/>
          <w:highlight w:val="none"/>
          <w:u w:val="none" w:color="auto"/>
        </w:rPr>
        <w:t>（四）采购代理机构对已发出的招标文件需要进行澄清或修改的，应以公告形式通知</w:t>
      </w:r>
      <w:r>
        <w:rPr>
          <w:rFonts w:hint="eastAsia" w:ascii="方正仿宋_GBK" w:hAnsi="方正仿宋_GBK" w:eastAsia="方正仿宋_GBK" w:cs="方正仿宋_GBK"/>
          <w:sz w:val="24"/>
          <w:highlight w:val="none"/>
          <w:u w:val="none" w:color="auto"/>
        </w:rPr>
        <w:t>所有招标文件收受人。该澄清或者修改的内容为招标文件的组成部分。</w:t>
      </w:r>
    </w:p>
    <w:p>
      <w:pPr>
        <w:pStyle w:val="4"/>
        <w:spacing w:line="400" w:lineRule="exact"/>
        <w:ind w:firstLine="482" w:firstLineChars="200"/>
        <w:rPr>
          <w:rFonts w:hint="eastAsia" w:ascii="方正仿宋_GBK" w:hAnsi="方正仿宋_GBK" w:eastAsia="方正仿宋_GBK" w:cs="方正仿宋_GBK"/>
          <w:b/>
          <w:sz w:val="24"/>
          <w:highlight w:val="none"/>
          <w:u w:val="none" w:color="auto"/>
        </w:rPr>
      </w:pPr>
      <w:bookmarkStart w:id="505" w:name="_Toc14777"/>
      <w:bookmarkStart w:id="506" w:name="_Toc3303"/>
      <w:bookmarkStart w:id="507" w:name="_Toc28745"/>
      <w:bookmarkStart w:id="508" w:name="_Toc32133"/>
      <w:bookmarkStart w:id="509" w:name="_Toc14835"/>
      <w:bookmarkStart w:id="510" w:name="_Toc29417"/>
      <w:bookmarkStart w:id="511" w:name="_Toc15881"/>
      <w:bookmarkStart w:id="512" w:name="_Toc13738"/>
      <w:bookmarkStart w:id="513" w:name="_Toc23192"/>
      <w:bookmarkStart w:id="514" w:name="_Toc29709"/>
      <w:bookmarkStart w:id="515" w:name="_Toc28353"/>
      <w:bookmarkStart w:id="516" w:name="_Toc75793526"/>
      <w:bookmarkStart w:id="517" w:name="_Toc27321"/>
      <w:bookmarkStart w:id="518" w:name="_Toc386443395"/>
      <w:bookmarkStart w:id="519" w:name="_Toc15470"/>
      <w:bookmarkStart w:id="520" w:name="_Toc2716"/>
      <w:bookmarkStart w:id="521" w:name="_Toc21839"/>
      <w:bookmarkStart w:id="522" w:name="_Toc27176"/>
      <w:bookmarkStart w:id="523" w:name="_Toc106030402"/>
      <w:bookmarkStart w:id="524" w:name="_Toc6362"/>
      <w:r>
        <w:rPr>
          <w:rFonts w:hint="eastAsia" w:ascii="方正仿宋_GBK" w:hAnsi="方正仿宋_GBK" w:eastAsia="方正仿宋_GBK" w:cs="方正仿宋_GBK"/>
          <w:b/>
          <w:sz w:val="24"/>
          <w:highlight w:val="none"/>
          <w:u w:val="none" w:color="auto"/>
        </w:rPr>
        <w:t>三、</w:t>
      </w:r>
      <w:r>
        <w:rPr>
          <w:rFonts w:hint="eastAsia" w:ascii="方正仿宋_GBK" w:hAnsi="方正仿宋_GBK" w:eastAsia="方正仿宋_GBK" w:cs="方正仿宋_GBK"/>
          <w:b/>
          <w:sz w:val="24"/>
          <w:highlight w:val="none"/>
          <w:u w:val="none" w:color="auto"/>
          <w:lang w:eastAsia="zh-CN"/>
        </w:rPr>
        <w:t>电子</w:t>
      </w:r>
      <w:r>
        <w:rPr>
          <w:rFonts w:hint="eastAsia" w:ascii="方正仿宋_GBK" w:hAnsi="方正仿宋_GBK" w:eastAsia="方正仿宋_GBK" w:cs="方正仿宋_GBK"/>
          <w:b/>
          <w:sz w:val="24"/>
          <w:highlight w:val="none"/>
          <w:u w:val="none" w:color="auto"/>
        </w:rPr>
        <w:t>投标文件</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投标人应当按照招标文件的要求编制电子投标文件，并对招标文件提出的要求和条件作出实质性响应，电子投标文件应编制完整的页码、目录。</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（一）电子投标文件组成</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电子投标文件主体内容由第七篇“</w:t>
      </w:r>
      <w:r>
        <w:rPr>
          <w:rFonts w:hint="eastAsia" w:ascii="方正仿宋_GBK" w:hAnsi="方正仿宋_GBK" w:eastAsia="方正仿宋_GBK" w:cs="方正仿宋_GBK"/>
          <w:sz w:val="24"/>
          <w:highlight w:val="none"/>
          <w:lang w:eastAsia="zh-CN"/>
        </w:rPr>
        <w:t>电子</w:t>
      </w:r>
      <w:r>
        <w:rPr>
          <w:rFonts w:hint="eastAsia" w:ascii="方正仿宋_GBK" w:hAnsi="方正仿宋_GBK" w:eastAsia="方正仿宋_GBK" w:cs="方正仿宋_GBK"/>
          <w:sz w:val="24"/>
          <w:highlight w:val="none"/>
        </w:rPr>
        <w:t>投标文件格式”规定的部分和投标人所作的一切有效补充、修改和承诺等文件组成，投标人应按照第七篇“</w:t>
      </w:r>
      <w:r>
        <w:rPr>
          <w:rFonts w:hint="eastAsia" w:ascii="方正仿宋_GBK" w:hAnsi="方正仿宋_GBK" w:eastAsia="方正仿宋_GBK" w:cs="方正仿宋_GBK"/>
          <w:sz w:val="24"/>
          <w:highlight w:val="none"/>
          <w:lang w:eastAsia="zh-CN"/>
        </w:rPr>
        <w:t>电子</w:t>
      </w:r>
      <w:r>
        <w:rPr>
          <w:rFonts w:hint="eastAsia" w:ascii="方正仿宋_GBK" w:hAnsi="方正仿宋_GBK" w:eastAsia="方正仿宋_GBK" w:cs="方正仿宋_GBK"/>
          <w:sz w:val="24"/>
          <w:highlight w:val="none"/>
        </w:rPr>
        <w:t>投标文件格式”规定的目录顺序组织编写。</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电子投标文件必须根据《行采家全程电子化操作手册-供应商(CA证书解密版)》手册第五章内容，完成电子投标文件的报价一览表信息填写、投标文件（PDF格式）的导入、条款页码关联、电子投标文件电子章签署、下载加密电子投标文件等工作。否则有可能影响评委对电子投标文件的评审。</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（二）投标有效期</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投标有效期为投标截止时间起90天。</w:t>
      </w:r>
    </w:p>
    <w:p>
      <w:pPr>
        <w:shd w:val="clear"/>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（三）投标文件的份数和签署</w:t>
      </w:r>
    </w:p>
    <w:p>
      <w:pPr>
        <w:shd w:val="clear"/>
        <w:tabs>
          <w:tab w:val="left" w:pos="1764"/>
        </w:tabs>
        <w:snapToGrid w:val="0"/>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一式一份，投标时请提交通过投标文件制作系统下载的电子加密投标文件。若因系统或CA证书异常原因无法正常解密，投标人须在电子开标室向采购代理机构申请提交电子备份投标文件，电子招投标系统会对电子备份投标文件与电子加密投标文件的一致性进行核验，若投标人操作失误，后果自行负责。</w:t>
      </w:r>
    </w:p>
    <w:p>
      <w:pPr>
        <w:shd w:val="clear"/>
        <w:tabs>
          <w:tab w:val="left" w:pos="1764"/>
        </w:tabs>
        <w:snapToGrid w:val="0"/>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2.在电子投标文件中，招标文件第七篇投标文件格式中规定签署、盖章的地方必须按其规定签署、盖章。</w:t>
      </w:r>
    </w:p>
    <w:p>
      <w:pPr>
        <w:shd w:val="clear"/>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sz w:val="24"/>
          <w:highlight w:val="none"/>
        </w:rPr>
        <w:t>3.电报、电话、传真形式的投标文件概不接受。</w:t>
      </w:r>
    </w:p>
    <w:p>
      <w:pPr>
        <w:shd w:val="clear"/>
        <w:snapToGrid w:val="0"/>
        <w:spacing w:line="400" w:lineRule="exact"/>
        <w:ind w:firstLine="470" w:firstLineChars="196"/>
        <w:jc w:val="left"/>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（四）投标报价</w:t>
      </w:r>
    </w:p>
    <w:p>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1.投标人应严格按照“投标文件格式”中“开标一览表”和“电子投标文件制作系统中的报价一览表”的格式填写报价。</w:t>
      </w:r>
    </w:p>
    <w:p>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2.投标人的报价为一次性报价，即在投标有效期内投标价格固定不变。</w:t>
      </w:r>
    </w:p>
    <w:p>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3.本项目只接受一个投标报价（“投标文件格式”中“开标一览表”的报价必须和电子招投标系统中《开标一览汇总表》所展示报价一致。如果不一致时，以电子招投标系统中《开标一览汇总表》所展示报价为准），有选择的或有条件的报价将不予接受。</w:t>
      </w:r>
    </w:p>
    <w:p>
      <w:pPr>
        <w:pStyle w:val="32"/>
        <w:shd w:val="clear"/>
        <w:spacing w:line="400" w:lineRule="exact"/>
        <w:ind w:firstLine="480" w:firstLineChars="20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注：“在电子投标文件制作系统中的报价一览表所填报价”即为“电子招投标系统中《开标一览汇总表》所展示报价”。</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（五）修正错误</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若电子投标文件出现计算或表达上的错误，修正错误的原则如下：</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1.电子投标文件中开标一览表（报价表）内容与电子投标文件中相应内容不一致的，以开标一览表（报价表）为准；</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2.大写金额和小写金额不一致的，以大写金额为准；</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3.单价金额小数点或者百分比有明显错位的，以开标一览表的总价为准，并修改单价；</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4.总价金额与按单价汇总金额不一致的，以单价金额计算结果为准。</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5.电子投标文件中开标一览表（报价表）内容与电子招投标系统中《开标一览汇总表》所展示内容不一致时，以电子招投标系统中《开标一览汇总表》所展示内容为准。</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（六）投标文件的递交</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1.电子投标文件的递交按照《行采家全程电子化操作手册-供应商(CA证书解密版)》手册第七章流程操作。</w:t>
      </w:r>
    </w:p>
    <w:p>
      <w:pPr>
        <w:pStyle w:val="32"/>
        <w:shd w:val="clear"/>
        <w:spacing w:line="400" w:lineRule="exact"/>
        <w:ind w:firstLine="480" w:firstLineChars="200"/>
        <w:outlineLvl w:val="2"/>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rPr>
        <w:t>须提交的相关原件（如果有）：应完整封装，且在封套上注明项目名称、投标人名称，递交时间地点同开标时间地点。</w:t>
      </w:r>
    </w:p>
    <w:p>
      <w:pPr>
        <w:pStyle w:val="4"/>
        <w:spacing w:line="400" w:lineRule="exact"/>
        <w:ind w:firstLine="482" w:firstLineChars="200"/>
        <w:rPr>
          <w:rFonts w:hint="eastAsia" w:ascii="方正仿宋_GBK" w:hAnsi="方正仿宋_GBK" w:eastAsia="方正仿宋_GBK" w:cs="方正仿宋_GBK"/>
          <w:b/>
          <w:sz w:val="24"/>
          <w:highlight w:val="none"/>
          <w:u w:val="none" w:color="auto"/>
        </w:rPr>
      </w:pPr>
      <w:bookmarkStart w:id="525" w:name="_Toc75793527"/>
      <w:bookmarkStart w:id="526" w:name="_Toc22407"/>
      <w:bookmarkStart w:id="527" w:name="_Toc12657"/>
      <w:bookmarkStart w:id="528" w:name="_Toc4963"/>
      <w:bookmarkStart w:id="529" w:name="_Toc23080"/>
      <w:bookmarkStart w:id="530" w:name="_Toc13756"/>
      <w:bookmarkStart w:id="531" w:name="_Toc706054047"/>
      <w:bookmarkStart w:id="532" w:name="_Toc13013"/>
      <w:bookmarkStart w:id="533" w:name="_Toc4765"/>
      <w:bookmarkStart w:id="534" w:name="_Toc2517"/>
      <w:bookmarkStart w:id="535" w:name="_Toc17096"/>
      <w:bookmarkStart w:id="536" w:name="_Toc17836"/>
      <w:bookmarkStart w:id="537" w:name="_Toc12661"/>
      <w:bookmarkStart w:id="538" w:name="_Toc2597"/>
      <w:bookmarkStart w:id="539" w:name="_Toc26616"/>
      <w:bookmarkStart w:id="540" w:name="_Toc1820"/>
      <w:bookmarkStart w:id="541" w:name="_Toc106030403"/>
      <w:bookmarkStart w:id="542" w:name="_Toc29335"/>
      <w:bookmarkStart w:id="543" w:name="_Toc27924"/>
      <w:bookmarkStart w:id="544" w:name="_Toc7206"/>
      <w:r>
        <w:rPr>
          <w:rFonts w:hint="eastAsia" w:ascii="方正仿宋_GBK" w:hAnsi="方正仿宋_GBK" w:eastAsia="方正仿宋_GBK" w:cs="方正仿宋_GBK"/>
          <w:b/>
          <w:sz w:val="24"/>
          <w:highlight w:val="none"/>
          <w:u w:val="none" w:color="auto"/>
        </w:rPr>
        <w:t>四、开标</w:t>
      </w:r>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u w:val="none" w:color="auto"/>
        </w:rPr>
        <w:t>（一）</w:t>
      </w:r>
      <w:r>
        <w:rPr>
          <w:rFonts w:hint="eastAsia" w:ascii="方正仿宋_GBK" w:hAnsi="方正仿宋_GBK" w:eastAsia="方正仿宋_GBK" w:cs="方正仿宋_GBK"/>
          <w:sz w:val="24"/>
          <w:highlight w:val="none"/>
        </w:rPr>
        <w:t>开标应当在招标文件中“投标邀请书”确定的时间和地点公开进行。</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（二）采购代理机构可视采购具体情况，延长电子投标文件截止时间和开标时间，并将变更时间书面通知所有招标文件收受人。</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（三）开标由采购人或采购代理机构主持，邀请投标人和有关监督部门代表参加,有关监督部门可视情况派员现场监督。</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（四）开标时，采取电子开标，投标人在规定的时间内解密电子投标文件，电子开标室将展示投标人名称、投标价格和《开标一览汇总表》。投标人不足三家的，不得开标。</w:t>
      </w:r>
    </w:p>
    <w:p>
      <w:pPr>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（五）未宣读的投标价格、价格折扣和招标文件允许提供的备选投标方案等实质性内容等，评标时不予承认。</w:t>
      </w:r>
    </w:p>
    <w:p>
      <w:pPr>
        <w:pStyle w:val="32"/>
        <w:shd w:val="clear"/>
        <w:spacing w:line="400" w:lineRule="exact"/>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（六）开标过程由</w:t>
      </w:r>
      <w:r>
        <w:rPr>
          <w:rFonts w:hint="eastAsia" w:ascii="方正仿宋_GBK" w:hAnsi="方正仿宋_GBK" w:eastAsia="方正仿宋_GBK" w:cs="方正仿宋_GBK"/>
          <w:sz w:val="24"/>
          <w:highlight w:val="none"/>
          <w:lang w:val="en-US" w:eastAsia="zh-CN"/>
        </w:rPr>
        <w:t>垫江县国企数字化采购平台</w:t>
      </w:r>
      <w:r>
        <w:rPr>
          <w:rFonts w:hint="eastAsia" w:ascii="方正仿宋_GBK" w:hAnsi="方正仿宋_GBK" w:eastAsia="方正仿宋_GBK" w:cs="方正仿宋_GBK"/>
          <w:sz w:val="24"/>
          <w:highlight w:val="none"/>
        </w:rPr>
        <w:t>同步记录，并存档备查。</w:t>
      </w:r>
    </w:p>
    <w:p>
      <w:pPr>
        <w:pStyle w:val="32"/>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rPr>
        <w:t>（七）投标人未参加开标的，视同认可开标结果。</w:t>
      </w:r>
      <w:r>
        <w:rPr>
          <w:rFonts w:hint="eastAsia" w:ascii="方正仿宋_GBK" w:hAnsi="方正仿宋_GBK" w:eastAsia="方正仿宋_GBK" w:cs="方正仿宋_GBK"/>
          <w:sz w:val="24"/>
          <w:highlight w:val="none"/>
          <w:u w:val="none" w:color="auto"/>
        </w:rPr>
        <w:t>。</w:t>
      </w:r>
    </w:p>
    <w:p>
      <w:pPr>
        <w:pStyle w:val="4"/>
        <w:spacing w:line="400" w:lineRule="exact"/>
        <w:ind w:firstLine="482" w:firstLineChars="200"/>
        <w:rPr>
          <w:rFonts w:hint="eastAsia" w:ascii="方正仿宋_GBK" w:eastAsia="方正仿宋_GBK"/>
          <w:b/>
          <w:sz w:val="24"/>
          <w:highlight w:val="none"/>
          <w:u w:val="none" w:color="auto"/>
        </w:rPr>
      </w:pPr>
      <w:bookmarkStart w:id="545" w:name="_Toc8319"/>
      <w:bookmarkStart w:id="546" w:name="_Toc179"/>
      <w:bookmarkStart w:id="547" w:name="_Toc13976"/>
      <w:bookmarkStart w:id="548" w:name="_Toc7111"/>
      <w:bookmarkStart w:id="549" w:name="_Toc32595"/>
      <w:bookmarkStart w:id="550" w:name="_Toc12882"/>
      <w:bookmarkStart w:id="551" w:name="_Toc25586"/>
      <w:bookmarkStart w:id="552" w:name="_Toc8659"/>
      <w:bookmarkStart w:id="553" w:name="_Toc9134"/>
      <w:bookmarkStart w:id="554" w:name="_Toc20739"/>
      <w:bookmarkStart w:id="555" w:name="_Toc15031"/>
      <w:bookmarkStart w:id="556" w:name="_Toc868"/>
      <w:bookmarkStart w:id="557" w:name="_Toc75793528"/>
      <w:bookmarkStart w:id="558" w:name="_Toc1828965547"/>
      <w:bookmarkStart w:id="559" w:name="_Toc24485"/>
      <w:bookmarkStart w:id="560" w:name="_Toc5409"/>
      <w:bookmarkStart w:id="561" w:name="_Toc17837"/>
      <w:bookmarkStart w:id="562" w:name="_Toc26506"/>
      <w:bookmarkStart w:id="563" w:name="_Toc11230"/>
      <w:bookmarkStart w:id="564" w:name="_Toc106030404"/>
      <w:r>
        <w:rPr>
          <w:rFonts w:hint="eastAsia" w:ascii="方正仿宋_GBK" w:eastAsia="方正仿宋_GBK"/>
          <w:b/>
          <w:sz w:val="24"/>
          <w:highlight w:val="none"/>
          <w:u w:val="none" w:color="auto"/>
        </w:rPr>
        <w:t>五、评标</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pPr>
        <w:snapToGrid w:val="0"/>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见第四篇“评标”内容。</w:t>
      </w:r>
    </w:p>
    <w:p>
      <w:pPr>
        <w:pStyle w:val="4"/>
        <w:spacing w:line="400" w:lineRule="exact"/>
        <w:ind w:firstLine="482" w:firstLineChars="200"/>
        <w:rPr>
          <w:rFonts w:hint="eastAsia" w:ascii="方正仿宋_GBK" w:eastAsia="方正仿宋_GBK"/>
          <w:b/>
          <w:sz w:val="24"/>
          <w:highlight w:val="none"/>
          <w:u w:val="none" w:color="auto"/>
        </w:rPr>
      </w:pPr>
      <w:bookmarkStart w:id="565" w:name="_Toc6174"/>
      <w:bookmarkStart w:id="566" w:name="_Toc18575"/>
      <w:bookmarkStart w:id="567" w:name="_Toc26593"/>
      <w:bookmarkStart w:id="568" w:name="_Toc29714"/>
      <w:bookmarkStart w:id="569" w:name="_Toc14504"/>
      <w:bookmarkStart w:id="570" w:name="_Toc29605"/>
      <w:bookmarkStart w:id="571" w:name="_Toc4282"/>
      <w:bookmarkStart w:id="572" w:name="_Toc22130"/>
      <w:bookmarkStart w:id="573" w:name="_Toc7649"/>
      <w:bookmarkStart w:id="574" w:name="_Toc101696577"/>
      <w:bookmarkStart w:id="575" w:name="_Toc5090"/>
      <w:bookmarkStart w:id="576" w:name="_Toc4529"/>
      <w:bookmarkStart w:id="577" w:name="_Toc19170"/>
      <w:bookmarkStart w:id="578" w:name="_Toc106030405"/>
      <w:bookmarkStart w:id="579" w:name="_Toc75793529"/>
      <w:bookmarkStart w:id="580" w:name="_Toc32002"/>
      <w:bookmarkStart w:id="581" w:name="_Toc9516"/>
      <w:bookmarkStart w:id="582" w:name="_Toc19518"/>
      <w:bookmarkStart w:id="583" w:name="_Toc4062"/>
      <w:bookmarkStart w:id="584" w:name="_Toc27276"/>
      <w:r>
        <w:rPr>
          <w:rFonts w:hint="eastAsia" w:ascii="方正仿宋_GBK" w:eastAsia="方正仿宋_GBK"/>
          <w:b/>
          <w:sz w:val="24"/>
          <w:highlight w:val="none"/>
          <w:u w:val="none" w:color="auto"/>
        </w:rPr>
        <w:t>六、定标</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p>
    <w:p>
      <w:pPr>
        <w:snapToGrid w:val="0"/>
        <w:spacing w:line="400" w:lineRule="exact"/>
        <w:ind w:firstLine="480" w:firstLineChars="200"/>
        <w:outlineLvl w:val="2"/>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（一）定标原则</w:t>
      </w:r>
    </w:p>
    <w:p>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宋体" w:eastAsia="方正仿宋_GBK"/>
          <w:sz w:val="24"/>
          <w:highlight w:val="none"/>
          <w:u w:val="none" w:color="auto"/>
        </w:rPr>
        <w:t>采购人或其授权的评标委员会应按照评标报告中推荐的中标候选人排名顺序确定中标人。</w:t>
      </w:r>
    </w:p>
    <w:p>
      <w:pPr>
        <w:pStyle w:val="32"/>
        <w:spacing w:line="400" w:lineRule="exact"/>
        <w:ind w:firstLine="480" w:firstLineChars="200"/>
        <w:outlineLvl w:val="2"/>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（二）定标程序</w:t>
      </w:r>
    </w:p>
    <w:p>
      <w:pPr>
        <w:pStyle w:val="32"/>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1.</w:t>
      </w:r>
      <w:r>
        <w:rPr>
          <w:rFonts w:hint="eastAsia" w:ascii="方正仿宋_GBK" w:eastAsia="方正仿宋_GBK"/>
          <w:highlight w:val="none"/>
          <w:u w:val="none" w:color="auto"/>
        </w:rPr>
        <w:t xml:space="preserve"> </w:t>
      </w:r>
      <w:r>
        <w:rPr>
          <w:rFonts w:hint="eastAsia" w:ascii="方正仿宋_GBK" w:eastAsia="方正仿宋_GBK"/>
          <w:sz w:val="24"/>
          <w:highlight w:val="none"/>
          <w:u w:val="none" w:color="auto"/>
        </w:rPr>
        <w:t>采购代理机构应当在评标结束后2个工作日内将评标报告送采购人。</w:t>
      </w:r>
    </w:p>
    <w:p>
      <w:pPr>
        <w:pStyle w:val="32"/>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eastAsia="方正仿宋_GBK"/>
          <w:sz w:val="24"/>
          <w:highlight w:val="none"/>
          <w:u w:val="none" w:color="auto"/>
        </w:rPr>
        <w:t>2.采购人应当自收到评标报告之日起5个工作日内按评标报告推荐的中标候选人顺序</w:t>
      </w:r>
      <w:r>
        <w:rPr>
          <w:rFonts w:hint="eastAsia" w:ascii="方正仿宋_GBK" w:hAnsi="方正仿宋_GBK" w:eastAsia="方正仿宋_GBK" w:cs="方正仿宋_GBK"/>
          <w:sz w:val="24"/>
          <w:highlight w:val="none"/>
          <w:u w:val="none" w:color="auto"/>
        </w:rPr>
        <w:t>确定中标人。</w:t>
      </w:r>
    </w:p>
    <w:p>
      <w:pPr>
        <w:pStyle w:val="32"/>
        <w:spacing w:line="400" w:lineRule="exact"/>
        <w:ind w:firstLine="480" w:firstLineChars="200"/>
        <w:rPr>
          <w:rFonts w:hint="eastAsia" w:ascii="方正仿宋_GBK" w:hAnsi="方正仿宋_GBK" w:eastAsia="方正仿宋_GBK" w:cs="方正仿宋_GBK"/>
          <w:sz w:val="24"/>
          <w:highlight w:val="none"/>
          <w:u w:val="none" w:color="auto"/>
        </w:rPr>
      </w:pPr>
      <w:r>
        <w:rPr>
          <w:rFonts w:hint="eastAsia" w:ascii="方正仿宋_GBK" w:hAnsi="方正仿宋_GBK" w:eastAsia="方正仿宋_GBK" w:cs="方正仿宋_GBK"/>
          <w:sz w:val="24"/>
          <w:highlight w:val="none"/>
          <w:u w:val="none" w:color="auto"/>
        </w:rPr>
        <w:t>3.采购人或者采购代理机构应当自中标人确定之日起2个工作日内，在</w:t>
      </w:r>
      <w:r>
        <w:rPr>
          <w:rFonts w:hint="eastAsia" w:ascii="方正仿宋_GBK" w:hAnsi="方正仿宋_GBK" w:eastAsia="方正仿宋_GBK" w:cs="方正仿宋_GBK"/>
          <w:sz w:val="24"/>
          <w:szCs w:val="24"/>
          <w:highlight w:val="none"/>
        </w:rPr>
        <w:t>垫江县国企数字化采购平台（https://djxgzw.gec123.com/）、行采家（https://www.gec123.com）和重庆市公共资源交易网（垫江县）（https://www.cqggzy.com/dianjiangweb/）</w:t>
      </w:r>
      <w:r>
        <w:rPr>
          <w:rFonts w:hint="eastAsia" w:ascii="方正仿宋_GBK" w:hAnsi="方正仿宋_GBK" w:eastAsia="方正仿宋_GBK" w:cs="方正仿宋_GBK"/>
          <w:sz w:val="24"/>
          <w:highlight w:val="none"/>
          <w:u w:val="none" w:color="auto"/>
        </w:rPr>
        <w:t>网上公告中标结果。中标公告期限为1个工作日。</w:t>
      </w:r>
    </w:p>
    <w:p>
      <w:pPr>
        <w:pStyle w:val="32"/>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4.中标人变更</w:t>
      </w:r>
    </w:p>
    <w:p>
      <w:pPr>
        <w:pStyle w:val="32"/>
        <w:spacing w:line="400" w:lineRule="exact"/>
        <w:ind w:firstLine="480" w:firstLineChars="200"/>
        <w:rPr>
          <w:rFonts w:hint="eastAsia" w:ascii="方正仿宋_GBK" w:eastAsia="方正仿宋_GBK"/>
          <w:sz w:val="24"/>
          <w:highlight w:val="none"/>
          <w:u w:val="none" w:color="auto"/>
        </w:rPr>
      </w:pPr>
      <w:r>
        <w:rPr>
          <w:rFonts w:hint="eastAsia" w:ascii="方正仿宋_GBK" w:eastAsia="方正仿宋_GBK"/>
          <w:sz w:val="24"/>
          <w:highlight w:val="none"/>
          <w:u w:val="none" w:color="auto"/>
        </w:rPr>
        <w:t>中标人拒绝与采购人签订合同的，采购人可以按照评标报告推荐的中标候选人顺序，确定排名下一位的候选人为中标人，也可以重新开展政府采购活动。</w:t>
      </w:r>
    </w:p>
    <w:p>
      <w:pPr>
        <w:pStyle w:val="4"/>
        <w:spacing w:line="400" w:lineRule="exact"/>
        <w:ind w:firstLine="482" w:firstLineChars="200"/>
        <w:rPr>
          <w:rFonts w:hint="eastAsia" w:ascii="方正仿宋_GBK" w:eastAsia="方正仿宋_GBK"/>
          <w:b/>
          <w:sz w:val="24"/>
          <w:highlight w:val="none"/>
          <w:u w:val="none" w:color="auto"/>
        </w:rPr>
      </w:pPr>
      <w:bookmarkStart w:id="585" w:name="_Toc8542"/>
      <w:bookmarkStart w:id="586" w:name="_Toc27221"/>
      <w:bookmarkStart w:id="587" w:name="_Toc2328"/>
      <w:bookmarkStart w:id="588" w:name="_Toc31365"/>
      <w:bookmarkStart w:id="589" w:name="_Toc12034"/>
      <w:bookmarkStart w:id="590" w:name="_Toc5060"/>
      <w:bookmarkStart w:id="591" w:name="_Toc13250"/>
      <w:bookmarkStart w:id="592" w:name="_Toc269511298"/>
      <w:bookmarkStart w:id="593" w:name="_Toc259"/>
      <w:bookmarkStart w:id="594" w:name="_Toc13010"/>
      <w:bookmarkStart w:id="595" w:name="_Toc9203"/>
      <w:bookmarkStart w:id="596" w:name="_Toc29924"/>
      <w:bookmarkStart w:id="597" w:name="_Toc1114"/>
      <w:bookmarkStart w:id="598" w:name="_Toc2458"/>
      <w:bookmarkStart w:id="599" w:name="_Toc15206"/>
      <w:bookmarkStart w:id="600" w:name="_Toc13043"/>
      <w:bookmarkStart w:id="601" w:name="_Toc30482"/>
      <w:bookmarkStart w:id="602" w:name="_Toc106030406"/>
      <w:bookmarkStart w:id="603" w:name="_Toc75793530"/>
      <w:bookmarkStart w:id="604" w:name="_Toc15468"/>
      <w:r>
        <w:rPr>
          <w:rFonts w:hint="eastAsia" w:ascii="方正仿宋_GBK" w:eastAsia="方正仿宋_GBK"/>
          <w:b/>
          <w:sz w:val="24"/>
          <w:highlight w:val="none"/>
          <w:u w:val="none" w:color="auto"/>
        </w:rPr>
        <w:t>七、中标</w:t>
      </w:r>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pPr>
        <w:snapToGrid w:val="0"/>
        <w:spacing w:line="400" w:lineRule="exact"/>
        <w:ind w:firstLine="480" w:firstLineChars="20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（一）采购人依法确定中标人后，采购代理机构以书面形式发出中标通知书。</w:t>
      </w:r>
    </w:p>
    <w:p>
      <w:pPr>
        <w:snapToGrid w:val="0"/>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（二）中标通知书发出后，采购人改变中标结果，或者中标人放弃中标，应当承担相应的法律责任。</w:t>
      </w:r>
    </w:p>
    <w:p>
      <w:pPr>
        <w:pStyle w:val="4"/>
        <w:spacing w:line="400" w:lineRule="exact"/>
        <w:ind w:firstLine="482" w:firstLineChars="200"/>
        <w:rPr>
          <w:rFonts w:hint="eastAsia" w:ascii="方正仿宋_GBK" w:eastAsia="方正仿宋_GBK"/>
          <w:b/>
          <w:sz w:val="24"/>
          <w:highlight w:val="none"/>
          <w:u w:val="none" w:color="auto"/>
        </w:rPr>
      </w:pPr>
      <w:bookmarkStart w:id="605" w:name="_Toc106030407"/>
      <w:bookmarkStart w:id="606" w:name="_Toc32707"/>
      <w:bookmarkStart w:id="607" w:name="_Toc902"/>
      <w:bookmarkStart w:id="608" w:name="_Toc27770"/>
      <w:bookmarkStart w:id="609" w:name="_Toc7164"/>
      <w:bookmarkStart w:id="610" w:name="_Toc9499"/>
      <w:bookmarkStart w:id="611" w:name="_Toc16406"/>
      <w:bookmarkStart w:id="612" w:name="_Toc26806"/>
      <w:bookmarkStart w:id="613" w:name="_Toc4157"/>
      <w:bookmarkStart w:id="614" w:name="_Toc562363369"/>
      <w:bookmarkStart w:id="615" w:name="_Toc14518"/>
      <w:bookmarkStart w:id="616" w:name="_Toc2537"/>
      <w:bookmarkStart w:id="617" w:name="_Toc75793531"/>
      <w:bookmarkStart w:id="618" w:name="_Toc6815"/>
      <w:bookmarkStart w:id="619" w:name="_Toc10950"/>
      <w:bookmarkStart w:id="620" w:name="_Toc23031"/>
      <w:bookmarkStart w:id="621" w:name="_Toc32509"/>
      <w:bookmarkStart w:id="622" w:name="_Toc17845"/>
      <w:bookmarkStart w:id="623" w:name="_Toc32463"/>
      <w:bookmarkStart w:id="624" w:name="_Toc1046"/>
      <w:r>
        <w:rPr>
          <w:rFonts w:hint="eastAsia" w:ascii="方正仿宋_GBK" w:eastAsia="方正仿宋_GBK"/>
          <w:b/>
          <w:sz w:val="24"/>
          <w:highlight w:val="none"/>
          <w:u w:val="none" w:color="auto"/>
        </w:rPr>
        <w:t>八、</w:t>
      </w:r>
      <w:r>
        <w:rPr>
          <w:rFonts w:hint="eastAsia" w:ascii="方正仿宋_GBK" w:hAnsi="仿宋" w:eastAsia="方正仿宋_GBK" w:cs="仿宋"/>
          <w:b/>
          <w:sz w:val="24"/>
          <w:highlight w:val="none"/>
          <w:u w:val="none" w:color="auto"/>
        </w:rPr>
        <w:t>询问和质疑</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pPr>
        <w:spacing w:line="400" w:lineRule="exact"/>
        <w:ind w:right="12" w:firstLine="480"/>
        <w:outlineLvl w:val="2"/>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（一）询问</w:t>
      </w:r>
    </w:p>
    <w:p>
      <w:pPr>
        <w:spacing w:line="400" w:lineRule="exact"/>
        <w:ind w:right="12" w:firstLine="48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采购人或者采购代理机构应当在3个工作日内对投标人依法提出的询问作出答复。投标人询问可以是口头或书面形式。</w:t>
      </w:r>
    </w:p>
    <w:p>
      <w:pPr>
        <w:snapToGrid w:val="0"/>
        <w:spacing w:line="400" w:lineRule="exact"/>
        <w:ind w:firstLine="480" w:firstLineChars="200"/>
        <w:outlineLvl w:val="2"/>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（二）质疑</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投标人认为采购文件、采购过程和中标结果使自己的权益受到伤害的，可向采购人或采购代理机构以书面形式提出质疑。</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 xml:space="preserve">提出质疑的应当是参与所质疑项目采购活动的投标人。 </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1.质疑时限、内容</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1.1投标人对招标文件提出质疑的，应在依法获取招标文件之日或者招标文件公告期限届满之日起七个工作日内提出。</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1.2 投标人对采购过程提出质疑的，应在各采购程序环节结束之日起七个工作日内提出。</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1.3投标人对中标结果提出质疑的，应当在中标结果公告期限届满之日起七个工作日内提出。</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1.4投标人提出质疑应当提交质疑函和必要的证明材料，质疑函应当包括下列内容：</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1.4.1供应商的姓名或者名称、地址、邮编、联系人及联系电话；</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1.4.2质疑项目的名称、项目号以及采购执行编号；</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1.4.3具体、明确的质疑事项和与质疑事项相关的请求；</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1.4.4事实依据；</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1.4.5必要的法律依据；</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1.4.6提出质疑的日期；</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1.4.7营业执照（或事业单位法人证书，或个体工商户营业执照或有效的自然人身份证明）复印件；</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1.4.8法定代表人授权委托书原件、法定代表人身份证复印件和其授权代表的身份证复印件（供应商为自然人的提供自然人身份证复印件）；</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1.5供应商为自然人的，质疑函应当由本人签字；供应商为法人或者其他组织的，质疑函应当由法定代表人、主要负责人，或者其授权代表签字或者盖章，并加盖公章。</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2.质疑答复</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采购人、采购代理机构应当在收到投标人的书面质疑后七个工作日内作出答复，并以书面形式通知质疑投标人和其他有关投标人。</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3.其他</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3.1投标人应按照《政府采购质疑和投诉办法》（财政部令第94号）及相关法律法规要求，在法定质疑期内一次性提出针对同一采购程序环节的质疑。</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3.2质疑函范本可在财政部门户网站和中国政府采购网下载。</w:t>
      </w:r>
    </w:p>
    <w:p>
      <w:pPr>
        <w:snapToGrid w:val="0"/>
        <w:spacing w:line="400" w:lineRule="exact"/>
        <w:ind w:firstLine="480" w:firstLineChars="200"/>
        <w:rPr>
          <w:rFonts w:hint="eastAsia" w:ascii="方正仿宋_GBK" w:hAnsi="仿宋" w:eastAsia="方正仿宋_GBK" w:cs="仿宋"/>
          <w:sz w:val="24"/>
          <w:highlight w:val="none"/>
          <w:u w:val="none" w:color="auto"/>
        </w:rPr>
      </w:pPr>
      <w:r>
        <w:rPr>
          <w:rFonts w:hint="eastAsia" w:ascii="方正仿宋_GBK" w:hAnsi="仿宋" w:eastAsia="方正仿宋_GBK" w:cs="仿宋"/>
          <w:sz w:val="24"/>
          <w:highlight w:val="none"/>
          <w:u w:val="none" w:color="auto"/>
        </w:rPr>
        <w:t>4.质疑联系方式详见第一篇“联系方式”。</w:t>
      </w:r>
    </w:p>
    <w:p>
      <w:pPr>
        <w:pStyle w:val="4"/>
        <w:spacing w:line="400" w:lineRule="exact"/>
        <w:ind w:firstLine="482" w:firstLineChars="200"/>
        <w:rPr>
          <w:rFonts w:hint="eastAsia" w:ascii="方正仿宋_GBK" w:eastAsia="方正仿宋_GBK"/>
          <w:b/>
          <w:sz w:val="24"/>
          <w:highlight w:val="none"/>
          <w:u w:val="none" w:color="auto"/>
        </w:rPr>
      </w:pPr>
      <w:bookmarkStart w:id="625" w:name="_Toc6066"/>
      <w:bookmarkStart w:id="626" w:name="_Toc13258"/>
      <w:bookmarkStart w:id="627" w:name="_Toc12779"/>
      <w:bookmarkStart w:id="628" w:name="_Toc8407"/>
      <w:bookmarkStart w:id="629" w:name="_Toc9466"/>
      <w:bookmarkStart w:id="630" w:name="_Toc106030408"/>
      <w:bookmarkStart w:id="631" w:name="_Toc5437"/>
      <w:bookmarkStart w:id="632" w:name="_Toc4606"/>
      <w:bookmarkStart w:id="633" w:name="_Toc28235"/>
      <w:bookmarkStart w:id="634" w:name="_Toc10858"/>
      <w:bookmarkStart w:id="635" w:name="_Toc418"/>
      <w:bookmarkStart w:id="636" w:name="_Toc21973"/>
      <w:bookmarkStart w:id="637" w:name="_Toc22508"/>
      <w:bookmarkStart w:id="638" w:name="_Toc27957"/>
      <w:bookmarkStart w:id="639" w:name="_Toc75793532"/>
      <w:bookmarkStart w:id="640" w:name="_Toc25303"/>
      <w:bookmarkStart w:id="641" w:name="_Toc2117352930"/>
      <w:bookmarkStart w:id="642" w:name="_Toc6890"/>
      <w:bookmarkStart w:id="643" w:name="_Toc32457"/>
      <w:bookmarkStart w:id="644" w:name="_Toc12684"/>
      <w:r>
        <w:rPr>
          <w:rFonts w:hint="eastAsia" w:ascii="方正仿宋_GBK" w:eastAsia="方正仿宋_GBK"/>
          <w:b/>
          <w:sz w:val="24"/>
          <w:highlight w:val="none"/>
          <w:u w:val="none" w:color="auto"/>
        </w:rPr>
        <w:t>九、采购代理服务费</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pPr>
        <w:spacing w:line="400" w:lineRule="exact"/>
        <w:ind w:firstLine="480" w:firstLineChars="200"/>
        <w:rPr>
          <w:rFonts w:hint="eastAsia" w:ascii="方正仿宋_GBK" w:hAnsi="宋体" w:eastAsia="方正仿宋_GBK" w:cs="宋体"/>
          <w:kern w:val="0"/>
          <w:sz w:val="24"/>
          <w:szCs w:val="24"/>
          <w:highlight w:val="none"/>
          <w:u w:val="none" w:color="auto"/>
          <w:lang w:val="en-US" w:eastAsia="zh-CN"/>
        </w:rPr>
      </w:pPr>
      <w:bookmarkStart w:id="645" w:name="_Toc32642"/>
      <w:bookmarkStart w:id="646" w:name="_Toc2711"/>
      <w:bookmarkStart w:id="647" w:name="_Toc604"/>
      <w:bookmarkStart w:id="648" w:name="_Toc9407"/>
      <w:bookmarkStart w:id="649" w:name="_Toc1827"/>
      <w:bookmarkStart w:id="650" w:name="_Toc20094"/>
      <w:bookmarkStart w:id="651" w:name="_Toc23674"/>
      <w:bookmarkStart w:id="652" w:name="_Toc1788"/>
      <w:bookmarkStart w:id="653" w:name="_Toc15547"/>
      <w:bookmarkStart w:id="654" w:name="_Toc345318310"/>
      <w:bookmarkStart w:id="655" w:name="_Toc106030409"/>
      <w:bookmarkStart w:id="656" w:name="_Toc429584878"/>
      <w:bookmarkStart w:id="657" w:name="_Toc31483"/>
      <w:bookmarkStart w:id="658" w:name="_Toc27355"/>
      <w:bookmarkStart w:id="659" w:name="_Toc32236"/>
      <w:bookmarkStart w:id="660" w:name="_Toc18481"/>
      <w:bookmarkStart w:id="661" w:name="_Toc27824"/>
      <w:bookmarkStart w:id="662" w:name="_Toc342983494"/>
      <w:bookmarkStart w:id="663" w:name="_Toc15694"/>
      <w:bookmarkStart w:id="664" w:name="_Toc13008"/>
      <w:bookmarkStart w:id="665" w:name="_Toc75793533"/>
      <w:bookmarkStart w:id="666" w:name="_Toc343881212"/>
      <w:bookmarkStart w:id="667" w:name="_Toc21345"/>
      <w:r>
        <w:rPr>
          <w:rFonts w:hint="eastAsia" w:ascii="方正仿宋_GBK" w:hAnsi="宋体" w:eastAsia="方正仿宋_GBK" w:cs="宋体"/>
          <w:kern w:val="0"/>
          <w:sz w:val="24"/>
          <w:szCs w:val="24"/>
          <w:highlight w:val="none"/>
          <w:u w:val="none" w:color="auto"/>
          <w:lang w:val="en-US" w:eastAsia="zh-CN"/>
        </w:rPr>
        <w:t>无</w:t>
      </w:r>
      <w:bookmarkEnd w:id="645"/>
      <w:bookmarkEnd w:id="646"/>
      <w:bookmarkEnd w:id="647"/>
    </w:p>
    <w:p>
      <w:pPr>
        <w:pStyle w:val="4"/>
        <w:spacing w:line="400" w:lineRule="exact"/>
        <w:ind w:firstLine="482" w:firstLineChars="200"/>
        <w:rPr>
          <w:rFonts w:hint="eastAsia" w:ascii="方正仿宋_GBK" w:eastAsia="方正仿宋_GBK"/>
          <w:b/>
          <w:sz w:val="24"/>
          <w:highlight w:val="none"/>
          <w:u w:val="none" w:color="auto"/>
        </w:rPr>
      </w:pPr>
      <w:bookmarkStart w:id="668" w:name="_Toc810242452"/>
      <w:bookmarkStart w:id="669" w:name="_Toc15873"/>
      <w:bookmarkStart w:id="670" w:name="_Toc1189"/>
      <w:bookmarkStart w:id="671" w:name="_Toc25184"/>
      <w:r>
        <w:rPr>
          <w:rFonts w:hint="eastAsia" w:ascii="方正仿宋_GBK" w:eastAsia="方正仿宋_GBK"/>
          <w:b/>
          <w:sz w:val="24"/>
          <w:highlight w:val="none"/>
          <w:u w:val="none" w:color="auto"/>
        </w:rPr>
        <w:t>十、交易服务费</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sz w:val="24"/>
          <w:highlight w:val="none"/>
          <w:u w:val="none" w:color="auto"/>
        </w:rPr>
      </w:pPr>
      <w:bookmarkStart w:id="672" w:name="_Toc20527"/>
      <w:bookmarkStart w:id="673" w:name="_Toc23988"/>
      <w:bookmarkStart w:id="674" w:name="_Toc8954"/>
      <w:bookmarkStart w:id="675" w:name="_Toc9444"/>
      <w:bookmarkStart w:id="676" w:name="_Toc19549"/>
      <w:bookmarkStart w:id="677" w:name="_Toc17066"/>
      <w:bookmarkStart w:id="678" w:name="_Toc9036"/>
      <w:bookmarkStart w:id="679" w:name="_Toc26946"/>
      <w:bookmarkStart w:id="680" w:name="_Toc20263"/>
      <w:bookmarkStart w:id="681" w:name="_Toc18724"/>
      <w:bookmarkStart w:id="682" w:name="_Toc30396"/>
      <w:bookmarkStart w:id="683" w:name="_Toc75793534"/>
      <w:bookmarkStart w:id="684" w:name="_Toc106030410"/>
      <w:bookmarkStart w:id="685" w:name="_Toc10797"/>
      <w:bookmarkStart w:id="686" w:name="_Toc25630"/>
      <w:bookmarkStart w:id="687" w:name="_Toc1312"/>
      <w:bookmarkStart w:id="688" w:name="_Toc25158"/>
      <w:bookmarkStart w:id="689" w:name="_Toc23717"/>
      <w:bookmarkStart w:id="690" w:name="_Toc19828"/>
      <w:r>
        <w:rPr>
          <w:rFonts w:hint="eastAsia" w:ascii="方正仿宋_GBK" w:hAnsi="方正仿宋_GBK" w:eastAsia="方正仿宋_GBK"/>
          <w:sz w:val="24"/>
          <w:highlight w:val="none"/>
          <w:u w:val="none" w:color="auto"/>
          <w:lang w:val="en-US" w:eastAsia="zh-CN"/>
        </w:rPr>
        <w:t>供应商成交后按照成交总价向“垫江县公共资源交易中心”缴纳交易服务费，交易服务费的收取标准按渝发改收费〔2023〕115号文件执行。</w:t>
      </w:r>
      <w:r>
        <w:rPr>
          <w:rFonts w:hint="default" w:ascii="方正仿宋_GBK" w:hAnsi="方正仿宋_GBK" w:eastAsia="方正仿宋_GBK"/>
          <w:sz w:val="24"/>
          <w:highlight w:val="none"/>
          <w:u w:val="none" w:color="auto"/>
          <w:lang w:val="en-US" w:eastAsia="zh-CN"/>
        </w:rPr>
        <w:br w:type="textWrapping"/>
      </w:r>
      <w:r>
        <w:rPr>
          <w:rFonts w:hint="eastAsia" w:ascii="方正仿宋_GBK" w:hAnsi="方正仿宋_GBK" w:eastAsia="方正仿宋_GBK"/>
          <w:sz w:val="24"/>
          <w:highlight w:val="none"/>
          <w:u w:val="none" w:color="auto"/>
          <w:lang w:val="en-US" w:eastAsia="zh-CN"/>
        </w:rPr>
        <w:t xml:space="preserve">    </w:t>
      </w:r>
      <w:r>
        <w:rPr>
          <w:rFonts w:hint="default" w:ascii="方正仿宋_GBK" w:hAnsi="方正仿宋_GBK" w:eastAsia="方正仿宋_GBK"/>
          <w:sz w:val="24"/>
          <w:highlight w:val="none"/>
          <w:u w:val="none" w:color="auto"/>
          <w:lang w:val="en-US" w:eastAsia="zh-CN"/>
        </w:rPr>
        <w:t>垫江县公共资源交易中心财务科咨询电话：023-74528627</w:t>
      </w:r>
    </w:p>
    <w:p>
      <w:pPr>
        <w:pStyle w:val="4"/>
        <w:spacing w:line="400" w:lineRule="exact"/>
        <w:ind w:firstLine="482" w:firstLineChars="200"/>
        <w:rPr>
          <w:rFonts w:hint="eastAsia" w:ascii="方正仿宋_GBK" w:eastAsia="方正仿宋_GBK"/>
          <w:b/>
          <w:sz w:val="24"/>
          <w:highlight w:val="none"/>
          <w:u w:val="none" w:color="auto"/>
        </w:rPr>
      </w:pPr>
      <w:bookmarkStart w:id="691" w:name="_Toc232014491"/>
      <w:r>
        <w:rPr>
          <w:rFonts w:hint="eastAsia" w:ascii="方正仿宋_GBK" w:eastAsia="方正仿宋_GBK"/>
          <w:b/>
          <w:sz w:val="24"/>
          <w:highlight w:val="none"/>
          <w:u w:val="none" w:color="auto"/>
        </w:rPr>
        <w:t>十一、签订合同</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p>
    <w:p>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（一）采购人原则上应在中标通知书发出之日起</w:t>
      </w:r>
      <w:r>
        <w:rPr>
          <w:rFonts w:hint="eastAsia" w:ascii="方正仿宋_GBK" w:hAnsi="方正仿宋_GBK" w:eastAsia="方正仿宋_GBK"/>
          <w:sz w:val="24"/>
          <w:highlight w:val="none"/>
          <w:u w:val="none" w:color="auto"/>
          <w:lang w:eastAsia="zh-CN"/>
        </w:rPr>
        <w:t>二</w:t>
      </w:r>
      <w:r>
        <w:rPr>
          <w:rFonts w:hint="eastAsia" w:ascii="方正仿宋_GBK" w:hAnsi="方正仿宋_GBK" w:eastAsia="方正仿宋_GBK"/>
          <w:sz w:val="24"/>
          <w:highlight w:val="none"/>
          <w:u w:val="none" w:color="auto"/>
        </w:rPr>
        <w:t>十日内和中标人签订政府采购合同，无正当理由不得拒绝或拖延合同签订。</w:t>
      </w:r>
      <w:r>
        <w:rPr>
          <w:rFonts w:hint="eastAsia" w:ascii="方正仿宋_GBK" w:hAnsi="宋体" w:eastAsia="方正仿宋_GBK"/>
          <w:sz w:val="24"/>
          <w:highlight w:val="none"/>
          <w:u w:val="none" w:color="auto"/>
        </w:rPr>
        <w:t>所签订的合同不得对招标文件和中标人投标文件作实质性修改。</w:t>
      </w:r>
      <w:r>
        <w:rPr>
          <w:rFonts w:hint="eastAsia" w:ascii="方正仿宋_GBK" w:hAnsi="宋体" w:eastAsia="方正仿宋_GBK" w:cs="宋体"/>
          <w:kern w:val="0"/>
          <w:sz w:val="24"/>
          <w:szCs w:val="24"/>
          <w:highlight w:val="none"/>
          <w:u w:val="none" w:color="auto"/>
        </w:rPr>
        <w:t>其他未尽事宜由采购人和中标人在采购合同中详细约定。</w:t>
      </w:r>
    </w:p>
    <w:p>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（二）</w:t>
      </w:r>
      <w:r>
        <w:rPr>
          <w:rFonts w:hint="eastAsia" w:ascii="方正仿宋_GBK" w:hAnsi="宋体" w:eastAsia="方正仿宋_GBK"/>
          <w:sz w:val="24"/>
          <w:highlight w:val="none"/>
          <w:u w:val="none" w:color="auto"/>
        </w:rPr>
        <w:t>采购人应当自合同签订之日起7个工作日内，进行合同登记备案。</w:t>
      </w:r>
    </w:p>
    <w:p>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（三）</w:t>
      </w:r>
      <w:r>
        <w:rPr>
          <w:rFonts w:hint="eastAsia" w:ascii="方正仿宋_GBK" w:hAnsi="宋体" w:eastAsia="方正仿宋_GBK"/>
          <w:sz w:val="24"/>
          <w:highlight w:val="none"/>
          <w:u w:val="none" w:color="auto"/>
        </w:rPr>
        <w:t>招标文件、中标人的投标文件及澄清文件等，均为签订政府采购合同的依据。</w:t>
      </w:r>
    </w:p>
    <w:p>
      <w:pPr>
        <w:spacing w:line="400" w:lineRule="exact"/>
        <w:ind w:firstLine="480" w:firstLineChars="200"/>
        <w:rPr>
          <w:rFonts w:hint="eastAsia" w:ascii="方正仿宋_GBK" w:hAnsi="宋体" w:eastAsia="方正仿宋_GBK"/>
          <w:sz w:val="24"/>
          <w:highlight w:val="none"/>
          <w:u w:val="none" w:color="auto"/>
        </w:rPr>
      </w:pPr>
      <w:r>
        <w:rPr>
          <w:rFonts w:hint="eastAsia" w:ascii="方正仿宋_GBK" w:hAnsi="方正仿宋_GBK" w:eastAsia="方正仿宋_GBK"/>
          <w:sz w:val="24"/>
          <w:highlight w:val="none"/>
          <w:u w:val="none" w:color="auto"/>
        </w:rPr>
        <w:t>（四）</w:t>
      </w:r>
      <w:r>
        <w:rPr>
          <w:rFonts w:hint="eastAsia" w:ascii="方正仿宋_GBK" w:hAnsi="宋体" w:eastAsia="方正仿宋_GBK"/>
          <w:sz w:val="24"/>
          <w:highlight w:val="none"/>
          <w:u w:val="none" w:color="auto"/>
        </w:rPr>
        <w:t>合同生效条款由供需双方约定，法律、行政法规规定应当办理批准、登记等手续后生效的合同，依照其规定。</w:t>
      </w:r>
    </w:p>
    <w:p>
      <w:pPr>
        <w:spacing w:line="400" w:lineRule="exact"/>
        <w:ind w:firstLine="480" w:firstLineChars="200"/>
        <w:rPr>
          <w:rFonts w:hint="eastAsia" w:ascii="方正仿宋_GBK" w:hAnsi="方正仿宋_GBK" w:eastAsia="方正仿宋_GBK"/>
          <w:sz w:val="24"/>
          <w:highlight w:val="none"/>
          <w:u w:val="none" w:color="auto"/>
        </w:rPr>
      </w:pPr>
      <w:r>
        <w:rPr>
          <w:rFonts w:hint="eastAsia" w:ascii="方正仿宋_GBK" w:hAnsi="方正仿宋_GBK" w:eastAsia="方正仿宋_GBK"/>
          <w:sz w:val="24"/>
          <w:highlight w:val="none"/>
          <w:u w:val="none" w:color="auto"/>
        </w:rPr>
        <w:t>（五）合同原则上应按照《重庆市政府采购合同》签订，相关单位要求适用合同通用格式版本的，应按其要求另行签订其他合同。</w:t>
      </w:r>
    </w:p>
    <w:p>
      <w:pPr>
        <w:pStyle w:val="4"/>
        <w:spacing w:line="400" w:lineRule="exact"/>
        <w:ind w:firstLine="482" w:firstLineChars="200"/>
        <w:rPr>
          <w:rFonts w:hint="eastAsia" w:ascii="方正仿宋_GBK" w:eastAsia="方正仿宋_GBK"/>
          <w:b/>
          <w:sz w:val="24"/>
          <w:highlight w:val="none"/>
          <w:u w:val="none" w:color="auto"/>
        </w:rPr>
      </w:pPr>
      <w:bookmarkStart w:id="692" w:name="_Toc11349"/>
      <w:bookmarkStart w:id="693" w:name="_Toc11558"/>
      <w:bookmarkStart w:id="694" w:name="_Toc23965"/>
      <w:bookmarkStart w:id="695" w:name="_Toc23671"/>
      <w:bookmarkStart w:id="696" w:name="_Toc1595131659"/>
      <w:bookmarkStart w:id="697" w:name="_Toc29139"/>
      <w:bookmarkStart w:id="698" w:name="_Toc26213"/>
      <w:bookmarkStart w:id="699" w:name="_Toc9393"/>
      <w:bookmarkStart w:id="700" w:name="_Toc22413"/>
      <w:bookmarkStart w:id="701" w:name="_Toc4207"/>
      <w:bookmarkStart w:id="702" w:name="_Toc13027"/>
      <w:bookmarkStart w:id="703" w:name="_Toc106030411"/>
      <w:bookmarkStart w:id="704" w:name="_Toc1406"/>
      <w:bookmarkStart w:id="705" w:name="_Toc25795"/>
      <w:bookmarkStart w:id="706" w:name="_Toc13934"/>
      <w:bookmarkStart w:id="707" w:name="_Toc26438"/>
      <w:bookmarkStart w:id="708" w:name="_Toc4923"/>
      <w:bookmarkStart w:id="709" w:name="_Toc31273"/>
      <w:r>
        <w:rPr>
          <w:rFonts w:hint="eastAsia" w:ascii="方正仿宋_GBK" w:eastAsia="方正仿宋_GBK"/>
          <w:b/>
          <w:sz w:val="24"/>
          <w:highlight w:val="none"/>
          <w:u w:val="none" w:color="auto"/>
        </w:rPr>
        <w:t>十二、</w:t>
      </w:r>
      <w:bookmarkEnd w:id="692"/>
      <w:bookmarkEnd w:id="693"/>
      <w:bookmarkEnd w:id="694"/>
      <w:bookmarkEnd w:id="695"/>
      <w:r>
        <w:rPr>
          <w:rFonts w:hint="eastAsia" w:ascii="方正仿宋_GBK" w:eastAsia="方正仿宋_GBK"/>
          <w:b/>
          <w:sz w:val="24"/>
          <w:highlight w:val="none"/>
          <w:u w:val="none" w:color="auto"/>
        </w:rPr>
        <w:t>项目验收</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spacing w:line="400" w:lineRule="exact"/>
        <w:ind w:firstLine="480" w:firstLineChars="200"/>
        <w:rPr>
          <w:rFonts w:hint="eastAsia" w:ascii="方正仿宋_GBK" w:eastAsia="方正仿宋_GBK"/>
          <w:highlight w:val="none"/>
          <w:u w:val="none" w:color="auto"/>
        </w:rPr>
      </w:pPr>
      <w:r>
        <w:rPr>
          <w:rFonts w:hint="eastAsia" w:ascii="方正仿宋_GBK" w:hAnsi="宋体" w:eastAsia="方正仿宋_GBK"/>
          <w:sz w:val="24"/>
          <w:highlight w:val="none"/>
          <w:u w:val="none" w:color="auto"/>
        </w:rPr>
        <w:t>合同执行完毕，采购人原则上应在7个工作日内组织履约情况验收，不得无故拖延或附加额外条件。</w:t>
      </w:r>
      <w:r>
        <w:rPr>
          <w:rFonts w:hint="eastAsia" w:ascii="方正仿宋_GBK" w:eastAsia="方正仿宋_GBK"/>
          <w:highlight w:val="none"/>
          <w:u w:val="none" w:color="auto"/>
        </w:rPr>
        <w:br w:type="page"/>
      </w:r>
      <w:bookmarkStart w:id="710" w:name="_Toc7301"/>
      <w:bookmarkStart w:id="711" w:name="_Toc13696"/>
      <w:bookmarkStart w:id="712" w:name="_Toc5544"/>
      <w:bookmarkStart w:id="713" w:name="_Toc9831"/>
      <w:bookmarkStart w:id="714" w:name="_Toc7598"/>
      <w:bookmarkStart w:id="715" w:name="_Toc5640"/>
      <w:bookmarkStart w:id="716" w:name="_Toc5880"/>
      <w:bookmarkStart w:id="717" w:name="_Toc4454"/>
      <w:bookmarkStart w:id="718" w:name="_Toc12210"/>
      <w:bookmarkStart w:id="719" w:name="_Toc106030413"/>
      <w:bookmarkStart w:id="720" w:name="_Toc13245"/>
      <w:bookmarkStart w:id="721" w:name="_Toc128"/>
      <w:bookmarkStart w:id="722" w:name="_Toc19939"/>
      <w:bookmarkStart w:id="723" w:name="_Toc9505"/>
      <w:bookmarkStart w:id="724" w:name="_Toc21870"/>
      <w:bookmarkStart w:id="725" w:name="_Toc28592"/>
      <w:bookmarkStart w:id="726" w:name="_Toc75793536"/>
      <w:bookmarkStart w:id="727" w:name="_Toc3344"/>
      <w:bookmarkStart w:id="728" w:name="_Toc17885"/>
    </w:p>
    <w:p>
      <w:pPr>
        <w:pStyle w:val="3"/>
        <w:spacing w:before="0" w:beforeLines="0" w:after="0" w:afterLines="0" w:line="360" w:lineRule="auto"/>
        <w:rPr>
          <w:rFonts w:hint="eastAsia" w:ascii="方正仿宋_GBK" w:eastAsia="方正仿宋_GBK"/>
          <w:b/>
          <w:highlight w:val="none"/>
          <w:u w:val="none" w:color="auto"/>
          <w:lang w:val="en-US" w:eastAsia="zh-CN"/>
        </w:rPr>
      </w:pPr>
      <w:bookmarkStart w:id="729" w:name="_Toc520423789"/>
      <w:r>
        <w:rPr>
          <w:rFonts w:hint="eastAsia" w:ascii="方正仿宋_GBK" w:eastAsia="方正仿宋_GBK"/>
          <w:b/>
          <w:highlight w:val="none"/>
          <w:u w:val="none" w:color="auto"/>
          <w:lang w:val="en-US" w:eastAsia="zh-CN"/>
        </w:rPr>
        <w:t>第六篇  合同主要条款和格式合同（样本）</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pPr>
        <w:pStyle w:val="4"/>
        <w:spacing w:line="400" w:lineRule="exact"/>
        <w:ind w:firstLine="482" w:firstLineChars="200"/>
        <w:rPr>
          <w:rFonts w:hint="eastAsia" w:ascii="方正仿宋_GBK" w:eastAsia="方正仿宋_GBK"/>
          <w:b/>
          <w:sz w:val="24"/>
          <w:highlight w:val="none"/>
        </w:rPr>
      </w:pPr>
      <w:bookmarkStart w:id="730" w:name="_Toc27462"/>
      <w:bookmarkStart w:id="731" w:name="_Toc106030414"/>
      <w:bookmarkStart w:id="732" w:name="_Toc21511"/>
      <w:bookmarkStart w:id="733" w:name="_Toc23921"/>
      <w:bookmarkStart w:id="734" w:name="_Toc15259"/>
      <w:bookmarkStart w:id="735" w:name="_Toc22555"/>
      <w:bookmarkStart w:id="736" w:name="_Toc2644"/>
      <w:bookmarkStart w:id="737" w:name="_Toc4064"/>
      <w:bookmarkStart w:id="738" w:name="_Toc75793537"/>
      <w:bookmarkStart w:id="739" w:name="_Toc285722712"/>
      <w:bookmarkStart w:id="740" w:name="_Toc6013"/>
      <w:bookmarkStart w:id="741" w:name="_Toc1914410464"/>
      <w:bookmarkStart w:id="742" w:name="_Toc19301"/>
      <w:bookmarkStart w:id="743" w:name="_Toc16546"/>
      <w:bookmarkStart w:id="744" w:name="_Toc27008"/>
      <w:bookmarkStart w:id="745" w:name="_Toc15196"/>
      <w:bookmarkStart w:id="746" w:name="_Toc16344"/>
      <w:bookmarkStart w:id="747" w:name="_Toc277084870"/>
      <w:bookmarkStart w:id="748" w:name="_Toc29567"/>
      <w:bookmarkStart w:id="749" w:name="_Toc106030415"/>
      <w:bookmarkStart w:id="750" w:name="_Toc14172"/>
      <w:bookmarkStart w:id="751" w:name="_Toc10851"/>
      <w:bookmarkStart w:id="752" w:name="_Toc4623"/>
      <w:bookmarkStart w:id="753" w:name="_Toc13511"/>
      <w:bookmarkStart w:id="754" w:name="_Toc24031"/>
      <w:bookmarkStart w:id="755" w:name="_Toc13103"/>
      <w:bookmarkStart w:id="756" w:name="_Toc3208"/>
      <w:bookmarkStart w:id="757" w:name="_Toc6201"/>
      <w:bookmarkStart w:id="758" w:name="_Toc285722713"/>
      <w:bookmarkStart w:id="759" w:name="_Toc11006"/>
      <w:bookmarkStart w:id="760" w:name="_Toc75793538"/>
      <w:bookmarkStart w:id="761" w:name="_Toc27910"/>
      <w:bookmarkStart w:id="762" w:name="_Toc6684"/>
      <w:bookmarkStart w:id="763" w:name="_Toc10958"/>
      <w:bookmarkStart w:id="764" w:name="_Toc277084871"/>
      <w:bookmarkStart w:id="765" w:name="_Toc1900"/>
      <w:bookmarkStart w:id="766" w:name="_Toc14438"/>
      <w:bookmarkStart w:id="767" w:name="_Toc532"/>
      <w:bookmarkStart w:id="768" w:name="_Toc11820"/>
      <w:bookmarkStart w:id="769" w:name="_Toc16342"/>
      <w:r>
        <w:rPr>
          <w:rFonts w:hint="eastAsia" w:ascii="方正仿宋_GBK" w:eastAsia="方正仿宋_GBK"/>
          <w:b/>
          <w:sz w:val="24"/>
          <w:highlight w:val="none"/>
        </w:rPr>
        <w:t>一、合同主要条款</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rPr>
          <w:rFonts w:ascii="宋体" w:hAnsi="宋体"/>
          <w:kern w:val="0"/>
        </w:rPr>
      </w:pPr>
    </w:p>
    <w:p>
      <w:pPr>
        <w:rPr>
          <w:sz w:val="32"/>
          <w:szCs w:val="32"/>
        </w:rPr>
      </w:pPr>
    </w:p>
    <w:p>
      <w:pPr>
        <w:pStyle w:val="228"/>
        <w:spacing w:line="800" w:lineRule="exact"/>
        <w:jc w:val="center"/>
        <w:rPr>
          <w:rFonts w:ascii="Times New Roman" w:hAnsi="Times New Roman" w:eastAsia="方正小标宋_GBK" w:cs="Times New Roman"/>
          <w:bCs/>
          <w:color w:val="000000" w:themeColor="text1"/>
          <w:sz w:val="56"/>
          <w:szCs w:val="48"/>
          <w14:textFill>
            <w14:solidFill>
              <w14:schemeClr w14:val="tx1"/>
            </w14:solidFill>
          </w14:textFill>
        </w:rPr>
      </w:pPr>
      <w:bookmarkStart w:id="770" w:name="招标文件05章工程量清单"/>
      <w:bookmarkEnd w:id="770"/>
      <w:r>
        <w:rPr>
          <w:rFonts w:ascii="Times New Roman" w:hAnsi="Times New Roman" w:eastAsia="方正小标宋_GBK" w:cs="Times New Roman"/>
          <w:bCs/>
          <w:color w:val="000000" w:themeColor="text1"/>
          <w:sz w:val="56"/>
          <w:szCs w:val="48"/>
          <w14:textFill>
            <w14:solidFill>
              <w14:schemeClr w14:val="tx1"/>
            </w14:solidFill>
          </w14:textFill>
        </w:rPr>
        <w:t>重庆康科特建筑材料有限公司</w:t>
      </w:r>
    </w:p>
    <w:p>
      <w:pPr>
        <w:pStyle w:val="228"/>
        <w:spacing w:line="800" w:lineRule="exact"/>
        <w:jc w:val="center"/>
        <w:rPr>
          <w:rFonts w:ascii="Times New Roman" w:hAnsi="Times New Roman" w:eastAsia="方正小标宋_GBK" w:cs="Times New Roman"/>
          <w:bCs/>
          <w:color w:val="000000" w:themeColor="text1"/>
          <w:sz w:val="56"/>
          <w:szCs w:val="48"/>
          <w14:textFill>
            <w14:solidFill>
              <w14:schemeClr w14:val="tx1"/>
            </w14:solidFill>
          </w14:textFill>
        </w:rPr>
      </w:pPr>
      <w:r>
        <w:rPr>
          <w:rFonts w:hint="eastAsia" w:ascii="Times New Roman" w:hAnsi="Times New Roman" w:eastAsia="方正小标宋_GBK" w:cs="Times New Roman"/>
          <w:bCs/>
          <w:color w:val="000000" w:themeColor="text1"/>
          <w:sz w:val="56"/>
          <w:szCs w:val="48"/>
          <w:lang w:val="en-US" w:eastAsia="zh-CN"/>
          <w14:textFill>
            <w14:solidFill>
              <w14:schemeClr w14:val="tx1"/>
            </w14:solidFill>
          </w14:textFill>
        </w:rPr>
        <w:t>贸易砂石</w:t>
      </w:r>
      <w:r>
        <w:rPr>
          <w:rFonts w:ascii="Times New Roman" w:hAnsi="Times New Roman" w:eastAsia="方正小标宋_GBK" w:cs="Times New Roman"/>
          <w:bCs/>
          <w:color w:val="000000" w:themeColor="text1"/>
          <w:sz w:val="56"/>
          <w:szCs w:val="48"/>
          <w14:textFill>
            <w14:solidFill>
              <w14:schemeClr w14:val="tx1"/>
            </w14:solidFill>
          </w14:textFill>
        </w:rPr>
        <w:t>采购买卖合同</w:t>
      </w:r>
    </w:p>
    <w:p>
      <w:pPr>
        <w:pStyle w:val="228"/>
        <w:spacing w:line="560" w:lineRule="exact"/>
        <w:ind w:firstLine="1325" w:firstLineChars="300"/>
        <w:rPr>
          <w:rFonts w:ascii="Times New Roman" w:hAnsi="Times New Roman" w:eastAsia="黑体" w:cs="Times New Roman"/>
          <w:b/>
          <w:bCs/>
          <w:color w:val="000000" w:themeColor="text1"/>
          <w:sz w:val="44"/>
          <w:szCs w:val="44"/>
          <w:lang w:val="zh-TW" w:eastAsia="zh-TW"/>
          <w14:textFill>
            <w14:solidFill>
              <w14:schemeClr w14:val="tx1"/>
            </w14:solidFill>
          </w14:textFill>
        </w:rPr>
      </w:pPr>
    </w:p>
    <w:p>
      <w:pPr>
        <w:pStyle w:val="228"/>
        <w:spacing w:line="560" w:lineRule="exact"/>
        <w:jc w:val="center"/>
        <w:rPr>
          <w:rFonts w:ascii="Times New Roman" w:hAnsi="Times New Roman" w:eastAsia="仿宋" w:cs="Times New Roman"/>
          <w:b/>
          <w:bCs/>
          <w:color w:val="000000" w:themeColor="text1"/>
          <w:sz w:val="32"/>
          <w:szCs w:val="32"/>
          <w:lang w:val="zh-TW" w:eastAsia="zh-TW"/>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合同编号</w:t>
      </w:r>
      <w:r>
        <w:rPr>
          <w:rFonts w:ascii="Times New Roman" w:hAnsi="Times New Roman" w:eastAsia="仿宋" w:cs="Times New Roman"/>
          <w:color w:val="000000" w:themeColor="text1"/>
          <w:sz w:val="32"/>
          <w:szCs w:val="32"/>
          <w14:textFill>
            <w14:solidFill>
              <w14:schemeClr w14:val="tx1"/>
            </w14:solidFill>
          </w14:textFill>
        </w:rPr>
        <w:t>：KKT-202</w:t>
      </w:r>
      <w:r>
        <w:rPr>
          <w:rFonts w:hint="eastAsia" w:ascii="Times New Roman" w:hAnsi="Times New Roman" w:eastAsia="仿宋" w:cs="Times New Roman"/>
          <w:color w:val="000000" w:themeColor="text1"/>
          <w:sz w:val="32"/>
          <w:szCs w:val="32"/>
          <w14:textFill>
            <w14:solidFill>
              <w14:schemeClr w14:val="tx1"/>
            </w14:solidFill>
          </w14:textFill>
        </w:rPr>
        <w:t>5</w:t>
      </w:r>
      <w:r>
        <w:rPr>
          <w:rFonts w:ascii="Times New Roman" w:hAnsi="Times New Roman" w:eastAsia="仿宋" w:cs="Times New Roman"/>
          <w:color w:val="000000" w:themeColor="text1"/>
          <w:sz w:val="32"/>
          <w:szCs w:val="32"/>
          <w14:textFill>
            <w14:solidFill>
              <w14:schemeClr w14:val="tx1"/>
            </w14:solidFill>
          </w14:textFill>
        </w:rPr>
        <w:t>-    ）</w:t>
      </w:r>
    </w:p>
    <w:p>
      <w:pPr>
        <w:pStyle w:val="228"/>
        <w:spacing w:line="560" w:lineRule="exact"/>
        <w:ind w:firstLine="0" w:firstLineChars="0"/>
        <w:rPr>
          <w:rFonts w:ascii="Times New Roman" w:hAnsi="Times New Roman" w:eastAsia="黑体" w:cs="Times New Roman"/>
          <w:b/>
          <w:bCs/>
          <w:color w:val="000000" w:themeColor="text1"/>
          <w:sz w:val="44"/>
          <w:szCs w:val="44"/>
          <w:lang w:val="zh-TW" w:eastAsia="zh-TW"/>
          <w14:textFill>
            <w14:solidFill>
              <w14:schemeClr w14:val="tx1"/>
            </w14:solidFill>
          </w14:textFill>
        </w:rPr>
      </w:pPr>
    </w:p>
    <w:p>
      <w:pPr>
        <w:pStyle w:val="228"/>
        <w:spacing w:line="560" w:lineRule="exact"/>
        <w:rPr>
          <w:rFonts w:ascii="Times New Roman" w:hAnsi="Times New Roman" w:eastAsia="黑体" w:cs="Times New Roman"/>
          <w:b/>
          <w:bCs/>
          <w:color w:val="000000" w:themeColor="text1"/>
          <w:sz w:val="44"/>
          <w:szCs w:val="44"/>
          <w:lang w:val="zh-TW" w:eastAsia="zh-TW"/>
          <w14:textFill>
            <w14:solidFill>
              <w14:schemeClr w14:val="tx1"/>
            </w14:solidFill>
          </w14:textFill>
        </w:rPr>
      </w:pPr>
    </w:p>
    <w:p>
      <w:pPr>
        <w:pStyle w:val="228"/>
        <w:spacing w:line="560" w:lineRule="exact"/>
        <w:rPr>
          <w:rFonts w:ascii="Times New Roman" w:hAnsi="Times New Roman" w:eastAsia="黑体" w:cs="Times New Roman"/>
          <w:b/>
          <w:bCs/>
          <w:color w:val="000000" w:themeColor="text1"/>
          <w:sz w:val="44"/>
          <w:szCs w:val="44"/>
          <w:lang w:val="zh-TW" w:eastAsia="zh-TW"/>
          <w14:textFill>
            <w14:solidFill>
              <w14:schemeClr w14:val="tx1"/>
            </w14:solidFill>
          </w14:textFill>
        </w:rPr>
      </w:pPr>
    </w:p>
    <w:p>
      <w:pPr>
        <w:pStyle w:val="228"/>
        <w:spacing w:line="560" w:lineRule="exact"/>
        <w:ind w:firstLine="321" w:firstLineChars="100"/>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材料</w:t>
      </w:r>
      <w:r>
        <w:rPr>
          <w:rFonts w:ascii="Times New Roman" w:hAnsi="Times New Roman" w:eastAsia="方正仿宋_GBK" w:cs="Times New Roman"/>
          <w:b/>
          <w:bCs/>
          <w:color w:val="000000" w:themeColor="text1"/>
          <w:sz w:val="32"/>
          <w:szCs w:val="32"/>
          <w:lang w:val="zh-TW"/>
          <w14:textFill>
            <w14:solidFill>
              <w14:schemeClr w14:val="tx1"/>
            </w14:solidFill>
          </w14:textFill>
        </w:rPr>
        <w:t>名称：</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pPr>
        <w:pStyle w:val="228"/>
        <w:spacing w:line="560" w:lineRule="exact"/>
        <w:ind w:firstLine="321" w:firstLineChars="100"/>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购 买 方</w:t>
      </w:r>
      <w:r>
        <w:rPr>
          <w:rFonts w:ascii="Times New Roman" w:hAnsi="Times New Roman" w:eastAsia="方正仿宋_GBK" w:cs="Times New Roman"/>
          <w:b/>
          <w:bCs/>
          <w:color w:val="000000" w:themeColor="text1"/>
          <w:sz w:val="32"/>
          <w:szCs w:val="32"/>
          <w:lang w:val="zh-TW"/>
          <w14:textFill>
            <w14:solidFill>
              <w14:schemeClr w14:val="tx1"/>
            </w14:solidFill>
          </w14:textFill>
        </w:rPr>
        <w:t>：</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pPr>
        <w:pStyle w:val="228"/>
        <w:spacing w:line="560" w:lineRule="exact"/>
        <w:ind w:firstLine="321" w:firstLineChars="100"/>
        <w:rPr>
          <w:rFonts w:ascii="Times New Roman" w:hAnsi="Times New Roman" w:eastAsia="方正仿宋_GBK" w:cs="Times New Roman"/>
          <w:color w:val="000000" w:themeColor="text1"/>
          <w:sz w:val="32"/>
          <w:szCs w:val="32"/>
          <w:u w:val="single"/>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出 卖 方</w:t>
      </w:r>
      <w:r>
        <w:rPr>
          <w:rFonts w:ascii="Times New Roman" w:hAnsi="Times New Roman" w:eastAsia="方正仿宋_GBK" w:cs="Times New Roman"/>
          <w:b/>
          <w:bCs/>
          <w:color w:val="000000" w:themeColor="text1"/>
          <w:sz w:val="32"/>
          <w:szCs w:val="32"/>
          <w:lang w:val="zh-TW"/>
          <w14:textFill>
            <w14:solidFill>
              <w14:schemeClr w14:val="tx1"/>
            </w14:solidFill>
          </w14:textFill>
        </w:rPr>
        <w:t>：</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pPr>
        <w:pStyle w:val="228"/>
        <w:spacing w:line="560" w:lineRule="exact"/>
        <w:ind w:firstLine="321" w:firstLineChars="100"/>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签约地点：</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pPr>
        <w:pStyle w:val="228"/>
        <w:spacing w:line="560" w:lineRule="exact"/>
        <w:ind w:firstLine="321" w:firstLineChars="100"/>
        <w:rPr>
          <w:rFonts w:ascii="Times New Roman" w:hAnsi="Times New Roman" w:eastAsia="仿宋" w:cs="Times New Roman"/>
          <w:b/>
          <w:bCs/>
          <w:color w:val="000000" w:themeColor="text1"/>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签订日期：</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202</w:t>
      </w:r>
      <w:r>
        <w:rPr>
          <w:rFonts w:hint="eastAsia" w:ascii="Times New Roman" w:hAnsi="Times New Roman" w:eastAsia="方正仿宋_GBK" w:cs="Times New Roman"/>
          <w:color w:val="000000" w:themeColor="text1"/>
          <w:sz w:val="32"/>
          <w:szCs w:val="32"/>
          <w:u w:val="single"/>
          <w14:textFill>
            <w14:solidFill>
              <w14:schemeClr w14:val="tx1"/>
            </w14:solidFill>
          </w14:textFill>
        </w:rPr>
        <w:t>5</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年   月   日         </w:t>
      </w:r>
    </w:p>
    <w:p>
      <w:pPr>
        <w:pStyle w:val="228"/>
        <w:spacing w:line="560" w:lineRule="exact"/>
        <w:ind w:firstLine="1320" w:firstLineChars="300"/>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ind w:firstLine="1320" w:firstLineChars="300"/>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pStyle w:val="228"/>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pPr>
        <w:spacing w:before="260" w:after="260" w:line="560" w:lineRule="exact"/>
        <w:jc w:val="center"/>
        <w:rPr>
          <w:rFonts w:eastAsia="方正小标宋_GBK"/>
          <w:color w:val="000000" w:themeColor="text1"/>
          <w:sz w:val="44"/>
          <w:szCs w:val="44"/>
          <w14:textFill>
            <w14:solidFill>
              <w14:schemeClr w14:val="tx1"/>
            </w14:solidFill>
          </w14:textFill>
        </w:rPr>
      </w:pPr>
      <w:r>
        <w:rPr>
          <w:rFonts w:eastAsia="方正小标宋_GBK"/>
          <w:color w:val="000000" w:themeColor="text1"/>
          <w:sz w:val="44"/>
          <w:szCs w:val="44"/>
          <w14:textFill>
            <w14:solidFill>
              <w14:schemeClr w14:val="tx1"/>
            </w14:solidFill>
          </w14:textFill>
        </w:rPr>
        <w:t>重庆康科特建筑材料有限公司</w:t>
      </w:r>
    </w:p>
    <w:p>
      <w:pPr>
        <w:spacing w:before="260" w:after="260" w:line="56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lang w:eastAsia="zh-CN"/>
          <w14:textFill>
            <w14:solidFill>
              <w14:schemeClr w14:val="tx1"/>
            </w14:solidFill>
          </w14:textFill>
        </w:rPr>
        <w:t>贸易砂石</w:t>
      </w:r>
      <w:r>
        <w:rPr>
          <w:rFonts w:eastAsia="方正小标宋_GBK"/>
          <w:color w:val="000000" w:themeColor="text1"/>
          <w:sz w:val="44"/>
          <w:szCs w:val="44"/>
          <w14:textFill>
            <w14:solidFill>
              <w14:schemeClr w14:val="tx1"/>
            </w14:solidFill>
          </w14:textFill>
        </w:rPr>
        <w:t>采购买卖合同</w:t>
      </w:r>
    </w:p>
    <w:p>
      <w:pPr>
        <w:spacing w:line="560" w:lineRule="exact"/>
        <w:ind w:right="140" w:rightChars="50"/>
        <w:jc w:val="left"/>
        <w:rPr>
          <w:rFonts w:eastAsia="方正仿宋_GBK"/>
          <w:b/>
          <w:bCs/>
          <w:color w:val="000000" w:themeColor="text1"/>
          <w:sz w:val="32"/>
          <w:szCs w:val="32"/>
          <w14:textFill>
            <w14:solidFill>
              <w14:schemeClr w14:val="tx1"/>
            </w14:solidFill>
          </w14:textFill>
        </w:rPr>
      </w:pPr>
      <w:r>
        <w:rPr>
          <w:rFonts w:eastAsia="方正仿宋_GBK"/>
          <w:b/>
          <w:bCs/>
          <w:color w:val="000000" w:themeColor="text1"/>
          <w:sz w:val="32"/>
          <w:szCs w:val="32"/>
          <w14:textFill>
            <w14:solidFill>
              <w14:schemeClr w14:val="tx1"/>
            </w14:solidFill>
          </w14:textFill>
        </w:rPr>
        <w:t>购买方：</w:t>
      </w:r>
      <w:r>
        <w:rPr>
          <w:rFonts w:eastAsia="方正仿宋_GBK"/>
          <w:b/>
          <w:bCs/>
          <w:color w:val="000000" w:themeColor="text1"/>
          <w:sz w:val="32"/>
          <w:szCs w:val="32"/>
          <w:u w:val="single"/>
          <w14:textFill>
            <w14:solidFill>
              <w14:schemeClr w14:val="tx1"/>
            </w14:solidFill>
          </w14:textFill>
        </w:rPr>
        <w:t xml:space="preserve">重庆康科特建筑材料有限公司 </w:t>
      </w:r>
      <w:r>
        <w:rPr>
          <w:rFonts w:eastAsia="方正仿宋_GBK"/>
          <w:b/>
          <w:bCs/>
          <w:color w:val="000000" w:themeColor="text1"/>
          <w:sz w:val="32"/>
          <w:szCs w:val="32"/>
          <w14:textFill>
            <w14:solidFill>
              <w14:schemeClr w14:val="tx1"/>
            </w14:solidFill>
          </w14:textFill>
        </w:rPr>
        <w:t>（以下简称甲方）</w:t>
      </w:r>
      <w:r>
        <w:rPr>
          <w:rFonts w:hint="eastAsia" w:eastAsia="方正仿宋_GBK"/>
          <w:b/>
          <w:bCs/>
          <w:color w:val="000000" w:themeColor="text1"/>
          <w:sz w:val="32"/>
          <w:szCs w:val="32"/>
          <w14:textFill>
            <w14:solidFill>
              <w14:schemeClr w14:val="tx1"/>
            </w14:solidFill>
          </w14:textFill>
        </w:rPr>
        <w:t xml:space="preserve"> </w:t>
      </w:r>
    </w:p>
    <w:p>
      <w:pPr>
        <w:pStyle w:val="58"/>
        <w:spacing w:line="560" w:lineRule="exact"/>
        <w:ind w:firstLine="0"/>
        <w:jc w:val="left"/>
        <w:rPr>
          <w:rFonts w:ascii="Times New Roman" w:hAnsi="Times New Roman" w:eastAsia="方正仿宋_GBK"/>
          <w:color w:val="000000" w:themeColor="text1"/>
          <w:sz w:val="32"/>
          <w:szCs w:val="32"/>
          <w:u w:val="single"/>
          <w14:textFill>
            <w14:solidFill>
              <w14:schemeClr w14:val="tx1"/>
            </w14:solidFill>
          </w14:textFill>
        </w:rPr>
      </w:pPr>
      <w:r>
        <w:rPr>
          <w:rFonts w:ascii="Times New Roman" w:hAnsi="Times New Roman" w:eastAsia="方正仿宋_GBK"/>
          <w:b/>
          <w:bCs/>
          <w:color w:val="000000" w:themeColor="text1"/>
          <w:sz w:val="32"/>
          <w:szCs w:val="32"/>
          <w14:textFill>
            <w14:solidFill>
              <w14:schemeClr w14:val="tx1"/>
            </w14:solidFill>
          </w14:textFill>
        </w:rPr>
        <w:t>住所地：</w:t>
      </w:r>
      <w:r>
        <w:rPr>
          <w:rFonts w:ascii="Times New Roman" w:hAnsi="Times New Roman" w:eastAsia="方正仿宋_GBK"/>
          <w:b/>
          <w:bCs/>
          <w:color w:val="000000" w:themeColor="text1"/>
          <w:sz w:val="32"/>
          <w:szCs w:val="32"/>
          <w:u w:val="single"/>
          <w14:textFill>
            <w14:solidFill>
              <w14:schemeClr w14:val="tx1"/>
            </w14:solidFill>
          </w14:textFill>
        </w:rPr>
        <w:t>重庆市垫江县桂阳街道龙凤路27号</w:t>
      </w:r>
      <w:r>
        <w:rPr>
          <w:rFonts w:hint="eastAsia" w:ascii="Times New Roman" w:hAnsi="Times New Roman" w:eastAsia="方正仿宋_GBK"/>
          <w:b/>
          <w:bCs/>
          <w:color w:val="000000" w:themeColor="text1"/>
          <w:sz w:val="32"/>
          <w:szCs w:val="32"/>
          <w:u w:val="single"/>
          <w14:textFill>
            <w14:solidFill>
              <w14:schemeClr w14:val="tx1"/>
            </w14:solidFill>
          </w14:textFill>
        </w:rPr>
        <w:t xml:space="preserve">             </w:t>
      </w:r>
    </w:p>
    <w:p>
      <w:pPr>
        <w:pStyle w:val="58"/>
        <w:spacing w:line="560" w:lineRule="exact"/>
        <w:ind w:firstLine="0"/>
        <w:rPr>
          <w:rFonts w:ascii="Times New Roman" w:hAnsi="Times New Roman" w:eastAsia="方正仿宋_GBK"/>
          <w:b/>
          <w:bCs/>
          <w:color w:val="000000" w:themeColor="text1"/>
          <w:sz w:val="32"/>
          <w:szCs w:val="32"/>
          <w14:textFill>
            <w14:solidFill>
              <w14:schemeClr w14:val="tx1"/>
            </w14:solidFill>
          </w14:textFill>
        </w:rPr>
      </w:pPr>
      <w:r>
        <w:rPr>
          <w:rFonts w:ascii="Times New Roman" w:hAnsi="Times New Roman" w:eastAsia="方正仿宋_GBK"/>
          <w:b/>
          <w:bCs/>
          <w:color w:val="000000" w:themeColor="text1"/>
          <w:sz w:val="32"/>
          <w:szCs w:val="32"/>
          <w14:textFill>
            <w14:solidFill>
              <w14:schemeClr w14:val="tx1"/>
            </w14:solidFill>
          </w14:textFill>
        </w:rPr>
        <w:t>出卖方：</w:t>
      </w:r>
      <w:r>
        <w:rPr>
          <w:rFonts w:hint="eastAsia" w:ascii="Times New Roman" w:hAnsi="Times New Roman" w:eastAsia="方正仿宋_GBK"/>
          <w:b/>
          <w:bCs/>
          <w:color w:val="000000" w:themeColor="text1"/>
          <w:sz w:val="32"/>
          <w:szCs w:val="32"/>
          <w:u w:val="single"/>
          <w14:textFill>
            <w14:solidFill>
              <w14:schemeClr w14:val="tx1"/>
            </w14:solidFill>
          </w14:textFill>
        </w:rPr>
        <w:t xml:space="preserve">   </w:t>
      </w:r>
      <w:r>
        <w:rPr>
          <w:rFonts w:hint="eastAsia" w:ascii="Times New Roman" w:hAnsi="Times New Roman" w:eastAsia="方正仿宋_GBK"/>
          <w:b/>
          <w:bCs/>
          <w:color w:val="000000" w:themeColor="text1"/>
          <w:sz w:val="32"/>
          <w:szCs w:val="32"/>
          <w:u w:val="single"/>
          <w:lang w:val="en-US" w:eastAsia="zh-CN"/>
          <w14:textFill>
            <w14:solidFill>
              <w14:schemeClr w14:val="tx1"/>
            </w14:solidFill>
          </w14:textFill>
        </w:rPr>
        <w:t xml:space="preserve">                          </w:t>
      </w:r>
      <w:r>
        <w:rPr>
          <w:rFonts w:ascii="Times New Roman" w:hAnsi="Times New Roman" w:eastAsia="方正仿宋_GBK"/>
          <w:b/>
          <w:bCs/>
          <w:color w:val="000000" w:themeColor="text1"/>
          <w:sz w:val="32"/>
          <w:szCs w:val="32"/>
          <w14:textFill>
            <w14:solidFill>
              <w14:schemeClr w14:val="tx1"/>
            </w14:solidFill>
          </w14:textFill>
        </w:rPr>
        <w:t>（以下简称乙方）</w:t>
      </w:r>
    </w:p>
    <w:p>
      <w:pPr>
        <w:pStyle w:val="229"/>
        <w:spacing w:before="0"/>
        <w:ind w:firstLine="0" w:firstLineChars="0"/>
        <w:rPr>
          <w:rFonts w:ascii="Times New Roman" w:hAnsi="Times New Roman" w:eastAsia="方正仿宋_GBK" w:cs="Times New Roman"/>
          <w:color w:val="000000" w:themeColor="text1"/>
          <w:sz w:val="32"/>
          <w:szCs w:val="32"/>
          <w:u w:val="single"/>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住所地：</w:t>
      </w:r>
      <w:r>
        <w:rPr>
          <w:rFonts w:hint="eastAsia"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pPr>
        <w:spacing w:line="560" w:lineRule="exact"/>
        <w:ind w:firstLine="640" w:firstLineChars="200"/>
        <w:jc w:val="lef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甲、乙双方在平等自愿、协商一致的基础上，根据《中华人民共和国民法典》及其他相关法律法规的规定，并结合重庆康科特建筑材料有限公司预拌商砼生产线具体情况，就甲方向乙方购买生产所需的</w:t>
      </w:r>
      <w:r>
        <w:rPr>
          <w:rFonts w:hint="eastAsia" w:eastAsia="方正仿宋_GBK"/>
          <w:color w:val="000000" w:themeColor="text1"/>
          <w:sz w:val="32"/>
          <w:szCs w:val="32"/>
          <w:lang w:eastAsia="zh-CN"/>
          <w14:textFill>
            <w14:solidFill>
              <w14:schemeClr w14:val="tx1"/>
            </w14:solidFill>
          </w14:textFill>
        </w:rPr>
        <w:t>贸易砂石</w:t>
      </w:r>
      <w:r>
        <w:rPr>
          <w:rFonts w:eastAsia="方正仿宋_GBK"/>
          <w:color w:val="000000" w:themeColor="text1"/>
          <w:sz w:val="32"/>
          <w:szCs w:val="32"/>
          <w14:textFill>
            <w14:solidFill>
              <w14:schemeClr w14:val="tx1"/>
            </w14:solidFill>
          </w14:textFill>
        </w:rPr>
        <w:t>相关事宜，特签订本合同，供双方共同遵守。</w:t>
      </w:r>
    </w:p>
    <w:p>
      <w:pPr>
        <w:spacing w:line="560" w:lineRule="exact"/>
        <w:ind w:firstLine="640" w:firstLineChars="200"/>
        <w:rPr>
          <w:rFonts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一、材料名称</w:t>
      </w:r>
      <w:r>
        <w:rPr>
          <w:rFonts w:hint="eastAsia" w:eastAsia="黑体"/>
          <w:color w:val="000000" w:themeColor="text1"/>
          <w:sz w:val="32"/>
          <w:szCs w:val="32"/>
          <w14:textFill>
            <w14:solidFill>
              <w14:schemeClr w14:val="tx1"/>
            </w14:solidFill>
          </w14:textFill>
        </w:rPr>
        <w:t>及质量指标</w:t>
      </w:r>
    </w:p>
    <w:p>
      <w:pPr>
        <w:spacing w:line="560" w:lineRule="exact"/>
        <w:ind w:firstLine="640" w:firstLineChars="200"/>
        <w:jc w:val="left"/>
        <w:rPr>
          <w:rFonts w:hint="eastAsia"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(一)材料名称</w:t>
      </w:r>
      <w:r>
        <w:rPr>
          <w:rFonts w:hint="eastAsia" w:eastAsia="方正仿宋_GBK"/>
          <w:color w:val="000000" w:themeColor="text1"/>
          <w:sz w:val="32"/>
          <w:szCs w:val="32"/>
          <w14:textFill>
            <w14:solidFill>
              <w14:schemeClr w14:val="tx1"/>
            </w14:solidFill>
          </w14:textFill>
        </w:rPr>
        <w:t>：</w:t>
      </w:r>
    </w:p>
    <w:p>
      <w:pPr>
        <w:spacing w:line="560" w:lineRule="exact"/>
        <w:ind w:firstLine="640" w:firstLineChars="200"/>
        <w:jc w:val="left"/>
        <w:rPr>
          <w:rFonts w:hint="eastAsia"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(二)质量</w:t>
      </w:r>
      <w:r>
        <w:rPr>
          <w:rFonts w:hint="eastAsia" w:eastAsia="方正仿宋_GBK"/>
          <w:color w:val="000000" w:themeColor="text1"/>
          <w:sz w:val="32"/>
          <w:szCs w:val="32"/>
          <w14:textFill>
            <w14:solidFill>
              <w14:schemeClr w14:val="tx1"/>
            </w14:solidFill>
          </w14:textFill>
        </w:rPr>
        <w:t>标准：</w:t>
      </w:r>
      <w:r>
        <w:rPr>
          <w:rFonts w:hint="eastAsia" w:eastAsia="方正仿宋_GBK"/>
          <w:color w:val="000000" w:themeColor="text1"/>
          <w:sz w:val="32"/>
          <w:szCs w:val="32"/>
          <w:lang w:val="en-US" w:eastAsia="zh-CN"/>
          <w14:textFill>
            <w14:solidFill>
              <w14:schemeClr w14:val="tx1"/>
            </w14:solidFill>
          </w14:textFill>
        </w:rPr>
        <w:t>符合国家规范标准要求。</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二、送货地点及时间</w:t>
      </w:r>
    </w:p>
    <w:p>
      <w:pPr>
        <w:pStyle w:val="58"/>
        <w:spacing w:line="56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Times New Roman" w:hAnsi="Times New Roman" w:eastAsia="仿宋"/>
          <w:color w:val="000000" w:themeColor="text1"/>
          <w:sz w:val="32"/>
          <w:szCs w:val="32"/>
          <w14:textFill>
            <w14:solidFill>
              <w14:schemeClr w14:val="tx1"/>
            </w14:solidFill>
          </w14:textFill>
        </w:rPr>
        <w:t>1.</w:t>
      </w:r>
      <w:r>
        <w:rPr>
          <w:rFonts w:hint="eastAsia" w:ascii="Times New Roman" w:hAnsi="Times New Roman" w:eastAsia="仿宋"/>
          <w:color w:val="000000" w:themeColor="text1"/>
          <w:sz w:val="32"/>
          <w:szCs w:val="32"/>
          <w14:textFill>
            <w14:solidFill>
              <w14:schemeClr w14:val="tx1"/>
            </w14:solidFill>
          </w14:textFill>
        </w:rPr>
        <w:t>供货</w:t>
      </w:r>
      <w:r>
        <w:rPr>
          <w:rFonts w:ascii="Times New Roman" w:hAnsi="Times New Roman" w:eastAsia="仿宋"/>
          <w:color w:val="000000" w:themeColor="text1"/>
          <w:sz w:val="32"/>
          <w:szCs w:val="32"/>
          <w14:textFill>
            <w14:solidFill>
              <w14:schemeClr w14:val="tx1"/>
            </w14:solidFill>
          </w14:textFill>
        </w:rPr>
        <w:t>地点：</w:t>
      </w:r>
      <w:r>
        <w:rPr>
          <w:rFonts w:hint="eastAsia" w:ascii="方正仿宋_GBK" w:eastAsia="方正仿宋_GBK"/>
          <w:color w:val="000000" w:themeColor="text1"/>
          <w:sz w:val="28"/>
          <w:szCs w:val="28"/>
          <w14:textFill>
            <w14:solidFill>
              <w14:schemeClr w14:val="tx1"/>
            </w14:solidFill>
          </w14:textFill>
        </w:rPr>
        <w:t>具体交货地点以采购人通知为准</w:t>
      </w:r>
      <w:r>
        <w:rPr>
          <w:rFonts w:ascii="Times New Roman" w:hAnsi="Times New Roman" w:eastAsia="仿宋"/>
          <w:color w:val="000000" w:themeColor="text1"/>
          <w:sz w:val="32"/>
          <w:szCs w:val="32"/>
          <w14:textFill>
            <w14:solidFill>
              <w14:schemeClr w14:val="tx1"/>
            </w14:solidFill>
          </w14:textFill>
        </w:rPr>
        <w:t>。</w:t>
      </w:r>
    </w:p>
    <w:p>
      <w:pPr>
        <w:spacing w:line="560" w:lineRule="exact"/>
        <w:ind w:firstLine="640" w:firstLineChars="200"/>
        <w:rPr>
          <w:rFonts w:eastAsia="仿宋"/>
          <w:color w:val="000000" w:themeColor="text1"/>
          <w:sz w:val="32"/>
          <w:szCs w:val="32"/>
          <w14:textFill>
            <w14:solidFill>
              <w14:schemeClr w14:val="tx1"/>
            </w14:solidFill>
          </w14:textFill>
        </w:rPr>
      </w:pPr>
      <w:r>
        <w:rPr>
          <w:rFonts w:eastAsia="仿宋"/>
          <w:color w:val="000000" w:themeColor="text1"/>
          <w:sz w:val="32"/>
          <w:szCs w:val="32"/>
          <w14:textFill>
            <w14:solidFill>
              <w14:schemeClr w14:val="tx1"/>
            </w14:solidFill>
          </w14:textFill>
        </w:rPr>
        <w:t>2.送货时间：具体实施（交货）时间以甲方通知为准，但乙方必须承诺在收到甲方通知（通知方式包括但不限于书面、电话、微信、短信等其他甲方约定通讯方式）起24小时内（起止时间以甲方通知时间至乙方货物到甲方地磅处过磅时间为准）将货物运达指定地点。</w:t>
      </w:r>
    </w:p>
    <w:p>
      <w:pPr>
        <w:autoSpaceDE w:val="0"/>
        <w:spacing w:line="600" w:lineRule="exact"/>
        <w:ind w:firstLine="640" w:firstLineChars="200"/>
        <w:rPr>
          <w:rFonts w:eastAsia="方正仿宋_GBK"/>
          <w:color w:val="000000" w:themeColor="text1"/>
          <w:sz w:val="32"/>
          <w:szCs w:val="32"/>
          <w14:textFill>
            <w14:solidFill>
              <w14:schemeClr w14:val="tx1"/>
            </w14:solidFill>
          </w14:textFill>
        </w:rPr>
      </w:pPr>
      <w:r>
        <w:rPr>
          <w:rFonts w:eastAsia="方正黑体_GBK"/>
          <w:color w:val="000000" w:themeColor="text1"/>
          <w:sz w:val="32"/>
          <w:szCs w:val="32"/>
          <w:lang w:bidi="ar"/>
          <w14:textFill>
            <w14:solidFill>
              <w14:schemeClr w14:val="tx1"/>
            </w14:solidFill>
          </w14:textFill>
        </w:rPr>
        <w:t>三、供货周期及履约保证金</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（一）供货周期</w:t>
      </w:r>
      <w:r>
        <w:rPr>
          <w:rFonts w:hint="eastAsia" w:eastAsia="方正楷体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完成本次买卖合同的供货量并付款完成即合同终止。</w:t>
      </w:r>
    </w:p>
    <w:p>
      <w:pPr>
        <w:autoSpaceDE w:val="0"/>
        <w:spacing w:line="594" w:lineRule="exact"/>
        <w:ind w:firstLine="640" w:firstLineChars="200"/>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（二）履约保证金</w:t>
      </w:r>
    </w:p>
    <w:p>
      <w:pPr>
        <w:autoSpaceDE w:val="0"/>
        <w:spacing w:line="594" w:lineRule="exact"/>
        <w:ind w:left="1491" w:leftChars="304" w:hanging="640" w:hanging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1.履约保证金的收取</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乙方向甲方缴纳履约保证金</w:t>
      </w:r>
      <w:r>
        <w:rPr>
          <w:rFonts w:hint="eastAsia" w:eastAsia="方正仿宋_GBK"/>
          <w:color w:val="000000" w:themeColor="text1"/>
          <w:sz w:val="32"/>
          <w:szCs w:val="32"/>
          <w:lang w:bidi="ar"/>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14:textFill>
            <w14:solidFill>
              <w14:schemeClr w14:val="tx1"/>
            </w14:solidFill>
          </w14:textFill>
        </w:rPr>
        <w:t xml:space="preserve">   元</w:t>
      </w:r>
      <w:r>
        <w:rPr>
          <w:rFonts w:eastAsia="方正仿宋_GBK"/>
          <w:color w:val="000000" w:themeColor="text1"/>
          <w:sz w:val="32"/>
          <w:szCs w:val="32"/>
          <w:lang w:bidi="ar"/>
          <w14:textFill>
            <w14:solidFill>
              <w14:schemeClr w14:val="tx1"/>
            </w14:solidFill>
          </w14:textFill>
        </w:rPr>
        <w:t>(大写</w:t>
      </w:r>
      <w:r>
        <w:rPr>
          <w:rFonts w:hint="eastAsia" w:eastAsia="方正仿宋_GBK"/>
          <w:color w:val="000000" w:themeColor="text1"/>
          <w:sz w:val="32"/>
          <w:szCs w:val="32"/>
          <w:lang w:bidi="ar"/>
          <w14:textFill>
            <w14:solidFill>
              <w14:schemeClr w14:val="tx1"/>
            </w14:solidFill>
          </w14:textFill>
        </w:rPr>
        <w:t>：</w:t>
      </w:r>
      <w:r>
        <w:rPr>
          <w:rFonts w:hint="eastAsia" w:eastAsia="方正仿宋_GBK"/>
          <w:color w:val="000000" w:themeColor="text1"/>
          <w:sz w:val="32"/>
          <w:szCs w:val="32"/>
          <w:u w:val="single"/>
          <w:lang w:bidi="ar"/>
          <w14:textFill>
            <w14:solidFill>
              <w14:schemeClr w14:val="tx1"/>
            </w14:solidFill>
          </w14:textFill>
        </w:rPr>
        <w:t xml:space="preserve"> </w:t>
      </w:r>
      <w:r>
        <w:rPr>
          <w:rFonts w:hint="eastAsia" w:eastAsia="方正仿宋_GBK"/>
          <w:color w:val="000000" w:themeColor="text1"/>
          <w:sz w:val="32"/>
          <w:szCs w:val="32"/>
          <w:u w:val="single"/>
          <w:lang w:val="en-US" w:eastAsia="zh-CN" w:bidi="ar"/>
          <w14:textFill>
            <w14:solidFill>
              <w14:schemeClr w14:val="tx1"/>
            </w14:solidFill>
          </w14:textFill>
        </w:rPr>
        <w:t xml:space="preserve"> </w:t>
      </w:r>
      <w:r>
        <w:rPr>
          <w:rFonts w:hint="eastAsia" w:eastAsia="方正仿宋_GBK"/>
          <w:color w:val="000000" w:themeColor="text1"/>
          <w:sz w:val="32"/>
          <w:szCs w:val="32"/>
          <w:u w:val="single"/>
          <w:lang w:bidi="ar"/>
          <w14:textFill>
            <w14:solidFill>
              <w14:schemeClr w14:val="tx1"/>
            </w14:solidFill>
          </w14:textFill>
        </w:rPr>
        <w:t xml:space="preserve">    </w:t>
      </w:r>
      <w:r>
        <w:rPr>
          <w:rFonts w:hint="eastAsia" w:eastAsia="方正仿宋_GBK"/>
          <w:color w:val="000000" w:themeColor="text1"/>
          <w:sz w:val="32"/>
          <w:szCs w:val="32"/>
          <w:lang w:bidi="ar"/>
          <w14:textFill>
            <w14:solidFill>
              <w14:schemeClr w14:val="tx1"/>
            </w14:solidFill>
          </w14:textFill>
        </w:rPr>
        <w:t xml:space="preserve"> </w:t>
      </w:r>
      <w:r>
        <w:rPr>
          <w:rFonts w:eastAsia="方正仿宋_GBK"/>
          <w:color w:val="000000" w:themeColor="text1"/>
          <w:sz w:val="32"/>
          <w:szCs w:val="32"/>
          <w:lang w:bidi="ar"/>
          <w14:textFill>
            <w14:solidFill>
              <w14:schemeClr w14:val="tx1"/>
            </w14:solidFill>
          </w14:textFill>
        </w:rPr>
        <w:t>)</w:t>
      </w:r>
      <w:r>
        <w:rPr>
          <w:rFonts w:hint="eastAsia" w:eastAsia="方正仿宋_GBK"/>
          <w:color w:val="000000" w:themeColor="text1"/>
          <w:sz w:val="32"/>
          <w:szCs w:val="32"/>
          <w:lang w:bidi="ar"/>
          <w14:textFill>
            <w14:solidFill>
              <w14:schemeClr w14:val="tx1"/>
            </w14:solidFill>
          </w14:textFill>
        </w:rPr>
        <w:t>；</w:t>
      </w:r>
    </w:p>
    <w:p>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2.履约保证金缴纳形式</w:t>
      </w:r>
      <w:r>
        <w:rPr>
          <w:rFonts w:hint="eastAsia" w:eastAsia="方正仿宋_GBK"/>
          <w:color w:val="000000" w:themeColor="text1"/>
          <w:sz w:val="32"/>
          <w:szCs w:val="32"/>
          <w:lang w:bidi="ar"/>
          <w14:textFill>
            <w14:solidFill>
              <w14:schemeClr w14:val="tx1"/>
            </w14:solidFill>
          </w14:textFill>
        </w:rPr>
        <w:t>：合同签订时成交供应商向采购人缴纳合同金额10%的履约保证金，现金或履约保函或现金+履约保函的组合，履约保函包括银行保函、保证保险和担保保函。</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户名</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重庆康科特建筑材料有限公司</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账号</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820102029000256841</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开户行</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重庆银行股份有限公司垫江支行</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3.履约保证金的退还</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供货完毕后在</w:t>
      </w:r>
      <w:r>
        <w:rPr>
          <w:rFonts w:hint="eastAsia" w:eastAsia="方正仿宋_GBK"/>
          <w:color w:val="000000" w:themeColor="text1"/>
          <w:sz w:val="32"/>
          <w:szCs w:val="32"/>
          <w:lang w:val="en-US" w:eastAsia="zh-CN" w:bidi="ar"/>
          <w14:textFill>
            <w14:solidFill>
              <w14:schemeClr w14:val="tx1"/>
            </w14:solidFill>
          </w14:textFill>
        </w:rPr>
        <w:t>3</w:t>
      </w:r>
      <w:r>
        <w:rPr>
          <w:rFonts w:eastAsia="方正仿宋_GBK"/>
          <w:color w:val="000000" w:themeColor="text1"/>
          <w:sz w:val="32"/>
          <w:szCs w:val="32"/>
          <w:lang w:bidi="ar"/>
          <w14:textFill>
            <w14:solidFill>
              <w14:schemeClr w14:val="tx1"/>
            </w14:solidFill>
          </w14:textFill>
        </w:rPr>
        <w:t>0日内一次性无息退还。</w:t>
      </w:r>
    </w:p>
    <w:p>
      <w:pPr>
        <w:spacing w:line="560" w:lineRule="exact"/>
        <w:ind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四</w:t>
      </w:r>
      <w:r>
        <w:rPr>
          <w:rFonts w:eastAsia="黑体"/>
          <w:color w:val="000000" w:themeColor="text1"/>
          <w:sz w:val="32"/>
          <w:szCs w:val="32"/>
          <w14:textFill>
            <w14:solidFill>
              <w14:schemeClr w14:val="tx1"/>
            </w14:solidFill>
          </w14:textFill>
        </w:rPr>
        <w:t>、</w:t>
      </w:r>
      <w:r>
        <w:rPr>
          <w:rFonts w:hint="eastAsia" w:eastAsia="黑体"/>
          <w:color w:val="000000" w:themeColor="text1"/>
          <w:sz w:val="32"/>
          <w:szCs w:val="32"/>
          <w:lang w:eastAsia="zh-CN"/>
          <w14:textFill>
            <w14:solidFill>
              <w14:schemeClr w14:val="tx1"/>
            </w14:solidFill>
          </w14:textFill>
        </w:rPr>
        <w:t>贸易砂石</w:t>
      </w:r>
      <w:r>
        <w:rPr>
          <w:rFonts w:eastAsia="黑体"/>
          <w:color w:val="000000" w:themeColor="text1"/>
          <w:sz w:val="32"/>
          <w:szCs w:val="32"/>
          <w14:textFill>
            <w14:solidFill>
              <w14:schemeClr w14:val="tx1"/>
            </w14:solidFill>
          </w14:textFill>
        </w:rPr>
        <w:t>订购货物清单</w:t>
      </w:r>
    </w:p>
    <w:tbl>
      <w:tblPr>
        <w:tblStyle w:val="60"/>
        <w:tblW w:w="98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65"/>
        <w:gridCol w:w="2025"/>
        <w:gridCol w:w="1125"/>
        <w:gridCol w:w="1125"/>
        <w:gridCol w:w="1185"/>
        <w:gridCol w:w="2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jc w:val="center"/>
        </w:trPr>
        <w:tc>
          <w:tcPr>
            <w:tcW w:w="876" w:type="dxa"/>
            <w:vAlign w:val="center"/>
          </w:tcPr>
          <w:p>
            <w:pPr>
              <w:pStyle w:val="59"/>
              <w:spacing w:line="594" w:lineRule="exact"/>
              <w:ind w:left="0" w:leftChars="0" w:firstLine="0" w:firstLineChars="0"/>
              <w:jc w:val="center"/>
              <w:rPr>
                <w:color w:val="000000" w:themeColor="text1"/>
                <w:sz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项目</w:t>
            </w:r>
            <w:r>
              <w:rPr>
                <w:color w:val="000000" w:themeColor="text1"/>
                <w:sz w:val="24"/>
                <w14:textFill>
                  <w14:solidFill>
                    <w14:schemeClr w14:val="tx1"/>
                  </w14:solidFill>
                </w14:textFill>
              </w:rPr>
              <w:t>名称</w:t>
            </w:r>
          </w:p>
        </w:tc>
        <w:tc>
          <w:tcPr>
            <w:tcW w:w="1065" w:type="dxa"/>
            <w:vAlign w:val="center"/>
          </w:tcPr>
          <w:p>
            <w:pPr>
              <w:pStyle w:val="59"/>
              <w:spacing w:line="594" w:lineRule="exact"/>
              <w:ind w:left="0" w:leftChars="0" w:firstLine="0" w:firstLineChars="0"/>
              <w:jc w:val="center"/>
              <w:rPr>
                <w:color w:val="000000" w:themeColor="text1"/>
                <w:sz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序号</w:t>
            </w:r>
          </w:p>
        </w:tc>
        <w:tc>
          <w:tcPr>
            <w:tcW w:w="2025" w:type="dxa"/>
            <w:vAlign w:val="center"/>
          </w:tcPr>
          <w:p>
            <w:pPr>
              <w:pStyle w:val="59"/>
              <w:spacing w:line="594" w:lineRule="exact"/>
              <w:ind w:left="0" w:leftChars="0" w:firstLine="0" w:firstLineChars="0"/>
              <w:jc w:val="center"/>
              <w:rPr>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货物名称</w:t>
            </w:r>
          </w:p>
        </w:tc>
        <w:tc>
          <w:tcPr>
            <w:tcW w:w="1125" w:type="dxa"/>
            <w:vAlign w:val="center"/>
          </w:tcPr>
          <w:p>
            <w:pPr>
              <w:pStyle w:val="59"/>
              <w:spacing w:line="594" w:lineRule="exact"/>
              <w:ind w:left="0" w:leftChars="0" w:firstLine="0" w:firstLineChars="0"/>
              <w:jc w:val="center"/>
              <w:rPr>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单位</w:t>
            </w:r>
          </w:p>
        </w:tc>
        <w:tc>
          <w:tcPr>
            <w:tcW w:w="1125" w:type="dxa"/>
            <w:vAlign w:val="center"/>
          </w:tcPr>
          <w:p>
            <w:pPr>
              <w:pStyle w:val="59"/>
              <w:spacing w:line="594" w:lineRule="exact"/>
              <w:ind w:left="0" w:leftChars="0" w:firstLine="0" w:firstLineChars="0"/>
              <w:jc w:val="center"/>
              <w:rPr>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暂定采购数量</w:t>
            </w:r>
          </w:p>
        </w:tc>
        <w:tc>
          <w:tcPr>
            <w:tcW w:w="1185" w:type="dxa"/>
            <w:vAlign w:val="center"/>
          </w:tcPr>
          <w:p>
            <w:pPr>
              <w:pStyle w:val="59"/>
              <w:spacing w:line="594" w:lineRule="exact"/>
              <w:ind w:left="0" w:leftChars="0" w:firstLine="0" w:firstLineChars="0"/>
              <w:jc w:val="center"/>
              <w:rPr>
                <w:rFonts w:ascii="方正仿宋_GBK" w:hAnsi="宋体" w:eastAsia="方正仿宋_GBK"/>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单价（元</w:t>
            </w:r>
            <w:r>
              <w:rPr>
                <w:rFonts w:hint="eastAsia" w:ascii="方正仿宋_GBK" w:hAnsi="宋体" w:eastAsia="方正仿宋_GBK"/>
                <w:color w:val="000000" w:themeColor="text1"/>
                <w:sz w:val="24"/>
                <w:szCs w:val="24"/>
                <w:lang w:val="en-US" w:eastAsia="zh-CN"/>
                <w14:textFill>
                  <w14:solidFill>
                    <w14:schemeClr w14:val="tx1"/>
                  </w14:solidFill>
                </w14:textFill>
              </w:rPr>
              <w:t>/吨</w:t>
            </w:r>
            <w:r>
              <w:rPr>
                <w:rFonts w:hint="eastAsia" w:ascii="方正仿宋_GBK" w:hAnsi="宋体" w:eastAsia="方正仿宋_GBK"/>
                <w:color w:val="000000" w:themeColor="text1"/>
                <w:sz w:val="24"/>
                <w:szCs w:val="24"/>
                <w14:textFill>
                  <w14:solidFill>
                    <w14:schemeClr w14:val="tx1"/>
                  </w14:solidFill>
                </w14:textFill>
              </w:rPr>
              <w:t>）</w:t>
            </w:r>
          </w:p>
        </w:tc>
        <w:tc>
          <w:tcPr>
            <w:tcW w:w="2429" w:type="dxa"/>
            <w:vAlign w:val="center"/>
          </w:tcPr>
          <w:p>
            <w:pPr>
              <w:pStyle w:val="59"/>
              <w:spacing w:line="594" w:lineRule="exact"/>
              <w:ind w:left="0" w:leftChars="0" w:firstLine="0" w:firstLineChars="0"/>
              <w:jc w:val="center"/>
              <w:rPr>
                <w:rFonts w:ascii="方正仿宋_GBK" w:hAnsi="宋体" w:eastAsia="方正仿宋_GBK"/>
                <w:color w:val="000000" w:themeColor="text1"/>
                <w:sz w:val="24"/>
                <w:szCs w:val="24"/>
                <w14:textFill>
                  <w14:solidFill>
                    <w14:schemeClr w14:val="tx1"/>
                  </w14:solidFill>
                </w14:textFill>
              </w:rPr>
            </w:pPr>
            <w:r>
              <w:rPr>
                <w:rFonts w:ascii="方正仿宋_GBK" w:hAnsi="宋体" w:eastAsia="方正仿宋_GBK"/>
                <w:color w:val="000000" w:themeColor="text1"/>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jc w:val="center"/>
        </w:trPr>
        <w:tc>
          <w:tcPr>
            <w:tcW w:w="876" w:type="dxa"/>
            <w:vMerge w:val="restart"/>
            <w:vAlign w:val="center"/>
          </w:tcPr>
          <w:p>
            <w:pPr>
              <w:pStyle w:val="59"/>
              <w:spacing w:line="594" w:lineRule="exact"/>
              <w:ind w:left="0" w:leftChars="0" w:firstLine="0" w:firstLineChars="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重庆康科特建筑材料有限公司</w:t>
            </w:r>
            <w:r>
              <w:rPr>
                <w:rFonts w:hint="eastAsia"/>
                <w:color w:val="000000" w:themeColor="text1"/>
                <w:sz w:val="24"/>
                <w:lang w:eastAsia="zh-CN"/>
                <w14:textFill>
                  <w14:solidFill>
                    <w14:schemeClr w14:val="tx1"/>
                  </w14:solidFill>
                </w14:textFill>
              </w:rPr>
              <w:t>贸易砂石</w:t>
            </w:r>
            <w:r>
              <w:rPr>
                <w:rFonts w:hint="eastAsia"/>
                <w:color w:val="000000" w:themeColor="text1"/>
                <w:sz w:val="24"/>
                <w14:textFill>
                  <w14:solidFill>
                    <w14:schemeClr w14:val="tx1"/>
                  </w14:solidFill>
                </w14:textFill>
              </w:rPr>
              <w:t>采购项目</w:t>
            </w:r>
          </w:p>
        </w:tc>
        <w:tc>
          <w:tcPr>
            <w:tcW w:w="1065" w:type="dxa"/>
            <w:vAlign w:val="center"/>
          </w:tcPr>
          <w:p>
            <w:pPr>
              <w:pStyle w:val="25"/>
              <w:spacing w:after="120" w:line="400" w:lineRule="exact"/>
              <w:ind w:firstLine="0" w:firstLineChars="0"/>
              <w:jc w:val="center"/>
              <w:outlineLvl w:val="0"/>
              <w:rPr>
                <w:rFonts w:hint="eastAsia" w:eastAsia="宋体"/>
                <w:color w:val="000000" w:themeColor="text1"/>
                <w:sz w:val="24"/>
                <w:lang w:val="en-US" w:eastAsia="zh-CN"/>
                <w14:textFill>
                  <w14:solidFill>
                    <w14:schemeClr w14:val="tx1"/>
                  </w14:solidFill>
                </w14:textFill>
              </w:rPr>
            </w:pPr>
          </w:p>
        </w:tc>
        <w:tc>
          <w:tcPr>
            <w:tcW w:w="2025" w:type="dxa"/>
          </w:tcPr>
          <w:p>
            <w:pPr>
              <w:pStyle w:val="59"/>
              <w:spacing w:line="400" w:lineRule="exact"/>
              <w:ind w:left="0" w:leftChars="0" w:firstLine="0" w:firstLineChars="0"/>
              <w:jc w:val="center"/>
              <w:rPr>
                <w:rFonts w:ascii="方正仿宋_GBK" w:hAnsi="宋体" w:eastAsia="方正仿宋_GBK"/>
                <w:color w:val="000000" w:themeColor="text1"/>
                <w:sz w:val="24"/>
                <w:szCs w:val="24"/>
                <w14:textFill>
                  <w14:solidFill>
                    <w14:schemeClr w14:val="tx1"/>
                  </w14:solidFill>
                </w14:textFill>
              </w:rPr>
            </w:pPr>
          </w:p>
          <w:p>
            <w:pPr>
              <w:pStyle w:val="59"/>
              <w:spacing w:line="400" w:lineRule="exact"/>
              <w:ind w:left="0" w:leftChars="0" w:firstLine="0" w:firstLineChars="0"/>
              <w:jc w:val="center"/>
              <w:rPr>
                <w:rFonts w:hint="eastAsia" w:eastAsia="宋体"/>
                <w:color w:val="000000" w:themeColor="text1"/>
                <w:sz w:val="24"/>
                <w:szCs w:val="24"/>
                <w:lang w:val="en-US" w:eastAsia="zh-CN"/>
                <w14:textFill>
                  <w14:solidFill>
                    <w14:schemeClr w14:val="tx1"/>
                  </w14:solidFill>
                </w14:textFill>
              </w:rPr>
            </w:pPr>
          </w:p>
        </w:tc>
        <w:tc>
          <w:tcPr>
            <w:tcW w:w="1125" w:type="dxa"/>
            <w:vAlign w:val="center"/>
          </w:tcPr>
          <w:p>
            <w:pPr>
              <w:pStyle w:val="59"/>
              <w:spacing w:line="400" w:lineRule="exact"/>
              <w:ind w:left="0" w:leftChars="0" w:firstLine="0" w:firstLineChars="0"/>
              <w:jc w:val="center"/>
              <w:rPr>
                <w:rFonts w:hint="eastAsia" w:eastAsia="宋体"/>
                <w:color w:val="000000" w:themeColor="text1"/>
                <w:sz w:val="24"/>
                <w:szCs w:val="24"/>
                <w:lang w:val="en-US" w:eastAsia="zh-CN"/>
                <w14:textFill>
                  <w14:solidFill>
                    <w14:schemeClr w14:val="tx1"/>
                  </w14:solidFill>
                </w14:textFill>
              </w:rPr>
            </w:pPr>
          </w:p>
        </w:tc>
        <w:tc>
          <w:tcPr>
            <w:tcW w:w="1125" w:type="dxa"/>
            <w:vAlign w:val="center"/>
          </w:tcPr>
          <w:p>
            <w:pPr>
              <w:pStyle w:val="59"/>
              <w:spacing w:line="400" w:lineRule="exact"/>
              <w:ind w:left="0" w:leftChars="0" w:firstLine="0" w:firstLineChars="0"/>
              <w:jc w:val="center"/>
              <w:rPr>
                <w:rFonts w:hint="default" w:eastAsia="宋体"/>
                <w:color w:val="000000" w:themeColor="text1"/>
                <w:sz w:val="24"/>
                <w:szCs w:val="24"/>
                <w:lang w:val="en-US" w:eastAsia="zh-CN"/>
                <w14:textFill>
                  <w14:solidFill>
                    <w14:schemeClr w14:val="tx1"/>
                  </w14:solidFill>
                </w14:textFill>
              </w:rPr>
            </w:pPr>
          </w:p>
        </w:tc>
        <w:tc>
          <w:tcPr>
            <w:tcW w:w="1185" w:type="dxa"/>
            <w:vAlign w:val="center"/>
          </w:tcPr>
          <w:p>
            <w:pPr>
              <w:pStyle w:val="59"/>
              <w:spacing w:line="400" w:lineRule="exact"/>
              <w:ind w:left="0" w:leftChars="0" w:firstLine="0" w:firstLineChars="0"/>
              <w:jc w:val="center"/>
              <w:rPr>
                <w:rFonts w:hint="default" w:ascii="方正仿宋_GBK" w:hAnsi="宋体" w:eastAsia="方正仿宋_GBK"/>
                <w:color w:val="000000" w:themeColor="text1"/>
                <w:sz w:val="24"/>
                <w:szCs w:val="24"/>
                <w:lang w:val="en-US" w:eastAsia="zh-CN"/>
                <w14:textFill>
                  <w14:solidFill>
                    <w14:schemeClr w14:val="tx1"/>
                  </w14:solidFill>
                </w14:textFill>
              </w:rPr>
            </w:pPr>
          </w:p>
        </w:tc>
        <w:tc>
          <w:tcPr>
            <w:tcW w:w="2429" w:type="dxa"/>
            <w:vMerge w:val="restart"/>
            <w:vAlign w:val="center"/>
          </w:tcPr>
          <w:p>
            <w:pPr>
              <w:pStyle w:val="59"/>
              <w:spacing w:line="400" w:lineRule="exact"/>
              <w:ind w:left="0" w:leftChars="0" w:firstLine="0" w:firstLineChars="0"/>
              <w:jc w:val="left"/>
              <w:rPr>
                <w:rFonts w:ascii="方正仿宋_GBK" w:hAnsi="宋体" w:eastAsia="方正仿宋_GBK"/>
                <w:color w:val="000000" w:themeColor="text1"/>
                <w:sz w:val="24"/>
                <w:szCs w:val="24"/>
                <w14:textFill>
                  <w14:solidFill>
                    <w14:schemeClr w14:val="tx1"/>
                  </w14:solidFill>
                </w14:textFill>
              </w:rPr>
            </w:pPr>
            <w:r>
              <w:rPr>
                <w:rFonts w:ascii="方正仿宋_GBK" w:hAnsi="宋体" w:eastAsia="方正仿宋_GBK"/>
                <w:color w:val="000000" w:themeColor="text1"/>
                <w:sz w:val="24"/>
                <w:szCs w:val="24"/>
                <w14:textFill>
                  <w14:solidFill>
                    <w14:schemeClr w14:val="tx1"/>
                  </w14:solidFill>
                </w14:textFill>
              </w:rPr>
              <w:t>单价为到场价，报价包含但不限于材料费、仓储费、运杂费（装运和运输至施工现场指定地点）、上车费、风险费、税费、保险（交货验收前）、利润、各种检测及检验、材料合格且交付给比选人正常使用的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0" w:hRule="atLeast"/>
          <w:jc w:val="center"/>
        </w:trPr>
        <w:tc>
          <w:tcPr>
            <w:tcW w:w="876" w:type="dxa"/>
            <w:vMerge w:val="continue"/>
            <w:vAlign w:val="center"/>
          </w:tcPr>
          <w:p>
            <w:pPr>
              <w:pStyle w:val="25"/>
              <w:spacing w:line="560" w:lineRule="exact"/>
              <w:ind w:firstLine="480"/>
              <w:jc w:val="center"/>
              <w:outlineLvl w:val="0"/>
              <w:rPr>
                <w:color w:val="000000" w:themeColor="text1"/>
                <w:sz w:val="24"/>
                <w14:textFill>
                  <w14:solidFill>
                    <w14:schemeClr w14:val="tx1"/>
                  </w14:solidFill>
                </w14:textFill>
              </w:rPr>
            </w:pPr>
          </w:p>
        </w:tc>
        <w:tc>
          <w:tcPr>
            <w:tcW w:w="1065" w:type="dxa"/>
            <w:vAlign w:val="center"/>
          </w:tcPr>
          <w:p>
            <w:pPr>
              <w:pStyle w:val="25"/>
              <w:spacing w:line="560" w:lineRule="exact"/>
              <w:ind w:firstLine="0" w:firstLineChars="0"/>
              <w:jc w:val="both"/>
              <w:outlineLvl w:val="0"/>
              <w:rPr>
                <w:rFonts w:hint="eastAsia" w:eastAsia="宋体"/>
                <w:color w:val="000000" w:themeColor="text1"/>
                <w:sz w:val="24"/>
                <w:lang w:val="en-US" w:eastAsia="zh-CN"/>
                <w14:textFill>
                  <w14:solidFill>
                    <w14:schemeClr w14:val="tx1"/>
                  </w14:solidFill>
                </w14:textFill>
              </w:rPr>
            </w:pPr>
          </w:p>
        </w:tc>
        <w:tc>
          <w:tcPr>
            <w:tcW w:w="2025" w:type="dxa"/>
          </w:tcPr>
          <w:p>
            <w:pPr>
              <w:pStyle w:val="59"/>
              <w:spacing w:line="594" w:lineRule="exact"/>
              <w:ind w:left="0" w:leftChars="0" w:firstLine="0" w:firstLineChars="0"/>
              <w:rPr>
                <w:color w:val="000000" w:themeColor="text1"/>
                <w:sz w:val="24"/>
                <w:szCs w:val="24"/>
                <w14:textFill>
                  <w14:solidFill>
                    <w14:schemeClr w14:val="tx1"/>
                  </w14:solidFill>
                </w14:textFill>
              </w:rPr>
            </w:pPr>
          </w:p>
        </w:tc>
        <w:tc>
          <w:tcPr>
            <w:tcW w:w="1125" w:type="dxa"/>
            <w:vAlign w:val="center"/>
          </w:tcPr>
          <w:p>
            <w:pPr>
              <w:pStyle w:val="59"/>
              <w:spacing w:line="594" w:lineRule="exact"/>
              <w:ind w:left="0" w:leftChars="0" w:firstLine="0" w:firstLineChars="0"/>
              <w:jc w:val="center"/>
              <w:rPr>
                <w:color w:val="000000" w:themeColor="text1"/>
                <w:sz w:val="24"/>
                <w:szCs w:val="24"/>
                <w14:textFill>
                  <w14:solidFill>
                    <w14:schemeClr w14:val="tx1"/>
                  </w14:solidFill>
                </w14:textFill>
              </w:rPr>
            </w:pPr>
          </w:p>
        </w:tc>
        <w:tc>
          <w:tcPr>
            <w:tcW w:w="1125" w:type="dxa"/>
            <w:vAlign w:val="center"/>
          </w:tcPr>
          <w:p>
            <w:pPr>
              <w:pStyle w:val="59"/>
              <w:spacing w:line="594" w:lineRule="exact"/>
              <w:ind w:left="0" w:leftChars="0" w:firstLine="0" w:firstLineChars="0"/>
              <w:jc w:val="center"/>
              <w:rPr>
                <w:rFonts w:hint="default" w:eastAsia="宋体"/>
                <w:color w:val="000000" w:themeColor="text1"/>
                <w:sz w:val="24"/>
                <w:szCs w:val="24"/>
                <w:lang w:val="en-US" w:eastAsia="zh-CN"/>
                <w14:textFill>
                  <w14:solidFill>
                    <w14:schemeClr w14:val="tx1"/>
                  </w14:solidFill>
                </w14:textFill>
              </w:rPr>
            </w:pPr>
          </w:p>
        </w:tc>
        <w:tc>
          <w:tcPr>
            <w:tcW w:w="1185" w:type="dxa"/>
            <w:vAlign w:val="center"/>
          </w:tcPr>
          <w:p>
            <w:pPr>
              <w:pStyle w:val="25"/>
              <w:spacing w:line="560" w:lineRule="exact"/>
              <w:ind w:firstLine="0" w:firstLineChars="0"/>
              <w:jc w:val="both"/>
              <w:outlineLvl w:val="0"/>
              <w:rPr>
                <w:rFonts w:hint="default" w:eastAsia="宋体"/>
                <w:color w:val="000000" w:themeColor="text1"/>
                <w:sz w:val="24"/>
                <w:lang w:val="en-US" w:eastAsia="zh-CN"/>
                <w14:textFill>
                  <w14:solidFill>
                    <w14:schemeClr w14:val="tx1"/>
                  </w14:solidFill>
                </w14:textFill>
              </w:rPr>
            </w:pPr>
          </w:p>
        </w:tc>
        <w:tc>
          <w:tcPr>
            <w:tcW w:w="2429" w:type="dxa"/>
            <w:vMerge w:val="continue"/>
            <w:vAlign w:val="center"/>
          </w:tcPr>
          <w:p>
            <w:pPr>
              <w:pStyle w:val="25"/>
              <w:spacing w:line="560" w:lineRule="exact"/>
              <w:ind w:left="420" w:leftChars="150" w:firstLine="980" w:firstLineChars="350"/>
              <w:jc w:val="center"/>
              <w:outlineLvl w:val="0"/>
              <w:rPr>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4" w:hRule="atLeast"/>
          <w:jc w:val="center"/>
        </w:trPr>
        <w:tc>
          <w:tcPr>
            <w:tcW w:w="876" w:type="dxa"/>
            <w:vMerge w:val="continue"/>
            <w:vAlign w:val="center"/>
          </w:tcPr>
          <w:p>
            <w:pPr>
              <w:pStyle w:val="25"/>
              <w:spacing w:line="560" w:lineRule="exact"/>
              <w:ind w:firstLine="480"/>
              <w:jc w:val="center"/>
              <w:outlineLvl w:val="0"/>
              <w:rPr>
                <w:color w:val="000000" w:themeColor="text1"/>
                <w:sz w:val="24"/>
                <w14:textFill>
                  <w14:solidFill>
                    <w14:schemeClr w14:val="tx1"/>
                  </w14:solidFill>
                </w14:textFill>
              </w:rPr>
            </w:pPr>
          </w:p>
        </w:tc>
        <w:tc>
          <w:tcPr>
            <w:tcW w:w="1065" w:type="dxa"/>
            <w:vAlign w:val="center"/>
          </w:tcPr>
          <w:p>
            <w:pPr>
              <w:pStyle w:val="25"/>
              <w:spacing w:line="560" w:lineRule="exact"/>
              <w:ind w:firstLine="480"/>
              <w:jc w:val="center"/>
              <w:outlineLvl w:val="0"/>
              <w:rPr>
                <w:color w:val="000000" w:themeColor="text1"/>
                <w:sz w:val="24"/>
                <w14:textFill>
                  <w14:solidFill>
                    <w14:schemeClr w14:val="tx1"/>
                  </w14:solidFill>
                </w14:textFill>
              </w:rPr>
            </w:pPr>
          </w:p>
        </w:tc>
        <w:tc>
          <w:tcPr>
            <w:tcW w:w="2025" w:type="dxa"/>
          </w:tcPr>
          <w:p>
            <w:pPr>
              <w:pStyle w:val="59"/>
              <w:spacing w:line="594" w:lineRule="exact"/>
              <w:ind w:left="0" w:leftChars="0" w:firstLine="0" w:firstLineChars="0"/>
              <w:rPr>
                <w:color w:val="000000" w:themeColor="text1"/>
                <w:sz w:val="24"/>
                <w:szCs w:val="24"/>
                <w14:textFill>
                  <w14:solidFill>
                    <w14:schemeClr w14:val="tx1"/>
                  </w14:solidFill>
                </w14:textFill>
              </w:rPr>
            </w:pPr>
          </w:p>
        </w:tc>
        <w:tc>
          <w:tcPr>
            <w:tcW w:w="1125" w:type="dxa"/>
            <w:vAlign w:val="center"/>
          </w:tcPr>
          <w:p>
            <w:pPr>
              <w:pStyle w:val="59"/>
              <w:spacing w:line="594" w:lineRule="exact"/>
              <w:ind w:left="0" w:leftChars="0" w:firstLine="0" w:firstLineChars="0"/>
              <w:jc w:val="center"/>
              <w:rPr>
                <w:color w:val="000000" w:themeColor="text1"/>
                <w:sz w:val="24"/>
                <w:szCs w:val="24"/>
                <w14:textFill>
                  <w14:solidFill>
                    <w14:schemeClr w14:val="tx1"/>
                  </w14:solidFill>
                </w14:textFill>
              </w:rPr>
            </w:pPr>
          </w:p>
        </w:tc>
        <w:tc>
          <w:tcPr>
            <w:tcW w:w="1125" w:type="dxa"/>
            <w:vAlign w:val="center"/>
          </w:tcPr>
          <w:p>
            <w:pPr>
              <w:pStyle w:val="59"/>
              <w:spacing w:line="594" w:lineRule="exact"/>
              <w:ind w:left="0" w:leftChars="0" w:firstLine="0" w:firstLineChars="0"/>
              <w:jc w:val="center"/>
              <w:rPr>
                <w:color w:val="000000" w:themeColor="text1"/>
                <w:sz w:val="24"/>
                <w:szCs w:val="24"/>
                <w14:textFill>
                  <w14:solidFill>
                    <w14:schemeClr w14:val="tx1"/>
                  </w14:solidFill>
                </w14:textFill>
              </w:rPr>
            </w:pPr>
          </w:p>
        </w:tc>
        <w:tc>
          <w:tcPr>
            <w:tcW w:w="1185" w:type="dxa"/>
            <w:vAlign w:val="center"/>
          </w:tcPr>
          <w:p>
            <w:pPr>
              <w:pStyle w:val="25"/>
              <w:spacing w:line="560" w:lineRule="exact"/>
              <w:ind w:firstLine="480"/>
              <w:jc w:val="center"/>
              <w:outlineLvl w:val="0"/>
              <w:rPr>
                <w:color w:val="000000" w:themeColor="text1"/>
                <w:sz w:val="24"/>
                <w14:textFill>
                  <w14:solidFill>
                    <w14:schemeClr w14:val="tx1"/>
                  </w14:solidFill>
                </w14:textFill>
              </w:rPr>
            </w:pPr>
          </w:p>
        </w:tc>
        <w:tc>
          <w:tcPr>
            <w:tcW w:w="2429" w:type="dxa"/>
            <w:vMerge w:val="continue"/>
            <w:vAlign w:val="center"/>
          </w:tcPr>
          <w:p>
            <w:pPr>
              <w:pStyle w:val="25"/>
              <w:spacing w:line="560" w:lineRule="exact"/>
              <w:ind w:left="420" w:leftChars="150" w:firstLine="980" w:firstLineChars="350"/>
              <w:jc w:val="center"/>
              <w:outlineLvl w:val="0"/>
              <w:rPr>
                <w:color w:val="000000" w:themeColor="text1"/>
                <w:sz w:val="28"/>
                <w:szCs w:val="28"/>
                <w14:textFill>
                  <w14:solidFill>
                    <w14:schemeClr w14:val="tx1"/>
                  </w14:solidFill>
                </w14:textFill>
              </w:rPr>
            </w:pPr>
          </w:p>
        </w:tc>
      </w:tr>
    </w:tbl>
    <w:p>
      <w:pPr>
        <w:spacing w:line="56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注：1.发票开具方式：一票制。</w:t>
      </w:r>
    </w:p>
    <w:p>
      <w:pPr>
        <w:spacing w:line="56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2.发票种类：增值税专用发票。</w:t>
      </w:r>
    </w:p>
    <w:p>
      <w:pPr>
        <w:spacing w:line="56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3.发票税率要求：税率为</w:t>
      </w:r>
      <w:r>
        <w:rPr>
          <w:rFonts w:hint="eastAsia" w:ascii="方正仿宋_GBK" w:hAnsi="方正仿宋_GBK" w:eastAsia="方正仿宋_GBK" w:cs="方正仿宋_GBK"/>
          <w:color w:val="000000" w:themeColor="text1"/>
          <w:sz w:val="32"/>
          <w:szCs w:val="32"/>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pPr>
        <w:autoSpaceDE w:val="0"/>
        <w:spacing w:line="594"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bookmarkStart w:id="771" w:name="_Toc6968"/>
      <w:bookmarkStart w:id="772" w:name="_Toc9538"/>
      <w:bookmarkStart w:id="773" w:name="_Toc12789072"/>
      <w:bookmarkStart w:id="774" w:name="_Toc65660378"/>
      <w:bookmarkStart w:id="775" w:name="_Toc18521"/>
      <w:r>
        <w:rPr>
          <w:rFonts w:eastAsia="方正黑体_GBK"/>
          <w:color w:val="000000" w:themeColor="text1"/>
          <w:sz w:val="32"/>
          <w:szCs w:val="32"/>
          <w:lang w:bidi="ar"/>
          <w14:textFill>
            <w14:solidFill>
              <w14:schemeClr w14:val="tx1"/>
            </w14:solidFill>
          </w14:textFill>
        </w:rPr>
        <w:t>五、验收计量及付款方式</w:t>
      </w:r>
      <w:r>
        <w:rPr>
          <w:rFonts w:hint="eastAsia" w:eastAsia="方正黑体_GBK"/>
          <w:color w:val="000000" w:themeColor="text1"/>
          <w:sz w:val="32"/>
          <w:szCs w:val="32"/>
          <w:lang w:bidi="ar"/>
          <w14:textFill>
            <w14:solidFill>
              <w14:schemeClr w14:val="tx1"/>
            </w14:solidFill>
          </w14:textFill>
        </w:rPr>
        <w:t>：</w:t>
      </w:r>
    </w:p>
    <w:p>
      <w:pPr>
        <w:autoSpaceDE w:val="0"/>
        <w:spacing w:line="594" w:lineRule="exact"/>
        <w:ind w:firstLine="640" w:firstLineChars="200"/>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（一）验收计量</w:t>
      </w:r>
    </w:p>
    <w:p>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w:t>
      </w:r>
      <w:r>
        <w:rPr>
          <w:rFonts w:hint="eastAsia" w:eastAsia="方正仿宋_GBK"/>
          <w:color w:val="000000" w:themeColor="text1"/>
          <w:sz w:val="32"/>
          <w:szCs w:val="32"/>
          <w:lang w:val="en-US" w:eastAsia="zh-CN" w:bidi="ar"/>
          <w14:textFill>
            <w14:solidFill>
              <w14:schemeClr w14:val="tx1"/>
            </w14:solidFill>
          </w14:textFill>
        </w:rPr>
        <w:t>甲方</w:t>
      </w:r>
      <w:r>
        <w:rPr>
          <w:rFonts w:hint="eastAsia" w:eastAsia="方正仿宋_GBK"/>
          <w:color w:val="000000" w:themeColor="text1"/>
          <w:sz w:val="32"/>
          <w:szCs w:val="32"/>
          <w:lang w:bidi="ar"/>
          <w14:textFill>
            <w14:solidFill>
              <w14:schemeClr w14:val="tx1"/>
            </w14:solidFill>
          </w14:textFill>
        </w:rPr>
        <w:t>有权根据需要随机抽取货物进行检测，如检测不合格，成交供应商负责赔偿采购人一切损失。</w:t>
      </w:r>
    </w:p>
    <w:p>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w:t>
      </w:r>
      <w:r>
        <w:rPr>
          <w:rFonts w:hint="eastAsia" w:ascii="方正仿宋_GBK" w:hAnsi="方正仿宋_GBK" w:eastAsia="方正仿宋_GBK" w:cs="方正仿宋_GBK"/>
          <w:color w:val="auto"/>
          <w:kern w:val="2"/>
          <w:sz w:val="32"/>
          <w:szCs w:val="32"/>
          <w:highlight w:val="none"/>
          <w:lang w:val="en-US" w:eastAsia="zh-CN" w:bidi="ar-SA"/>
        </w:rPr>
        <w:t>乙方应按合同规定的货物性能、技术要求、质量标准向采购人提供未经使用的全新产品。中标人提供的原材料须符合现行国家、行业标准及招标文件要求。原材料进场，要提供合格证和质量证明文件，并按规定取样。</w:t>
      </w:r>
    </w:p>
    <w:p>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w:t>
      </w:r>
      <w:r>
        <w:rPr>
          <w:rFonts w:hint="eastAsia" w:ascii="方正仿宋_GBK" w:hAnsi="方正仿宋_GBK" w:eastAsia="方正仿宋_GBK" w:cs="方正仿宋_GBK"/>
          <w:color w:val="auto"/>
          <w:kern w:val="2"/>
          <w:sz w:val="32"/>
          <w:szCs w:val="32"/>
          <w:highlight w:val="none"/>
          <w:lang w:val="en-US" w:eastAsia="zh-CN" w:bidi="ar-SA"/>
        </w:rPr>
        <w:t>甲方须检查产品合格证的品种、强度等级等指标是否符合要求，进货品种是否与合格证相符。</w:t>
      </w:r>
    </w:p>
    <w:p>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4.</w:t>
      </w:r>
      <w:r>
        <w:rPr>
          <w:rFonts w:hint="eastAsia" w:ascii="方正仿宋_GBK" w:hAnsi="方正仿宋_GBK" w:eastAsia="方正仿宋_GBK" w:cs="方正仿宋_GBK"/>
          <w:color w:val="auto"/>
          <w:kern w:val="2"/>
          <w:sz w:val="32"/>
          <w:szCs w:val="32"/>
          <w:highlight w:val="none"/>
          <w:lang w:val="en-US" w:eastAsia="zh-CN" w:bidi="ar-SA"/>
        </w:rPr>
        <w:t>乙方供货的原材料应做好防尘、防受潮措施。不得有受潮、结块、混入杂原材料的情况，采购人可对中标人所供原材料进行试验的取样方法进行检测验收，若发现原材料有受潮、结块或混入杂原材料的情况，采购人有权拒绝收货，并让中标人在规定的时间内重新供货，若对采购人造成损失的，须对采购人进行赔偿。</w:t>
      </w:r>
    </w:p>
    <w:p>
      <w:pPr>
        <w:pStyle w:val="59"/>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kern w:val="2"/>
          <w:sz w:val="32"/>
          <w:szCs w:val="32"/>
          <w:highlight w:val="none"/>
          <w:lang w:val="en-US" w:eastAsia="zh-CN" w:bidi="ar-SA"/>
        </w:rPr>
      </w:pPr>
      <w:r>
        <w:rPr>
          <w:rFonts w:eastAsia="方正仿宋_GBK"/>
          <w:color w:val="000000" w:themeColor="text1"/>
          <w:sz w:val="32"/>
          <w:szCs w:val="32"/>
          <w:lang w:bidi="ar"/>
          <w14:textFill>
            <w14:solidFill>
              <w14:schemeClr w14:val="tx1"/>
            </w14:solidFill>
          </w14:textFill>
        </w:rPr>
        <w:t>5.</w:t>
      </w:r>
      <w:r>
        <w:rPr>
          <w:rFonts w:hint="eastAsia" w:ascii="方正仿宋_GBK" w:hAnsi="方正仿宋_GBK" w:eastAsia="方正仿宋_GBK" w:cs="方正仿宋_GBK"/>
          <w:color w:val="auto"/>
          <w:kern w:val="2"/>
          <w:sz w:val="32"/>
          <w:szCs w:val="32"/>
          <w:highlight w:val="none"/>
          <w:lang w:val="en-US" w:eastAsia="zh-CN" w:bidi="ar-SA"/>
        </w:rPr>
        <w:t>供货数量按照甲方现场过磅数量为准。</w:t>
      </w:r>
    </w:p>
    <w:p>
      <w:pPr>
        <w:autoSpaceDE w:val="0"/>
        <w:spacing w:line="594" w:lineRule="exact"/>
        <w:ind w:firstLine="640" w:firstLineChars="200"/>
        <w:rPr>
          <w:rFonts w:eastAsia="方正楷体_GBK"/>
          <w:color w:val="000000" w:themeColor="text1"/>
          <w:sz w:val="32"/>
          <w:szCs w:val="32"/>
          <w:lang w:bidi="ar"/>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（二）付款方式</w:t>
      </w:r>
    </w:p>
    <w:p>
      <w:pPr>
        <w:autoSpaceDE w:val="0"/>
        <w:spacing w:line="594" w:lineRule="exact"/>
        <w:ind w:left="0" w:firstLine="640" w:firstLineChars="200"/>
        <w:rPr>
          <w:rFonts w:hint="default" w:ascii="方正仿宋_GBK" w:hAnsi="宋体" w:eastAsia="方正仿宋_GBK"/>
          <w:color w:val="000000" w:themeColor="text1"/>
          <w:sz w:val="32"/>
          <w:szCs w:val="32"/>
          <w:lang w:val="en-US" w:eastAsia="zh-CN" w:bidi="ar"/>
          <w14:textFill>
            <w14:solidFill>
              <w14:schemeClr w14:val="tx1"/>
            </w14:solidFill>
          </w14:textFill>
        </w:rPr>
      </w:pPr>
      <w:r>
        <w:rPr>
          <w:rFonts w:hint="eastAsia" w:ascii="方正仿宋_GBK" w:hAnsi="宋体" w:eastAsia="方正仿宋_GBK"/>
          <w:color w:val="000000" w:themeColor="text1"/>
          <w:sz w:val="32"/>
          <w:szCs w:val="32"/>
          <w:lang w:val="en-US" w:eastAsia="zh-CN" w:bidi="ar"/>
          <w14:textFill>
            <w14:solidFill>
              <w14:schemeClr w14:val="tx1"/>
            </w14:solidFill>
          </w14:textFill>
        </w:rPr>
        <w:t>1.签约合同价：人民币</w:t>
      </w:r>
      <w:r>
        <w:rPr>
          <w:rFonts w:hint="eastAsia" w:ascii="方正仿宋_GBK" w:hAnsi="宋体" w:eastAsia="方正仿宋_GBK"/>
          <w:color w:val="000000" w:themeColor="text1"/>
          <w:sz w:val="32"/>
          <w:szCs w:val="32"/>
          <w:u w:val="single"/>
          <w:lang w:val="en-US" w:eastAsia="zh-CN" w:bidi="ar"/>
          <w14:textFill>
            <w14:solidFill>
              <w14:schemeClr w14:val="tx1"/>
            </w14:solidFill>
          </w14:textFill>
        </w:rPr>
        <w:t>3628000元</w:t>
      </w:r>
      <w:r>
        <w:rPr>
          <w:rFonts w:hint="eastAsia" w:ascii="方正仿宋_GBK" w:hAnsi="宋体" w:eastAsia="方正仿宋_GBK"/>
          <w:color w:val="000000" w:themeColor="text1"/>
          <w:sz w:val="32"/>
          <w:szCs w:val="32"/>
          <w:lang w:val="en-US" w:eastAsia="zh-CN" w:bidi="ar"/>
          <w14:textFill>
            <w14:solidFill>
              <w14:schemeClr w14:val="tx1"/>
            </w14:solidFill>
          </w14:textFill>
        </w:rPr>
        <w:t>（大写：叁佰陆拾贰万捌仟元整）</w:t>
      </w:r>
    </w:p>
    <w:p>
      <w:pPr>
        <w:autoSpaceDE w:val="0"/>
        <w:spacing w:line="594" w:lineRule="exact"/>
        <w:ind w:left="0" w:firstLine="640" w:firstLineChars="200"/>
        <w:rPr>
          <w:rFonts w:eastAsia="方正仿宋_GBK"/>
          <w:color w:val="000000" w:themeColor="text1"/>
          <w:sz w:val="32"/>
          <w:szCs w:val="32"/>
          <w:lang w:bidi="ar"/>
          <w14:textFill>
            <w14:solidFill>
              <w14:schemeClr w14:val="tx1"/>
            </w14:solidFill>
          </w14:textFill>
        </w:rPr>
      </w:pPr>
      <w:r>
        <w:rPr>
          <w:rFonts w:hint="eastAsia" w:ascii="方正仿宋_GBK" w:hAnsi="宋体" w:eastAsia="方正仿宋_GBK"/>
          <w:color w:val="000000" w:themeColor="text1"/>
          <w:sz w:val="32"/>
          <w:szCs w:val="32"/>
          <w:lang w:eastAsia="zh-CN" w:bidi="ar"/>
          <w14:textFill>
            <w14:solidFill>
              <w14:schemeClr w14:val="tx1"/>
            </w14:solidFill>
          </w14:textFill>
        </w:rPr>
        <w:t>2</w:t>
      </w:r>
      <w:r>
        <w:rPr>
          <w:rFonts w:hint="eastAsia" w:ascii="方正仿宋_GBK" w:hAnsi="宋体" w:eastAsia="方正仿宋_GBK"/>
          <w:color w:val="000000" w:themeColor="text1"/>
          <w:sz w:val="32"/>
          <w:szCs w:val="32"/>
          <w:lang w:val="en-US" w:eastAsia="zh-CN" w:bidi="ar"/>
          <w14:textFill>
            <w14:solidFill>
              <w14:schemeClr w14:val="tx1"/>
            </w14:solidFill>
          </w14:textFill>
        </w:rPr>
        <w:t>.</w:t>
      </w:r>
      <w:r>
        <w:rPr>
          <w:rFonts w:ascii="方正仿宋_GBK" w:hAnsi="宋体" w:eastAsia="方正仿宋_GBK"/>
          <w:color w:val="000000" w:themeColor="text1"/>
          <w:sz w:val="32"/>
          <w:szCs w:val="32"/>
          <w:lang w:bidi="ar"/>
          <w14:textFill>
            <w14:solidFill>
              <w14:schemeClr w14:val="tx1"/>
            </w14:solidFill>
          </w14:textFill>
        </w:rPr>
        <w:t xml:space="preserve">结算原则：合同结算价=合格供货量*合同单价±∑ </w:t>
      </w:r>
      <w:r>
        <w:rPr>
          <w:rFonts w:hint="eastAsia" w:ascii="方正仿宋_GBK" w:hAnsi="宋体" w:eastAsia="方正仿宋_GBK"/>
          <w:color w:val="000000" w:themeColor="text1"/>
          <w:sz w:val="32"/>
          <w:szCs w:val="32"/>
          <w:lang w:bidi="ar"/>
          <w14:textFill>
            <w14:solidFill>
              <w14:schemeClr w14:val="tx1"/>
            </w14:solidFill>
          </w14:textFill>
        </w:rPr>
        <w:t>罚金、</w:t>
      </w:r>
      <w:r>
        <w:rPr>
          <w:rFonts w:ascii="方正仿宋_GBK" w:hAnsi="宋体" w:eastAsia="方正仿宋_GBK"/>
          <w:color w:val="000000" w:themeColor="text1"/>
          <w:sz w:val="32"/>
          <w:szCs w:val="32"/>
          <w:lang w:bidi="ar"/>
          <w14:textFill>
            <w14:solidFill>
              <w14:schemeClr w14:val="tx1"/>
            </w14:solidFill>
          </w14:textFill>
        </w:rPr>
        <w:t xml:space="preserve"> </w:t>
      </w:r>
      <w:r>
        <w:rPr>
          <w:rFonts w:hint="eastAsia" w:ascii="方正仿宋_GBK" w:hAnsi="宋体" w:eastAsia="方正仿宋_GBK"/>
          <w:color w:val="000000" w:themeColor="text1"/>
          <w:sz w:val="32"/>
          <w:szCs w:val="32"/>
          <w:lang w:bidi="ar"/>
          <w14:textFill>
            <w14:solidFill>
              <w14:schemeClr w14:val="tx1"/>
            </w14:solidFill>
          </w14:textFill>
        </w:rPr>
        <w:t>违约金及其他费用</w:t>
      </w:r>
      <w:r>
        <w:rPr>
          <w:rFonts w:hint="eastAsia" w:eastAsia="方正仿宋_GBK"/>
          <w:color w:val="000000" w:themeColor="text1"/>
          <w:sz w:val="32"/>
          <w:szCs w:val="32"/>
          <w:lang w:bidi="ar"/>
          <w14:textFill>
            <w14:solidFill>
              <w14:schemeClr w14:val="tx1"/>
            </w14:solidFill>
          </w14:textFill>
        </w:rPr>
        <w:t>。</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lang w:val="en-US" w:eastAsia="zh-CN" w:bidi="ar"/>
          <w14:textFill>
            <w14:solidFill>
              <w14:schemeClr w14:val="tx1"/>
            </w14:solidFill>
          </w14:textFill>
        </w:rPr>
        <w:t>3.</w:t>
      </w:r>
      <w:r>
        <w:rPr>
          <w:rFonts w:eastAsia="方正仿宋_GBK"/>
          <w:color w:val="000000" w:themeColor="text1"/>
          <w:sz w:val="32"/>
          <w:szCs w:val="32"/>
          <w:lang w:bidi="ar"/>
          <w14:textFill>
            <w14:solidFill>
              <w14:schemeClr w14:val="tx1"/>
            </w14:solidFill>
          </w14:textFill>
        </w:rPr>
        <w:t>付款前，乙方须向甲方提供增值税专用发票(发票开具方式</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一票制</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发票税率要求</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税率为</w:t>
      </w:r>
      <w:r>
        <w:rPr>
          <w:rFonts w:hint="eastAsia" w:ascii="方正仿宋_GBK" w:hAnsi="方正仿宋_GBK" w:eastAsia="方正仿宋_GBK" w:cs="方正仿宋_GBK"/>
          <w:color w:val="000000" w:themeColor="text1"/>
          <w:sz w:val="32"/>
          <w:szCs w:val="32"/>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，若国家税务机关对发票有最新规定，从其最新规定。</w:t>
      </w:r>
    </w:p>
    <w:p>
      <w:pPr>
        <w:pStyle w:val="59"/>
        <w:spacing w:line="594" w:lineRule="exact"/>
        <w:ind w:left="0" w:leftChars="0" w:firstLine="640"/>
        <w:rPr>
          <w:rFonts w:hint="eastAsia" w:ascii="方正仿宋_GBK" w:hAnsi="方正仿宋_GBK" w:eastAsia="方正仿宋_GBK" w:cs="方正仿宋_GBK"/>
          <w:color w:val="auto"/>
          <w:kern w:val="2"/>
          <w:sz w:val="32"/>
          <w:szCs w:val="32"/>
          <w:highlight w:val="none"/>
          <w:lang w:val="en-US" w:eastAsia="zh-CN" w:bidi="ar-SA"/>
        </w:rPr>
      </w:pPr>
      <w:r>
        <w:rPr>
          <w:rFonts w:hint="eastAsia" w:eastAsia="方正仿宋_GBK"/>
          <w:color w:val="000000" w:themeColor="text1"/>
          <w:sz w:val="32"/>
          <w:szCs w:val="32"/>
          <w:lang w:val="en-US" w:eastAsia="zh-CN"/>
          <w14:textFill>
            <w14:solidFill>
              <w14:schemeClr w14:val="tx1"/>
            </w14:solidFill>
          </w14:textFill>
        </w:rPr>
        <w:t>4.</w:t>
      </w:r>
      <w:r>
        <w:rPr>
          <w:rFonts w:hint="eastAsia" w:eastAsia="方正仿宋_GBK"/>
          <w:color w:val="000000" w:themeColor="text1"/>
          <w:sz w:val="32"/>
          <w:szCs w:val="32"/>
          <w14:textFill>
            <w14:solidFill>
              <w14:schemeClr w14:val="tx1"/>
            </w14:solidFill>
          </w14:textFill>
        </w:rPr>
        <w:t>付款：</w:t>
      </w:r>
      <w:r>
        <w:rPr>
          <w:rFonts w:hint="eastAsia" w:ascii="方正仿宋_GBK" w:hAnsi="方正仿宋_GBK" w:eastAsia="方正仿宋_GBK" w:cs="方正仿宋_GBK"/>
          <w:color w:val="auto"/>
          <w:kern w:val="2"/>
          <w:sz w:val="32"/>
          <w:szCs w:val="32"/>
          <w:highlight w:val="none"/>
          <w:lang w:val="en-US" w:eastAsia="zh-CN" w:bidi="ar-SA"/>
        </w:rPr>
        <w:t>月结，成交供应商向采购人开具增值税专用发票，账期3个月，采购人第4个月凭增值税专用发票以转账方式向成交供应商支付第1个月货款，以此类推。</w:t>
      </w:r>
    </w:p>
    <w:p>
      <w:pPr>
        <w:pStyle w:val="59"/>
        <w:spacing w:line="594" w:lineRule="exact"/>
        <w:ind w:left="0" w:leftChars="0" w:firstLine="640"/>
        <w:rPr>
          <w:rFonts w:eastAsia="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auto"/>
          <w:kern w:val="2"/>
          <w:sz w:val="32"/>
          <w:szCs w:val="32"/>
          <w:highlight w:val="none"/>
          <w:lang w:val="en-US" w:eastAsia="zh-CN" w:bidi="ar-SA"/>
        </w:rPr>
        <w:t>5.合同期限为壹年，若合同期限满一年或供货金额达到总金额合同立即终止，数量据实结算。</w:t>
      </w:r>
    </w:p>
    <w:p>
      <w:pPr>
        <w:spacing w:line="594" w:lineRule="exact"/>
        <w:ind w:right="140" w:rightChars="50"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六</w:t>
      </w:r>
      <w:r>
        <w:rPr>
          <w:rFonts w:eastAsia="黑体"/>
          <w:color w:val="000000" w:themeColor="text1"/>
          <w:sz w:val="32"/>
          <w:szCs w:val="32"/>
          <w14:textFill>
            <w14:solidFill>
              <w14:schemeClr w14:val="tx1"/>
            </w14:solidFill>
          </w14:textFill>
        </w:rPr>
        <w:t>、甲方权利义务：</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1.甲方有权根据需要随机抽取货物进行检测，如检测不合格，乙方负责赔偿甲方一切损失。</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2.甲方必须根据合同规定支付相关货款；</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3.甲方在使用乙方提供的货物及服务时免受第三方提出的侵犯其专利权或其它知识产权的起诉。如果第三方提出侵权指控，乙方应承担由此而引起的一切法律责任和费用。</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4.如因乙方原因造成合同无法签订或继续履行，甲方有权收取乙方所缴纳的履约保证金用于抵扣违约金且不放弃其他法律责任的追究权。</w:t>
      </w:r>
    </w:p>
    <w:p>
      <w:pPr>
        <w:spacing w:line="594" w:lineRule="exact"/>
        <w:ind w:right="140" w:rightChars="50"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七</w:t>
      </w:r>
      <w:r>
        <w:rPr>
          <w:rFonts w:eastAsia="黑体"/>
          <w:color w:val="000000" w:themeColor="text1"/>
          <w:sz w:val="32"/>
          <w:szCs w:val="32"/>
          <w14:textFill>
            <w14:solidFill>
              <w14:schemeClr w14:val="tx1"/>
            </w14:solidFill>
          </w14:textFill>
        </w:rPr>
        <w:t>、乙方权利与义务</w:t>
      </w:r>
    </w:p>
    <w:p>
      <w:pPr>
        <w:autoSpaceDE w:val="0"/>
        <w:spacing w:line="594" w:lineRule="exact"/>
        <w:ind w:firstLine="640" w:firstLineChars="200"/>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（一）转包或分包</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1.本合同范围的货物，应由乙方直接供应，不得转让给第三方供应；</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2.非经甲方书面同意，乙方不得将本合同范围的货物全部或部分，分包给其他第三方供应；</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3.如有转让和未经甲方同意的分包行为，甲方有权解除合同，并且不予退还履约保证金并追究乙方的违约责任。</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（二）乙方应按合同规定的货物性能、技术要求、质量标准向甲方提供未经使用的全新产品。</w:t>
      </w:r>
    </w:p>
    <w:p>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（三）乙方提供的货物在质保期内因货物本身的质量问题发生故障乙方应负责免费更换。对达不到技术要求者，根据实际情况，经双方协商，可按以下办法处理</w:t>
      </w:r>
      <w:r>
        <w:rPr>
          <w:rFonts w:hint="eastAsia" w:eastAsia="方正仿宋_GBK"/>
          <w:color w:val="000000" w:themeColor="text1"/>
          <w:sz w:val="32"/>
          <w:szCs w:val="32"/>
          <w:lang w:bidi="ar"/>
          <w14:textFill>
            <w14:solidFill>
              <w14:schemeClr w14:val="tx1"/>
            </w14:solidFill>
          </w14:textFill>
        </w:rPr>
        <w:t>：</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1.更换</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由乙方承担所发生的全部费用。</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2.贬值处理</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由甲乙双方合议定价。</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3.退货处理</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已支付货款的乙方应退还甲方支付的合同款同时应承担该货物的直接费用(检验、货款利息及银行手续费等)。</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（四）乙方应对货物出现的质量及安全问题负责处理解决并承担</w:t>
      </w:r>
      <w:r>
        <w:rPr>
          <w:rFonts w:hint="eastAsia" w:eastAsia="方正仿宋_GBK"/>
          <w:color w:val="000000" w:themeColor="text1"/>
          <w:sz w:val="32"/>
          <w:szCs w:val="32"/>
          <w:lang w:bidi="ar"/>
          <w14:textFill>
            <w14:solidFill>
              <w14:schemeClr w14:val="tx1"/>
            </w14:solidFill>
          </w14:textFill>
        </w:rPr>
        <w:t>一</w:t>
      </w:r>
      <w:r>
        <w:rPr>
          <w:rFonts w:eastAsia="方正仿宋_GBK"/>
          <w:color w:val="000000" w:themeColor="text1"/>
          <w:sz w:val="32"/>
          <w:szCs w:val="32"/>
          <w:lang w:bidi="ar"/>
          <w14:textFill>
            <w14:solidFill>
              <w14:schemeClr w14:val="tx1"/>
            </w14:solidFill>
          </w14:textFill>
        </w:rPr>
        <w:t>切费用。</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（五）乙方运输货物车辆到达甲方之后必须听从甲方相关人员的指挥。</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（六）乙方应随货物提供合格证和质量证明文件</w:t>
      </w:r>
    </w:p>
    <w:p>
      <w:pPr>
        <w:spacing w:line="594" w:lineRule="exact"/>
        <w:ind w:right="140" w:rightChars="50"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八</w:t>
      </w:r>
      <w:r>
        <w:rPr>
          <w:rFonts w:eastAsia="黑体"/>
          <w:color w:val="000000" w:themeColor="text1"/>
          <w:sz w:val="32"/>
          <w:szCs w:val="32"/>
          <w14:textFill>
            <w14:solidFill>
              <w14:schemeClr w14:val="tx1"/>
            </w14:solidFill>
          </w14:textFill>
        </w:rPr>
        <w:t>、争议、违约与索赔</w:t>
      </w:r>
    </w:p>
    <w:p>
      <w:pPr>
        <w:spacing w:line="594" w:lineRule="exact"/>
        <w:ind w:right="140" w:rightChars="50" w:firstLine="640" w:firstLineChars="200"/>
        <w:rPr>
          <w:color w:val="000000" w:themeColor="text1"/>
          <w:sz w:val="32"/>
          <w:szCs w:val="32"/>
          <w14:textFill>
            <w14:solidFill>
              <w14:schemeClr w14:val="tx1"/>
            </w14:solidFill>
          </w14:textFill>
        </w:rPr>
      </w:pPr>
      <w:r>
        <w:rPr>
          <w:rFonts w:eastAsia="方正楷体_GBK"/>
          <w:color w:val="000000" w:themeColor="text1"/>
          <w:sz w:val="32"/>
          <w:szCs w:val="32"/>
          <w14:textFill>
            <w14:solidFill>
              <w14:schemeClr w14:val="tx1"/>
            </w14:solidFill>
          </w14:textFill>
        </w:rPr>
        <w:t>（一）争议解决方式</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1.甲、乙双方在合同执行过程中发生争议时，应及时协调</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若在60日内调解不成，双方可提请甲方所在地人民法院诉讼解决。</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2.争议未得到妥善解决前，除非出现下列情况，双方都应继续履行合同。</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(1)合同确已无法履行；</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(2)双方协议同意停止执行；</w:t>
      </w:r>
    </w:p>
    <w:p>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(3)调解要求停止执行，且为双方接受；</w:t>
      </w:r>
    </w:p>
    <w:p>
      <w:pPr>
        <w:autoSpaceDE w:val="0"/>
        <w:spacing w:line="594" w:lineRule="exact"/>
        <w:ind w:firstLine="640" w:firstLineChars="200"/>
        <w:rPr>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(4)法院要求停止执行。</w:t>
      </w:r>
      <w:r>
        <w:rPr>
          <w:rFonts w:eastAsia="方正仿宋_GBK"/>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p>
    <w:p>
      <w:pPr>
        <w:spacing w:line="594" w:lineRule="exact"/>
        <w:ind w:right="140" w:rightChars="50" w:firstLine="627" w:firstLineChars="196"/>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14:textFill>
            <w14:solidFill>
              <w14:schemeClr w14:val="tx1"/>
            </w14:solidFill>
          </w14:textFill>
        </w:rPr>
        <w:t>（二）违约与索赔</w:t>
      </w:r>
    </w:p>
    <w:p>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1.乙方不按合同履行其义务，导致合同无法履行（不可抗力因素除外），乙方应承担违约责任，并支付最终合同结算总价</w:t>
      </w:r>
      <w:r>
        <w:rPr>
          <w:rFonts w:eastAsia="方正仿宋_GBK"/>
          <w:color w:val="000000" w:themeColor="text1"/>
          <w:sz w:val="32"/>
          <w:szCs w:val="32"/>
          <w:u w:val="single"/>
          <w14:textFill>
            <w14:solidFill>
              <w14:schemeClr w14:val="tx1"/>
            </w14:solidFill>
          </w14:textFill>
        </w:rPr>
        <w:t xml:space="preserve"> 2 </w:t>
      </w:r>
      <w:r>
        <w:rPr>
          <w:rFonts w:eastAsia="方正仿宋_GBK"/>
          <w:color w:val="000000" w:themeColor="text1"/>
          <w:sz w:val="32"/>
          <w:szCs w:val="32"/>
          <w14:textFill>
            <w14:solidFill>
              <w14:schemeClr w14:val="tx1"/>
            </w14:solidFill>
          </w14:textFill>
        </w:rPr>
        <w:t>%的违约金。</w:t>
      </w:r>
    </w:p>
    <w:p>
      <w:pPr>
        <w:spacing w:line="594" w:lineRule="exact"/>
        <w:ind w:right="12"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2.乙方在供货期间无法满足货物质量、数量等要求或无法供货，甲方根据招标文件要求不予退还履约保证金，并要求乙方向甲方支付最终合同结算总价2%的违约金</w:t>
      </w:r>
      <w:r>
        <w:rPr>
          <w:rFonts w:hint="eastAsia" w:eastAsia="方正仿宋_GBK"/>
          <w:color w:val="000000" w:themeColor="text1"/>
          <w:sz w:val="32"/>
          <w:szCs w:val="32"/>
          <w14:textFill>
            <w14:solidFill>
              <w14:schemeClr w14:val="tx1"/>
            </w14:solidFill>
          </w14:textFill>
        </w:rPr>
        <w:t>。</w:t>
      </w:r>
    </w:p>
    <w:p>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3.乙方不能够按合同供应</w:t>
      </w:r>
      <w:r>
        <w:rPr>
          <w:rFonts w:hint="eastAsia" w:eastAsia="方正仿宋_GBK"/>
          <w:color w:val="000000" w:themeColor="text1"/>
          <w:sz w:val="32"/>
          <w:szCs w:val="32"/>
          <w:lang w:val="en-US" w:eastAsia="zh-CN"/>
          <w14:textFill>
            <w14:solidFill>
              <w14:schemeClr w14:val="tx1"/>
            </w14:solidFill>
          </w14:textFill>
        </w:rPr>
        <w:t>货物</w:t>
      </w:r>
      <w:r>
        <w:rPr>
          <w:rFonts w:eastAsia="方正仿宋_GBK"/>
          <w:color w:val="000000" w:themeColor="text1"/>
          <w:sz w:val="32"/>
          <w:szCs w:val="32"/>
          <w14:textFill>
            <w14:solidFill>
              <w14:schemeClr w14:val="tx1"/>
            </w14:solidFill>
          </w14:textFill>
        </w:rPr>
        <w:t>，或因其它原因（不可抗力因素除外）给甲方造成损失，除赔偿甲方损失外，乙方还应承担违约责任，支付最终合同结算总价</w:t>
      </w:r>
      <w:r>
        <w:rPr>
          <w:rFonts w:eastAsia="方正仿宋_GBK"/>
          <w:color w:val="000000" w:themeColor="text1"/>
          <w:sz w:val="32"/>
          <w:szCs w:val="32"/>
          <w:u w:val="single"/>
          <w14:textFill>
            <w14:solidFill>
              <w14:schemeClr w14:val="tx1"/>
            </w14:solidFill>
          </w14:textFill>
        </w:rPr>
        <w:t xml:space="preserve"> 2 </w:t>
      </w:r>
      <w:r>
        <w:rPr>
          <w:rFonts w:eastAsia="方正仿宋_GBK"/>
          <w:color w:val="000000" w:themeColor="text1"/>
          <w:sz w:val="32"/>
          <w:szCs w:val="32"/>
          <w14:textFill>
            <w14:solidFill>
              <w14:schemeClr w14:val="tx1"/>
            </w14:solidFill>
          </w14:textFill>
        </w:rPr>
        <w:t>%的违约金。</w:t>
      </w:r>
    </w:p>
    <w:p>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4.如因甲方原因导致乙方不能及时供货或供货无人接收，应承担违约责任，并支付当批货物总价</w:t>
      </w:r>
      <w:r>
        <w:rPr>
          <w:rFonts w:eastAsia="方正仿宋_GBK"/>
          <w:color w:val="000000" w:themeColor="text1"/>
          <w:sz w:val="32"/>
          <w:szCs w:val="32"/>
          <w:u w:val="single"/>
          <w14:textFill>
            <w14:solidFill>
              <w14:schemeClr w14:val="tx1"/>
            </w14:solidFill>
          </w14:textFill>
        </w:rPr>
        <w:t xml:space="preserve"> 2 </w:t>
      </w:r>
      <w:r>
        <w:rPr>
          <w:rFonts w:eastAsia="方正仿宋_GBK"/>
          <w:color w:val="000000" w:themeColor="text1"/>
          <w:sz w:val="32"/>
          <w:szCs w:val="32"/>
          <w14:textFill>
            <w14:solidFill>
              <w14:schemeClr w14:val="tx1"/>
            </w14:solidFill>
          </w14:textFill>
        </w:rPr>
        <w:t>%的违约金。</w:t>
      </w:r>
    </w:p>
    <w:p>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5.因一方违约使合同不能履行，另一方欲终止合同，应至少提前7个日历天内书面通知对方，对方在接到通知后7个日历天内必须给予书面回复，如7天内不予回复，应视为已经同意对方要求。因终止合同造成的经济损失应由违约方承担责任，并承担因违约导致诉讼而产生的诉讼费、保全费、律师费等。</w:t>
      </w:r>
    </w:p>
    <w:p>
      <w:pPr>
        <w:spacing w:line="594" w:lineRule="exact"/>
        <w:ind w:right="-73" w:rightChars="-26"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6.因违约而索赔时，索赔方应提供索赔的有关证据；并在14个日历天内向违约方发出要求索赔的书面通知，对方在接到索赔通知后7个日历天内必须给予书面回复，如7个日历天内不予回复，应视为已同意对方索赔要求。</w:t>
      </w:r>
    </w:p>
    <w:p>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7.甲乙双方因本合同产生争议后，在争议解决前，双方都应继续履行合同，若乙方拒绝继续履行合同，为保障甲方继续履行与他方签订的合同，甲方可临时委托第三方供应，由此带来的一切责任和损失由乙方负责。</w:t>
      </w:r>
    </w:p>
    <w:p>
      <w:pPr>
        <w:pStyle w:val="58"/>
        <w:spacing w:after="0" w:line="594" w:lineRule="exact"/>
        <w:ind w:firstLine="640"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color w:val="000000" w:themeColor="text1"/>
          <w:sz w:val="32"/>
          <w:szCs w:val="32"/>
          <w14:textFill>
            <w14:solidFill>
              <w14:schemeClr w14:val="tx1"/>
            </w14:solidFill>
          </w14:textFill>
        </w:rPr>
        <w:t>8.乙方在运输及卸货过程中，发生的包括不限于工伤、雇佣、侵权、行政处罚、安全等造成的任何形式的责任及损失均由乙方负责，与甲方无关。给甲方造成损失的，甲方有权向乙方追偿。</w:t>
      </w:r>
    </w:p>
    <w:p>
      <w:pPr>
        <w:spacing w:line="594" w:lineRule="exact"/>
        <w:ind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九</w:t>
      </w:r>
      <w:r>
        <w:rPr>
          <w:rFonts w:eastAsia="黑体"/>
          <w:color w:val="000000" w:themeColor="text1"/>
          <w:sz w:val="32"/>
          <w:szCs w:val="32"/>
          <w14:textFill>
            <w14:solidFill>
              <w14:schemeClr w14:val="tx1"/>
            </w14:solidFill>
          </w14:textFill>
        </w:rPr>
        <w:t>、合同生效：</w:t>
      </w:r>
    </w:p>
    <w:p>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xml:space="preserve">本合同应经甲乙双方法定代表人或委托代理人签字，加盖双方合同专用章或公章之日起生效。   </w:t>
      </w:r>
    </w:p>
    <w:p>
      <w:pPr>
        <w:spacing w:line="594" w:lineRule="exact"/>
        <w:ind w:firstLine="640" w:firstLineChars="200"/>
        <w:rPr>
          <w:rFonts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十、其他：</w:t>
      </w:r>
    </w:p>
    <w:p>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1.在本合同有效期内，没有甲方盖章确认，凡甲方的委托人、经办人员、员工、管理人员以个人名义出具的白条，对甲方无任何约束力，甲方不承担任何责任。</w:t>
      </w:r>
    </w:p>
    <w:p>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2.经甲乙双方协商一致，本合同涉及乙方的违约责任最终全部由乙方承担。</w:t>
      </w:r>
    </w:p>
    <w:p>
      <w:pPr>
        <w:spacing w:line="594" w:lineRule="exact"/>
        <w:ind w:right="140" w:rightChars="50"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3.本合同为打印合同，经手写补充、更改后无效。</w:t>
      </w:r>
    </w:p>
    <w:p>
      <w:pPr>
        <w:spacing w:line="594" w:lineRule="exact"/>
        <w:ind w:right="140" w:rightChars="50"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4.本合同未尽事宜，甲乙双方可另行协商，签订补充协议，补充协议与本合同具有同等法律效力。</w:t>
      </w:r>
    </w:p>
    <w:p>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5.本合同一式</w:t>
      </w:r>
      <w:r>
        <w:rPr>
          <w:rFonts w:eastAsia="方正仿宋_GBK"/>
          <w:color w:val="000000" w:themeColor="text1"/>
          <w:sz w:val="32"/>
          <w:szCs w:val="32"/>
          <w:u w:val="single"/>
          <w14:textFill>
            <w14:solidFill>
              <w14:schemeClr w14:val="tx1"/>
            </w14:solidFill>
          </w14:textFill>
        </w:rPr>
        <w:t>伍</w:t>
      </w:r>
      <w:r>
        <w:rPr>
          <w:rFonts w:eastAsia="方正仿宋_GBK"/>
          <w:color w:val="000000" w:themeColor="text1"/>
          <w:sz w:val="32"/>
          <w:szCs w:val="32"/>
          <w14:textFill>
            <w14:solidFill>
              <w14:schemeClr w14:val="tx1"/>
            </w14:solidFill>
          </w14:textFill>
        </w:rPr>
        <w:t>份。每份均具有同等法律效力，甲方执</w:t>
      </w:r>
      <w:r>
        <w:rPr>
          <w:rFonts w:eastAsia="方正仿宋_GBK"/>
          <w:color w:val="000000" w:themeColor="text1"/>
          <w:sz w:val="32"/>
          <w:szCs w:val="32"/>
          <w:u w:val="single"/>
          <w14:textFill>
            <w14:solidFill>
              <w14:schemeClr w14:val="tx1"/>
            </w14:solidFill>
          </w14:textFill>
        </w:rPr>
        <w:t xml:space="preserve"> 肆 </w:t>
      </w:r>
      <w:r>
        <w:rPr>
          <w:rFonts w:eastAsia="方正仿宋_GBK"/>
          <w:color w:val="000000" w:themeColor="text1"/>
          <w:sz w:val="32"/>
          <w:szCs w:val="32"/>
          <w14:textFill>
            <w14:solidFill>
              <w14:schemeClr w14:val="tx1"/>
            </w14:solidFill>
          </w14:textFill>
        </w:rPr>
        <w:t>份，乙方</w:t>
      </w:r>
      <w:r>
        <w:rPr>
          <w:rFonts w:eastAsia="方正仿宋_GBK"/>
          <w:color w:val="000000" w:themeColor="text1"/>
          <w:sz w:val="32"/>
          <w:szCs w:val="32"/>
          <w:u w:val="single"/>
          <w14:textFill>
            <w14:solidFill>
              <w14:schemeClr w14:val="tx1"/>
            </w14:solidFill>
          </w14:textFill>
        </w:rPr>
        <w:t>壹</w:t>
      </w:r>
      <w:r>
        <w:rPr>
          <w:rFonts w:eastAsia="方正仿宋_GBK"/>
          <w:color w:val="000000" w:themeColor="text1"/>
          <w:sz w:val="32"/>
          <w:szCs w:val="32"/>
          <w14:textFill>
            <w14:solidFill>
              <w14:schemeClr w14:val="tx1"/>
            </w14:solidFill>
          </w14:textFill>
        </w:rPr>
        <w:t>份，由甲、乙双方分送有关部门。</w:t>
      </w:r>
    </w:p>
    <w:p>
      <w:pPr>
        <w:spacing w:line="594" w:lineRule="exact"/>
        <w:ind w:firstLine="0" w:firstLineChars="0"/>
        <w:jc w:val="center"/>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（以下无正文）</w:t>
      </w:r>
    </w:p>
    <w:p>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p>
      <w:pPr>
        <w:autoSpaceDE w:val="0"/>
        <w:spacing w:line="594" w:lineRule="exact"/>
        <w:ind w:firstLine="880" w:firstLineChars="200"/>
        <w:jc w:val="center"/>
        <w:rPr>
          <w:rFonts w:hint="eastAsia" w:ascii="方正小标宋_GBK" w:hAnsi="方正小标宋_GBK" w:eastAsia="方正小标宋_GBK" w:cs="方正小标宋_GBK"/>
          <w:bCs/>
          <w:color w:val="000000" w:themeColor="text1"/>
          <w:sz w:val="44"/>
          <w:szCs w:val="44"/>
          <w:lang w:bidi="ar"/>
          <w14:textFill>
            <w14:solidFill>
              <w14:schemeClr w14:val="tx1"/>
            </w14:solidFill>
          </w14:textFill>
        </w:rPr>
      </w:pPr>
    </w:p>
    <w:p>
      <w:pPr>
        <w:autoSpaceDE w:val="0"/>
        <w:spacing w:line="594" w:lineRule="exact"/>
        <w:ind w:firstLine="880" w:firstLineChars="200"/>
        <w:jc w:val="center"/>
        <w:rPr>
          <w:rFonts w:eastAsia="方正仿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lang w:bidi="ar"/>
          <w14:textFill>
            <w14:solidFill>
              <w14:schemeClr w14:val="tx1"/>
            </w14:solidFill>
          </w14:textFill>
        </w:rPr>
        <w:t>合同签署页</w:t>
      </w:r>
    </w:p>
    <w:p>
      <w:pPr>
        <w:autoSpaceDE w:val="0"/>
        <w:spacing w:line="594" w:lineRule="exact"/>
        <w:rPr>
          <w:rFonts w:eastAsia="方正仿宋_GBK"/>
          <w:b/>
          <w:color w:val="000000" w:themeColor="text1"/>
          <w:sz w:val="32"/>
          <w:szCs w:val="32"/>
          <w14:textFill>
            <w14:solidFill>
              <w14:schemeClr w14:val="tx1"/>
            </w14:solidFill>
          </w14:textFill>
        </w:rPr>
      </w:pPr>
      <w:r>
        <w:rPr>
          <w:rFonts w:eastAsia="方正仿宋_GBK"/>
          <w:b/>
          <w:color w:val="000000" w:themeColor="text1"/>
          <w:sz w:val="32"/>
          <w:szCs w:val="32"/>
          <w:lang w:bidi="ar"/>
          <w14:textFill>
            <w14:solidFill>
              <w14:schemeClr w14:val="tx1"/>
            </w14:solidFill>
          </w14:textFill>
        </w:rPr>
        <w:t xml:space="preserve"> </w:t>
      </w:r>
    </w:p>
    <w:p>
      <w:pPr>
        <w:autoSpaceDE w:val="0"/>
        <w:spacing w:line="594" w:lineRule="exact"/>
        <w:rPr>
          <w:rFonts w:eastAsia="方正仿宋_GBK"/>
          <w:b/>
          <w:color w:val="000000" w:themeColor="text1"/>
          <w:sz w:val="32"/>
          <w:szCs w:val="32"/>
          <w14:textFill>
            <w14:solidFill>
              <w14:schemeClr w14:val="tx1"/>
            </w14:solidFill>
          </w14:textFill>
        </w:rPr>
      </w:pPr>
      <w:r>
        <w:rPr>
          <w:rFonts w:eastAsia="方正仿宋_GBK"/>
          <w:b/>
          <w:color w:val="000000" w:themeColor="text1"/>
          <w:sz w:val="32"/>
          <w:szCs w:val="32"/>
          <w:lang w:bidi="ar"/>
          <w14:textFill>
            <w14:solidFill>
              <w14:schemeClr w14:val="tx1"/>
            </w14:solidFill>
          </w14:textFill>
        </w:rPr>
        <w:t xml:space="preserve"> </w:t>
      </w: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甲方：  (公章)                  乙方：  (公章)</w:t>
      </w:r>
      <w:r>
        <w:rPr>
          <w:rFonts w:hint="eastAsia" w:eastAsia="方正仿宋_GBK"/>
          <w:color w:val="000000" w:themeColor="text1"/>
          <w:sz w:val="28"/>
          <w:szCs w:val="28"/>
          <w:lang w:bidi="ar"/>
          <w14:textFill>
            <w14:solidFill>
              <w14:schemeClr w14:val="tx1"/>
            </w14:solidFill>
          </w14:textFill>
        </w:rPr>
        <w:t xml:space="preserve">                      </w:t>
      </w:r>
    </w:p>
    <w:p>
      <w:pPr>
        <w:autoSpaceDE w:val="0"/>
        <w:spacing w:line="594" w:lineRule="exac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28"/>
          <w:szCs w:val="28"/>
          <w:lang w:bidi="ar"/>
          <w14:textFill>
            <w14:solidFill>
              <w14:schemeClr w14:val="tx1"/>
            </w14:solidFill>
          </w14:textFill>
        </w:rPr>
        <w:t xml:space="preserve">                              </w:t>
      </w:r>
      <w:r>
        <w:rPr>
          <w:rFonts w:hint="eastAsia" w:eastAsia="方正仿宋_GBK"/>
          <w:color w:val="000000" w:themeColor="text1"/>
          <w:sz w:val="28"/>
          <w:szCs w:val="28"/>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w:t>
      </w: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法定代表人或其委托代理人：     法定代表人或其委托代理人：</w:t>
      </w: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 xml:space="preserve">  （签章）                       （签章）</w:t>
      </w:r>
      <w:r>
        <w:rPr>
          <w:rFonts w:hint="eastAsia" w:eastAsia="方正仿宋_GBK"/>
          <w:color w:val="000000" w:themeColor="text1"/>
          <w:sz w:val="28"/>
          <w:szCs w:val="28"/>
          <w:lang w:bidi="ar"/>
          <w14:textFill>
            <w14:solidFill>
              <w14:schemeClr w14:val="tx1"/>
            </w14:solidFill>
          </w14:textFill>
        </w:rPr>
        <w:t xml:space="preserve">                           </w:t>
      </w:r>
    </w:p>
    <w:p>
      <w:pPr>
        <w:autoSpaceDE w:val="0"/>
        <w:spacing w:line="594" w:lineRule="exact"/>
        <w:rPr>
          <w:rFonts w:eastAsia="方正仿宋_GBK"/>
          <w:color w:val="000000" w:themeColor="text1"/>
          <w:sz w:val="28"/>
          <w:szCs w:val="28"/>
          <w:u w:val="single"/>
          <w14:textFill>
            <w14:solidFill>
              <w14:schemeClr w14:val="tx1"/>
            </w14:solidFill>
          </w14:textFill>
        </w:rPr>
      </w:pP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组织机构代码：                  组织机构代码：</w:t>
      </w:r>
    </w:p>
    <w:p>
      <w:pPr>
        <w:autoSpaceDE w:val="0"/>
        <w:spacing w:line="594" w:lineRule="exac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28"/>
          <w:szCs w:val="28"/>
          <w:u w:val="single"/>
          <w:lang w:bidi="ar"/>
          <w14:textFill>
            <w14:solidFill>
              <w14:schemeClr w14:val="tx1"/>
            </w14:solidFill>
          </w14:textFill>
        </w:rPr>
        <w:t xml:space="preserve"> 91500231MA60Q2NU7B       </w:t>
      </w:r>
      <w:r>
        <w:rPr>
          <w:rFonts w:eastAsia="方正仿宋_GBK"/>
          <w:color w:val="000000" w:themeColor="text1"/>
          <w:sz w:val="28"/>
          <w:szCs w:val="28"/>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p>
    <w:p>
      <w:pPr>
        <w:autoSpaceDE w:val="0"/>
        <w:spacing w:line="594" w:lineRule="exact"/>
        <w:ind w:left="5040" w:hanging="5040" w:hangingChars="1800"/>
        <w:rPr>
          <w:rFonts w:hint="default" w:eastAsia="方正仿宋_GBK"/>
          <w:color w:val="000000" w:themeColor="text1"/>
          <w:szCs w:val="21"/>
          <w:u w:val="single"/>
          <w:lang w:val="en-US" w:eastAsia="zh-CN"/>
          <w14:textFill>
            <w14:solidFill>
              <w14:schemeClr w14:val="tx1"/>
            </w14:solidFill>
          </w14:textFill>
        </w:rPr>
      </w:pPr>
      <w:r>
        <w:rPr>
          <w:rFonts w:eastAsia="方正仿宋_GBK"/>
          <w:color w:val="000000" w:themeColor="text1"/>
          <w:sz w:val="28"/>
          <w:szCs w:val="28"/>
          <w:lang w:bidi="ar"/>
          <w14:textFill>
            <w14:solidFill>
              <w14:schemeClr w14:val="tx1"/>
            </w14:solidFill>
          </w14:textFill>
        </w:rPr>
        <w:t>地址：</w:t>
      </w:r>
      <w:r>
        <w:rPr>
          <w:rFonts w:eastAsia="方正仿宋_GBK"/>
          <w:color w:val="000000" w:themeColor="text1"/>
          <w:szCs w:val="21"/>
          <w:u w:val="single"/>
          <w:lang w:bidi="ar"/>
          <w14:textFill>
            <w14:solidFill>
              <w14:schemeClr w14:val="tx1"/>
            </w14:solidFill>
          </w14:textFill>
        </w:rPr>
        <w:t>重庆市垫江县桂阳街道龙凤路27号</w:t>
      </w:r>
      <w:r>
        <w:rPr>
          <w:rFonts w:eastAsia="方正仿宋_GBK"/>
          <w:color w:val="000000" w:themeColor="text1"/>
          <w:szCs w:val="21"/>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地址：</w:t>
      </w:r>
      <w:r>
        <w:rPr>
          <w:rFonts w:eastAsia="方正仿宋_GBK"/>
          <w:color w:val="000000" w:themeColor="text1"/>
          <w:szCs w:val="21"/>
          <w:u w:val="single"/>
          <w:lang w:bidi="ar"/>
          <w14:textFill>
            <w14:solidFill>
              <w14:schemeClr w14:val="tx1"/>
            </w14:solidFill>
          </w14:textFill>
        </w:rPr>
        <w:t xml:space="preserve"> </w:t>
      </w:r>
      <w:r>
        <w:rPr>
          <w:rFonts w:hint="eastAsia" w:eastAsia="方正仿宋_GBK"/>
          <w:color w:val="000000" w:themeColor="text1"/>
          <w:szCs w:val="21"/>
          <w:u w:val="single"/>
          <w:lang w:bidi="ar"/>
          <w14:textFill>
            <w14:solidFill>
              <w14:schemeClr w14:val="tx1"/>
            </w14:solidFill>
          </w14:textFill>
        </w:rPr>
        <w:t xml:space="preserve">                                    </w:t>
      </w:r>
      <w:r>
        <w:rPr>
          <w:rFonts w:hint="eastAsia" w:eastAsia="方正仿宋_GBK"/>
          <w:color w:val="000000" w:themeColor="text1"/>
          <w:szCs w:val="21"/>
          <w:u w:val="single"/>
          <w:lang w:val="en-US" w:eastAsia="zh-CN" w:bidi="ar"/>
          <w14:textFill>
            <w14:solidFill>
              <w14:schemeClr w14:val="tx1"/>
            </w14:solidFill>
          </w14:textFill>
        </w:rPr>
        <w:t xml:space="preserve">   </w:t>
      </w: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邮政编码：</w:t>
      </w:r>
      <w:r>
        <w:rPr>
          <w:rFonts w:eastAsia="方正仿宋_GBK"/>
          <w:color w:val="000000" w:themeColor="text1"/>
          <w:sz w:val="28"/>
          <w:szCs w:val="28"/>
          <w:u w:val="single"/>
          <w:lang w:bidi="ar"/>
          <w14:textFill>
            <w14:solidFill>
              <w14:schemeClr w14:val="tx1"/>
            </w14:solidFill>
          </w14:textFill>
        </w:rPr>
        <w:t xml:space="preserve">        </w:t>
      </w:r>
      <w:r>
        <w:rPr>
          <w:rFonts w:eastAsia="方正仿宋_GBK"/>
          <w:color w:val="000000" w:themeColor="text1"/>
          <w:sz w:val="28"/>
          <w:szCs w:val="28"/>
          <w:lang w:bidi="ar"/>
          <w14:textFill>
            <w14:solidFill>
              <w14:schemeClr w14:val="tx1"/>
            </w14:solidFill>
          </w14:textFill>
        </w:rPr>
        <w:t xml:space="preserve">  邮政编码：</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pPr>
        <w:autoSpaceDE w:val="0"/>
        <w:spacing w:line="594" w:lineRule="exac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电  话：</w:t>
      </w:r>
      <w:r>
        <w:rPr>
          <w:rFonts w:eastAsia="方正仿宋_GBK"/>
          <w:color w:val="000000" w:themeColor="text1"/>
          <w:sz w:val="28"/>
          <w:szCs w:val="28"/>
          <w:u w:val="single"/>
          <w:lang w:bidi="ar"/>
          <w14:textFill>
            <w14:solidFill>
              <w14:schemeClr w14:val="tx1"/>
            </w14:solidFill>
          </w14:textFill>
        </w:rPr>
        <w:t xml:space="preserve">    023-745</w:t>
      </w:r>
      <w:r>
        <w:rPr>
          <w:rFonts w:hint="eastAsia" w:eastAsia="方正仿宋_GBK"/>
          <w:color w:val="000000" w:themeColor="text1"/>
          <w:sz w:val="28"/>
          <w:szCs w:val="28"/>
          <w:u w:val="single"/>
          <w:lang w:bidi="ar"/>
          <w14:textFill>
            <w14:solidFill>
              <w14:schemeClr w14:val="tx1"/>
            </w14:solidFill>
          </w14:textFill>
        </w:rPr>
        <w:t>50000</w:t>
      </w:r>
      <w:r>
        <w:rPr>
          <w:rFonts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32"/>
          <w:szCs w:val="32"/>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电话：</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传  真：</w:t>
      </w:r>
      <w:r>
        <w:rPr>
          <w:rFonts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传真：</w:t>
      </w:r>
      <w:r>
        <w:rPr>
          <w:rFonts w:eastAsia="方正仿宋_GBK"/>
          <w:color w:val="000000" w:themeColor="text1"/>
          <w:sz w:val="28"/>
          <w:szCs w:val="28"/>
          <w:u w:val="single"/>
          <w:lang w:bidi="ar"/>
          <w14:textFill>
            <w14:solidFill>
              <w14:schemeClr w14:val="tx1"/>
            </w14:solidFill>
          </w14:textFill>
        </w:rPr>
        <w:t></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           </w:t>
      </w:r>
    </w:p>
    <w:p>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电子信箱：</w:t>
      </w:r>
      <w:r>
        <w:rPr>
          <w:rFonts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电子信箱：</w:t>
      </w:r>
      <w:r>
        <w:rPr>
          <w:rFonts w:eastAsia="方正仿宋_GBK"/>
          <w:color w:val="000000" w:themeColor="text1"/>
          <w:sz w:val="28"/>
          <w:szCs w:val="28"/>
          <w:u w:val="single"/>
          <w:lang w:bidi="ar"/>
          <w14:textFill>
            <w14:solidFill>
              <w14:schemeClr w14:val="tx1"/>
            </w14:solidFill>
          </w14:textFill>
        </w:rPr>
        <w:t xml:space="preserve">    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pPr>
        <w:spacing w:line="594" w:lineRule="exact"/>
        <w:jc w:val="left"/>
        <w:rPr>
          <w:rFonts w:eastAsia="方正仿宋_GBK"/>
          <w:color w:val="000000" w:themeColor="text1"/>
          <w:sz w:val="24"/>
          <w:u w:val="single"/>
          <w:lang w:bidi="ar"/>
          <w14:textFill>
            <w14:solidFill>
              <w14:schemeClr w14:val="tx1"/>
            </w14:solidFill>
          </w14:textFill>
        </w:rPr>
      </w:pPr>
      <w:r>
        <w:rPr>
          <w:rFonts w:eastAsia="方正仿宋_GBK"/>
          <w:color w:val="000000" w:themeColor="text1"/>
          <w:sz w:val="24"/>
          <w:lang w:bidi="ar"/>
          <w14:textFill>
            <w14:solidFill>
              <w14:schemeClr w14:val="tx1"/>
            </w14:solidFill>
          </w14:textFill>
        </w:rPr>
        <w:t>开户银行：</w:t>
      </w:r>
      <w:r>
        <w:rPr>
          <w:rFonts w:eastAsia="方正仿宋_GBK"/>
          <w:color w:val="000000" w:themeColor="text1"/>
          <w:sz w:val="18"/>
          <w:szCs w:val="18"/>
          <w:u w:val="single"/>
          <w:lang w:bidi="ar"/>
          <w14:textFill>
            <w14:solidFill>
              <w14:schemeClr w14:val="tx1"/>
            </w14:solidFill>
          </w14:textFill>
        </w:rPr>
        <w:t xml:space="preserve">重庆银行股份有限公司垫江支行 </w:t>
      </w:r>
      <w:r>
        <w:rPr>
          <w:rFonts w:eastAsia="方正仿宋_GBK"/>
          <w:color w:val="000000" w:themeColor="text1"/>
          <w:sz w:val="24"/>
          <w:lang w:bidi="ar"/>
          <w14:textFill>
            <w14:solidFill>
              <w14:schemeClr w14:val="tx1"/>
            </w14:solidFill>
          </w14:textFill>
        </w:rPr>
        <w:t xml:space="preserve">  开</w:t>
      </w:r>
      <w:r>
        <w:rPr>
          <w:rFonts w:eastAsia="方正仿宋_GBK"/>
          <w:color w:val="000000" w:themeColor="text1"/>
          <w:sz w:val="28"/>
          <w:szCs w:val="28"/>
          <w:lang w:bidi="ar"/>
          <w14:textFill>
            <w14:solidFill>
              <w14:schemeClr w14:val="tx1"/>
            </w14:solidFill>
          </w14:textFill>
        </w:rPr>
        <w:t>户银行</w:t>
      </w:r>
      <w:r>
        <w:rPr>
          <w:rFonts w:eastAsia="方正仿宋_GBK"/>
          <w:color w:val="000000" w:themeColor="text1"/>
          <w:sz w:val="24"/>
          <w:lang w:bidi="ar"/>
          <w14:textFill>
            <w14:solidFill>
              <w14:schemeClr w14:val="tx1"/>
            </w14:solidFill>
          </w14:textFill>
        </w:rPr>
        <w:t>：</w:t>
      </w:r>
      <w:r>
        <w:rPr>
          <w:rFonts w:eastAsia="方正仿宋_GBK"/>
          <w:color w:val="000000" w:themeColor="text1"/>
          <w:sz w:val="28"/>
          <w:szCs w:val="28"/>
          <w:u w:val="single"/>
          <w:lang w:bidi="ar"/>
          <w14:textFill>
            <w14:solidFill>
              <w14:schemeClr w14:val="tx1"/>
            </w14:solidFill>
          </w14:textFill>
        </w:rPr>
        <w:t xml:space="preserve">     </w:t>
      </w:r>
      <w:r>
        <w:rPr>
          <w:rFonts w:eastAsia="方正仿宋_GBK"/>
          <w:color w:val="000000" w:themeColor="text1"/>
          <w:sz w:val="24"/>
          <w:u w:val="single"/>
          <w:lang w:bidi="ar"/>
          <w14:textFill>
            <w14:solidFill>
              <w14:schemeClr w14:val="tx1"/>
            </w14:solidFill>
          </w14:textFill>
        </w:rPr>
        <w:t xml:space="preserve">                         </w:t>
      </w:r>
    </w:p>
    <w:p>
      <w:pPr>
        <w:spacing w:line="594" w:lineRule="exact"/>
        <w:jc w:val="lef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32"/>
          <w:szCs w:val="32"/>
          <w:lang w:bidi="ar"/>
          <w14:textFill>
            <w14:solidFill>
              <w14:schemeClr w14:val="tx1"/>
            </w14:solidFill>
          </w14:textFill>
        </w:rPr>
        <w:t>账  号：</w:t>
      </w:r>
      <w:r>
        <w:rPr>
          <w:rFonts w:eastAsia="方正仿宋_GBK"/>
          <w:color w:val="000000" w:themeColor="text1"/>
          <w:sz w:val="28"/>
          <w:szCs w:val="28"/>
          <w:u w:val="single"/>
          <w:lang w:bidi="ar"/>
          <w14:textFill>
            <w14:solidFill>
              <w14:schemeClr w14:val="tx1"/>
            </w14:solidFill>
          </w14:textFill>
        </w:rPr>
        <w:t xml:space="preserve">820102029000256841 </w:t>
      </w:r>
      <w:r>
        <w:rPr>
          <w:rFonts w:eastAsia="方正仿宋_GBK"/>
          <w:color w:val="000000" w:themeColor="text1"/>
          <w:sz w:val="32"/>
          <w:szCs w:val="32"/>
          <w:lang w:bidi="ar"/>
          <w14:textFill>
            <w14:solidFill>
              <w14:schemeClr w14:val="tx1"/>
            </w14:solidFill>
          </w14:textFill>
        </w:rPr>
        <w:t xml:space="preserve"> 账号：</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pPr>
        <w:pStyle w:val="4"/>
        <w:spacing w:after="0" w:line="594" w:lineRule="exact"/>
        <w:jc w:val="center"/>
        <w:rPr>
          <w:rFonts w:ascii="方正小标宋_GBK" w:eastAsia="方正小标宋_GBK"/>
          <w:color w:val="000000" w:themeColor="text1"/>
          <w:sz w:val="40"/>
          <w14:textFill>
            <w14:solidFill>
              <w14:schemeClr w14:val="tx1"/>
            </w14:solidFill>
          </w14:textFill>
        </w:rPr>
      </w:pPr>
    </w:p>
    <w:bookmarkEnd w:id="771"/>
    <w:bookmarkEnd w:id="772"/>
    <w:bookmarkEnd w:id="773"/>
    <w:bookmarkEnd w:id="774"/>
    <w:bookmarkEnd w:id="775"/>
    <w:p>
      <w:pPr>
        <w:spacing w:line="360" w:lineRule="auto"/>
      </w:pPr>
    </w:p>
    <w:p/>
    <w:p>
      <w:pPr>
        <w:pStyle w:val="2"/>
      </w:pPr>
    </w:p>
    <w:p>
      <w:pPr>
        <w:rPr>
          <w:rFonts w:hint="default"/>
          <w:highlight w:val="none"/>
          <w:lang w:val="en-US" w:eastAsia="zh-CN"/>
        </w:rPr>
      </w:pPr>
    </w:p>
    <w:p>
      <w:pPr>
        <w:rPr>
          <w:rFonts w:hint="default"/>
          <w:highlight w:val="none"/>
          <w:lang w:val="en-US" w:eastAsia="zh-CN"/>
        </w:rPr>
      </w:pPr>
    </w:p>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Pr>
        <w:pStyle w:val="3"/>
        <w:spacing w:before="0" w:beforeLines="0" w:after="0" w:afterLines="0" w:line="360" w:lineRule="auto"/>
        <w:rPr>
          <w:rFonts w:hint="eastAsia" w:ascii="方正仿宋_GBK" w:eastAsia="方正仿宋_GBK"/>
          <w:b/>
          <w:highlight w:val="none"/>
          <w:u w:val="none" w:color="auto"/>
        </w:rPr>
      </w:pPr>
      <w:bookmarkStart w:id="776" w:name="_Toc12202"/>
      <w:bookmarkStart w:id="777" w:name="_Toc75793539"/>
      <w:bookmarkStart w:id="778" w:name="_Toc8818"/>
      <w:bookmarkStart w:id="779" w:name="_Toc20425"/>
      <w:bookmarkStart w:id="780" w:name="_Toc106030416"/>
      <w:bookmarkStart w:id="781" w:name="_Toc895713247"/>
      <w:bookmarkStart w:id="782" w:name="_Toc19519"/>
      <w:bookmarkStart w:id="783" w:name="_Toc22748"/>
      <w:bookmarkStart w:id="784" w:name="_Toc31517"/>
      <w:bookmarkStart w:id="785" w:name="_Toc6992"/>
      <w:bookmarkStart w:id="786" w:name="_Toc9843"/>
      <w:bookmarkStart w:id="787" w:name="_Toc14325"/>
      <w:bookmarkStart w:id="788" w:name="_Toc13509"/>
      <w:bookmarkStart w:id="789" w:name="_Toc16203"/>
      <w:bookmarkStart w:id="790" w:name="_Toc1198"/>
      <w:bookmarkStart w:id="791" w:name="_Toc8132"/>
      <w:bookmarkStart w:id="792" w:name="_Toc8114"/>
      <w:bookmarkStart w:id="793" w:name="_Toc25727"/>
      <w:bookmarkStart w:id="794" w:name="_Toc12863"/>
      <w:bookmarkStart w:id="795" w:name="_Toc14019"/>
    </w:p>
    <w:p>
      <w:pPr>
        <w:pStyle w:val="3"/>
        <w:spacing w:before="0" w:beforeLines="0" w:after="0" w:afterLines="0" w:line="360" w:lineRule="auto"/>
        <w:rPr>
          <w:rFonts w:hint="eastAsia" w:ascii="方正仿宋_GBK" w:eastAsia="方正仿宋_GBK"/>
          <w:b/>
          <w:highlight w:val="none"/>
          <w:u w:val="none" w:color="auto"/>
        </w:rPr>
      </w:pPr>
      <w:r>
        <w:rPr>
          <w:rFonts w:hint="eastAsia" w:ascii="方正仿宋_GBK" w:eastAsia="方正仿宋_GBK"/>
          <w:b/>
          <w:highlight w:val="none"/>
          <w:u w:val="none" w:color="auto"/>
        </w:rPr>
        <w:t xml:space="preserve">第七篇  </w:t>
      </w:r>
      <w:r>
        <w:rPr>
          <w:rFonts w:hint="eastAsia" w:ascii="方正仿宋_GBK" w:eastAsia="方正仿宋_GBK"/>
          <w:b/>
          <w:highlight w:val="none"/>
          <w:u w:val="none" w:color="auto"/>
          <w:lang w:eastAsia="zh-CN"/>
        </w:rPr>
        <w:t>电子</w:t>
      </w:r>
      <w:r>
        <w:rPr>
          <w:rFonts w:hint="eastAsia" w:ascii="方正仿宋_GBK" w:eastAsia="方正仿宋_GBK"/>
          <w:b/>
          <w:highlight w:val="none"/>
          <w:u w:val="none" w:color="auto"/>
        </w:rPr>
        <w:t>投标文件格式</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一、经济文件</w:t>
      </w:r>
    </w:p>
    <w:p>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（一）开标一览表</w:t>
      </w:r>
    </w:p>
    <w:p>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（二）分项报价明细表</w:t>
      </w:r>
    </w:p>
    <w:p>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二、技术（质量）文件</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w:t>
      </w:r>
      <w:r>
        <w:rPr>
          <w:rFonts w:hint="eastAsia" w:ascii="方正仿宋_GBK" w:hAnsi="宋体" w:eastAsia="方正仿宋_GBK"/>
          <w:sz w:val="24"/>
          <w:szCs w:val="28"/>
          <w:highlight w:val="none"/>
          <w:u w:val="none" w:color="auto"/>
        </w:rPr>
        <w:t>技术（质量）条款差异表</w:t>
      </w:r>
    </w:p>
    <w:p>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宋体" w:eastAsia="方正仿宋_GBK"/>
          <w:sz w:val="24"/>
          <w:szCs w:val="24"/>
          <w:highlight w:val="none"/>
          <w:u w:val="none" w:color="auto"/>
        </w:rPr>
        <w:t>（二）</w:t>
      </w:r>
      <w:r>
        <w:rPr>
          <w:rFonts w:hint="eastAsia" w:ascii="方正仿宋_GBK" w:hAnsi="宋体" w:eastAsia="方正仿宋_GBK"/>
          <w:sz w:val="24"/>
          <w:szCs w:val="28"/>
          <w:highlight w:val="none"/>
          <w:u w:val="none" w:color="auto"/>
        </w:rPr>
        <w:t>其他技术（质量）资料</w:t>
      </w:r>
    </w:p>
    <w:p>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三、商务文件</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（一）投标函（格式）</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（二）商务条款差异表</w:t>
      </w:r>
    </w:p>
    <w:p>
      <w:pPr>
        <w:snapToGrid w:val="0"/>
        <w:spacing w:line="400" w:lineRule="exact"/>
        <w:ind w:firstLine="480" w:firstLineChars="200"/>
        <w:rPr>
          <w:rFonts w:hint="eastAsia" w:ascii="方正仿宋_GBK" w:hAnsi="仿宋" w:eastAsia="方正仿宋_GBK"/>
          <w:sz w:val="24"/>
          <w:szCs w:val="24"/>
          <w:highlight w:val="none"/>
          <w:u w:val="none" w:color="auto"/>
        </w:rPr>
      </w:pPr>
      <w:r>
        <w:rPr>
          <w:rFonts w:hint="eastAsia" w:ascii="方正仿宋_GBK" w:hAnsi="宋体" w:eastAsia="方正仿宋_GBK"/>
          <w:sz w:val="24"/>
          <w:szCs w:val="24"/>
          <w:highlight w:val="none"/>
          <w:u w:val="none" w:color="auto"/>
        </w:rPr>
        <w:t>（三）其他商务资料</w:t>
      </w:r>
    </w:p>
    <w:p>
      <w:pPr>
        <w:tabs>
          <w:tab w:val="left" w:pos="1764"/>
        </w:tabs>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四、其他</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（一）其他与项目有关的资料（自附）</w:t>
      </w:r>
    </w:p>
    <w:p>
      <w:pPr>
        <w:snapToGrid w:val="0"/>
        <w:spacing w:line="400" w:lineRule="exact"/>
        <w:ind w:firstLine="482" w:firstLineChars="200"/>
        <w:rPr>
          <w:rFonts w:hint="eastAsia" w:ascii="方正仿宋_GBK" w:hAnsi="仿宋" w:eastAsia="方正仿宋_GBK"/>
          <w:b/>
          <w:sz w:val="24"/>
          <w:szCs w:val="24"/>
          <w:highlight w:val="none"/>
          <w:u w:val="none" w:color="auto"/>
        </w:rPr>
      </w:pPr>
      <w:r>
        <w:rPr>
          <w:rFonts w:hint="eastAsia" w:ascii="方正仿宋_GBK" w:hAnsi="仿宋" w:eastAsia="方正仿宋_GBK"/>
          <w:b/>
          <w:sz w:val="24"/>
          <w:szCs w:val="24"/>
          <w:highlight w:val="none"/>
          <w:u w:val="none" w:color="auto"/>
        </w:rPr>
        <w:t>五、资格文件</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（一）法人营业执照（副本）或事业单位法人证书（副本）或个体工商户营业执照或有效的自然人身份证明或社会团体法人登记证书复印件</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（二）法定代表人身份证明书（格式）</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（三）法定代表人授权委托书（格式）</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（四）基本资格条件承诺函（格式）</w:t>
      </w:r>
    </w:p>
    <w:p>
      <w:pPr>
        <w:snapToGrid w:val="0"/>
        <w:spacing w:line="400" w:lineRule="exact"/>
        <w:ind w:firstLine="480" w:firstLineChars="200"/>
        <w:rPr>
          <w:rFonts w:hint="eastAsia" w:ascii="方正仿宋_GBK" w:hAnsi="宋体" w:eastAsia="方正仿宋_GBK"/>
          <w:sz w:val="24"/>
          <w:szCs w:val="24"/>
          <w:highlight w:val="none"/>
          <w:u w:val="none" w:color="auto"/>
        </w:rPr>
      </w:pPr>
      <w:r>
        <w:rPr>
          <w:rFonts w:hint="eastAsia" w:ascii="方正仿宋_GBK" w:hAnsi="宋体" w:eastAsia="方正仿宋_GBK"/>
          <w:sz w:val="24"/>
          <w:szCs w:val="24"/>
          <w:highlight w:val="none"/>
          <w:u w:val="none" w:color="auto"/>
        </w:rPr>
        <w:t>（五）特定资格条件证书或证明文件</w:t>
      </w:r>
    </w:p>
    <w:p>
      <w:pPr>
        <w:snapToGrid w:val="0"/>
        <w:spacing w:line="400" w:lineRule="exact"/>
        <w:ind w:firstLine="480" w:firstLineChars="200"/>
        <w:rPr>
          <w:rFonts w:hint="eastAsia" w:ascii="方正仿宋_GBK" w:hAnsi="宋体" w:eastAsia="方正仿宋_GBK" w:cs="Times New Roman"/>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六</w:t>
      </w:r>
      <w:r>
        <w:rPr>
          <w:rFonts w:hint="eastAsia" w:ascii="方正仿宋_GBK" w:hAnsi="宋体" w:eastAsia="方正仿宋_GBK"/>
          <w:sz w:val="24"/>
          <w:szCs w:val="24"/>
          <w:highlight w:val="none"/>
          <w:u w:val="none" w:color="auto"/>
        </w:rPr>
        <w:t>）</w:t>
      </w:r>
      <w:r>
        <w:rPr>
          <w:rFonts w:hint="eastAsia" w:ascii="方正仿宋_GBK" w:hAnsi="宋体" w:eastAsia="方正仿宋_GBK" w:cs="Times New Roman"/>
          <w:sz w:val="24"/>
          <w:szCs w:val="24"/>
          <w:highlight w:val="none"/>
          <w:u w:val="none" w:color="auto"/>
        </w:rPr>
        <w:t>投标</w:t>
      </w:r>
      <w:r>
        <w:rPr>
          <w:rFonts w:hint="eastAsia" w:ascii="方正仿宋_GBK" w:hAnsi="宋体" w:eastAsia="方正仿宋_GBK" w:cs="Times New Roman"/>
          <w:sz w:val="24"/>
          <w:szCs w:val="24"/>
          <w:highlight w:val="none"/>
          <w:u w:val="none" w:color="auto"/>
          <w:lang w:val="en-US" w:eastAsia="zh-CN"/>
        </w:rPr>
        <w:t>人</w:t>
      </w:r>
      <w:r>
        <w:rPr>
          <w:rFonts w:hint="eastAsia" w:ascii="方正仿宋_GBK" w:hAnsi="宋体" w:eastAsia="方正仿宋_GBK" w:cs="Times New Roman"/>
          <w:sz w:val="24"/>
          <w:szCs w:val="24"/>
          <w:highlight w:val="none"/>
          <w:u w:val="none" w:color="auto"/>
        </w:rPr>
        <w:t>对公账户开户银行许可证或基本存款账户信息（账户与缴纳保证金的账户一致）复印件加盖鲜章；缴纳保证金的凭证复印件加盖鲜章。</w:t>
      </w:r>
    </w:p>
    <w:p>
      <w:pPr>
        <w:snapToGrid w:val="0"/>
        <w:spacing w:line="400" w:lineRule="exact"/>
        <w:ind w:firstLine="480" w:firstLineChars="200"/>
        <w:rPr>
          <w:rFonts w:hint="eastAsia" w:ascii="方正仿宋_GBK" w:hAnsi="宋体" w:eastAsia="方正仿宋_GBK"/>
          <w:sz w:val="24"/>
          <w:szCs w:val="24"/>
          <w:highlight w:val="none"/>
          <w:u w:val="none" w:color="auto"/>
        </w:rPr>
      </w:pPr>
    </w:p>
    <w:p>
      <w:pPr>
        <w:pStyle w:val="4"/>
        <w:pageBreakBefore/>
        <w:spacing w:line="500" w:lineRule="exact"/>
        <w:ind w:firstLine="562" w:firstLineChars="200"/>
        <w:rPr>
          <w:rFonts w:hint="eastAsia" w:ascii="方正仿宋_GBK" w:hAnsi="仿宋" w:eastAsia="方正仿宋_GBK"/>
          <w:b/>
          <w:szCs w:val="28"/>
          <w:highlight w:val="none"/>
          <w:u w:val="none" w:color="auto"/>
        </w:rPr>
      </w:pPr>
      <w:bookmarkStart w:id="796" w:name="_Toc23361"/>
      <w:bookmarkStart w:id="797" w:name="_Toc27612"/>
      <w:bookmarkStart w:id="798" w:name="_Toc31828"/>
      <w:bookmarkStart w:id="799" w:name="_Toc14552"/>
      <w:bookmarkStart w:id="800" w:name="_Toc805438611"/>
      <w:bookmarkStart w:id="801" w:name="_Toc18349"/>
      <w:bookmarkStart w:id="802" w:name="_Toc22899"/>
      <w:bookmarkStart w:id="803" w:name="_Toc429584884"/>
      <w:bookmarkStart w:id="804" w:name="_Toc27943"/>
      <w:bookmarkStart w:id="805" w:name="_Toc29821"/>
      <w:bookmarkStart w:id="806" w:name="_Toc31914"/>
      <w:bookmarkStart w:id="807" w:name="_Toc14568"/>
      <w:bookmarkStart w:id="808" w:name="_Toc10124"/>
      <w:bookmarkStart w:id="809" w:name="_Toc13547"/>
      <w:bookmarkStart w:id="810" w:name="_Toc25659"/>
      <w:bookmarkStart w:id="811" w:name="_Toc6491"/>
      <w:bookmarkStart w:id="812" w:name="_Toc28601"/>
      <w:bookmarkStart w:id="813" w:name="_Toc21561"/>
      <w:bookmarkStart w:id="814" w:name="_Toc106030417"/>
      <w:bookmarkStart w:id="815" w:name="_Toc75793540"/>
      <w:bookmarkStart w:id="816" w:name="_Toc15893"/>
      <w:r>
        <w:rPr>
          <w:rFonts w:hint="eastAsia" w:ascii="方正仿宋_GBK" w:hAnsi="仿宋" w:eastAsia="方正仿宋_GBK"/>
          <w:b/>
          <w:szCs w:val="28"/>
          <w:highlight w:val="none"/>
          <w:u w:val="none" w:color="auto"/>
        </w:rPr>
        <w:t>一、经济文件</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pPr>
        <w:snapToGrid w:val="0"/>
        <w:spacing w:line="500" w:lineRule="exact"/>
        <w:jc w:val="center"/>
        <w:rPr>
          <w:rFonts w:hint="eastAsia" w:ascii="方正仿宋_GBK" w:hAnsi="宋体" w:eastAsia="方正仿宋_GBK"/>
          <w:szCs w:val="36"/>
          <w:highlight w:val="none"/>
          <w:u w:val="none" w:color="auto"/>
        </w:rPr>
      </w:pPr>
      <w:r>
        <w:rPr>
          <w:rFonts w:hint="eastAsia" w:ascii="方正仿宋_GBK" w:hAnsi="宋体" w:eastAsia="方正仿宋_GBK"/>
          <w:szCs w:val="36"/>
          <w:highlight w:val="none"/>
          <w:u w:val="none" w:color="auto"/>
        </w:rPr>
        <w:t>（一）开标一览表</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148"/>
        <w:gridCol w:w="932"/>
        <w:gridCol w:w="4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trPr>
        <w:tc>
          <w:tcPr>
            <w:tcW w:w="1788" w:type="dxa"/>
            <w:noWrap w:val="0"/>
            <w:vAlign w:val="center"/>
          </w:tcPr>
          <w:p>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投标人名称</w:t>
            </w:r>
          </w:p>
        </w:tc>
        <w:tc>
          <w:tcPr>
            <w:tcW w:w="7840" w:type="dxa"/>
            <w:gridSpan w:val="3"/>
            <w:noWrap w:val="0"/>
            <w:vAlign w:val="center"/>
          </w:tcPr>
          <w:p>
            <w:pPr>
              <w:spacing w:line="500" w:lineRule="exact"/>
              <w:jc w:val="center"/>
              <w:rPr>
                <w:rFonts w:hint="eastAsia" w:ascii="方正仿宋_GBK" w:hAnsi="宋体" w:eastAsia="方正仿宋_GBK"/>
                <w:sz w:val="21"/>
                <w:szCs w:val="28"/>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9" w:hRule="atLeast"/>
        </w:trPr>
        <w:tc>
          <w:tcPr>
            <w:tcW w:w="3936" w:type="dxa"/>
            <w:gridSpan w:val="2"/>
            <w:noWrap w:val="0"/>
            <w:vAlign w:val="center"/>
          </w:tcPr>
          <w:p>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lang w:val="en-US" w:eastAsia="zh-CN"/>
              </w:rPr>
              <w:t>项目</w:t>
            </w:r>
            <w:r>
              <w:rPr>
                <w:rFonts w:hint="eastAsia" w:ascii="方正仿宋_GBK" w:hAnsi="宋体" w:eastAsia="方正仿宋_GBK"/>
                <w:sz w:val="21"/>
                <w:szCs w:val="28"/>
                <w:highlight w:val="none"/>
                <w:u w:val="none" w:color="auto"/>
              </w:rPr>
              <w:t>名称</w:t>
            </w:r>
          </w:p>
        </w:tc>
        <w:tc>
          <w:tcPr>
            <w:tcW w:w="932" w:type="dxa"/>
            <w:noWrap w:val="0"/>
            <w:vAlign w:val="center"/>
          </w:tcPr>
          <w:p>
            <w:pPr>
              <w:spacing w:line="500" w:lineRule="exact"/>
              <w:jc w:val="center"/>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数量</w:t>
            </w:r>
          </w:p>
        </w:tc>
        <w:tc>
          <w:tcPr>
            <w:tcW w:w="4760" w:type="dxa"/>
            <w:noWrap w:val="0"/>
            <w:vAlign w:val="center"/>
          </w:tcPr>
          <w:p>
            <w:pPr>
              <w:spacing w:line="500" w:lineRule="exact"/>
              <w:jc w:val="center"/>
              <w:rPr>
                <w:rFonts w:hint="eastAsia" w:ascii="方正仿宋_GBK" w:hAnsi="宋体" w:eastAsia="方正仿宋_GBK"/>
                <w:sz w:val="21"/>
                <w:szCs w:val="28"/>
                <w:highlight w:val="none"/>
                <w:u w:val="none" w:color="auto"/>
              </w:rPr>
            </w:pPr>
            <w:r>
              <w:rPr>
                <w:rFonts w:hint="eastAsia" w:ascii="方正仿宋_GBK" w:hAnsi="方正仿宋_GBK" w:eastAsia="方正仿宋_GBK"/>
                <w:sz w:val="21"/>
                <w:szCs w:val="28"/>
                <w:highlight w:val="none"/>
                <w:u w:val="none" w:color="auto"/>
              </w:rPr>
              <w:t>投标报价（小写）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rPr>
        <w:tc>
          <w:tcPr>
            <w:tcW w:w="3936" w:type="dxa"/>
            <w:gridSpan w:val="2"/>
            <w:tcBorders>
              <w:bottom w:val="single" w:color="auto" w:sz="4" w:space="0"/>
            </w:tcBorders>
            <w:noWrap w:val="0"/>
            <w:vAlign w:val="center"/>
          </w:tcPr>
          <w:p>
            <w:pPr>
              <w:spacing w:line="500" w:lineRule="exact"/>
              <w:rPr>
                <w:rFonts w:hint="eastAsia" w:ascii="方正仿宋_GBK" w:hAnsi="宋体" w:eastAsia="方正仿宋_GBK"/>
                <w:sz w:val="21"/>
                <w:szCs w:val="28"/>
                <w:highlight w:val="none"/>
                <w:u w:val="none" w:color="auto"/>
              </w:rPr>
            </w:pPr>
          </w:p>
        </w:tc>
        <w:tc>
          <w:tcPr>
            <w:tcW w:w="932" w:type="dxa"/>
            <w:tcBorders>
              <w:bottom w:val="single" w:color="auto" w:sz="4" w:space="0"/>
            </w:tcBorders>
            <w:noWrap w:val="0"/>
            <w:vAlign w:val="top"/>
          </w:tcPr>
          <w:p>
            <w:pPr>
              <w:spacing w:line="500" w:lineRule="exact"/>
              <w:rPr>
                <w:rFonts w:hint="eastAsia" w:ascii="方正仿宋_GBK" w:hAnsi="宋体" w:eastAsia="方正仿宋_GBK"/>
                <w:sz w:val="21"/>
                <w:szCs w:val="28"/>
                <w:highlight w:val="none"/>
                <w:u w:val="none" w:color="auto"/>
              </w:rPr>
            </w:pPr>
          </w:p>
        </w:tc>
        <w:tc>
          <w:tcPr>
            <w:tcW w:w="4760" w:type="dxa"/>
            <w:tcBorders>
              <w:bottom w:val="single" w:color="auto" w:sz="4" w:space="0"/>
            </w:tcBorders>
            <w:noWrap w:val="0"/>
            <w:vAlign w:val="top"/>
          </w:tcPr>
          <w:p>
            <w:pPr>
              <w:spacing w:line="500" w:lineRule="exact"/>
              <w:rPr>
                <w:rFonts w:hint="eastAsia" w:ascii="方正仿宋_GBK" w:hAnsi="宋体" w:eastAsia="方正仿宋_GBK"/>
                <w:sz w:val="21"/>
                <w:szCs w:val="28"/>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noWrap w:val="0"/>
            <w:vAlign w:val="center"/>
          </w:tcPr>
          <w:p>
            <w:pPr>
              <w:spacing w:line="560" w:lineRule="exact"/>
              <w:rPr>
                <w:rFonts w:hint="eastAsia" w:ascii="方正仿宋_GBK" w:hAnsi="宋体" w:eastAsia="方正仿宋_GBK"/>
                <w:sz w:val="21"/>
                <w:szCs w:val="28"/>
                <w:highlight w:val="none"/>
                <w:u w:val="none" w:color="auto"/>
              </w:rPr>
            </w:pPr>
            <w:r>
              <w:rPr>
                <w:rFonts w:hint="eastAsia" w:ascii="方正仿宋_GBK" w:hAnsi="宋体" w:eastAsia="方正仿宋_GBK"/>
                <w:sz w:val="21"/>
                <w:szCs w:val="28"/>
                <w:highlight w:val="none"/>
                <w:u w:val="none" w:color="auto"/>
              </w:rPr>
              <w:t xml:space="preserve">投标报价（大写）：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9628" w:type="dxa"/>
            <w:gridSpan w:val="4"/>
            <w:noWrap w:val="0"/>
            <w:vAlign w:val="center"/>
          </w:tcPr>
          <w:p>
            <w:pPr>
              <w:pStyle w:val="34"/>
              <w:spacing w:line="500" w:lineRule="exact"/>
              <w:rPr>
                <w:rFonts w:hint="eastAsia" w:ascii="方正仿宋_GBK" w:hAnsi="宋体" w:eastAsia="方正仿宋_GBK"/>
                <w:sz w:val="21"/>
                <w:szCs w:val="28"/>
                <w:highlight w:val="none"/>
                <w:u w:val="none" w:color="auto"/>
              </w:rPr>
            </w:pPr>
            <w:r>
              <w:rPr>
                <w:rFonts w:hint="eastAsia" w:ascii="方正仿宋_GBK" w:hAnsi="仿宋" w:eastAsia="方正仿宋_GBK"/>
                <w:sz w:val="21"/>
                <w:szCs w:val="28"/>
                <w:highlight w:val="none"/>
                <w:u w:val="none" w:color="auto"/>
              </w:rPr>
              <w:t>备注：</w:t>
            </w:r>
          </w:p>
        </w:tc>
      </w:tr>
    </w:tbl>
    <w:p>
      <w:pPr>
        <w:pStyle w:val="34"/>
        <w:spacing w:line="500" w:lineRule="exact"/>
        <w:rPr>
          <w:rFonts w:hint="eastAsia" w:ascii="方正仿宋_GBK" w:hAnsi="宋体" w:eastAsia="方正仿宋_GBK"/>
          <w:sz w:val="24"/>
          <w:szCs w:val="28"/>
          <w:highlight w:val="none"/>
          <w:u w:val="none" w:color="auto"/>
        </w:rPr>
      </w:pPr>
    </w:p>
    <w:p>
      <w:pPr>
        <w:rPr>
          <w:rFonts w:hint="eastAsia" w:ascii="方正仿宋_GBK" w:eastAsia="方正仿宋_GBK"/>
          <w:highlight w:val="none"/>
          <w:u w:val="none" w:color="auto"/>
        </w:rPr>
      </w:pPr>
    </w:p>
    <w:p>
      <w:pPr>
        <w:spacing w:line="500" w:lineRule="exact"/>
        <w:rPr>
          <w:rFonts w:hint="eastAsia" w:ascii="方正仿宋_GBK" w:hAnsi="宋体" w:eastAsia="方正仿宋_GBK"/>
          <w:sz w:val="24"/>
          <w:szCs w:val="28"/>
          <w:highlight w:val="none"/>
          <w:u w:val="none" w:color="auto"/>
        </w:rPr>
      </w:pPr>
    </w:p>
    <w:p>
      <w:pPr>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投标人：                      法定代表人（或法定代表人授权代表）或自然人：</w:t>
      </w:r>
    </w:p>
    <w:p>
      <w:pPr>
        <w:spacing w:line="500" w:lineRule="exact"/>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 xml:space="preserve">  （投标人公章）                               （签署或盖章）</w:t>
      </w:r>
    </w:p>
    <w:p>
      <w:pPr>
        <w:spacing w:line="500" w:lineRule="exact"/>
        <w:rPr>
          <w:rFonts w:hint="eastAsia" w:ascii="方正仿宋_GBK" w:hAnsi="宋体" w:eastAsia="方正仿宋_GBK"/>
          <w:sz w:val="24"/>
          <w:szCs w:val="28"/>
          <w:highlight w:val="none"/>
          <w:u w:val="none" w:color="auto"/>
        </w:rPr>
      </w:pPr>
    </w:p>
    <w:p>
      <w:pPr>
        <w:spacing w:line="500" w:lineRule="exact"/>
        <w:rPr>
          <w:rFonts w:hint="eastAsia" w:ascii="方正仿宋_GBK" w:hAnsi="宋体" w:eastAsia="方正仿宋_GBK"/>
          <w:sz w:val="24"/>
          <w:szCs w:val="28"/>
          <w:highlight w:val="none"/>
          <w:u w:val="none" w:color="auto"/>
        </w:rPr>
      </w:pPr>
    </w:p>
    <w:p>
      <w:pPr>
        <w:spacing w:line="500" w:lineRule="exact"/>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 xml:space="preserve">                                            年     月     日</w:t>
      </w:r>
    </w:p>
    <w:p>
      <w:pPr>
        <w:snapToGrid w:val="0"/>
        <w:spacing w:line="500" w:lineRule="exact"/>
        <w:ind w:firstLine="480" w:firstLineChars="200"/>
        <w:rPr>
          <w:rFonts w:hint="eastAsia" w:ascii="方正仿宋_GBK" w:hAnsi="宋体" w:eastAsia="方正仿宋_GBK"/>
          <w:sz w:val="24"/>
          <w:szCs w:val="28"/>
          <w:highlight w:val="none"/>
          <w:u w:val="none" w:color="auto"/>
        </w:rPr>
      </w:pPr>
    </w:p>
    <w:p>
      <w:pPr>
        <w:snapToGrid w:val="0"/>
        <w:spacing w:line="500" w:lineRule="exact"/>
        <w:ind w:firstLine="480" w:firstLineChars="200"/>
        <w:rPr>
          <w:rFonts w:hint="eastAsia" w:ascii="方正仿宋_GBK" w:hAnsi="宋体" w:eastAsia="方正仿宋_GBK"/>
          <w:sz w:val="24"/>
          <w:szCs w:val="28"/>
          <w:highlight w:val="none"/>
          <w:u w:val="none" w:color="auto"/>
        </w:rPr>
      </w:pPr>
    </w:p>
    <w:p>
      <w:pPr>
        <w:snapToGrid w:val="0"/>
        <w:spacing w:line="500" w:lineRule="exact"/>
        <w:ind w:firstLine="480" w:firstLineChars="200"/>
        <w:rPr>
          <w:rFonts w:hint="eastAsia" w:ascii="方正仿宋_GBK" w:hAnsi="宋体" w:eastAsia="方正仿宋_GBK"/>
          <w:sz w:val="24"/>
          <w:szCs w:val="28"/>
          <w:highlight w:val="none"/>
          <w:u w:val="none" w:color="auto"/>
        </w:rPr>
      </w:pPr>
    </w:p>
    <w:p>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说明：</w:t>
      </w:r>
    </w:p>
    <w:p>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1.开标一览表按格式填列；</w:t>
      </w:r>
    </w:p>
    <w:p>
      <w:pPr>
        <w:snapToGrid w:val="0"/>
        <w:spacing w:line="5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2.开标一览表在开标大会上当众宣读，务必填写清楚，准确无误；</w:t>
      </w:r>
    </w:p>
    <w:p>
      <w:pPr>
        <w:snapToGrid w:val="0"/>
        <w:spacing w:line="400" w:lineRule="exact"/>
        <w:ind w:firstLine="560" w:firstLineChars="200"/>
        <w:rPr>
          <w:rFonts w:hint="eastAsia" w:ascii="方正仿宋_GBK" w:hAnsi="宋体" w:eastAsia="方正仿宋_GBK"/>
          <w:b/>
          <w:bCs/>
          <w:sz w:val="24"/>
          <w:szCs w:val="28"/>
          <w:highlight w:val="none"/>
          <w:u w:val="none" w:color="auto"/>
        </w:rPr>
      </w:pPr>
      <w:r>
        <w:rPr>
          <w:rFonts w:hint="eastAsia" w:ascii="方正仿宋_GBK" w:eastAsia="方正仿宋_GBK"/>
          <w:szCs w:val="28"/>
          <w:highlight w:val="none"/>
          <w:u w:val="none" w:color="auto"/>
        </w:rPr>
        <w:br w:type="page"/>
      </w:r>
      <w:r>
        <w:rPr>
          <w:rFonts w:hint="eastAsia" w:ascii="方正仿宋_GBK" w:hAnsi="宋体" w:eastAsia="方正仿宋_GBK"/>
          <w:sz w:val="24"/>
          <w:szCs w:val="28"/>
          <w:highlight w:val="none"/>
          <w:u w:val="none" w:color="auto"/>
        </w:rPr>
        <w:t>（二）分项报价明细表</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                                           单位：元</w:t>
      </w:r>
    </w:p>
    <w:tbl>
      <w:tblPr>
        <w:tblStyle w:val="60"/>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934"/>
        <w:gridCol w:w="2474"/>
        <w:gridCol w:w="1242"/>
        <w:gridCol w:w="1242"/>
        <w:gridCol w:w="934"/>
        <w:gridCol w:w="934"/>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exact"/>
          <w:jc w:val="center"/>
        </w:trPr>
        <w:tc>
          <w:tcPr>
            <w:tcW w:w="934"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序号</w:t>
            </w:r>
          </w:p>
        </w:tc>
        <w:tc>
          <w:tcPr>
            <w:tcW w:w="934"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名称</w:t>
            </w:r>
          </w:p>
        </w:tc>
        <w:tc>
          <w:tcPr>
            <w:tcW w:w="2474"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品牌、规格型号</w:t>
            </w:r>
          </w:p>
        </w:tc>
        <w:tc>
          <w:tcPr>
            <w:tcW w:w="1242"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制造商</w:t>
            </w:r>
          </w:p>
        </w:tc>
        <w:tc>
          <w:tcPr>
            <w:tcW w:w="1242"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生产地</w:t>
            </w:r>
          </w:p>
        </w:tc>
        <w:tc>
          <w:tcPr>
            <w:tcW w:w="934"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数量</w:t>
            </w:r>
          </w:p>
        </w:tc>
        <w:tc>
          <w:tcPr>
            <w:tcW w:w="934"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单价</w:t>
            </w:r>
          </w:p>
        </w:tc>
        <w:tc>
          <w:tcPr>
            <w:tcW w:w="934" w:type="dxa"/>
            <w:noWrap w:val="0"/>
            <w:vAlign w:val="center"/>
          </w:tcPr>
          <w:p>
            <w:pPr>
              <w:jc w:val="center"/>
              <w:rPr>
                <w:rFonts w:hint="eastAsia" w:ascii="方正仿宋_GBK" w:hAnsi="仿宋" w:eastAsia="方正仿宋_GBK"/>
                <w:b/>
                <w:sz w:val="21"/>
                <w:szCs w:val="21"/>
                <w:highlight w:val="none"/>
                <w:u w:val="none" w:color="auto"/>
              </w:rPr>
            </w:pPr>
            <w:r>
              <w:rPr>
                <w:rFonts w:hint="eastAsia" w:ascii="方正仿宋_GBK" w:hAnsi="仿宋" w:eastAsia="方正仿宋_GBK"/>
                <w:b/>
                <w:sz w:val="21"/>
                <w:szCs w:val="21"/>
                <w:highlight w:val="none"/>
                <w:u w:val="none" w:color="auto"/>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2</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3</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4</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5</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6</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7</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8</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9</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10</w:t>
            </w: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top"/>
          </w:tcPr>
          <w:p>
            <w:pPr>
              <w:jc w:val="center"/>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11</w:t>
            </w:r>
          </w:p>
        </w:tc>
        <w:tc>
          <w:tcPr>
            <w:tcW w:w="934" w:type="dxa"/>
            <w:noWrap w:val="0"/>
            <w:vAlign w:val="center"/>
          </w:tcPr>
          <w:p>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w:t>
            </w:r>
          </w:p>
        </w:tc>
        <w:tc>
          <w:tcPr>
            <w:tcW w:w="2474"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1242" w:type="dxa"/>
            <w:noWrap w:val="0"/>
            <w:vAlign w:val="top"/>
          </w:tcPr>
          <w:p>
            <w:pPr>
              <w:jc w:val="center"/>
              <w:rPr>
                <w:rFonts w:hint="eastAsia" w:ascii="方正仿宋_GBK" w:hAnsi="仿宋" w:eastAsia="方正仿宋_GBK"/>
                <w:sz w:val="21"/>
                <w:szCs w:val="21"/>
                <w:highlight w:val="none"/>
                <w:u w:val="none" w:color="auto"/>
              </w:rPr>
            </w:pPr>
          </w:p>
        </w:tc>
        <w:tc>
          <w:tcPr>
            <w:tcW w:w="934" w:type="dxa"/>
            <w:noWrap w:val="0"/>
            <w:vAlign w:val="center"/>
          </w:tcPr>
          <w:p>
            <w:pPr>
              <w:jc w:val="center"/>
              <w:rPr>
                <w:rFonts w:hint="default" w:ascii="方正仿宋_GBK" w:hAnsi="仿宋" w:eastAsia="方正仿宋_GBK"/>
                <w:sz w:val="21"/>
                <w:szCs w:val="21"/>
                <w:highlight w:val="none"/>
                <w:u w:val="none" w:color="auto"/>
                <w:lang w:val="en-US" w:eastAsia="zh-CN"/>
              </w:rPr>
            </w:pPr>
            <w:r>
              <w:rPr>
                <w:rFonts w:hint="eastAsia" w:ascii="方正仿宋_GBK" w:hAnsi="仿宋" w:eastAsia="方正仿宋_GBK"/>
                <w:sz w:val="21"/>
                <w:szCs w:val="21"/>
                <w:highlight w:val="none"/>
                <w:u w:val="none" w:color="auto"/>
                <w:lang w:val="en-US" w:eastAsia="zh-CN"/>
              </w:rPr>
              <w:t>...</w:t>
            </w:r>
          </w:p>
        </w:tc>
        <w:tc>
          <w:tcPr>
            <w:tcW w:w="934" w:type="dxa"/>
            <w:noWrap w:val="0"/>
            <w:vAlign w:val="top"/>
          </w:tcPr>
          <w:p>
            <w:pPr>
              <w:jc w:val="center"/>
              <w:rPr>
                <w:rFonts w:hint="default" w:ascii="方正仿宋_GBK" w:hAnsi="仿宋" w:eastAsia="方正仿宋_GBK"/>
                <w:sz w:val="21"/>
                <w:szCs w:val="21"/>
                <w:highlight w:val="none"/>
                <w:u w:val="none" w:color="auto"/>
                <w:lang w:val="en-US" w:eastAsia="zh-CN"/>
              </w:rPr>
            </w:pPr>
            <w:r>
              <w:rPr>
                <w:rFonts w:hint="eastAsia" w:ascii="方正仿宋_GBK" w:hAnsi="仿宋" w:eastAsia="方正仿宋_GBK"/>
                <w:sz w:val="21"/>
                <w:szCs w:val="21"/>
                <w:highlight w:val="none"/>
                <w:u w:val="none" w:color="auto"/>
                <w:lang w:val="en-US" w:eastAsia="zh-CN"/>
              </w:rPr>
              <w:t>...</w:t>
            </w:r>
          </w:p>
        </w:tc>
        <w:tc>
          <w:tcPr>
            <w:tcW w:w="934" w:type="dxa"/>
            <w:noWrap w:val="0"/>
            <w:vAlign w:val="top"/>
          </w:tcPr>
          <w:p>
            <w:pPr>
              <w:jc w:val="center"/>
              <w:rPr>
                <w:rFonts w:hint="default" w:ascii="方正仿宋_GBK" w:hAnsi="仿宋" w:eastAsia="方正仿宋_GBK"/>
                <w:sz w:val="21"/>
                <w:szCs w:val="21"/>
                <w:highlight w:val="none"/>
                <w:u w:val="none" w:color="auto"/>
                <w:lang w:val="en-US" w:eastAsia="zh-CN"/>
              </w:rPr>
            </w:pPr>
            <w:r>
              <w:rPr>
                <w:rFonts w:hint="eastAsia" w:ascii="方正仿宋_GBK" w:hAnsi="仿宋" w:eastAsia="方正仿宋_GBK"/>
                <w:sz w:val="21"/>
                <w:szCs w:val="21"/>
                <w:highlight w:val="none"/>
                <w:u w:val="none" w:color="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934" w:type="dxa"/>
            <w:noWrap w:val="0"/>
            <w:vAlign w:val="center"/>
          </w:tcPr>
          <w:p>
            <w:pPr>
              <w:pStyle w:val="25"/>
              <w:spacing w:line="240" w:lineRule="auto"/>
              <w:ind w:left="0"/>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12</w:t>
            </w:r>
          </w:p>
        </w:tc>
        <w:tc>
          <w:tcPr>
            <w:tcW w:w="934" w:type="dxa"/>
            <w:noWrap w:val="0"/>
            <w:vAlign w:val="center"/>
          </w:tcPr>
          <w:p>
            <w:pPr>
              <w:jc w:val="center"/>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总计</w:t>
            </w:r>
          </w:p>
        </w:tc>
        <w:tc>
          <w:tcPr>
            <w:tcW w:w="7760" w:type="dxa"/>
            <w:gridSpan w:val="6"/>
            <w:noWrap w:val="0"/>
            <w:vAlign w:val="top"/>
          </w:tcPr>
          <w:p>
            <w:pPr>
              <w:rPr>
                <w:rFonts w:hint="eastAsia" w:ascii="方正仿宋_GBK" w:hAnsi="仿宋" w:eastAsia="方正仿宋_GBK"/>
                <w:sz w:val="21"/>
                <w:szCs w:val="21"/>
                <w:highlight w:val="none"/>
                <w:u w:val="none" w:color="auto"/>
              </w:rPr>
            </w:pPr>
          </w:p>
        </w:tc>
      </w:tr>
    </w:tbl>
    <w:p>
      <w:pPr>
        <w:spacing w:line="500" w:lineRule="exact"/>
        <w:ind w:firstLine="600" w:firstLineChars="250"/>
        <w:rPr>
          <w:rFonts w:hint="eastAsia" w:ascii="方正仿宋_GBK" w:hAnsi="仿宋" w:eastAsia="方正仿宋_GBK"/>
          <w:sz w:val="24"/>
          <w:szCs w:val="28"/>
          <w:highlight w:val="none"/>
          <w:u w:val="none" w:color="auto"/>
        </w:rPr>
      </w:pPr>
    </w:p>
    <w:p>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投标人：                       </w:t>
      </w:r>
      <w:r>
        <w:rPr>
          <w:rFonts w:hint="eastAsia" w:ascii="方正仿宋_GBK" w:hAnsi="宋体" w:eastAsia="方正仿宋_GBK"/>
          <w:sz w:val="24"/>
          <w:szCs w:val="28"/>
          <w:highlight w:val="none"/>
          <w:u w:val="none" w:color="auto"/>
        </w:rPr>
        <w:t>法定代表人（或法定代表人授权代表）或自然人：</w:t>
      </w:r>
    </w:p>
    <w:p>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（投标人公章）                               （签署或盖章）</w:t>
      </w:r>
    </w:p>
    <w:p>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年     月     日</w:t>
      </w:r>
    </w:p>
    <w:p>
      <w:pPr>
        <w:snapToGrid w:val="0"/>
        <w:spacing w:line="500" w:lineRule="exact"/>
        <w:ind w:firstLine="480" w:firstLineChars="200"/>
        <w:rPr>
          <w:rFonts w:hint="eastAsia" w:ascii="方正仿宋_GBK" w:hAnsi="仿宋" w:eastAsia="方正仿宋_GBK"/>
          <w:sz w:val="24"/>
          <w:szCs w:val="28"/>
          <w:highlight w:val="none"/>
          <w:u w:val="none" w:color="auto"/>
        </w:rPr>
      </w:pPr>
    </w:p>
    <w:p>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注：</w:t>
      </w:r>
    </w:p>
    <w:p>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1.请投标人完整填写本表；</w:t>
      </w:r>
    </w:p>
    <w:p>
      <w:pPr>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2.该表可扩展。</w:t>
      </w:r>
    </w:p>
    <w:p>
      <w:pPr>
        <w:snapToGrid w:val="0"/>
        <w:spacing w:line="500" w:lineRule="exact"/>
        <w:ind w:firstLine="480" w:firstLineChars="200"/>
        <w:rPr>
          <w:rFonts w:hint="eastAsia" w:ascii="方正仿宋_GBK" w:hAnsi="仿宋" w:eastAsia="方正仿宋_GBK"/>
          <w:sz w:val="24"/>
          <w:szCs w:val="28"/>
          <w:highlight w:val="none"/>
          <w:u w:val="none" w:color="auto"/>
        </w:rPr>
      </w:pPr>
    </w:p>
    <w:p>
      <w:pPr>
        <w:pStyle w:val="4"/>
        <w:pageBreakBefore/>
        <w:spacing w:line="500" w:lineRule="exact"/>
        <w:ind w:firstLine="562" w:firstLineChars="200"/>
        <w:rPr>
          <w:rFonts w:hint="eastAsia" w:ascii="方正仿宋_GBK" w:hAnsi="仿宋" w:eastAsia="方正仿宋_GBK"/>
          <w:b/>
          <w:szCs w:val="28"/>
          <w:highlight w:val="none"/>
          <w:u w:val="none" w:color="auto"/>
        </w:rPr>
      </w:pPr>
      <w:bookmarkStart w:id="817" w:name="_Toc27782"/>
      <w:bookmarkStart w:id="818" w:name="_Toc15891"/>
      <w:bookmarkStart w:id="819" w:name="_Toc23774"/>
      <w:bookmarkStart w:id="820" w:name="_Toc21779"/>
      <w:bookmarkStart w:id="821" w:name="_Toc15573"/>
      <w:bookmarkStart w:id="822" w:name="_Toc1256664133"/>
      <w:bookmarkStart w:id="823" w:name="_Toc12770"/>
      <w:bookmarkStart w:id="824" w:name="_Toc6213"/>
      <w:bookmarkStart w:id="825" w:name="_Toc106030418"/>
      <w:bookmarkStart w:id="826" w:name="_Toc3224"/>
      <w:bookmarkStart w:id="827" w:name="_Toc26723"/>
      <w:bookmarkStart w:id="828" w:name="_Toc29441"/>
      <w:bookmarkStart w:id="829" w:name="_Toc11188"/>
      <w:bookmarkStart w:id="830" w:name="_Toc5166"/>
      <w:bookmarkStart w:id="831" w:name="_Toc75793541"/>
      <w:bookmarkStart w:id="832" w:name="_Toc1842"/>
      <w:bookmarkStart w:id="833" w:name="_Toc3836"/>
      <w:bookmarkStart w:id="834" w:name="_Toc2386"/>
      <w:bookmarkStart w:id="835" w:name="_Toc7244"/>
      <w:bookmarkStart w:id="836" w:name="_Toc493178790"/>
      <w:bookmarkStart w:id="837" w:name="_Toc2784"/>
      <w:bookmarkStart w:id="838" w:name="_Toc13820"/>
      <w:bookmarkStart w:id="839" w:name="_Toc21203"/>
      <w:bookmarkStart w:id="840" w:name="_Toc14980"/>
      <w:bookmarkStart w:id="841" w:name="_Toc31344"/>
      <w:r>
        <w:rPr>
          <w:rFonts w:hint="eastAsia" w:ascii="方正仿宋_GBK" w:hAnsi="仿宋" w:eastAsia="方正仿宋_GBK"/>
          <w:b/>
          <w:szCs w:val="28"/>
          <w:highlight w:val="none"/>
          <w:u w:val="none" w:color="auto"/>
        </w:rPr>
        <w:t>二、技术（质量）文件</w:t>
      </w:r>
      <w:bookmarkEnd w:id="817"/>
      <w:bookmarkEnd w:id="818"/>
      <w:bookmarkEnd w:id="819"/>
      <w:bookmarkEnd w:id="820"/>
      <w:bookmarkEnd w:id="821"/>
      <w:bookmarkEnd w:id="822"/>
      <w:bookmarkEnd w:id="823"/>
      <w:bookmarkEnd w:id="824"/>
      <w:bookmarkEnd w:id="825"/>
      <w:bookmarkEnd w:id="826"/>
    </w:p>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Pr>
        <w:ind w:firstLine="480"/>
        <w:jc w:val="left"/>
        <w:rPr>
          <w:rFonts w:hint="eastAsia" w:ascii="方正仿宋_GBK" w:hAnsi="仿宋" w:eastAsia="方正仿宋_GBK"/>
          <w:b/>
          <w:szCs w:val="28"/>
          <w:highlight w:val="none"/>
          <w:u w:val="none" w:color="auto"/>
        </w:rPr>
      </w:pP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（一）技术（质量）条款差异表</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60"/>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序号</w:t>
            </w: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招标要求</w:t>
            </w: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投标应答</w:t>
            </w: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outlineLvl w:val="0"/>
              <w:rPr>
                <w:rFonts w:hint="eastAsia" w:ascii="方正仿宋_GBK" w:hAnsi="仿宋" w:eastAsia="方正仿宋_GBK"/>
                <w:sz w:val="21"/>
                <w:szCs w:val="21"/>
                <w:highlight w:val="none"/>
                <w:u w:val="none" w:color="auto"/>
              </w:rPr>
            </w:pPr>
            <w:r>
              <w:rPr>
                <w:rFonts w:ascii="方正仿宋_GBK" w:hAnsi="仿宋" w:eastAsia="方正仿宋_GBK"/>
                <w:sz w:val="21"/>
                <w:szCs w:val="21"/>
                <w:highlight w:val="none"/>
                <w:u w:val="none" w:color="auto"/>
              </w:rPr>
              <w:t>提醒</w:t>
            </w:r>
            <w:r>
              <w:rPr>
                <w:rFonts w:hint="eastAsia" w:ascii="方正仿宋_GBK" w:hAnsi="仿宋" w:eastAsia="方正仿宋_GBK"/>
                <w:sz w:val="21"/>
                <w:szCs w:val="21"/>
                <w:highlight w:val="none"/>
                <w:u w:val="none" w:color="auto"/>
              </w:rPr>
              <w:t>：</w:t>
            </w:r>
            <w:r>
              <w:rPr>
                <w:rFonts w:ascii="方正仿宋_GBK" w:hAnsi="仿宋" w:eastAsia="方正仿宋_GBK"/>
                <w:sz w:val="21"/>
                <w:szCs w:val="21"/>
                <w:highlight w:val="none"/>
                <w:u w:val="none" w:color="auto"/>
              </w:rPr>
              <w:t>请注明</w:t>
            </w:r>
            <w:r>
              <w:rPr>
                <w:rFonts w:hint="eastAsia" w:ascii="方正仿宋_GBK" w:hAnsi="仿宋" w:eastAsia="方正仿宋_GBK"/>
                <w:sz w:val="21"/>
                <w:szCs w:val="21"/>
                <w:highlight w:val="none"/>
                <w:u w:val="none" w:color="auto"/>
              </w:rPr>
              <w:t>技术</w:t>
            </w:r>
            <w:r>
              <w:rPr>
                <w:rFonts w:ascii="方正仿宋_GBK" w:hAnsi="仿宋" w:eastAsia="方正仿宋_GBK"/>
                <w:sz w:val="21"/>
                <w:szCs w:val="21"/>
                <w:highlight w:val="none"/>
                <w:u w:val="none" w:color="auto"/>
              </w:rPr>
              <w:t>参数或具体内容以及</w:t>
            </w:r>
            <w:r>
              <w:rPr>
                <w:rFonts w:hint="eastAsia" w:ascii="方正仿宋_GBK" w:hAnsi="仿宋" w:eastAsia="方正仿宋_GBK"/>
                <w:sz w:val="21"/>
                <w:szCs w:val="21"/>
                <w:highlight w:val="none"/>
                <w:u w:val="none" w:color="auto"/>
              </w:rPr>
              <w:t>投标文件</w:t>
            </w:r>
            <w:r>
              <w:rPr>
                <w:rFonts w:ascii="方正仿宋_GBK" w:hAnsi="仿宋" w:eastAsia="方正仿宋_GBK"/>
                <w:sz w:val="21"/>
                <w:szCs w:val="21"/>
                <w:highlight w:val="none"/>
                <w:u w:val="none" w:color="auto"/>
              </w:rPr>
              <w:t>中</w:t>
            </w:r>
            <w:r>
              <w:rPr>
                <w:rFonts w:hint="eastAsia" w:ascii="方正仿宋_GBK" w:hAnsi="仿宋" w:eastAsia="方正仿宋_GBK"/>
                <w:sz w:val="21"/>
                <w:szCs w:val="21"/>
                <w:highlight w:val="none"/>
                <w:u w:val="none" w:color="auto"/>
              </w:rPr>
              <w:t>技术</w:t>
            </w:r>
            <w:r>
              <w:rPr>
                <w:rFonts w:ascii="方正仿宋_GBK" w:hAnsi="仿宋" w:eastAsia="方正仿宋_GBK"/>
                <w:sz w:val="21"/>
                <w:szCs w:val="21"/>
                <w:highlight w:val="none"/>
                <w:u w:val="none" w:color="auto"/>
              </w:rPr>
              <w:t>参数或</w:t>
            </w:r>
            <w:r>
              <w:rPr>
                <w:rFonts w:hint="eastAsia" w:ascii="方正仿宋_GBK" w:hAnsi="仿宋" w:eastAsia="方正仿宋_GBK"/>
                <w:sz w:val="21"/>
                <w:szCs w:val="21"/>
                <w:highlight w:val="none"/>
                <w:u w:val="none" w:color="auto"/>
              </w:rPr>
              <w:t>具体</w:t>
            </w:r>
            <w:r>
              <w:rPr>
                <w:rFonts w:ascii="方正仿宋_GBK" w:hAnsi="仿宋" w:eastAsia="方正仿宋_GBK"/>
                <w:sz w:val="21"/>
                <w:szCs w:val="21"/>
                <w:highlight w:val="none"/>
                <w:u w:val="none" w:color="auto"/>
              </w:rPr>
              <w:t>内容</w:t>
            </w:r>
            <w:r>
              <w:rPr>
                <w:rFonts w:hint="eastAsia" w:ascii="方正仿宋_GBK" w:hAnsi="仿宋" w:eastAsia="方正仿宋_GBK"/>
                <w:sz w:val="21"/>
                <w:szCs w:val="21"/>
                <w:highlight w:val="none"/>
                <w:u w:val="none" w:color="auto"/>
              </w:rPr>
              <w:t>的</w:t>
            </w:r>
            <w:r>
              <w:rPr>
                <w:rFonts w:ascii="方正仿宋_GBK" w:hAnsi="仿宋" w:eastAsia="方正仿宋_GBK"/>
                <w:sz w:val="21"/>
                <w:szCs w:val="21"/>
                <w:highlight w:val="none"/>
                <w:u w:val="none" w:color="auto"/>
              </w:rPr>
              <w:t>位置</w:t>
            </w: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bl>
    <w:p>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                      法定代表人（或法定代表人授权代表）或自然人：</w:t>
      </w:r>
    </w:p>
    <w:p>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w:t>
      </w:r>
    </w:p>
    <w:p>
      <w:pPr>
        <w:spacing w:line="500" w:lineRule="exact"/>
        <w:ind w:firstLine="720" w:firstLineChars="3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（投标人公章）                               （签署或盖章）</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 xml:space="preserve">                                            年     月     日</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1.本表即为对本项目“第二篇  项目技术（质量）需求”中所列条款进行比较和响应；</w:t>
      </w:r>
    </w:p>
    <w:p>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2.本表可扩展；</w:t>
      </w:r>
    </w:p>
    <w:p>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3.可附相关技术（质量）支撑材料。（格式自定）</w:t>
      </w:r>
    </w:p>
    <w:p>
      <w:pPr>
        <w:tabs>
          <w:tab w:val="left" w:pos="6300"/>
        </w:tabs>
        <w:snapToGrid w:val="0"/>
        <w:spacing w:line="500" w:lineRule="exact"/>
        <w:ind w:firstLine="570"/>
        <w:rPr>
          <w:rFonts w:hint="eastAsia" w:ascii="方正仿宋_GBK" w:hAnsi="仿宋" w:eastAsia="方正仿宋_GBK"/>
          <w:szCs w:val="24"/>
          <w:highlight w:val="none"/>
          <w:u w:val="none" w:color="auto"/>
        </w:rPr>
      </w:pPr>
      <w:r>
        <w:rPr>
          <w:rFonts w:ascii="方正仿宋_GBK" w:hAnsi="仿宋" w:eastAsia="方正仿宋_GBK"/>
          <w:sz w:val="24"/>
          <w:szCs w:val="28"/>
          <w:highlight w:val="none"/>
          <w:u w:val="none" w:color="auto"/>
        </w:rPr>
        <w:t>4</w:t>
      </w:r>
      <w:r>
        <w:rPr>
          <w:rFonts w:hint="eastAsia" w:ascii="方正仿宋_GBK" w:hAnsi="仿宋" w:eastAsia="方正仿宋_GBK"/>
          <w:sz w:val="24"/>
          <w:szCs w:val="28"/>
          <w:highlight w:val="none"/>
          <w:u w:val="none" w:color="auto"/>
        </w:rPr>
        <w:t>.投标应答栏</w:t>
      </w:r>
      <w:r>
        <w:rPr>
          <w:rFonts w:ascii="方正仿宋_GBK" w:hAnsi="仿宋" w:eastAsia="方正仿宋_GBK"/>
          <w:sz w:val="24"/>
          <w:szCs w:val="28"/>
          <w:highlight w:val="none"/>
          <w:u w:val="none" w:color="auto"/>
        </w:rPr>
        <w:t>中</w:t>
      </w:r>
      <w:r>
        <w:rPr>
          <w:rFonts w:hint="eastAsia" w:ascii="方正仿宋_GBK" w:hAnsi="仿宋" w:eastAsia="方正仿宋_GBK"/>
          <w:sz w:val="24"/>
          <w:szCs w:val="28"/>
          <w:highlight w:val="none"/>
          <w:u w:val="none" w:color="auto"/>
        </w:rPr>
        <w:t>应当注明</w:t>
      </w:r>
      <w:r>
        <w:rPr>
          <w:rFonts w:ascii="方正仿宋_GBK" w:hAnsi="仿宋" w:eastAsia="方正仿宋_GBK"/>
          <w:sz w:val="24"/>
          <w:szCs w:val="28"/>
          <w:highlight w:val="none"/>
          <w:u w:val="none" w:color="auto"/>
        </w:rPr>
        <w:t>技术参数或具体内容，且必须标注</w:t>
      </w:r>
      <w:r>
        <w:rPr>
          <w:rFonts w:hint="eastAsia" w:ascii="方正仿宋_GBK" w:hAnsi="仿宋" w:eastAsia="方正仿宋_GBK"/>
          <w:sz w:val="24"/>
          <w:szCs w:val="28"/>
          <w:highlight w:val="none"/>
          <w:u w:val="none" w:color="auto"/>
        </w:rPr>
        <w:t>技术参数</w:t>
      </w:r>
      <w:r>
        <w:rPr>
          <w:rFonts w:ascii="方正仿宋_GBK" w:hAnsi="仿宋" w:eastAsia="方正仿宋_GBK"/>
          <w:sz w:val="24"/>
          <w:szCs w:val="28"/>
          <w:highlight w:val="none"/>
          <w:u w:val="none" w:color="auto"/>
        </w:rPr>
        <w:t>或具体内容</w:t>
      </w:r>
      <w:r>
        <w:rPr>
          <w:rFonts w:hint="eastAsia" w:ascii="方正仿宋_GBK" w:hAnsi="仿宋" w:eastAsia="方正仿宋_GBK"/>
          <w:sz w:val="24"/>
          <w:szCs w:val="28"/>
          <w:highlight w:val="none"/>
          <w:u w:val="none" w:color="auto"/>
        </w:rPr>
        <w:t>在</w:t>
      </w:r>
      <w:r>
        <w:rPr>
          <w:rFonts w:ascii="方正仿宋_GBK" w:hAnsi="仿宋" w:eastAsia="方正仿宋_GBK"/>
          <w:sz w:val="24"/>
          <w:szCs w:val="28"/>
          <w:highlight w:val="none"/>
          <w:u w:val="none" w:color="auto"/>
        </w:rPr>
        <w:t>投标文件中的位置（</w:t>
      </w:r>
      <w:r>
        <w:rPr>
          <w:rFonts w:hint="eastAsia" w:ascii="方正仿宋_GBK" w:hAnsi="仿宋" w:eastAsia="方正仿宋_GBK"/>
          <w:sz w:val="24"/>
          <w:szCs w:val="28"/>
          <w:highlight w:val="none"/>
          <w:u w:val="none" w:color="auto"/>
        </w:rPr>
        <w:t>页码</w:t>
      </w:r>
      <w:r>
        <w:rPr>
          <w:rFonts w:ascii="方正仿宋_GBK" w:hAnsi="仿宋" w:eastAsia="方正仿宋_GBK"/>
          <w:sz w:val="24"/>
          <w:szCs w:val="28"/>
          <w:highlight w:val="none"/>
          <w:u w:val="none" w:color="auto"/>
        </w:rPr>
        <w:t>）</w:t>
      </w:r>
      <w:r>
        <w:rPr>
          <w:rFonts w:hint="eastAsia" w:ascii="方正仿宋_GBK" w:hAnsi="仿宋" w:eastAsia="方正仿宋_GBK"/>
          <w:sz w:val="24"/>
          <w:szCs w:val="28"/>
          <w:highlight w:val="none"/>
          <w:u w:val="none" w:color="auto"/>
        </w:rPr>
        <w:t>。</w:t>
      </w:r>
    </w:p>
    <w:p>
      <w:pPr>
        <w:tabs>
          <w:tab w:val="left" w:pos="6300"/>
        </w:tabs>
        <w:snapToGrid w:val="0"/>
        <w:spacing w:line="500" w:lineRule="exact"/>
        <w:ind w:firstLine="570"/>
        <w:rPr>
          <w:rFonts w:hint="eastAsia" w:ascii="方正仿宋_GBK" w:hAnsi="宋体" w:eastAsia="方正仿宋_GBK"/>
          <w:sz w:val="24"/>
          <w:szCs w:val="28"/>
          <w:highlight w:val="none"/>
          <w:u w:val="none" w:color="auto"/>
        </w:rPr>
      </w:pPr>
      <w:r>
        <w:rPr>
          <w:rFonts w:hint="eastAsia" w:ascii="方正仿宋_GBK" w:hAnsi="仿宋" w:eastAsia="方正仿宋_GBK"/>
          <w:szCs w:val="24"/>
          <w:highlight w:val="none"/>
          <w:u w:val="none" w:color="auto"/>
        </w:rPr>
        <w:br w:type="page"/>
      </w:r>
      <w:r>
        <w:rPr>
          <w:rFonts w:hint="eastAsia" w:ascii="方正仿宋_GBK" w:hAnsi="宋体" w:eastAsia="方正仿宋_GBK"/>
          <w:sz w:val="24"/>
          <w:szCs w:val="28"/>
          <w:highlight w:val="none"/>
          <w:u w:val="none" w:color="auto"/>
        </w:rPr>
        <w:t>（二）其他技术（质量）资料</w:t>
      </w:r>
    </w:p>
    <w:p>
      <w:pPr>
        <w:snapToGrid w:val="0"/>
        <w:spacing w:line="500" w:lineRule="exact"/>
        <w:ind w:firstLine="480" w:firstLineChars="200"/>
        <w:rPr>
          <w:rFonts w:hint="eastAsia" w:ascii="方正仿宋_GBK" w:hAnsi="仿宋" w:eastAsia="方正仿宋_GBK"/>
          <w:sz w:val="24"/>
          <w:szCs w:val="28"/>
          <w:highlight w:val="none"/>
          <w:u w:val="none" w:color="auto"/>
        </w:rPr>
      </w:pPr>
    </w:p>
    <w:p>
      <w:pPr>
        <w:pStyle w:val="4"/>
        <w:pageBreakBefore/>
        <w:spacing w:line="500" w:lineRule="exact"/>
        <w:ind w:firstLine="562" w:firstLineChars="200"/>
        <w:rPr>
          <w:rFonts w:hint="eastAsia" w:ascii="方正仿宋_GBK" w:hAnsi="仿宋" w:eastAsia="方正仿宋_GBK"/>
          <w:b/>
          <w:szCs w:val="28"/>
          <w:highlight w:val="none"/>
          <w:u w:val="none" w:color="auto"/>
        </w:rPr>
      </w:pPr>
      <w:bookmarkStart w:id="842" w:name="_Toc8958"/>
      <w:bookmarkStart w:id="843" w:name="_Toc492721039"/>
      <w:bookmarkStart w:id="844" w:name="_Toc14954"/>
      <w:bookmarkStart w:id="845" w:name="_Toc4362"/>
      <w:bookmarkStart w:id="846" w:name="_Toc23523"/>
      <w:bookmarkStart w:id="847" w:name="_Toc646402978"/>
      <w:bookmarkStart w:id="848" w:name="_Toc32670"/>
      <w:bookmarkStart w:id="849" w:name="_Toc30667"/>
      <w:bookmarkStart w:id="850" w:name="_Toc493178791"/>
      <w:bookmarkStart w:id="851" w:name="_Toc75793542"/>
      <w:bookmarkStart w:id="852" w:name="_Toc26494"/>
      <w:bookmarkStart w:id="853" w:name="_Toc106030419"/>
      <w:bookmarkStart w:id="854" w:name="_Toc22113"/>
      <w:bookmarkStart w:id="855" w:name="_Toc17290"/>
      <w:bookmarkStart w:id="856" w:name="_Toc6786"/>
      <w:bookmarkStart w:id="857" w:name="_Toc13591"/>
      <w:bookmarkStart w:id="858" w:name="_Toc28242"/>
      <w:bookmarkStart w:id="859" w:name="_Toc5573"/>
      <w:bookmarkStart w:id="860" w:name="_Toc15441"/>
      <w:bookmarkStart w:id="861" w:name="_Toc30496"/>
      <w:bookmarkStart w:id="862" w:name="_Toc7069"/>
      <w:bookmarkStart w:id="863" w:name="_Toc10372"/>
      <w:r>
        <w:rPr>
          <w:rFonts w:hint="eastAsia" w:ascii="方正仿宋_GBK" w:hAnsi="仿宋" w:eastAsia="方正仿宋_GBK"/>
          <w:b/>
          <w:szCs w:val="28"/>
          <w:highlight w:val="none"/>
          <w:u w:val="none" w:color="auto"/>
        </w:rPr>
        <w:t>三、商务文件</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pPr>
        <w:snapToGrid w:val="0"/>
        <w:spacing w:before="120" w:beforeLines="50" w:line="500" w:lineRule="exact"/>
        <w:jc w:val="center"/>
        <w:rPr>
          <w:rFonts w:hint="eastAsia" w:ascii="方正仿宋_GBK" w:hAnsi="仿宋" w:eastAsia="方正仿宋_GBK"/>
          <w:szCs w:val="28"/>
          <w:highlight w:val="none"/>
          <w:u w:val="none" w:color="auto"/>
        </w:rPr>
      </w:pPr>
      <w:r>
        <w:rPr>
          <w:rFonts w:hint="eastAsia" w:ascii="方正仿宋_GBK" w:hAnsi="仿宋" w:eastAsia="方正仿宋_GBK"/>
          <w:szCs w:val="28"/>
          <w:highlight w:val="none"/>
          <w:u w:val="none" w:color="auto"/>
        </w:rPr>
        <w:t>（一）投标函（格式）</w:t>
      </w:r>
    </w:p>
    <w:p>
      <w:pPr>
        <w:spacing w:line="500" w:lineRule="exact"/>
        <w:rPr>
          <w:rFonts w:hint="eastAsia" w:ascii="方正仿宋_GBK" w:hAnsi="仿宋" w:eastAsia="方正仿宋_GBK"/>
          <w:sz w:val="24"/>
          <w:szCs w:val="28"/>
          <w:highlight w:val="none"/>
          <w:u w:val="none" w:color="auto"/>
        </w:rPr>
      </w:pPr>
    </w:p>
    <w:p>
      <w:pPr>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招标项目名称：                                             </w:t>
      </w:r>
    </w:p>
    <w:p>
      <w:pPr>
        <w:spacing w:line="500" w:lineRule="exact"/>
        <w:rPr>
          <w:rFonts w:hint="eastAsia" w:ascii="方正仿宋_GBK" w:hAnsi="仿宋" w:eastAsia="方正仿宋_GBK"/>
          <w:sz w:val="24"/>
          <w:szCs w:val="28"/>
          <w:highlight w:val="none"/>
          <w:u w:val="none" w:color="auto"/>
        </w:rPr>
      </w:pPr>
    </w:p>
    <w:p>
      <w:pPr>
        <w:tabs>
          <w:tab w:val="left" w:pos="6300"/>
        </w:tabs>
        <w:snapToGrid w:val="0"/>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致：                    （采购代理机构名称）：</w:t>
      </w:r>
    </w:p>
    <w:p>
      <w:pPr>
        <w:snapToGrid w:val="0"/>
        <w:spacing w:before="120" w:beforeLines="50"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（投标人名称）系中华人民共和国合法企业，注册地址：                               。我方就参加本次投标有关事项郑重声明如下：</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一、我方完全理解并接受该项目招标文件所有要求。</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二、我方提交的所有投标文件、资料都是准确和真实的，如有虚假或隐瞒，我方愿意承担一切法律责任。</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三、我方承诺按照招标文件要求，提供招标项目的技术（质量）服务。</w:t>
      </w:r>
    </w:p>
    <w:p>
      <w:pPr>
        <w:shd w:val="clear"/>
        <w:tabs>
          <w:tab w:val="left" w:pos="6300"/>
        </w:tabs>
        <w:snapToGrid w:val="0"/>
        <w:spacing w:line="500" w:lineRule="exact"/>
        <w:ind w:firstLine="480" w:firstLineChars="200"/>
        <w:rPr>
          <w:rFonts w:hint="eastAsia" w:ascii="仿宋" w:hAnsi="仿宋" w:eastAsia="仿宋" w:cs="仿宋"/>
          <w:sz w:val="24"/>
          <w:szCs w:val="28"/>
          <w:highlight w:val="none"/>
        </w:rPr>
      </w:pPr>
      <w:r>
        <w:rPr>
          <w:rFonts w:hint="eastAsia" w:ascii="仿宋" w:hAnsi="仿宋" w:eastAsia="仿宋"/>
          <w:sz w:val="24"/>
          <w:szCs w:val="28"/>
          <w:highlight w:val="none"/>
        </w:rPr>
        <w:t>四、我方按招标文件要求提交的投标文件为：</w:t>
      </w:r>
      <w:r>
        <w:rPr>
          <w:rFonts w:hint="eastAsia" w:ascii="仿宋" w:hAnsi="仿宋" w:eastAsia="仿宋" w:cs="仿宋"/>
          <w:sz w:val="24"/>
          <w:szCs w:val="28"/>
          <w:highlight w:val="none"/>
        </w:rPr>
        <w:t>电子投标文件</w:t>
      </w:r>
      <w:r>
        <w:rPr>
          <w:rFonts w:hint="eastAsia" w:ascii="仿宋" w:hAnsi="仿宋" w:eastAsia="仿宋" w:cs="仿宋"/>
          <w:sz w:val="24"/>
          <w:szCs w:val="28"/>
          <w:highlight w:val="none"/>
          <w:lang w:val="en-US" w:eastAsia="zh-CN"/>
        </w:rPr>
        <w:t>壹</w:t>
      </w:r>
      <w:r>
        <w:rPr>
          <w:rFonts w:hint="eastAsia" w:ascii="仿宋" w:hAnsi="仿宋" w:eastAsia="仿宋" w:cs="仿宋"/>
          <w:sz w:val="24"/>
          <w:szCs w:val="28"/>
          <w:highlight w:val="none"/>
        </w:rPr>
        <w:t>份。</w:t>
      </w:r>
    </w:p>
    <w:p>
      <w:pPr>
        <w:shd w:val="clea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仿宋" w:hAnsi="仿宋" w:eastAsia="仿宋" w:cs="仿宋"/>
          <w:sz w:val="24"/>
          <w:szCs w:val="28"/>
          <w:highlight w:val="none"/>
        </w:rPr>
        <w:t>五、我方承诺：本次投标的投标有效期为</w:t>
      </w:r>
      <w:r>
        <w:rPr>
          <w:rFonts w:hint="eastAsia" w:ascii="仿宋" w:hAnsi="仿宋" w:eastAsia="仿宋" w:cs="仿宋"/>
          <w:sz w:val="24"/>
          <w:highlight w:val="none"/>
        </w:rPr>
        <w:t>电子投标文件截止时间</w:t>
      </w:r>
      <w:r>
        <w:rPr>
          <w:rFonts w:hint="eastAsia" w:ascii="仿宋" w:hAnsi="仿宋" w:eastAsia="仿宋" w:cs="仿宋"/>
          <w:sz w:val="24"/>
          <w:szCs w:val="28"/>
          <w:highlight w:val="none"/>
        </w:rPr>
        <w:t>起90天。</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六、我方投标报价为闭口价。即在投标有效期和合同有效期内，该报价固定不变。</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七、如果我方中标，我方将履行招标文件中规定的各项要求以及我方投标文件的各项承诺，按《中华人民共和国政府采购法》、《中华人民共和国民法典》及合同约定条款承担我方责任。</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八、我方未</w:t>
      </w:r>
      <w:r>
        <w:rPr>
          <w:rFonts w:hint="eastAsia" w:ascii="方正仿宋_GBK" w:hAnsi="仿宋" w:eastAsia="方正仿宋_GBK"/>
          <w:sz w:val="24"/>
          <w:szCs w:val="24"/>
          <w:highlight w:val="none"/>
          <w:u w:val="none" w:color="auto"/>
        </w:rPr>
        <w:t>为采购项目提供整体设计、规范编制或者项目管理、监理、检测等服务。</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九、我方理解，最低报价不是中标的唯一条件。</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十、我方同意按有关规定及招标文件要求，交纳足额投标保证金。</w:t>
      </w:r>
    </w:p>
    <w:p>
      <w:pPr>
        <w:tabs>
          <w:tab w:val="left" w:pos="6300"/>
        </w:tabs>
        <w:snapToGrid w:val="0"/>
        <w:spacing w:line="500" w:lineRule="exact"/>
        <w:ind w:firstLine="480" w:firstLineChars="20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十一、若我方中标，愿意按有关规定及招标文件要求缴纳招标代理服务费和交易服务费。</w:t>
      </w:r>
    </w:p>
    <w:p>
      <w:pPr>
        <w:tabs>
          <w:tab w:val="left" w:pos="6300"/>
        </w:tabs>
        <w:snapToGrid w:val="0"/>
        <w:spacing w:line="500" w:lineRule="exact"/>
        <w:ind w:firstLine="570"/>
        <w:rPr>
          <w:rFonts w:hint="eastAsia" w:ascii="方正仿宋_GBK" w:hAnsi="仿宋" w:eastAsia="方正仿宋_GBK"/>
          <w:sz w:val="24"/>
          <w:szCs w:val="28"/>
          <w:highlight w:val="none"/>
          <w:u w:val="none" w:color="auto"/>
        </w:rPr>
      </w:pPr>
    </w:p>
    <w:p>
      <w:pPr>
        <w:tabs>
          <w:tab w:val="left" w:pos="6300"/>
        </w:tabs>
        <w:snapToGrid w:val="0"/>
        <w:spacing w:line="500" w:lineRule="exact"/>
        <w:ind w:firstLine="5460" w:firstLineChars="2275"/>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（投标人公章或自然人签署）</w:t>
      </w:r>
    </w:p>
    <w:p>
      <w:pPr>
        <w:tabs>
          <w:tab w:val="left" w:pos="6300"/>
        </w:tabs>
        <w:snapToGrid w:val="0"/>
        <w:spacing w:line="500" w:lineRule="exact"/>
        <w:ind w:firstLine="5760" w:firstLineChars="2400"/>
        <w:rPr>
          <w:rFonts w:hint="eastAsia" w:ascii="方正仿宋_GBK" w:hAnsi="仿宋" w:eastAsia="方正仿宋_GBK"/>
          <w:szCs w:val="28"/>
          <w:highlight w:val="none"/>
          <w:u w:val="none" w:color="auto"/>
        </w:rPr>
      </w:pPr>
      <w:r>
        <w:rPr>
          <w:rFonts w:hint="eastAsia" w:ascii="方正仿宋_GBK" w:hAnsi="仿宋" w:eastAsia="方正仿宋_GBK"/>
          <w:sz w:val="24"/>
          <w:szCs w:val="28"/>
          <w:highlight w:val="none"/>
          <w:u w:val="none" w:color="auto"/>
        </w:rPr>
        <w:t>年    月   日</w:t>
      </w:r>
    </w:p>
    <w:p>
      <w:pPr>
        <w:snapToGrid w:val="0"/>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szCs w:val="44"/>
          <w:highlight w:val="none"/>
          <w:u w:val="none" w:color="auto"/>
        </w:rPr>
        <w:br w:type="page"/>
      </w:r>
      <w:r>
        <w:rPr>
          <w:rFonts w:hint="eastAsia" w:ascii="方正仿宋_GBK" w:hAnsi="宋体" w:eastAsia="方正仿宋_GBK"/>
          <w:sz w:val="24"/>
          <w:szCs w:val="28"/>
          <w:highlight w:val="none"/>
          <w:u w:val="none" w:color="auto"/>
        </w:rPr>
        <w:t>（二）商务条款差异表</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项目号：</w:t>
      </w:r>
    </w:p>
    <w:p>
      <w:pPr>
        <w:snapToGrid w:val="0"/>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招标项目名称：</w:t>
      </w:r>
    </w:p>
    <w:tbl>
      <w:tblPr>
        <w:tblStyle w:val="60"/>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序号</w:t>
            </w: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招标商务要求</w:t>
            </w: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投标商务应答</w:t>
            </w: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r>
              <w:rPr>
                <w:rFonts w:hint="eastAsia" w:ascii="方正仿宋_GBK" w:hAnsi="仿宋" w:eastAsia="方正仿宋_GBK"/>
                <w:sz w:val="21"/>
                <w:szCs w:val="21"/>
                <w:highlight w:val="none"/>
                <w:u w:val="none" w:color="auto"/>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outlineLvl w:val="0"/>
              <w:rPr>
                <w:rFonts w:hint="eastAsia" w:ascii="方正仿宋_GBK" w:hAnsi="仿宋" w:eastAsia="方正仿宋_GBK"/>
                <w:sz w:val="21"/>
                <w:szCs w:val="21"/>
                <w:highlight w:val="none"/>
                <w:u w:val="none" w:color="auto"/>
              </w:rPr>
            </w:pPr>
            <w:r>
              <w:rPr>
                <w:rFonts w:ascii="方正仿宋_GBK" w:hAnsi="仿宋" w:eastAsia="方正仿宋_GBK"/>
                <w:sz w:val="21"/>
                <w:szCs w:val="21"/>
                <w:highlight w:val="none"/>
                <w:u w:val="none" w:color="auto"/>
              </w:rPr>
              <w:t>提醒</w:t>
            </w:r>
            <w:r>
              <w:rPr>
                <w:rFonts w:hint="eastAsia" w:ascii="方正仿宋_GBK" w:hAnsi="仿宋" w:eastAsia="方正仿宋_GBK"/>
                <w:sz w:val="21"/>
                <w:szCs w:val="21"/>
                <w:highlight w:val="none"/>
                <w:u w:val="none" w:color="auto"/>
              </w:rPr>
              <w:t>：</w:t>
            </w:r>
            <w:r>
              <w:rPr>
                <w:rFonts w:ascii="方正仿宋_GBK" w:hAnsi="仿宋" w:eastAsia="方正仿宋_GBK"/>
                <w:sz w:val="21"/>
                <w:szCs w:val="21"/>
                <w:highlight w:val="none"/>
                <w:u w:val="none" w:color="auto"/>
              </w:rPr>
              <w:t>请注明具体内容以及</w:t>
            </w:r>
            <w:r>
              <w:rPr>
                <w:rFonts w:hint="eastAsia" w:ascii="方正仿宋_GBK" w:hAnsi="仿宋" w:eastAsia="方正仿宋_GBK"/>
                <w:sz w:val="21"/>
                <w:szCs w:val="21"/>
                <w:highlight w:val="none"/>
                <w:u w:val="none" w:color="auto"/>
              </w:rPr>
              <w:t>投标文件</w:t>
            </w:r>
            <w:r>
              <w:rPr>
                <w:rFonts w:ascii="方正仿宋_GBK" w:hAnsi="仿宋" w:eastAsia="方正仿宋_GBK"/>
                <w:sz w:val="21"/>
                <w:szCs w:val="21"/>
                <w:highlight w:val="none"/>
                <w:u w:val="none" w:color="auto"/>
              </w:rPr>
              <w:t>中</w:t>
            </w:r>
            <w:r>
              <w:rPr>
                <w:rFonts w:hint="eastAsia" w:ascii="方正仿宋_GBK" w:hAnsi="仿宋" w:eastAsia="方正仿宋_GBK"/>
                <w:sz w:val="21"/>
                <w:szCs w:val="21"/>
                <w:highlight w:val="none"/>
                <w:u w:val="none" w:color="auto"/>
              </w:rPr>
              <w:t>具体</w:t>
            </w:r>
            <w:r>
              <w:rPr>
                <w:rFonts w:ascii="方正仿宋_GBK" w:hAnsi="仿宋" w:eastAsia="方正仿宋_GBK"/>
                <w:sz w:val="21"/>
                <w:szCs w:val="21"/>
                <w:highlight w:val="none"/>
                <w:u w:val="none" w:color="auto"/>
              </w:rPr>
              <w:t>内容</w:t>
            </w:r>
            <w:r>
              <w:rPr>
                <w:rFonts w:hint="eastAsia" w:ascii="方正仿宋_GBK" w:hAnsi="仿宋" w:eastAsia="方正仿宋_GBK"/>
                <w:sz w:val="21"/>
                <w:szCs w:val="21"/>
                <w:highlight w:val="none"/>
                <w:u w:val="none" w:color="auto"/>
              </w:rPr>
              <w:t>的</w:t>
            </w:r>
            <w:r>
              <w:rPr>
                <w:rFonts w:ascii="方正仿宋_GBK" w:hAnsi="仿宋" w:eastAsia="方正仿宋_GBK"/>
                <w:sz w:val="21"/>
                <w:szCs w:val="21"/>
                <w:highlight w:val="none"/>
                <w:u w:val="none" w:color="auto"/>
              </w:rPr>
              <w:t>位置（</w:t>
            </w:r>
            <w:r>
              <w:rPr>
                <w:rFonts w:hint="eastAsia" w:ascii="方正仿宋_GBK" w:hAnsi="仿宋" w:eastAsia="方正仿宋_GBK"/>
                <w:sz w:val="21"/>
                <w:szCs w:val="21"/>
                <w:highlight w:val="none"/>
                <w:u w:val="none" w:color="auto"/>
              </w:rPr>
              <w:t>页码</w:t>
            </w:r>
            <w:r>
              <w:rPr>
                <w:rFonts w:ascii="方正仿宋_GBK" w:hAnsi="仿宋" w:eastAsia="方正仿宋_GBK"/>
                <w:sz w:val="21"/>
                <w:szCs w:val="21"/>
                <w:highlight w:val="none"/>
                <w:u w:val="none" w:color="auto"/>
              </w:rPr>
              <w:t>）</w:t>
            </w: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7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969"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3081"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c>
          <w:tcPr>
            <w:tcW w:w="2307" w:type="dxa"/>
            <w:noWrap w:val="0"/>
            <w:vAlign w:val="center"/>
          </w:tcPr>
          <w:p>
            <w:pPr>
              <w:tabs>
                <w:tab w:val="left" w:pos="6300"/>
              </w:tabs>
              <w:snapToGrid w:val="0"/>
              <w:spacing w:line="500" w:lineRule="exact"/>
              <w:jc w:val="center"/>
              <w:outlineLvl w:val="0"/>
              <w:rPr>
                <w:rFonts w:hint="eastAsia" w:ascii="方正仿宋_GBK" w:hAnsi="仿宋" w:eastAsia="方正仿宋_GBK"/>
                <w:sz w:val="21"/>
                <w:szCs w:val="21"/>
                <w:highlight w:val="none"/>
                <w:u w:val="none" w:color="auto"/>
              </w:rPr>
            </w:pPr>
          </w:p>
        </w:tc>
      </w:tr>
    </w:tbl>
    <w:p>
      <w:pPr>
        <w:spacing w:line="500" w:lineRule="exact"/>
        <w:ind w:firstLine="600" w:firstLineChars="250"/>
        <w:rPr>
          <w:rFonts w:hint="eastAsia" w:ascii="方正仿宋_GBK" w:hAnsi="仿宋" w:eastAsia="方正仿宋_GBK"/>
          <w:sz w:val="24"/>
          <w:szCs w:val="28"/>
          <w:highlight w:val="none"/>
          <w:u w:val="none" w:color="auto"/>
        </w:rPr>
      </w:pPr>
    </w:p>
    <w:p>
      <w:pPr>
        <w:spacing w:line="500" w:lineRule="exact"/>
        <w:ind w:firstLine="600" w:firstLineChars="25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投标人：                     </w:t>
      </w:r>
      <w:r>
        <w:rPr>
          <w:rFonts w:hint="eastAsia" w:ascii="方正仿宋_GBK" w:hAnsi="宋体" w:eastAsia="方正仿宋_GBK"/>
          <w:sz w:val="24"/>
          <w:szCs w:val="28"/>
          <w:highlight w:val="none"/>
          <w:u w:val="none" w:color="auto"/>
        </w:rPr>
        <w:t>法定代表人（或法定代表人授权代表）或自然人：</w:t>
      </w:r>
    </w:p>
    <w:p>
      <w:pPr>
        <w:spacing w:line="500" w:lineRule="exact"/>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 xml:space="preserve">    （投标人公章）                               （签署或盖章）</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 xml:space="preserve">                                            年     月     日</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1.本表即为对本项目“第三篇 项目商务需求”中所列条款进行比较和响应；</w:t>
      </w:r>
    </w:p>
    <w:p>
      <w:pPr>
        <w:tabs>
          <w:tab w:val="left" w:pos="6300"/>
        </w:tabs>
        <w:snapToGrid w:val="0"/>
        <w:spacing w:line="500" w:lineRule="exact"/>
        <w:ind w:firstLine="570"/>
        <w:rPr>
          <w:rFonts w:ascii="方正仿宋_GBK" w:hAnsi="仿宋" w:eastAsia="方正仿宋_GBK"/>
          <w:sz w:val="24"/>
          <w:szCs w:val="24"/>
          <w:highlight w:val="none"/>
          <w:u w:val="none" w:color="auto"/>
        </w:rPr>
      </w:pPr>
      <w:r>
        <w:rPr>
          <w:rFonts w:hint="eastAsia" w:ascii="方正仿宋_GBK" w:hAnsi="仿宋" w:eastAsia="方正仿宋_GBK"/>
          <w:sz w:val="24"/>
          <w:szCs w:val="24"/>
          <w:highlight w:val="none"/>
          <w:u w:val="none" w:color="auto"/>
        </w:rPr>
        <w:t>2.本表可扩展。</w:t>
      </w:r>
    </w:p>
    <w:p>
      <w:pPr>
        <w:tabs>
          <w:tab w:val="left" w:pos="6300"/>
        </w:tabs>
        <w:snapToGrid w:val="0"/>
        <w:spacing w:line="500" w:lineRule="exact"/>
        <w:ind w:firstLine="570"/>
        <w:rPr>
          <w:rFonts w:hint="eastAsia" w:ascii="方正仿宋_GBK" w:hAnsi="仿宋" w:eastAsia="方正仿宋_GBK"/>
          <w:sz w:val="24"/>
          <w:szCs w:val="24"/>
          <w:highlight w:val="none"/>
          <w:u w:val="none" w:color="auto"/>
        </w:rPr>
      </w:pPr>
      <w:r>
        <w:rPr>
          <w:rFonts w:hint="eastAsia" w:ascii="方正仿宋_GBK" w:hAnsi="仿宋" w:eastAsia="方正仿宋_GBK"/>
          <w:sz w:val="24"/>
          <w:szCs w:val="28"/>
          <w:highlight w:val="none"/>
          <w:u w:val="none" w:color="auto"/>
        </w:rPr>
        <w:t>3.投标应答栏</w:t>
      </w:r>
      <w:r>
        <w:rPr>
          <w:rFonts w:ascii="方正仿宋_GBK" w:hAnsi="仿宋" w:eastAsia="方正仿宋_GBK"/>
          <w:sz w:val="24"/>
          <w:szCs w:val="28"/>
          <w:highlight w:val="none"/>
          <w:u w:val="none" w:color="auto"/>
        </w:rPr>
        <w:t>中</w:t>
      </w:r>
      <w:r>
        <w:rPr>
          <w:rFonts w:hint="eastAsia" w:ascii="方正仿宋_GBK" w:hAnsi="仿宋" w:eastAsia="方正仿宋_GBK"/>
          <w:sz w:val="24"/>
          <w:szCs w:val="28"/>
          <w:highlight w:val="none"/>
          <w:u w:val="none" w:color="auto"/>
        </w:rPr>
        <w:t>应当注明</w:t>
      </w:r>
      <w:r>
        <w:rPr>
          <w:rFonts w:ascii="方正仿宋_GBK" w:hAnsi="仿宋" w:eastAsia="方正仿宋_GBK"/>
          <w:sz w:val="24"/>
          <w:szCs w:val="28"/>
          <w:highlight w:val="none"/>
          <w:u w:val="none" w:color="auto"/>
        </w:rPr>
        <w:t>具体内容，且必须标注具体内容</w:t>
      </w:r>
      <w:r>
        <w:rPr>
          <w:rFonts w:hint="eastAsia" w:ascii="方正仿宋_GBK" w:hAnsi="仿宋" w:eastAsia="方正仿宋_GBK"/>
          <w:sz w:val="24"/>
          <w:szCs w:val="28"/>
          <w:highlight w:val="none"/>
          <w:u w:val="none" w:color="auto"/>
        </w:rPr>
        <w:t>在</w:t>
      </w:r>
      <w:r>
        <w:rPr>
          <w:rFonts w:ascii="方正仿宋_GBK" w:hAnsi="仿宋" w:eastAsia="方正仿宋_GBK"/>
          <w:sz w:val="24"/>
          <w:szCs w:val="28"/>
          <w:highlight w:val="none"/>
          <w:u w:val="none" w:color="auto"/>
        </w:rPr>
        <w:t>投标文件中的位置（</w:t>
      </w:r>
      <w:r>
        <w:rPr>
          <w:rFonts w:hint="eastAsia" w:ascii="方正仿宋_GBK" w:hAnsi="仿宋" w:eastAsia="方正仿宋_GBK"/>
          <w:sz w:val="24"/>
          <w:szCs w:val="28"/>
          <w:highlight w:val="none"/>
          <w:u w:val="none" w:color="auto"/>
        </w:rPr>
        <w:t>页码</w:t>
      </w:r>
      <w:r>
        <w:rPr>
          <w:rFonts w:ascii="方正仿宋_GBK" w:hAnsi="仿宋" w:eastAsia="方正仿宋_GBK"/>
          <w:sz w:val="24"/>
          <w:szCs w:val="28"/>
          <w:highlight w:val="none"/>
          <w:u w:val="none" w:color="auto"/>
        </w:rPr>
        <w:t>）</w:t>
      </w:r>
      <w:r>
        <w:rPr>
          <w:rFonts w:hint="eastAsia" w:ascii="方正仿宋_GBK" w:hAnsi="仿宋" w:eastAsia="方正仿宋_GBK"/>
          <w:sz w:val="24"/>
          <w:szCs w:val="28"/>
          <w:highlight w:val="none"/>
          <w:u w:val="none" w:color="auto"/>
        </w:rPr>
        <w:t>。</w:t>
      </w:r>
    </w:p>
    <w:p>
      <w:pPr>
        <w:snapToGrid w:val="0"/>
        <w:spacing w:line="400" w:lineRule="exact"/>
        <w:ind w:firstLine="560" w:firstLineChars="200"/>
        <w:rPr>
          <w:rFonts w:ascii="方正仿宋_GBK" w:hAnsi="宋体" w:eastAsia="方正仿宋_GBK"/>
          <w:sz w:val="24"/>
          <w:szCs w:val="28"/>
          <w:highlight w:val="none"/>
          <w:u w:val="none" w:color="auto"/>
        </w:rPr>
      </w:pPr>
      <w:r>
        <w:rPr>
          <w:rFonts w:hint="eastAsia" w:ascii="方正仿宋_GBK" w:hAnsi="仿宋" w:eastAsia="方正仿宋_GBK"/>
          <w:szCs w:val="28"/>
          <w:highlight w:val="none"/>
          <w:u w:val="none" w:color="auto"/>
        </w:rPr>
        <w:br w:type="page"/>
      </w:r>
      <w:r>
        <w:rPr>
          <w:rFonts w:hint="eastAsia" w:ascii="方正仿宋_GBK" w:hAnsi="宋体" w:eastAsia="方正仿宋_GBK"/>
          <w:sz w:val="24"/>
          <w:szCs w:val="28"/>
          <w:highlight w:val="none"/>
          <w:u w:val="none" w:color="auto"/>
        </w:rPr>
        <w:t>（三）其他商务资料</w:t>
      </w:r>
    </w:p>
    <w:p>
      <w:pPr>
        <w:snapToGrid w:val="0"/>
        <w:spacing w:line="400" w:lineRule="exact"/>
        <w:ind w:firstLine="480" w:firstLineChars="200"/>
        <w:rPr>
          <w:rFonts w:hint="eastAsia" w:ascii="方正仿宋_GBK" w:hAnsi="宋体" w:eastAsia="方正仿宋_GBK"/>
          <w:sz w:val="24"/>
          <w:szCs w:val="28"/>
          <w:highlight w:val="none"/>
          <w:u w:val="none" w:color="auto"/>
        </w:rPr>
      </w:pPr>
    </w:p>
    <w:p>
      <w:pPr>
        <w:tabs>
          <w:tab w:val="left" w:pos="6300"/>
        </w:tabs>
        <w:snapToGrid w:val="0"/>
        <w:spacing w:line="500" w:lineRule="exact"/>
        <w:ind w:firstLine="560"/>
        <w:rPr>
          <w:rFonts w:hint="eastAsia" w:ascii="方正仿宋_GBK" w:hAnsi="仿宋" w:eastAsia="方正仿宋_GBK"/>
          <w:szCs w:val="28"/>
          <w:highlight w:val="none"/>
          <w:u w:val="none" w:color="auto"/>
        </w:rPr>
      </w:pPr>
      <w:r>
        <w:rPr>
          <w:rFonts w:hint="eastAsia" w:ascii="方正仿宋_GBK" w:hAnsi="仿宋" w:eastAsia="方正仿宋_GBK"/>
          <w:szCs w:val="28"/>
          <w:highlight w:val="none"/>
          <w:u w:val="none" w:color="auto"/>
        </w:rPr>
        <w:t xml:space="preserve"> </w:t>
      </w:r>
    </w:p>
    <w:p>
      <w:pPr>
        <w:pStyle w:val="4"/>
        <w:pageBreakBefore/>
        <w:spacing w:line="500" w:lineRule="exact"/>
        <w:ind w:firstLine="562" w:firstLineChars="200"/>
        <w:rPr>
          <w:rFonts w:hint="eastAsia" w:ascii="方正仿宋_GBK" w:hAnsi="仿宋" w:eastAsia="方正仿宋_GBK"/>
          <w:b/>
          <w:szCs w:val="28"/>
          <w:highlight w:val="none"/>
          <w:u w:val="none" w:color="auto"/>
        </w:rPr>
      </w:pPr>
      <w:bookmarkStart w:id="864" w:name="_Toc29932"/>
      <w:bookmarkStart w:id="865" w:name="_Toc106030420"/>
      <w:bookmarkStart w:id="866" w:name="_Toc7042"/>
      <w:bookmarkStart w:id="867" w:name="_Toc4624"/>
      <w:bookmarkStart w:id="868" w:name="_Toc6978"/>
      <w:bookmarkStart w:id="869" w:name="_Toc2006952569"/>
      <w:bookmarkStart w:id="870" w:name="_Toc3199"/>
      <w:bookmarkStart w:id="871" w:name="_Toc29543"/>
      <w:bookmarkStart w:id="872" w:name="_Toc23915"/>
      <w:bookmarkStart w:id="873" w:name="_Toc19657"/>
      <w:bookmarkStart w:id="874" w:name="_Toc493178792"/>
      <w:bookmarkStart w:id="875" w:name="_Toc19687"/>
      <w:bookmarkStart w:id="876" w:name="_Toc2395"/>
      <w:bookmarkStart w:id="877" w:name="_Toc27849"/>
      <w:bookmarkStart w:id="878" w:name="_Toc5854"/>
      <w:bookmarkStart w:id="879" w:name="_Toc24540"/>
      <w:bookmarkStart w:id="880" w:name="_Toc75793543"/>
      <w:bookmarkStart w:id="881" w:name="_Toc32289"/>
      <w:bookmarkStart w:id="882" w:name="_Toc11165"/>
      <w:bookmarkStart w:id="883" w:name="_Toc30376"/>
      <w:bookmarkStart w:id="884" w:name="_Toc492721041"/>
      <w:bookmarkStart w:id="885" w:name="_Toc19618"/>
      <w:r>
        <w:rPr>
          <w:rFonts w:hint="eastAsia" w:ascii="方正仿宋_GBK" w:hAnsi="仿宋" w:eastAsia="方正仿宋_GBK"/>
          <w:b/>
          <w:szCs w:val="28"/>
          <w:highlight w:val="none"/>
          <w:u w:val="none" w:color="auto"/>
        </w:rPr>
        <w:t>四、其他</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pPr>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w:t>
      </w:r>
      <w:r>
        <w:rPr>
          <w:rFonts w:hint="eastAsia" w:ascii="方正仿宋_GBK" w:hAnsi="宋体" w:eastAsia="方正仿宋_GBK"/>
          <w:sz w:val="24"/>
          <w:szCs w:val="28"/>
          <w:highlight w:val="none"/>
          <w:u w:val="none" w:color="auto"/>
          <w:lang w:val="en-US" w:eastAsia="zh-CN"/>
        </w:rPr>
        <w:t>一</w:t>
      </w:r>
      <w:r>
        <w:rPr>
          <w:rFonts w:hint="eastAsia" w:ascii="方正仿宋_GBK" w:hAnsi="宋体" w:eastAsia="方正仿宋_GBK"/>
          <w:sz w:val="24"/>
          <w:szCs w:val="28"/>
          <w:highlight w:val="none"/>
          <w:u w:val="none" w:color="auto"/>
        </w:rPr>
        <w:t>）其他与项目有关的资料（自附）</w:t>
      </w:r>
    </w:p>
    <w:p>
      <w:pPr>
        <w:pStyle w:val="4"/>
        <w:pageBreakBefore/>
        <w:spacing w:line="500" w:lineRule="exact"/>
        <w:ind w:firstLine="562" w:firstLineChars="200"/>
        <w:rPr>
          <w:rFonts w:hint="eastAsia" w:ascii="方正仿宋_GBK" w:hAnsi="仿宋" w:eastAsia="方正仿宋_GBK"/>
          <w:b/>
          <w:szCs w:val="28"/>
          <w:highlight w:val="none"/>
          <w:u w:val="none" w:color="auto"/>
        </w:rPr>
      </w:pPr>
      <w:bookmarkStart w:id="886" w:name="_Toc492721038"/>
      <w:bookmarkStart w:id="887" w:name="_Toc26381"/>
      <w:bookmarkStart w:id="888" w:name="_Toc21121"/>
      <w:bookmarkStart w:id="889" w:name="_Toc17829"/>
      <w:bookmarkStart w:id="890" w:name="_Toc23187"/>
      <w:bookmarkStart w:id="891" w:name="_Toc4000"/>
      <w:bookmarkStart w:id="892" w:name="_Toc6108"/>
      <w:bookmarkStart w:id="893" w:name="_Toc16577"/>
      <w:bookmarkStart w:id="894" w:name="_Toc12509"/>
      <w:bookmarkStart w:id="895" w:name="_Toc11324"/>
      <w:bookmarkStart w:id="896" w:name="_Toc28432"/>
      <w:bookmarkStart w:id="897" w:name="_Toc75793544"/>
      <w:bookmarkStart w:id="898" w:name="_Toc493178793"/>
      <w:bookmarkStart w:id="899" w:name="_Toc20962"/>
      <w:bookmarkStart w:id="900" w:name="_Toc13249"/>
      <w:bookmarkStart w:id="901" w:name="_Toc19432"/>
      <w:bookmarkStart w:id="902" w:name="_Toc30988"/>
      <w:bookmarkStart w:id="903" w:name="_Toc30818"/>
      <w:bookmarkStart w:id="904" w:name="_Toc247380452"/>
      <w:bookmarkStart w:id="905" w:name="_Toc17848"/>
      <w:bookmarkStart w:id="906" w:name="_Toc25730"/>
      <w:bookmarkStart w:id="907" w:name="_Toc106030421"/>
      <w:r>
        <w:rPr>
          <w:rFonts w:hint="eastAsia" w:ascii="方正仿宋_GBK" w:hAnsi="仿宋" w:eastAsia="方正仿宋_GBK"/>
          <w:b/>
          <w:szCs w:val="28"/>
          <w:highlight w:val="none"/>
          <w:u w:val="none" w:color="auto"/>
        </w:rPr>
        <w:t>五、资格文件</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pPr>
        <w:spacing w:line="400" w:lineRule="exact"/>
        <w:ind w:firstLine="480" w:firstLineChars="200"/>
        <w:rPr>
          <w:rFonts w:hint="eastAsia"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（一）法人营业执照（副本）或事业单位法人证书（副本）或个体工商户营业执照或有效的自然人身份证明或社会团体法人登记证书复印件</w:t>
      </w:r>
    </w:p>
    <w:p>
      <w:pPr>
        <w:tabs>
          <w:tab w:val="left" w:pos="6300"/>
        </w:tabs>
        <w:snapToGrid w:val="0"/>
        <w:spacing w:line="500" w:lineRule="exact"/>
        <w:ind w:firstLine="570"/>
        <w:rPr>
          <w:rFonts w:hint="eastAsia" w:ascii="方正仿宋_GBK" w:hAnsi="仿宋" w:eastAsia="方正仿宋_GBK"/>
          <w:highlight w:val="none"/>
          <w:u w:val="none" w:color="auto"/>
        </w:rPr>
      </w:pPr>
    </w:p>
    <w:p>
      <w:pPr>
        <w:tabs>
          <w:tab w:val="left" w:pos="6300"/>
        </w:tabs>
        <w:snapToGrid w:val="0"/>
        <w:spacing w:line="500" w:lineRule="exact"/>
        <w:ind w:firstLine="570"/>
        <w:rPr>
          <w:rFonts w:hint="eastAsia" w:ascii="方正仿宋_GBK" w:hAnsi="仿宋" w:eastAsia="方正仿宋_GBK"/>
          <w:highlight w:val="none"/>
          <w:u w:val="none" w:color="auto"/>
        </w:rPr>
      </w:pPr>
    </w:p>
    <w:p>
      <w:pPr>
        <w:tabs>
          <w:tab w:val="left" w:pos="6300"/>
        </w:tabs>
        <w:snapToGrid w:val="0"/>
        <w:spacing w:line="500" w:lineRule="exact"/>
        <w:ind w:firstLine="570"/>
        <w:rPr>
          <w:rFonts w:hint="eastAsia" w:ascii="方正仿宋_GBK" w:hAnsi="仿宋" w:eastAsia="方正仿宋_GBK"/>
          <w:highlight w:val="none"/>
          <w:u w:val="none" w:color="auto"/>
        </w:rPr>
      </w:pPr>
    </w:p>
    <w:p>
      <w:pPr>
        <w:tabs>
          <w:tab w:val="left" w:pos="6300"/>
        </w:tabs>
        <w:snapToGrid w:val="0"/>
        <w:spacing w:line="500" w:lineRule="exact"/>
        <w:ind w:firstLine="570"/>
        <w:rPr>
          <w:rFonts w:hint="eastAsia" w:ascii="方正仿宋_GBK" w:hAnsi="仿宋" w:eastAsia="方正仿宋_GBK"/>
          <w:highlight w:val="none"/>
          <w:u w:val="none" w:color="auto"/>
        </w:rPr>
      </w:pPr>
    </w:p>
    <w:p>
      <w:pPr>
        <w:tabs>
          <w:tab w:val="left" w:pos="6300"/>
        </w:tabs>
        <w:snapToGrid w:val="0"/>
        <w:spacing w:line="500" w:lineRule="exact"/>
        <w:ind w:firstLine="570"/>
        <w:rPr>
          <w:rFonts w:hint="eastAsia" w:ascii="方正仿宋_GBK" w:hAnsi="仿宋" w:eastAsia="方正仿宋_GBK"/>
          <w:highlight w:val="none"/>
          <w:u w:val="none" w:color="auto"/>
        </w:rPr>
      </w:pPr>
    </w:p>
    <w:p>
      <w:pPr>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highlight w:val="none"/>
          <w:u w:val="none" w:color="auto"/>
        </w:rPr>
        <w:br w:type="page"/>
      </w:r>
      <w:r>
        <w:rPr>
          <w:rFonts w:hint="eastAsia" w:ascii="方正仿宋_GBK" w:hAnsi="宋体" w:eastAsia="方正仿宋_GBK"/>
          <w:sz w:val="24"/>
          <w:szCs w:val="28"/>
          <w:highlight w:val="none"/>
          <w:u w:val="none" w:color="auto"/>
        </w:rPr>
        <w:t>（二）法定代表人身份证明书（格式）</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招标项目名称：                                                </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（法定代表人姓名）在                       （投标人名称）任    （职务名称）职务，是（投标人名称）              的法定代表人。</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特此证明。</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w:t>
      </w:r>
    </w:p>
    <w:p>
      <w:pPr>
        <w:tabs>
          <w:tab w:val="left" w:pos="6300"/>
        </w:tabs>
        <w:snapToGrid w:val="0"/>
        <w:spacing w:line="500" w:lineRule="exact"/>
        <w:ind w:firstLine="5848" w:firstLineChars="2437"/>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年   月   日</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法定代表人电话：XXXXXXX      电子邮箱：XXXXXX@XXXXX（若授权他人办理并签署投标文件的可不填写）</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（附：法定代表人身份证正反面复印件）</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spacing w:line="400" w:lineRule="exact"/>
        <w:ind w:firstLine="560" w:firstLineChars="200"/>
        <w:rPr>
          <w:rFonts w:hint="eastAsia" w:ascii="方正仿宋_GBK" w:hAnsi="宋体" w:eastAsia="方正仿宋_GBK"/>
          <w:sz w:val="24"/>
          <w:szCs w:val="28"/>
          <w:highlight w:val="none"/>
          <w:u w:val="none" w:color="auto"/>
        </w:rPr>
      </w:pPr>
      <w:r>
        <w:rPr>
          <w:rFonts w:hint="eastAsia" w:ascii="方正仿宋_GBK" w:hAnsi="仿宋" w:eastAsia="方正仿宋_GBK"/>
          <w:highlight w:val="none"/>
          <w:u w:val="none" w:color="auto"/>
        </w:rPr>
        <w:br w:type="column"/>
      </w:r>
      <w:r>
        <w:rPr>
          <w:rFonts w:hint="eastAsia" w:ascii="方正仿宋_GBK" w:hAnsi="宋体" w:eastAsia="方正仿宋_GBK"/>
          <w:sz w:val="24"/>
          <w:szCs w:val="28"/>
          <w:highlight w:val="none"/>
          <w:u w:val="none" w:color="auto"/>
        </w:rPr>
        <w:t>（三）法定代表人授权委托书（格式）</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szCs w:val="28"/>
          <w:highlight w:val="none"/>
          <w:u w:val="none" w:color="auto"/>
        </w:rPr>
        <w:t>招标项目名称</w:t>
      </w:r>
      <w:r>
        <w:rPr>
          <w:rFonts w:hint="eastAsia" w:ascii="方正仿宋_GBK" w:hAnsi="仿宋" w:eastAsia="方正仿宋_GBK"/>
          <w:sz w:val="24"/>
          <w:highlight w:val="none"/>
          <w:u w:val="none" w:color="auto"/>
        </w:rPr>
        <w:t xml:space="preserve">：                                                </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（投标人法定代表人名称）是                    （投标人名称）的法定代表人，特授权          （被授权人姓名及身份证代码）代表我单位全权办理上述项目的投标、谈判、签约等具体工作，并签署全部有关文件、协议及合同。</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我单位对被授权人的签署负全部责任。</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在撤消授权的书面通知以前，本授权书一直有效。被授权人在授权书有效期内签署的所有文件不因授权的撤消而失效。</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被授权人：                                 投标人法定代表人：</w:t>
      </w:r>
    </w:p>
    <w:p>
      <w:pPr>
        <w:tabs>
          <w:tab w:val="left" w:pos="6300"/>
        </w:tabs>
        <w:snapToGrid w:val="0"/>
        <w:spacing w:line="500" w:lineRule="exact"/>
        <w:ind w:firstLine="570"/>
        <w:rPr>
          <w:rFonts w:hint="eastAsia" w:ascii="方正仿宋_GBK" w:hAnsi="仿宋" w:eastAsia="方正仿宋_GBK"/>
          <w:sz w:val="24"/>
          <w:szCs w:val="28"/>
          <w:highlight w:val="none"/>
          <w:u w:val="none" w:color="auto"/>
        </w:rPr>
      </w:pPr>
      <w:r>
        <w:rPr>
          <w:rFonts w:hint="eastAsia" w:ascii="方正仿宋_GBK" w:hAnsi="仿宋" w:eastAsia="方正仿宋_GBK"/>
          <w:sz w:val="24"/>
          <w:szCs w:val="28"/>
          <w:highlight w:val="none"/>
          <w:u w:val="none" w:color="auto"/>
        </w:rPr>
        <w:t>（签署或盖章）                                （签署或盖章）</w:t>
      </w:r>
    </w:p>
    <w:p>
      <w:pPr>
        <w:tabs>
          <w:tab w:val="left" w:pos="6300"/>
        </w:tabs>
        <w:snapToGrid w:val="0"/>
        <w:spacing w:line="500" w:lineRule="exact"/>
        <w:ind w:firstLine="570"/>
        <w:rPr>
          <w:rFonts w:hint="eastAsia" w:ascii="方正仿宋_GBK" w:hAnsi="仿宋" w:eastAsia="方正仿宋_GBK"/>
          <w:sz w:val="24"/>
          <w:szCs w:val="28"/>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（附：被授权人身份证正反面复印件）</w:t>
      </w:r>
    </w:p>
    <w:p>
      <w:pPr>
        <w:tabs>
          <w:tab w:val="left" w:pos="6300"/>
        </w:tabs>
        <w:snapToGrid w:val="0"/>
        <w:spacing w:line="500" w:lineRule="exact"/>
        <w:ind w:firstLine="57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w:t>
      </w:r>
    </w:p>
    <w:p>
      <w:pPr>
        <w:tabs>
          <w:tab w:val="left" w:pos="6300"/>
        </w:tabs>
        <w:snapToGrid w:val="0"/>
        <w:spacing w:line="500" w:lineRule="exact"/>
        <w:ind w:firstLine="570"/>
        <w:rPr>
          <w:rFonts w:hint="eastAsia" w:ascii="方正仿宋_GBK" w:hAnsi="仿宋" w:eastAsia="方正仿宋_GBK"/>
          <w:sz w:val="24"/>
          <w:highlight w:val="none"/>
          <w:u w:val="none" w:color="auto"/>
        </w:rPr>
      </w:pPr>
    </w:p>
    <w:p>
      <w:pPr>
        <w:tabs>
          <w:tab w:val="left" w:pos="6300"/>
        </w:tabs>
        <w:snapToGrid w:val="0"/>
        <w:spacing w:line="500" w:lineRule="exact"/>
        <w:ind w:right="480" w:firstLine="57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pPr>
        <w:tabs>
          <w:tab w:val="left" w:pos="6300"/>
        </w:tabs>
        <w:snapToGrid w:val="0"/>
        <w:spacing w:line="500" w:lineRule="exact"/>
        <w:ind w:right="480" w:firstLine="57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年   月   日</w:t>
      </w:r>
    </w:p>
    <w:p>
      <w:pPr>
        <w:tabs>
          <w:tab w:val="left" w:pos="6300"/>
        </w:tabs>
        <w:snapToGrid w:val="0"/>
        <w:spacing w:line="500" w:lineRule="exact"/>
        <w:ind w:right="720" w:firstLine="570"/>
        <w:jc w:val="right"/>
        <w:rPr>
          <w:rFonts w:hint="eastAsia" w:ascii="方正仿宋_GBK" w:hAnsi="仿宋" w:eastAsia="方正仿宋_GBK"/>
          <w:sz w:val="24"/>
          <w:highlight w:val="none"/>
          <w:u w:val="none" w:color="auto"/>
        </w:rPr>
      </w:pPr>
    </w:p>
    <w:p>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被授权人电话：XXXXXXX     电子邮箱：XXXXXX@XXXXX（若法定代表人办理并签署投标文件的可不填写）</w:t>
      </w:r>
    </w:p>
    <w:p>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注：</w:t>
      </w:r>
    </w:p>
    <w:p>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1.若为法定代表人办理并签署投标文件的，不提供此文件。</w:t>
      </w:r>
    </w:p>
    <w:p>
      <w:pPr>
        <w:tabs>
          <w:tab w:val="left" w:pos="6300"/>
        </w:tabs>
        <w:snapToGrid w:val="0"/>
        <w:spacing w:line="500" w:lineRule="exact"/>
        <w:ind w:right="480" w:firstLine="570"/>
        <w:jc w:val="lef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2.若为联合体投标的，法定代表人授权委托书由联合体主办方</w:t>
      </w:r>
      <w:r>
        <w:rPr>
          <w:rFonts w:hint="eastAsia" w:ascii="方正仿宋_GBK" w:hAnsi="仿宋" w:eastAsia="方正仿宋_GBK" w:cs="宋体"/>
          <w:kern w:val="0"/>
          <w:sz w:val="24"/>
          <w:szCs w:val="24"/>
          <w:highlight w:val="none"/>
          <w:u w:val="none" w:color="auto"/>
        </w:rPr>
        <w:t>（主体）</w:t>
      </w:r>
      <w:r>
        <w:rPr>
          <w:rFonts w:hint="eastAsia" w:ascii="方正仿宋_GBK" w:hAnsi="仿宋" w:eastAsia="方正仿宋_GBK"/>
          <w:sz w:val="24"/>
          <w:highlight w:val="none"/>
          <w:u w:val="none" w:color="auto"/>
        </w:rPr>
        <w:t>出具。</w:t>
      </w:r>
    </w:p>
    <w:p>
      <w:pPr>
        <w:spacing w:line="400" w:lineRule="exact"/>
        <w:ind w:firstLine="560" w:firstLineChars="200"/>
        <w:jc w:val="left"/>
        <w:rPr>
          <w:rFonts w:hint="eastAsia" w:ascii="方正仿宋_GBK" w:hAnsi="仿宋" w:eastAsia="方正仿宋_GBK"/>
          <w:sz w:val="24"/>
          <w:szCs w:val="24"/>
          <w:highlight w:val="none"/>
          <w:u w:val="none" w:color="auto"/>
        </w:rPr>
      </w:pPr>
      <w:r>
        <w:rPr>
          <w:rFonts w:hint="eastAsia" w:ascii="方正仿宋_GBK" w:hAnsi="仿宋" w:eastAsia="方正仿宋_GBK"/>
          <w:highlight w:val="none"/>
          <w:u w:val="none" w:color="auto"/>
        </w:rPr>
        <w:br w:type="column"/>
      </w:r>
      <w:r>
        <w:rPr>
          <w:rFonts w:hint="eastAsia" w:ascii="方正仿宋_GBK" w:hAnsi="宋体" w:eastAsia="方正仿宋_GBK"/>
          <w:sz w:val="24"/>
          <w:szCs w:val="28"/>
          <w:highlight w:val="none"/>
          <w:u w:val="none" w:color="auto"/>
        </w:rPr>
        <w:t>（四）基本资格条件承诺函</w:t>
      </w:r>
    </w:p>
    <w:p>
      <w:pPr>
        <w:tabs>
          <w:tab w:val="left" w:pos="6300"/>
        </w:tabs>
        <w:snapToGrid w:val="0"/>
        <w:spacing w:line="500" w:lineRule="exact"/>
        <w:ind w:firstLine="643" w:firstLineChars="200"/>
        <w:jc w:val="center"/>
        <w:outlineLvl w:val="0"/>
        <w:rPr>
          <w:rFonts w:hint="eastAsia" w:ascii="方正仿宋_GBK" w:hAnsi="方正仿宋_GBK" w:eastAsia="方正仿宋_GBK" w:cs="方正仿宋_GBK"/>
          <w:b/>
          <w:bCs/>
          <w:sz w:val="32"/>
          <w:szCs w:val="32"/>
          <w:highlight w:val="none"/>
          <w:u w:val="none" w:color="auto"/>
        </w:rPr>
      </w:pPr>
      <w:r>
        <w:rPr>
          <w:rFonts w:hint="eastAsia" w:ascii="方正仿宋_GBK" w:hAnsi="方正仿宋_GBK" w:eastAsia="方正仿宋_GBK" w:cs="方正仿宋_GBK"/>
          <w:b/>
          <w:bCs/>
          <w:sz w:val="32"/>
          <w:szCs w:val="32"/>
          <w:highlight w:val="none"/>
          <w:u w:val="none" w:color="auto"/>
        </w:rPr>
        <w:t>基本资格条件承诺函</w:t>
      </w:r>
    </w:p>
    <w:p>
      <w:pPr>
        <w:tabs>
          <w:tab w:val="left" w:pos="6300"/>
        </w:tabs>
        <w:snapToGrid w:val="0"/>
        <w:spacing w:line="530" w:lineRule="exact"/>
        <w:rPr>
          <w:sz w:val="24"/>
          <w:highlight w:val="none"/>
          <w:u w:val="none" w:color="auto"/>
        </w:rPr>
      </w:pP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致                   （采购代理机构名称）：</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 xml:space="preserve">                  （投标人名称）郑重承诺：</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1.我方具有良好的商业信誉和健全的财务会计制度，具有履行合同所必需的设备和专业技术能力，具</w:t>
      </w:r>
      <w:r>
        <w:rPr>
          <w:rFonts w:hint="eastAsia" w:ascii="方正仿宋_GBK" w:hAnsi="仿宋" w:eastAsia="方正仿宋_GBK"/>
          <w:sz w:val="24"/>
          <w:highlight w:val="none"/>
          <w:u w:val="none" w:color="auto"/>
          <w:lang w:val="zh-CN"/>
        </w:rPr>
        <w:t>有依法缴纳税收和社会保障金的良好记录</w:t>
      </w:r>
      <w:r>
        <w:rPr>
          <w:rFonts w:hint="eastAsia" w:ascii="方正仿宋_GBK" w:hAnsi="仿宋" w:eastAsia="方正仿宋_GBK"/>
          <w:sz w:val="24"/>
          <w:highlight w:val="none"/>
          <w:u w:val="none" w:color="auto"/>
        </w:rPr>
        <w:t>，参加本项目采购活动前三年内无重大违法活动记录。</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2.我方未列入在信用中国网站（www.creditchina.gov.cn）“失信被执行人”、“重大税收违法案件当事人名单”中，也未列入中国政府采购网（www.ccgp.gov.cn）“政府采购严重违法失信行为记录名单”中。</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3.我方在采购项目评审（评标）环节结束后，随时接受采购人、采购代理机构的检查验证，配合提供相关证明材料，证明符合《中华人民共和国政府采购法》规定的投标人基本资格条件。</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我方对以上承诺负全部法律责任。</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特此承诺。</w:t>
      </w:r>
    </w:p>
    <w:p>
      <w:pPr>
        <w:tabs>
          <w:tab w:val="left" w:pos="6300"/>
        </w:tabs>
        <w:snapToGrid w:val="0"/>
        <w:spacing w:line="500" w:lineRule="exact"/>
        <w:ind w:firstLine="480" w:firstLineChars="200"/>
        <w:rPr>
          <w:rFonts w:hint="eastAsia" w:ascii="方正仿宋_GBK" w:hAnsi="仿宋" w:eastAsia="方正仿宋_GBK"/>
          <w:sz w:val="24"/>
          <w:highlight w:val="none"/>
          <w:u w:val="none" w:color="auto"/>
        </w:rPr>
      </w:pPr>
    </w:p>
    <w:p>
      <w:pPr>
        <w:tabs>
          <w:tab w:val="left" w:pos="6300"/>
        </w:tabs>
        <w:snapToGrid w:val="0"/>
        <w:spacing w:line="500" w:lineRule="exact"/>
        <w:ind w:firstLine="480" w:firstLineChars="20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（投标人公章）</w:t>
      </w:r>
    </w:p>
    <w:p>
      <w:pPr>
        <w:tabs>
          <w:tab w:val="left" w:pos="6300"/>
        </w:tabs>
        <w:snapToGrid w:val="0"/>
        <w:spacing w:line="500" w:lineRule="exact"/>
        <w:ind w:firstLine="480" w:firstLineChars="200"/>
        <w:jc w:val="right"/>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年   月   日</w:t>
      </w:r>
    </w:p>
    <w:p>
      <w:pPr>
        <w:snapToGrid w:val="0"/>
        <w:spacing w:line="440" w:lineRule="exact"/>
        <w:ind w:firstLine="480" w:firstLineChars="200"/>
        <w:rPr>
          <w:rFonts w:hint="eastAsia" w:ascii="方正仿宋_GBK" w:hAnsi="仿宋" w:eastAsia="方正仿宋_GBK"/>
          <w:sz w:val="24"/>
          <w:szCs w:val="24"/>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spacing w:line="400" w:lineRule="exact"/>
        <w:rPr>
          <w:rFonts w:ascii="方正仿宋_GBK" w:hAnsi="仿宋" w:eastAsia="方正仿宋_GBK"/>
          <w:highlight w:val="none"/>
          <w:u w:val="none" w:color="auto"/>
        </w:rPr>
      </w:pPr>
    </w:p>
    <w:p>
      <w:pPr>
        <w:tabs>
          <w:tab w:val="left" w:pos="6300"/>
        </w:tabs>
        <w:snapToGrid w:val="0"/>
        <w:spacing w:line="500" w:lineRule="exact"/>
        <w:ind w:firstLine="480" w:firstLineChars="200"/>
        <w:rPr>
          <w:rFonts w:hint="eastAsia" w:ascii="方正仿宋_GBK" w:hAnsi="宋体" w:eastAsia="方正仿宋_GBK"/>
          <w:sz w:val="24"/>
          <w:szCs w:val="28"/>
          <w:highlight w:val="none"/>
          <w:u w:val="none" w:color="auto"/>
        </w:rPr>
      </w:pPr>
    </w:p>
    <w:p>
      <w:pPr>
        <w:tabs>
          <w:tab w:val="left" w:pos="6300"/>
        </w:tabs>
        <w:snapToGrid w:val="0"/>
        <w:spacing w:line="500" w:lineRule="exact"/>
        <w:ind w:firstLine="480" w:firstLineChars="200"/>
        <w:rPr>
          <w:rFonts w:hint="eastAsia" w:ascii="方正仿宋_GBK" w:hAnsi="宋体" w:eastAsia="方正仿宋_GBK"/>
          <w:sz w:val="24"/>
          <w:szCs w:val="28"/>
          <w:highlight w:val="none"/>
          <w:u w:val="none" w:color="auto"/>
        </w:rPr>
      </w:pPr>
    </w:p>
    <w:p>
      <w:pPr>
        <w:tabs>
          <w:tab w:val="left" w:pos="6300"/>
        </w:tabs>
        <w:snapToGrid w:val="0"/>
        <w:spacing w:line="500" w:lineRule="exact"/>
        <w:ind w:firstLine="480" w:firstLineChars="200"/>
        <w:rPr>
          <w:rFonts w:ascii="方正仿宋_GBK" w:hAnsi="宋体" w:eastAsia="方正仿宋_GBK"/>
          <w:sz w:val="24"/>
          <w:szCs w:val="28"/>
          <w:highlight w:val="none"/>
          <w:u w:val="none" w:color="auto"/>
        </w:rPr>
      </w:pPr>
      <w:r>
        <w:rPr>
          <w:rFonts w:hint="eastAsia" w:ascii="方正仿宋_GBK" w:hAnsi="宋体" w:eastAsia="方正仿宋_GBK"/>
          <w:sz w:val="24"/>
          <w:szCs w:val="28"/>
          <w:highlight w:val="none"/>
          <w:u w:val="none" w:color="auto"/>
        </w:rPr>
        <w:t>（五）特定资格条件证书或证明文件</w:t>
      </w:r>
    </w:p>
    <w:p>
      <w:pPr>
        <w:snapToGrid w:val="0"/>
        <w:spacing w:line="400" w:lineRule="exact"/>
        <w:ind w:firstLine="480" w:firstLineChars="200"/>
        <w:rPr>
          <w:rFonts w:hint="eastAsia" w:ascii="方正仿宋_GBK" w:hAnsi="宋体" w:eastAsia="方正仿宋_GBK" w:cs="Times New Roman"/>
          <w:sz w:val="24"/>
          <w:szCs w:val="24"/>
          <w:highlight w:val="none"/>
          <w:u w:val="none" w:color="auto"/>
        </w:rPr>
      </w:pPr>
      <w:r>
        <w:rPr>
          <w:rFonts w:hint="eastAsia" w:ascii="方正仿宋_GBK" w:hAnsi="宋体" w:eastAsia="方正仿宋_GBK"/>
          <w:sz w:val="24"/>
          <w:szCs w:val="24"/>
          <w:highlight w:val="none"/>
          <w:u w:val="none" w:color="auto"/>
        </w:rPr>
        <w:t>（</w:t>
      </w:r>
      <w:r>
        <w:rPr>
          <w:rFonts w:hint="eastAsia" w:ascii="方正仿宋_GBK" w:hAnsi="宋体" w:eastAsia="方正仿宋_GBK"/>
          <w:sz w:val="24"/>
          <w:szCs w:val="24"/>
          <w:highlight w:val="none"/>
          <w:u w:val="none" w:color="auto"/>
          <w:lang w:val="en-US" w:eastAsia="zh-CN"/>
        </w:rPr>
        <w:t>六</w:t>
      </w:r>
      <w:r>
        <w:rPr>
          <w:rFonts w:hint="eastAsia" w:ascii="方正仿宋_GBK" w:hAnsi="宋体" w:eastAsia="方正仿宋_GBK"/>
          <w:sz w:val="24"/>
          <w:szCs w:val="24"/>
          <w:highlight w:val="none"/>
          <w:u w:val="none" w:color="auto"/>
        </w:rPr>
        <w:t>）</w:t>
      </w:r>
      <w:r>
        <w:rPr>
          <w:rFonts w:hint="eastAsia" w:ascii="方正仿宋_GBK" w:hAnsi="宋体" w:eastAsia="方正仿宋_GBK" w:cs="Times New Roman"/>
          <w:sz w:val="24"/>
          <w:szCs w:val="24"/>
          <w:highlight w:val="none"/>
          <w:u w:val="none" w:color="auto"/>
        </w:rPr>
        <w:t>投标</w:t>
      </w:r>
      <w:r>
        <w:rPr>
          <w:rFonts w:hint="eastAsia" w:ascii="方正仿宋_GBK" w:hAnsi="宋体" w:eastAsia="方正仿宋_GBK" w:cs="Times New Roman"/>
          <w:sz w:val="24"/>
          <w:szCs w:val="24"/>
          <w:highlight w:val="none"/>
          <w:u w:val="none" w:color="auto"/>
          <w:lang w:val="en-US" w:eastAsia="zh-CN"/>
        </w:rPr>
        <w:t>人</w:t>
      </w:r>
      <w:r>
        <w:rPr>
          <w:rFonts w:hint="eastAsia" w:ascii="方正仿宋_GBK" w:hAnsi="宋体" w:eastAsia="方正仿宋_GBK" w:cs="Times New Roman"/>
          <w:sz w:val="24"/>
          <w:szCs w:val="24"/>
          <w:highlight w:val="none"/>
          <w:u w:val="none" w:color="auto"/>
        </w:rPr>
        <w:t>对公账户开户银行许可证或基本存款账户信息（账户与缴纳保证金的账户一致）复印件加盖鲜章；缴纳保证金的凭证复印件加盖鲜章。</w:t>
      </w: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ind w:firstLine="570"/>
        <w:jc w:val="left"/>
        <w:rPr>
          <w:rFonts w:hint="eastAsia" w:ascii="方正仿宋_GBK" w:hAnsi="仿宋" w:eastAsia="方正仿宋_GBK"/>
          <w:sz w:val="24"/>
          <w:highlight w:val="none"/>
          <w:u w:val="none" w:color="auto"/>
        </w:rPr>
      </w:pPr>
    </w:p>
    <w:p>
      <w:pPr>
        <w:tabs>
          <w:tab w:val="left" w:pos="6300"/>
        </w:tabs>
        <w:snapToGrid w:val="0"/>
        <w:spacing w:line="500" w:lineRule="exact"/>
        <w:jc w:val="left"/>
        <w:rPr>
          <w:rFonts w:hint="eastAsia" w:ascii="方正仿宋_GBK" w:hAnsi="仿宋" w:eastAsia="方正仿宋_GBK"/>
          <w:sz w:val="24"/>
          <w:highlight w:val="none"/>
          <w:u w:val="none" w:color="auto"/>
        </w:rPr>
      </w:pPr>
    </w:p>
    <w:p>
      <w:pPr>
        <w:tabs>
          <w:tab w:val="left" w:pos="6300"/>
        </w:tabs>
        <w:snapToGrid w:val="0"/>
        <w:spacing w:line="500" w:lineRule="exact"/>
        <w:ind w:firstLine="480" w:firstLineChars="200"/>
        <w:jc w:val="center"/>
        <w:outlineLvl w:val="0"/>
        <w:rPr>
          <w:rFonts w:hint="eastAsia" w:ascii="方正仿宋_GBK" w:hAnsi="仿宋" w:eastAsia="方正仿宋_GBK"/>
          <w:sz w:val="24"/>
          <w:highlight w:val="none"/>
          <w:u w:val="none" w:color="auto"/>
        </w:rPr>
      </w:pPr>
      <w:r>
        <w:rPr>
          <w:rFonts w:hint="eastAsia" w:ascii="方正仿宋_GBK" w:hAnsi="仿宋" w:eastAsia="方正仿宋_GBK"/>
          <w:sz w:val="24"/>
          <w:highlight w:val="none"/>
          <w:u w:val="none" w:color="auto"/>
        </w:rPr>
        <w:t>（结束）</w:t>
      </w:r>
    </w:p>
    <w:sectPr>
      <w:footerReference r:id="rId7" w:type="default"/>
      <w:type w:val="nextColumn"/>
      <w:pgSz w:w="11907" w:h="16840"/>
      <w:pgMar w:top="1134" w:right="1191" w:bottom="1134" w:left="1304" w:header="964" w:footer="992" w:gutter="0"/>
      <w:pgBorders w:offsetFrom="page">
        <w:top w:val="none" w:sz="0" w:space="0"/>
        <w:left w:val="none" w:sz="0" w:space="0"/>
        <w:bottom w:val="none" w:sz="0" w:space="0"/>
        <w:right w:val="none" w:sz="0" w:space="0"/>
      </w:pgBorders>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Sitka Text"/>
    <w:panose1 w:val="02020500000000000000"/>
    <w:charset w:val="00"/>
    <w:family w:val="roma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Arial"/>
    <w:panose1 w:val="020B0604020202020204"/>
    <w:charset w:val="00"/>
    <w:family w:val="swiss"/>
    <w:pitch w:val="default"/>
    <w:sig w:usb0="00000000" w:usb1="00000000" w:usb2="0000003F" w:usb3="00000000" w:csb0="003F01FF" w:csb1="00000000"/>
  </w:font>
  <w:font w:name="_x000B__x000C_">
    <w:altName w:val="Segoe Print"/>
    <w:panose1 w:val="00000000000000000000"/>
    <w:charset w:val="00"/>
    <w:family w:val="roman"/>
    <w:pitch w:val="default"/>
    <w:sig w:usb0="00000000" w:usb1="00000000" w:usb2="00000000" w:usb3="00000000" w:csb0="00000001" w:csb1="00000000"/>
  </w:font>
  <w:font w:name="文鼎粗黑">
    <w:altName w:val="方正黑体_GBK"/>
    <w:panose1 w:val="020B0609010101010101"/>
    <w:charset w:val="00"/>
    <w:family w:val="modern"/>
    <w:pitch w:val="default"/>
    <w:sig w:usb0="00000000" w:usb1="00000000" w:usb2="00000010" w:usb3="00000000" w:csb0="00040000" w:csb1="00000000"/>
  </w:font>
  <w:font w:name="昆仑楷体">
    <w:altName w:val="方正楷体_GBK"/>
    <w:panose1 w:val="02010609000101010101"/>
    <w:charset w:val="00"/>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Sitka Text">
    <w:panose1 w:val="02000505000000020004"/>
    <w:charset w:val="00"/>
    <w:family w:val="auto"/>
    <w:pitch w:val="default"/>
    <w:sig w:usb0="A00002EF" w:usb1="4000204B" w:usb2="00000000" w:usb3="00000000" w:csb0="2000019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hint="eastAsia"/>
        <w:sz w:val="24"/>
      </w:rPr>
    </w:pPr>
    <w:r>
      <w:rPr>
        <w:sz w:val="24"/>
      </w:rPr>
      <w:fldChar w:fldCharType="begin"/>
    </w:r>
    <w:r>
      <w:rPr>
        <w:rStyle w:val="64"/>
        <w:sz w:val="24"/>
      </w:rPr>
      <w:instrText xml:space="preserve"> PAGE </w:instrText>
    </w:r>
    <w:r>
      <w:rPr>
        <w:sz w:val="24"/>
      </w:rPr>
      <w:fldChar w:fldCharType="separate"/>
    </w:r>
    <w:r>
      <w:rPr>
        <w:rStyle w:val="64"/>
        <w:sz w:val="24"/>
      </w:rPr>
      <w:t>- 2 -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framePr w:wrap="around" w:vAnchor="text" w:hAnchor="margin" w:xAlign="center" w:y="1"/>
      <w:rPr>
        <w:rStyle w:val="64"/>
      </w:rPr>
    </w:pPr>
    <w:r>
      <w:fldChar w:fldCharType="begin"/>
    </w:r>
    <w:r>
      <w:rPr>
        <w:rStyle w:val="64"/>
      </w:rPr>
      <w:instrText xml:space="preserve">PAGE  </w:instrText>
    </w:r>
    <w:r>
      <w:fldChar w:fldCharType="separate"/>
    </w:r>
    <w:r>
      <w:fldChar w:fldCharType="end"/>
    </w:r>
  </w:p>
  <w:p>
    <w:pPr>
      <w:pStyle w:val="3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sz w:val="24"/>
      </w:rPr>
    </w:pPr>
    <w:r>
      <w:rPr>
        <w:sz w:val="24"/>
      </w:rPr>
      <w:fldChar w:fldCharType="begin"/>
    </w:r>
    <w:r>
      <w:rPr>
        <w:rStyle w:val="64"/>
        <w:sz w:val="24"/>
      </w:rPr>
      <w:instrText xml:space="preserve"> PAGE </w:instrText>
    </w:r>
    <w:r>
      <w:rPr>
        <w:sz w:val="24"/>
      </w:rPr>
      <w:fldChar w:fldCharType="separate"/>
    </w:r>
    <w:r>
      <w:rPr>
        <w:rStyle w:val="64"/>
        <w:sz w:val="24"/>
      </w:rPr>
      <w:t>- 32 -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single" w:color="auto" w:sz="4" w:space="1"/>
      </w:pBdr>
      <w:ind w:firstLine="2415" w:firstLineChars="1150"/>
      <w:jc w:val="both"/>
      <w:rPr>
        <w:rFonts w:hint="eastAsia" w:ascii="方正仿宋_GBK" w:eastAsia="方正仿宋_GBK"/>
        <w:sz w:val="21"/>
        <w:szCs w:val="24"/>
      </w:rPr>
    </w:pPr>
    <w:r>
      <w:rPr>
        <w:rFonts w:hint="eastAsia" w:ascii="方正仿宋_GBK" w:eastAsia="方正仿宋_GBK"/>
        <w:sz w:val="21"/>
        <w:szCs w:val="24"/>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584DEB"/>
    <w:multiLevelType w:val="singleLevel"/>
    <w:tmpl w:val="97584DEB"/>
    <w:lvl w:ilvl="0" w:tentative="0">
      <w:start w:val="2"/>
      <w:numFmt w:val="chineseCounting"/>
      <w:suff w:val="nothing"/>
      <w:lvlText w:val="（%1）"/>
      <w:lvlJc w:val="left"/>
      <w:rPr>
        <w:rFonts w:hint="eastAsia"/>
      </w:rPr>
    </w:lvl>
  </w:abstractNum>
  <w:abstractNum w:abstractNumId="1">
    <w:nsid w:val="00000003"/>
    <w:multiLevelType w:val="singleLevel"/>
    <w:tmpl w:val="00000003"/>
    <w:lvl w:ilvl="0" w:tentative="0">
      <w:start w:val="1"/>
      <w:numFmt w:val="decimal"/>
      <w:pStyle w:val="14"/>
      <w:lvlText w:val="%1."/>
      <w:lvlJc w:val="left"/>
      <w:pPr>
        <w:tabs>
          <w:tab w:val="left" w:pos="780"/>
        </w:tabs>
        <w:ind w:left="780" w:hanging="360"/>
      </w:pPr>
    </w:lvl>
  </w:abstractNum>
  <w:abstractNum w:abstractNumId="2">
    <w:nsid w:val="00000005"/>
    <w:multiLevelType w:val="multilevel"/>
    <w:tmpl w:val="00000005"/>
    <w:lvl w:ilvl="0" w:tentative="0">
      <w:start w:val="1"/>
      <w:numFmt w:val="bullet"/>
      <w:pStyle w:val="129"/>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3">
    <w:nsid w:val="00000006"/>
    <w:multiLevelType w:val="singleLevel"/>
    <w:tmpl w:val="00000006"/>
    <w:lvl w:ilvl="0" w:tentative="0">
      <w:start w:val="1"/>
      <w:numFmt w:val="bullet"/>
      <w:pStyle w:val="15"/>
      <w:lvlText w:val=""/>
      <w:lvlJc w:val="left"/>
      <w:pPr>
        <w:tabs>
          <w:tab w:val="left" w:pos="1620"/>
        </w:tabs>
        <w:ind w:left="1620" w:hanging="360"/>
      </w:pPr>
      <w:rPr>
        <w:rFonts w:hint="default" w:ascii="Wingdings" w:hAnsi="Wingdings"/>
      </w:rPr>
    </w:lvl>
  </w:abstractNum>
  <w:abstractNum w:abstractNumId="4">
    <w:nsid w:val="00000007"/>
    <w:multiLevelType w:val="multilevel"/>
    <w:tmpl w:val="00000007"/>
    <w:lvl w:ilvl="0" w:tentative="0">
      <w:start w:val="1"/>
      <w:numFmt w:val="bullet"/>
      <w:pStyle w:val="138"/>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8"/>
    <w:multiLevelType w:val="multilevel"/>
    <w:tmpl w:val="00000008"/>
    <w:lvl w:ilvl="0" w:tentative="0">
      <w:start w:val="1"/>
      <w:numFmt w:val="chineseCountingThousand"/>
      <w:pStyle w:val="6"/>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09"/>
    <w:multiLevelType w:val="multilevel"/>
    <w:tmpl w:val="00000009"/>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86"/>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0A"/>
    <w:multiLevelType w:val="multilevel"/>
    <w:tmpl w:val="0000000A"/>
    <w:lvl w:ilvl="0" w:tentative="0">
      <w:start w:val="8"/>
      <w:numFmt w:val="decimal"/>
      <w:pStyle w:val="185"/>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16"/>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00000012"/>
    <w:multiLevelType w:val="singleLevel"/>
    <w:tmpl w:val="00000012"/>
    <w:lvl w:ilvl="0" w:tentative="0">
      <w:start w:val="1"/>
      <w:numFmt w:val="bullet"/>
      <w:pStyle w:val="29"/>
      <w:lvlText w:val=""/>
      <w:lvlJc w:val="left"/>
      <w:pPr>
        <w:tabs>
          <w:tab w:val="left" w:pos="780"/>
        </w:tabs>
        <w:ind w:left="780" w:hanging="360"/>
      </w:pPr>
      <w:rPr>
        <w:rFonts w:hint="default" w:ascii="Wingdings" w:hAnsi="Wingdings"/>
      </w:rPr>
    </w:lvl>
  </w:abstractNum>
  <w:abstractNum w:abstractNumId="9">
    <w:nsid w:val="00000013"/>
    <w:multiLevelType w:val="multilevel"/>
    <w:tmpl w:val="00000013"/>
    <w:lvl w:ilvl="0" w:tentative="0">
      <w:start w:val="1"/>
      <w:numFmt w:val="bullet"/>
      <w:pStyle w:val="106"/>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5"/>
    <w:multiLevelType w:val="multilevel"/>
    <w:tmpl w:val="00000015"/>
    <w:lvl w:ilvl="0" w:tentative="0">
      <w:start w:val="1"/>
      <w:numFmt w:val="decimal"/>
      <w:pStyle w:val="200"/>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6"/>
    <w:multiLevelType w:val="singleLevel"/>
    <w:tmpl w:val="00000016"/>
    <w:lvl w:ilvl="0" w:tentative="0">
      <w:start w:val="1"/>
      <w:numFmt w:val="bullet"/>
      <w:pStyle w:val="124"/>
      <w:lvlText w:val=""/>
      <w:lvlJc w:val="left"/>
      <w:pPr>
        <w:tabs>
          <w:tab w:val="left" w:pos="360"/>
        </w:tabs>
        <w:ind w:left="360" w:hanging="360"/>
      </w:pPr>
      <w:rPr>
        <w:rFonts w:hint="default" w:ascii="Wingdings" w:hAnsi="Wingdings"/>
      </w:rPr>
    </w:lvl>
  </w:abstractNum>
  <w:abstractNum w:abstractNumId="12">
    <w:nsid w:val="00000017"/>
    <w:multiLevelType w:val="singleLevel"/>
    <w:tmpl w:val="00000017"/>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13">
    <w:nsid w:val="00000019"/>
    <w:multiLevelType w:val="singleLevel"/>
    <w:tmpl w:val="00000019"/>
    <w:lvl w:ilvl="0" w:tentative="0">
      <w:start w:val="1"/>
      <w:numFmt w:val="decimal"/>
      <w:pStyle w:val="101"/>
      <w:lvlText w:val="%1)"/>
      <w:lvlJc w:val="left"/>
      <w:pPr>
        <w:tabs>
          <w:tab w:val="left" w:pos="425"/>
        </w:tabs>
        <w:ind w:left="425" w:hanging="425"/>
      </w:pPr>
      <w:rPr>
        <w:rFonts w:hint="eastAsia"/>
      </w:rPr>
    </w:lvl>
  </w:abstractNum>
  <w:abstractNum w:abstractNumId="14">
    <w:nsid w:val="0000001A"/>
    <w:multiLevelType w:val="multilevel"/>
    <w:tmpl w:val="0000001A"/>
    <w:lvl w:ilvl="0" w:tentative="0">
      <w:start w:val="1"/>
      <w:numFmt w:val="decimal"/>
      <w:pStyle w:val="15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1D"/>
    <w:multiLevelType w:val="multilevel"/>
    <w:tmpl w:val="0000001D"/>
    <w:lvl w:ilvl="0" w:tentative="0">
      <w:start w:val="1"/>
      <w:numFmt w:val="chineseCountingThousand"/>
      <w:pStyle w:val="159"/>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5E26BE22"/>
    <w:multiLevelType w:val="singleLevel"/>
    <w:tmpl w:val="5E26BE22"/>
    <w:lvl w:ilvl="0" w:tentative="0">
      <w:start w:val="2"/>
      <w:numFmt w:val="chineseCounting"/>
      <w:suff w:val="space"/>
      <w:lvlText w:val="第%1篇"/>
      <w:lvlJc w:val="left"/>
      <w:rPr>
        <w:rFonts w:hint="eastAsia"/>
      </w:rPr>
    </w:lvl>
  </w:abstractNum>
  <w:num w:numId="1">
    <w:abstractNumId w:val="5"/>
  </w:num>
  <w:num w:numId="2">
    <w:abstractNumId w:val="1"/>
  </w:num>
  <w:num w:numId="3">
    <w:abstractNumId w:val="3"/>
  </w:num>
  <w:num w:numId="4">
    <w:abstractNumId w:val="12"/>
  </w:num>
  <w:num w:numId="5">
    <w:abstractNumId w:val="8"/>
  </w:num>
  <w:num w:numId="6">
    <w:abstractNumId w:val="13"/>
  </w:num>
  <w:num w:numId="7">
    <w:abstractNumId w:val="9"/>
  </w:num>
  <w:num w:numId="8">
    <w:abstractNumId w:val="7"/>
  </w:num>
  <w:num w:numId="9">
    <w:abstractNumId w:val="11"/>
  </w:num>
  <w:num w:numId="10">
    <w:abstractNumId w:val="2"/>
  </w:num>
  <w:num w:numId="11">
    <w:abstractNumId w:val="4"/>
  </w:num>
  <w:num w:numId="12">
    <w:abstractNumId w:val="14"/>
  </w:num>
  <w:num w:numId="13">
    <w:abstractNumId w:val="15"/>
  </w:num>
  <w:num w:numId="14">
    <w:abstractNumId w:val="6"/>
  </w:num>
  <w:num w:numId="15">
    <w:abstractNumId w:val="10"/>
  </w:num>
  <w:num w:numId="16">
    <w:abstractNumId w:val="0"/>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
  <w:hyphenationZone w:val="36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09FD"/>
    <w:rsid w:val="00000ED2"/>
    <w:rsid w:val="00003684"/>
    <w:rsid w:val="000072F0"/>
    <w:rsid w:val="00010A9A"/>
    <w:rsid w:val="000110F0"/>
    <w:rsid w:val="00011AF1"/>
    <w:rsid w:val="00012203"/>
    <w:rsid w:val="00012ACA"/>
    <w:rsid w:val="00021946"/>
    <w:rsid w:val="000266A1"/>
    <w:rsid w:val="0003075E"/>
    <w:rsid w:val="00030782"/>
    <w:rsid w:val="0003282A"/>
    <w:rsid w:val="00034A67"/>
    <w:rsid w:val="0003767C"/>
    <w:rsid w:val="000376BA"/>
    <w:rsid w:val="00037FAD"/>
    <w:rsid w:val="000408C5"/>
    <w:rsid w:val="000420C0"/>
    <w:rsid w:val="00042250"/>
    <w:rsid w:val="00043311"/>
    <w:rsid w:val="00047144"/>
    <w:rsid w:val="0005078E"/>
    <w:rsid w:val="00056058"/>
    <w:rsid w:val="00057565"/>
    <w:rsid w:val="00060807"/>
    <w:rsid w:val="00060F9F"/>
    <w:rsid w:val="00064EA7"/>
    <w:rsid w:val="0006572E"/>
    <w:rsid w:val="00075252"/>
    <w:rsid w:val="00075520"/>
    <w:rsid w:val="00075BA6"/>
    <w:rsid w:val="00082AC9"/>
    <w:rsid w:val="000857DB"/>
    <w:rsid w:val="000879D1"/>
    <w:rsid w:val="00087E2A"/>
    <w:rsid w:val="000908E7"/>
    <w:rsid w:val="0009136B"/>
    <w:rsid w:val="000946BD"/>
    <w:rsid w:val="00094D91"/>
    <w:rsid w:val="00094FBF"/>
    <w:rsid w:val="000A2FB3"/>
    <w:rsid w:val="000A3ABD"/>
    <w:rsid w:val="000A4BD7"/>
    <w:rsid w:val="000A5589"/>
    <w:rsid w:val="000A5751"/>
    <w:rsid w:val="000A7D62"/>
    <w:rsid w:val="000B2716"/>
    <w:rsid w:val="000B7271"/>
    <w:rsid w:val="000B7BBF"/>
    <w:rsid w:val="000C06D1"/>
    <w:rsid w:val="000C0F7C"/>
    <w:rsid w:val="000C2017"/>
    <w:rsid w:val="000C211D"/>
    <w:rsid w:val="000C2606"/>
    <w:rsid w:val="000C2A90"/>
    <w:rsid w:val="000C345B"/>
    <w:rsid w:val="000C47BC"/>
    <w:rsid w:val="000C59C5"/>
    <w:rsid w:val="000C6075"/>
    <w:rsid w:val="000C6371"/>
    <w:rsid w:val="000C7F1A"/>
    <w:rsid w:val="000D568F"/>
    <w:rsid w:val="000D7645"/>
    <w:rsid w:val="000E1B32"/>
    <w:rsid w:val="000E32C9"/>
    <w:rsid w:val="000E43DC"/>
    <w:rsid w:val="000E491B"/>
    <w:rsid w:val="000E4AA8"/>
    <w:rsid w:val="000E52BD"/>
    <w:rsid w:val="000E6091"/>
    <w:rsid w:val="000E6331"/>
    <w:rsid w:val="000F16AA"/>
    <w:rsid w:val="000F176A"/>
    <w:rsid w:val="000F2213"/>
    <w:rsid w:val="000F30CC"/>
    <w:rsid w:val="000F391C"/>
    <w:rsid w:val="000F482B"/>
    <w:rsid w:val="000F4BEC"/>
    <w:rsid w:val="000F5FF0"/>
    <w:rsid w:val="001001A5"/>
    <w:rsid w:val="001035DF"/>
    <w:rsid w:val="00104A22"/>
    <w:rsid w:val="00104C5C"/>
    <w:rsid w:val="00107F21"/>
    <w:rsid w:val="001103D7"/>
    <w:rsid w:val="00110AA3"/>
    <w:rsid w:val="00111819"/>
    <w:rsid w:val="0011194D"/>
    <w:rsid w:val="00112524"/>
    <w:rsid w:val="001125BF"/>
    <w:rsid w:val="00112BB6"/>
    <w:rsid w:val="00113FC9"/>
    <w:rsid w:val="00121660"/>
    <w:rsid w:val="0012297F"/>
    <w:rsid w:val="00122FAE"/>
    <w:rsid w:val="00124B08"/>
    <w:rsid w:val="00124E2D"/>
    <w:rsid w:val="001250D0"/>
    <w:rsid w:val="001254D3"/>
    <w:rsid w:val="00125E3E"/>
    <w:rsid w:val="001329C4"/>
    <w:rsid w:val="00132AB5"/>
    <w:rsid w:val="00135250"/>
    <w:rsid w:val="0014045A"/>
    <w:rsid w:val="001407F6"/>
    <w:rsid w:val="00143D04"/>
    <w:rsid w:val="00143E2B"/>
    <w:rsid w:val="0015271E"/>
    <w:rsid w:val="001528E5"/>
    <w:rsid w:val="001554C7"/>
    <w:rsid w:val="001578C2"/>
    <w:rsid w:val="00157C05"/>
    <w:rsid w:val="00161645"/>
    <w:rsid w:val="0016239E"/>
    <w:rsid w:val="00163AC1"/>
    <w:rsid w:val="00164405"/>
    <w:rsid w:val="00165AD0"/>
    <w:rsid w:val="00170376"/>
    <w:rsid w:val="0017268B"/>
    <w:rsid w:val="00173AC9"/>
    <w:rsid w:val="00174F15"/>
    <w:rsid w:val="00176391"/>
    <w:rsid w:val="001767A8"/>
    <w:rsid w:val="00176960"/>
    <w:rsid w:val="0018194D"/>
    <w:rsid w:val="00183E69"/>
    <w:rsid w:val="00183EEB"/>
    <w:rsid w:val="001864B0"/>
    <w:rsid w:val="00186A28"/>
    <w:rsid w:val="00187F68"/>
    <w:rsid w:val="00191EDB"/>
    <w:rsid w:val="00192A3E"/>
    <w:rsid w:val="00194E17"/>
    <w:rsid w:val="001960BE"/>
    <w:rsid w:val="001961B5"/>
    <w:rsid w:val="00197352"/>
    <w:rsid w:val="00197B98"/>
    <w:rsid w:val="001A0940"/>
    <w:rsid w:val="001A126D"/>
    <w:rsid w:val="001A648A"/>
    <w:rsid w:val="001B0FEE"/>
    <w:rsid w:val="001B4A20"/>
    <w:rsid w:val="001B539D"/>
    <w:rsid w:val="001B53C1"/>
    <w:rsid w:val="001C08B0"/>
    <w:rsid w:val="001C2080"/>
    <w:rsid w:val="001C3A07"/>
    <w:rsid w:val="001C54FE"/>
    <w:rsid w:val="001C6A1E"/>
    <w:rsid w:val="001D1258"/>
    <w:rsid w:val="001D1F52"/>
    <w:rsid w:val="001D3224"/>
    <w:rsid w:val="001D365F"/>
    <w:rsid w:val="001D3B7E"/>
    <w:rsid w:val="001D5461"/>
    <w:rsid w:val="001D7E51"/>
    <w:rsid w:val="001E2993"/>
    <w:rsid w:val="001E2F12"/>
    <w:rsid w:val="001E4F32"/>
    <w:rsid w:val="001E6382"/>
    <w:rsid w:val="001E6909"/>
    <w:rsid w:val="001F07F7"/>
    <w:rsid w:val="001F2CAB"/>
    <w:rsid w:val="001F381D"/>
    <w:rsid w:val="001F4FBB"/>
    <w:rsid w:val="001F6C1F"/>
    <w:rsid w:val="001F707E"/>
    <w:rsid w:val="002037CF"/>
    <w:rsid w:val="002101B3"/>
    <w:rsid w:val="002129E3"/>
    <w:rsid w:val="00216844"/>
    <w:rsid w:val="00217474"/>
    <w:rsid w:val="00217C0F"/>
    <w:rsid w:val="00220225"/>
    <w:rsid w:val="002208C1"/>
    <w:rsid w:val="002213BF"/>
    <w:rsid w:val="00223B03"/>
    <w:rsid w:val="0022640C"/>
    <w:rsid w:val="0022711C"/>
    <w:rsid w:val="00227651"/>
    <w:rsid w:val="00230CE6"/>
    <w:rsid w:val="00233395"/>
    <w:rsid w:val="00233AFE"/>
    <w:rsid w:val="0023537E"/>
    <w:rsid w:val="00236969"/>
    <w:rsid w:val="00236E09"/>
    <w:rsid w:val="00237468"/>
    <w:rsid w:val="00237C42"/>
    <w:rsid w:val="002435D0"/>
    <w:rsid w:val="00243F8F"/>
    <w:rsid w:val="00245D2A"/>
    <w:rsid w:val="00246B99"/>
    <w:rsid w:val="002474A9"/>
    <w:rsid w:val="00251AB6"/>
    <w:rsid w:val="00251E45"/>
    <w:rsid w:val="00252167"/>
    <w:rsid w:val="00252999"/>
    <w:rsid w:val="0025308A"/>
    <w:rsid w:val="00255D5D"/>
    <w:rsid w:val="0025601D"/>
    <w:rsid w:val="00257FF1"/>
    <w:rsid w:val="00261D69"/>
    <w:rsid w:val="00262267"/>
    <w:rsid w:val="00262F6F"/>
    <w:rsid w:val="00263F00"/>
    <w:rsid w:val="002648D2"/>
    <w:rsid w:val="00264A68"/>
    <w:rsid w:val="00265244"/>
    <w:rsid w:val="00265E5D"/>
    <w:rsid w:val="002665F5"/>
    <w:rsid w:val="00266BCA"/>
    <w:rsid w:val="002709B3"/>
    <w:rsid w:val="00270B2B"/>
    <w:rsid w:val="0027580D"/>
    <w:rsid w:val="00275F04"/>
    <w:rsid w:val="0028066C"/>
    <w:rsid w:val="00282E57"/>
    <w:rsid w:val="002833CF"/>
    <w:rsid w:val="00283675"/>
    <w:rsid w:val="00286D19"/>
    <w:rsid w:val="0029020D"/>
    <w:rsid w:val="0029022C"/>
    <w:rsid w:val="002911BF"/>
    <w:rsid w:val="002919F0"/>
    <w:rsid w:val="00293471"/>
    <w:rsid w:val="00294C77"/>
    <w:rsid w:val="00297B69"/>
    <w:rsid w:val="002A0397"/>
    <w:rsid w:val="002A0576"/>
    <w:rsid w:val="002A5490"/>
    <w:rsid w:val="002B02CF"/>
    <w:rsid w:val="002B26F0"/>
    <w:rsid w:val="002B31D4"/>
    <w:rsid w:val="002B370E"/>
    <w:rsid w:val="002B375E"/>
    <w:rsid w:val="002B5876"/>
    <w:rsid w:val="002B65F8"/>
    <w:rsid w:val="002C0316"/>
    <w:rsid w:val="002C1045"/>
    <w:rsid w:val="002C10FD"/>
    <w:rsid w:val="002C1B7A"/>
    <w:rsid w:val="002C5B74"/>
    <w:rsid w:val="002C6836"/>
    <w:rsid w:val="002C7F2B"/>
    <w:rsid w:val="002D2F75"/>
    <w:rsid w:val="002D5FAF"/>
    <w:rsid w:val="002E0FB6"/>
    <w:rsid w:val="002E1597"/>
    <w:rsid w:val="002E2816"/>
    <w:rsid w:val="002E3949"/>
    <w:rsid w:val="002E41DF"/>
    <w:rsid w:val="002E53CD"/>
    <w:rsid w:val="002E6DFA"/>
    <w:rsid w:val="002F1086"/>
    <w:rsid w:val="002F1557"/>
    <w:rsid w:val="002F4D62"/>
    <w:rsid w:val="002F5812"/>
    <w:rsid w:val="002F5EEF"/>
    <w:rsid w:val="002F62E5"/>
    <w:rsid w:val="003017D2"/>
    <w:rsid w:val="003055FB"/>
    <w:rsid w:val="00305F51"/>
    <w:rsid w:val="00306F4B"/>
    <w:rsid w:val="003075D9"/>
    <w:rsid w:val="003078AE"/>
    <w:rsid w:val="003131E0"/>
    <w:rsid w:val="00313530"/>
    <w:rsid w:val="00314EC1"/>
    <w:rsid w:val="00316847"/>
    <w:rsid w:val="00316C9A"/>
    <w:rsid w:val="003177D5"/>
    <w:rsid w:val="00317BBE"/>
    <w:rsid w:val="00321104"/>
    <w:rsid w:val="003220FF"/>
    <w:rsid w:val="003231A8"/>
    <w:rsid w:val="00325F74"/>
    <w:rsid w:val="00326131"/>
    <w:rsid w:val="00331597"/>
    <w:rsid w:val="00331AC1"/>
    <w:rsid w:val="00333506"/>
    <w:rsid w:val="00333E00"/>
    <w:rsid w:val="003340BB"/>
    <w:rsid w:val="00336B9E"/>
    <w:rsid w:val="00341803"/>
    <w:rsid w:val="00341CD5"/>
    <w:rsid w:val="003431D8"/>
    <w:rsid w:val="00343E1C"/>
    <w:rsid w:val="00344FF3"/>
    <w:rsid w:val="003454D6"/>
    <w:rsid w:val="0034652F"/>
    <w:rsid w:val="00347CE1"/>
    <w:rsid w:val="00350F6A"/>
    <w:rsid w:val="0035195C"/>
    <w:rsid w:val="00351A45"/>
    <w:rsid w:val="003540FC"/>
    <w:rsid w:val="00356617"/>
    <w:rsid w:val="0035698B"/>
    <w:rsid w:val="00357783"/>
    <w:rsid w:val="00357E3E"/>
    <w:rsid w:val="003607B2"/>
    <w:rsid w:val="003624B7"/>
    <w:rsid w:val="00362CFA"/>
    <w:rsid w:val="003657B2"/>
    <w:rsid w:val="00370BF4"/>
    <w:rsid w:val="0037133A"/>
    <w:rsid w:val="0037169E"/>
    <w:rsid w:val="00372DC7"/>
    <w:rsid w:val="003754CD"/>
    <w:rsid w:val="00375B89"/>
    <w:rsid w:val="00375E24"/>
    <w:rsid w:val="00381F76"/>
    <w:rsid w:val="00383C9F"/>
    <w:rsid w:val="003846F7"/>
    <w:rsid w:val="00385D17"/>
    <w:rsid w:val="0038635F"/>
    <w:rsid w:val="00387CE1"/>
    <w:rsid w:val="003902F6"/>
    <w:rsid w:val="003968A8"/>
    <w:rsid w:val="003A3CD7"/>
    <w:rsid w:val="003A4636"/>
    <w:rsid w:val="003A6A32"/>
    <w:rsid w:val="003A7D0A"/>
    <w:rsid w:val="003A7E30"/>
    <w:rsid w:val="003B01D1"/>
    <w:rsid w:val="003B2994"/>
    <w:rsid w:val="003B35D0"/>
    <w:rsid w:val="003B3C4B"/>
    <w:rsid w:val="003B6297"/>
    <w:rsid w:val="003C21D1"/>
    <w:rsid w:val="003C3995"/>
    <w:rsid w:val="003D00D2"/>
    <w:rsid w:val="003D0992"/>
    <w:rsid w:val="003D1370"/>
    <w:rsid w:val="003D1857"/>
    <w:rsid w:val="003D1F45"/>
    <w:rsid w:val="003D6FF0"/>
    <w:rsid w:val="003D7BDE"/>
    <w:rsid w:val="003E39B8"/>
    <w:rsid w:val="003E4DEA"/>
    <w:rsid w:val="003E5E95"/>
    <w:rsid w:val="003E61EF"/>
    <w:rsid w:val="003E699F"/>
    <w:rsid w:val="003F2CFF"/>
    <w:rsid w:val="003F5BC7"/>
    <w:rsid w:val="003F6A6B"/>
    <w:rsid w:val="003F71C9"/>
    <w:rsid w:val="003F7807"/>
    <w:rsid w:val="0040154D"/>
    <w:rsid w:val="00402B2B"/>
    <w:rsid w:val="00404747"/>
    <w:rsid w:val="0040799A"/>
    <w:rsid w:val="00410665"/>
    <w:rsid w:val="00410D92"/>
    <w:rsid w:val="00411390"/>
    <w:rsid w:val="00411C41"/>
    <w:rsid w:val="00412646"/>
    <w:rsid w:val="004157DD"/>
    <w:rsid w:val="00415899"/>
    <w:rsid w:val="004203D9"/>
    <w:rsid w:val="00420FC9"/>
    <w:rsid w:val="00421FE4"/>
    <w:rsid w:val="00422693"/>
    <w:rsid w:val="00422860"/>
    <w:rsid w:val="004250FD"/>
    <w:rsid w:val="00425882"/>
    <w:rsid w:val="00425B08"/>
    <w:rsid w:val="00430330"/>
    <w:rsid w:val="004303EC"/>
    <w:rsid w:val="004308A2"/>
    <w:rsid w:val="0043144E"/>
    <w:rsid w:val="0043419B"/>
    <w:rsid w:val="004344E7"/>
    <w:rsid w:val="004408D3"/>
    <w:rsid w:val="0044180D"/>
    <w:rsid w:val="00442474"/>
    <w:rsid w:val="0044361E"/>
    <w:rsid w:val="00444A06"/>
    <w:rsid w:val="00445158"/>
    <w:rsid w:val="00446B28"/>
    <w:rsid w:val="004517B3"/>
    <w:rsid w:val="0045181E"/>
    <w:rsid w:val="00454511"/>
    <w:rsid w:val="004558F5"/>
    <w:rsid w:val="0045590E"/>
    <w:rsid w:val="0045600B"/>
    <w:rsid w:val="00462D63"/>
    <w:rsid w:val="004668A0"/>
    <w:rsid w:val="00466D5A"/>
    <w:rsid w:val="004717A8"/>
    <w:rsid w:val="00475385"/>
    <w:rsid w:val="00475457"/>
    <w:rsid w:val="0047562B"/>
    <w:rsid w:val="00477B69"/>
    <w:rsid w:val="00480379"/>
    <w:rsid w:val="0048396B"/>
    <w:rsid w:val="00484E7B"/>
    <w:rsid w:val="00485174"/>
    <w:rsid w:val="004867C3"/>
    <w:rsid w:val="00486EC6"/>
    <w:rsid w:val="00487CDA"/>
    <w:rsid w:val="004915E3"/>
    <w:rsid w:val="00491AED"/>
    <w:rsid w:val="004933EB"/>
    <w:rsid w:val="004971EC"/>
    <w:rsid w:val="004978F0"/>
    <w:rsid w:val="00497DFC"/>
    <w:rsid w:val="004A0052"/>
    <w:rsid w:val="004A2306"/>
    <w:rsid w:val="004A263F"/>
    <w:rsid w:val="004A5230"/>
    <w:rsid w:val="004A7303"/>
    <w:rsid w:val="004B1497"/>
    <w:rsid w:val="004B159F"/>
    <w:rsid w:val="004B2831"/>
    <w:rsid w:val="004B4916"/>
    <w:rsid w:val="004B537E"/>
    <w:rsid w:val="004B6210"/>
    <w:rsid w:val="004B69BC"/>
    <w:rsid w:val="004B6CA6"/>
    <w:rsid w:val="004B7FE0"/>
    <w:rsid w:val="004C1305"/>
    <w:rsid w:val="004C133A"/>
    <w:rsid w:val="004C1FC5"/>
    <w:rsid w:val="004C2A6E"/>
    <w:rsid w:val="004C39A0"/>
    <w:rsid w:val="004C4F96"/>
    <w:rsid w:val="004D009E"/>
    <w:rsid w:val="004D154F"/>
    <w:rsid w:val="004D2588"/>
    <w:rsid w:val="004D32AF"/>
    <w:rsid w:val="004D433B"/>
    <w:rsid w:val="004D5994"/>
    <w:rsid w:val="004E0781"/>
    <w:rsid w:val="004E257E"/>
    <w:rsid w:val="004E32CB"/>
    <w:rsid w:val="004E3BD5"/>
    <w:rsid w:val="004E5C25"/>
    <w:rsid w:val="004F2721"/>
    <w:rsid w:val="004F2BA7"/>
    <w:rsid w:val="004F434B"/>
    <w:rsid w:val="00500E9B"/>
    <w:rsid w:val="005016D9"/>
    <w:rsid w:val="00501938"/>
    <w:rsid w:val="00501BE2"/>
    <w:rsid w:val="0050253D"/>
    <w:rsid w:val="00502629"/>
    <w:rsid w:val="00503149"/>
    <w:rsid w:val="00505C2A"/>
    <w:rsid w:val="0051021B"/>
    <w:rsid w:val="005102E2"/>
    <w:rsid w:val="00512491"/>
    <w:rsid w:val="00512C2F"/>
    <w:rsid w:val="00513CBD"/>
    <w:rsid w:val="005148B8"/>
    <w:rsid w:val="00514B93"/>
    <w:rsid w:val="00515415"/>
    <w:rsid w:val="005168BD"/>
    <w:rsid w:val="00516C3E"/>
    <w:rsid w:val="00516FFD"/>
    <w:rsid w:val="00521137"/>
    <w:rsid w:val="00521C37"/>
    <w:rsid w:val="00521ED6"/>
    <w:rsid w:val="00524547"/>
    <w:rsid w:val="00525E4A"/>
    <w:rsid w:val="00526C0A"/>
    <w:rsid w:val="00527955"/>
    <w:rsid w:val="005310E4"/>
    <w:rsid w:val="00531EB9"/>
    <w:rsid w:val="0053343F"/>
    <w:rsid w:val="00533F51"/>
    <w:rsid w:val="00536251"/>
    <w:rsid w:val="005375CE"/>
    <w:rsid w:val="005378DE"/>
    <w:rsid w:val="00537C42"/>
    <w:rsid w:val="00537C5E"/>
    <w:rsid w:val="005406AC"/>
    <w:rsid w:val="00541231"/>
    <w:rsid w:val="005429C0"/>
    <w:rsid w:val="00542E0D"/>
    <w:rsid w:val="0054483D"/>
    <w:rsid w:val="00546C36"/>
    <w:rsid w:val="00550DF3"/>
    <w:rsid w:val="0055311C"/>
    <w:rsid w:val="00557AA1"/>
    <w:rsid w:val="005645D3"/>
    <w:rsid w:val="005663BA"/>
    <w:rsid w:val="00566CBB"/>
    <w:rsid w:val="005731EA"/>
    <w:rsid w:val="00580C31"/>
    <w:rsid w:val="00583A49"/>
    <w:rsid w:val="00586F11"/>
    <w:rsid w:val="005870EE"/>
    <w:rsid w:val="00587496"/>
    <w:rsid w:val="005908C3"/>
    <w:rsid w:val="005943B0"/>
    <w:rsid w:val="005963E8"/>
    <w:rsid w:val="005A18A4"/>
    <w:rsid w:val="005A4766"/>
    <w:rsid w:val="005A5A61"/>
    <w:rsid w:val="005A6846"/>
    <w:rsid w:val="005A6D8B"/>
    <w:rsid w:val="005A7181"/>
    <w:rsid w:val="005A76E5"/>
    <w:rsid w:val="005A7E4B"/>
    <w:rsid w:val="005B0FA4"/>
    <w:rsid w:val="005B1105"/>
    <w:rsid w:val="005B1829"/>
    <w:rsid w:val="005B5D00"/>
    <w:rsid w:val="005C00AC"/>
    <w:rsid w:val="005C215F"/>
    <w:rsid w:val="005C42CA"/>
    <w:rsid w:val="005C4345"/>
    <w:rsid w:val="005C43DA"/>
    <w:rsid w:val="005C466D"/>
    <w:rsid w:val="005C789B"/>
    <w:rsid w:val="005D135A"/>
    <w:rsid w:val="005D2F52"/>
    <w:rsid w:val="005D46F6"/>
    <w:rsid w:val="005D4E6B"/>
    <w:rsid w:val="005E117E"/>
    <w:rsid w:val="005E12B4"/>
    <w:rsid w:val="005E150E"/>
    <w:rsid w:val="005E3225"/>
    <w:rsid w:val="005E7B12"/>
    <w:rsid w:val="005F0E8B"/>
    <w:rsid w:val="005F3BA0"/>
    <w:rsid w:val="005F5262"/>
    <w:rsid w:val="005F65A7"/>
    <w:rsid w:val="00600DF2"/>
    <w:rsid w:val="00601283"/>
    <w:rsid w:val="006016E0"/>
    <w:rsid w:val="006041BB"/>
    <w:rsid w:val="0060469C"/>
    <w:rsid w:val="00606612"/>
    <w:rsid w:val="006069DE"/>
    <w:rsid w:val="00607BFD"/>
    <w:rsid w:val="00612D7E"/>
    <w:rsid w:val="00616EC6"/>
    <w:rsid w:val="00622BA2"/>
    <w:rsid w:val="00623C53"/>
    <w:rsid w:val="00633632"/>
    <w:rsid w:val="006341BD"/>
    <w:rsid w:val="00634482"/>
    <w:rsid w:val="006347BE"/>
    <w:rsid w:val="006356C4"/>
    <w:rsid w:val="00636A59"/>
    <w:rsid w:val="00636C1F"/>
    <w:rsid w:val="00641FD5"/>
    <w:rsid w:val="0064263E"/>
    <w:rsid w:val="0064298F"/>
    <w:rsid w:val="006452D5"/>
    <w:rsid w:val="006456C7"/>
    <w:rsid w:val="0064587D"/>
    <w:rsid w:val="006523A9"/>
    <w:rsid w:val="00653FC4"/>
    <w:rsid w:val="00655645"/>
    <w:rsid w:val="006558D7"/>
    <w:rsid w:val="00655CB3"/>
    <w:rsid w:val="00662357"/>
    <w:rsid w:val="00664D6E"/>
    <w:rsid w:val="006661A4"/>
    <w:rsid w:val="0066764A"/>
    <w:rsid w:val="00675735"/>
    <w:rsid w:val="00675E52"/>
    <w:rsid w:val="00680072"/>
    <w:rsid w:val="006800A2"/>
    <w:rsid w:val="00680CC4"/>
    <w:rsid w:val="00680EEC"/>
    <w:rsid w:val="0068128E"/>
    <w:rsid w:val="00682704"/>
    <w:rsid w:val="0068367F"/>
    <w:rsid w:val="00683887"/>
    <w:rsid w:val="00683DDF"/>
    <w:rsid w:val="00687999"/>
    <w:rsid w:val="00687CA2"/>
    <w:rsid w:val="00692203"/>
    <w:rsid w:val="00692295"/>
    <w:rsid w:val="00696EEA"/>
    <w:rsid w:val="00696FEF"/>
    <w:rsid w:val="006A0741"/>
    <w:rsid w:val="006A0B45"/>
    <w:rsid w:val="006A2E67"/>
    <w:rsid w:val="006A3DC1"/>
    <w:rsid w:val="006A5644"/>
    <w:rsid w:val="006A71EB"/>
    <w:rsid w:val="006B5846"/>
    <w:rsid w:val="006B5B45"/>
    <w:rsid w:val="006C1EAB"/>
    <w:rsid w:val="006C302B"/>
    <w:rsid w:val="006C32BC"/>
    <w:rsid w:val="006C4663"/>
    <w:rsid w:val="006C4830"/>
    <w:rsid w:val="006C4988"/>
    <w:rsid w:val="006C4D2A"/>
    <w:rsid w:val="006C6F73"/>
    <w:rsid w:val="006C790A"/>
    <w:rsid w:val="006C7F40"/>
    <w:rsid w:val="006D3608"/>
    <w:rsid w:val="006D560A"/>
    <w:rsid w:val="006D5E9A"/>
    <w:rsid w:val="006D7125"/>
    <w:rsid w:val="006D7B83"/>
    <w:rsid w:val="006E016E"/>
    <w:rsid w:val="006E1173"/>
    <w:rsid w:val="006E1550"/>
    <w:rsid w:val="006E2F2B"/>
    <w:rsid w:val="006E4563"/>
    <w:rsid w:val="006E5465"/>
    <w:rsid w:val="006F1A60"/>
    <w:rsid w:val="006F24AE"/>
    <w:rsid w:val="006F2F80"/>
    <w:rsid w:val="006F7B0F"/>
    <w:rsid w:val="007016FA"/>
    <w:rsid w:val="00701C96"/>
    <w:rsid w:val="00701E8B"/>
    <w:rsid w:val="007070E3"/>
    <w:rsid w:val="00707567"/>
    <w:rsid w:val="00707D15"/>
    <w:rsid w:val="007101F0"/>
    <w:rsid w:val="00711349"/>
    <w:rsid w:val="007125F7"/>
    <w:rsid w:val="00712A8E"/>
    <w:rsid w:val="007201FE"/>
    <w:rsid w:val="00721A8E"/>
    <w:rsid w:val="00726CCC"/>
    <w:rsid w:val="00727554"/>
    <w:rsid w:val="00727725"/>
    <w:rsid w:val="00730AB1"/>
    <w:rsid w:val="00731E6E"/>
    <w:rsid w:val="0073357F"/>
    <w:rsid w:val="00733B6B"/>
    <w:rsid w:val="00735BA5"/>
    <w:rsid w:val="007430D5"/>
    <w:rsid w:val="007440E6"/>
    <w:rsid w:val="007445DB"/>
    <w:rsid w:val="00746361"/>
    <w:rsid w:val="00751B58"/>
    <w:rsid w:val="007570BB"/>
    <w:rsid w:val="00757139"/>
    <w:rsid w:val="00757B02"/>
    <w:rsid w:val="00757D5E"/>
    <w:rsid w:val="007613AA"/>
    <w:rsid w:val="0076140A"/>
    <w:rsid w:val="007615A8"/>
    <w:rsid w:val="00761E7F"/>
    <w:rsid w:val="007629D1"/>
    <w:rsid w:val="00762A6E"/>
    <w:rsid w:val="00762B56"/>
    <w:rsid w:val="0076380F"/>
    <w:rsid w:val="007641FC"/>
    <w:rsid w:val="00772A80"/>
    <w:rsid w:val="0077586D"/>
    <w:rsid w:val="007762EB"/>
    <w:rsid w:val="007766FA"/>
    <w:rsid w:val="00776803"/>
    <w:rsid w:val="00780465"/>
    <w:rsid w:val="00781400"/>
    <w:rsid w:val="00781E90"/>
    <w:rsid w:val="007843B7"/>
    <w:rsid w:val="007849C7"/>
    <w:rsid w:val="007856C6"/>
    <w:rsid w:val="007859FF"/>
    <w:rsid w:val="0079150F"/>
    <w:rsid w:val="00792A70"/>
    <w:rsid w:val="00793B9D"/>
    <w:rsid w:val="007953B5"/>
    <w:rsid w:val="00795641"/>
    <w:rsid w:val="00795A90"/>
    <w:rsid w:val="00796EBA"/>
    <w:rsid w:val="007977A7"/>
    <w:rsid w:val="007A1958"/>
    <w:rsid w:val="007A1D16"/>
    <w:rsid w:val="007A3596"/>
    <w:rsid w:val="007A4884"/>
    <w:rsid w:val="007A4D8F"/>
    <w:rsid w:val="007A6D2B"/>
    <w:rsid w:val="007A7855"/>
    <w:rsid w:val="007B08DC"/>
    <w:rsid w:val="007B12C5"/>
    <w:rsid w:val="007B1BA5"/>
    <w:rsid w:val="007B2AB1"/>
    <w:rsid w:val="007B346A"/>
    <w:rsid w:val="007B35CD"/>
    <w:rsid w:val="007B5F41"/>
    <w:rsid w:val="007B6CDF"/>
    <w:rsid w:val="007C0815"/>
    <w:rsid w:val="007C7FA8"/>
    <w:rsid w:val="007D0A31"/>
    <w:rsid w:val="007D24C3"/>
    <w:rsid w:val="007D37E0"/>
    <w:rsid w:val="007D4361"/>
    <w:rsid w:val="007D5328"/>
    <w:rsid w:val="007D7A74"/>
    <w:rsid w:val="007E0353"/>
    <w:rsid w:val="007E0429"/>
    <w:rsid w:val="007E0FF7"/>
    <w:rsid w:val="007E2F17"/>
    <w:rsid w:val="007E3F23"/>
    <w:rsid w:val="007E5B91"/>
    <w:rsid w:val="007E5CB9"/>
    <w:rsid w:val="007E7604"/>
    <w:rsid w:val="007F13DC"/>
    <w:rsid w:val="007F2B6C"/>
    <w:rsid w:val="007F31E8"/>
    <w:rsid w:val="007F396F"/>
    <w:rsid w:val="007F3ED7"/>
    <w:rsid w:val="007F4318"/>
    <w:rsid w:val="007F6762"/>
    <w:rsid w:val="007F6E1F"/>
    <w:rsid w:val="00800A7E"/>
    <w:rsid w:val="00805E84"/>
    <w:rsid w:val="00805F43"/>
    <w:rsid w:val="00806E8B"/>
    <w:rsid w:val="00810596"/>
    <w:rsid w:val="00810FFE"/>
    <w:rsid w:val="008124F0"/>
    <w:rsid w:val="00813DB9"/>
    <w:rsid w:val="00813DCB"/>
    <w:rsid w:val="0082125B"/>
    <w:rsid w:val="00822DF5"/>
    <w:rsid w:val="00823323"/>
    <w:rsid w:val="0082401D"/>
    <w:rsid w:val="008243F8"/>
    <w:rsid w:val="00825E3B"/>
    <w:rsid w:val="0082654D"/>
    <w:rsid w:val="008266E0"/>
    <w:rsid w:val="00830EE4"/>
    <w:rsid w:val="00831DEF"/>
    <w:rsid w:val="00836907"/>
    <w:rsid w:val="00841A10"/>
    <w:rsid w:val="0084235F"/>
    <w:rsid w:val="00843954"/>
    <w:rsid w:val="008467BB"/>
    <w:rsid w:val="00846FC1"/>
    <w:rsid w:val="00847436"/>
    <w:rsid w:val="00850495"/>
    <w:rsid w:val="00851796"/>
    <w:rsid w:val="00852CCF"/>
    <w:rsid w:val="008565D1"/>
    <w:rsid w:val="0086075E"/>
    <w:rsid w:val="0086079C"/>
    <w:rsid w:val="00860B96"/>
    <w:rsid w:val="00860FA0"/>
    <w:rsid w:val="00872CE0"/>
    <w:rsid w:val="00873855"/>
    <w:rsid w:val="00873C76"/>
    <w:rsid w:val="00875591"/>
    <w:rsid w:val="00877B25"/>
    <w:rsid w:val="008805E7"/>
    <w:rsid w:val="00881ED8"/>
    <w:rsid w:val="00882D14"/>
    <w:rsid w:val="008852B8"/>
    <w:rsid w:val="00885CBF"/>
    <w:rsid w:val="0088661C"/>
    <w:rsid w:val="0088675E"/>
    <w:rsid w:val="00886B1B"/>
    <w:rsid w:val="00887F44"/>
    <w:rsid w:val="00890DD2"/>
    <w:rsid w:val="008922A1"/>
    <w:rsid w:val="008A056B"/>
    <w:rsid w:val="008A08B7"/>
    <w:rsid w:val="008A0CD5"/>
    <w:rsid w:val="008A0CEB"/>
    <w:rsid w:val="008A1349"/>
    <w:rsid w:val="008A3D3C"/>
    <w:rsid w:val="008A680F"/>
    <w:rsid w:val="008A6DB1"/>
    <w:rsid w:val="008B347B"/>
    <w:rsid w:val="008B3CF6"/>
    <w:rsid w:val="008B73D9"/>
    <w:rsid w:val="008C0317"/>
    <w:rsid w:val="008C1A74"/>
    <w:rsid w:val="008C2124"/>
    <w:rsid w:val="008C4238"/>
    <w:rsid w:val="008C54D0"/>
    <w:rsid w:val="008C5917"/>
    <w:rsid w:val="008C6391"/>
    <w:rsid w:val="008D29B0"/>
    <w:rsid w:val="008D2CD8"/>
    <w:rsid w:val="008D2FB6"/>
    <w:rsid w:val="008D4BC1"/>
    <w:rsid w:val="008D5D99"/>
    <w:rsid w:val="008D6FBF"/>
    <w:rsid w:val="008D7515"/>
    <w:rsid w:val="008E19F1"/>
    <w:rsid w:val="008E4A4A"/>
    <w:rsid w:val="008F04E8"/>
    <w:rsid w:val="008F0CB3"/>
    <w:rsid w:val="008F1AA0"/>
    <w:rsid w:val="008F3BCA"/>
    <w:rsid w:val="008F5420"/>
    <w:rsid w:val="008F6B0B"/>
    <w:rsid w:val="008F7FC7"/>
    <w:rsid w:val="00902DB9"/>
    <w:rsid w:val="0090359C"/>
    <w:rsid w:val="00905B73"/>
    <w:rsid w:val="009060B1"/>
    <w:rsid w:val="00906A06"/>
    <w:rsid w:val="00906CF9"/>
    <w:rsid w:val="009075E7"/>
    <w:rsid w:val="00907D95"/>
    <w:rsid w:val="009111F7"/>
    <w:rsid w:val="00914050"/>
    <w:rsid w:val="00917164"/>
    <w:rsid w:val="0091768E"/>
    <w:rsid w:val="00917A39"/>
    <w:rsid w:val="00920905"/>
    <w:rsid w:val="0092098F"/>
    <w:rsid w:val="00923C4C"/>
    <w:rsid w:val="0092759C"/>
    <w:rsid w:val="00927881"/>
    <w:rsid w:val="00932194"/>
    <w:rsid w:val="00932299"/>
    <w:rsid w:val="00935773"/>
    <w:rsid w:val="00936515"/>
    <w:rsid w:val="00936BAD"/>
    <w:rsid w:val="0093772E"/>
    <w:rsid w:val="00937DE9"/>
    <w:rsid w:val="00940E4C"/>
    <w:rsid w:val="009431CE"/>
    <w:rsid w:val="00944EDB"/>
    <w:rsid w:val="00946ECC"/>
    <w:rsid w:val="00947D6F"/>
    <w:rsid w:val="009510D2"/>
    <w:rsid w:val="00951A22"/>
    <w:rsid w:val="00952A37"/>
    <w:rsid w:val="0095360A"/>
    <w:rsid w:val="00953E22"/>
    <w:rsid w:val="00954432"/>
    <w:rsid w:val="00954627"/>
    <w:rsid w:val="00955FF1"/>
    <w:rsid w:val="009604A2"/>
    <w:rsid w:val="0096296D"/>
    <w:rsid w:val="00963A1D"/>
    <w:rsid w:val="00964F91"/>
    <w:rsid w:val="00965D3C"/>
    <w:rsid w:val="009704E8"/>
    <w:rsid w:val="00970DDF"/>
    <w:rsid w:val="00970F1E"/>
    <w:rsid w:val="00972165"/>
    <w:rsid w:val="0097237A"/>
    <w:rsid w:val="00974407"/>
    <w:rsid w:val="00976C9F"/>
    <w:rsid w:val="00977EA2"/>
    <w:rsid w:val="00981174"/>
    <w:rsid w:val="009815D1"/>
    <w:rsid w:val="009847F2"/>
    <w:rsid w:val="009858E4"/>
    <w:rsid w:val="00986FC8"/>
    <w:rsid w:val="0099205D"/>
    <w:rsid w:val="009925D3"/>
    <w:rsid w:val="009931BD"/>
    <w:rsid w:val="0099391B"/>
    <w:rsid w:val="00993E75"/>
    <w:rsid w:val="009961AF"/>
    <w:rsid w:val="00997ED7"/>
    <w:rsid w:val="009A1782"/>
    <w:rsid w:val="009A19B4"/>
    <w:rsid w:val="009A2F0C"/>
    <w:rsid w:val="009A559F"/>
    <w:rsid w:val="009A7CB1"/>
    <w:rsid w:val="009B01ED"/>
    <w:rsid w:val="009B45E1"/>
    <w:rsid w:val="009B6FBD"/>
    <w:rsid w:val="009B7144"/>
    <w:rsid w:val="009C33FD"/>
    <w:rsid w:val="009C6566"/>
    <w:rsid w:val="009C7E5E"/>
    <w:rsid w:val="009D2DB8"/>
    <w:rsid w:val="009D3468"/>
    <w:rsid w:val="009D3B7C"/>
    <w:rsid w:val="009D3E23"/>
    <w:rsid w:val="009E310B"/>
    <w:rsid w:val="009E4142"/>
    <w:rsid w:val="009E57FA"/>
    <w:rsid w:val="009E6755"/>
    <w:rsid w:val="009E7274"/>
    <w:rsid w:val="009F0877"/>
    <w:rsid w:val="009F0EF5"/>
    <w:rsid w:val="009F2E9F"/>
    <w:rsid w:val="009F3F85"/>
    <w:rsid w:val="009F481A"/>
    <w:rsid w:val="009F54AB"/>
    <w:rsid w:val="00A00F85"/>
    <w:rsid w:val="00A05776"/>
    <w:rsid w:val="00A07FD5"/>
    <w:rsid w:val="00A13A4E"/>
    <w:rsid w:val="00A173AB"/>
    <w:rsid w:val="00A216BD"/>
    <w:rsid w:val="00A22FA7"/>
    <w:rsid w:val="00A25999"/>
    <w:rsid w:val="00A2600F"/>
    <w:rsid w:val="00A26A5F"/>
    <w:rsid w:val="00A26C9F"/>
    <w:rsid w:val="00A27800"/>
    <w:rsid w:val="00A31F76"/>
    <w:rsid w:val="00A320B9"/>
    <w:rsid w:val="00A331D1"/>
    <w:rsid w:val="00A33344"/>
    <w:rsid w:val="00A336ED"/>
    <w:rsid w:val="00A33DAC"/>
    <w:rsid w:val="00A348D5"/>
    <w:rsid w:val="00A34F48"/>
    <w:rsid w:val="00A36EAF"/>
    <w:rsid w:val="00A42D9F"/>
    <w:rsid w:val="00A43B02"/>
    <w:rsid w:val="00A43BFA"/>
    <w:rsid w:val="00A44428"/>
    <w:rsid w:val="00A44532"/>
    <w:rsid w:val="00A44F37"/>
    <w:rsid w:val="00A52466"/>
    <w:rsid w:val="00A52485"/>
    <w:rsid w:val="00A52858"/>
    <w:rsid w:val="00A60309"/>
    <w:rsid w:val="00A6188F"/>
    <w:rsid w:val="00A646A6"/>
    <w:rsid w:val="00A64C89"/>
    <w:rsid w:val="00A66086"/>
    <w:rsid w:val="00A70CFF"/>
    <w:rsid w:val="00A70ECB"/>
    <w:rsid w:val="00A715A9"/>
    <w:rsid w:val="00A7491D"/>
    <w:rsid w:val="00A7593E"/>
    <w:rsid w:val="00A76E93"/>
    <w:rsid w:val="00A770E3"/>
    <w:rsid w:val="00A80C44"/>
    <w:rsid w:val="00A80F41"/>
    <w:rsid w:val="00A84CC4"/>
    <w:rsid w:val="00A85534"/>
    <w:rsid w:val="00A85AFE"/>
    <w:rsid w:val="00A87965"/>
    <w:rsid w:val="00A926AD"/>
    <w:rsid w:val="00A9327B"/>
    <w:rsid w:val="00A96FAC"/>
    <w:rsid w:val="00A97379"/>
    <w:rsid w:val="00AA135C"/>
    <w:rsid w:val="00AA1511"/>
    <w:rsid w:val="00AA178F"/>
    <w:rsid w:val="00AA29D5"/>
    <w:rsid w:val="00AA3559"/>
    <w:rsid w:val="00AA3A39"/>
    <w:rsid w:val="00AA3DB5"/>
    <w:rsid w:val="00AA3EA9"/>
    <w:rsid w:val="00AA5FAE"/>
    <w:rsid w:val="00AA695F"/>
    <w:rsid w:val="00AA7A5C"/>
    <w:rsid w:val="00AB14D0"/>
    <w:rsid w:val="00AB2CBD"/>
    <w:rsid w:val="00AB3539"/>
    <w:rsid w:val="00AB3AD7"/>
    <w:rsid w:val="00AB3FB5"/>
    <w:rsid w:val="00AB43B6"/>
    <w:rsid w:val="00AB49FE"/>
    <w:rsid w:val="00AB5BF1"/>
    <w:rsid w:val="00AB65A4"/>
    <w:rsid w:val="00AB6BE9"/>
    <w:rsid w:val="00AC0D4B"/>
    <w:rsid w:val="00AC34CB"/>
    <w:rsid w:val="00AC4D6E"/>
    <w:rsid w:val="00AC5DAD"/>
    <w:rsid w:val="00AC76E8"/>
    <w:rsid w:val="00AC7E13"/>
    <w:rsid w:val="00AD13BD"/>
    <w:rsid w:val="00AD5E85"/>
    <w:rsid w:val="00AE009D"/>
    <w:rsid w:val="00AE242B"/>
    <w:rsid w:val="00AE317A"/>
    <w:rsid w:val="00AE3828"/>
    <w:rsid w:val="00AE5610"/>
    <w:rsid w:val="00AE6D6B"/>
    <w:rsid w:val="00AE7E8A"/>
    <w:rsid w:val="00AF0EB0"/>
    <w:rsid w:val="00AF34DE"/>
    <w:rsid w:val="00AF54C3"/>
    <w:rsid w:val="00AF6446"/>
    <w:rsid w:val="00AF6737"/>
    <w:rsid w:val="00AF6910"/>
    <w:rsid w:val="00AF7733"/>
    <w:rsid w:val="00B0025D"/>
    <w:rsid w:val="00B00575"/>
    <w:rsid w:val="00B00DDD"/>
    <w:rsid w:val="00B01DC4"/>
    <w:rsid w:val="00B03427"/>
    <w:rsid w:val="00B10447"/>
    <w:rsid w:val="00B1258F"/>
    <w:rsid w:val="00B15773"/>
    <w:rsid w:val="00B17150"/>
    <w:rsid w:val="00B20D2D"/>
    <w:rsid w:val="00B20DE3"/>
    <w:rsid w:val="00B22041"/>
    <w:rsid w:val="00B24A51"/>
    <w:rsid w:val="00B31094"/>
    <w:rsid w:val="00B332F8"/>
    <w:rsid w:val="00B40E48"/>
    <w:rsid w:val="00B42056"/>
    <w:rsid w:val="00B44B63"/>
    <w:rsid w:val="00B4651A"/>
    <w:rsid w:val="00B46AE5"/>
    <w:rsid w:val="00B47211"/>
    <w:rsid w:val="00B477F3"/>
    <w:rsid w:val="00B479A2"/>
    <w:rsid w:val="00B47EE6"/>
    <w:rsid w:val="00B50086"/>
    <w:rsid w:val="00B50125"/>
    <w:rsid w:val="00B52479"/>
    <w:rsid w:val="00B54805"/>
    <w:rsid w:val="00B54C95"/>
    <w:rsid w:val="00B55FC2"/>
    <w:rsid w:val="00B57186"/>
    <w:rsid w:val="00B57EE1"/>
    <w:rsid w:val="00B60E89"/>
    <w:rsid w:val="00B61D5E"/>
    <w:rsid w:val="00B6252D"/>
    <w:rsid w:val="00B66F07"/>
    <w:rsid w:val="00B70BAA"/>
    <w:rsid w:val="00B718DB"/>
    <w:rsid w:val="00B7368D"/>
    <w:rsid w:val="00B744BA"/>
    <w:rsid w:val="00B74E30"/>
    <w:rsid w:val="00B82429"/>
    <w:rsid w:val="00B82C14"/>
    <w:rsid w:val="00B83E7A"/>
    <w:rsid w:val="00B86553"/>
    <w:rsid w:val="00B92BBF"/>
    <w:rsid w:val="00B92E0E"/>
    <w:rsid w:val="00B931E9"/>
    <w:rsid w:val="00B9347F"/>
    <w:rsid w:val="00B94513"/>
    <w:rsid w:val="00B94DDB"/>
    <w:rsid w:val="00B95CBD"/>
    <w:rsid w:val="00B964E1"/>
    <w:rsid w:val="00B966B5"/>
    <w:rsid w:val="00B972D6"/>
    <w:rsid w:val="00BA0493"/>
    <w:rsid w:val="00BA22E6"/>
    <w:rsid w:val="00BA2364"/>
    <w:rsid w:val="00BA23A2"/>
    <w:rsid w:val="00BA33A9"/>
    <w:rsid w:val="00BA4C26"/>
    <w:rsid w:val="00BA4E65"/>
    <w:rsid w:val="00BA6068"/>
    <w:rsid w:val="00BB33E0"/>
    <w:rsid w:val="00BB7EE0"/>
    <w:rsid w:val="00BC1092"/>
    <w:rsid w:val="00BC1F99"/>
    <w:rsid w:val="00BC2045"/>
    <w:rsid w:val="00BC4871"/>
    <w:rsid w:val="00BC4D5D"/>
    <w:rsid w:val="00BC7CD5"/>
    <w:rsid w:val="00BD1012"/>
    <w:rsid w:val="00BD2884"/>
    <w:rsid w:val="00BD39A0"/>
    <w:rsid w:val="00BD4EB2"/>
    <w:rsid w:val="00BD5097"/>
    <w:rsid w:val="00BD5761"/>
    <w:rsid w:val="00BD6D76"/>
    <w:rsid w:val="00BD7D77"/>
    <w:rsid w:val="00BE1321"/>
    <w:rsid w:val="00BE1950"/>
    <w:rsid w:val="00BE1DD6"/>
    <w:rsid w:val="00BE200A"/>
    <w:rsid w:val="00BE3C20"/>
    <w:rsid w:val="00BE4B8F"/>
    <w:rsid w:val="00BE7B06"/>
    <w:rsid w:val="00BF155C"/>
    <w:rsid w:val="00BF17DF"/>
    <w:rsid w:val="00BF312A"/>
    <w:rsid w:val="00BF4212"/>
    <w:rsid w:val="00C0541C"/>
    <w:rsid w:val="00C06066"/>
    <w:rsid w:val="00C067F0"/>
    <w:rsid w:val="00C10672"/>
    <w:rsid w:val="00C11047"/>
    <w:rsid w:val="00C11DF3"/>
    <w:rsid w:val="00C11EC1"/>
    <w:rsid w:val="00C12450"/>
    <w:rsid w:val="00C143C7"/>
    <w:rsid w:val="00C15C6F"/>
    <w:rsid w:val="00C165A1"/>
    <w:rsid w:val="00C22FB5"/>
    <w:rsid w:val="00C23C59"/>
    <w:rsid w:val="00C2583F"/>
    <w:rsid w:val="00C31834"/>
    <w:rsid w:val="00C33173"/>
    <w:rsid w:val="00C33D5D"/>
    <w:rsid w:val="00C35F43"/>
    <w:rsid w:val="00C36A5C"/>
    <w:rsid w:val="00C36D39"/>
    <w:rsid w:val="00C423BA"/>
    <w:rsid w:val="00C45ACD"/>
    <w:rsid w:val="00C46ED6"/>
    <w:rsid w:val="00C50D1D"/>
    <w:rsid w:val="00C53C69"/>
    <w:rsid w:val="00C54522"/>
    <w:rsid w:val="00C55164"/>
    <w:rsid w:val="00C558E6"/>
    <w:rsid w:val="00C56A16"/>
    <w:rsid w:val="00C56F90"/>
    <w:rsid w:val="00C62071"/>
    <w:rsid w:val="00C62A1C"/>
    <w:rsid w:val="00C63015"/>
    <w:rsid w:val="00C6671D"/>
    <w:rsid w:val="00C66820"/>
    <w:rsid w:val="00C71166"/>
    <w:rsid w:val="00C71788"/>
    <w:rsid w:val="00C73510"/>
    <w:rsid w:val="00C74BE1"/>
    <w:rsid w:val="00C74BE4"/>
    <w:rsid w:val="00C76777"/>
    <w:rsid w:val="00C778A3"/>
    <w:rsid w:val="00C7796A"/>
    <w:rsid w:val="00C815BF"/>
    <w:rsid w:val="00C826B3"/>
    <w:rsid w:val="00C82BDF"/>
    <w:rsid w:val="00C82C04"/>
    <w:rsid w:val="00C83DBD"/>
    <w:rsid w:val="00C85D31"/>
    <w:rsid w:val="00C870F5"/>
    <w:rsid w:val="00C92399"/>
    <w:rsid w:val="00C92F37"/>
    <w:rsid w:val="00C95622"/>
    <w:rsid w:val="00C96695"/>
    <w:rsid w:val="00C96B99"/>
    <w:rsid w:val="00C975D7"/>
    <w:rsid w:val="00CA1E5E"/>
    <w:rsid w:val="00CA35F2"/>
    <w:rsid w:val="00CA4768"/>
    <w:rsid w:val="00CA5C13"/>
    <w:rsid w:val="00CB0593"/>
    <w:rsid w:val="00CB06D1"/>
    <w:rsid w:val="00CB1039"/>
    <w:rsid w:val="00CB1B17"/>
    <w:rsid w:val="00CB2295"/>
    <w:rsid w:val="00CB3AC8"/>
    <w:rsid w:val="00CB6218"/>
    <w:rsid w:val="00CC416B"/>
    <w:rsid w:val="00CC658E"/>
    <w:rsid w:val="00CD07B0"/>
    <w:rsid w:val="00CD0F11"/>
    <w:rsid w:val="00CD27D6"/>
    <w:rsid w:val="00CD4831"/>
    <w:rsid w:val="00CD5E38"/>
    <w:rsid w:val="00CE0795"/>
    <w:rsid w:val="00CE4627"/>
    <w:rsid w:val="00CE5393"/>
    <w:rsid w:val="00CE69EB"/>
    <w:rsid w:val="00CE6A29"/>
    <w:rsid w:val="00CE7EBD"/>
    <w:rsid w:val="00CF77A4"/>
    <w:rsid w:val="00CF7D09"/>
    <w:rsid w:val="00D00074"/>
    <w:rsid w:val="00D004DE"/>
    <w:rsid w:val="00D00769"/>
    <w:rsid w:val="00D0392A"/>
    <w:rsid w:val="00D0447F"/>
    <w:rsid w:val="00D054B6"/>
    <w:rsid w:val="00D104E4"/>
    <w:rsid w:val="00D175E6"/>
    <w:rsid w:val="00D20D73"/>
    <w:rsid w:val="00D21407"/>
    <w:rsid w:val="00D23720"/>
    <w:rsid w:val="00D2387A"/>
    <w:rsid w:val="00D24053"/>
    <w:rsid w:val="00D24863"/>
    <w:rsid w:val="00D25D38"/>
    <w:rsid w:val="00D27B9A"/>
    <w:rsid w:val="00D32E09"/>
    <w:rsid w:val="00D33903"/>
    <w:rsid w:val="00D33981"/>
    <w:rsid w:val="00D408A2"/>
    <w:rsid w:val="00D40C2F"/>
    <w:rsid w:val="00D40ED4"/>
    <w:rsid w:val="00D46AA8"/>
    <w:rsid w:val="00D521D5"/>
    <w:rsid w:val="00D52469"/>
    <w:rsid w:val="00D5598F"/>
    <w:rsid w:val="00D56691"/>
    <w:rsid w:val="00D57697"/>
    <w:rsid w:val="00D57A8C"/>
    <w:rsid w:val="00D61D7B"/>
    <w:rsid w:val="00D6264F"/>
    <w:rsid w:val="00D629C4"/>
    <w:rsid w:val="00D655D1"/>
    <w:rsid w:val="00D6744A"/>
    <w:rsid w:val="00D70362"/>
    <w:rsid w:val="00D70C99"/>
    <w:rsid w:val="00D72022"/>
    <w:rsid w:val="00D725D5"/>
    <w:rsid w:val="00D72A76"/>
    <w:rsid w:val="00D75720"/>
    <w:rsid w:val="00D771DD"/>
    <w:rsid w:val="00D805F6"/>
    <w:rsid w:val="00D81485"/>
    <w:rsid w:val="00D84383"/>
    <w:rsid w:val="00D937BB"/>
    <w:rsid w:val="00D93E8A"/>
    <w:rsid w:val="00D95EF5"/>
    <w:rsid w:val="00D96D4D"/>
    <w:rsid w:val="00D9797E"/>
    <w:rsid w:val="00DA1045"/>
    <w:rsid w:val="00DA23F0"/>
    <w:rsid w:val="00DA255D"/>
    <w:rsid w:val="00DA4329"/>
    <w:rsid w:val="00DA46EA"/>
    <w:rsid w:val="00DA473D"/>
    <w:rsid w:val="00DA5311"/>
    <w:rsid w:val="00DA5EE0"/>
    <w:rsid w:val="00DA65D9"/>
    <w:rsid w:val="00DB120C"/>
    <w:rsid w:val="00DB142F"/>
    <w:rsid w:val="00DB1DD6"/>
    <w:rsid w:val="00DB361F"/>
    <w:rsid w:val="00DB367D"/>
    <w:rsid w:val="00DB4665"/>
    <w:rsid w:val="00DB5171"/>
    <w:rsid w:val="00DB54D4"/>
    <w:rsid w:val="00DB5600"/>
    <w:rsid w:val="00DB7523"/>
    <w:rsid w:val="00DB7DF8"/>
    <w:rsid w:val="00DC16CA"/>
    <w:rsid w:val="00DC2DE1"/>
    <w:rsid w:val="00DC663A"/>
    <w:rsid w:val="00DC6E9C"/>
    <w:rsid w:val="00DC6F45"/>
    <w:rsid w:val="00DD0496"/>
    <w:rsid w:val="00DD0884"/>
    <w:rsid w:val="00DD10E8"/>
    <w:rsid w:val="00DD16EF"/>
    <w:rsid w:val="00DD3DE2"/>
    <w:rsid w:val="00DE13C5"/>
    <w:rsid w:val="00DE2684"/>
    <w:rsid w:val="00DE4196"/>
    <w:rsid w:val="00DE4E0A"/>
    <w:rsid w:val="00DE63D8"/>
    <w:rsid w:val="00DE699A"/>
    <w:rsid w:val="00DF1F97"/>
    <w:rsid w:val="00DF461B"/>
    <w:rsid w:val="00E0288B"/>
    <w:rsid w:val="00E03578"/>
    <w:rsid w:val="00E0374D"/>
    <w:rsid w:val="00E03A0F"/>
    <w:rsid w:val="00E059BE"/>
    <w:rsid w:val="00E070B4"/>
    <w:rsid w:val="00E1047D"/>
    <w:rsid w:val="00E12C8D"/>
    <w:rsid w:val="00E15AE5"/>
    <w:rsid w:val="00E209E7"/>
    <w:rsid w:val="00E20B5E"/>
    <w:rsid w:val="00E271CA"/>
    <w:rsid w:val="00E306E5"/>
    <w:rsid w:val="00E30B66"/>
    <w:rsid w:val="00E3738C"/>
    <w:rsid w:val="00E3776E"/>
    <w:rsid w:val="00E37AF0"/>
    <w:rsid w:val="00E411B5"/>
    <w:rsid w:val="00E45EEC"/>
    <w:rsid w:val="00E4796E"/>
    <w:rsid w:val="00E54008"/>
    <w:rsid w:val="00E60816"/>
    <w:rsid w:val="00E60B6E"/>
    <w:rsid w:val="00E61E33"/>
    <w:rsid w:val="00E626F9"/>
    <w:rsid w:val="00E63F89"/>
    <w:rsid w:val="00E665AA"/>
    <w:rsid w:val="00E70EA9"/>
    <w:rsid w:val="00E72280"/>
    <w:rsid w:val="00E74456"/>
    <w:rsid w:val="00E8293A"/>
    <w:rsid w:val="00E82AAD"/>
    <w:rsid w:val="00E84777"/>
    <w:rsid w:val="00E91361"/>
    <w:rsid w:val="00E92712"/>
    <w:rsid w:val="00E934D8"/>
    <w:rsid w:val="00E93790"/>
    <w:rsid w:val="00E948F6"/>
    <w:rsid w:val="00E94985"/>
    <w:rsid w:val="00E952C0"/>
    <w:rsid w:val="00E9551F"/>
    <w:rsid w:val="00E95955"/>
    <w:rsid w:val="00EA09A7"/>
    <w:rsid w:val="00EA229F"/>
    <w:rsid w:val="00EA5253"/>
    <w:rsid w:val="00EA6C9A"/>
    <w:rsid w:val="00EB0239"/>
    <w:rsid w:val="00EB0DCB"/>
    <w:rsid w:val="00EB5698"/>
    <w:rsid w:val="00EB640D"/>
    <w:rsid w:val="00EC272E"/>
    <w:rsid w:val="00EC4FAB"/>
    <w:rsid w:val="00EC531F"/>
    <w:rsid w:val="00EC53CC"/>
    <w:rsid w:val="00EC667E"/>
    <w:rsid w:val="00EC6822"/>
    <w:rsid w:val="00ED17A2"/>
    <w:rsid w:val="00ED27C8"/>
    <w:rsid w:val="00ED4DE3"/>
    <w:rsid w:val="00ED51FD"/>
    <w:rsid w:val="00ED53B5"/>
    <w:rsid w:val="00EE3A96"/>
    <w:rsid w:val="00EE4B26"/>
    <w:rsid w:val="00EE50D3"/>
    <w:rsid w:val="00EE6FB0"/>
    <w:rsid w:val="00EE719A"/>
    <w:rsid w:val="00EF0CCD"/>
    <w:rsid w:val="00EF1FD9"/>
    <w:rsid w:val="00EF28AC"/>
    <w:rsid w:val="00EF316B"/>
    <w:rsid w:val="00EF7D65"/>
    <w:rsid w:val="00F028F2"/>
    <w:rsid w:val="00F03B5D"/>
    <w:rsid w:val="00F06FCC"/>
    <w:rsid w:val="00F07437"/>
    <w:rsid w:val="00F07AB9"/>
    <w:rsid w:val="00F11682"/>
    <w:rsid w:val="00F15861"/>
    <w:rsid w:val="00F15A69"/>
    <w:rsid w:val="00F15DD7"/>
    <w:rsid w:val="00F170A4"/>
    <w:rsid w:val="00F277B7"/>
    <w:rsid w:val="00F30399"/>
    <w:rsid w:val="00F30D73"/>
    <w:rsid w:val="00F311D0"/>
    <w:rsid w:val="00F32025"/>
    <w:rsid w:val="00F32D08"/>
    <w:rsid w:val="00F32D45"/>
    <w:rsid w:val="00F40CE1"/>
    <w:rsid w:val="00F419E7"/>
    <w:rsid w:val="00F428FB"/>
    <w:rsid w:val="00F44B47"/>
    <w:rsid w:val="00F47D12"/>
    <w:rsid w:val="00F5023C"/>
    <w:rsid w:val="00F5045C"/>
    <w:rsid w:val="00F5092F"/>
    <w:rsid w:val="00F50EB8"/>
    <w:rsid w:val="00F51255"/>
    <w:rsid w:val="00F52093"/>
    <w:rsid w:val="00F53286"/>
    <w:rsid w:val="00F5378F"/>
    <w:rsid w:val="00F54177"/>
    <w:rsid w:val="00F556EF"/>
    <w:rsid w:val="00F5685E"/>
    <w:rsid w:val="00F60E28"/>
    <w:rsid w:val="00F626E3"/>
    <w:rsid w:val="00F65063"/>
    <w:rsid w:val="00F65F16"/>
    <w:rsid w:val="00F7103B"/>
    <w:rsid w:val="00F73901"/>
    <w:rsid w:val="00F753A8"/>
    <w:rsid w:val="00F76CFF"/>
    <w:rsid w:val="00F76D1C"/>
    <w:rsid w:val="00F7735B"/>
    <w:rsid w:val="00F805EB"/>
    <w:rsid w:val="00F830A4"/>
    <w:rsid w:val="00F83430"/>
    <w:rsid w:val="00F8738A"/>
    <w:rsid w:val="00F908B9"/>
    <w:rsid w:val="00F91743"/>
    <w:rsid w:val="00F91748"/>
    <w:rsid w:val="00F923B8"/>
    <w:rsid w:val="00F92421"/>
    <w:rsid w:val="00F94DDA"/>
    <w:rsid w:val="00F967AF"/>
    <w:rsid w:val="00F97F8F"/>
    <w:rsid w:val="00FA2BEF"/>
    <w:rsid w:val="00FA3477"/>
    <w:rsid w:val="00FA422E"/>
    <w:rsid w:val="00FA53AB"/>
    <w:rsid w:val="00FA5A32"/>
    <w:rsid w:val="00FA65AC"/>
    <w:rsid w:val="00FA72B1"/>
    <w:rsid w:val="00FA78AB"/>
    <w:rsid w:val="00FB26B3"/>
    <w:rsid w:val="00FB501D"/>
    <w:rsid w:val="00FB74BD"/>
    <w:rsid w:val="00FB7965"/>
    <w:rsid w:val="00FC00B9"/>
    <w:rsid w:val="00FC059C"/>
    <w:rsid w:val="00FC10F7"/>
    <w:rsid w:val="00FC21FA"/>
    <w:rsid w:val="00FC25CF"/>
    <w:rsid w:val="00FC35DC"/>
    <w:rsid w:val="00FC44EC"/>
    <w:rsid w:val="00FC6A7B"/>
    <w:rsid w:val="00FD07BB"/>
    <w:rsid w:val="00FD3C88"/>
    <w:rsid w:val="00FD4E11"/>
    <w:rsid w:val="00FD5C43"/>
    <w:rsid w:val="00FD5F25"/>
    <w:rsid w:val="00FD6C3E"/>
    <w:rsid w:val="00FE21C0"/>
    <w:rsid w:val="00FE5B17"/>
    <w:rsid w:val="00FE76ED"/>
    <w:rsid w:val="00FF0245"/>
    <w:rsid w:val="00FF0FD8"/>
    <w:rsid w:val="00FF19E5"/>
    <w:rsid w:val="00FF2D68"/>
    <w:rsid w:val="00FF4EB9"/>
    <w:rsid w:val="00FF6A3A"/>
    <w:rsid w:val="00FF7EB1"/>
    <w:rsid w:val="00FF7ECD"/>
    <w:rsid w:val="03C10F15"/>
    <w:rsid w:val="060557CF"/>
    <w:rsid w:val="06FB5E20"/>
    <w:rsid w:val="071E0F8F"/>
    <w:rsid w:val="08C96827"/>
    <w:rsid w:val="08F23F7E"/>
    <w:rsid w:val="0925123F"/>
    <w:rsid w:val="09A17C56"/>
    <w:rsid w:val="09DE7F72"/>
    <w:rsid w:val="0A6749FB"/>
    <w:rsid w:val="0A770A5E"/>
    <w:rsid w:val="0A8C0583"/>
    <w:rsid w:val="0B7C44D7"/>
    <w:rsid w:val="0B971310"/>
    <w:rsid w:val="0CCE0D62"/>
    <w:rsid w:val="0D486632"/>
    <w:rsid w:val="0DD24882"/>
    <w:rsid w:val="0E487142"/>
    <w:rsid w:val="0E4D0C5D"/>
    <w:rsid w:val="10635C65"/>
    <w:rsid w:val="110A53F0"/>
    <w:rsid w:val="127203E1"/>
    <w:rsid w:val="136C3083"/>
    <w:rsid w:val="174C7453"/>
    <w:rsid w:val="178C3CF3"/>
    <w:rsid w:val="180A5FEA"/>
    <w:rsid w:val="187C0F36"/>
    <w:rsid w:val="18F27DB6"/>
    <w:rsid w:val="1AE50086"/>
    <w:rsid w:val="1BB06255"/>
    <w:rsid w:val="1BC02864"/>
    <w:rsid w:val="1BEE201C"/>
    <w:rsid w:val="1BFF75D6"/>
    <w:rsid w:val="1CAF497B"/>
    <w:rsid w:val="1CB718CD"/>
    <w:rsid w:val="1DBD3351"/>
    <w:rsid w:val="1F0665C8"/>
    <w:rsid w:val="209D0EA7"/>
    <w:rsid w:val="21584C46"/>
    <w:rsid w:val="23530719"/>
    <w:rsid w:val="23CD2694"/>
    <w:rsid w:val="256966EC"/>
    <w:rsid w:val="262D66A1"/>
    <w:rsid w:val="270642B1"/>
    <w:rsid w:val="274F0899"/>
    <w:rsid w:val="27CF8C9A"/>
    <w:rsid w:val="29812FA2"/>
    <w:rsid w:val="2D157E8F"/>
    <w:rsid w:val="2E2F5248"/>
    <w:rsid w:val="2E7FAA4D"/>
    <w:rsid w:val="2FE75B13"/>
    <w:rsid w:val="312B4AC8"/>
    <w:rsid w:val="32117F54"/>
    <w:rsid w:val="338143E2"/>
    <w:rsid w:val="33D7637B"/>
    <w:rsid w:val="345E1343"/>
    <w:rsid w:val="35F3501A"/>
    <w:rsid w:val="369E4356"/>
    <w:rsid w:val="36EBE16A"/>
    <w:rsid w:val="388E7474"/>
    <w:rsid w:val="389F4528"/>
    <w:rsid w:val="38FB2DF5"/>
    <w:rsid w:val="3A8D375B"/>
    <w:rsid w:val="3B2E64D6"/>
    <w:rsid w:val="3B8D2412"/>
    <w:rsid w:val="3F0D0102"/>
    <w:rsid w:val="3F890995"/>
    <w:rsid w:val="40B41A41"/>
    <w:rsid w:val="4255177A"/>
    <w:rsid w:val="42E9650F"/>
    <w:rsid w:val="436900CD"/>
    <w:rsid w:val="458A2D7F"/>
    <w:rsid w:val="463D4287"/>
    <w:rsid w:val="46EB3CE3"/>
    <w:rsid w:val="475C7DB9"/>
    <w:rsid w:val="47F210A1"/>
    <w:rsid w:val="4817039A"/>
    <w:rsid w:val="48662902"/>
    <w:rsid w:val="49846661"/>
    <w:rsid w:val="4A2614A0"/>
    <w:rsid w:val="4A5C7538"/>
    <w:rsid w:val="4A834C0C"/>
    <w:rsid w:val="4AAD305D"/>
    <w:rsid w:val="4AF91B85"/>
    <w:rsid w:val="4B0B70C5"/>
    <w:rsid w:val="4B0E61F2"/>
    <w:rsid w:val="4BEA27BB"/>
    <w:rsid w:val="4ECB3072"/>
    <w:rsid w:val="4FF43C08"/>
    <w:rsid w:val="52ED0DE3"/>
    <w:rsid w:val="533118FD"/>
    <w:rsid w:val="53815038"/>
    <w:rsid w:val="54FF1D62"/>
    <w:rsid w:val="55596B43"/>
    <w:rsid w:val="57DA75C4"/>
    <w:rsid w:val="58476727"/>
    <w:rsid w:val="58A1307C"/>
    <w:rsid w:val="58D42829"/>
    <w:rsid w:val="58FB7309"/>
    <w:rsid w:val="5AA93841"/>
    <w:rsid w:val="5B105BB6"/>
    <w:rsid w:val="5B8419B9"/>
    <w:rsid w:val="5DFFB1B4"/>
    <w:rsid w:val="5F772160"/>
    <w:rsid w:val="5FFF8CFA"/>
    <w:rsid w:val="60780305"/>
    <w:rsid w:val="620D6DAC"/>
    <w:rsid w:val="621719D8"/>
    <w:rsid w:val="62A21FF1"/>
    <w:rsid w:val="62DD677E"/>
    <w:rsid w:val="634D3AD1"/>
    <w:rsid w:val="64A5151D"/>
    <w:rsid w:val="64E606BF"/>
    <w:rsid w:val="64F8789F"/>
    <w:rsid w:val="65F828DB"/>
    <w:rsid w:val="664545A7"/>
    <w:rsid w:val="66E53E53"/>
    <w:rsid w:val="677F2CAD"/>
    <w:rsid w:val="685C3D33"/>
    <w:rsid w:val="68EE53C3"/>
    <w:rsid w:val="6B3C2AF3"/>
    <w:rsid w:val="6D6476CF"/>
    <w:rsid w:val="6F651FD5"/>
    <w:rsid w:val="6FBDE84B"/>
    <w:rsid w:val="70025A76"/>
    <w:rsid w:val="70F250FA"/>
    <w:rsid w:val="711517D9"/>
    <w:rsid w:val="717402AD"/>
    <w:rsid w:val="727115C4"/>
    <w:rsid w:val="727C3822"/>
    <w:rsid w:val="755A58E6"/>
    <w:rsid w:val="75A5137D"/>
    <w:rsid w:val="763F273F"/>
    <w:rsid w:val="76A01B45"/>
    <w:rsid w:val="77200C8C"/>
    <w:rsid w:val="77C47AB5"/>
    <w:rsid w:val="783E18A8"/>
    <w:rsid w:val="791F1447"/>
    <w:rsid w:val="79733540"/>
    <w:rsid w:val="7A680BCB"/>
    <w:rsid w:val="7B726C28"/>
    <w:rsid w:val="7BBDF057"/>
    <w:rsid w:val="7C5B064D"/>
    <w:rsid w:val="7DFFEAE3"/>
    <w:rsid w:val="7E332273"/>
    <w:rsid w:val="7EF70770"/>
    <w:rsid w:val="7F1F78FC"/>
    <w:rsid w:val="7FBB1016"/>
    <w:rsid w:val="7FEF05E2"/>
    <w:rsid w:val="9A7F04BC"/>
    <w:rsid w:val="B3DF65B9"/>
    <w:rsid w:val="BFDE203E"/>
    <w:rsid w:val="C7F692D5"/>
    <w:rsid w:val="CFD1B6A7"/>
    <w:rsid w:val="DFEFCF8D"/>
    <w:rsid w:val="ED5E4559"/>
    <w:rsid w:val="EED8A522"/>
    <w:rsid w:val="EFB63885"/>
    <w:rsid w:val="F73D94C9"/>
    <w:rsid w:val="FAE73427"/>
    <w:rsid w:val="FB3B92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4">
    <w:name w:val="heading 2"/>
    <w:basedOn w:val="1"/>
    <w:next w:val="1"/>
    <w:link w:val="71"/>
    <w:qFormat/>
    <w:uiPriority w:val="0"/>
    <w:pPr>
      <w:keepNext/>
      <w:keepLines/>
      <w:adjustRightInd w:val="0"/>
      <w:snapToGrid w:val="0"/>
      <w:spacing w:line="360" w:lineRule="auto"/>
      <w:outlineLvl w:val="1"/>
    </w:pPr>
    <w:rPr>
      <w:rFonts w:ascii="宋体" w:hAnsi="宋体"/>
    </w:rPr>
  </w:style>
  <w:style w:type="paragraph" w:styleId="5">
    <w:name w:val="heading 3"/>
    <w:basedOn w:val="1"/>
    <w:next w:val="1"/>
    <w:qFormat/>
    <w:uiPriority w:val="0"/>
    <w:pPr>
      <w:keepNext/>
      <w:keepLines/>
      <w:spacing w:before="260" w:beforeLines="0" w:beforeAutospacing="0" w:after="260" w:afterLines="0" w:afterAutospacing="0" w:line="413" w:lineRule="auto"/>
      <w:jc w:val="center"/>
      <w:outlineLvl w:val="2"/>
    </w:pPr>
    <w:rPr>
      <w:b/>
      <w:sz w:val="44"/>
    </w:rPr>
  </w:style>
  <w:style w:type="paragraph" w:styleId="6">
    <w:name w:val="heading 4"/>
    <w:basedOn w:val="1"/>
    <w:next w:val="1"/>
    <w:qFormat/>
    <w:uiPriority w:val="0"/>
    <w:pPr>
      <w:keepNext/>
      <w:keepLines/>
      <w:numPr>
        <w:ilvl w:val="0"/>
        <w:numId w:val="1"/>
      </w:numPr>
      <w:spacing w:before="560" w:beforeLines="0" w:after="290" w:afterLines="0" w:line="377"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2">
    <w:name w:val="Default Paragraph Font"/>
    <w:qFormat/>
    <w:uiPriority w:val="0"/>
  </w:style>
  <w:style w:type="table" w:default="1" w:styleId="60">
    <w:name w:val="Normal Table"/>
    <w:unhideWhenUsed/>
    <w:qFormat/>
    <w:uiPriority w:val="99"/>
    <w:tblPr>
      <w:tblLayout w:type="fixed"/>
      <w:tblCellMar>
        <w:top w:w="0" w:type="dxa"/>
        <w:left w:w="108" w:type="dxa"/>
        <w:bottom w:w="0" w:type="dxa"/>
        <w:right w:w="108" w:type="dxa"/>
      </w:tblCellMar>
    </w:tblPr>
  </w:style>
  <w:style w:type="paragraph" w:styleId="2">
    <w:name w:val="index 4"/>
    <w:basedOn w:val="1"/>
    <w:next w:val="1"/>
    <w:qFormat/>
    <w:uiPriority w:val="0"/>
    <w:pPr>
      <w:ind w:left="600" w:leftChars="600"/>
    </w:p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2"/>
      </w:numPr>
      <w:spacing w:line="360" w:lineRule="auto"/>
    </w:pPr>
    <w:rPr>
      <w:sz w:val="24"/>
    </w:rPr>
  </w:style>
  <w:style w:type="paragraph" w:styleId="15">
    <w:name w:val="List Bullet 4"/>
    <w:basedOn w:val="1"/>
    <w:qFormat/>
    <w:uiPriority w:val="0"/>
    <w:pPr>
      <w:widowControl/>
      <w:numPr>
        <w:ilvl w:val="0"/>
        <w:numId w:val="3"/>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6">
    <w:name w:val="Normal Indent"/>
    <w:basedOn w:val="1"/>
    <w:next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beforeLines="0" w:beforeAutospacing="0"/>
    </w:pPr>
    <w:rPr>
      <w:rFonts w:ascii="Arial" w:hAnsi="Arial"/>
      <w:sz w:val="24"/>
    </w:rPr>
  </w:style>
  <w:style w:type="paragraph" w:styleId="20">
    <w:name w:val="annotation text"/>
    <w:basedOn w:val="1"/>
    <w:link w:val="72"/>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1">
    <w:name w:val="Body Text 3"/>
    <w:basedOn w:val="1"/>
    <w:qFormat/>
    <w:uiPriority w:val="0"/>
    <w:pPr>
      <w:adjustRightInd w:val="0"/>
      <w:snapToGrid w:val="0"/>
      <w:spacing w:after="120" w:afterLines="0" w:afterAutospacing="0" w:line="360" w:lineRule="auto"/>
    </w:pPr>
    <w:rPr>
      <w:sz w:val="16"/>
    </w:rPr>
  </w:style>
  <w:style w:type="paragraph" w:styleId="22">
    <w:name w:val="List Bullet 3"/>
    <w:basedOn w:val="1"/>
    <w:qFormat/>
    <w:uiPriority w:val="0"/>
    <w:pPr>
      <w:numPr>
        <w:ilvl w:val="0"/>
        <w:numId w:val="4"/>
      </w:numPr>
      <w:adjustRightInd w:val="0"/>
      <w:snapToGrid w:val="0"/>
      <w:spacing w:line="360" w:lineRule="auto"/>
    </w:pPr>
    <w:rPr>
      <w:sz w:val="24"/>
    </w:rPr>
  </w:style>
  <w:style w:type="paragraph" w:styleId="23">
    <w:name w:val="Body Text"/>
    <w:basedOn w:val="1"/>
    <w:next w:val="24"/>
    <w:qFormat/>
    <w:uiPriority w:val="0"/>
    <w:rPr>
      <w:rFonts w:ascii="仿宋_GB2312" w:eastAsia="仿宋_GB2312"/>
      <w:kern w:val="2"/>
      <w:sz w:val="32"/>
    </w:rPr>
  </w:style>
  <w:style w:type="paragraph" w:customStyle="1" w:styleId="24">
    <w:name w:val="默认"/>
    <w:qFormat/>
    <w:uiPriority w:val="0"/>
    <w:rPr>
      <w:rFonts w:ascii="Helvetica" w:hAnsi="Helvetica" w:eastAsia="Helvetica" w:cs="Helvetica"/>
      <w:color w:val="000000"/>
      <w:sz w:val="22"/>
      <w:szCs w:val="22"/>
      <w:lang w:val="en-US" w:eastAsia="zh-CN" w:bidi="ar-SA"/>
    </w:rPr>
  </w:style>
  <w:style w:type="paragraph" w:styleId="25">
    <w:name w:val="Body Text Indent"/>
    <w:basedOn w:val="1"/>
    <w:next w:val="23"/>
    <w:qFormat/>
    <w:uiPriority w:val="0"/>
    <w:pPr>
      <w:spacing w:line="700" w:lineRule="exact"/>
      <w:ind w:left="960"/>
    </w:pPr>
    <w:rPr>
      <w:sz w:val="44"/>
    </w:rPr>
  </w:style>
  <w:style w:type="paragraph" w:styleId="26">
    <w:name w:val="List Number 3"/>
    <w:basedOn w:val="1"/>
    <w:qFormat/>
    <w:uiPriority w:val="0"/>
    <w:pPr>
      <w:tabs>
        <w:tab w:val="left" w:pos="2120"/>
      </w:tabs>
      <w:adjustRightInd w:val="0"/>
      <w:snapToGrid w:val="0"/>
      <w:spacing w:line="360" w:lineRule="auto"/>
      <w:ind w:left="2120" w:hanging="720"/>
    </w:pPr>
    <w:rPr>
      <w:sz w:val="24"/>
    </w:rPr>
  </w:style>
  <w:style w:type="paragraph" w:styleId="27">
    <w:name w:val="List 2"/>
    <w:basedOn w:val="1"/>
    <w:qFormat/>
    <w:uiPriority w:val="0"/>
    <w:pPr>
      <w:adjustRightInd w:val="0"/>
      <w:snapToGrid w:val="0"/>
      <w:spacing w:line="360" w:lineRule="auto"/>
      <w:ind w:left="100" w:leftChars="200" w:hanging="200" w:hangingChars="200"/>
    </w:pPr>
    <w:rPr>
      <w:sz w:val="24"/>
    </w:rPr>
  </w:style>
  <w:style w:type="paragraph" w:styleId="28">
    <w:name w:val="List Continue"/>
    <w:basedOn w:val="1"/>
    <w:qFormat/>
    <w:uiPriority w:val="0"/>
    <w:pPr>
      <w:adjustRightInd w:val="0"/>
      <w:snapToGrid w:val="0"/>
      <w:spacing w:after="120" w:afterLines="0" w:afterAutospacing="0" w:line="360" w:lineRule="auto"/>
      <w:ind w:left="420" w:leftChars="200"/>
    </w:pPr>
    <w:rPr>
      <w:sz w:val="24"/>
    </w:rPr>
  </w:style>
  <w:style w:type="paragraph" w:styleId="29">
    <w:name w:val="List Bullet 2"/>
    <w:basedOn w:val="1"/>
    <w:qFormat/>
    <w:uiPriority w:val="0"/>
    <w:pPr>
      <w:numPr>
        <w:ilvl w:val="0"/>
        <w:numId w:val="5"/>
      </w:numPr>
      <w:adjustRightInd w:val="0"/>
      <w:snapToGrid w:val="0"/>
      <w:spacing w:line="360" w:lineRule="auto"/>
    </w:pPr>
    <w:rPr>
      <w:sz w:val="24"/>
    </w:rPr>
  </w:style>
  <w:style w:type="paragraph" w:styleId="30">
    <w:name w:val="toc 5"/>
    <w:basedOn w:val="1"/>
    <w:next w:val="1"/>
    <w:qFormat/>
    <w:uiPriority w:val="0"/>
    <w:pPr>
      <w:ind w:left="1680" w:leftChars="800"/>
    </w:pPr>
  </w:style>
  <w:style w:type="paragraph" w:styleId="31">
    <w:name w:val="toc 3"/>
    <w:basedOn w:val="5"/>
    <w:next w:val="1"/>
    <w:qFormat/>
    <w:uiPriority w:val="0"/>
    <w:pPr>
      <w:ind w:left="840" w:leftChars="400"/>
    </w:pPr>
  </w:style>
  <w:style w:type="paragraph" w:styleId="32">
    <w:name w:val="Plain Text"/>
    <w:basedOn w:val="1"/>
    <w:qFormat/>
    <w:uiPriority w:val="0"/>
    <w:pPr>
      <w:adjustRightInd w:val="0"/>
      <w:snapToGrid w:val="0"/>
      <w:spacing w:line="360" w:lineRule="auto"/>
    </w:pPr>
    <w:rPr>
      <w:rFonts w:ascii="宋体" w:hAnsi="Courier New"/>
      <w:sz w:val="21"/>
    </w:rPr>
  </w:style>
  <w:style w:type="paragraph" w:styleId="33">
    <w:name w:val="toc 8"/>
    <w:basedOn w:val="1"/>
    <w:next w:val="1"/>
    <w:qFormat/>
    <w:uiPriority w:val="0"/>
    <w:pPr>
      <w:ind w:left="2940" w:leftChars="1400"/>
    </w:pPr>
  </w:style>
  <w:style w:type="paragraph" w:styleId="34">
    <w:name w:val="Date"/>
    <w:basedOn w:val="1"/>
    <w:next w:val="1"/>
    <w:link w:val="73"/>
    <w:qFormat/>
    <w:uiPriority w:val="0"/>
  </w:style>
  <w:style w:type="paragraph" w:styleId="35">
    <w:name w:val="Body Text Indent 2"/>
    <w:basedOn w:val="1"/>
    <w:qFormat/>
    <w:uiPriority w:val="0"/>
    <w:pPr>
      <w:snapToGrid w:val="0"/>
      <w:spacing w:line="440" w:lineRule="atLeast"/>
      <w:ind w:firstLine="570"/>
    </w:pPr>
    <w:rPr>
      <w:rFonts w:ascii="宋体"/>
    </w:rPr>
  </w:style>
  <w:style w:type="paragraph" w:styleId="36">
    <w:name w:val="Balloon Text"/>
    <w:basedOn w:val="1"/>
    <w:qFormat/>
    <w:uiPriority w:val="0"/>
    <w:rPr>
      <w:sz w:val="18"/>
    </w:rPr>
  </w:style>
  <w:style w:type="paragraph" w:styleId="37">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8">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39">
    <w:name w:val="toc 1"/>
    <w:basedOn w:val="3"/>
    <w:next w:val="1"/>
    <w:qFormat/>
    <w:uiPriority w:val="39"/>
    <w:pPr>
      <w:tabs>
        <w:tab w:val="left" w:pos="1260"/>
        <w:tab w:val="left" w:pos="1685"/>
        <w:tab w:val="right" w:leader="dot" w:pos="8400"/>
        <w:tab w:val="clear" w:pos="3360"/>
      </w:tabs>
      <w:spacing w:line="320" w:lineRule="exact"/>
      <w:ind w:firstLine="280" w:firstLineChars="100"/>
    </w:pPr>
    <w:rPr>
      <w:rFonts w:ascii="Times New Roman" w:hAnsi="Times New Roman" w:eastAsia="宋体"/>
      <w:b/>
    </w:rPr>
  </w:style>
  <w:style w:type="paragraph" w:styleId="40">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1">
    <w:name w:val="toc 4"/>
    <w:basedOn w:val="1"/>
    <w:next w:val="1"/>
    <w:qFormat/>
    <w:uiPriority w:val="0"/>
    <w:pPr>
      <w:ind w:left="1260" w:leftChars="600"/>
    </w:pPr>
  </w:style>
  <w:style w:type="paragraph" w:styleId="42">
    <w:name w:val="Subtitle"/>
    <w:basedOn w:val="1"/>
    <w:qFormat/>
    <w:uiPriority w:val="0"/>
    <w:pPr>
      <w:widowControl/>
      <w:jc w:val="center"/>
    </w:pPr>
    <w:rPr>
      <w:kern w:val="0"/>
      <w:sz w:val="20"/>
      <w:u w:val="single"/>
      <w:lang w:eastAsia="en-US"/>
    </w:rPr>
  </w:style>
  <w:style w:type="paragraph" w:styleId="43">
    <w:name w:val="footnote text"/>
    <w:basedOn w:val="1"/>
    <w:qFormat/>
    <w:uiPriority w:val="0"/>
    <w:pPr>
      <w:spacing w:line="360" w:lineRule="auto"/>
    </w:pPr>
    <w:rPr>
      <w:sz w:val="18"/>
    </w:rPr>
  </w:style>
  <w:style w:type="paragraph" w:styleId="44">
    <w:name w:val="toc 6"/>
    <w:basedOn w:val="1"/>
    <w:next w:val="1"/>
    <w:qFormat/>
    <w:uiPriority w:val="0"/>
    <w:pPr>
      <w:ind w:left="2100" w:leftChars="1000"/>
    </w:pPr>
  </w:style>
  <w:style w:type="paragraph" w:styleId="45">
    <w:name w:val="List 5"/>
    <w:basedOn w:val="1"/>
    <w:qFormat/>
    <w:uiPriority w:val="0"/>
    <w:pPr>
      <w:adjustRightInd w:val="0"/>
      <w:snapToGrid w:val="0"/>
      <w:spacing w:line="360" w:lineRule="auto"/>
      <w:ind w:left="100" w:leftChars="800" w:hanging="200" w:hangingChars="200"/>
    </w:pPr>
    <w:rPr>
      <w:sz w:val="24"/>
    </w:rPr>
  </w:style>
  <w:style w:type="paragraph" w:styleId="46">
    <w:name w:val="Body Text Indent 3"/>
    <w:basedOn w:val="1"/>
    <w:qFormat/>
    <w:uiPriority w:val="0"/>
    <w:pPr>
      <w:spacing w:line="360" w:lineRule="auto"/>
      <w:ind w:firstLine="632"/>
    </w:pPr>
    <w:rPr>
      <w:rFonts w:ascii="黑体" w:eastAsia="黑体"/>
    </w:rPr>
  </w:style>
  <w:style w:type="paragraph" w:styleId="47">
    <w:name w:val="table of figures"/>
    <w:basedOn w:val="1"/>
    <w:next w:val="1"/>
    <w:qFormat/>
    <w:uiPriority w:val="0"/>
    <w:pPr>
      <w:tabs>
        <w:tab w:val="right" w:leader="dot" w:pos="8640"/>
      </w:tabs>
      <w:spacing w:line="360" w:lineRule="auto"/>
      <w:ind w:left="400" w:hanging="400"/>
    </w:pPr>
    <w:rPr>
      <w:sz w:val="24"/>
    </w:rPr>
  </w:style>
  <w:style w:type="paragraph" w:styleId="48">
    <w:name w:val="toc 2"/>
    <w:basedOn w:val="4"/>
    <w:next w:val="1"/>
    <w:qFormat/>
    <w:uiPriority w:val="39"/>
    <w:pPr>
      <w:tabs>
        <w:tab w:val="right" w:leader="dot" w:pos="8400"/>
      </w:tabs>
      <w:spacing w:line="440" w:lineRule="exact"/>
      <w:ind w:left="280" w:leftChars="100" w:rightChars="-91"/>
    </w:pPr>
  </w:style>
  <w:style w:type="paragraph" w:styleId="49">
    <w:name w:val="toc 9"/>
    <w:basedOn w:val="1"/>
    <w:next w:val="1"/>
    <w:qFormat/>
    <w:uiPriority w:val="0"/>
    <w:pPr>
      <w:ind w:left="3360" w:leftChars="1600"/>
    </w:pPr>
  </w:style>
  <w:style w:type="paragraph" w:styleId="50">
    <w:name w:val="Body Text 2"/>
    <w:basedOn w:val="1"/>
    <w:qFormat/>
    <w:uiPriority w:val="0"/>
    <w:pPr>
      <w:adjustRightInd w:val="0"/>
      <w:snapToGrid w:val="0"/>
      <w:spacing w:after="120" w:afterLines="0" w:afterAutospacing="0" w:line="480" w:lineRule="auto"/>
    </w:pPr>
    <w:rPr>
      <w:sz w:val="24"/>
    </w:rPr>
  </w:style>
  <w:style w:type="paragraph" w:styleId="51">
    <w:name w:val="List 4"/>
    <w:basedOn w:val="1"/>
    <w:qFormat/>
    <w:uiPriority w:val="0"/>
    <w:pPr>
      <w:adjustRightInd w:val="0"/>
      <w:snapToGrid w:val="0"/>
      <w:spacing w:line="360" w:lineRule="auto"/>
      <w:ind w:left="100" w:leftChars="600" w:hanging="200" w:hangingChars="200"/>
    </w:pPr>
    <w:rPr>
      <w:sz w:val="24"/>
    </w:rPr>
  </w:style>
  <w:style w:type="paragraph" w:styleId="52">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3">
    <w:name w:val="Normal (Web)"/>
    <w:basedOn w:val="1"/>
    <w:qFormat/>
    <w:uiPriority w:val="0"/>
    <w:pPr>
      <w:widowControl/>
      <w:spacing w:before="100" w:beforeLines="0" w:beforeAutospacing="1" w:after="100" w:afterLines="0" w:afterAutospacing="1"/>
      <w:jc w:val="left"/>
    </w:pPr>
    <w:rPr>
      <w:rFonts w:ascii="Arial Unicode MS" w:hAnsi="Arial Unicode MS" w:eastAsia="Arial Unicode MS"/>
      <w:kern w:val="0"/>
      <w:sz w:val="24"/>
    </w:rPr>
  </w:style>
  <w:style w:type="paragraph" w:styleId="54">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57">
    <w:name w:val="annotation subject"/>
    <w:basedOn w:val="20"/>
    <w:next w:val="20"/>
    <w:qFormat/>
    <w:uiPriority w:val="0"/>
    <w:pPr>
      <w:widowControl w:val="0"/>
      <w:tabs>
        <w:tab w:val="clear" w:pos="1134"/>
      </w:tabs>
      <w:adjustRightInd/>
      <w:snapToGrid/>
      <w:spacing w:line="240" w:lineRule="auto"/>
    </w:pPr>
    <w:rPr>
      <w:rFonts w:eastAsia="宋体"/>
      <w:b/>
      <w:kern w:val="2"/>
      <w:sz w:val="21"/>
      <w:lang w:val="en-US" w:eastAsia="zh-CN"/>
    </w:rPr>
  </w:style>
  <w:style w:type="paragraph" w:styleId="58">
    <w:name w:val="Body Text First Indent"/>
    <w:basedOn w:val="23"/>
    <w:next w:val="1"/>
    <w:qFormat/>
    <w:uiPriority w:val="0"/>
    <w:pPr>
      <w:spacing w:line="360" w:lineRule="auto"/>
      <w:ind w:firstLine="420"/>
    </w:pPr>
    <w:rPr>
      <w:rFonts w:ascii="宋体" w:hAnsi="宋体"/>
      <w:sz w:val="24"/>
    </w:rPr>
  </w:style>
  <w:style w:type="paragraph" w:styleId="59">
    <w:name w:val="Body Text First Indent 2"/>
    <w:basedOn w:val="25"/>
    <w:qFormat/>
    <w:uiPriority w:val="0"/>
    <w:pPr>
      <w:spacing w:after="120" w:afterLines="0" w:afterAutospacing="0" w:line="240" w:lineRule="auto"/>
      <w:ind w:left="420" w:leftChars="200" w:firstLine="420" w:firstLineChars="20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3">
    <w:name w:val="Strong"/>
    <w:qFormat/>
    <w:uiPriority w:val="22"/>
    <w:rPr>
      <w:b/>
    </w:rPr>
  </w:style>
  <w:style w:type="character" w:styleId="64">
    <w:name w:val="page number"/>
    <w:basedOn w:val="62"/>
    <w:qFormat/>
    <w:uiPriority w:val="0"/>
  </w:style>
  <w:style w:type="character" w:styleId="65">
    <w:name w:val="FollowedHyperlink"/>
    <w:qFormat/>
    <w:uiPriority w:val="0"/>
    <w:rPr>
      <w:color w:val="800080"/>
      <w:u w:val="single"/>
    </w:rPr>
  </w:style>
  <w:style w:type="character" w:styleId="66">
    <w:name w:val="Emphasis"/>
    <w:qFormat/>
    <w:uiPriority w:val="0"/>
    <w:rPr>
      <w:i/>
    </w:rPr>
  </w:style>
  <w:style w:type="character" w:styleId="67">
    <w:name w:val="Hyperlink"/>
    <w:qFormat/>
    <w:uiPriority w:val="99"/>
    <w:rPr>
      <w:color w:val="0000FF"/>
      <w:u w:val="single"/>
    </w:rPr>
  </w:style>
  <w:style w:type="character" w:styleId="68">
    <w:name w:val="annotation reference"/>
    <w:qFormat/>
    <w:uiPriority w:val="0"/>
    <w:rPr>
      <w:sz w:val="21"/>
    </w:rPr>
  </w:style>
  <w:style w:type="character" w:styleId="69">
    <w:name w:val="footnote reference"/>
    <w:qFormat/>
    <w:uiPriority w:val="0"/>
    <w:rPr>
      <w:position w:val="6"/>
      <w:sz w:val="14"/>
      <w:vertAlign w:val="superscript"/>
    </w:rPr>
  </w:style>
  <w:style w:type="paragraph" w:customStyle="1" w:styleId="70">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71">
    <w:name w:val="标题 2 Char"/>
    <w:link w:val="4"/>
    <w:qFormat/>
    <w:uiPriority w:val="0"/>
    <w:rPr>
      <w:rFonts w:ascii="宋体" w:hAnsi="宋体"/>
      <w:kern w:val="2"/>
      <w:sz w:val="28"/>
    </w:rPr>
  </w:style>
  <w:style w:type="character" w:customStyle="1" w:styleId="72">
    <w:name w:val="批注文字 Char"/>
    <w:link w:val="20"/>
    <w:qFormat/>
    <w:uiPriority w:val="0"/>
    <w:rPr>
      <w:rFonts w:eastAsia="PMingLiU"/>
      <w:sz w:val="24"/>
      <w:lang w:eastAsia="zh-TW"/>
    </w:rPr>
  </w:style>
  <w:style w:type="character" w:customStyle="1" w:styleId="73">
    <w:name w:val="日期 Char"/>
    <w:link w:val="34"/>
    <w:qFormat/>
    <w:uiPriority w:val="0"/>
    <w:rPr>
      <w:kern w:val="2"/>
      <w:sz w:val="28"/>
    </w:rPr>
  </w:style>
  <w:style w:type="character" w:customStyle="1" w:styleId="74">
    <w:name w:val="正文 + 三号 Char"/>
    <w:qFormat/>
    <w:uiPriority w:val="0"/>
    <w:rPr>
      <w:rFonts w:eastAsia="宋体"/>
      <w:kern w:val="2"/>
      <w:sz w:val="21"/>
      <w:lang w:val="en-US" w:eastAsia="zh-CN"/>
    </w:rPr>
  </w:style>
  <w:style w:type="character" w:customStyle="1" w:styleId="75">
    <w:name w:val="content-white1"/>
    <w:qFormat/>
    <w:uiPriority w:val="0"/>
    <w:rPr>
      <w:rFonts w:ascii="_x000B__x000C_" w:hAnsi="_x000B__x000C_"/>
      <w:color w:val="auto"/>
      <w:sz w:val="18"/>
      <w:u w:val="none"/>
    </w:rPr>
  </w:style>
  <w:style w:type="character" w:customStyle="1" w:styleId="76">
    <w:name w:val=" Char Char"/>
    <w:qFormat/>
    <w:uiPriority w:val="0"/>
    <w:rPr>
      <w:rFonts w:ascii="宋体" w:hAnsi="宋体" w:eastAsia="宋体"/>
      <w:kern w:val="2"/>
      <w:sz w:val="24"/>
      <w:lang w:val="en-US" w:eastAsia="zh-CN" w:bidi="ar-SA"/>
    </w:rPr>
  </w:style>
  <w:style w:type="character" w:customStyle="1" w:styleId="77">
    <w:name w:val=" Char Char5"/>
    <w:qFormat/>
    <w:uiPriority w:val="0"/>
    <w:rPr>
      <w:rFonts w:ascii="Arial" w:hAnsi="Arial" w:eastAsia="宋体"/>
      <w:b/>
      <w:smallCaps/>
      <w:kern w:val="28"/>
      <w:sz w:val="36"/>
      <w:lang w:val="en-US" w:eastAsia="en-US"/>
    </w:rPr>
  </w:style>
  <w:style w:type="character" w:customStyle="1" w:styleId="78">
    <w:name w:val=" Char Char4"/>
    <w:qFormat/>
    <w:uiPriority w:val="0"/>
    <w:rPr>
      <w:rFonts w:eastAsia="宋体"/>
      <w:b/>
      <w:kern w:val="2"/>
      <w:sz w:val="21"/>
      <w:lang w:val="en-US" w:eastAsia="zh-CN"/>
    </w:rPr>
  </w:style>
  <w:style w:type="character" w:customStyle="1" w:styleId="79">
    <w:name w:val="样式 宋体"/>
    <w:qFormat/>
    <w:uiPriority w:val="0"/>
    <w:rPr>
      <w:rFonts w:ascii="宋体" w:hAnsi="宋体" w:eastAsia="宋体"/>
      <w:sz w:val="28"/>
    </w:rPr>
  </w:style>
  <w:style w:type="character" w:customStyle="1" w:styleId="80">
    <w:name w:val=" Char Char7"/>
    <w:qFormat/>
    <w:uiPriority w:val="0"/>
    <w:rPr>
      <w:rFonts w:ascii="宋体" w:hAnsi="宋体" w:eastAsia="宋体"/>
      <w:kern w:val="2"/>
      <w:sz w:val="28"/>
    </w:rPr>
  </w:style>
  <w:style w:type="character" w:customStyle="1" w:styleId="81">
    <w:name w:val=" Char Char6"/>
    <w:qFormat/>
    <w:uiPriority w:val="0"/>
    <w:rPr>
      <w:rFonts w:ascii="仿宋_GB2312" w:eastAsia="仿宋_GB2312"/>
      <w:kern w:val="2"/>
      <w:sz w:val="32"/>
    </w:rPr>
  </w:style>
  <w:style w:type="character" w:customStyle="1" w:styleId="82">
    <w:name w:val=" Char Char2"/>
    <w:qFormat/>
    <w:uiPriority w:val="0"/>
    <w:rPr>
      <w:rFonts w:eastAsia="宋体"/>
      <w:kern w:val="2"/>
      <w:sz w:val="18"/>
      <w:lang w:val="en-US" w:eastAsia="zh-CN"/>
    </w:rPr>
  </w:style>
  <w:style w:type="character" w:customStyle="1" w:styleId="83">
    <w:name w:val="font1"/>
    <w:qFormat/>
    <w:uiPriority w:val="0"/>
    <w:rPr>
      <w:color w:val="000000"/>
      <w:sz w:val="18"/>
    </w:rPr>
  </w:style>
  <w:style w:type="character" w:customStyle="1" w:styleId="84">
    <w:name w:val="小 Char"/>
    <w:qFormat/>
    <w:uiPriority w:val="0"/>
    <w:rPr>
      <w:rFonts w:ascii="宋体" w:hAnsi="Courier New" w:eastAsia="宋体"/>
      <w:kern w:val="2"/>
      <w:sz w:val="21"/>
      <w:lang w:val="en-US" w:eastAsia="zh-CN" w:bidi="ar-SA"/>
    </w:rPr>
  </w:style>
  <w:style w:type="character" w:customStyle="1" w:styleId="85">
    <w:name w:val="v151"/>
    <w:qFormat/>
    <w:uiPriority w:val="0"/>
    <w:rPr>
      <w:sz w:val="18"/>
    </w:rPr>
  </w:style>
  <w:style w:type="character" w:customStyle="1" w:styleId="86">
    <w:name w:val="Table Text Char Char Char Char"/>
    <w:qFormat/>
    <w:uiPriority w:val="0"/>
    <w:rPr>
      <w:rFonts w:ascii="Arial" w:hAnsi="Arial"/>
      <w:kern w:val="2"/>
      <w:sz w:val="18"/>
      <w:lang w:val="en-US" w:eastAsia="zh-CN" w:bidi="ar-SA"/>
    </w:rPr>
  </w:style>
  <w:style w:type="character" w:customStyle="1" w:styleId="87">
    <w:name w:val="Table Text Char1 Char"/>
    <w:qFormat/>
    <w:uiPriority w:val="0"/>
    <w:rPr>
      <w:rFonts w:ascii="Arial" w:hAnsi="Arial"/>
      <w:kern w:val="2"/>
      <w:sz w:val="18"/>
      <w:lang w:val="en-US" w:eastAsia="zh-CN" w:bidi="ar-SA"/>
    </w:rPr>
  </w:style>
  <w:style w:type="character" w:customStyle="1" w:styleId="88">
    <w:name w:val="Table Text Char"/>
    <w:qFormat/>
    <w:uiPriority w:val="0"/>
    <w:rPr>
      <w:rFonts w:ascii="Arial" w:hAnsi="Arial"/>
      <w:kern w:val="2"/>
      <w:sz w:val="18"/>
      <w:lang w:val="en-US" w:eastAsia="zh-CN" w:bidi="ar-SA"/>
    </w:rPr>
  </w:style>
  <w:style w:type="character" w:customStyle="1" w:styleId="89">
    <w:name w:val="文字 Char"/>
    <w:link w:val="90"/>
    <w:qFormat/>
    <w:uiPriority w:val="0"/>
    <w:rPr>
      <w:rFonts w:ascii="宋体" w:eastAsia="宋体"/>
      <w:kern w:val="2"/>
      <w:sz w:val="28"/>
      <w:lang w:val="en-US" w:eastAsia="zh-CN" w:bidi="ar-SA"/>
    </w:rPr>
  </w:style>
  <w:style w:type="paragraph" w:customStyle="1" w:styleId="90">
    <w:name w:val="文字"/>
    <w:basedOn w:val="1"/>
    <w:link w:val="89"/>
    <w:qFormat/>
    <w:uiPriority w:val="0"/>
    <w:pPr>
      <w:tabs>
        <w:tab w:val="left" w:pos="8520"/>
      </w:tabs>
      <w:spacing w:line="312" w:lineRule="auto"/>
      <w:ind w:right="-210" w:firstLine="556"/>
    </w:pPr>
    <w:rPr>
      <w:rFonts w:ascii="宋体"/>
    </w:rPr>
  </w:style>
  <w:style w:type="character" w:customStyle="1" w:styleId="91">
    <w:name w:val="标书正文:  0.74 厘米 Char1"/>
    <w:qFormat/>
    <w:uiPriority w:val="0"/>
    <w:rPr>
      <w:rFonts w:eastAsia="宋体"/>
      <w:kern w:val="2"/>
      <w:sz w:val="24"/>
      <w:lang w:val="en-US" w:eastAsia="zh-CN"/>
    </w:rPr>
  </w:style>
  <w:style w:type="character" w:customStyle="1" w:styleId="92">
    <w:name w:val="crowed11"/>
    <w:qFormat/>
    <w:uiPriority w:val="0"/>
    <w:rPr>
      <w:rFonts w:hint="default" w:ascii="_x000B__x000C_" w:hAnsi="_x000B__x000C_"/>
      <w:sz w:val="24"/>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未命名11"/>
    <w:qFormat/>
    <w:uiPriority w:val="0"/>
    <w:rPr>
      <w:color w:val="77FFFF"/>
      <w:sz w:val="24"/>
    </w:rPr>
  </w:style>
  <w:style w:type="character" w:customStyle="1" w:styleId="95">
    <w:name w:val=" Char Char3"/>
    <w:qFormat/>
    <w:uiPriority w:val="0"/>
    <w:rPr>
      <w:rFonts w:eastAsia="宋体"/>
      <w:kern w:val="2"/>
      <w:sz w:val="18"/>
      <w:lang w:val="en-US" w:eastAsia="zh-CN"/>
    </w:rPr>
  </w:style>
  <w:style w:type="character" w:customStyle="1" w:styleId="96">
    <w:name w:val="top-det1"/>
    <w:qFormat/>
    <w:uiPriority w:val="0"/>
    <w:rPr>
      <w:b/>
      <w:color w:val="000000"/>
    </w:rPr>
  </w:style>
  <w:style w:type="paragraph" w:customStyle="1" w:styleId="97">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98">
    <w:name w:val="样式 标题 1章标题Heading 0Section HeadPIM 1H1h11st levell11H1..."/>
    <w:basedOn w:val="3"/>
    <w:qFormat/>
    <w:uiPriority w:val="0"/>
    <w:pPr>
      <w:keepLines/>
      <w:pageBreakBefore/>
      <w:tabs>
        <w:tab w:val="left" w:pos="432"/>
        <w:tab w:val="clear" w:pos="3360"/>
      </w:tabs>
      <w:autoSpaceDE w:val="0"/>
      <w:autoSpaceDN w:val="0"/>
      <w:adjustRightInd w:val="0"/>
      <w:spacing w:before="340" w:beforeLines="0" w:beforeAutospacing="0" w:after="330" w:afterLines="0" w:afterAutospacing="0" w:line="578" w:lineRule="atLeast"/>
      <w:jc w:val="both"/>
      <w:textAlignment w:val="bottom"/>
    </w:pPr>
    <w:rPr>
      <w:rFonts w:ascii="宋体" w:hAnsi="宋体"/>
      <w:b/>
      <w:kern w:val="44"/>
      <w:sz w:val="36"/>
    </w:rPr>
  </w:style>
  <w:style w:type="paragraph" w:customStyle="1" w:styleId="99">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00">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1">
    <w:name w:val="操作步骤"/>
    <w:basedOn w:val="1"/>
    <w:qFormat/>
    <w:uiPriority w:val="0"/>
    <w:pPr>
      <w:numPr>
        <w:ilvl w:val="0"/>
        <w:numId w:val="6"/>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02">
    <w:name w:val="标题3——2"/>
    <w:basedOn w:val="5"/>
    <w:next w:val="58"/>
    <w:qFormat/>
    <w:uiPriority w:val="0"/>
    <w:pPr>
      <w:tabs>
        <w:tab w:val="left" w:pos="1280"/>
        <w:tab w:val="right" w:leader="dot" w:pos="8777"/>
      </w:tabs>
      <w:spacing w:before="312" w:beforeLines="100" w:beforeAutospacing="0" w:after="0" w:afterLines="0" w:afterAutospacing="0" w:line="240" w:lineRule="auto"/>
      <w:ind w:left="851" w:hanging="851"/>
      <w:jc w:val="both"/>
      <w:outlineLvl w:val="9"/>
    </w:pPr>
    <w:rPr>
      <w:rFonts w:ascii="黑体" w:hAnsi="宋体" w:eastAsia="黑体"/>
      <w:sz w:val="30"/>
    </w:rPr>
  </w:style>
  <w:style w:type="paragraph" w:customStyle="1" w:styleId="103">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04">
    <w:name w:val="正文（首行不缩进）"/>
    <w:basedOn w:val="1"/>
    <w:qFormat/>
    <w:uiPriority w:val="0"/>
    <w:pPr>
      <w:autoSpaceDE w:val="0"/>
      <w:autoSpaceDN w:val="0"/>
      <w:adjustRightInd w:val="0"/>
      <w:spacing w:line="360" w:lineRule="auto"/>
      <w:jc w:val="left"/>
    </w:pPr>
    <w:rPr>
      <w:kern w:val="0"/>
      <w:sz w:val="21"/>
    </w:rPr>
  </w:style>
  <w:style w:type="paragraph" w:customStyle="1" w:styleId="105">
    <w:name w:val="1.正文"/>
    <w:basedOn w:val="1"/>
    <w:qFormat/>
    <w:uiPriority w:val="0"/>
    <w:pPr>
      <w:spacing w:line="360" w:lineRule="auto"/>
      <w:ind w:left="540" w:leftChars="225" w:firstLine="540" w:firstLineChars="225"/>
    </w:pPr>
    <w:rPr>
      <w:sz w:val="24"/>
    </w:rPr>
  </w:style>
  <w:style w:type="paragraph" w:customStyle="1" w:styleId="106">
    <w:name w:val="Item List"/>
    <w:qFormat/>
    <w:uiPriority w:val="0"/>
    <w:pPr>
      <w:numPr>
        <w:ilvl w:val="0"/>
        <w:numId w:val="7"/>
      </w:numPr>
      <w:spacing w:line="300" w:lineRule="auto"/>
      <w:jc w:val="both"/>
    </w:pPr>
    <w:rPr>
      <w:rFonts w:ascii="Arial" w:hAnsi="Arial" w:eastAsia="宋体" w:cs="Times New Roman"/>
      <w:sz w:val="21"/>
      <w:lang w:val="en-US" w:eastAsia="zh-CN" w:bidi="ar-SA"/>
    </w:rPr>
  </w:style>
  <w:style w:type="paragraph" w:customStyle="1" w:styleId="10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08">
    <w:name w:val="Title - Revision"/>
    <w:basedOn w:val="56"/>
    <w:qFormat/>
    <w:uiPriority w:val="0"/>
    <w:pPr>
      <w:spacing w:before="720" w:beforeLines="0" w:beforeAutospacing="0"/>
    </w:pPr>
  </w:style>
  <w:style w:type="paragraph" w:customStyle="1" w:styleId="109">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10">
    <w:name w:val="图片文字"/>
    <w:basedOn w:val="1"/>
    <w:qFormat/>
    <w:uiPriority w:val="0"/>
    <w:pPr>
      <w:spacing w:line="240" w:lineRule="atLeast"/>
      <w:jc w:val="center"/>
    </w:pPr>
    <w:rPr>
      <w:sz w:val="21"/>
    </w:rPr>
  </w:style>
  <w:style w:type="paragraph" w:customStyle="1" w:styleId="111">
    <w:name w:val="Table Contents"/>
    <w:basedOn w:val="23"/>
    <w:qFormat/>
    <w:uiPriority w:val="0"/>
    <w:pPr>
      <w:suppressAutoHyphens/>
      <w:jc w:val="left"/>
    </w:pPr>
    <w:rPr>
      <w:rFonts w:ascii="Times New Roman" w:eastAsia="Times New Roman"/>
      <w:kern w:val="0"/>
      <w:sz w:val="24"/>
    </w:rPr>
  </w:style>
  <w:style w:type="paragraph" w:customStyle="1" w:styleId="112">
    <w:name w:val="表格文本"/>
    <w:qFormat/>
    <w:uiPriority w:val="0"/>
    <w:pPr>
      <w:tabs>
        <w:tab w:val="decimal" w:pos="0"/>
      </w:tabs>
    </w:pPr>
    <w:rPr>
      <w:rFonts w:ascii="Arial" w:hAnsi="Arial" w:eastAsia="宋体" w:cs="Times New Roman"/>
      <w:sz w:val="21"/>
      <w:lang w:val="en-US" w:eastAsia="zh-CN" w:bidi="ar-SA"/>
    </w:rPr>
  </w:style>
  <w:style w:type="paragraph" w:customStyle="1" w:styleId="113">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14">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15">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16">
    <w:name w:val="Style Heading 3h3Heading 3 - oldLevel 3 HeadH3level_3PIM 3se..."/>
    <w:basedOn w:val="5"/>
    <w:qFormat/>
    <w:uiPriority w:val="0"/>
    <w:pPr>
      <w:numPr>
        <w:ilvl w:val="2"/>
        <w:numId w:val="8"/>
      </w:numPr>
      <w:jc w:val="both"/>
    </w:pPr>
    <w:rPr>
      <w:sz w:val="32"/>
    </w:rPr>
  </w:style>
  <w:style w:type="paragraph" w:customStyle="1" w:styleId="117">
    <w:name w:val="样式3"/>
    <w:basedOn w:val="3"/>
    <w:next w:val="3"/>
    <w:qFormat/>
    <w:uiPriority w:val="0"/>
    <w:pPr>
      <w:keepLines/>
      <w:tabs>
        <w:tab w:val="clear" w:pos="3360"/>
      </w:tabs>
      <w:adjustRightInd w:val="0"/>
      <w:spacing w:before="340" w:beforeLines="0" w:beforeAutospacing="0" w:after="330" w:afterLines="0" w:afterAutospacing="0" w:line="576" w:lineRule="auto"/>
      <w:jc w:val="both"/>
    </w:pPr>
    <w:rPr>
      <w:b/>
      <w:kern w:val="44"/>
    </w:rPr>
  </w:style>
  <w:style w:type="paragraph" w:customStyle="1" w:styleId="118">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19">
    <w:name w:val="标题2"/>
    <w:basedOn w:val="4"/>
    <w:qFormat/>
    <w:uiPriority w:val="0"/>
    <w:pPr>
      <w:keepNext w:val="0"/>
      <w:keepLines w:val="0"/>
      <w:snapToGrid w:val="0"/>
      <w:spacing w:before="0" w:beforeLines="0" w:beforeAutospacing="0" w:after="0" w:afterLines="0" w:afterAutospacing="0"/>
      <w:ind w:firstLine="574" w:firstLineChars="196"/>
      <w:outlineLvl w:val="9"/>
    </w:pPr>
    <w:rPr>
      <w:b/>
      <w:spacing w:val="6"/>
      <w:u w:val="single"/>
    </w:rPr>
  </w:style>
  <w:style w:type="paragraph" w:customStyle="1" w:styleId="120">
    <w:name w:val="首行缩进"/>
    <w:basedOn w:val="1"/>
    <w:qFormat/>
    <w:uiPriority w:val="0"/>
    <w:pPr>
      <w:spacing w:line="360" w:lineRule="auto"/>
      <w:ind w:firstLine="420" w:firstLineChars="200"/>
    </w:pPr>
    <w:rPr>
      <w:sz w:val="21"/>
    </w:rPr>
  </w:style>
  <w:style w:type="paragraph" w:customStyle="1" w:styleId="121">
    <w:name w:val="标准正文"/>
    <w:basedOn w:val="25"/>
    <w:qFormat/>
    <w:uiPriority w:val="0"/>
    <w:pPr>
      <w:spacing w:before="60" w:beforeLines="0" w:beforeAutospacing="0" w:after="60" w:afterLines="0" w:afterAutospacing="0" w:line="360" w:lineRule="auto"/>
      <w:ind w:left="0" w:firstLine="482"/>
    </w:pPr>
    <w:rPr>
      <w:rFonts w:ascii="Arial" w:hAnsi="Arial"/>
      <w:sz w:val="24"/>
    </w:rPr>
  </w:style>
  <w:style w:type="paragraph" w:customStyle="1" w:styleId="122">
    <w:name w:val="表格内文字"/>
    <w:basedOn w:val="32"/>
    <w:qFormat/>
    <w:uiPriority w:val="0"/>
    <w:pPr>
      <w:snapToGrid/>
      <w:spacing w:line="240" w:lineRule="auto"/>
    </w:pPr>
    <w:rPr>
      <w:color w:val="000000"/>
      <w:lang w:val="en-GB"/>
    </w:rPr>
  </w:style>
  <w:style w:type="paragraph" w:customStyle="1" w:styleId="123">
    <w:name w:val="标书正文:  0.74 厘米"/>
    <w:basedOn w:val="1"/>
    <w:qFormat/>
    <w:uiPriority w:val="0"/>
    <w:pPr>
      <w:snapToGrid w:val="0"/>
      <w:spacing w:line="360" w:lineRule="auto"/>
      <w:ind w:firstLine="420"/>
    </w:pPr>
    <w:rPr>
      <w:rFonts w:eastAsia="宋体"/>
      <w:kern w:val="2"/>
      <w:sz w:val="24"/>
      <w:lang w:val="en-US" w:eastAsia="zh-CN"/>
    </w:rPr>
  </w:style>
  <w:style w:type="paragraph" w:customStyle="1" w:styleId="124">
    <w:name w:val="表号"/>
    <w:basedOn w:val="1"/>
    <w:qFormat/>
    <w:uiPriority w:val="0"/>
    <w:pPr>
      <w:numPr>
        <w:ilvl w:val="0"/>
        <w:numId w:val="9"/>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25">
    <w:name w:val="样式 标题 6第五层条 + 三号 段前: 0.5 行"/>
    <w:basedOn w:val="8"/>
    <w:qFormat/>
    <w:uiPriority w:val="0"/>
    <w:pPr>
      <w:widowControl/>
      <w:numPr>
        <w:ilvl w:val="5"/>
        <w:numId w:val="0"/>
      </w:numPr>
      <w:adjustRightInd/>
      <w:snapToGrid/>
      <w:spacing w:before="156" w:beforeLines="50" w:beforeAutospacing="0"/>
      <w:ind w:left="1152" w:hanging="1152"/>
      <w:jc w:val="left"/>
    </w:pPr>
    <w:rPr>
      <w:snapToGrid w:val="0"/>
      <w:kern w:val="24"/>
      <w:sz w:val="28"/>
    </w:rPr>
  </w:style>
  <w:style w:type="paragraph" w:customStyle="1" w:styleId="126">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27">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28">
    <w:name w:val="关键词"/>
    <w:basedOn w:val="1"/>
    <w:next w:val="1"/>
    <w:qFormat/>
    <w:uiPriority w:val="0"/>
    <w:pPr>
      <w:spacing w:line="360" w:lineRule="auto"/>
    </w:pPr>
    <w:rPr>
      <w:rFonts w:eastAsia="黑体"/>
      <w:sz w:val="20"/>
    </w:rPr>
  </w:style>
  <w:style w:type="paragraph" w:customStyle="1" w:styleId="129">
    <w:name w:val="列表项目"/>
    <w:basedOn w:val="1"/>
    <w:qFormat/>
    <w:uiPriority w:val="0"/>
    <w:pPr>
      <w:numPr>
        <w:ilvl w:val="0"/>
        <w:numId w:val="10"/>
      </w:numPr>
      <w:tabs>
        <w:tab w:val="left" w:pos="420"/>
        <w:tab w:val="clear" w:pos="980"/>
      </w:tabs>
      <w:spacing w:line="288" w:lineRule="auto"/>
      <w:ind w:left="840" w:leftChars="200" w:hanging="420" w:hangingChars="200"/>
    </w:pPr>
    <w:rPr>
      <w:sz w:val="21"/>
    </w:rPr>
  </w:style>
  <w:style w:type="paragraph" w:customStyle="1" w:styleId="130">
    <w:name w:val=" Char Char Char Char Char Char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131">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32">
    <w:name w:val="00"/>
    <w:basedOn w:val="1"/>
    <w:qFormat/>
    <w:uiPriority w:val="0"/>
    <w:pPr>
      <w:autoSpaceDE w:val="0"/>
      <w:autoSpaceDN w:val="0"/>
      <w:adjustRightInd w:val="0"/>
      <w:jc w:val="left"/>
    </w:pPr>
    <w:rPr>
      <w:rFonts w:ascii="黑体" w:eastAsia="黑体"/>
      <w:b/>
      <w:kern w:val="0"/>
      <w:sz w:val="20"/>
    </w:rPr>
  </w:style>
  <w:style w:type="paragraph" w:customStyle="1" w:styleId="133">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34">
    <w:name w:val="bt"/>
    <w:basedOn w:val="1"/>
    <w:next w:val="23"/>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35">
    <w:name w:val="正文1"/>
    <w:basedOn w:val="1"/>
    <w:qFormat/>
    <w:uiPriority w:val="0"/>
    <w:pPr>
      <w:spacing w:line="300" w:lineRule="auto"/>
      <w:ind w:firstLine="200" w:firstLineChars="200"/>
    </w:pPr>
    <w:rPr>
      <w:sz w:val="24"/>
    </w:rPr>
  </w:style>
  <w:style w:type="paragraph" w:customStyle="1" w:styleId="136">
    <w:name w:val="标题无"/>
    <w:basedOn w:val="1"/>
    <w:qFormat/>
    <w:uiPriority w:val="0"/>
    <w:pPr>
      <w:spacing w:line="360" w:lineRule="auto"/>
    </w:pPr>
    <w:rPr>
      <w:sz w:val="24"/>
    </w:rPr>
  </w:style>
  <w:style w:type="paragraph" w:customStyle="1" w:styleId="137">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38">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139">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40">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41">
    <w:name w:val=" Char"/>
    <w:basedOn w:val="1"/>
    <w:qFormat/>
    <w:uiPriority w:val="0"/>
    <w:pPr>
      <w:spacing w:line="240" w:lineRule="atLeast"/>
      <w:ind w:left="420" w:firstLine="420"/>
    </w:pPr>
    <w:rPr>
      <w:kern w:val="0"/>
      <w:sz w:val="21"/>
    </w:rPr>
  </w:style>
  <w:style w:type="paragraph" w:customStyle="1" w:styleId="142">
    <w:name w:val="_Style 137"/>
    <w:qFormat/>
    <w:uiPriority w:val="0"/>
    <w:rPr>
      <w:rFonts w:ascii="Times New Roman" w:hAnsi="Times New Roman" w:eastAsia="宋体" w:cs="Times New Roman"/>
      <w:kern w:val="2"/>
      <w:sz w:val="21"/>
      <w:lang w:val="en-US" w:eastAsia="zh-CN" w:bidi="ar-SA"/>
    </w:rPr>
  </w:style>
  <w:style w:type="paragraph" w:customStyle="1" w:styleId="143">
    <w:name w:val="文章正文"/>
    <w:basedOn w:val="1"/>
    <w:qFormat/>
    <w:uiPriority w:val="0"/>
    <w:pPr>
      <w:ind w:firstLine="560" w:firstLineChars="200"/>
    </w:pPr>
    <w:rPr>
      <w:rFonts w:ascii="仿宋_GB2312" w:hAnsi="宋体" w:eastAsia="仿宋_GB2312"/>
      <w:color w:val="000000"/>
    </w:rPr>
  </w:style>
  <w:style w:type="paragraph" w:customStyle="1" w:styleId="14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45">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6">
    <w:name w:val="编号正文"/>
    <w:basedOn w:val="147"/>
    <w:qFormat/>
    <w:uiPriority w:val="0"/>
    <w:pPr>
      <w:snapToGrid/>
      <w:spacing w:line="360" w:lineRule="auto"/>
      <w:ind w:left="1407" w:hanging="1047"/>
      <w:jc w:val="left"/>
    </w:pPr>
    <w:rPr>
      <w:rFonts w:eastAsia="仿宋_GB2312"/>
    </w:rPr>
  </w:style>
  <w:style w:type="paragraph" w:customStyle="1" w:styleId="14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48">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9">
    <w:name w:val="样式 首行缩进:  0.74 厘米"/>
    <w:basedOn w:val="1"/>
    <w:qFormat/>
    <w:uiPriority w:val="0"/>
    <w:pPr>
      <w:spacing w:line="360" w:lineRule="auto"/>
      <w:ind w:firstLine="420"/>
    </w:pPr>
    <w:rPr>
      <w:sz w:val="24"/>
    </w:rPr>
  </w:style>
  <w:style w:type="paragraph" w:customStyle="1" w:styleId="150">
    <w:name w:val="摘要"/>
    <w:basedOn w:val="1"/>
    <w:next w:val="4"/>
    <w:qFormat/>
    <w:uiPriority w:val="0"/>
    <w:pPr>
      <w:spacing w:line="360" w:lineRule="auto"/>
    </w:pPr>
    <w:rPr>
      <w:rFonts w:eastAsia="黑体"/>
      <w:sz w:val="20"/>
    </w:rPr>
  </w:style>
  <w:style w:type="paragraph" w:customStyle="1" w:styleId="151">
    <w:name w:val="样式 宋体 五号 行距: 单倍行距"/>
    <w:basedOn w:val="1"/>
    <w:qFormat/>
    <w:uiPriority w:val="0"/>
    <w:pPr>
      <w:adjustRightInd w:val="0"/>
      <w:jc w:val="left"/>
    </w:pPr>
    <w:rPr>
      <w:rFonts w:ascii="宋体" w:hAnsi="宋体"/>
      <w:kern w:val="0"/>
      <w:sz w:val="21"/>
    </w:rPr>
  </w:style>
  <w:style w:type="paragraph" w:customStyle="1" w:styleId="152">
    <w:name w:val="样式 行距: 1.5 倍行距1"/>
    <w:basedOn w:val="1"/>
    <w:qFormat/>
    <w:uiPriority w:val="0"/>
    <w:pPr>
      <w:snapToGrid w:val="0"/>
    </w:pPr>
    <w:rPr>
      <w:sz w:val="21"/>
    </w:rPr>
  </w:style>
  <w:style w:type="paragraph" w:customStyle="1" w:styleId="153">
    <w:name w:val="附录4"/>
    <w:basedOn w:val="1"/>
    <w:next w:val="1"/>
    <w:qFormat/>
    <w:uiPriority w:val="0"/>
    <w:pPr>
      <w:widowControl/>
      <w:numPr>
        <w:ilvl w:val="3"/>
        <w:numId w:val="0"/>
      </w:numPr>
      <w:tabs>
        <w:tab w:val="left" w:pos="1134"/>
      </w:tabs>
      <w:spacing w:line="300" w:lineRule="auto"/>
      <w:ind w:left="1361" w:hanging="1361"/>
      <w:outlineLvl w:val="3"/>
    </w:pPr>
    <w:rPr>
      <w:rFonts w:ascii="Arial" w:hAnsi="Arial" w:eastAsia="黑体"/>
      <w:kern w:val="0"/>
    </w:rPr>
  </w:style>
  <w:style w:type="paragraph" w:customStyle="1" w:styleId="154">
    <w:name w:val="样式 样式 首行缩进:  2 字符 + 首行缩进:  2 字符"/>
    <w:basedOn w:val="1"/>
    <w:qFormat/>
    <w:uiPriority w:val="0"/>
    <w:pPr>
      <w:numPr>
        <w:ilvl w:val="0"/>
        <w:numId w:val="12"/>
      </w:numPr>
      <w:tabs>
        <w:tab w:val="clear" w:pos="1230"/>
      </w:tabs>
      <w:spacing w:line="360" w:lineRule="auto"/>
      <w:ind w:firstLine="480" w:firstLineChars="200"/>
    </w:pPr>
    <w:rPr>
      <w:sz w:val="24"/>
    </w:rPr>
  </w:style>
  <w:style w:type="paragraph" w:customStyle="1" w:styleId="155">
    <w:name w:val="样式 正文缩进正文（首行缩进两字）表正文正文非缩进特点标题4段1 + 首行缩进:  2 字符"/>
    <w:basedOn w:val="16"/>
    <w:qFormat/>
    <w:uiPriority w:val="0"/>
    <w:pPr>
      <w:ind w:firstLine="480" w:firstLineChars="200"/>
    </w:pPr>
  </w:style>
  <w:style w:type="paragraph" w:customStyle="1" w:styleId="156">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7">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58">
    <w:name w:val=" Char Char Char"/>
    <w:basedOn w:val="1"/>
    <w:qFormat/>
    <w:uiPriority w:val="0"/>
    <w:rPr>
      <w:rFonts w:ascii="Tahoma" w:hAnsi="Tahoma"/>
      <w:sz w:val="24"/>
    </w:rPr>
  </w:style>
  <w:style w:type="paragraph" w:customStyle="1" w:styleId="159">
    <w:name w:val="样式2"/>
    <w:basedOn w:val="6"/>
    <w:qFormat/>
    <w:uiPriority w:val="0"/>
    <w:pPr>
      <w:numPr>
        <w:ilvl w:val="0"/>
        <w:numId w:val="13"/>
      </w:numPr>
      <w:spacing w:line="400" w:lineRule="exact"/>
      <w:jc w:val="center"/>
      <w:outlineLvl w:val="0"/>
    </w:pPr>
    <w:rPr>
      <w:b w:val="0"/>
      <w:sz w:val="44"/>
    </w:rPr>
  </w:style>
  <w:style w:type="paragraph" w:customStyle="1" w:styleId="160">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61">
    <w:name w:val=" Char Char 字元 字元 字元 Char Char Char Char"/>
    <w:basedOn w:val="1"/>
    <w:qFormat/>
    <w:uiPriority w:val="0"/>
    <w:pPr>
      <w:adjustRightInd w:val="0"/>
      <w:spacing w:line="360" w:lineRule="auto"/>
    </w:pPr>
    <w:rPr>
      <w:kern w:val="0"/>
      <w:sz w:val="24"/>
    </w:rPr>
  </w:style>
  <w:style w:type="paragraph" w:customStyle="1" w:styleId="162">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63">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64">
    <w:name w:val=" Char1"/>
    <w:basedOn w:val="1"/>
    <w:qFormat/>
    <w:uiPriority w:val="0"/>
    <w:rPr>
      <w:sz w:val="21"/>
    </w:rPr>
  </w:style>
  <w:style w:type="paragraph" w:customStyle="1" w:styleId="16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66">
    <w:name w:val="表头文本"/>
    <w:qFormat/>
    <w:uiPriority w:val="0"/>
    <w:pPr>
      <w:jc w:val="center"/>
    </w:pPr>
    <w:rPr>
      <w:rFonts w:ascii="Arial" w:hAnsi="Arial" w:eastAsia="宋体" w:cs="Times New Roman"/>
      <w:b/>
      <w:sz w:val="21"/>
      <w:lang w:val="en-US" w:eastAsia="zh-CN" w:bidi="ar-SA"/>
    </w:rPr>
  </w:style>
  <w:style w:type="paragraph" w:customStyle="1" w:styleId="167">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68">
    <w:name w:val="内容标题"/>
    <w:basedOn w:val="18"/>
    <w:qFormat/>
    <w:uiPriority w:val="0"/>
    <w:rPr>
      <w:rFonts w:ascii="Tahoma" w:hAnsi="Tahoma"/>
      <w:sz w:val="24"/>
    </w:rPr>
  </w:style>
  <w:style w:type="paragraph" w:customStyle="1" w:styleId="169">
    <w:name w:val="表头样式"/>
    <w:basedOn w:val="1"/>
    <w:qFormat/>
    <w:uiPriority w:val="0"/>
    <w:pPr>
      <w:autoSpaceDE w:val="0"/>
      <w:autoSpaceDN w:val="0"/>
      <w:adjustRightInd w:val="0"/>
      <w:spacing w:line="360" w:lineRule="auto"/>
      <w:jc w:val="left"/>
    </w:pPr>
    <w:rPr>
      <w:b/>
      <w:kern w:val="0"/>
      <w:sz w:val="21"/>
    </w:rPr>
  </w:style>
  <w:style w:type="paragraph" w:customStyle="1" w:styleId="170">
    <w:name w:val="1"/>
    <w:basedOn w:val="1"/>
    <w:qFormat/>
    <w:uiPriority w:val="0"/>
    <w:rPr>
      <w:rFonts w:ascii="Tahoma" w:hAnsi="Tahoma"/>
      <w:sz w:val="24"/>
    </w:rPr>
  </w:style>
  <w:style w:type="paragraph" w:customStyle="1" w:styleId="171">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72">
    <w:name w:val="简单回函地址"/>
    <w:basedOn w:val="1"/>
    <w:qFormat/>
    <w:uiPriority w:val="0"/>
    <w:pPr>
      <w:adjustRightInd w:val="0"/>
      <w:snapToGrid w:val="0"/>
      <w:spacing w:line="360" w:lineRule="auto"/>
    </w:pPr>
    <w:rPr>
      <w:sz w:val="24"/>
    </w:rPr>
  </w:style>
  <w:style w:type="paragraph" w:customStyle="1" w:styleId="173">
    <w:name w:val="正文 + 三号"/>
    <w:basedOn w:val="1"/>
    <w:qFormat/>
    <w:uiPriority w:val="0"/>
    <w:rPr>
      <w:rFonts w:eastAsia="宋体"/>
      <w:kern w:val="2"/>
      <w:sz w:val="21"/>
      <w:lang w:val="en-US" w:eastAsia="zh-CN"/>
    </w:rPr>
  </w:style>
  <w:style w:type="paragraph" w:customStyle="1" w:styleId="174">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75">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6">
    <w:name w:val="默认段落字体 Para Char Char Char Char Char Char Char"/>
    <w:basedOn w:val="1"/>
    <w:qFormat/>
    <w:uiPriority w:val="0"/>
    <w:rPr>
      <w:rFonts w:ascii="Tahoma" w:hAnsi="Tahoma"/>
      <w:sz w:val="24"/>
    </w:rPr>
  </w:style>
  <w:style w:type="paragraph" w:customStyle="1" w:styleId="177">
    <w:name w:val="正文表格"/>
    <w:basedOn w:val="1"/>
    <w:qFormat/>
    <w:uiPriority w:val="0"/>
    <w:pPr>
      <w:adjustRightInd w:val="0"/>
      <w:spacing w:before="40" w:beforeLines="0" w:beforeAutospacing="0" w:after="40" w:afterLines="0" w:afterAutospacing="0"/>
    </w:pPr>
    <w:rPr>
      <w:sz w:val="24"/>
    </w:rPr>
  </w:style>
  <w:style w:type="paragraph" w:customStyle="1" w:styleId="178">
    <w:name w:val="附录3"/>
    <w:basedOn w:val="1"/>
    <w:next w:val="1"/>
    <w:qFormat/>
    <w:uiPriority w:val="0"/>
    <w:pPr>
      <w:numPr>
        <w:ilvl w:val="2"/>
        <w:numId w:val="0"/>
      </w:numPr>
      <w:tabs>
        <w:tab w:val="left" w:pos="851"/>
      </w:tabs>
      <w:ind w:left="425" w:hanging="425"/>
      <w:outlineLvl w:val="2"/>
    </w:pPr>
    <w:rPr>
      <w:rFonts w:eastAsia="黑体"/>
      <w:b/>
      <w:sz w:val="32"/>
    </w:rPr>
  </w:style>
  <w:style w:type="paragraph" w:customStyle="1" w:styleId="179">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80">
    <w:name w:val="Title - Date"/>
    <w:basedOn w:val="56"/>
    <w:next w:val="1"/>
    <w:qFormat/>
    <w:uiPriority w:val="0"/>
    <w:pPr>
      <w:spacing w:before="240" w:beforeLines="0" w:beforeAutospacing="0" w:after="720" w:afterLines="0" w:afterAutospacing="0"/>
    </w:pPr>
    <w:rPr>
      <w:sz w:val="28"/>
    </w:rPr>
  </w:style>
  <w:style w:type="paragraph" w:customStyle="1" w:styleId="181">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82">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8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4">
    <w:name w:val="_"/>
    <w:basedOn w:val="1"/>
    <w:qFormat/>
    <w:uiPriority w:val="0"/>
    <w:pPr>
      <w:adjustRightInd w:val="0"/>
      <w:spacing w:line="360" w:lineRule="auto"/>
      <w:ind w:left="480" w:firstLine="200" w:firstLineChars="200"/>
      <w:textAlignment w:val="baseline"/>
    </w:pPr>
    <w:rPr>
      <w:kern w:val="0"/>
      <w:sz w:val="24"/>
    </w:rPr>
  </w:style>
  <w:style w:type="paragraph" w:customStyle="1" w:styleId="185">
    <w:name w:val=" Char Char Char Char Char"/>
    <w:basedOn w:val="1"/>
    <w:qFormat/>
    <w:uiPriority w:val="0"/>
    <w:pPr>
      <w:numPr>
        <w:ilvl w:val="0"/>
        <w:numId w:val="8"/>
      </w:numPr>
    </w:pPr>
    <w:rPr>
      <w:rFonts w:ascii="Tahoma" w:hAnsi="Tahoma"/>
      <w:sz w:val="24"/>
    </w:rPr>
  </w:style>
  <w:style w:type="paragraph" w:customStyle="1" w:styleId="186">
    <w:name w:val="章标题"/>
    <w:next w:val="1"/>
    <w:qFormat/>
    <w:uiPriority w:val="0"/>
    <w:pPr>
      <w:numPr>
        <w:ilvl w:val="1"/>
        <w:numId w:val="1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87">
    <w:name w:val=" Char1 Char Char Char"/>
    <w:basedOn w:val="1"/>
    <w:qFormat/>
    <w:uiPriority w:val="0"/>
    <w:rPr>
      <w:rFonts w:ascii="Tahoma" w:hAnsi="Tahoma"/>
      <w:sz w:val="24"/>
    </w:rPr>
  </w:style>
  <w:style w:type="paragraph" w:customStyle="1" w:styleId="188">
    <w:name w:val="样式 标题 1 + 居中 段前: 6 磅 段后: 6 磅 行距: 1.5 倍行距"/>
    <w:basedOn w:val="3"/>
    <w:qFormat/>
    <w:uiPriority w:val="0"/>
    <w:pPr>
      <w:keepLines/>
      <w:tabs>
        <w:tab w:val="clear" w:pos="3360"/>
      </w:tabs>
      <w:adjustRightInd w:val="0"/>
      <w:spacing w:before="120" w:beforeLines="0" w:beforeAutospacing="0" w:line="360" w:lineRule="auto"/>
    </w:pPr>
    <w:rPr>
      <w:rFonts w:eastAsia="宋体"/>
      <w:b/>
      <w:kern w:val="44"/>
      <w:sz w:val="32"/>
    </w:rPr>
  </w:style>
  <w:style w:type="paragraph" w:customStyle="1" w:styleId="189">
    <w:name w:val="样式4"/>
    <w:basedOn w:val="6"/>
    <w:qFormat/>
    <w:uiPriority w:val="0"/>
    <w:pPr>
      <w:numPr>
        <w:ilvl w:val="0"/>
        <w:numId w:val="0"/>
      </w:numPr>
      <w:adjustRightInd w:val="0"/>
      <w:snapToGrid w:val="0"/>
      <w:spacing w:before="280" w:beforeLines="0" w:beforeAutospacing="0" w:line="372" w:lineRule="auto"/>
    </w:pPr>
  </w:style>
  <w:style w:type="paragraph" w:customStyle="1" w:styleId="190">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91">
    <w:name w:val="CSS1级正文 Char"/>
    <w:basedOn w:val="23"/>
    <w:qFormat/>
    <w:uiPriority w:val="0"/>
    <w:pPr>
      <w:adjustRightInd w:val="0"/>
      <w:snapToGrid w:val="0"/>
      <w:spacing w:line="360" w:lineRule="auto"/>
      <w:ind w:firstLine="480"/>
    </w:pPr>
    <w:rPr>
      <w:rFonts w:ascii="Times New Roman" w:eastAsia="宋体"/>
      <w:sz w:val="24"/>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94">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95">
    <w:name w:val="Char"/>
    <w:basedOn w:val="1"/>
    <w:qFormat/>
    <w:uiPriority w:val="0"/>
    <w:pPr>
      <w:widowControl/>
      <w:spacing w:line="400" w:lineRule="exact"/>
      <w:jc w:val="center"/>
    </w:pPr>
    <w:rPr>
      <w:sz w:val="24"/>
    </w:rPr>
  </w:style>
  <w:style w:type="paragraph" w:customStyle="1" w:styleId="196">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97">
    <w:name w:val="Body Text Indent 2"/>
    <w:basedOn w:val="1"/>
    <w:qFormat/>
    <w:uiPriority w:val="0"/>
    <w:pPr>
      <w:adjustRightInd w:val="0"/>
      <w:spacing w:before="120" w:beforeLines="0" w:beforeAutospacing="0"/>
      <w:ind w:firstLine="420"/>
      <w:textAlignment w:val="baseline"/>
    </w:pPr>
    <w:rPr>
      <w:sz w:val="24"/>
    </w:rPr>
  </w:style>
  <w:style w:type="paragraph" w:customStyle="1" w:styleId="198">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99">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00">
    <w:name w:val="Item Step in Table"/>
    <w:qFormat/>
    <w:uiPriority w:val="0"/>
    <w:pPr>
      <w:numPr>
        <w:ilvl w:val="0"/>
        <w:numId w:val="15"/>
      </w:numPr>
      <w:spacing w:before="40" w:after="40"/>
      <w:jc w:val="both"/>
    </w:pPr>
    <w:rPr>
      <w:rFonts w:ascii="Arial" w:hAnsi="Arial" w:eastAsia="宋体" w:cs="Times New Roman"/>
      <w:sz w:val="18"/>
      <w:lang w:val="en-US" w:eastAsia="zh-CN" w:bidi="ar-SA"/>
    </w:rPr>
  </w:style>
  <w:style w:type="paragraph" w:customStyle="1" w:styleId="201">
    <w:name w:val="Char1 Char Char Char"/>
    <w:basedOn w:val="1"/>
    <w:qFormat/>
    <w:uiPriority w:val="0"/>
    <w:rPr>
      <w:rFonts w:ascii="Tahoma" w:hAnsi="Tahoma"/>
      <w:sz w:val="21"/>
    </w:rPr>
  </w:style>
  <w:style w:type="paragraph" w:customStyle="1" w:styleId="202">
    <w:name w:val="Char Char Char Char Char Char Char"/>
    <w:basedOn w:val="18"/>
    <w:qFormat/>
    <w:uiPriority w:val="0"/>
    <w:rPr>
      <w:rFonts w:ascii="宋体" w:hAnsi="Tahoma"/>
    </w:rPr>
  </w:style>
  <w:style w:type="paragraph" w:customStyle="1" w:styleId="203">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04">
    <w:name w:val="样式1"/>
    <w:basedOn w:val="6"/>
    <w:qFormat/>
    <w:uiPriority w:val="0"/>
    <w:pPr>
      <w:spacing w:before="500" w:beforeLines="0" w:after="260" w:afterLines="0" w:line="560" w:lineRule="atLeast"/>
    </w:pPr>
  </w:style>
  <w:style w:type="paragraph" w:customStyle="1" w:styleId="205">
    <w:name w:val="二级列表"/>
    <w:basedOn w:val="193"/>
    <w:next w:val="193"/>
    <w:qFormat/>
    <w:uiPriority w:val="0"/>
    <w:pPr>
      <w:tabs>
        <w:tab w:val="left" w:pos="2120"/>
      </w:tabs>
      <w:ind w:firstLine="0" w:firstLineChars="0"/>
    </w:pPr>
    <w:rPr>
      <w:b/>
    </w:rPr>
  </w:style>
  <w:style w:type="paragraph" w:customStyle="1" w:styleId="206">
    <w:name w:val="可研正文"/>
    <w:basedOn w:val="23"/>
    <w:qFormat/>
    <w:uiPriority w:val="0"/>
    <w:pPr>
      <w:adjustRightInd w:val="0"/>
      <w:snapToGrid w:val="0"/>
      <w:spacing w:line="440" w:lineRule="exact"/>
      <w:ind w:firstLine="567"/>
    </w:pPr>
    <w:rPr>
      <w:sz w:val="28"/>
    </w:rPr>
  </w:style>
  <w:style w:type="paragraph" w:customStyle="1" w:styleId="207">
    <w:name w:val="默认段落字体 Para Char Char Char Char Char Char Char Char Char1 Char Char Char Char"/>
    <w:basedOn w:val="1"/>
    <w:qFormat/>
    <w:uiPriority w:val="0"/>
    <w:rPr>
      <w:rFonts w:ascii="Tahoma" w:hAnsi="Tahoma"/>
      <w:sz w:val="24"/>
    </w:rPr>
  </w:style>
  <w:style w:type="paragraph" w:customStyle="1" w:styleId="208">
    <w:name w:val=" Char Char1 Char"/>
    <w:basedOn w:val="1"/>
    <w:qFormat/>
    <w:uiPriority w:val="0"/>
    <w:rPr>
      <w:rFonts w:ascii="Tahoma" w:hAnsi="Tahoma"/>
      <w:sz w:val="24"/>
      <w:szCs w:val="24"/>
    </w:rPr>
  </w:style>
  <w:style w:type="paragraph" w:customStyle="1" w:styleId="209">
    <w:name w:val="Char Char1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210">
    <w:name w:val="Note"/>
    <w:basedOn w:val="1"/>
    <w:qFormat/>
    <w:uiPriority w:val="0"/>
    <w:pPr>
      <w:pBdr>
        <w:top w:val="single" w:color="auto" w:sz="12" w:space="3"/>
        <w:bottom w:val="single" w:color="auto" w:sz="12" w:space="3"/>
      </w:pBdr>
      <w:spacing w:line="360" w:lineRule="auto"/>
    </w:pPr>
    <w:rPr>
      <w:sz w:val="24"/>
    </w:rPr>
  </w:style>
  <w:style w:type="paragraph" w:customStyle="1" w:styleId="211">
    <w:name w:val="文本1"/>
    <w:basedOn w:val="1"/>
    <w:qFormat/>
    <w:uiPriority w:val="0"/>
    <w:pPr>
      <w:adjustRightInd w:val="0"/>
      <w:spacing w:line="312" w:lineRule="atLeast"/>
      <w:jc w:val="center"/>
      <w:textAlignment w:val="baseline"/>
    </w:pPr>
    <w:rPr>
      <w:kern w:val="0"/>
      <w:sz w:val="18"/>
    </w:rPr>
  </w:style>
  <w:style w:type="paragraph" w:customStyle="1" w:styleId="212">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213">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214">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5">
    <w:name w:val="样式1xz"/>
    <w:basedOn w:val="1"/>
    <w:qFormat/>
    <w:uiPriority w:val="0"/>
    <w:pPr>
      <w:tabs>
        <w:tab w:val="left" w:pos="1050"/>
        <w:tab w:val="right" w:leader="dot" w:pos="8296"/>
      </w:tabs>
    </w:pPr>
    <w:rPr>
      <w:caps/>
      <w:spacing w:val="20"/>
      <w:sz w:val="24"/>
    </w:rPr>
  </w:style>
  <w:style w:type="paragraph" w:customStyle="1" w:styleId="216">
    <w:name w:val="IN Feature"/>
    <w:next w:val="171"/>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17">
    <w:name w:val="首行缩进 1"/>
    <w:basedOn w:val="1"/>
    <w:qFormat/>
    <w:uiPriority w:val="0"/>
    <w:pPr>
      <w:spacing w:after="120" w:afterLines="0" w:afterAutospacing="0" w:line="360" w:lineRule="auto"/>
      <w:ind w:firstLine="200" w:firstLineChars="200"/>
    </w:pPr>
    <w:rPr>
      <w:sz w:val="24"/>
    </w:rPr>
  </w:style>
  <w:style w:type="paragraph" w:customStyle="1" w:styleId="218">
    <w:name w:val="表文字"/>
    <w:qFormat/>
    <w:uiPriority w:val="0"/>
    <w:rPr>
      <w:rFonts w:ascii="宋体" w:hAnsi="Times New Roman" w:eastAsia="宋体" w:cs="Times New Roman"/>
      <w:kern w:val="2"/>
      <w:lang w:val="en-US" w:eastAsia="zh-CN" w:bidi="ar-SA"/>
    </w:rPr>
  </w:style>
  <w:style w:type="character" w:customStyle="1" w:styleId="219">
    <w:name w:val="批注文字 Char1"/>
    <w:qFormat/>
    <w:uiPriority w:val="0"/>
    <w:rPr>
      <w:rFonts w:eastAsia="PMingLiU"/>
      <w:sz w:val="24"/>
      <w:lang w:eastAsia="zh-TW"/>
    </w:rPr>
  </w:style>
  <w:style w:type="paragraph" w:styleId="220">
    <w:name w:val="List Paragraph"/>
    <w:basedOn w:val="1"/>
    <w:qFormat/>
    <w:uiPriority w:val="34"/>
    <w:pPr>
      <w:ind w:firstLine="420" w:firstLineChars="200"/>
    </w:pPr>
    <w:rPr>
      <w:rFonts w:eastAsia="宋体" w:cs="Times New Roman"/>
      <w:color w:val="auto"/>
    </w:rPr>
  </w:style>
  <w:style w:type="character" w:customStyle="1" w:styleId="221">
    <w:name w:val="font61"/>
    <w:basedOn w:val="62"/>
    <w:qFormat/>
    <w:uiPriority w:val="0"/>
    <w:rPr>
      <w:rFonts w:hint="eastAsia" w:ascii="方正仿宋_GBK" w:hAnsi="方正仿宋_GBK" w:eastAsia="方正仿宋_GBK" w:cs="方正仿宋_GBK"/>
      <w:color w:val="000000"/>
      <w:sz w:val="24"/>
      <w:szCs w:val="24"/>
      <w:u w:val="none"/>
    </w:rPr>
  </w:style>
  <w:style w:type="character" w:customStyle="1" w:styleId="222">
    <w:name w:val="font01"/>
    <w:basedOn w:val="62"/>
    <w:qFormat/>
    <w:uiPriority w:val="0"/>
    <w:rPr>
      <w:rFonts w:hint="default" w:ascii="Times New Roman" w:hAnsi="Times New Roman" w:cs="Times New Roman"/>
      <w:color w:val="000000"/>
      <w:sz w:val="24"/>
      <w:szCs w:val="24"/>
      <w:u w:val="none"/>
    </w:rPr>
  </w:style>
  <w:style w:type="character" w:customStyle="1" w:styleId="223">
    <w:name w:val="font11"/>
    <w:basedOn w:val="62"/>
    <w:qFormat/>
    <w:uiPriority w:val="0"/>
    <w:rPr>
      <w:rFonts w:hint="default" w:ascii="方正仿宋_GBK" w:hAnsi="方正仿宋_GBK" w:eastAsia="方正仿宋_GBK" w:cs="方正仿宋_GBK"/>
      <w:color w:val="000000"/>
      <w:sz w:val="22"/>
      <w:szCs w:val="22"/>
      <w:u w:val="none"/>
    </w:rPr>
  </w:style>
  <w:style w:type="character" w:customStyle="1" w:styleId="224">
    <w:name w:val="font51"/>
    <w:basedOn w:val="62"/>
    <w:qFormat/>
    <w:uiPriority w:val="0"/>
    <w:rPr>
      <w:rFonts w:hint="default" w:ascii="Times New Roman" w:hAnsi="Times New Roman" w:cs="Times New Roman"/>
      <w:color w:val="000000"/>
      <w:sz w:val="24"/>
      <w:szCs w:val="24"/>
      <w:u w:val="none"/>
    </w:rPr>
  </w:style>
  <w:style w:type="character" w:customStyle="1" w:styleId="225">
    <w:name w:val="font41"/>
    <w:basedOn w:val="62"/>
    <w:qFormat/>
    <w:uiPriority w:val="0"/>
    <w:rPr>
      <w:rFonts w:hint="eastAsia" w:ascii="方正仿宋_GBK" w:hAnsi="方正仿宋_GBK" w:eastAsia="方正仿宋_GBK" w:cs="方正仿宋_GBK"/>
      <w:color w:val="000000"/>
      <w:sz w:val="24"/>
      <w:szCs w:val="24"/>
      <w:u w:val="none"/>
    </w:rPr>
  </w:style>
  <w:style w:type="paragraph" w:customStyle="1" w:styleId="226">
    <w:name w:val="Normal_47"/>
    <w:qFormat/>
    <w:uiPriority w:val="0"/>
    <w:pPr>
      <w:spacing w:before="120" w:after="240"/>
      <w:jc w:val="both"/>
    </w:pPr>
    <w:rPr>
      <w:rFonts w:ascii="Calibri" w:hAnsi="Calibri" w:eastAsia="Calibri" w:cs="Times New Roman"/>
      <w:sz w:val="22"/>
      <w:szCs w:val="22"/>
      <w:lang w:val="ru-RU" w:eastAsia="en-US" w:bidi="ar-SA"/>
    </w:rPr>
  </w:style>
  <w:style w:type="paragraph" w:customStyle="1" w:styleId="227">
    <w:name w:val="正  文"/>
    <w:basedOn w:val="1"/>
    <w:qFormat/>
    <w:uiPriority w:val="0"/>
    <w:pPr>
      <w:spacing w:line="360" w:lineRule="auto"/>
      <w:ind w:firstLine="200" w:firstLineChars="200"/>
    </w:pPr>
    <w:rPr>
      <w:rFonts w:ascii="宋体" w:hAnsi="Calibri"/>
      <w:sz w:val="24"/>
    </w:rPr>
  </w:style>
  <w:style w:type="paragraph" w:customStyle="1" w:styleId="228">
    <w:name w:val="正文 A"/>
    <w:basedOn w:val="1"/>
    <w:qFormat/>
    <w:uiPriority w:val="0"/>
    <w:rPr>
      <w:rFonts w:ascii="Arial Unicode MS" w:hAnsi="Arial Unicode MS" w:cs="Arial Unicode MS"/>
      <w:color w:val="000000"/>
      <w:sz w:val="28"/>
      <w:szCs w:val="28"/>
    </w:rPr>
  </w:style>
  <w:style w:type="paragraph" w:customStyle="1" w:styleId="229">
    <w:name w:val="Heading3"/>
    <w:basedOn w:val="1"/>
    <w:next w:val="1"/>
    <w:qFormat/>
    <w:uiPriority w:val="99"/>
    <w:pPr>
      <w:spacing w:before="16"/>
      <w:jc w:val="left"/>
    </w:pPr>
    <w:rPr>
      <w:rFonts w:ascii="仿宋_GB2312" w:hAnsi="宋体" w:eastAsia="仿宋_GB2312" w:cs="仿宋_GB2312"/>
      <w:b/>
      <w:bCs/>
      <w:sz w:val="24"/>
    </w:rPr>
  </w:style>
  <w:style w:type="paragraph" w:customStyle="1" w:styleId="230">
    <w:name w:val="列出段落2"/>
    <w:basedOn w:val="1"/>
    <w:qFormat/>
    <w:uiPriority w:val="1"/>
    <w:pPr>
      <w:ind w:left="100" w:firstLine="420"/>
    </w:pPr>
    <w:rPr>
      <w:rFonts w:ascii="宋体" w:hAnsi="宋体" w:cs="宋体"/>
    </w:rPr>
  </w:style>
  <w:style w:type="paragraph" w:customStyle="1" w:styleId="231">
    <w:name w:val="Table Paragraph"/>
    <w:basedOn w:val="1"/>
    <w:qFormat/>
    <w:uiPriority w:val="1"/>
    <w:rPr>
      <w:rFonts w:ascii="宋体" w:hAnsi="宋体" w:cs="宋体"/>
    </w:rPr>
  </w:style>
  <w:style w:type="table" w:customStyle="1" w:styleId="232">
    <w:name w:val="Table Normal1"/>
    <w:unhideWhenUsed/>
    <w:qFormat/>
    <w:uiPriority w:val="2"/>
    <w:pPr>
      <w:widowControl w:val="0"/>
      <w:autoSpaceDE w:val="0"/>
      <w:autoSpaceDN w:val="0"/>
    </w:pPr>
    <w:rPr>
      <w:sz w:val="22"/>
      <w:szCs w:val="22"/>
      <w:lang w:eastAsia="en-US"/>
    </w:rPr>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44</Pages>
  <Words>18459</Words>
  <Characters>19364</Characters>
  <Lines>198</Lines>
  <Paragraphs>55</Paragraphs>
  <TotalTime>6</TotalTime>
  <ScaleCrop>false</ScaleCrop>
  <LinksUpToDate>false</LinksUpToDate>
  <CharactersWithSpaces>21197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2022-06-21T00:33:00Z</dcterms:created>
  <dc:creator>admin</dc:creator>
  <cp:lastModifiedBy>Administrator</cp:lastModifiedBy>
  <cp:lastPrinted>2023-11-22T00:01:00Z</cp:lastPrinted>
  <dcterms:modified xsi:type="dcterms:W3CDTF">2025-06-23T02:23:39Z</dcterms:modified>
  <dc:title>货物</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FABA7490E58044AF80B71DB55FE15E71_13</vt:lpwstr>
  </property>
  <property fmtid="{D5CDD505-2E9C-101B-9397-08002B2CF9AE}" pid="4" name="KSOTemplateDocerSaveRecord">
    <vt:lpwstr>eyJoZGlkIjoiYjA3YmNiY2YzYjNkZWFkN2JjMGQ1YWY5MGEzY2UzMTYiLCJ1c2VySWQiOiI0MjQ1NDExNDIifQ==</vt:lpwstr>
  </property>
</Properties>
</file>