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clear"/>
        <w:spacing w:line="600" w:lineRule="exact"/>
        <w:jc w:val="center"/>
        <w:outlineLvl w:val="0"/>
        <w:rPr>
          <w:rFonts w:hint="eastAsia" w:ascii="仿宋" w:hAnsi="仿宋" w:eastAsia="仿宋" w:cs="仿宋"/>
          <w:sz w:val="52"/>
          <w:highlight w:val="none"/>
        </w:rPr>
      </w:pPr>
    </w:p>
    <w:p>
      <w:pPr>
        <w:shd w:val="clear"/>
        <w:spacing w:line="1600" w:lineRule="exact"/>
        <w:jc w:val="center"/>
        <w:outlineLvl w:val="0"/>
        <w:rPr>
          <w:rFonts w:hint="eastAsia" w:ascii="仿宋" w:hAnsi="仿宋" w:eastAsia="仿宋" w:cs="仿宋"/>
          <w:b/>
          <w:sz w:val="100"/>
          <w:highlight w:val="none"/>
        </w:rPr>
      </w:pPr>
      <w:r>
        <w:rPr>
          <w:rFonts w:hint="eastAsia" w:ascii="仿宋" w:hAnsi="仿宋" w:eastAsia="仿宋" w:cs="仿宋"/>
          <w:b/>
          <w:sz w:val="100"/>
          <w:highlight w:val="none"/>
          <w:lang w:val="en-US" w:eastAsia="zh-CN"/>
        </w:rPr>
        <w:t>企业</w:t>
      </w:r>
      <w:r>
        <w:rPr>
          <w:rFonts w:hint="eastAsia" w:ascii="仿宋" w:hAnsi="仿宋" w:eastAsia="仿宋" w:cs="仿宋"/>
          <w:b/>
          <w:sz w:val="100"/>
          <w:highlight w:val="none"/>
        </w:rPr>
        <w:t>采购</w:t>
      </w:r>
    </w:p>
    <w:p>
      <w:pPr>
        <w:shd w:val="clear"/>
        <w:spacing w:line="1600" w:lineRule="exact"/>
        <w:jc w:val="center"/>
        <w:outlineLvl w:val="0"/>
        <w:rPr>
          <w:rFonts w:hint="eastAsia" w:ascii="仿宋" w:hAnsi="仿宋" w:eastAsia="仿宋" w:cs="仿宋"/>
          <w:b/>
          <w:sz w:val="130"/>
          <w:szCs w:val="130"/>
          <w:highlight w:val="none"/>
        </w:rPr>
      </w:pPr>
      <w:r>
        <w:rPr>
          <w:rFonts w:hint="eastAsia" w:ascii="仿宋" w:hAnsi="仿宋" w:eastAsia="仿宋" w:cs="仿宋"/>
          <w:b/>
          <w:sz w:val="130"/>
          <w:szCs w:val="130"/>
          <w:highlight w:val="none"/>
        </w:rPr>
        <w:t>招 标 文 件</w:t>
      </w:r>
    </w:p>
    <w:p>
      <w:pPr>
        <w:pStyle w:val="24"/>
        <w:shd w:val="clear"/>
        <w:spacing w:line="500" w:lineRule="exact"/>
        <w:ind w:left="0"/>
        <w:jc w:val="center"/>
        <w:rPr>
          <w:rFonts w:hint="eastAsia" w:ascii="仿宋" w:hAnsi="仿宋" w:eastAsia="仿宋" w:cs="仿宋"/>
          <w:b/>
          <w:sz w:val="32"/>
          <w:highlight w:val="none"/>
        </w:rPr>
      </w:pPr>
    </w:p>
    <w:p>
      <w:pPr>
        <w:pStyle w:val="24"/>
        <w:shd w:val="clear"/>
        <w:spacing w:line="500" w:lineRule="exact"/>
        <w:ind w:left="0"/>
        <w:jc w:val="center"/>
        <w:rPr>
          <w:rFonts w:hint="eastAsia" w:ascii="仿宋" w:hAnsi="仿宋" w:eastAsia="仿宋" w:cs="仿宋"/>
          <w:b/>
          <w:sz w:val="32"/>
          <w:highlight w:val="none"/>
        </w:rPr>
      </w:pPr>
    </w:p>
    <w:p>
      <w:pPr>
        <w:pStyle w:val="24"/>
        <w:shd w:val="clear"/>
        <w:spacing w:line="500" w:lineRule="exact"/>
        <w:ind w:left="0"/>
        <w:jc w:val="center"/>
        <w:rPr>
          <w:rFonts w:hint="eastAsia" w:ascii="仿宋" w:hAnsi="仿宋" w:eastAsia="仿宋" w:cs="仿宋"/>
          <w:b/>
          <w:sz w:val="32"/>
          <w:highlight w:val="none"/>
        </w:rPr>
      </w:pPr>
    </w:p>
    <w:p>
      <w:pPr>
        <w:pStyle w:val="24"/>
        <w:shd w:val="clear"/>
        <w:spacing w:line="500" w:lineRule="exact"/>
        <w:ind w:left="0"/>
        <w:jc w:val="center"/>
        <w:rPr>
          <w:rFonts w:hint="eastAsia" w:ascii="仿宋" w:hAnsi="仿宋" w:eastAsia="仿宋" w:cs="仿宋"/>
          <w:b/>
          <w:sz w:val="32"/>
          <w:highlight w:val="none"/>
        </w:rPr>
      </w:pPr>
    </w:p>
    <w:p>
      <w:pPr>
        <w:pStyle w:val="24"/>
        <w:shd w:val="clear"/>
        <w:spacing w:line="500" w:lineRule="exact"/>
        <w:ind w:left="0"/>
        <w:jc w:val="center"/>
        <w:rPr>
          <w:rFonts w:hint="eastAsia" w:ascii="仿宋" w:hAnsi="仿宋" w:eastAsia="仿宋" w:cs="仿宋"/>
          <w:b/>
          <w:sz w:val="32"/>
          <w:highlight w:val="none"/>
        </w:rPr>
      </w:pPr>
    </w:p>
    <w:p>
      <w:pPr>
        <w:shd w:val="clear"/>
        <w:spacing w:line="500" w:lineRule="exact"/>
        <w:outlineLvl w:val="0"/>
        <w:rPr>
          <w:rFonts w:hint="default" w:ascii="仿宋" w:hAnsi="仿宋" w:eastAsia="仿宋" w:cs="仿宋"/>
          <w:b/>
          <w:sz w:val="32"/>
          <w:highlight w:val="none"/>
          <w:lang w:val="en-US" w:eastAsia="zh-CN"/>
        </w:rPr>
      </w:pPr>
      <w:r>
        <w:rPr>
          <w:rFonts w:hint="eastAsia" w:ascii="仿宋" w:hAnsi="仿宋" w:eastAsia="仿宋" w:cs="仿宋"/>
          <w:b/>
          <w:sz w:val="32"/>
          <w:highlight w:val="none"/>
        </w:rPr>
        <w:t xml:space="preserve">  </w:t>
      </w:r>
      <w:r>
        <w:rPr>
          <w:rFonts w:hint="eastAsia" w:ascii="仿宋" w:hAnsi="仿宋" w:eastAsia="仿宋" w:cs="仿宋"/>
          <w:b/>
          <w:sz w:val="32"/>
          <w:highlight w:val="none"/>
          <w:lang w:val="en-US" w:eastAsia="zh-CN"/>
        </w:rPr>
        <w:t>项 目 编 号</w:t>
      </w:r>
      <w:r>
        <w:rPr>
          <w:rFonts w:hint="eastAsia" w:ascii="仿宋" w:hAnsi="仿宋" w:eastAsia="仿宋" w:cs="仿宋"/>
          <w:b/>
          <w:sz w:val="32"/>
          <w:highlight w:val="none"/>
        </w:rPr>
        <w:t>：</w:t>
      </w:r>
      <w:bookmarkStart w:id="0" w:name="OLE_LINK2"/>
      <w:r>
        <w:rPr>
          <w:rFonts w:hint="eastAsia" w:ascii="仿宋" w:hAnsi="仿宋" w:eastAsia="仿宋" w:cs="仿宋"/>
          <w:b/>
          <w:sz w:val="32"/>
          <w:highlight w:val="none"/>
          <w:lang w:val="en-US" w:eastAsia="zh-CN"/>
        </w:rPr>
        <w:t>DJGZ25C00002</w:t>
      </w:r>
    </w:p>
    <w:bookmarkEnd w:id="0"/>
    <w:p>
      <w:pPr>
        <w:pStyle w:val="24"/>
        <w:shd w:val="clear"/>
        <w:spacing w:line="500" w:lineRule="exact"/>
        <w:ind w:left="2570" w:hanging="2570" w:hangingChars="800"/>
        <w:outlineLvl w:val="0"/>
        <w:rPr>
          <w:rFonts w:hint="eastAsia" w:ascii="仿宋" w:hAnsi="仿宋" w:eastAsia="仿宋" w:cs="仿宋"/>
          <w:b/>
          <w:sz w:val="32"/>
          <w:highlight w:val="none"/>
          <w:lang w:val="en-US" w:eastAsia="zh-CN"/>
        </w:rPr>
      </w:pPr>
      <w:r>
        <w:rPr>
          <w:rFonts w:hint="eastAsia" w:ascii="仿宋" w:hAnsi="仿宋" w:eastAsia="仿宋" w:cs="仿宋"/>
          <w:b/>
          <w:sz w:val="32"/>
          <w:highlight w:val="none"/>
        </w:rPr>
        <w:t xml:space="preserve">  招标项目名称：</w:t>
      </w:r>
      <w:bookmarkStart w:id="1" w:name="OLE_LINK1"/>
      <w:r>
        <w:rPr>
          <w:rFonts w:hint="eastAsia" w:ascii="仿宋" w:hAnsi="仿宋" w:eastAsia="仿宋" w:cs="仿宋"/>
          <w:b/>
          <w:sz w:val="32"/>
          <w:highlight w:val="none"/>
          <w:lang w:eastAsia="zh-CN"/>
        </w:rPr>
        <w:t>垫江县产业发展引导基金遴选基金管理人项目</w:t>
      </w:r>
      <w:bookmarkEnd w:id="1"/>
    </w:p>
    <w:p>
      <w:pPr>
        <w:pStyle w:val="24"/>
        <w:shd w:val="clear"/>
        <w:spacing w:line="500" w:lineRule="exact"/>
        <w:ind w:left="0"/>
        <w:jc w:val="center"/>
        <w:outlineLvl w:val="0"/>
        <w:rPr>
          <w:rFonts w:hint="eastAsia" w:ascii="仿宋" w:hAnsi="仿宋" w:eastAsia="仿宋" w:cs="仿宋"/>
          <w:b/>
          <w:sz w:val="32"/>
          <w:highlight w:val="none"/>
        </w:rPr>
      </w:pPr>
    </w:p>
    <w:p>
      <w:pPr>
        <w:pStyle w:val="24"/>
        <w:shd w:val="clear"/>
        <w:spacing w:line="500" w:lineRule="exact"/>
        <w:ind w:left="0"/>
        <w:jc w:val="center"/>
        <w:rPr>
          <w:rFonts w:hint="eastAsia" w:ascii="仿宋" w:hAnsi="仿宋" w:eastAsia="仿宋" w:cs="仿宋"/>
          <w:b/>
          <w:sz w:val="32"/>
          <w:highlight w:val="none"/>
        </w:rPr>
      </w:pPr>
    </w:p>
    <w:p>
      <w:pPr>
        <w:pStyle w:val="24"/>
        <w:shd w:val="clear"/>
        <w:spacing w:line="500" w:lineRule="exact"/>
        <w:ind w:left="0"/>
        <w:jc w:val="center"/>
        <w:rPr>
          <w:rFonts w:hint="eastAsia" w:ascii="仿宋" w:hAnsi="仿宋" w:eastAsia="仿宋" w:cs="仿宋"/>
          <w:b/>
          <w:sz w:val="32"/>
          <w:highlight w:val="none"/>
        </w:rPr>
      </w:pPr>
    </w:p>
    <w:p>
      <w:pPr>
        <w:pStyle w:val="24"/>
        <w:shd w:val="clear"/>
        <w:spacing w:line="500" w:lineRule="exact"/>
        <w:ind w:left="0"/>
        <w:jc w:val="center"/>
        <w:rPr>
          <w:rFonts w:hint="eastAsia" w:ascii="仿宋" w:hAnsi="仿宋" w:eastAsia="仿宋" w:cs="仿宋"/>
          <w:b/>
          <w:sz w:val="32"/>
          <w:highlight w:val="none"/>
        </w:rPr>
      </w:pPr>
    </w:p>
    <w:p>
      <w:pPr>
        <w:pStyle w:val="24"/>
        <w:shd w:val="clear"/>
        <w:spacing w:line="500" w:lineRule="exact"/>
        <w:ind w:left="0"/>
        <w:jc w:val="center"/>
        <w:rPr>
          <w:rFonts w:hint="eastAsia" w:ascii="仿宋" w:hAnsi="仿宋" w:eastAsia="仿宋" w:cs="仿宋"/>
          <w:b/>
          <w:sz w:val="32"/>
          <w:highlight w:val="none"/>
        </w:rPr>
      </w:pPr>
    </w:p>
    <w:p>
      <w:pPr>
        <w:shd w:val="clear"/>
        <w:spacing w:line="500" w:lineRule="exact"/>
        <w:jc w:val="center"/>
        <w:rPr>
          <w:rFonts w:hint="eastAsia" w:ascii="仿宋" w:hAnsi="仿宋" w:eastAsia="仿宋" w:cs="仿宋"/>
          <w:b/>
          <w:sz w:val="32"/>
          <w:highlight w:val="none"/>
        </w:rPr>
      </w:pPr>
    </w:p>
    <w:p>
      <w:pPr>
        <w:shd w:val="clear"/>
        <w:spacing w:line="500" w:lineRule="exact"/>
        <w:jc w:val="center"/>
        <w:rPr>
          <w:rFonts w:hint="eastAsia" w:ascii="仿宋" w:hAnsi="仿宋" w:eastAsia="仿宋" w:cs="仿宋"/>
          <w:b/>
          <w:sz w:val="32"/>
          <w:highlight w:val="none"/>
        </w:rPr>
      </w:pPr>
    </w:p>
    <w:p>
      <w:pPr>
        <w:shd w:val="clear"/>
        <w:spacing w:line="500" w:lineRule="exact"/>
        <w:jc w:val="center"/>
        <w:rPr>
          <w:rFonts w:hint="eastAsia" w:ascii="仿宋" w:hAnsi="仿宋" w:eastAsia="仿宋" w:cs="仿宋"/>
          <w:b/>
          <w:sz w:val="32"/>
          <w:highlight w:val="none"/>
        </w:rPr>
      </w:pPr>
    </w:p>
    <w:p>
      <w:pPr>
        <w:shd w:val="clear"/>
        <w:spacing w:line="500" w:lineRule="exact"/>
        <w:ind w:firstLine="904" w:firstLineChars="250"/>
        <w:outlineLvl w:val="0"/>
        <w:rPr>
          <w:rFonts w:hint="eastAsia" w:ascii="仿宋" w:hAnsi="仿宋" w:eastAsia="仿宋" w:cs="仿宋"/>
          <w:b/>
          <w:sz w:val="36"/>
          <w:highlight w:val="none"/>
        </w:rPr>
      </w:pPr>
      <w:r>
        <w:rPr>
          <w:rFonts w:hint="eastAsia" w:ascii="仿宋" w:hAnsi="仿宋" w:eastAsia="仿宋" w:cs="仿宋"/>
          <w:b/>
          <w:sz w:val="36"/>
          <w:highlight w:val="none"/>
        </w:rPr>
        <w:t>采</w:t>
      </w:r>
      <w:r>
        <w:rPr>
          <w:rFonts w:hint="eastAsia" w:ascii="仿宋" w:hAnsi="仿宋" w:eastAsia="仿宋" w:cs="仿宋"/>
          <w:b/>
          <w:sz w:val="36"/>
          <w:highlight w:val="none"/>
          <w:lang w:val="en-US" w:eastAsia="zh-CN"/>
        </w:rPr>
        <w:t xml:space="preserve">   </w:t>
      </w:r>
      <w:r>
        <w:rPr>
          <w:rFonts w:hint="eastAsia" w:ascii="仿宋" w:hAnsi="仿宋" w:eastAsia="仿宋" w:cs="仿宋"/>
          <w:b/>
          <w:sz w:val="36"/>
          <w:highlight w:val="none"/>
        </w:rPr>
        <w:t>购</w:t>
      </w:r>
      <w:r>
        <w:rPr>
          <w:rFonts w:hint="eastAsia" w:ascii="仿宋" w:hAnsi="仿宋" w:eastAsia="仿宋" w:cs="仿宋"/>
          <w:b/>
          <w:sz w:val="36"/>
          <w:highlight w:val="none"/>
          <w:lang w:val="en-US" w:eastAsia="zh-CN"/>
        </w:rPr>
        <w:t xml:space="preserve">   </w:t>
      </w:r>
      <w:r>
        <w:rPr>
          <w:rFonts w:hint="eastAsia" w:ascii="仿宋" w:hAnsi="仿宋" w:eastAsia="仿宋" w:cs="仿宋"/>
          <w:b/>
          <w:sz w:val="36"/>
          <w:highlight w:val="none"/>
        </w:rPr>
        <w:t>人：</w:t>
      </w:r>
      <w:bookmarkStart w:id="2" w:name="OLE_LINK3"/>
      <w:r>
        <w:rPr>
          <w:rFonts w:hint="eastAsia" w:ascii="仿宋" w:hAnsi="仿宋" w:eastAsia="仿宋" w:cs="仿宋"/>
          <w:b/>
          <w:sz w:val="36"/>
          <w:highlight w:val="none"/>
          <w:lang w:eastAsia="zh-CN"/>
        </w:rPr>
        <w:t>重庆垫江高新区开发投资集团有限公司</w:t>
      </w:r>
      <w:bookmarkEnd w:id="2"/>
      <w:r>
        <w:rPr>
          <w:rFonts w:hint="eastAsia" w:ascii="仿宋" w:hAnsi="仿宋" w:eastAsia="仿宋" w:cs="仿宋"/>
          <w:b/>
          <w:sz w:val="36"/>
          <w:highlight w:val="none"/>
        </w:rPr>
        <w:t xml:space="preserve"> </w:t>
      </w:r>
    </w:p>
    <w:p>
      <w:pPr>
        <w:shd w:val="clear"/>
        <w:spacing w:line="500" w:lineRule="exact"/>
        <w:ind w:firstLine="904" w:firstLineChars="250"/>
        <w:outlineLvl w:val="0"/>
        <w:rPr>
          <w:rFonts w:hint="eastAsia" w:ascii="仿宋" w:hAnsi="仿宋" w:eastAsia="仿宋" w:cs="仿宋"/>
          <w:b/>
          <w:sz w:val="36"/>
          <w:highlight w:val="none"/>
          <w:lang w:eastAsia="zh-CN"/>
        </w:rPr>
      </w:pPr>
      <w:r>
        <w:rPr>
          <w:rFonts w:hint="eastAsia" w:ascii="仿宋" w:hAnsi="仿宋" w:eastAsia="仿宋" w:cs="仿宋"/>
          <w:b/>
          <w:sz w:val="36"/>
          <w:highlight w:val="none"/>
        </w:rPr>
        <w:t>采购代理机构：</w:t>
      </w:r>
      <w:r>
        <w:rPr>
          <w:rFonts w:hint="eastAsia" w:ascii="仿宋" w:hAnsi="仿宋" w:eastAsia="仿宋" w:cs="仿宋"/>
          <w:b/>
          <w:sz w:val="36"/>
          <w:highlight w:val="none"/>
          <w:lang w:eastAsia="zh-CN"/>
        </w:rPr>
        <w:t>垫江县公共资源交易中心</w:t>
      </w:r>
    </w:p>
    <w:p>
      <w:pPr>
        <w:shd w:val="clear"/>
        <w:snapToGrid w:val="0"/>
        <w:spacing w:line="500" w:lineRule="exact"/>
        <w:jc w:val="center"/>
        <w:rPr>
          <w:rFonts w:hint="eastAsia" w:ascii="仿宋" w:hAnsi="仿宋" w:eastAsia="仿宋" w:cs="仿宋"/>
          <w:b/>
          <w:sz w:val="36"/>
          <w:highlight w:val="none"/>
        </w:rPr>
      </w:pPr>
    </w:p>
    <w:p>
      <w:pPr>
        <w:shd w:val="clear"/>
        <w:snapToGrid w:val="0"/>
        <w:spacing w:line="500" w:lineRule="exact"/>
        <w:jc w:val="center"/>
        <w:rPr>
          <w:rFonts w:hint="eastAsia" w:ascii="仿宋" w:hAnsi="仿宋" w:eastAsia="仿宋" w:cs="仿宋"/>
          <w:sz w:val="44"/>
          <w:highlight w:val="none"/>
        </w:rPr>
      </w:pPr>
      <w:r>
        <w:rPr>
          <w:rFonts w:hint="eastAsia" w:ascii="仿宋" w:hAnsi="仿宋" w:eastAsia="仿宋" w:cs="仿宋"/>
          <w:b/>
          <w:sz w:val="44"/>
          <w:highlight w:val="none"/>
        </w:rPr>
        <w:t xml:space="preserve"> </w:t>
      </w:r>
      <w:r>
        <w:rPr>
          <w:rFonts w:hint="eastAsia" w:ascii="仿宋" w:hAnsi="仿宋" w:eastAsia="仿宋" w:cs="仿宋"/>
          <w:b/>
          <w:sz w:val="44"/>
          <w:highlight w:val="none"/>
          <w:lang w:val="en-US" w:eastAsia="zh-CN"/>
        </w:rPr>
        <w:t>2025</w:t>
      </w:r>
      <w:r>
        <w:rPr>
          <w:rFonts w:hint="eastAsia" w:ascii="仿宋" w:hAnsi="仿宋" w:eastAsia="仿宋" w:cs="仿宋"/>
          <w:b/>
          <w:sz w:val="44"/>
          <w:highlight w:val="none"/>
        </w:rPr>
        <w:t>年</w:t>
      </w:r>
      <w:r>
        <w:rPr>
          <w:rFonts w:hint="eastAsia" w:ascii="仿宋" w:hAnsi="仿宋" w:eastAsia="仿宋" w:cs="仿宋"/>
          <w:b/>
          <w:sz w:val="44"/>
          <w:highlight w:val="none"/>
          <w:lang w:val="en-US" w:eastAsia="zh-CN"/>
        </w:rPr>
        <w:t>6</w:t>
      </w:r>
      <w:r>
        <w:rPr>
          <w:rFonts w:hint="eastAsia" w:ascii="仿宋" w:hAnsi="仿宋" w:eastAsia="仿宋" w:cs="仿宋"/>
          <w:b/>
          <w:sz w:val="44"/>
          <w:highlight w:val="none"/>
        </w:rPr>
        <w:t>月</w:t>
      </w:r>
    </w:p>
    <w:p>
      <w:pPr>
        <w:shd w:val="clear"/>
        <w:snapToGrid w:val="0"/>
        <w:spacing w:line="500" w:lineRule="exact"/>
        <w:rPr>
          <w:rFonts w:hint="eastAsia" w:ascii="仿宋" w:hAnsi="仿宋" w:eastAsia="仿宋" w:cs="仿宋"/>
          <w:sz w:val="44"/>
          <w:highlight w:val="none"/>
        </w:rPr>
        <w:sectPr>
          <w:headerReference r:id="rId5"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pPr>
        <w:shd w:val="clear"/>
        <w:snapToGrid w:val="0"/>
        <w:spacing w:line="500" w:lineRule="exact"/>
        <w:jc w:val="center"/>
        <w:rPr>
          <w:rFonts w:hint="eastAsia" w:ascii="仿宋" w:hAnsi="仿宋" w:eastAsia="仿宋" w:cs="仿宋"/>
          <w:sz w:val="44"/>
          <w:highlight w:val="none"/>
        </w:rPr>
      </w:pPr>
      <w:r>
        <w:rPr>
          <w:rFonts w:hint="eastAsia" w:ascii="仿宋" w:hAnsi="仿宋" w:eastAsia="仿宋" w:cs="仿宋"/>
          <w:sz w:val="44"/>
          <w:highlight w:val="none"/>
        </w:rPr>
        <w:t>目  录</w:t>
      </w:r>
    </w:p>
    <w:p>
      <w:pPr>
        <w:pStyle w:val="37"/>
        <w:shd w:val="clear"/>
        <w:tabs>
          <w:tab w:val="right" w:leader="dot" w:pos="9412"/>
          <w:tab w:val="clear" w:pos="1260"/>
          <w:tab w:val="clear" w:pos="1685"/>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 w:val="2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 w:val="21"/>
          <w:szCs w:val="21"/>
          <w:highlight w:val="none"/>
          <w:shd w:val="clear" w:color="auto" w:fill="auto"/>
          <w14:textFill>
            <w14:solidFill>
              <w14:schemeClr w14:val="tx1"/>
            </w14:solidFill>
          </w14:textFill>
        </w:rPr>
        <w:instrText xml:space="preserve"> TOC \o "1-2" \h \z </w:instrText>
      </w:r>
      <w:r>
        <w:rPr>
          <w:rFonts w:hint="eastAsia" w:ascii="仿宋" w:hAnsi="仿宋" w:eastAsia="仿宋" w:cs="仿宋"/>
          <w:strike w:val="0"/>
          <w:color w:val="000000" w:themeColor="text1"/>
          <w:sz w:val="2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sz w:val="2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 w:val="21"/>
          <w:szCs w:val="21"/>
          <w:highlight w:val="none"/>
          <w:shd w:val="clear" w:color="auto" w:fill="auto"/>
          <w14:textFill>
            <w14:solidFill>
              <w14:schemeClr w14:val="tx1"/>
            </w14:solidFill>
          </w14:textFill>
        </w:rPr>
        <w:instrText xml:space="preserve"> TOC \o "1-2" \h \z </w:instrText>
      </w:r>
      <w:r>
        <w:rPr>
          <w:rFonts w:hint="eastAsia" w:ascii="仿宋" w:hAnsi="仿宋" w:eastAsia="仿宋" w:cs="仿宋"/>
          <w:strike w:val="0"/>
          <w:color w:val="000000" w:themeColor="text1"/>
          <w:sz w:val="2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_Toc17141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highlight w:val="none"/>
          <w:shd w:val="clear" w:color="auto" w:fill="auto"/>
          <w14:textFill>
            <w14:solidFill>
              <w14:schemeClr w14:val="tx1"/>
            </w14:solidFill>
          </w14:textFill>
        </w:rPr>
        <w:t>第一篇 投标邀请书</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_Toc17141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3</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_Toc27625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highlight w:val="none"/>
          <w:shd w:val="clear" w:color="auto" w:fill="auto"/>
          <w14:textFill>
            <w14:solidFill>
              <w14:schemeClr w14:val="tx1"/>
            </w14:solidFill>
          </w14:textFill>
        </w:rPr>
        <w:t>一、招标项目内容</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_Toc27625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3</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_Toc20416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highlight w:val="none"/>
          <w:shd w:val="clear" w:color="auto" w:fill="auto"/>
          <w14:textFill>
            <w14:solidFill>
              <w14:schemeClr w14:val="tx1"/>
            </w14:solidFill>
          </w14:textFill>
        </w:rPr>
        <w:t>二、资金来源</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_Toc20416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3</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_Toc1967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highlight w:val="none"/>
          <w:shd w:val="clear" w:color="auto" w:fill="auto"/>
          <w14:textFill>
            <w14:solidFill>
              <w14:schemeClr w14:val="tx1"/>
            </w14:solidFill>
          </w14:textFill>
        </w:rPr>
        <w:t>三、投标人资格要求</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_Toc1967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3</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_Toc18589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highlight w:val="none"/>
          <w:shd w:val="clear" w:color="auto" w:fill="auto"/>
          <w14:textFill>
            <w14:solidFill>
              <w14:schemeClr w14:val="tx1"/>
            </w14:solidFill>
          </w14:textFill>
        </w:rPr>
        <w:t>四、投标、开标有关说明</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_Toc18589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3</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_Toc3484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highlight w:val="none"/>
          <w:shd w:val="clear" w:color="auto" w:fill="auto"/>
          <w14:textFill>
            <w14:solidFill>
              <w14:schemeClr w14:val="tx1"/>
            </w14:solidFill>
          </w14:textFill>
        </w:rPr>
        <w:t>五、投标保证金</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rFonts w:hint="eastAsia"/>
          <w:strike w:val="0"/>
          <w:color w:val="000000" w:themeColor="text1"/>
          <w:highlight w:val="none"/>
          <w:shd w:val="clear" w:color="auto" w:fill="auto"/>
          <w:lang w:val="en-US" w:eastAsia="zh-CN"/>
          <w14:textFill>
            <w14:solidFill>
              <w14:schemeClr w14:val="tx1"/>
            </w14:solidFill>
          </w14:textFill>
        </w:rPr>
        <w:t>6</w: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_Toc24877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highlight w:val="none"/>
          <w:shd w:val="clear" w:color="auto" w:fill="auto"/>
          <w14:textFill>
            <w14:solidFill>
              <w14:schemeClr w14:val="tx1"/>
            </w14:solidFill>
          </w14:textFill>
        </w:rPr>
        <w:t>六、</w:t>
      </w:r>
      <w:r>
        <w:rPr>
          <w:rFonts w:hint="eastAsia" w:ascii="仿宋" w:hAnsi="仿宋" w:eastAsia="仿宋" w:cs="仿宋"/>
          <w:strike w:val="0"/>
          <w:color w:val="000000" w:themeColor="text1"/>
          <w:highlight w:val="none"/>
          <w:shd w:val="clear" w:color="auto" w:fill="auto"/>
          <w:lang w:eastAsia="zh-CN"/>
          <w14:textFill>
            <w14:solidFill>
              <w14:schemeClr w14:val="tx1"/>
            </w14:solidFill>
          </w14:textFill>
        </w:rPr>
        <w:t>采购项目需落实政策</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rFonts w:hint="eastAsia"/>
          <w:strike w:val="0"/>
          <w:color w:val="000000" w:themeColor="text1"/>
          <w:highlight w:val="none"/>
          <w:shd w:val="clear" w:color="auto" w:fill="auto"/>
          <w:lang w:val="en-US" w:eastAsia="zh-CN"/>
          <w14:textFill>
            <w14:solidFill>
              <w14:schemeClr w14:val="tx1"/>
            </w14:solidFill>
          </w14:textFill>
        </w:rPr>
        <w:t>6</w: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rFonts w:hint="eastAsia" w:ascii="仿宋" w:hAnsi="仿宋" w:eastAsia="仿宋" w:cs="仿宋"/>
          <w:strike w:val="0"/>
          <w:color w:val="000000" w:themeColor="text1"/>
          <w:szCs w:val="2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_Toc24877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highlight w:val="none"/>
          <w:shd w:val="clear" w:color="auto" w:fill="auto"/>
          <w:lang w:eastAsia="zh-CN"/>
          <w14:textFill>
            <w14:solidFill>
              <w14:schemeClr w14:val="tx1"/>
            </w14:solidFill>
          </w14:textFill>
        </w:rPr>
        <w:t>七</w:t>
      </w:r>
      <w:r>
        <w:rPr>
          <w:rFonts w:hint="eastAsia" w:ascii="仿宋" w:hAnsi="仿宋" w:eastAsia="仿宋" w:cs="仿宋"/>
          <w:strike w:val="0"/>
          <w:color w:val="000000" w:themeColor="text1"/>
          <w:highlight w:val="none"/>
          <w:shd w:val="clear" w:color="auto" w:fill="auto"/>
          <w14:textFill>
            <w14:solidFill>
              <w14:schemeClr w14:val="tx1"/>
            </w14:solidFill>
          </w14:textFill>
        </w:rPr>
        <w:t>、</w:t>
      </w:r>
      <w:r>
        <w:rPr>
          <w:rFonts w:hint="eastAsia" w:ascii="仿宋" w:hAnsi="仿宋" w:eastAsia="仿宋" w:cs="仿宋"/>
          <w:strike w:val="0"/>
          <w:color w:val="000000" w:themeColor="text1"/>
          <w:highlight w:val="none"/>
          <w:shd w:val="clear" w:color="auto" w:fill="auto"/>
          <w:lang w:eastAsia="zh-CN"/>
          <w14:textFill>
            <w14:solidFill>
              <w14:schemeClr w14:val="tx1"/>
            </w14:solidFill>
          </w14:textFill>
        </w:rPr>
        <w:t>投标相关规定</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rFonts w:hint="eastAsia"/>
          <w:strike w:val="0"/>
          <w:color w:val="000000" w:themeColor="text1"/>
          <w:highlight w:val="none"/>
          <w:shd w:val="clear" w:color="auto" w:fill="auto"/>
          <w:lang w:val="en-US" w:eastAsia="zh-CN"/>
          <w14:textFill>
            <w14:solidFill>
              <w14:schemeClr w14:val="tx1"/>
            </w14:solidFill>
          </w14:textFill>
        </w:rPr>
        <w:t>7</w: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_Toc24877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highlight w:val="none"/>
          <w:shd w:val="clear" w:color="auto" w:fill="auto"/>
          <w:lang w:eastAsia="zh-CN"/>
          <w14:textFill>
            <w14:solidFill>
              <w14:schemeClr w14:val="tx1"/>
            </w14:solidFill>
          </w14:textFill>
        </w:rPr>
        <w:t>八</w:t>
      </w:r>
      <w:r>
        <w:rPr>
          <w:rFonts w:hint="eastAsia" w:ascii="仿宋" w:hAnsi="仿宋" w:eastAsia="仿宋" w:cs="仿宋"/>
          <w:strike w:val="0"/>
          <w:color w:val="000000" w:themeColor="text1"/>
          <w:highlight w:val="none"/>
          <w:shd w:val="clear" w:color="auto" w:fill="auto"/>
          <w14:textFill>
            <w14:solidFill>
              <w14:schemeClr w14:val="tx1"/>
            </w14:solidFill>
          </w14:textFill>
        </w:rPr>
        <w:t>、</w:t>
      </w:r>
      <w:r>
        <w:rPr>
          <w:rFonts w:hint="eastAsia" w:ascii="仿宋" w:hAnsi="仿宋" w:eastAsia="仿宋" w:cs="仿宋"/>
          <w:strike w:val="0"/>
          <w:color w:val="000000" w:themeColor="text1"/>
          <w:highlight w:val="none"/>
          <w:shd w:val="clear" w:color="auto" w:fill="auto"/>
          <w:lang w:eastAsia="zh-CN"/>
          <w14:textFill>
            <w14:solidFill>
              <w14:schemeClr w14:val="tx1"/>
            </w14:solidFill>
          </w14:textFill>
        </w:rPr>
        <w:t>现场踏勘</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rFonts w:hint="eastAsia"/>
          <w:strike w:val="0"/>
          <w:color w:val="000000" w:themeColor="text1"/>
          <w:highlight w:val="none"/>
          <w:shd w:val="clear" w:color="auto" w:fill="auto"/>
          <w:lang w:val="en-US" w:eastAsia="zh-CN"/>
          <w14:textFill>
            <w14:solidFill>
              <w14:schemeClr w14:val="tx1"/>
            </w14:solidFill>
          </w14:textFill>
        </w:rPr>
        <w:t>7</w: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37"/>
        <w:shd w:val="clear"/>
        <w:tabs>
          <w:tab w:val="right" w:leader="dot" w:pos="9412"/>
          <w:tab w:val="clear" w:pos="1260"/>
          <w:tab w:val="clear" w:pos="1685"/>
          <w:tab w:val="clear" w:pos="8400"/>
        </w:tabs>
        <w:rPr>
          <w:rFonts w:hint="eastAsia" w:eastAsia="仿宋"/>
          <w:strike w:val="0"/>
          <w:color w:val="000000" w:themeColor="text1"/>
          <w:highlight w:val="none"/>
          <w:shd w:val="clear" w:color="auto" w:fill="auto"/>
          <w:lang w:val="en-US" w:eastAsia="zh-CN"/>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_Toc23666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highlight w:val="none"/>
          <w:shd w:val="clear" w:color="auto" w:fill="auto"/>
          <w14:textFill>
            <w14:solidFill>
              <w14:schemeClr w14:val="tx1"/>
            </w14:solidFill>
          </w14:textFill>
        </w:rPr>
        <w:t>第二篇 项目服务内容及相关要求</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rFonts w:hint="eastAsia"/>
          <w:strike w:val="0"/>
          <w:color w:val="000000" w:themeColor="text1"/>
          <w:highlight w:val="none"/>
          <w:shd w:val="clear" w:color="auto" w:fill="auto"/>
          <w:lang w:val="en-US" w:eastAsia="zh-CN"/>
          <w14:textFill>
            <w14:solidFill>
              <w14:schemeClr w14:val="tx1"/>
            </w14:solidFill>
          </w14:textFill>
        </w:rPr>
        <w:t>1</w: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lang w:val="en-US" w:eastAsia="zh-CN"/>
          <w14:textFill>
            <w14:solidFill>
              <w14:schemeClr w14:val="tx1"/>
            </w14:solidFill>
          </w14:textFill>
        </w:rPr>
        <w:t>0</w:t>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rFonts w:hint="eastAsia" w:eastAsia="仿宋"/>
          <w:strike w:val="0"/>
          <w:color w:val="000000" w:themeColor="text1"/>
          <w:highlight w:val="none"/>
          <w:shd w:val="clear" w:color="auto" w:fill="auto"/>
          <w:lang w:val="en-US" w:eastAsia="zh-CN"/>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_Toc28157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highlight w:val="none"/>
          <w:shd w:val="clear" w:color="auto" w:fill="auto"/>
          <w14:textFill>
            <w14:solidFill>
              <w14:schemeClr w14:val="tx1"/>
            </w14:solidFill>
          </w14:textFill>
        </w:rPr>
        <w:t>一、项目基本情况</w:t>
      </w:r>
      <w:r>
        <w:rPr>
          <w:rFonts w:hint="eastAsia" w:ascii="仿宋" w:hAnsi="仿宋" w:eastAsia="仿宋" w:cs="仿宋"/>
          <w:strike w:val="0"/>
          <w:color w:val="000000" w:themeColor="text1"/>
          <w:highlight w:val="none"/>
          <w:shd w:val="clear" w:color="auto" w:fill="auto"/>
          <w:lang w:val="en-US" w:eastAsia="zh-CN"/>
          <w14:textFill>
            <w14:solidFill>
              <w14:schemeClr w14:val="tx1"/>
            </w14:solidFill>
          </w14:textFill>
        </w:rPr>
        <w:t>一览表</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rFonts w:hint="eastAsia"/>
          <w:strike w:val="0"/>
          <w:color w:val="000000" w:themeColor="text1"/>
          <w:highlight w:val="none"/>
          <w:shd w:val="clear" w:color="auto" w:fill="auto"/>
          <w:lang w:val="en-US" w:eastAsia="zh-CN"/>
          <w14:textFill>
            <w14:solidFill>
              <w14:schemeClr w14:val="tx1"/>
            </w14:solidFill>
          </w14:textFill>
        </w:rPr>
        <w:t>1</w: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lang w:val="en-US" w:eastAsia="zh-CN"/>
          <w14:textFill>
            <w14:solidFill>
              <w14:schemeClr w14:val="tx1"/>
            </w14:solidFill>
          </w14:textFill>
        </w:rPr>
        <w:t>0</w:t>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rFonts w:hint="eastAsia" w:eastAsia="仿宋"/>
          <w:strike w:val="0"/>
          <w:color w:val="000000" w:themeColor="text1"/>
          <w:highlight w:val="none"/>
          <w:shd w:val="clear" w:color="auto" w:fill="auto"/>
          <w:lang w:val="en-US" w:eastAsia="zh-CN"/>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_Toc778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highlight w:val="none"/>
          <w:shd w:val="clear" w:color="auto" w:fill="auto"/>
          <w14:textFill>
            <w14:solidFill>
              <w14:schemeClr w14:val="tx1"/>
            </w14:solidFill>
          </w14:textFill>
        </w:rPr>
        <w:t>二、</w:t>
      </w:r>
      <w:r>
        <w:rPr>
          <w:rFonts w:hint="eastAsia" w:ascii="仿宋" w:hAnsi="仿宋" w:eastAsia="仿宋" w:cs="仿宋"/>
          <w:strike w:val="0"/>
          <w:color w:val="000000" w:themeColor="text1"/>
          <w:highlight w:val="none"/>
          <w:shd w:val="clear" w:color="auto" w:fill="auto"/>
          <w:lang w:eastAsia="zh-CN"/>
          <w14:textFill>
            <w14:solidFill>
              <w14:schemeClr w14:val="tx1"/>
            </w14:solidFill>
          </w14:textFill>
        </w:rPr>
        <w:t>招标内容</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rFonts w:hint="eastAsia"/>
          <w:strike w:val="0"/>
          <w:color w:val="000000" w:themeColor="text1"/>
          <w:highlight w:val="none"/>
          <w:shd w:val="clear" w:color="auto" w:fill="auto"/>
          <w:lang w:val="en-US" w:eastAsia="zh-CN"/>
          <w14:textFill>
            <w14:solidFill>
              <w14:schemeClr w14:val="tx1"/>
            </w14:solidFill>
          </w14:textFill>
        </w:rPr>
        <w:t>1</w: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lang w:val="en-US" w:eastAsia="zh-CN"/>
          <w14:textFill>
            <w14:solidFill>
              <w14:schemeClr w14:val="tx1"/>
            </w14:solidFill>
          </w14:textFill>
        </w:rPr>
        <w:t>0</w:t>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rFonts w:hint="eastAsia" w:eastAsia="仿宋"/>
          <w:strike w:val="0"/>
          <w:color w:val="000000" w:themeColor="text1"/>
          <w:highlight w:val="none"/>
          <w:shd w:val="clear" w:color="auto" w:fill="auto"/>
          <w:lang w:val="en-US" w:eastAsia="zh-CN"/>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_Toc12611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strike w:val="0"/>
          <w:color w:val="000000" w:themeColor="text1"/>
          <w:highlight w:val="none"/>
          <w:shd w:val="clear" w:color="auto" w:fill="auto"/>
          <w14:textFill>
            <w14:solidFill>
              <w14:schemeClr w14:val="tx1"/>
            </w14:solidFill>
          </w14:textFill>
        </w:rPr>
        <w:t>三、</w:t>
      </w:r>
      <w:r>
        <w:rPr>
          <w:rFonts w:hint="eastAsia" w:ascii="仿宋" w:hAnsi="仿宋" w:eastAsia="仿宋"/>
          <w:strike w:val="0"/>
          <w:color w:val="000000" w:themeColor="text1"/>
          <w:highlight w:val="none"/>
          <w:shd w:val="clear" w:color="auto" w:fill="auto"/>
          <w:lang w:val="en-US" w:eastAsia="zh-CN"/>
          <w14:textFill>
            <w14:solidFill>
              <w14:schemeClr w14:val="tx1"/>
            </w14:solidFill>
          </w14:textFill>
        </w:rPr>
        <w:t>特别说明</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rFonts w:hint="eastAsia"/>
          <w:strike w:val="0"/>
          <w:color w:val="000000" w:themeColor="text1"/>
          <w:highlight w:val="none"/>
          <w:shd w:val="clear" w:color="auto" w:fill="auto"/>
          <w:lang w:val="en-US" w:eastAsia="zh-CN"/>
          <w14:textFill>
            <w14:solidFill>
              <w14:schemeClr w14:val="tx1"/>
            </w14:solidFill>
          </w14:textFill>
        </w:rPr>
        <w:t>1</w: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lang w:val="en-US" w:eastAsia="zh-CN"/>
          <w14:textFill>
            <w14:solidFill>
              <w14:schemeClr w14:val="tx1"/>
            </w14:solidFill>
          </w14:textFill>
        </w:rPr>
        <w:t>1</w:t>
      </w:r>
      <w:r>
        <w:rPr>
          <w:strike w:val="0"/>
          <w:color w:val="000000" w:themeColor="text1"/>
          <w:highlight w:val="none"/>
          <w:shd w:val="clear" w:color="auto" w:fill="auto"/>
          <w14:textFill>
            <w14:solidFill>
              <w14:schemeClr w14:val="tx1"/>
            </w14:solidFill>
          </w14:textFill>
        </w:rPr>
        <w:t xml:space="preserve"> -</w:t>
      </w:r>
    </w:p>
    <w:p>
      <w:pPr>
        <w:pStyle w:val="37"/>
        <w:shd w:val="clear"/>
        <w:tabs>
          <w:tab w:val="right" w:leader="dot" w:pos="9412"/>
          <w:tab w:val="clear" w:pos="1260"/>
          <w:tab w:val="clear" w:pos="1685"/>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_Toc16167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highlight w:val="none"/>
          <w:shd w:val="clear" w:color="auto" w:fill="auto"/>
          <w14:textFill>
            <w14:solidFill>
              <w14:schemeClr w14:val="tx1"/>
            </w14:solidFill>
          </w14:textFill>
        </w:rPr>
        <w:t>第三篇  项目商务要求</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_Toc16167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12</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_Toc27072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szCs w:val="24"/>
          <w:highlight w:val="none"/>
          <w:shd w:val="clear" w:color="auto" w:fill="auto"/>
          <w14:textFill>
            <w14:solidFill>
              <w14:schemeClr w14:val="tx1"/>
            </w14:solidFill>
          </w14:textFill>
        </w:rPr>
        <w:t>一、实施时间、实施地点及验收方式</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_Toc27072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12</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_Toc21339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szCs w:val="24"/>
          <w:highlight w:val="none"/>
          <w:shd w:val="clear" w:color="auto" w:fill="auto"/>
          <w14:textFill>
            <w14:solidFill>
              <w14:schemeClr w14:val="tx1"/>
            </w14:solidFill>
          </w14:textFill>
        </w:rPr>
        <w:t>二、报价要求</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_Toc21339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12</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rFonts w:hint="eastAsia" w:ascii="仿宋" w:hAnsi="仿宋" w:eastAsia="仿宋" w:cs="仿宋"/>
          <w:strike w:val="0"/>
          <w:color w:val="000000" w:themeColor="text1"/>
          <w:szCs w:val="2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_Toc21339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szCs w:val="24"/>
          <w:highlight w:val="none"/>
          <w:shd w:val="clear" w:color="auto" w:fill="auto"/>
          <w:lang w:val="en-US" w:eastAsia="zh-CN"/>
          <w14:textFill>
            <w14:solidFill>
              <w14:schemeClr w14:val="tx1"/>
            </w14:solidFill>
          </w14:textFill>
        </w:rPr>
        <w:t>三</w:t>
      </w:r>
      <w:r>
        <w:rPr>
          <w:rFonts w:hint="eastAsia" w:ascii="仿宋" w:hAnsi="仿宋" w:eastAsia="仿宋" w:cs="仿宋"/>
          <w:strike w:val="0"/>
          <w:color w:val="000000" w:themeColor="text1"/>
          <w:szCs w:val="24"/>
          <w:highlight w:val="none"/>
          <w:shd w:val="clear" w:color="auto" w:fill="auto"/>
          <w14:textFill>
            <w14:solidFill>
              <w14:schemeClr w14:val="tx1"/>
            </w14:solidFill>
          </w14:textFill>
        </w:rPr>
        <w:t>、</w:t>
      </w:r>
      <w:r>
        <w:rPr>
          <w:rFonts w:hint="eastAsia" w:ascii="仿宋" w:hAnsi="仿宋" w:eastAsia="仿宋" w:cs="仿宋"/>
          <w:strike w:val="0"/>
          <w:color w:val="000000" w:themeColor="text1"/>
          <w:szCs w:val="24"/>
          <w:highlight w:val="none"/>
          <w:shd w:val="clear" w:color="auto" w:fill="auto"/>
          <w:lang w:val="en-US" w:eastAsia="zh-CN"/>
          <w14:textFill>
            <w14:solidFill>
              <w14:schemeClr w14:val="tx1"/>
            </w14:solidFill>
          </w14:textFill>
        </w:rPr>
        <w:t>考核办法</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_Toc21339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1</w:t>
      </w:r>
      <w:r>
        <w:rPr>
          <w:rFonts w:hint="eastAsia"/>
          <w:strike w:val="0"/>
          <w:color w:val="000000" w:themeColor="text1"/>
          <w:highlight w:val="none"/>
          <w:shd w:val="clear" w:color="auto" w:fill="auto"/>
          <w:lang w:val="en-US" w:eastAsia="zh-CN"/>
          <w14:textFill>
            <w14:solidFill>
              <w14:schemeClr w14:val="tx1"/>
            </w14:solidFill>
          </w14:textFill>
        </w:rPr>
        <w:t>3</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_Toc26571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szCs w:val="24"/>
          <w:highlight w:val="none"/>
          <w:shd w:val="clear" w:color="auto" w:fill="auto"/>
          <w14:textFill>
            <w14:solidFill>
              <w14:schemeClr w14:val="tx1"/>
            </w14:solidFill>
          </w14:textFill>
        </w:rPr>
        <w:t xml:space="preserve">四、 </w:t>
      </w:r>
      <w:r>
        <w:rPr>
          <w:rFonts w:hint="eastAsia" w:ascii="仿宋" w:hAnsi="仿宋" w:eastAsia="仿宋" w:cs="仿宋"/>
          <w:strike w:val="0"/>
          <w:color w:val="000000" w:themeColor="text1"/>
          <w:szCs w:val="24"/>
          <w:highlight w:val="none"/>
          <w:shd w:val="clear" w:color="auto" w:fill="auto"/>
          <w:lang w:val="en-US" w:eastAsia="zh-CN"/>
          <w14:textFill>
            <w14:solidFill>
              <w14:schemeClr w14:val="tx1"/>
            </w14:solidFill>
          </w14:textFill>
        </w:rPr>
        <w:t>履约保证金</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_Toc26571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1</w:t>
      </w:r>
      <w:r>
        <w:rPr>
          <w:rFonts w:hint="eastAsia"/>
          <w:strike w:val="0"/>
          <w:color w:val="000000" w:themeColor="text1"/>
          <w:highlight w:val="none"/>
          <w:shd w:val="clear" w:color="auto" w:fill="auto"/>
          <w:lang w:val="en-US" w:eastAsia="zh-CN"/>
          <w14:textFill>
            <w14:solidFill>
              <w14:schemeClr w14:val="tx1"/>
            </w14:solidFill>
          </w14:textFill>
        </w:rPr>
        <w:t>4</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rFonts w:hint="eastAsia" w:ascii="仿宋" w:hAnsi="仿宋" w:eastAsia="仿宋" w:cs="仿宋"/>
          <w:strike w:val="0"/>
          <w:color w:val="000000" w:themeColor="text1"/>
          <w:szCs w:val="2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_Toc26571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szCs w:val="24"/>
          <w:highlight w:val="none"/>
          <w:shd w:val="clear" w:color="auto" w:fill="auto"/>
          <w:lang w:val="en-US" w:eastAsia="zh-CN"/>
          <w14:textFill>
            <w14:solidFill>
              <w14:schemeClr w14:val="tx1"/>
            </w14:solidFill>
          </w14:textFill>
        </w:rPr>
        <w:t>五</w:t>
      </w:r>
      <w:r>
        <w:rPr>
          <w:rFonts w:hint="eastAsia" w:ascii="仿宋" w:hAnsi="仿宋" w:eastAsia="仿宋" w:cs="仿宋"/>
          <w:strike w:val="0"/>
          <w:color w:val="000000" w:themeColor="text1"/>
          <w:szCs w:val="24"/>
          <w:highlight w:val="none"/>
          <w:shd w:val="clear" w:color="auto" w:fill="auto"/>
          <w14:textFill>
            <w14:solidFill>
              <w14:schemeClr w14:val="tx1"/>
            </w14:solidFill>
          </w14:textFill>
        </w:rPr>
        <w:t>、 付款方式</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_Toc26571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1</w:t>
      </w:r>
      <w:r>
        <w:rPr>
          <w:rFonts w:hint="eastAsia"/>
          <w:strike w:val="0"/>
          <w:color w:val="000000" w:themeColor="text1"/>
          <w:highlight w:val="none"/>
          <w:shd w:val="clear" w:color="auto" w:fill="auto"/>
          <w:lang w:val="en-US" w:eastAsia="zh-CN"/>
          <w14:textFill>
            <w14:solidFill>
              <w14:schemeClr w14:val="tx1"/>
            </w14:solidFill>
          </w14:textFill>
        </w:rPr>
        <w:t>4</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_Toc20067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szCs w:val="24"/>
          <w:highlight w:val="none"/>
          <w:shd w:val="clear" w:color="auto" w:fill="auto"/>
          <w:lang w:val="en-US" w:eastAsia="zh-CN"/>
          <w14:textFill>
            <w14:solidFill>
              <w14:schemeClr w14:val="tx1"/>
            </w14:solidFill>
          </w14:textFill>
        </w:rPr>
        <w:t>六</w:t>
      </w:r>
      <w:r>
        <w:rPr>
          <w:rFonts w:hint="eastAsia" w:ascii="仿宋" w:hAnsi="仿宋" w:eastAsia="仿宋" w:cs="仿宋"/>
          <w:strike w:val="0"/>
          <w:color w:val="000000" w:themeColor="text1"/>
          <w:szCs w:val="24"/>
          <w:highlight w:val="none"/>
          <w:shd w:val="clear" w:color="auto" w:fill="auto"/>
          <w14:textFill>
            <w14:solidFill>
              <w14:schemeClr w14:val="tx1"/>
            </w14:solidFill>
          </w14:textFill>
        </w:rPr>
        <w:t>、知识产权</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_Toc20067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14</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_Toc10191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szCs w:val="24"/>
          <w:highlight w:val="none"/>
          <w:shd w:val="clear" w:color="auto" w:fill="auto"/>
          <w:lang w:val="en-US" w:eastAsia="zh-CN"/>
          <w14:textFill>
            <w14:solidFill>
              <w14:schemeClr w14:val="tx1"/>
            </w14:solidFill>
          </w14:textFill>
        </w:rPr>
        <w:t>七</w:t>
      </w:r>
      <w:r>
        <w:rPr>
          <w:rFonts w:hint="eastAsia" w:ascii="仿宋" w:hAnsi="仿宋" w:eastAsia="仿宋" w:cs="仿宋"/>
          <w:strike w:val="0"/>
          <w:color w:val="000000" w:themeColor="text1"/>
          <w:szCs w:val="24"/>
          <w:highlight w:val="none"/>
          <w:shd w:val="clear" w:color="auto" w:fill="auto"/>
          <w14:textFill>
            <w14:solidFill>
              <w14:schemeClr w14:val="tx1"/>
            </w14:solidFill>
          </w14:textFill>
        </w:rPr>
        <w:t>、其他</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_Toc10191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14</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37"/>
        <w:shd w:val="clear"/>
        <w:tabs>
          <w:tab w:val="right" w:leader="dot" w:pos="9412"/>
          <w:tab w:val="clear" w:pos="1260"/>
          <w:tab w:val="clear" w:pos="1685"/>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_Toc18720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highlight w:val="none"/>
          <w:shd w:val="clear" w:color="auto" w:fill="auto"/>
          <w14:textFill>
            <w14:solidFill>
              <w14:schemeClr w14:val="tx1"/>
            </w14:solidFill>
          </w14:textFill>
        </w:rPr>
        <w:t>第四篇  资格审查及评标办法</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_Toc18720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15</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_Toc7390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szCs w:val="24"/>
          <w:highlight w:val="none"/>
          <w:shd w:val="clear" w:color="auto" w:fill="auto"/>
          <w14:textFill>
            <w14:solidFill>
              <w14:schemeClr w14:val="tx1"/>
            </w14:solidFill>
          </w14:textFill>
        </w:rPr>
        <w:t>一、资格审查</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_Toc7390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15</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_Toc31043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szCs w:val="24"/>
          <w:highlight w:val="none"/>
          <w:shd w:val="clear" w:color="auto" w:fill="auto"/>
          <w14:textFill>
            <w14:solidFill>
              <w14:schemeClr w14:val="tx1"/>
            </w14:solidFill>
          </w14:textFill>
        </w:rPr>
        <w:t>二、评标方法</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_Toc31043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15</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_Toc8485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szCs w:val="24"/>
          <w:highlight w:val="none"/>
          <w:shd w:val="clear" w:color="auto" w:fill="auto"/>
          <w14:textFill>
            <w14:solidFill>
              <w14:schemeClr w14:val="tx1"/>
            </w14:solidFill>
          </w14:textFill>
        </w:rPr>
        <w:t>三、评标标准</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_Toc8485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17</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_Toc26241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szCs w:val="24"/>
          <w:highlight w:val="none"/>
          <w:shd w:val="clear" w:color="auto" w:fill="auto"/>
          <w14:textFill>
            <w14:solidFill>
              <w14:schemeClr w14:val="tx1"/>
            </w14:solidFill>
          </w14:textFill>
        </w:rPr>
        <w:t>四、无效投标条款</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_Toc26241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19</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_Toc15950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szCs w:val="24"/>
          <w:highlight w:val="none"/>
          <w:shd w:val="clear" w:color="auto" w:fill="auto"/>
          <w14:textFill>
            <w14:solidFill>
              <w14:schemeClr w14:val="tx1"/>
            </w14:solidFill>
          </w14:textFill>
        </w:rPr>
        <w:t>五、废标条款</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_Toc15950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19</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37"/>
        <w:shd w:val="clear"/>
        <w:tabs>
          <w:tab w:val="right" w:leader="dot" w:pos="9412"/>
          <w:tab w:val="clear" w:pos="1260"/>
          <w:tab w:val="clear" w:pos="1685"/>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_Toc6521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highlight w:val="none"/>
          <w:shd w:val="clear" w:color="auto" w:fill="auto"/>
          <w14:textFill>
            <w14:solidFill>
              <w14:schemeClr w14:val="tx1"/>
            </w14:solidFill>
          </w14:textFill>
        </w:rPr>
        <w:t>第五篇  投标人须知</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_Toc6521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20</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_Toc25188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highlight w:val="none"/>
          <w:shd w:val="clear" w:color="auto" w:fill="auto"/>
          <w14:textFill>
            <w14:solidFill>
              <w14:schemeClr w14:val="tx1"/>
            </w14:solidFill>
          </w14:textFill>
        </w:rPr>
        <w:t>一、投标人</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_Toc25188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20</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_Toc28369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highlight w:val="none"/>
          <w:shd w:val="clear" w:color="auto" w:fill="auto"/>
          <w14:textFill>
            <w14:solidFill>
              <w14:schemeClr w14:val="tx1"/>
            </w14:solidFill>
          </w14:textFill>
        </w:rPr>
        <w:t>二、招标文件</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_Toc25188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20</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_Toc28843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kern w:val="2"/>
          <w:sz w:val="28"/>
          <w:highlight w:val="none"/>
          <w:shd w:val="clear" w:color="auto" w:fill="auto"/>
          <w:lang w:val="en-US" w:eastAsia="zh-CN" w:bidi="ar-SA"/>
          <w14:textFill>
            <w14:solidFill>
              <w14:schemeClr w14:val="tx1"/>
            </w14:solidFill>
          </w14:textFill>
        </w:rPr>
        <w:t>三、电子投标文件</w:t>
      </w:r>
      <w:r>
        <w:rPr>
          <w:rFonts w:hint="eastAsia" w:ascii="仿宋" w:hAnsi="仿宋" w:eastAsia="仿宋" w:cs="仿宋"/>
          <w:strike w:val="0"/>
          <w:color w:val="000000" w:themeColor="text1"/>
          <w:kern w:val="2"/>
          <w:sz w:val="28"/>
          <w:highlight w:val="none"/>
          <w:shd w:val="clear" w:color="auto" w:fill="auto"/>
          <w:lang w:val="en-US" w:eastAsia="zh-CN" w:bidi="ar-SA"/>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_Toc25188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20</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_Toc8106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highlight w:val="none"/>
          <w:shd w:val="clear" w:color="auto" w:fill="auto"/>
          <w14:textFill>
            <w14:solidFill>
              <w14:schemeClr w14:val="tx1"/>
            </w14:solidFill>
          </w14:textFill>
        </w:rPr>
        <w:t>四、开标</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_Toc25188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2</w:t>
      </w:r>
      <w:r>
        <w:rPr>
          <w:rFonts w:hint="eastAsia"/>
          <w:strike w:val="0"/>
          <w:color w:val="000000" w:themeColor="text1"/>
          <w:highlight w:val="none"/>
          <w:shd w:val="clear" w:color="auto" w:fill="auto"/>
          <w:lang w:val="en-US" w:eastAsia="zh-CN"/>
          <w14:textFill>
            <w14:solidFill>
              <w14:schemeClr w14:val="tx1"/>
            </w14:solidFill>
          </w14:textFill>
        </w:rPr>
        <w:t>2</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_Toc14140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highlight w:val="none"/>
          <w:shd w:val="clear" w:color="auto" w:fill="auto"/>
          <w14:textFill>
            <w14:solidFill>
              <w14:schemeClr w14:val="tx1"/>
            </w14:solidFill>
          </w14:textFill>
        </w:rPr>
        <w:t>五、评标</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_Toc25188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2</w:t>
      </w:r>
      <w:r>
        <w:rPr>
          <w:rFonts w:hint="eastAsia"/>
          <w:strike w:val="0"/>
          <w:color w:val="000000" w:themeColor="text1"/>
          <w:highlight w:val="none"/>
          <w:shd w:val="clear" w:color="auto" w:fill="auto"/>
          <w:lang w:val="en-US" w:eastAsia="zh-CN"/>
          <w14:textFill>
            <w14:solidFill>
              <w14:schemeClr w14:val="tx1"/>
            </w14:solidFill>
          </w14:textFill>
        </w:rPr>
        <w:t>2</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_Toc31816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highlight w:val="none"/>
          <w:shd w:val="clear" w:color="auto" w:fill="auto"/>
          <w14:textFill>
            <w14:solidFill>
              <w14:schemeClr w14:val="tx1"/>
            </w14:solidFill>
          </w14:textFill>
        </w:rPr>
        <w:t>六、定标</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_Toc25188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2</w:t>
      </w:r>
      <w:r>
        <w:rPr>
          <w:rFonts w:hint="eastAsia"/>
          <w:strike w:val="0"/>
          <w:color w:val="000000" w:themeColor="text1"/>
          <w:highlight w:val="none"/>
          <w:shd w:val="clear" w:color="auto" w:fill="auto"/>
          <w:lang w:val="en-US" w:eastAsia="zh-CN"/>
          <w14:textFill>
            <w14:solidFill>
              <w14:schemeClr w14:val="tx1"/>
            </w14:solidFill>
          </w14:textFill>
        </w:rPr>
        <w:t>2</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_Toc23953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highlight w:val="none"/>
          <w:shd w:val="clear" w:color="auto" w:fill="auto"/>
          <w14:textFill>
            <w14:solidFill>
              <w14:schemeClr w14:val="tx1"/>
            </w14:solidFill>
          </w14:textFill>
        </w:rPr>
        <w:t>七、中标通知书</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_Toc25188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2</w:t>
      </w:r>
      <w:r>
        <w:rPr>
          <w:rFonts w:hint="eastAsia"/>
          <w:strike w:val="0"/>
          <w:color w:val="000000" w:themeColor="text1"/>
          <w:highlight w:val="none"/>
          <w:shd w:val="clear" w:color="auto" w:fill="auto"/>
          <w:lang w:val="en-US" w:eastAsia="zh-CN"/>
          <w14:textFill>
            <w14:solidFill>
              <w14:schemeClr w14:val="tx1"/>
            </w14:solidFill>
          </w14:textFill>
        </w:rPr>
        <w:t>3</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_Toc28000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highlight w:val="none"/>
          <w:shd w:val="clear" w:color="auto" w:fill="auto"/>
          <w14:textFill>
            <w14:solidFill>
              <w14:schemeClr w14:val="tx1"/>
            </w14:solidFill>
          </w14:textFill>
        </w:rPr>
        <w:t>八、询问、质疑和投诉</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_Toc25188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2</w:t>
      </w:r>
      <w:r>
        <w:rPr>
          <w:rFonts w:hint="eastAsia"/>
          <w:strike w:val="0"/>
          <w:color w:val="000000" w:themeColor="text1"/>
          <w:highlight w:val="none"/>
          <w:shd w:val="clear" w:color="auto" w:fill="auto"/>
          <w:lang w:val="en-US" w:eastAsia="zh-CN"/>
          <w14:textFill>
            <w14:solidFill>
              <w14:schemeClr w14:val="tx1"/>
            </w14:solidFill>
          </w14:textFill>
        </w:rPr>
        <w:t>3</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_Toc5153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highlight w:val="none"/>
          <w:shd w:val="clear" w:color="auto" w:fill="auto"/>
          <w14:textFill>
            <w14:solidFill>
              <w14:schemeClr w14:val="tx1"/>
            </w14:solidFill>
          </w14:textFill>
        </w:rPr>
        <w:t>九、签订合同</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_Toc25188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2</w:t>
      </w:r>
      <w:r>
        <w:rPr>
          <w:rFonts w:hint="eastAsia"/>
          <w:strike w:val="0"/>
          <w:color w:val="000000" w:themeColor="text1"/>
          <w:highlight w:val="none"/>
          <w:shd w:val="clear" w:color="auto" w:fill="auto"/>
          <w:lang w:val="en-US" w:eastAsia="zh-CN"/>
          <w14:textFill>
            <w14:solidFill>
              <w14:schemeClr w14:val="tx1"/>
            </w14:solidFill>
          </w14:textFill>
        </w:rPr>
        <w:t>4</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_Toc26110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highlight w:val="none"/>
          <w:shd w:val="clear" w:color="auto" w:fill="auto"/>
          <w14:textFill>
            <w14:solidFill>
              <w14:schemeClr w14:val="tx1"/>
            </w14:solidFill>
          </w14:textFill>
        </w:rPr>
        <w:t>十、银行信用贷款支持</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_Toc25188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2</w:t>
      </w:r>
      <w:r>
        <w:rPr>
          <w:rFonts w:hint="eastAsia"/>
          <w:strike w:val="0"/>
          <w:color w:val="000000" w:themeColor="text1"/>
          <w:highlight w:val="none"/>
          <w:shd w:val="clear" w:color="auto" w:fill="auto"/>
          <w:lang w:val="en-US" w:eastAsia="zh-CN"/>
          <w14:textFill>
            <w14:solidFill>
              <w14:schemeClr w14:val="tx1"/>
            </w14:solidFill>
          </w14:textFill>
        </w:rPr>
        <w:t>5</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37"/>
        <w:shd w:val="clear"/>
        <w:tabs>
          <w:tab w:val="right" w:leader="dot" w:pos="9412"/>
          <w:tab w:val="clear" w:pos="1260"/>
          <w:tab w:val="clear" w:pos="1685"/>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_Toc27121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highlight w:val="none"/>
          <w:shd w:val="clear" w:color="auto" w:fill="auto"/>
          <w14:textFill>
            <w14:solidFill>
              <w14:schemeClr w14:val="tx1"/>
            </w14:solidFill>
          </w14:textFill>
        </w:rPr>
        <w:t>第六篇  合同主要条款和格式合同（样本）</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_Toc25188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2</w:t>
      </w:r>
      <w:r>
        <w:rPr>
          <w:rFonts w:hint="eastAsia"/>
          <w:strike w:val="0"/>
          <w:color w:val="000000" w:themeColor="text1"/>
          <w:highlight w:val="none"/>
          <w:shd w:val="clear" w:color="auto" w:fill="auto"/>
          <w:lang w:val="en-US" w:eastAsia="zh-CN"/>
          <w14:textFill>
            <w14:solidFill>
              <w14:schemeClr w14:val="tx1"/>
            </w14:solidFill>
          </w14:textFill>
        </w:rPr>
        <w:t>6</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_Toc25638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highlight w:val="none"/>
          <w:shd w:val="clear" w:color="auto" w:fill="auto"/>
          <w14:textFill>
            <w14:solidFill>
              <w14:schemeClr w14:val="tx1"/>
            </w14:solidFill>
          </w14:textFill>
        </w:rPr>
        <w:t>一、合同主要条款</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_Toc25188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2</w:t>
      </w:r>
      <w:r>
        <w:rPr>
          <w:rFonts w:hint="eastAsia"/>
          <w:strike w:val="0"/>
          <w:color w:val="000000" w:themeColor="text1"/>
          <w:highlight w:val="none"/>
          <w:shd w:val="clear" w:color="auto" w:fill="auto"/>
          <w:lang w:val="en-US" w:eastAsia="zh-CN"/>
          <w14:textFill>
            <w14:solidFill>
              <w14:schemeClr w14:val="tx1"/>
            </w14:solidFill>
          </w14:textFill>
        </w:rPr>
        <w:t>6</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37"/>
        <w:shd w:val="clear"/>
        <w:tabs>
          <w:tab w:val="right" w:leader="dot" w:pos="9412"/>
          <w:tab w:val="clear" w:pos="1260"/>
          <w:tab w:val="clear" w:pos="1685"/>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_Toc24748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highlight w:val="none"/>
          <w:shd w:val="clear" w:color="auto" w:fill="auto"/>
          <w14:textFill>
            <w14:solidFill>
              <w14:schemeClr w14:val="tx1"/>
            </w14:solidFill>
          </w14:textFill>
        </w:rPr>
        <w:t>第七篇  投标文件格式</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_Toc24748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4</w:t>
      </w:r>
      <w:r>
        <w:rPr>
          <w:rFonts w:hint="eastAsia"/>
          <w:strike w:val="0"/>
          <w:color w:val="000000" w:themeColor="text1"/>
          <w:highlight w:val="none"/>
          <w:shd w:val="clear" w:color="auto" w:fill="auto"/>
          <w:lang w:val="en-US" w:eastAsia="zh-CN"/>
          <w14:textFill>
            <w14:solidFill>
              <w14:schemeClr w14:val="tx1"/>
            </w14:solidFill>
          </w14:textFill>
        </w:rPr>
        <w:t>5</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rFonts w:hint="eastAsia" w:ascii="仿宋" w:hAnsi="仿宋" w:eastAsia="仿宋" w:cs="仿宋"/>
          <w:strike w:val="0"/>
          <w:color w:val="000000" w:themeColor="text1"/>
          <w:szCs w:val="2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_Toc21633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szCs w:val="28"/>
          <w:highlight w:val="none"/>
          <w:shd w:val="clear" w:color="auto" w:fill="auto"/>
          <w14:textFill>
            <w14:solidFill>
              <w14:schemeClr w14:val="tx1"/>
            </w14:solidFill>
          </w14:textFill>
        </w:rPr>
        <w:t>一、经济文件</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_Toc21633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4</w:t>
      </w:r>
      <w:r>
        <w:rPr>
          <w:rFonts w:hint="eastAsia"/>
          <w:strike w:val="0"/>
          <w:color w:val="000000" w:themeColor="text1"/>
          <w:highlight w:val="none"/>
          <w:shd w:val="clear" w:color="auto" w:fill="auto"/>
          <w:lang w:val="en-US" w:eastAsia="zh-CN"/>
          <w14:textFill>
            <w14:solidFill>
              <w14:schemeClr w14:val="tx1"/>
            </w14:solidFill>
          </w14:textFill>
        </w:rPr>
        <w:t>6</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rFonts w:hint="eastAsia" w:ascii="仿宋" w:hAnsi="仿宋" w:eastAsia="仿宋" w:cs="仿宋"/>
          <w:strike w:val="0"/>
          <w:color w:val="000000" w:themeColor="text1"/>
          <w:szCs w:val="2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_Toc21633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szCs w:val="21"/>
          <w:highlight w:val="none"/>
          <w:shd w:val="clear" w:color="auto" w:fill="auto"/>
          <w:lang w:eastAsia="zh-CN"/>
          <w14:textFill>
            <w14:solidFill>
              <w14:schemeClr w14:val="tx1"/>
            </w14:solidFill>
          </w14:textFill>
        </w:rPr>
        <w:t>二</w:t>
      </w:r>
      <w:r>
        <w:rPr>
          <w:rFonts w:hint="eastAsia" w:ascii="仿宋" w:hAnsi="仿宋" w:eastAsia="仿宋" w:cs="仿宋"/>
          <w:strike w:val="0"/>
          <w:color w:val="000000" w:themeColor="text1"/>
          <w:szCs w:val="28"/>
          <w:highlight w:val="none"/>
          <w:shd w:val="clear" w:color="auto" w:fill="auto"/>
          <w14:textFill>
            <w14:solidFill>
              <w14:schemeClr w14:val="tx1"/>
            </w14:solidFill>
          </w14:textFill>
        </w:rPr>
        <w:t>、</w:t>
      </w:r>
      <w:r>
        <w:rPr>
          <w:rFonts w:hint="eastAsia" w:ascii="仿宋" w:hAnsi="仿宋" w:eastAsia="仿宋" w:cs="仿宋"/>
          <w:strike w:val="0"/>
          <w:color w:val="000000" w:themeColor="text1"/>
          <w:szCs w:val="28"/>
          <w:highlight w:val="none"/>
          <w:shd w:val="clear" w:color="auto" w:fill="auto"/>
          <w:lang w:eastAsia="zh-CN"/>
          <w14:textFill>
            <w14:solidFill>
              <w14:schemeClr w14:val="tx1"/>
            </w14:solidFill>
          </w14:textFill>
        </w:rPr>
        <w:t>技术</w:t>
      </w:r>
      <w:r>
        <w:rPr>
          <w:rFonts w:hint="eastAsia" w:ascii="仿宋" w:hAnsi="仿宋" w:eastAsia="仿宋" w:cs="仿宋"/>
          <w:strike w:val="0"/>
          <w:color w:val="000000" w:themeColor="text1"/>
          <w:szCs w:val="28"/>
          <w:highlight w:val="none"/>
          <w:shd w:val="clear" w:color="auto" w:fill="auto"/>
          <w14:textFill>
            <w14:solidFill>
              <w14:schemeClr w14:val="tx1"/>
            </w14:solidFill>
          </w14:textFill>
        </w:rPr>
        <w:t>文件</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_Toc21633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4</w:t>
      </w:r>
      <w:r>
        <w:rPr>
          <w:rFonts w:hint="eastAsia"/>
          <w:strike w:val="0"/>
          <w:color w:val="000000" w:themeColor="text1"/>
          <w:highlight w:val="none"/>
          <w:shd w:val="clear" w:color="auto" w:fill="auto"/>
          <w:lang w:val="en-US" w:eastAsia="zh-CN"/>
          <w14:textFill>
            <w14:solidFill>
              <w14:schemeClr w14:val="tx1"/>
            </w14:solidFill>
          </w14:textFill>
        </w:rPr>
        <w:t>8</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_Toc24551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szCs w:val="28"/>
          <w:highlight w:val="none"/>
          <w:shd w:val="clear" w:color="auto" w:fill="auto"/>
          <w14:textFill>
            <w14:solidFill>
              <w14:schemeClr w14:val="tx1"/>
            </w14:solidFill>
          </w14:textFill>
        </w:rPr>
        <w:t>三、商务文件</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_Toc24551 \h </w:instrText>
      </w:r>
      <w:r>
        <w:rPr>
          <w:strike w:val="0"/>
          <w:color w:val="000000" w:themeColor="text1"/>
          <w:highlight w:val="none"/>
          <w:shd w:val="clear" w:color="auto" w:fill="auto"/>
          <w14:textFill>
            <w14:solidFill>
              <w14:schemeClr w14:val="tx1"/>
            </w14:solidFill>
          </w14:textFill>
        </w:rPr>
        <w:fldChar w:fldCharType="separate"/>
      </w:r>
      <w:r>
        <w:rPr>
          <w:rFonts w:hint="eastAsia"/>
          <w:strike w:val="0"/>
          <w:color w:val="000000" w:themeColor="text1"/>
          <w:highlight w:val="none"/>
          <w:shd w:val="clear" w:color="auto" w:fill="auto"/>
          <w:lang w:val="en-US" w:eastAsia="zh-CN"/>
          <w14:textFill>
            <w14:solidFill>
              <w14:schemeClr w14:val="tx1"/>
            </w14:solidFill>
          </w14:textFill>
        </w:rPr>
        <w:t>50</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_Toc11124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szCs w:val="28"/>
          <w:highlight w:val="none"/>
          <w:shd w:val="clear" w:color="auto" w:fill="auto"/>
          <w14:textFill>
            <w14:solidFill>
              <w14:schemeClr w14:val="tx1"/>
            </w14:solidFill>
          </w14:textFill>
        </w:rPr>
        <w:t>四、其他</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_Toc11124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5</w:t>
      </w:r>
      <w:r>
        <w:rPr>
          <w:rFonts w:hint="eastAsia"/>
          <w:strike w:val="0"/>
          <w:color w:val="000000" w:themeColor="text1"/>
          <w:highlight w:val="none"/>
          <w:shd w:val="clear" w:color="auto" w:fill="auto"/>
          <w:lang w:val="en-US" w:eastAsia="zh-CN"/>
          <w14:textFill>
            <w14:solidFill>
              <w14:schemeClr w14:val="tx1"/>
            </w14:solidFill>
          </w14:textFill>
        </w:rPr>
        <w:t>3</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r>
        <w:rPr>
          <w:strike w:val="0"/>
          <w:color w:val="000000" w:themeColor="text1"/>
          <w:highlight w:val="none"/>
          <w:shd w:val="clear" w:color="auto" w:fill="auto"/>
          <w14:textFill>
            <w14:solidFill>
              <w14:schemeClr w14:val="tx1"/>
            </w14:solidFill>
          </w14:textFill>
        </w:rPr>
        <w:t xml:space="preserve"> -</w:t>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begin"/>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instrText xml:space="preserve"> HYPERLINK \l _Toc22593 </w:instrText>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separate"/>
      </w:r>
      <w:r>
        <w:rPr>
          <w:rFonts w:hint="eastAsia" w:ascii="仿宋" w:hAnsi="仿宋" w:eastAsia="仿宋" w:cs="仿宋"/>
          <w:strike w:val="0"/>
          <w:color w:val="000000" w:themeColor="text1"/>
          <w:szCs w:val="28"/>
          <w:highlight w:val="none"/>
          <w:shd w:val="clear" w:color="auto" w:fill="auto"/>
          <w14:textFill>
            <w14:solidFill>
              <w14:schemeClr w14:val="tx1"/>
            </w14:solidFill>
          </w14:textFill>
        </w:rPr>
        <w:t>五、资格文件</w:t>
      </w:r>
      <w:r>
        <w:rPr>
          <w:strike w:val="0"/>
          <w:color w:val="000000" w:themeColor="text1"/>
          <w:highlight w:val="none"/>
          <w:shd w:val="clear" w:color="auto" w:fill="auto"/>
          <w14:textFill>
            <w14:solidFill>
              <w14:schemeClr w14:val="tx1"/>
            </w14:solidFill>
          </w14:textFill>
        </w:rPr>
        <w:tab/>
      </w:r>
      <w:r>
        <w:rPr>
          <w:strike w:val="0"/>
          <w:color w:val="000000" w:themeColor="text1"/>
          <w:highlight w:val="none"/>
          <w:shd w:val="clear" w:color="auto" w:fill="auto"/>
          <w14:textFill>
            <w14:solidFill>
              <w14:schemeClr w14:val="tx1"/>
            </w14:solidFill>
          </w14:textFill>
        </w:rPr>
        <w:fldChar w:fldCharType="begin"/>
      </w:r>
      <w:r>
        <w:rPr>
          <w:strike w:val="0"/>
          <w:color w:val="000000" w:themeColor="text1"/>
          <w:highlight w:val="none"/>
          <w:shd w:val="clear" w:color="auto" w:fill="auto"/>
          <w14:textFill>
            <w14:solidFill>
              <w14:schemeClr w14:val="tx1"/>
            </w14:solidFill>
          </w14:textFill>
        </w:rPr>
        <w:instrText xml:space="preserve"> PAGEREF _Toc22593 \h </w:instrText>
      </w:r>
      <w:r>
        <w:rPr>
          <w:strike w:val="0"/>
          <w:color w:val="000000" w:themeColor="text1"/>
          <w:highlight w:val="none"/>
          <w:shd w:val="clear" w:color="auto" w:fill="auto"/>
          <w14:textFill>
            <w14:solidFill>
              <w14:schemeClr w14:val="tx1"/>
            </w14:solidFill>
          </w14:textFill>
        </w:rPr>
        <w:fldChar w:fldCharType="separate"/>
      </w:r>
      <w:r>
        <w:rPr>
          <w:strike w:val="0"/>
          <w:color w:val="000000" w:themeColor="text1"/>
          <w:highlight w:val="none"/>
          <w:shd w:val="clear" w:color="auto" w:fill="auto"/>
          <w14:textFill>
            <w14:solidFill>
              <w14:schemeClr w14:val="tx1"/>
            </w14:solidFill>
          </w14:textFill>
        </w:rPr>
        <w:t>- 5</w:t>
      </w:r>
      <w:r>
        <w:rPr>
          <w:rFonts w:hint="eastAsia"/>
          <w:strike w:val="0"/>
          <w:color w:val="000000" w:themeColor="text1"/>
          <w:highlight w:val="none"/>
          <w:shd w:val="clear" w:color="auto" w:fill="auto"/>
          <w:lang w:val="en-US" w:eastAsia="zh-CN"/>
          <w14:textFill>
            <w14:solidFill>
              <w14:schemeClr w14:val="tx1"/>
            </w14:solidFill>
          </w14:textFill>
        </w:rPr>
        <w:t>9</w:t>
      </w:r>
      <w:r>
        <w:rPr>
          <w:strike w:val="0"/>
          <w:color w:val="000000" w:themeColor="text1"/>
          <w:highlight w:val="none"/>
          <w:shd w:val="clear" w:color="auto" w:fill="auto"/>
          <w14:textFill>
            <w14:solidFill>
              <w14:schemeClr w14:val="tx1"/>
            </w14:solidFill>
          </w14:textFill>
        </w:rPr>
        <w:t xml:space="preserve"> -</w:t>
      </w:r>
      <w:r>
        <w:rPr>
          <w:strike w:val="0"/>
          <w:color w:val="000000" w:themeColor="text1"/>
          <w:highlight w:val="none"/>
          <w:shd w:val="clear" w:color="auto" w:fill="auto"/>
          <w14:textFill>
            <w14:solidFill>
              <w14:schemeClr w14:val="tx1"/>
            </w14:solidFill>
          </w14:textFill>
        </w:rPr>
        <w:fldChar w:fldCharType="end"/>
      </w: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p>
    <w:p>
      <w:pPr>
        <w:pStyle w:val="45"/>
        <w:shd w:val="clear"/>
        <w:tabs>
          <w:tab w:val="right" w:leader="dot" w:pos="9412"/>
          <w:tab w:val="clear" w:pos="8400"/>
        </w:tabs>
        <w:rPr>
          <w:strike w:val="0"/>
          <w:color w:val="000000" w:themeColor="text1"/>
          <w:highlight w:val="none"/>
          <w:shd w:val="clear" w:color="auto" w:fill="auto"/>
          <w14:textFill>
            <w14:solidFill>
              <w14:schemeClr w14:val="tx1"/>
            </w14:solidFill>
          </w14:textFill>
        </w:r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p>
    <w:p>
      <w:pPr>
        <w:pStyle w:val="37"/>
        <w:shd w:val="clear"/>
        <w:ind w:firstLine="0" w:firstLineChars="0"/>
        <w:rPr>
          <w:rFonts w:hint="eastAsia" w:ascii="仿宋" w:hAnsi="仿宋" w:eastAsia="仿宋" w:cs="仿宋"/>
          <w:color w:val="000000" w:themeColor="text1"/>
          <w:sz w:val="32"/>
          <w:highlight w:val="none"/>
          <w14:textFill>
            <w14:solidFill>
              <w14:schemeClr w14:val="tx1"/>
            </w14:solidFill>
          </w14:textFill>
        </w:rPr>
        <w:sectPr>
          <w:pgSz w:w="11907" w:h="16840"/>
          <w:pgMar w:top="1134" w:right="1191" w:bottom="1134" w:left="1304" w:header="964" w:footer="992" w:gutter="0"/>
          <w:pgNumType w:fmt="numberInDash" w:start="1"/>
          <w:cols w:space="720" w:num="1"/>
          <w:docGrid w:linePitch="312" w:charSpace="0"/>
        </w:sectPr>
      </w:pPr>
      <w:r>
        <w:rPr>
          <w:rFonts w:hint="eastAsia" w:ascii="仿宋" w:hAnsi="仿宋" w:eastAsia="仿宋" w:cs="仿宋"/>
          <w:strike w:val="0"/>
          <w:color w:val="000000" w:themeColor="text1"/>
          <w:szCs w:val="21"/>
          <w:highlight w:val="none"/>
          <w:shd w:val="clear" w:color="auto" w:fill="auto"/>
          <w14:textFill>
            <w14:solidFill>
              <w14:schemeClr w14:val="tx1"/>
            </w14:solidFill>
          </w14:textFill>
        </w:rPr>
        <w:fldChar w:fldCharType="end"/>
      </w:r>
    </w:p>
    <w:p>
      <w:pPr>
        <w:pStyle w:val="3"/>
        <w:shd w:val="clear"/>
        <w:spacing w:before="0" w:beforeLines="0" w:after="0" w:afterLines="0" w:line="360" w:lineRule="auto"/>
        <w:rPr>
          <w:rFonts w:hint="eastAsia" w:ascii="仿宋" w:hAnsi="仿宋" w:eastAsia="仿宋" w:cs="仿宋"/>
          <w:b/>
          <w:color w:val="000000" w:themeColor="text1"/>
          <w:highlight w:val="none"/>
          <w14:textFill>
            <w14:solidFill>
              <w14:schemeClr w14:val="tx1"/>
            </w14:solidFill>
          </w14:textFill>
        </w:rPr>
      </w:pPr>
      <w:bookmarkStart w:id="3" w:name="_Toc17141"/>
      <w:r>
        <w:rPr>
          <w:rFonts w:hint="eastAsia" w:ascii="仿宋" w:hAnsi="仿宋" w:eastAsia="仿宋" w:cs="仿宋"/>
          <w:b/>
          <w:color w:val="000000" w:themeColor="text1"/>
          <w:highlight w:val="none"/>
          <w14:textFill>
            <w14:solidFill>
              <w14:schemeClr w14:val="tx1"/>
            </w14:solidFill>
          </w14:textFill>
        </w:rPr>
        <w:t>第一篇 投标邀请书</w:t>
      </w:r>
      <w:bookmarkEnd w:id="3"/>
    </w:p>
    <w:p>
      <w:pPr>
        <w:shd w:val="clear"/>
        <w:snapToGrid w:val="0"/>
        <w:spacing w:line="40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垫江县公共资源交易中心</w:t>
      </w:r>
      <w:r>
        <w:rPr>
          <w:rFonts w:hint="eastAsia" w:ascii="仿宋" w:hAnsi="仿宋" w:eastAsia="仿宋" w:cs="仿宋"/>
          <w:color w:val="000000" w:themeColor="text1"/>
          <w:sz w:val="24"/>
          <w:szCs w:val="24"/>
          <w:highlight w:val="none"/>
          <w14:textFill>
            <w14:solidFill>
              <w14:schemeClr w14:val="tx1"/>
            </w14:solidFill>
          </w14:textFill>
        </w:rPr>
        <w:t>受</w:t>
      </w:r>
      <w:r>
        <w:rPr>
          <w:rFonts w:hint="eastAsia" w:ascii="仿宋" w:hAnsi="仿宋" w:eastAsia="仿宋" w:cs="仿宋"/>
          <w:strike w:val="0"/>
          <w:dstrike w:val="0"/>
          <w:color w:val="000000" w:themeColor="text1"/>
          <w:sz w:val="24"/>
          <w:szCs w:val="24"/>
          <w:highlight w:val="none"/>
          <w:u w:val="single"/>
          <w:lang w:val="en-US" w:eastAsia="zh-CN"/>
          <w14:textFill>
            <w14:solidFill>
              <w14:schemeClr w14:val="tx1"/>
            </w14:solidFill>
          </w14:textFill>
        </w:rPr>
        <w:t>重庆垫江高新区开发投资集团有限公司</w:t>
      </w:r>
      <w:r>
        <w:rPr>
          <w:rFonts w:hint="eastAsia" w:ascii="仿宋" w:hAnsi="仿宋" w:eastAsia="仿宋" w:cs="仿宋"/>
          <w:color w:val="000000" w:themeColor="text1"/>
          <w:sz w:val="24"/>
          <w:szCs w:val="24"/>
          <w:highlight w:val="none"/>
          <w14:textFill>
            <w14:solidFill>
              <w14:schemeClr w14:val="tx1"/>
            </w14:solidFill>
          </w14:textFill>
        </w:rPr>
        <w:t>的委托，对</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垫江县产业发展引导基金遴选基金管理人项目</w:t>
      </w:r>
      <w:r>
        <w:rPr>
          <w:rFonts w:hint="eastAsia" w:ascii="仿宋" w:hAnsi="仿宋" w:eastAsia="仿宋" w:cs="仿宋"/>
          <w:color w:val="000000" w:themeColor="text1"/>
          <w:sz w:val="24"/>
          <w:szCs w:val="24"/>
          <w:highlight w:val="none"/>
          <w14:textFill>
            <w14:solidFill>
              <w14:schemeClr w14:val="tx1"/>
            </w14:solidFill>
          </w14:textFill>
        </w:rPr>
        <w:t>项目进行公开招标，欢迎有资格的投标人参加投标。</w:t>
      </w:r>
    </w:p>
    <w:p>
      <w:pPr>
        <w:pStyle w:val="4"/>
        <w:numPr>
          <w:ilvl w:val="0"/>
          <w:numId w:val="16"/>
        </w:numPr>
        <w:shd w:val="clear"/>
        <w:spacing w:line="50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4" w:name="_Toc27625"/>
      <w:r>
        <w:rPr>
          <w:rFonts w:hint="eastAsia" w:ascii="仿宋" w:hAnsi="仿宋" w:eastAsia="仿宋" w:cs="仿宋"/>
          <w:b/>
          <w:color w:val="000000" w:themeColor="text1"/>
          <w:sz w:val="24"/>
          <w:highlight w:val="none"/>
          <w14:textFill>
            <w14:solidFill>
              <w14:schemeClr w14:val="tx1"/>
            </w14:solidFill>
          </w14:textFill>
        </w:rPr>
        <w:t>招标项目内容</w:t>
      </w:r>
      <w:bookmarkEnd w:id="4"/>
    </w:p>
    <w:p>
      <w:pPr>
        <w:pStyle w:val="5"/>
        <w:pageBreakBefore w:val="0"/>
        <w:widowControl w:val="0"/>
        <w:kinsoku/>
        <w:wordWrap/>
        <w:overflowPunct/>
        <w:topLinePunct w:val="0"/>
        <w:autoSpaceDE/>
        <w:autoSpaceDN/>
        <w:bidi w:val="0"/>
        <w:adjustRightInd/>
        <w:snapToGrid/>
        <w:spacing w:before="0" w:beforeLines="0" w:after="0" w:afterLines="0" w:line="400" w:lineRule="exact"/>
        <w:ind w:firstLine="480" w:firstLineChars="200"/>
        <w:jc w:val="both"/>
        <w:textAlignment w:val="auto"/>
        <w:rPr>
          <w:rFonts w:hint="eastAsia" w:ascii="Times New Roman" w:hAnsi="Times New Roman" w:eastAsia="方正仿宋_GBK" w:cs="Times New Roman"/>
          <w:b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方正仿宋_GBK" w:cs="Times New Roman"/>
          <w:b w:val="0"/>
          <w:color w:val="000000" w:themeColor="text1"/>
          <w:kern w:val="2"/>
          <w:sz w:val="24"/>
          <w:szCs w:val="24"/>
          <w:highlight w:val="none"/>
          <w:lang w:val="en-US" w:eastAsia="zh-CN" w:bidi="ar-SA"/>
          <w14:textFill>
            <w14:solidFill>
              <w14:schemeClr w14:val="tx1"/>
            </w14:solidFill>
          </w14:textFill>
        </w:rPr>
        <w:t>（一）项目名称：垫江县产业发展引导基金遴选基金管理人项目。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Times New Roman"/>
          <w:b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方正仿宋_GBK" w:cs="Times New Roman"/>
          <w:b w:val="0"/>
          <w:color w:val="000000" w:themeColor="text1"/>
          <w:kern w:val="2"/>
          <w:sz w:val="24"/>
          <w:szCs w:val="24"/>
          <w:highlight w:val="none"/>
          <w:lang w:val="en-US" w:eastAsia="zh-CN" w:bidi="ar-SA"/>
          <w14:textFill>
            <w14:solidFill>
              <w14:schemeClr w14:val="tx1"/>
            </w14:solidFill>
          </w14:textFill>
        </w:rPr>
        <w:t>（二）最高限价：投资期以基金实缴出资总额为计算基数，管理人每年收取1.5%的管理费；退出期以基金实缴出资总额扣除已退出项目投资本金的余额为计算基数，每年收取1%；延长期不收管理费。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Times New Roman"/>
          <w:b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方正仿宋_GBK" w:cs="Times New Roman"/>
          <w:b w:val="0"/>
          <w:color w:val="000000" w:themeColor="text1"/>
          <w:kern w:val="2"/>
          <w:sz w:val="24"/>
          <w:szCs w:val="24"/>
          <w:highlight w:val="none"/>
          <w:lang w:val="en-US" w:eastAsia="zh-CN" w:bidi="ar-SA"/>
          <w14:textFill>
            <w14:solidFill>
              <w14:schemeClr w14:val="tx1"/>
            </w14:solidFill>
          </w14:textFill>
        </w:rPr>
        <w:t>（三）采购需求：垫江县产业发展引导基金遴选基金管理人项目，依靠受托人的专业能力和经验，为垫江县产业发展引导基金提供专业化的经营与运作，推动重大项目高效落地，助力垫江高投集团高质量发展。具体详见服务需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b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方正仿宋_GBK" w:cs="Times New Roman"/>
          <w:b w:val="0"/>
          <w:color w:val="000000" w:themeColor="text1"/>
          <w:kern w:val="2"/>
          <w:sz w:val="24"/>
          <w:szCs w:val="24"/>
          <w:highlight w:val="none"/>
          <w:lang w:val="en-US" w:eastAsia="zh-CN" w:bidi="ar-SA"/>
          <w14:textFill>
            <w14:solidFill>
              <w14:schemeClr w14:val="tx1"/>
            </w14:solidFill>
          </w14:textFill>
        </w:rPr>
        <w:t>（四）基金存续期限：基金存续期为7年，其中投资期4年，退出期3年。到期后经执行事务合伙人提议，并经全体合伙人一致同意可延长两次，每次</w:t>
      </w:r>
      <w:r>
        <w:rPr>
          <w:rFonts w:hint="default" w:ascii="Times New Roman" w:hAnsi="Times New Roman" w:eastAsia="方正仿宋_GBK" w:cs="Times New Roman"/>
          <w:b w:val="0"/>
          <w:color w:val="000000" w:themeColor="text1"/>
          <w:kern w:val="2"/>
          <w:sz w:val="24"/>
          <w:szCs w:val="24"/>
          <w:highlight w:val="none"/>
          <w:lang w:val="en-US" w:eastAsia="zh-CN" w:bidi="ar-SA"/>
          <w14:textFill>
            <w14:solidFill>
              <w14:schemeClr w14:val="tx1"/>
            </w14:solidFill>
          </w14:textFill>
        </w:rPr>
        <w:t>1年。</w:t>
      </w:r>
    </w:p>
    <w:p>
      <w:pPr>
        <w:pStyle w:val="16"/>
        <w:pageBreakBefore w:val="0"/>
        <w:widowControl w:val="0"/>
        <w:kinsoku/>
        <w:wordWrap/>
        <w:overflowPunct/>
        <w:topLinePunct w:val="0"/>
        <w:autoSpaceDE/>
        <w:autoSpaceDN/>
        <w:bidi w:val="0"/>
        <w:spacing w:line="400" w:lineRule="exact"/>
        <w:ind w:left="0" w:leftChars="0" w:firstLine="0"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r>
        <w:rPr>
          <w:rFonts w:hint="eastAsia" w:ascii="Times New Roman" w:hAnsi="Times New Roman" w:eastAsia="方正仿宋_GBK" w:cs="Times New Roman"/>
          <w:b w:val="0"/>
          <w:color w:val="000000" w:themeColor="text1"/>
          <w:kern w:val="2"/>
          <w:sz w:val="24"/>
          <w:szCs w:val="24"/>
          <w:highlight w:val="none"/>
          <w:lang w:val="en-US" w:eastAsia="zh-CN" w:bidi="ar-SA"/>
          <w14:textFill>
            <w14:solidFill>
              <w14:schemeClr w14:val="tx1"/>
            </w14:solidFill>
          </w14:textFill>
        </w:rPr>
        <w:t xml:space="preserve">  （五）本项目不接受联合体投标。</w:t>
      </w:r>
    </w:p>
    <w:p>
      <w:pPr>
        <w:pStyle w:val="4"/>
        <w:pageBreakBefore w:val="0"/>
        <w:widowControl w:val="0"/>
        <w:shd w:val="clear"/>
        <w:kinsoku/>
        <w:wordWrap/>
        <w:overflowPunct/>
        <w:topLinePunct w:val="0"/>
        <w:autoSpaceDE/>
        <w:autoSpaceDN/>
        <w:bidi w:val="0"/>
        <w:spacing w:line="480" w:lineRule="exact"/>
        <w:ind w:firstLine="482" w:firstLineChars="200"/>
        <w:textAlignment w:val="auto"/>
        <w:rPr>
          <w:rFonts w:hint="eastAsia" w:ascii="仿宋" w:hAnsi="仿宋" w:eastAsia="仿宋" w:cs="仿宋"/>
          <w:b/>
          <w:color w:val="000000" w:themeColor="text1"/>
          <w:sz w:val="24"/>
          <w:highlight w:val="none"/>
          <w:lang w:eastAsia="zh-CN"/>
          <w14:textFill>
            <w14:solidFill>
              <w14:schemeClr w14:val="tx1"/>
            </w14:solidFill>
          </w14:textFill>
        </w:rPr>
      </w:pPr>
      <w:bookmarkStart w:id="5" w:name="_Toc20416"/>
      <w:r>
        <w:rPr>
          <w:rFonts w:hint="eastAsia" w:ascii="仿宋" w:hAnsi="仿宋" w:eastAsia="仿宋" w:cs="仿宋"/>
          <w:b/>
          <w:color w:val="000000" w:themeColor="text1"/>
          <w:sz w:val="24"/>
          <w:highlight w:val="none"/>
          <w14:textFill>
            <w14:solidFill>
              <w14:schemeClr w14:val="tx1"/>
            </w14:solidFill>
          </w14:textFill>
        </w:rPr>
        <w:t>二、资金来源</w:t>
      </w:r>
      <w:bookmarkEnd w:id="5"/>
    </w:p>
    <w:p>
      <w:pPr>
        <w:pageBreakBefore w:val="0"/>
        <w:widowControl w:val="0"/>
        <w:shd w:val="clear"/>
        <w:kinsoku/>
        <w:wordWrap/>
        <w:overflowPunct/>
        <w:topLinePunct w:val="0"/>
        <w:autoSpaceDE/>
        <w:autoSpaceDN/>
        <w:bidi w:val="0"/>
        <w:spacing w:line="480" w:lineRule="exact"/>
        <w:ind w:firstLine="480" w:firstLineChars="200"/>
        <w:textAlignment w:val="auto"/>
        <w:rPr>
          <w:rFonts w:hint="eastAsia" w:ascii="仿宋" w:hAnsi="仿宋" w:eastAsia="仿宋"/>
          <w:color w:val="000000" w:themeColor="text1"/>
          <w:sz w:val="24"/>
          <w:szCs w:val="24"/>
          <w:highlight w:val="none"/>
          <w14:textFill>
            <w14:solidFill>
              <w14:schemeClr w14:val="tx1"/>
            </w14:solidFill>
          </w14:textFill>
        </w:rPr>
      </w:pPr>
      <w:bookmarkStart w:id="6" w:name="_Toc1967"/>
      <w:r>
        <w:rPr>
          <w:rFonts w:hint="default" w:ascii="Times New Roman" w:hAnsi="Times New Roman" w:eastAsia="方正仿宋_GBK" w:cs="Times New Roman"/>
          <w:b w:val="0"/>
          <w:color w:val="000000" w:themeColor="text1"/>
          <w:kern w:val="2"/>
          <w:sz w:val="24"/>
          <w:szCs w:val="24"/>
          <w:highlight w:val="none"/>
          <w:lang w:val="en-US" w:eastAsia="zh-CN" w:bidi="ar-SA"/>
          <w14:textFill>
            <w14:solidFill>
              <w14:schemeClr w14:val="tx1"/>
            </w14:solidFill>
          </w14:textFill>
        </w:rPr>
        <w:t>银行贷款。</w:t>
      </w:r>
    </w:p>
    <w:p>
      <w:pPr>
        <w:pStyle w:val="4"/>
        <w:pageBreakBefore w:val="0"/>
        <w:widowControl w:val="0"/>
        <w:shd w:val="clear"/>
        <w:kinsoku/>
        <w:wordWrap/>
        <w:overflowPunct/>
        <w:topLinePunct w:val="0"/>
        <w:autoSpaceDE/>
        <w:autoSpaceDN/>
        <w:bidi w:val="0"/>
        <w:spacing w:line="48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三、投标人资格要求</w:t>
      </w:r>
      <w:bookmarkEnd w:id="6"/>
    </w:p>
    <w:p>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eastAsia" w:ascii="Times New Roman" w:hAnsi="Times New Roman" w:eastAsia="方正仿宋_GBK" w:cs="Times New Roman"/>
          <w:color w:val="000000" w:themeColor="text1"/>
          <w:sz w:val="24"/>
          <w:szCs w:val="24"/>
          <w:highlight w:val="none"/>
          <w:lang w:eastAsia="zh-CN"/>
          <w14:textFill>
            <w14:solidFill>
              <w14:schemeClr w14:val="tx1"/>
            </w14:solidFill>
          </w14:textFill>
        </w:rPr>
        <w:t>（一）投标人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是指向采购人提供服务或者货物的法人、其他组织或者自然人。合格的</w:t>
      </w:r>
      <w:r>
        <w:rPr>
          <w:rFonts w:hint="eastAsia"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应首先符合政府采购法第二十二条规定的基本资格条件，同时符合根据该项目特殊要求设置的特定资格条件。</w:t>
      </w:r>
    </w:p>
    <w:p>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具有独立承担民事责任的能力；</w:t>
      </w:r>
    </w:p>
    <w:p>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2</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具有良好的商业信誉和健全的财务会计制度；</w:t>
      </w:r>
    </w:p>
    <w:p>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3</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具有履行合同所必需的设备和专业技术能力；</w:t>
      </w:r>
    </w:p>
    <w:p>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4</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有依法缴纳税收和社会保障资金的良好记录；</w:t>
      </w:r>
    </w:p>
    <w:p>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5</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参加政府采购活动前三年内，在经营活动中没有重大违法记录；</w:t>
      </w:r>
    </w:p>
    <w:p>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6</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法律、行政法规规定的其他条件。</w:t>
      </w:r>
    </w:p>
    <w:p>
      <w:pPr>
        <w:pageBreakBefore w:val="0"/>
        <w:widowControl w:val="0"/>
        <w:numPr>
          <w:ilvl w:val="0"/>
          <w:numId w:val="0"/>
        </w:numPr>
        <w:shd w:val="clear"/>
        <w:kinsoku/>
        <w:wordWrap/>
        <w:overflowPunct/>
        <w:topLinePunct w:val="0"/>
        <w:autoSpaceDE/>
        <w:autoSpaceDN/>
        <w:bidi w:val="0"/>
        <w:spacing w:line="48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（二）</w:t>
      </w:r>
      <w:r>
        <w:rPr>
          <w:rFonts w:hint="eastAsia" w:ascii="仿宋" w:hAnsi="仿宋" w:eastAsia="仿宋" w:cs="仿宋"/>
          <w:color w:val="000000" w:themeColor="text1"/>
          <w:sz w:val="24"/>
          <w:szCs w:val="24"/>
          <w:highlight w:val="none"/>
          <w14:textFill>
            <w14:solidFill>
              <w14:schemeClr w14:val="tx1"/>
            </w14:solidFill>
          </w14:textFill>
        </w:rPr>
        <w:t>本项目的特定资格条件</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Times New Roman"/>
          <w:color w:val="000000" w:themeColor="text1"/>
          <w:sz w:val="24"/>
          <w:szCs w:val="24"/>
          <w:highlight w:val="none"/>
          <w:u w:val="none"/>
          <w:lang w:val="en-US" w:eastAsia="zh-CN"/>
          <w14:textFill>
            <w14:solidFill>
              <w14:schemeClr w14:val="tx1"/>
            </w14:solidFill>
          </w14:textFill>
        </w:rPr>
      </w:pPr>
      <w:bookmarkStart w:id="7" w:name="_Toc18589"/>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（1）须在中华人民共和国境内依法设立，具有独立法人资格和私募基金管理资质。</w:t>
      </w:r>
      <w:r>
        <w:rPr>
          <w:rFonts w:hint="eastAsia" w:ascii="Times New Roman" w:hAnsi="Times New Roman" w:eastAsia="方正仿宋_GBK" w:cs="Times New Roman"/>
          <w:color w:val="000000" w:themeColor="text1"/>
          <w:sz w:val="24"/>
          <w:szCs w:val="24"/>
          <w:highlight w:val="none"/>
          <w:u w:val="none"/>
          <w:lang w:val="en-US" w:eastAsia="zh-CN"/>
          <w14:textFill>
            <w14:solidFill>
              <w14:schemeClr w14:val="tx1"/>
            </w14:solidFill>
          </w14:textFill>
        </w:rPr>
        <w:t>备注：提供相应资质、工商登记信息等佐证资料。</w:t>
      </w:r>
    </w:p>
    <w:p>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w:t>
      </w:r>
      <w:r>
        <w:rPr>
          <w:rFonts w:hint="eastAsia" w:eastAsia="方正仿宋_GBK"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）近3年无重大过失导致行政主管机关或司法机关处罚的不良记录。（备注：出具承诺函，格式自拟）</w:t>
      </w:r>
    </w:p>
    <w:p>
      <w:pPr>
        <w:pStyle w:val="4"/>
        <w:pageBreakBefore w:val="0"/>
        <w:widowControl w:val="0"/>
        <w:shd w:val="clear"/>
        <w:kinsoku/>
        <w:wordWrap/>
        <w:overflowPunct/>
        <w:topLinePunct w:val="0"/>
        <w:autoSpaceDE/>
        <w:autoSpaceDN/>
        <w:bidi w:val="0"/>
        <w:spacing w:line="48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四、投标、开标有关说明</w:t>
      </w:r>
      <w:bookmarkEnd w:id="7"/>
    </w:p>
    <w:p>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Times New Roman"/>
          <w:color w:val="000000" w:themeColor="text1"/>
          <w:sz w:val="24"/>
          <w:szCs w:val="24"/>
          <w:highlight w:val="none"/>
          <w:u w:val="none"/>
          <w:lang w:val="en-US" w:eastAsia="zh-CN"/>
          <w14:textFill>
            <w14:solidFill>
              <w14:schemeClr w14:val="tx1"/>
            </w14:solidFill>
          </w14:textFill>
        </w:rPr>
      </w:pPr>
      <w:bookmarkStart w:id="8" w:name="_Toc76715369"/>
      <w:r>
        <w:rPr>
          <w:rFonts w:hint="eastAsia" w:ascii="Times New Roman" w:hAnsi="Times New Roman" w:eastAsia="方正仿宋_GBK" w:cs="Times New Roman"/>
          <w:color w:val="000000" w:themeColor="text1"/>
          <w:sz w:val="24"/>
          <w:szCs w:val="24"/>
          <w:highlight w:val="none"/>
          <w:u w:val="none"/>
          <w:lang w:val="en-US" w:eastAsia="zh-CN"/>
          <w14:textFill>
            <w14:solidFill>
              <w14:schemeClr w14:val="tx1"/>
            </w14:solidFill>
          </w14:textFill>
        </w:rPr>
        <w:t>（一）投标人应通过行采家（https://www.gec123.com/）登记加入“行采家供应商库”。</w:t>
      </w:r>
    </w:p>
    <w:p>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Times New Roman"/>
          <w:color w:val="000000" w:themeColor="text1"/>
          <w:sz w:val="24"/>
          <w:szCs w:val="24"/>
          <w:highlight w:val="none"/>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highlight w:val="none"/>
          <w:u w:val="none"/>
          <w:lang w:val="en-US" w:eastAsia="zh-CN"/>
          <w14:textFill>
            <w14:solidFill>
              <w14:schemeClr w14:val="tx1"/>
            </w14:solidFill>
          </w14:textFill>
        </w:rPr>
        <w:t>（二）凡有意参加投标的投标人，请登陆“行采家”→“个人中心”→“电子招投标”→“电子投标在线报名”处→搜索该项目并点击“在线获取”按钮。完成本项目招标文件以及图纸、澄清等开标前公布的所有项目资料（本次招标不提供纸质版招标文件）的获取和下载，无论投标人下载或获取与否，均视为已知晓所有招标内容。</w:t>
      </w:r>
    </w:p>
    <w:p>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Times New Roman"/>
          <w:color w:val="000000" w:themeColor="text1"/>
          <w:sz w:val="24"/>
          <w:szCs w:val="24"/>
          <w:highlight w:val="none"/>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highlight w:val="none"/>
          <w:u w:val="none"/>
          <w:lang w:val="en-US" w:eastAsia="zh-CN"/>
          <w14:textFill>
            <w14:solidFill>
              <w14:schemeClr w14:val="tx1"/>
            </w14:solidFill>
          </w14:textFill>
        </w:rPr>
        <w:t>（三）招标公告所附招标文件仅供阅览使用，投标人只有登陆“行采家”→“个人中心”→“电子招投标”→在“电子投标在线报名”处→搜索该项目并点击“在线获取”按钮完成网上获取采购文件，投标人才被视为合法获取了采购文件，否则其投标将被拒绝。即：若投标人未通过以上获取采购文件流程完成采购文件的下载、获取，投标人将无法在电子招投标系统中上传电子投标文件。</w:t>
      </w:r>
    </w:p>
    <w:p>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Times New Roman"/>
          <w:color w:val="000000" w:themeColor="text1"/>
          <w:sz w:val="24"/>
          <w:szCs w:val="24"/>
          <w:highlight w:val="none"/>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highlight w:val="none"/>
          <w:u w:val="none"/>
          <w:lang w:val="en-US" w:eastAsia="zh-CN"/>
          <w14:textFill>
            <w14:solidFill>
              <w14:schemeClr w14:val="tx1"/>
            </w14:solidFill>
          </w14:textFill>
        </w:rPr>
        <w:t>注意事项：本项目为垫江县属国有企业采购电子招投标项目，首次参与电子招投标的投标人须申请行采家账号密码、办理CA证书（办理CA证书费用由供应商自行承担）并下载大家采投标文件制作系统，制作电子投标文件进行互联网在线投标，具体操作流程请下载项目公告附件《采购公告附件（行采家供应商必看手册）24-3版》进行查看。因未注册行采家账号、未办理CA证书、操作不当等原因造成无法投标或投标失败的后果由投标人自行承担。</w:t>
      </w:r>
    </w:p>
    <w:p>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Times New Roman"/>
          <w:color w:val="000000" w:themeColor="text1"/>
          <w:sz w:val="24"/>
          <w:szCs w:val="24"/>
          <w:highlight w:val="none"/>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highlight w:val="none"/>
          <w:u w:val="none"/>
          <w:lang w:val="en-US" w:eastAsia="zh-CN"/>
          <w14:textFill>
            <w14:solidFill>
              <w14:schemeClr w14:val="tx1"/>
            </w14:solidFill>
          </w14:textFill>
        </w:rPr>
        <w:t>1.CA证书的办理流程：下载采购公告附件《采购公告附件（行采家供应商必看手册）24-3版》-《重庆政府采购（兼用行采家）全程电子化招标采购CA办理手册》，并按照要求操作。</w:t>
      </w:r>
    </w:p>
    <w:p>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Times New Roman"/>
          <w:color w:val="000000" w:themeColor="text1"/>
          <w:sz w:val="24"/>
          <w:szCs w:val="24"/>
          <w:highlight w:val="none"/>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highlight w:val="none"/>
          <w:u w:val="none"/>
          <w:lang w:val="en-US" w:eastAsia="zh-CN"/>
          <w14:textFill>
            <w14:solidFill>
              <w14:schemeClr w14:val="tx1"/>
            </w14:solidFill>
          </w14:textFill>
        </w:rPr>
        <w:t>2.电子投标文件制作：登录“行采家”→“个人中心”→“电子招投标”→“电子招投标中心”→“相关下载”栏目，下载“大家采投标文件制作工具”、“统一签章客户端” 安装包，并按照《采购公告附件（行采家供应商必看手册）24-3版》-《【供应商必看】行采家（CA版）供应商投标前软件安装手册》、《行采家全程电子化操作手册-供应商(CA证书解密版)》操作。</w:t>
      </w:r>
    </w:p>
    <w:p>
      <w:pPr>
        <w:pageBreakBefore w:val="0"/>
        <w:widowControl w:val="0"/>
        <w:shd w:val="clear"/>
        <w:kinsoku/>
        <w:wordWrap/>
        <w:overflowPunct/>
        <w:topLinePunct w:val="0"/>
        <w:autoSpaceDE/>
        <w:autoSpaceDN/>
        <w:bidi w:val="0"/>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（四）招标文件公告期限：自采购公告发布之日起五个工作日。</w:t>
      </w:r>
    </w:p>
    <w:p>
      <w:pPr>
        <w:pageBreakBefore w:val="0"/>
        <w:widowControl w:val="0"/>
        <w:shd w:val="clear"/>
        <w:kinsoku/>
        <w:wordWrap/>
        <w:overflowPunct/>
        <w:topLinePunct w:val="0"/>
        <w:autoSpaceDE/>
        <w:autoSpaceDN/>
        <w:bidi w:val="0"/>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（五）招标文件获取期限及招标文件售价</w:t>
      </w:r>
    </w:p>
    <w:p>
      <w:pPr>
        <w:pageBreakBefore w:val="0"/>
        <w:widowControl w:val="0"/>
        <w:shd w:val="clear"/>
        <w:kinsoku/>
        <w:wordWrap/>
        <w:overflowPunct/>
        <w:topLinePunct w:val="0"/>
        <w:autoSpaceDE/>
        <w:autoSpaceDN/>
        <w:bidi w:val="0"/>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1.招标文件获取期限：202</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6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9</w:t>
      </w:r>
      <w:r>
        <w:rPr>
          <w:rFonts w:hint="eastAsia" w:ascii="仿宋" w:hAnsi="仿宋" w:eastAsia="仿宋" w:cs="仿宋"/>
          <w:color w:val="000000" w:themeColor="text1"/>
          <w:sz w:val="24"/>
          <w:szCs w:val="24"/>
          <w:highlight w:val="none"/>
          <w14:textFill>
            <w14:solidFill>
              <w14:schemeClr w14:val="tx1"/>
            </w14:solidFill>
          </w14:textFill>
        </w:rPr>
        <w:t>日至202</w:t>
      </w:r>
      <w:r>
        <w:rPr>
          <w:rFonts w:hint="default" w:ascii="仿宋" w:hAnsi="仿宋" w:eastAsia="仿宋" w:cs="仿宋"/>
          <w:color w:val="000000" w:themeColor="text1"/>
          <w:sz w:val="24"/>
          <w:szCs w:val="24"/>
          <w:highlight w:val="none"/>
          <w:lang w:val="en-US"/>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6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30 </w:t>
      </w:r>
      <w:r>
        <w:rPr>
          <w:rFonts w:hint="eastAsia" w:ascii="仿宋" w:hAnsi="仿宋" w:eastAsia="仿宋" w:cs="仿宋"/>
          <w:color w:val="000000" w:themeColor="text1"/>
          <w:sz w:val="24"/>
          <w:szCs w:val="24"/>
          <w:highlight w:val="none"/>
          <w14:textFill>
            <w14:solidFill>
              <w14:schemeClr w14:val="tx1"/>
            </w14:solidFill>
          </w14:textFill>
        </w:rPr>
        <w:t>日。</w:t>
      </w:r>
    </w:p>
    <w:p>
      <w:pPr>
        <w:pageBreakBefore w:val="0"/>
        <w:widowControl w:val="0"/>
        <w:shd w:val="clear"/>
        <w:kinsoku/>
        <w:wordWrap/>
        <w:overflowPunct/>
        <w:topLinePunct w:val="0"/>
        <w:autoSpaceDE/>
        <w:autoSpaceDN/>
        <w:bidi w:val="0"/>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2.招标文件阅览：详见本项目招标公告的附件。</w:t>
      </w:r>
    </w:p>
    <w:p>
      <w:pPr>
        <w:pageBreakBefore w:val="0"/>
        <w:widowControl w:val="0"/>
        <w:shd w:val="clear"/>
        <w:kinsoku/>
        <w:wordWrap/>
        <w:overflowPunct/>
        <w:topLinePunct w:val="0"/>
        <w:autoSpaceDE/>
        <w:autoSpaceDN/>
        <w:bidi w:val="0"/>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3.招标文件售价：人民币0.00元/包。</w:t>
      </w:r>
    </w:p>
    <w:p>
      <w:pPr>
        <w:pageBreakBefore w:val="0"/>
        <w:widowControl w:val="0"/>
        <w:shd w:val="clear"/>
        <w:kinsoku/>
        <w:wordWrap/>
        <w:overflowPunct/>
        <w:topLinePunct w:val="0"/>
        <w:autoSpaceDE/>
        <w:autoSpaceDN/>
        <w:bidi w:val="0"/>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（六）电子投标文件递交</w:t>
      </w:r>
    </w:p>
    <w:p>
      <w:pPr>
        <w:pageBreakBefore w:val="0"/>
        <w:widowControl w:val="0"/>
        <w:shd w:val="clear"/>
        <w:kinsoku/>
        <w:wordWrap/>
        <w:overflowPunct/>
        <w:topLinePunct w:val="0"/>
        <w:autoSpaceDE/>
        <w:autoSpaceDN/>
        <w:bidi w:val="0"/>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1.电子投标文件递交方式：本项目采用网上递交方式，投标人于电子投标文件递交截止时间前，登录“行采家”，进入“电子招投标”栏目，在“我的投标项目”→“在线投标”板块递交。</w:t>
      </w:r>
    </w:p>
    <w:p>
      <w:pPr>
        <w:pageBreakBefore w:val="0"/>
        <w:widowControl w:val="0"/>
        <w:shd w:val="clear"/>
        <w:kinsoku/>
        <w:wordWrap/>
        <w:overflowPunct/>
        <w:topLinePunct w:val="0"/>
        <w:autoSpaceDE/>
        <w:autoSpaceDN/>
        <w:bidi w:val="0"/>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电子投标文件截止时间：202</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6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30 </w:t>
      </w:r>
      <w:r>
        <w:rPr>
          <w:rFonts w:hint="eastAsia" w:ascii="仿宋" w:hAnsi="仿宋" w:eastAsia="仿宋" w:cs="仿宋"/>
          <w:color w:val="000000" w:themeColor="text1"/>
          <w:sz w:val="24"/>
          <w:szCs w:val="24"/>
          <w:highlight w:val="none"/>
          <w14:textFill>
            <w14:solidFill>
              <w14:schemeClr w14:val="tx1"/>
            </w14:solidFill>
          </w14:textFill>
        </w:rPr>
        <w:t>日北京时间</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0:00（以电子招投标平台显示的时间为准，其他时间不接受任何形式的送达）。</w:t>
      </w:r>
    </w:p>
    <w:p>
      <w:pPr>
        <w:pageBreakBefore w:val="0"/>
        <w:widowControl w:val="0"/>
        <w:shd w:val="clear"/>
        <w:kinsoku/>
        <w:wordWrap/>
        <w:overflowPunct/>
        <w:topLinePunct w:val="0"/>
        <w:autoSpaceDE/>
        <w:autoSpaceDN/>
        <w:bidi w:val="0"/>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（七）开标信息</w:t>
      </w:r>
    </w:p>
    <w:p>
      <w:pPr>
        <w:pageBreakBefore w:val="0"/>
        <w:widowControl w:val="0"/>
        <w:shd w:val="clear"/>
        <w:kinsoku/>
        <w:wordWrap/>
        <w:overflowPunct/>
        <w:topLinePunct w:val="0"/>
        <w:autoSpaceDE/>
        <w:autoSpaceDN/>
        <w:bidi w:val="0"/>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1.开标时间：202</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6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30</w:t>
      </w:r>
      <w:r>
        <w:rPr>
          <w:rFonts w:hint="eastAsia" w:ascii="仿宋" w:hAnsi="仿宋" w:eastAsia="仿宋" w:cs="仿宋"/>
          <w:color w:val="000000" w:themeColor="text1"/>
          <w:sz w:val="24"/>
          <w:szCs w:val="24"/>
          <w:highlight w:val="none"/>
          <w14:textFill>
            <w14:solidFill>
              <w14:schemeClr w14:val="tx1"/>
            </w14:solidFill>
          </w14:textFill>
        </w:rPr>
        <w:t>日北京时间</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0:00</w:t>
      </w:r>
      <w:bookmarkStart w:id="102" w:name="_GoBack"/>
      <w:bookmarkEnd w:id="102"/>
    </w:p>
    <w:p>
      <w:pPr>
        <w:pageBreakBefore w:val="0"/>
        <w:widowControl w:val="0"/>
        <w:shd w:val="clear"/>
        <w:kinsoku/>
        <w:wordWrap/>
        <w:overflowPunct/>
        <w:topLinePunct w:val="0"/>
        <w:autoSpaceDE/>
        <w:autoSpaceDN/>
        <w:bidi w:val="0"/>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开标方式：本项目采用网上在线开标方式，投标人的法定代表人或其授权代表须持CA证书和可以上网的电脑（用于在线开标的电脑必须带有摄像头和麦克风、声卡等功能），于规定的开标时间前30分钟登录“行采家”→“个人中心”→“电子招投标”→“ 开评标大厅”，进入电子开标室完成在线准备。开标开始后投标人须根据采购代理机构引导在电子开标室完成电子投标文件解密、查看开标一览汇总表等工作。</w:t>
      </w:r>
    </w:p>
    <w:p>
      <w:pPr>
        <w:pageBreakBefore w:val="0"/>
        <w:widowControl w:val="0"/>
        <w:shd w:val="clear"/>
        <w:kinsoku/>
        <w:wordWrap/>
        <w:overflowPunct/>
        <w:topLinePunct w:val="0"/>
        <w:autoSpaceDE/>
        <w:autoSpaceDN/>
        <w:bidi w:val="0"/>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投标人的法定代表人或其授权代表也可以持CA证书和可以无线上网的笔记本电脑（用于在线开标的笔记本电脑必须带有摄像头和麦克风、声卡、等功能）、无线网卡于开标时间前，到达线下指定开标地点（</w:t>
      </w:r>
      <w:r>
        <w:rPr>
          <w:rFonts w:hint="eastAsia" w:ascii="仿宋" w:hAnsi="仿宋" w:eastAsia="仿宋" w:cs="仿宋"/>
          <w:color w:val="000000" w:themeColor="text1"/>
          <w:sz w:val="24"/>
          <w:szCs w:val="24"/>
          <w:highlight w:val="none"/>
          <w:lang w:eastAsia="zh-CN"/>
          <w14:textFill>
            <w14:solidFill>
              <w14:schemeClr w14:val="tx1"/>
            </w14:solidFill>
          </w14:textFill>
        </w:rPr>
        <w:t>地址：</w:t>
      </w:r>
      <w:r>
        <w:rPr>
          <w:rFonts w:hint="eastAsia" w:ascii="仿宋" w:hAnsi="仿宋" w:eastAsia="仿宋" w:cs="仿宋"/>
          <w:color w:val="000000" w:themeColor="text1"/>
          <w:sz w:val="24"/>
          <w:szCs w:val="24"/>
          <w:highlight w:val="none"/>
          <w:lang w:val="en-US" w:eastAsia="zh-CN"/>
          <w14:textFill>
            <w14:solidFill>
              <w14:schemeClr w14:val="tx1"/>
            </w14:solidFill>
          </w14:textFill>
        </w:rPr>
        <w:t>xxxxx</w:t>
      </w:r>
      <w:r>
        <w:rPr>
          <w:rFonts w:hint="eastAsia" w:ascii="仿宋" w:hAnsi="仿宋" w:eastAsia="仿宋" w:cs="仿宋"/>
          <w:color w:val="000000" w:themeColor="text1"/>
          <w:sz w:val="24"/>
          <w:szCs w:val="24"/>
          <w:highlight w:val="none"/>
          <w14:textFill>
            <w14:solidFill>
              <w14:schemeClr w14:val="tx1"/>
            </w14:solidFill>
          </w14:textFill>
        </w:rPr>
        <w:t>）参加在线开标。投标人线下持对应设备到线下指定开标地点参与在线开标都是由投标人主观自行决定。因投标人自身原因导致未能在规定时间内解密电子投标文件或参与在线开标的，其后果由投标人自行承担。</w:t>
      </w:r>
    </w:p>
    <w:p>
      <w:pPr>
        <w:pageBreakBefore w:val="0"/>
        <w:widowControl w:val="0"/>
        <w:shd w:val="clear"/>
        <w:kinsoku/>
        <w:wordWrap/>
        <w:overflowPunct/>
        <w:topLinePunct w:val="0"/>
        <w:autoSpaceDE/>
        <w:autoSpaceDN/>
        <w:bidi w:val="0"/>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电子招投标系统开标时间前的半个小时是供应商自主在线准备环节时间（是否在线准备由供应商主观决定，在线准备环节意义在于提前测试CA证书与当前电脑设备运行环境是否正常），在线准备环节不具备签到意义特此声明。</w:t>
      </w:r>
    </w:p>
    <w:p>
      <w:pPr>
        <w:pageBreakBefore w:val="0"/>
        <w:widowControl w:val="0"/>
        <w:shd w:val="clear"/>
        <w:kinsoku/>
        <w:wordWrap/>
        <w:overflowPunct/>
        <w:topLinePunct w:val="0"/>
        <w:autoSpaceDE/>
        <w:autoSpaceDN/>
        <w:bidi w:val="0"/>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（八）其他补充事宜</w:t>
      </w:r>
    </w:p>
    <w:p>
      <w:pPr>
        <w:pageBreakBefore w:val="0"/>
        <w:widowControl w:val="0"/>
        <w:shd w:val="clear"/>
        <w:kinsoku/>
        <w:wordWrap/>
        <w:overflowPunct/>
        <w:topLinePunct w:val="0"/>
        <w:autoSpaceDE/>
        <w:autoSpaceDN/>
        <w:bidi w:val="0"/>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投标人如未在规定解密时长（系统默认30分钟解密时长，采购人/采购代理机构可根据现场投标情况进行延长/变更解密时长）内解密电子投标文件的情形约定：</w:t>
      </w:r>
    </w:p>
    <w:p>
      <w:pPr>
        <w:pageBreakBefore w:val="0"/>
        <w:widowControl w:val="0"/>
        <w:shd w:val="clear"/>
        <w:kinsoku/>
        <w:wordWrap/>
        <w:overflowPunct/>
        <w:topLinePunct w:val="0"/>
        <w:autoSpaceDE/>
        <w:autoSpaceDN/>
        <w:bidi w:val="0"/>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因行采家全程电子化系统客观原因影响解密时长的，采购人/采购代理机构可根据现场实际情况延长解密时长。投标人在仍不能正常解密的情况下，投标人可向采购人/采购代理机构申请，启用上传不加密的电子备份投标文件的方法作为补救措施；在规定的解密时长内，投标人既不解密，也未提供不加密的电子备份投标文件作为补救措施的，视为投标人主动放弃对该项目的投标资格。</w:t>
      </w:r>
    </w:p>
    <w:p>
      <w:pPr>
        <w:pageBreakBefore w:val="0"/>
        <w:widowControl w:val="0"/>
        <w:shd w:val="clear"/>
        <w:kinsoku/>
        <w:wordWrap/>
        <w:overflowPunct/>
        <w:topLinePunct w:val="0"/>
        <w:autoSpaceDE/>
        <w:autoSpaceDN/>
        <w:bidi w:val="0"/>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因投标人主观原因未完成解密工作的，且未在规定解密时长内向采购人/采购代理机构申请启用上传不加密的电子备份投标文件的方法作为补救措施或者已申请启用电子备份投标文件后仍不在规定解密时长内提供有效不加密的电子备份投标文件的情况，都视为投标人在递交电子投标文件截止时间后撤销电子投标文件，投标无效且投标人不得再参与本项目后续采购活动。</w:t>
      </w:r>
    </w:p>
    <w:p>
      <w:pPr>
        <w:pageBreakBefore w:val="0"/>
        <w:widowControl w:val="0"/>
        <w:shd w:val="clear"/>
        <w:kinsoku/>
        <w:wordWrap/>
        <w:overflowPunct/>
        <w:topLinePunct w:val="0"/>
        <w:autoSpaceDE/>
        <w:autoSpaceDN/>
        <w:bidi w:val="0"/>
        <w:spacing w:line="48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本项目采用全流程电子招投标。各投标人需熟悉了解整个垫江县属国有企业采购电子招投标项目开评标全过程。具体电子化采购规则以及操作指南请下载项目公告附件《采购公告附件（行采家供应商必看手册）24-3版》（《行采家全程电子化操作手册-供应商(CA证书解密版)》和《重庆政府采购（兼用行采家）全程电子化招标采购CA办理手册》、《【供应商必看】行采家（CA版）供应商投标前软件安装手册》），并按其对应手册要求完成操作。</w:t>
      </w:r>
    </w:p>
    <w:p>
      <w:pPr>
        <w:pStyle w:val="4"/>
        <w:pageBreakBefore w:val="0"/>
        <w:widowControl w:val="0"/>
        <w:shd w:val="clear"/>
        <w:kinsoku/>
        <w:wordWrap/>
        <w:overflowPunct/>
        <w:topLinePunct w:val="0"/>
        <w:autoSpaceDE/>
        <w:autoSpaceDN/>
        <w:bidi w:val="0"/>
        <w:spacing w:line="480" w:lineRule="exact"/>
        <w:ind w:firstLine="482" w:firstLineChars="200"/>
        <w:textAlignment w:val="auto"/>
        <w:rPr>
          <w:rFonts w:hint="default" w:ascii="仿宋" w:hAnsi="仿宋" w:eastAsia="仿宋" w:cs="仿宋"/>
          <w:b/>
          <w:color w:val="000000" w:themeColor="text1"/>
          <w:sz w:val="24"/>
          <w:highlight w:val="none"/>
          <w:lang w:val="en-US" w:eastAsia="zh-CN"/>
          <w14:textFill>
            <w14:solidFill>
              <w14:schemeClr w14:val="tx1"/>
            </w14:solidFill>
          </w14:textFill>
        </w:rPr>
      </w:pPr>
      <w:bookmarkStart w:id="9" w:name="_Toc3996"/>
      <w:bookmarkStart w:id="10" w:name="_Toc340"/>
      <w:r>
        <w:rPr>
          <w:rFonts w:hint="eastAsia" w:ascii="仿宋" w:hAnsi="仿宋" w:eastAsia="仿宋" w:cs="仿宋"/>
          <w:b/>
          <w:color w:val="000000" w:themeColor="text1"/>
          <w:sz w:val="24"/>
          <w:highlight w:val="none"/>
          <w14:textFill>
            <w14:solidFill>
              <w14:schemeClr w14:val="tx1"/>
            </w14:solidFill>
          </w14:textFill>
        </w:rPr>
        <w:t>五、投标保证金</w:t>
      </w:r>
      <w:bookmarkEnd w:id="8"/>
      <w:bookmarkEnd w:id="9"/>
      <w:bookmarkEnd w:id="10"/>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5万元</w:t>
      </w:r>
    </w:p>
    <w:p>
      <w:pPr>
        <w:pageBreakBefore w:val="0"/>
        <w:widowControl w:val="0"/>
        <w:kinsoku/>
        <w:wordWrap/>
        <w:overflowPunct/>
        <w:topLinePunct w:val="0"/>
        <w:autoSpaceDE/>
        <w:autoSpaceDN/>
        <w:bidi w:val="0"/>
        <w:adjustRightInd/>
        <w:snapToGrid w:val="0"/>
        <w:spacing w:line="400" w:lineRule="exact"/>
        <w:ind w:firstLine="562" w:firstLineChars="200"/>
        <w:textAlignment w:val="auto"/>
        <w:rPr>
          <w:rFonts w:hint="default" w:ascii="Times New Roman" w:hAnsi="Times New Roman" w:eastAsia="方正黑体_GBK" w:cs="Times New Roman"/>
          <w:b/>
          <w:color w:val="000000" w:themeColor="text1"/>
          <w:kern w:val="0"/>
          <w:szCs w:val="28"/>
          <w:highlight w:val="none"/>
          <w14:textFill>
            <w14:solidFill>
              <w14:schemeClr w14:val="tx1"/>
            </w14:solidFill>
          </w14:textFill>
        </w:rPr>
      </w:pPr>
      <w:bookmarkStart w:id="11" w:name="_Toc76715370"/>
      <w:bookmarkStart w:id="12" w:name="_Toc28198"/>
      <w:bookmarkStart w:id="13" w:name="_Toc11632"/>
      <w:r>
        <w:rPr>
          <w:rFonts w:hint="default" w:ascii="Times New Roman" w:hAnsi="Times New Roman" w:eastAsia="方正黑体_GBK" w:cs="Times New Roman"/>
          <w:b/>
          <w:color w:val="000000" w:themeColor="text1"/>
          <w:kern w:val="0"/>
          <w:szCs w:val="28"/>
          <w:highlight w:val="none"/>
          <w14:textFill>
            <w14:solidFill>
              <w14:schemeClr w14:val="tx1"/>
            </w14:solidFill>
          </w14:textFill>
        </w:rPr>
        <w:t>提示：投标保证金的缴纳由投标人自行选择以下两种方式之一。]</w:t>
      </w:r>
    </w:p>
    <w:p>
      <w:pPr>
        <w:pageBreakBefore w:val="0"/>
        <w:widowControl w:val="0"/>
        <w:kinsoku/>
        <w:wordWrap/>
        <w:overflowPunct/>
        <w:topLinePunct w:val="0"/>
        <w:autoSpaceDE/>
        <w:autoSpaceDN/>
        <w:bidi w:val="0"/>
        <w:adjustRightInd/>
        <w:spacing w:line="400" w:lineRule="exact"/>
        <w:ind w:firstLine="482" w:firstLineChars="200"/>
        <w:textAlignment w:val="auto"/>
        <w:rPr>
          <w:rFonts w:hint="eastAsia" w:ascii="Times New Roman" w:hAnsi="Times New Roman" w:eastAsia="方正仿宋_GBK"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方式一</w:t>
      </w:r>
      <w:r>
        <w:rPr>
          <w:rFonts w:hint="eastAsia" w:ascii="Times New Roman" w:hAnsi="Times New Roman" w:eastAsia="方正仿宋_GBK" w:cs="Times New Roman"/>
          <w:b/>
          <w:bCs/>
          <w:color w:val="000000" w:themeColor="text1"/>
          <w:sz w:val="24"/>
          <w:szCs w:val="24"/>
          <w:highlight w:val="none"/>
          <w:lang w:val="en-US" w:eastAsia="zh-CN"/>
          <w14:textFill>
            <w14:solidFill>
              <w14:schemeClr w14:val="tx1"/>
            </w14:solidFill>
          </w14:textFill>
        </w:rPr>
        <w:t>:</w:t>
      </w:r>
    </w:p>
    <w:p>
      <w:pPr>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（一）投标保证金账户：</w:t>
      </w:r>
    </w:p>
    <w:tbl>
      <w:tblPr>
        <w:tblStyle w:val="57"/>
        <w:tblW w:w="7458" w:type="dxa"/>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355" w:type="dxa"/>
            <w:noWrap w:val="0"/>
            <w:vAlign w:val="center"/>
          </w:tcPr>
          <w:p>
            <w:pPr>
              <w:snapToGrid w:val="0"/>
              <w:spacing w:line="400" w:lineRule="exact"/>
              <w:ind w:firstLine="480" w:firstLineChars="200"/>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户  名</w:t>
            </w:r>
          </w:p>
        </w:tc>
        <w:tc>
          <w:tcPr>
            <w:tcW w:w="5103" w:type="dxa"/>
            <w:noWrap w:val="0"/>
            <w:vAlign w:val="top"/>
          </w:tcPr>
          <w:p>
            <w:pPr>
              <w:snapToGrid w:val="0"/>
              <w:spacing w:line="400" w:lineRule="exact"/>
              <w:ind w:firstLine="480" w:firstLineChars="200"/>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垫江县公共资源交易中心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355" w:type="dxa"/>
            <w:vMerge w:val="restart"/>
            <w:noWrap w:val="0"/>
            <w:vAlign w:val="center"/>
          </w:tcPr>
          <w:p>
            <w:pPr>
              <w:snapToGrid w:val="0"/>
              <w:spacing w:line="400" w:lineRule="exact"/>
              <w:ind w:firstLine="480" w:firstLineChars="200"/>
              <w:jc w:val="both"/>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开户行</w:t>
            </w:r>
          </w:p>
          <w:p>
            <w:pPr>
              <w:snapToGrid w:val="0"/>
              <w:spacing w:line="400" w:lineRule="exact"/>
              <w:jc w:val="center"/>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帐号（任选其一）</w:t>
            </w:r>
          </w:p>
        </w:tc>
        <w:tc>
          <w:tcPr>
            <w:tcW w:w="5103" w:type="dxa"/>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银行名称:重庆银行股份有限公司垫江支行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银行账号:820101040000584-100029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2355" w:type="dxa"/>
            <w:vMerge w:val="continue"/>
            <w:noWrap w:val="0"/>
            <w:vAlign w:val="center"/>
          </w:tcPr>
          <w:p>
            <w:pPr>
              <w:snapToGrid w:val="0"/>
              <w:spacing w:line="400" w:lineRule="exact"/>
              <w:ind w:firstLine="480" w:firstLineChars="200"/>
              <w:rPr>
                <w:rFonts w:hint="default" w:ascii="Times New Roman" w:hAnsi="Times New Roman" w:eastAsia="仿宋" w:cs="Times New Roman"/>
                <w:color w:val="000000" w:themeColor="text1"/>
                <w:sz w:val="24"/>
                <w:szCs w:val="24"/>
                <w:highlight w:val="none"/>
                <w14:textFill>
                  <w14:solidFill>
                    <w14:schemeClr w14:val="tx1"/>
                  </w14:solidFill>
                </w14:textFill>
              </w:rPr>
            </w:pPr>
          </w:p>
        </w:tc>
        <w:tc>
          <w:tcPr>
            <w:tcW w:w="5103" w:type="dxa"/>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银行名称:中国银行垫江支行营业部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银行账号:111646884122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2355" w:type="dxa"/>
            <w:vMerge w:val="continue"/>
            <w:noWrap w:val="0"/>
            <w:vAlign w:val="center"/>
          </w:tcPr>
          <w:p>
            <w:pPr>
              <w:snapToGrid w:val="0"/>
              <w:spacing w:line="400" w:lineRule="exact"/>
              <w:ind w:firstLine="480" w:firstLineChars="200"/>
              <w:rPr>
                <w:rFonts w:hint="default" w:ascii="Times New Roman" w:hAnsi="Times New Roman" w:eastAsia="仿宋" w:cs="Times New Roman"/>
                <w:color w:val="000000" w:themeColor="text1"/>
                <w:sz w:val="24"/>
                <w:szCs w:val="24"/>
                <w:highlight w:val="none"/>
                <w14:textFill>
                  <w14:solidFill>
                    <w14:schemeClr w14:val="tx1"/>
                  </w14:solidFill>
                </w14:textFill>
              </w:rPr>
            </w:pPr>
          </w:p>
        </w:tc>
        <w:tc>
          <w:tcPr>
            <w:tcW w:w="5103" w:type="dxa"/>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银行名称:重庆农村商业银行垫江支行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银行账号:2501010120010009065-000098</w:t>
            </w:r>
          </w:p>
        </w:tc>
      </w:tr>
    </w:tbl>
    <w:p>
      <w:pPr>
        <w:snapToGrid w:val="0"/>
        <w:spacing w:line="400" w:lineRule="exact"/>
        <w:ind w:firstLine="480" w:firstLineChars="200"/>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（二）缴纳方式</w:t>
      </w:r>
    </w:p>
    <w:p>
      <w:pPr>
        <w:snapToGrid w:val="0"/>
        <w:spacing w:line="400" w:lineRule="exact"/>
        <w:ind w:firstLine="480" w:firstLineChars="200"/>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1.网银缴纳：开通网上银行（基本存款账户）支付功能的，直接通过网上银行（基本存款账户）支付方式缴纳投标保证金。</w:t>
      </w:r>
    </w:p>
    <w:p>
      <w:pPr>
        <w:snapToGrid w:val="0"/>
        <w:spacing w:line="400" w:lineRule="exact"/>
        <w:ind w:firstLine="480" w:firstLineChars="200"/>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2.银行转账：未开通网上银行的投标人，通过从企业基本存款账户转账的方式缴纳。</w:t>
      </w:r>
    </w:p>
    <w:p>
      <w:pPr>
        <w:snapToGrid w:val="0"/>
        <w:spacing w:line="400" w:lineRule="exact"/>
        <w:ind w:firstLine="480" w:firstLineChars="200"/>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（三）投标保证金到账截止时间为本项目投标截止时间。</w:t>
      </w:r>
    </w:p>
    <w:p>
      <w:pPr>
        <w:snapToGrid w:val="0"/>
        <w:spacing w:line="400" w:lineRule="exact"/>
        <w:ind w:firstLine="480" w:firstLineChars="200"/>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注意事项：</w:t>
      </w:r>
    </w:p>
    <w:p>
      <w:pPr>
        <w:snapToGrid w:val="0"/>
        <w:spacing w:line="400" w:lineRule="exact"/>
        <w:ind w:firstLine="480" w:firstLineChars="200"/>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1.投标保证金必须从投标人基本存款账户转出（投标人按第七篇格式要求提供基本存款账户开户许可证复印件、投标保证金回单复印件等资料，评标委员会或采购据此认定其投标保证金是否从投标人基本存款账户转出）。</w:t>
      </w:r>
    </w:p>
    <w:p>
      <w:pPr>
        <w:snapToGrid w:val="0"/>
        <w:spacing w:line="400" w:lineRule="exact"/>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000000" w:themeColor="text1"/>
          <w:sz w:val="24"/>
          <w:szCs w:val="24"/>
          <w:highlight w:val="none"/>
          <w14:textFill>
            <w14:solidFill>
              <w14:schemeClr w14:val="tx1"/>
            </w14:solidFill>
          </w14:textFill>
        </w:rPr>
        <w:t>2.投标人自行考虑汇入时间风险</w:t>
      </w:r>
      <w:r>
        <w:rPr>
          <w:rFonts w:hint="default" w:ascii="Times New Roman" w:hAnsi="Times New Roman" w:eastAsia="仿宋" w:cs="Times New Roman"/>
          <w:color w:val="auto"/>
          <w:sz w:val="24"/>
          <w:szCs w:val="24"/>
          <w:highlight w:val="none"/>
        </w:rPr>
        <w:t>，如异地汇入、跨行汇入的时间要求，到帐时间以银行到帐时间为准。</w:t>
      </w:r>
    </w:p>
    <w:p>
      <w:pPr>
        <w:snapToGrid w:val="0"/>
        <w:spacing w:line="400" w:lineRule="exact"/>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3.注意区分缴纳保证金的账户、账号</w:t>
      </w:r>
      <w:r>
        <w:rPr>
          <w:rFonts w:hint="eastAsia"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应按照指定的账户账号对应缴入。</w:t>
      </w:r>
    </w:p>
    <w:p>
      <w:pPr>
        <w:snapToGrid w:val="0"/>
        <w:spacing w:line="400" w:lineRule="exact"/>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4.如本项目投标截止时间延期，投标保证金缴纳截止时间也相应顺延，已经缴纳的投标保证金不予提前退还，按“投标保证金的退还”条款进行退还或处理。</w:t>
      </w:r>
    </w:p>
    <w:p>
      <w:pPr>
        <w:snapToGrid w:val="0"/>
        <w:spacing w:line="400" w:lineRule="exact"/>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5.投标人应仔细阅读采购文件中有关投标保证金的内容，并按采购文件要求的时限、金额和指定的账户账号等信息缴纳投标保证金。未按要求缴纳投标保证金而影响对其投标保证金到账认定和退还的，由投标人自行承担。</w:t>
      </w:r>
    </w:p>
    <w:p>
      <w:pPr>
        <w:snapToGrid w:val="0"/>
        <w:spacing w:line="400" w:lineRule="exact"/>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(四)保证金退还</w:t>
      </w:r>
    </w:p>
    <w:p>
      <w:pPr>
        <w:snapToGrid w:val="0"/>
        <w:spacing w:line="400" w:lineRule="exact"/>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所有进入“投标保证金指定收取账户”的资金，包括投标截止时间延期、投标人未按要求缴纳、缴入账户错误、缴纳金额错误、多次缴入的投标保证金（或其它资金）等，在本项目开标前均不予退还，开标后按下列情况进行退还或处理（特殊退还除外）：</w:t>
      </w:r>
    </w:p>
    <w:p>
      <w:pPr>
        <w:snapToGrid w:val="0"/>
        <w:spacing w:line="400" w:lineRule="exact"/>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应退还的保证金，退还至原进账账户。</w:t>
      </w:r>
    </w:p>
    <w:p>
      <w:pPr>
        <w:snapToGrid w:val="0"/>
        <w:spacing w:line="400" w:lineRule="exact"/>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1.未中标人的保证金。在成交通知书发出之日起5个工作日内退还。</w:t>
      </w:r>
    </w:p>
    <w:p>
      <w:pPr>
        <w:snapToGrid w:val="0"/>
        <w:spacing w:line="400" w:lineRule="exact"/>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 xml:space="preserve">2.中标人（中标候选人）的保证金。中标候选人与业主签订书面合同之日起5个工作日内退还中标人（中标候选人）的保证金。 </w:t>
      </w:r>
    </w:p>
    <w:p>
      <w:pPr>
        <w:snapToGrid w:val="0"/>
        <w:spacing w:line="400" w:lineRule="exact"/>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3.流标项目的保证金。公示期满后，无质疑、投诉、举报的情况下5个工作日内退还。</w:t>
      </w:r>
    </w:p>
    <w:p>
      <w:pPr>
        <w:snapToGrid w:val="0"/>
        <w:spacing w:line="400" w:lineRule="exact"/>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4.有质疑、投诉、举报等情况的保证金，根据受理的行政部门出具的处理意见进行处理。</w:t>
      </w:r>
    </w:p>
    <w:p>
      <w:pPr>
        <w:snapToGrid w:val="0"/>
        <w:spacing w:line="400" w:lineRule="exact"/>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5.若投标人发生采购文件规定不予退还保证金情形的，其保证金不予退还。</w:t>
      </w:r>
    </w:p>
    <w:p>
      <w:pPr>
        <w:snapToGrid w:val="0"/>
        <w:spacing w:line="400" w:lineRule="exact"/>
        <w:ind w:firstLine="482" w:firstLineChars="200"/>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方式二：</w:t>
      </w:r>
    </w:p>
    <w:p>
      <w:pPr>
        <w:snapToGrid w:val="0"/>
        <w:spacing w:line="400" w:lineRule="exact"/>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（一）投标保证金的交纳</w:t>
      </w:r>
    </w:p>
    <w:p>
      <w:pPr>
        <w:snapToGrid w:val="0"/>
        <w:spacing w:line="400" w:lineRule="exact"/>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 投标保证金交纳形式及要求：</w:t>
      </w:r>
    </w:p>
    <w:p>
      <w:pPr>
        <w:snapToGrid w:val="0"/>
        <w:spacing w:line="400" w:lineRule="exact"/>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（1）缴纳形式：投标人提供见索即付的银行保函；</w:t>
      </w:r>
    </w:p>
    <w:p>
      <w:pPr>
        <w:snapToGrid w:val="0"/>
        <w:spacing w:line="400" w:lineRule="exact"/>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具体要求：投标人须在投标文件银行保函部分提供银行开具的银行保函正本复印件，银行保函正本原件随其他要求提供的原件一并放入原件袋中，在递交投标文件时一次性递交。退还原件袋时，银行保函正本原件不退还，由招标人保管。银行保函应至少体现如下内容：①担保项目必须为投标人所投子项目；②受益人必须为本项目招标人；③保函担保金额必须满足投标人所投子项目要求；④保函生效时间必须在投标截止时间前，有效期限必须至少包含整个投标有效期。否则，银行保函无效。投标人的投标文件由评标委员会作否决投标处理。</w:t>
      </w:r>
    </w:p>
    <w:p>
      <w:pPr>
        <w:snapToGrid w:val="0"/>
        <w:spacing w:line="400" w:lineRule="exact"/>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 投标人提供的银行保函不得有弄虚作假行为，否则一经招标人核实，将上报行政主管部门按照相关法律法规处理。同时，取消其中标资格，影响评标结果的将按照招标文件规定由评标委员会重新确定评标结果。投标人自行提供银行保函开具银行的核实地点、方式和联系人，在中标公示期间，招标人可对投标人保函的真伪进行查询。各投标人在开具银行保函时，须确保银行保函开具银行开具的银行保函能在重庆市主城区（区县项目应在重庆市主城区或项目所在区县）各相关银行中核实其真伪，否则其银行保函无效。银行保函开具银行应能对开具的银行保函出具核实意见，若出现银行不予核实的情况，视为其银行保函无效。</w:t>
      </w:r>
    </w:p>
    <w:p>
      <w:pPr>
        <w:snapToGrid w:val="0"/>
        <w:spacing w:line="400" w:lineRule="exact"/>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（二）银行保函的退还、注销</w:t>
      </w:r>
    </w:p>
    <w:p>
      <w:pPr>
        <w:snapToGrid w:val="0"/>
        <w:spacing w:line="400" w:lineRule="exact"/>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招标人应当在法定时间内确定中标人，向中标人发出中标通知书，同时向除中标候选人以外的其他投标人退还银行保函正本并书面通知相关银行本项目准予提前注销银行保函。具体银行保函注销事宜由投标人与银行协商。</w:t>
      </w:r>
    </w:p>
    <w:p>
      <w:pPr>
        <w:snapToGrid w:val="0"/>
        <w:spacing w:line="400" w:lineRule="exact"/>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招标人应在法定时间内和中标人签订合同，并同时书面通知相关银行向中标人和其他中标候选人注销银行保函。具体银行保函注销事宜由投标人与银行协商。</w:t>
      </w:r>
    </w:p>
    <w:p>
      <w:pPr>
        <w:pStyle w:val="4"/>
        <w:pageBreakBefore w:val="0"/>
        <w:widowControl w:val="0"/>
        <w:shd w:val="clear"/>
        <w:kinsoku/>
        <w:wordWrap/>
        <w:overflowPunct/>
        <w:topLinePunct w:val="0"/>
        <w:autoSpaceDE/>
        <w:autoSpaceDN/>
        <w:bidi w:val="0"/>
        <w:spacing w:line="480" w:lineRule="exact"/>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w:t>
      </w:r>
      <w:bookmarkEnd w:id="11"/>
      <w:r>
        <w:rPr>
          <w:rFonts w:hint="eastAsia" w:ascii="仿宋" w:hAnsi="仿宋" w:eastAsia="仿宋" w:cs="仿宋"/>
          <w:b/>
          <w:color w:val="auto"/>
          <w:sz w:val="24"/>
          <w:szCs w:val="22"/>
          <w:highlight w:val="none"/>
        </w:rPr>
        <w:t>采购项目需落实政策</w:t>
      </w:r>
      <w:bookmarkEnd w:id="12"/>
      <w:bookmarkEnd w:id="13"/>
    </w:p>
    <w:p>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参照</w:t>
      </w:r>
      <w:r>
        <w:rPr>
          <w:rFonts w:hint="eastAsia" w:ascii="仿宋" w:hAnsi="仿宋" w:eastAsia="仿宋" w:cs="仿宋"/>
          <w:color w:val="auto"/>
          <w:sz w:val="24"/>
          <w:szCs w:val="24"/>
          <w:highlight w:val="none"/>
        </w:rPr>
        <w:t>《财政部 生态环境部关于印发环境标志产品政府采购品目清单的通知》（财库〔2019〕18号）和《财政部 发展改革委关于印发节能产品政府采购品目清单的通知》（财库〔2019〕19号）的规定，落实国家节能环保政策。</w:t>
      </w:r>
    </w:p>
    <w:p>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参照</w:t>
      </w:r>
      <w:r>
        <w:rPr>
          <w:rFonts w:hint="eastAsia" w:ascii="仿宋" w:hAnsi="仿宋" w:eastAsia="仿宋" w:cs="仿宋"/>
          <w:color w:val="auto"/>
          <w:sz w:val="24"/>
          <w:szCs w:val="24"/>
          <w:highlight w:val="none"/>
        </w:rPr>
        <w:t>《财政部 工业和信息化部关于印发&lt;政府采购促进中小企业发展管理办法&gt;的通知》（财库〔2020〕46号）的规定，落实促进中小企业发展政策。</w:t>
      </w:r>
    </w:p>
    <w:p>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en-US" w:eastAsia="zh-CN"/>
        </w:rPr>
        <w:t>参照</w:t>
      </w:r>
      <w:r>
        <w:rPr>
          <w:rFonts w:hint="eastAsia" w:ascii="仿宋" w:hAnsi="仿宋" w:eastAsia="仿宋" w:cs="仿宋"/>
          <w:color w:val="auto"/>
          <w:sz w:val="24"/>
          <w:szCs w:val="24"/>
          <w:highlight w:val="none"/>
        </w:rPr>
        <w:t>《财政部、司法部关于政府采购支持监狱企业发展有关问题的通知》（财库〔2014〕68号）的规定，落实支持监狱企业发展政策。</w:t>
      </w:r>
    </w:p>
    <w:p>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val="en-US" w:eastAsia="zh-CN"/>
        </w:rPr>
        <w:t>参照</w:t>
      </w:r>
      <w:r>
        <w:rPr>
          <w:rFonts w:hint="eastAsia" w:ascii="仿宋" w:hAnsi="仿宋" w:eastAsia="仿宋" w:cs="仿宋"/>
          <w:color w:val="auto"/>
          <w:sz w:val="24"/>
          <w:szCs w:val="24"/>
          <w:highlight w:val="none"/>
        </w:rPr>
        <w:t>《三部门联合发布关于促进残疾人就业政府采购政策的通知》（财库〔2017〕 141号）的规定，落实支持残疾人福利性单位发展政策。</w:t>
      </w:r>
    </w:p>
    <w:p>
      <w:pPr>
        <w:pStyle w:val="4"/>
        <w:pageBreakBefore w:val="0"/>
        <w:widowControl w:val="0"/>
        <w:shd w:val="clear"/>
        <w:kinsoku/>
        <w:wordWrap/>
        <w:overflowPunct/>
        <w:topLinePunct w:val="0"/>
        <w:autoSpaceDE/>
        <w:autoSpaceDN/>
        <w:bidi w:val="0"/>
        <w:spacing w:line="480" w:lineRule="exact"/>
        <w:ind w:firstLine="482" w:firstLineChars="200"/>
        <w:textAlignment w:val="auto"/>
        <w:rPr>
          <w:rFonts w:hint="eastAsia" w:ascii="仿宋" w:hAnsi="仿宋" w:eastAsia="仿宋" w:cs="仿宋"/>
          <w:b/>
          <w:color w:val="auto"/>
          <w:sz w:val="24"/>
          <w:highlight w:val="none"/>
        </w:rPr>
      </w:pPr>
      <w:bookmarkStart w:id="14" w:name="_Toc3955"/>
      <w:bookmarkStart w:id="15" w:name="_Toc76715371"/>
      <w:bookmarkStart w:id="16" w:name="_Toc1782"/>
      <w:r>
        <w:rPr>
          <w:rFonts w:hint="eastAsia" w:ascii="仿宋" w:hAnsi="仿宋" w:eastAsia="仿宋" w:cs="仿宋"/>
          <w:b/>
          <w:color w:val="auto"/>
          <w:sz w:val="24"/>
          <w:highlight w:val="none"/>
        </w:rPr>
        <w:t>七、投标有关规定</w:t>
      </w:r>
      <w:bookmarkEnd w:id="14"/>
      <w:bookmarkEnd w:id="15"/>
      <w:bookmarkEnd w:id="16"/>
    </w:p>
    <w:p>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（一）单位负责人为同一人或者存在直接控股、管理关系的不同投标人，不得参加同一合同项（分包）下的企业采购活动。</w:t>
      </w:r>
    </w:p>
    <w:p>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（二）为采购项目提供整体设计、规范编制或者项目管理、监理、检测等服务的投标人，不得再参加该采购项目的其他采购活动。</w:t>
      </w:r>
    </w:p>
    <w:p>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（三）本项目若有澄清文件一律在</w:t>
      </w:r>
      <w:r>
        <w:rPr>
          <w:rFonts w:hint="eastAsia" w:ascii="仿宋" w:hAnsi="仿宋" w:eastAsia="仿宋" w:cs="仿宋"/>
          <w:color w:val="auto"/>
          <w:sz w:val="24"/>
          <w:szCs w:val="24"/>
          <w:highlight w:val="none"/>
          <w:lang w:val="en-US" w:eastAsia="zh-CN"/>
        </w:rPr>
        <w:t>垫江县国企数字化</w:t>
      </w:r>
      <w:r>
        <w:rPr>
          <w:rFonts w:hint="eastAsia" w:ascii="仿宋" w:hAnsi="仿宋" w:eastAsia="仿宋" w:cs="仿宋"/>
          <w:color w:val="auto"/>
          <w:sz w:val="24"/>
          <w:szCs w:val="24"/>
          <w:highlight w:val="none"/>
        </w:rPr>
        <w:t>采购平台（</w:t>
      </w:r>
      <w:r>
        <w:rPr>
          <w:rFonts w:hint="eastAsia" w:ascii="仿宋" w:hAnsi="仿宋" w:eastAsia="仿宋" w:cs="仿宋"/>
          <w:color w:val="auto"/>
          <w:sz w:val="24"/>
          <w:szCs w:val="24"/>
          <w:highlight w:val="none"/>
          <w:lang w:val="en-US" w:eastAsia="zh-CN"/>
        </w:rPr>
        <w:t>https://djxgzw.gec123.com/</w:t>
      </w:r>
      <w:r>
        <w:rPr>
          <w:rFonts w:hint="eastAsia" w:ascii="仿宋" w:hAnsi="仿宋" w:eastAsia="仿宋" w:cs="仿宋"/>
          <w:color w:val="auto"/>
          <w:sz w:val="24"/>
          <w:szCs w:val="24"/>
          <w:highlight w:val="none"/>
        </w:rPr>
        <w:t>）、行采家（https://www.gec123.com）和重庆市公共资源交易网（</w:t>
      </w:r>
      <w:r>
        <w:rPr>
          <w:rFonts w:hint="eastAsia" w:ascii="仿宋" w:hAnsi="仿宋" w:eastAsia="仿宋" w:cs="仿宋"/>
          <w:color w:val="auto"/>
          <w:sz w:val="24"/>
          <w:szCs w:val="24"/>
          <w:highlight w:val="none"/>
          <w:lang w:val="en-US" w:eastAsia="zh-CN"/>
        </w:rPr>
        <w:t>垫江县</w:t>
      </w:r>
      <w:r>
        <w:rPr>
          <w:rFonts w:hint="eastAsia" w:ascii="仿宋" w:hAnsi="仿宋" w:eastAsia="仿宋" w:cs="仿宋"/>
          <w:color w:val="auto"/>
          <w:sz w:val="24"/>
          <w:szCs w:val="24"/>
          <w:highlight w:val="none"/>
        </w:rPr>
        <w:t>）（https://www.cqggzy.com/dianjiangweb/）上发布，请各投标人注意下载；无论投标人下载与否，均视同投标人已知晓本项目补遗文件的内容。</w:t>
      </w:r>
    </w:p>
    <w:p>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（四）超过电子投标文件递交截止时间递交的电子投标文件，恕不接收。</w:t>
      </w:r>
    </w:p>
    <w:p>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（五）投标费用：无论投标结果如何，投标人参与本项目投标的所有费用均应由投标人自行承担。</w:t>
      </w:r>
    </w:p>
    <w:p>
      <w:pPr>
        <w:pageBreakBefore w:val="0"/>
        <w:widowControl w:val="0"/>
        <w:shd w:val="clear"/>
        <w:kinsoku/>
        <w:wordWrap/>
        <w:overflowPunct/>
        <w:topLinePunct w:val="0"/>
        <w:autoSpaceDE/>
        <w:autoSpaceDN/>
        <w:bidi w:val="0"/>
        <w:snapToGrid w:val="0"/>
        <w:spacing w:line="48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（六）本项目不接受联合体参与投标，否则按无效投标处理。</w:t>
      </w:r>
    </w:p>
    <w:p>
      <w:pPr>
        <w:pageBreakBefore w:val="0"/>
        <w:widowControl w:val="0"/>
        <w:shd w:val="clear"/>
        <w:kinsoku/>
        <w:wordWrap/>
        <w:overflowPunct/>
        <w:topLinePunct w:val="0"/>
        <w:autoSpaceDE/>
        <w:autoSpaceDN/>
        <w:bidi w:val="0"/>
        <w:snapToGrid w:val="0"/>
        <w:spacing w:line="48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（七）本项目不接受合同分包，否则按无效投标处理。</w:t>
      </w:r>
    </w:p>
    <w:p>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参照《财政部关于在政府采购活动中查询及使用信用记录有关问题的通知》财库〔2016〕125号，投标人列入失信被执行人、重大税收违法案件当事人名单、政府采购严重违法失信行为记录名单及其他不符合规定条件的投标人，将拒绝其参与</w:t>
      </w:r>
      <w:r>
        <w:rPr>
          <w:rFonts w:hint="eastAsia" w:ascii="仿宋" w:hAnsi="仿宋" w:eastAsia="仿宋" w:cs="仿宋"/>
          <w:color w:val="auto"/>
          <w:sz w:val="24"/>
          <w:szCs w:val="24"/>
          <w:highlight w:val="none"/>
          <w:lang w:val="en-US" w:eastAsia="zh-CN"/>
        </w:rPr>
        <w:t>企业</w:t>
      </w:r>
      <w:r>
        <w:rPr>
          <w:rFonts w:hint="eastAsia" w:ascii="仿宋" w:hAnsi="仿宋" w:eastAsia="仿宋" w:cs="仿宋"/>
          <w:color w:val="auto"/>
          <w:sz w:val="24"/>
          <w:szCs w:val="24"/>
          <w:highlight w:val="none"/>
        </w:rPr>
        <w:t xml:space="preserve">采购活动。  </w:t>
      </w:r>
    </w:p>
    <w:p>
      <w:pPr>
        <w:pStyle w:val="4"/>
        <w:pageBreakBefore w:val="0"/>
        <w:widowControl w:val="0"/>
        <w:shd w:val="clear"/>
        <w:kinsoku/>
        <w:wordWrap/>
        <w:overflowPunct/>
        <w:topLinePunct w:val="0"/>
        <w:autoSpaceDE/>
        <w:autoSpaceDN/>
        <w:bidi w:val="0"/>
        <w:spacing w:line="480" w:lineRule="exact"/>
        <w:ind w:firstLine="482" w:firstLineChars="200"/>
        <w:textAlignment w:val="auto"/>
        <w:rPr>
          <w:rFonts w:hint="eastAsia" w:ascii="仿宋" w:hAnsi="仿宋" w:eastAsia="仿宋"/>
          <w:b/>
          <w:sz w:val="24"/>
          <w:highlight w:val="none"/>
        </w:rPr>
      </w:pPr>
      <w:bookmarkStart w:id="17" w:name="_Toc4314"/>
      <w:r>
        <w:rPr>
          <w:rFonts w:hint="eastAsia" w:ascii="仿宋" w:hAnsi="仿宋" w:eastAsia="仿宋"/>
          <w:b/>
          <w:sz w:val="24"/>
          <w:highlight w:val="none"/>
          <w:lang w:eastAsia="zh-CN"/>
        </w:rPr>
        <w:t>八</w:t>
      </w:r>
      <w:r>
        <w:rPr>
          <w:rFonts w:hint="eastAsia" w:ascii="仿宋" w:hAnsi="仿宋" w:eastAsia="仿宋"/>
          <w:b/>
          <w:sz w:val="24"/>
          <w:highlight w:val="none"/>
        </w:rPr>
        <w:t>、联系方式</w:t>
      </w:r>
      <w:bookmarkEnd w:id="17"/>
    </w:p>
    <w:p>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default"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val="en-US" w:eastAsia="zh-CN"/>
        </w:rPr>
        <w:t>（一）</w:t>
      </w:r>
      <w:r>
        <w:rPr>
          <w:rFonts w:hint="default" w:ascii="Times New Roman" w:hAnsi="Times New Roman" w:eastAsia="方正仿宋_GBK" w:cs="Times New Roman"/>
          <w:color w:val="auto"/>
          <w:sz w:val="24"/>
          <w:szCs w:val="24"/>
          <w:highlight w:val="none"/>
        </w:rPr>
        <w:t>采购人：</w:t>
      </w:r>
      <w:r>
        <w:rPr>
          <w:rFonts w:hint="eastAsia" w:ascii="Times New Roman" w:hAnsi="Times New Roman" w:eastAsia="方正仿宋_GBK" w:cs="Times New Roman"/>
          <w:color w:val="auto"/>
          <w:sz w:val="24"/>
          <w:szCs w:val="24"/>
          <w:highlight w:val="none"/>
          <w:lang w:eastAsia="zh-CN"/>
        </w:rPr>
        <w:t>重庆垫江高新区开发投资集团有限公司</w:t>
      </w:r>
    </w:p>
    <w:p>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联系人：</w:t>
      </w:r>
      <w:r>
        <w:rPr>
          <w:rFonts w:hint="default" w:ascii="Times New Roman" w:hAnsi="Times New Roman" w:eastAsia="方正仿宋_GBK" w:cs="Times New Roman"/>
          <w:color w:val="auto"/>
          <w:sz w:val="24"/>
          <w:szCs w:val="24"/>
          <w:highlight w:val="none"/>
          <w:lang w:eastAsia="zh-CN"/>
        </w:rPr>
        <w:t>黄老师</w:t>
      </w: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电  话：</w:t>
      </w:r>
      <w:r>
        <w:rPr>
          <w:rFonts w:hint="default" w:ascii="Times New Roman" w:hAnsi="Times New Roman" w:eastAsia="方正仿宋_GBK" w:cs="Times New Roman"/>
          <w:color w:val="auto"/>
          <w:sz w:val="24"/>
          <w:szCs w:val="24"/>
          <w:highlight w:val="none"/>
          <w:lang w:eastAsia="zh-CN"/>
        </w:rPr>
        <w:t>023-74692498</w:t>
      </w:r>
      <w:r>
        <w:rPr>
          <w:rFonts w:hint="default" w:ascii="Times New Roman" w:hAnsi="Times New Roman" w:eastAsia="方正仿宋_GBK" w:cs="Times New Roman"/>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default" w:ascii="Times New Roman" w:hAnsi="Times New Roman" w:cs="Times New Roman"/>
          <w:color w:val="auto"/>
          <w:highlight w:val="none"/>
          <w:lang w:eastAsia="zh-CN"/>
        </w:rPr>
      </w:pPr>
      <w:r>
        <w:rPr>
          <w:rFonts w:hint="default" w:ascii="Times New Roman" w:hAnsi="Times New Roman" w:eastAsia="方正仿宋_GBK" w:cs="Times New Roman"/>
          <w:color w:val="auto"/>
          <w:kern w:val="2"/>
          <w:sz w:val="24"/>
          <w:szCs w:val="24"/>
          <w:highlight w:val="none"/>
          <w:lang w:val="en-US" w:eastAsia="zh-CN" w:bidi="ar-SA"/>
        </w:rPr>
        <w:t>地  址：</w:t>
      </w:r>
      <w:r>
        <w:rPr>
          <w:rFonts w:hint="default" w:ascii="Times New Roman" w:hAnsi="Times New Roman" w:eastAsia="方正仿宋_GBK" w:cs="Times New Roman"/>
          <w:color w:val="auto"/>
          <w:sz w:val="24"/>
          <w:szCs w:val="24"/>
          <w:highlight w:val="none"/>
          <w:lang w:eastAsia="zh-CN"/>
        </w:rPr>
        <w:t>重庆市垫江县桂阳街道朝阳路6号</w:t>
      </w:r>
      <w:r>
        <w:rPr>
          <w:rFonts w:hint="default" w:ascii="Times New Roman" w:hAnsi="Times New Roman" w:eastAsia="方正仿宋_GBK" w:cs="Times New Roman"/>
          <w:color w:val="auto"/>
          <w:sz w:val="24"/>
          <w:szCs w:val="24"/>
          <w:highlight w:val="none"/>
          <w:lang w:val="en-US" w:eastAsia="zh-CN"/>
        </w:rPr>
        <w:t xml:space="preserve"> </w:t>
      </w:r>
    </w:p>
    <w:p>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（二）采购代理机构：</w:t>
      </w:r>
      <w:r>
        <w:rPr>
          <w:rFonts w:hint="eastAsia" w:ascii="仿宋" w:hAnsi="仿宋" w:eastAsia="仿宋" w:cs="仿宋"/>
          <w:color w:val="auto"/>
          <w:sz w:val="24"/>
          <w:szCs w:val="24"/>
          <w:highlight w:val="none"/>
          <w:lang w:eastAsia="zh-CN"/>
        </w:rPr>
        <w:t>垫江县公共资源交易中心</w:t>
      </w:r>
    </w:p>
    <w:p>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 xml:space="preserve">陈老师   </w:t>
      </w:r>
    </w:p>
    <w:p>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74528661</w:t>
      </w:r>
    </w:p>
    <w:p>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址：垫江县南阳公园县级机关综合办公楼（二）2楼</w:t>
      </w:r>
    </w:p>
    <w:p>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（三）电子招投标系统技术指导：重庆港澳大家软件产业有限公司</w:t>
      </w:r>
    </w:p>
    <w:p>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客服联系电话：023-88158029（工作日）   18183107831（节假日）</w:t>
      </w:r>
    </w:p>
    <w:p>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（四）CA数字证书办理服务平台：</w:t>
      </w:r>
    </w:p>
    <w:p>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1、CA数字证书：网证通</w:t>
      </w:r>
    </w:p>
    <w:p>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联系人：刘娟</w:t>
      </w:r>
    </w:p>
    <w:p>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话：023-63010240（工作日）  18996098460（工作日）</w:t>
      </w:r>
    </w:p>
    <w:p>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2、CA数字证书：东方中讯数字证书认证有限公司</w:t>
      </w:r>
    </w:p>
    <w:p>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联系人：何晓伦</w:t>
      </w:r>
    </w:p>
    <w:p>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话：023-88257082（工作日）  13983787460   17623094654（节假日）</w:t>
      </w:r>
    </w:p>
    <w:p>
      <w:pPr>
        <w:shd w:val="clear"/>
        <w:snapToGrid w:val="0"/>
        <w:spacing w:line="400" w:lineRule="exact"/>
        <w:ind w:firstLine="480" w:firstLineChars="200"/>
        <w:rPr>
          <w:rFonts w:hint="eastAsia" w:ascii="仿宋" w:hAnsi="仿宋" w:eastAsia="仿宋" w:cs="仿宋"/>
          <w:sz w:val="24"/>
          <w:szCs w:val="24"/>
          <w:highlight w:val="none"/>
        </w:rPr>
      </w:pPr>
    </w:p>
    <w:p>
      <w:pPr>
        <w:pStyle w:val="3"/>
        <w:numPr>
          <w:ilvl w:val="0"/>
          <w:numId w:val="17"/>
        </w:numPr>
        <w:shd w:val="clear"/>
        <w:spacing w:before="0" w:beforeLines="0" w:after="0" w:afterLines="0" w:line="360" w:lineRule="auto"/>
        <w:rPr>
          <w:rFonts w:hint="eastAsia" w:ascii="仿宋" w:hAnsi="仿宋" w:eastAsia="仿宋" w:cs="仿宋"/>
          <w:b/>
          <w:highlight w:val="none"/>
        </w:rPr>
      </w:pPr>
      <w:r>
        <w:rPr>
          <w:rFonts w:hint="eastAsia" w:ascii="仿宋" w:hAnsi="仿宋" w:eastAsia="仿宋" w:cs="仿宋"/>
          <w:highlight w:val="none"/>
        </w:rPr>
        <w:br w:type="page"/>
      </w:r>
      <w:bookmarkStart w:id="18" w:name="_Toc23666"/>
      <w:bookmarkStart w:id="19" w:name="_Toc501008663"/>
      <w:r>
        <w:rPr>
          <w:rFonts w:hint="eastAsia" w:ascii="仿宋" w:hAnsi="仿宋" w:eastAsia="仿宋" w:cs="仿宋"/>
          <w:b/>
          <w:highlight w:val="none"/>
        </w:rPr>
        <w:t>项目服务内容及相关要求</w:t>
      </w:r>
      <w:bookmarkEnd w:id="18"/>
      <w:bookmarkEnd w:id="19"/>
    </w:p>
    <w:p>
      <w:pPr>
        <w:widowControl w:val="0"/>
        <w:numPr>
          <w:ilvl w:val="0"/>
          <w:numId w:val="0"/>
        </w:numPr>
        <w:jc w:val="both"/>
        <w:rPr>
          <w:rFonts w:hint="eastAsia"/>
          <w:highlight w:val="none"/>
        </w:rPr>
      </w:pPr>
    </w:p>
    <w:p>
      <w:pPr>
        <w:pageBreakBefore w:val="0"/>
        <w:widowControl w:val="0"/>
        <w:kinsoku/>
        <w:wordWrap/>
        <w:overflowPunct/>
        <w:topLinePunct w:val="0"/>
        <w:autoSpaceDE/>
        <w:autoSpaceDN/>
        <w:bidi w:val="0"/>
        <w:adjustRightInd/>
        <w:snapToGrid w:val="0"/>
        <w:spacing w:line="340" w:lineRule="exact"/>
        <w:ind w:firstLine="480" w:firstLineChars="200"/>
        <w:textAlignment w:val="auto"/>
        <w:outlineLvl w:val="2"/>
        <w:rPr>
          <w:rFonts w:hint="eastAsia" w:ascii="方正黑体_GBK" w:hAnsi="方正黑体_GBK" w:eastAsia="方正黑体_GBK" w:cs="方正黑体_GBK"/>
          <w:b w:val="0"/>
          <w:bCs w:val="0"/>
          <w:color w:val="auto"/>
          <w:sz w:val="24"/>
          <w:szCs w:val="24"/>
          <w:highlight w:val="none"/>
        </w:rPr>
      </w:pPr>
      <w:r>
        <w:rPr>
          <w:rFonts w:hint="eastAsia" w:ascii="方正黑体_GBK" w:hAnsi="方正黑体_GBK" w:eastAsia="方正黑体_GBK" w:cs="方正黑体_GBK"/>
          <w:b w:val="0"/>
          <w:bCs w:val="0"/>
          <w:color w:val="auto"/>
          <w:sz w:val="24"/>
          <w:szCs w:val="24"/>
          <w:highlight w:val="none"/>
        </w:rPr>
        <w:t>采购</w:t>
      </w:r>
      <w:r>
        <w:rPr>
          <w:rFonts w:hint="eastAsia" w:ascii="方正黑体_GBK" w:hAnsi="方正黑体_GBK" w:eastAsia="方正黑体_GBK" w:cs="方正黑体_GBK"/>
          <w:b w:val="0"/>
          <w:bCs w:val="0"/>
          <w:color w:val="auto"/>
          <w:sz w:val="24"/>
          <w:szCs w:val="24"/>
          <w:highlight w:val="none"/>
          <w:lang w:eastAsia="zh-CN"/>
        </w:rPr>
        <w:t>服务</w:t>
      </w:r>
      <w:r>
        <w:rPr>
          <w:rFonts w:hint="eastAsia" w:ascii="方正黑体_GBK" w:hAnsi="方正黑体_GBK" w:eastAsia="方正黑体_GBK" w:cs="方正黑体_GBK"/>
          <w:b w:val="0"/>
          <w:bCs w:val="0"/>
          <w:color w:val="auto"/>
          <w:sz w:val="24"/>
          <w:szCs w:val="24"/>
          <w:highlight w:val="none"/>
        </w:rPr>
        <w:t>需求</w:t>
      </w:r>
    </w:p>
    <w:p>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Lines="0" w:beforeAutospacing="0" w:after="0" w:afterLines="0" w:afterAutospacing="0" w:line="400" w:lineRule="exact"/>
        <w:ind w:right="0" w:firstLine="480" w:firstLineChars="200"/>
        <w:jc w:val="both"/>
        <w:textAlignment w:val="auto"/>
        <w:rPr>
          <w:rFonts w:hint="eastAsia" w:eastAsia="方正仿宋_GBK"/>
          <w:color w:val="000000"/>
          <w:sz w:val="24"/>
          <w:szCs w:val="24"/>
          <w:highlight w:val="none"/>
          <w:lang w:eastAsia="zh-CN"/>
        </w:rPr>
      </w:pPr>
      <w:r>
        <w:rPr>
          <w:rFonts w:hint="eastAsia" w:ascii="方正楷体_GBK" w:hAnsi="方正楷体_GBK" w:eastAsia="方正楷体_GBK" w:cs="方正楷体_GBK"/>
          <w:b w:val="0"/>
          <w:bCs w:val="0"/>
          <w:kern w:val="0"/>
          <w:sz w:val="24"/>
          <w:szCs w:val="24"/>
          <w:highlight w:val="none"/>
          <w:lang w:val="en-US" w:eastAsia="zh-CN" w:bidi="ar"/>
        </w:rPr>
        <w:t>（一）基金名字：</w:t>
      </w:r>
      <w:r>
        <w:rPr>
          <w:rFonts w:hint="eastAsia" w:ascii="方正仿宋_GBK" w:hAnsi="方正仿宋_GBK" w:eastAsia="方正仿宋_GBK" w:cs="方正仿宋_GBK"/>
          <w:kern w:val="0"/>
          <w:sz w:val="24"/>
          <w:szCs w:val="24"/>
          <w:highlight w:val="none"/>
          <w:lang w:val="en-US" w:eastAsia="zh-CN" w:bidi="ar"/>
        </w:rPr>
        <w:t>垫江县产业发展引导基金</w:t>
      </w:r>
      <w:r>
        <w:rPr>
          <w:rFonts w:hint="eastAsia" w:eastAsia="方正仿宋_GBK"/>
          <w:color w:val="000000"/>
          <w:sz w:val="24"/>
          <w:szCs w:val="24"/>
          <w:highlight w:val="none"/>
        </w:rPr>
        <w:t>（暂定名，以工商登记为准，以下简称“基金”）</w:t>
      </w:r>
      <w:r>
        <w:rPr>
          <w:rFonts w:hint="eastAsia" w:eastAsia="方正仿宋_GBK"/>
          <w:color w:val="000000"/>
          <w:sz w:val="24"/>
          <w:szCs w:val="24"/>
          <w:highlight w:val="none"/>
          <w:lang w:eastAsia="zh-CN"/>
        </w:rPr>
        <w:t>。</w:t>
      </w:r>
    </w:p>
    <w:p>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right="120" w:firstLine="480" w:firstLineChars="200"/>
        <w:jc w:val="both"/>
        <w:textAlignment w:val="auto"/>
        <w:rPr>
          <w:rFonts w:hint="eastAsia" w:ascii="方正楷体_GBK" w:hAnsi="方正楷体_GBK" w:eastAsia="方正楷体_GBK" w:cs="方正楷体_GBK"/>
          <w:b w:val="0"/>
          <w:bCs w:val="0"/>
          <w:kern w:val="0"/>
          <w:sz w:val="24"/>
          <w:szCs w:val="24"/>
          <w:highlight w:val="none"/>
          <w:lang w:val="en-US" w:eastAsia="zh-CN" w:bidi="ar"/>
        </w:rPr>
      </w:pPr>
      <w:r>
        <w:rPr>
          <w:rFonts w:hint="eastAsia" w:ascii="方正楷体_GBK" w:hAnsi="方正楷体_GBK" w:eastAsia="方正楷体_GBK" w:cs="方正楷体_GBK"/>
          <w:b w:val="0"/>
          <w:bCs w:val="0"/>
          <w:kern w:val="0"/>
          <w:sz w:val="24"/>
          <w:szCs w:val="24"/>
          <w:highlight w:val="none"/>
          <w:lang w:val="en-US" w:eastAsia="zh-CN" w:bidi="ar"/>
        </w:rPr>
        <w:t>（二）基金规模及基金来源</w:t>
      </w:r>
    </w:p>
    <w:p>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right="120" w:firstLine="482" w:firstLineChars="200"/>
        <w:jc w:val="both"/>
        <w:textAlignment w:val="auto"/>
        <w:rPr>
          <w:rFonts w:hint="default" w:ascii="Times New Roman" w:hAnsi="Times New Roman" w:eastAsia="方正仿宋_GBK" w:cs="Times New Roman"/>
          <w:kern w:val="0"/>
          <w:sz w:val="24"/>
          <w:szCs w:val="24"/>
          <w:highlight w:val="none"/>
          <w:lang w:val="en-US" w:eastAsia="zh-CN" w:bidi="ar"/>
        </w:rPr>
      </w:pPr>
      <w:r>
        <w:rPr>
          <w:rFonts w:hint="default" w:ascii="Times New Roman" w:hAnsi="Times New Roman" w:eastAsia="方正仿宋_GBK" w:cs="Times New Roman"/>
          <w:b/>
          <w:bCs/>
          <w:kern w:val="0"/>
          <w:sz w:val="24"/>
          <w:szCs w:val="24"/>
          <w:highlight w:val="none"/>
          <w:lang w:val="en-US" w:eastAsia="zh-CN" w:bidi="ar"/>
        </w:rPr>
        <w:t>1.基金规模。</w:t>
      </w:r>
      <w:r>
        <w:rPr>
          <w:rFonts w:hint="default" w:ascii="Times New Roman" w:hAnsi="Times New Roman" w:eastAsia="方正仿宋_GBK" w:cs="Times New Roman"/>
          <w:kern w:val="0"/>
          <w:sz w:val="24"/>
          <w:szCs w:val="24"/>
          <w:highlight w:val="none"/>
          <w:lang w:val="en-US" w:eastAsia="zh-CN" w:bidi="ar"/>
        </w:rPr>
        <w:t>基金总规模</w:t>
      </w:r>
      <w:r>
        <w:rPr>
          <w:rFonts w:hint="eastAsia" w:ascii="Times New Roman" w:hAnsi="Times New Roman" w:eastAsia="方正仿宋_GBK" w:cs="Times New Roman"/>
          <w:kern w:val="0"/>
          <w:sz w:val="24"/>
          <w:szCs w:val="24"/>
          <w:highlight w:val="none"/>
          <w:lang w:val="en-US" w:eastAsia="zh-CN" w:bidi="ar"/>
        </w:rPr>
        <w:t>10.01</w:t>
      </w:r>
      <w:r>
        <w:rPr>
          <w:rFonts w:hint="default" w:ascii="Times New Roman" w:hAnsi="Times New Roman" w:eastAsia="方正仿宋_GBK" w:cs="Times New Roman"/>
          <w:kern w:val="0"/>
          <w:sz w:val="24"/>
          <w:szCs w:val="24"/>
          <w:highlight w:val="none"/>
          <w:lang w:val="en-US" w:eastAsia="zh-CN" w:bidi="ar"/>
        </w:rPr>
        <w:t>亿元，自备案通过之日起设募集期</w:t>
      </w:r>
      <w:r>
        <w:rPr>
          <w:rFonts w:hint="eastAsia" w:ascii="Times New Roman" w:hAnsi="Times New Roman" w:eastAsia="方正仿宋_GBK" w:cs="Times New Roman"/>
          <w:kern w:val="0"/>
          <w:sz w:val="24"/>
          <w:szCs w:val="24"/>
          <w:highlight w:val="none"/>
          <w:lang w:val="en-US" w:eastAsia="zh-CN" w:bidi="ar"/>
        </w:rPr>
        <w:t>1</w:t>
      </w:r>
      <w:r>
        <w:rPr>
          <w:rFonts w:hint="default" w:ascii="Times New Roman" w:hAnsi="Times New Roman" w:eastAsia="方正仿宋_GBK" w:cs="Times New Roman"/>
          <w:kern w:val="0"/>
          <w:sz w:val="24"/>
          <w:szCs w:val="24"/>
          <w:highlight w:val="none"/>
          <w:lang w:val="en-US" w:eastAsia="zh-CN" w:bidi="ar"/>
        </w:rPr>
        <w:t>年</w:t>
      </w:r>
      <w:r>
        <w:rPr>
          <w:rFonts w:hint="eastAsia" w:ascii="Times New Roman" w:hAnsi="Times New Roman" w:eastAsia="方正仿宋_GBK" w:cs="Times New Roman"/>
          <w:kern w:val="0"/>
          <w:sz w:val="24"/>
          <w:szCs w:val="24"/>
          <w:highlight w:val="none"/>
          <w:lang w:val="en-US" w:eastAsia="zh-CN" w:bidi="ar"/>
        </w:rPr>
        <w: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firstLine="482" w:firstLineChars="200"/>
        <w:textAlignment w:val="auto"/>
        <w:rPr>
          <w:rFonts w:hint="eastAsia" w:ascii="Times New Roman" w:hAnsi="Times New Roman" w:eastAsia="方正仿宋_GBK" w:cs="Times New Roman"/>
          <w:kern w:val="0"/>
          <w:sz w:val="24"/>
          <w:szCs w:val="24"/>
          <w:highlight w:val="none"/>
          <w:lang w:val="en-US" w:eastAsia="zh-CN" w:bidi="ar"/>
        </w:rPr>
      </w:pPr>
      <w:r>
        <w:rPr>
          <w:rFonts w:hint="default" w:ascii="Times New Roman" w:hAnsi="Times New Roman" w:eastAsia="方正仿宋_GBK" w:cs="Times New Roman"/>
          <w:b/>
          <w:bCs/>
          <w:kern w:val="0"/>
          <w:sz w:val="24"/>
          <w:szCs w:val="24"/>
          <w:highlight w:val="none"/>
          <w:lang w:val="en-US" w:eastAsia="zh-CN" w:bidi="ar"/>
        </w:rPr>
        <w:t>2.基金来源。</w:t>
      </w:r>
      <w:r>
        <w:rPr>
          <w:rFonts w:hint="eastAsia" w:ascii="Times New Roman" w:hAnsi="Times New Roman" w:eastAsia="方正仿宋_GBK" w:cs="Times New Roman"/>
          <w:kern w:val="0"/>
          <w:sz w:val="24"/>
          <w:szCs w:val="24"/>
          <w:highlight w:val="none"/>
          <w:u w:val="none"/>
          <w:lang w:val="en-US" w:eastAsia="zh-CN" w:bidi="ar"/>
        </w:rPr>
        <w:t>由垫江高投集团出资，</w:t>
      </w:r>
      <w:r>
        <w:rPr>
          <w:rFonts w:hint="eastAsia" w:ascii="Times New Roman" w:hAnsi="Times New Roman" w:eastAsia="方正仿宋_GBK" w:cs="Times New Roman"/>
          <w:kern w:val="0"/>
          <w:sz w:val="24"/>
          <w:szCs w:val="24"/>
          <w:highlight w:val="none"/>
          <w:lang w:val="en-US" w:eastAsia="zh-CN" w:bidi="ar"/>
        </w:rPr>
        <w:t>与其他社会资本共同设立“有限合伙制”形式私募基金。基金管理人认缴出资0.01亿元、高投集团认缴出资4亿元，其他国有企业或社会资本方认缴出资6亿元。基金管理人负责募集资金比例不低于</w:t>
      </w:r>
      <w:r>
        <w:rPr>
          <w:rFonts w:hint="eastAsia" w:ascii="Times New Roman" w:hAnsi="Times New Roman" w:eastAsia="方正仿宋_GBK" w:cs="Times New Roman"/>
          <w:strike w:val="0"/>
          <w:dstrike w:val="0"/>
          <w:kern w:val="0"/>
          <w:sz w:val="24"/>
          <w:szCs w:val="24"/>
          <w:highlight w:val="none"/>
          <w:lang w:val="en-US" w:eastAsia="zh-CN" w:bidi="ar"/>
        </w:rPr>
        <w:t>60%。</w:t>
      </w:r>
      <w:r>
        <w:rPr>
          <w:rFonts w:hint="eastAsia" w:ascii="Times New Roman" w:hAnsi="Times New Roman" w:eastAsia="方正仿宋_GBK" w:cs="Times New Roman"/>
          <w:kern w:val="0"/>
          <w:sz w:val="24"/>
          <w:szCs w:val="24"/>
          <w:highlight w:val="none"/>
          <w:lang w:val="en-US" w:eastAsia="zh-CN" w:bidi="ar"/>
        </w:rPr>
        <w:t>基金按2亿元、3亿元、3亿元、2亿元分四期实缴，上一期出资的投资金额达到本期实缴出资额的80%时，进行下一期的实缴。</w:t>
      </w:r>
    </w:p>
    <w:p>
      <w:pPr>
        <w:pStyle w:val="5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119" w:right="119" w:firstLine="480" w:firstLineChars="200"/>
        <w:textAlignment w:val="auto"/>
        <w:rPr>
          <w:rFonts w:hint="eastAsia" w:ascii="Times New Roman" w:hAnsi="Times New Roman" w:eastAsia="方正仿宋_GBK" w:cs="Times New Roman"/>
          <w:b w:val="0"/>
          <w:bCs w:val="0"/>
          <w:kern w:val="0"/>
          <w:sz w:val="24"/>
          <w:szCs w:val="24"/>
          <w:highlight w:val="none"/>
          <w:u w:val="none"/>
          <w:lang w:val="en-US" w:eastAsia="zh-CN" w:bidi="ar"/>
        </w:rPr>
      </w:pPr>
      <w:r>
        <w:rPr>
          <w:rFonts w:hint="eastAsia" w:ascii="方正楷体_GBK" w:hAnsi="方正楷体_GBK" w:eastAsia="方正楷体_GBK" w:cs="方正楷体_GBK"/>
          <w:b w:val="0"/>
          <w:bCs w:val="0"/>
          <w:kern w:val="0"/>
          <w:sz w:val="24"/>
          <w:szCs w:val="24"/>
          <w:highlight w:val="none"/>
          <w:lang w:val="en-US" w:eastAsia="zh-CN" w:bidi="ar"/>
        </w:rPr>
        <w:t>（</w:t>
      </w:r>
      <w:r>
        <w:rPr>
          <w:rFonts w:hint="eastAsia" w:ascii="方正楷体_GBK" w:hAnsi="方正楷体_GBK" w:eastAsia="方正楷体_GBK" w:cs="方正楷体_GBK"/>
          <w:b w:val="0"/>
          <w:bCs w:val="0"/>
          <w:color w:val="auto"/>
          <w:kern w:val="0"/>
          <w:sz w:val="24"/>
          <w:szCs w:val="24"/>
          <w:highlight w:val="none"/>
          <w:lang w:val="en-US" w:eastAsia="zh-CN" w:bidi="ar"/>
        </w:rPr>
        <w:t>三）基金投资方向。</w:t>
      </w:r>
      <w:r>
        <w:rPr>
          <w:rFonts w:hint="default" w:ascii="Times New Roman" w:hAnsi="Times New Roman" w:eastAsia="方正仿宋_GBK" w:cs="Times New Roman"/>
          <w:kern w:val="0"/>
          <w:sz w:val="24"/>
          <w:szCs w:val="24"/>
          <w:highlight w:val="none"/>
          <w:lang w:val="en-US" w:eastAsia="zh-CN" w:bidi="ar"/>
        </w:rPr>
        <w:t>重点投向先进材料、食品药品及农产品加工、汽摩装备三大主导产业</w:t>
      </w:r>
      <w:r>
        <w:rPr>
          <w:rFonts w:hint="eastAsia" w:ascii="Times New Roman" w:hAnsi="Times New Roman" w:eastAsia="方正仿宋_GBK" w:cs="Times New Roman"/>
          <w:kern w:val="0"/>
          <w:sz w:val="24"/>
          <w:szCs w:val="24"/>
          <w:highlight w:val="none"/>
          <w:lang w:val="en-US" w:eastAsia="zh-CN" w:bidi="ar"/>
        </w:rPr>
        <w:t>，同时关注人工智能、新能源及低空经济等产业</w:t>
      </w:r>
      <w:r>
        <w:rPr>
          <w:rFonts w:hint="default" w:ascii="Times New Roman" w:hAnsi="Times New Roman" w:eastAsia="方正仿宋_GBK" w:cs="Times New Roman"/>
          <w:kern w:val="0"/>
          <w:sz w:val="24"/>
          <w:szCs w:val="24"/>
          <w:highlight w:val="none"/>
          <w:lang w:val="en-US" w:eastAsia="zh-CN" w:bidi="ar"/>
        </w:rPr>
        <w:t>。</w:t>
      </w:r>
      <w:r>
        <w:rPr>
          <w:rFonts w:hint="eastAsia" w:ascii="Times New Roman" w:hAnsi="Times New Roman" w:eastAsia="方正仿宋_GBK" w:cs="Times New Roman"/>
          <w:b w:val="0"/>
          <w:bCs w:val="0"/>
          <w:kern w:val="0"/>
          <w:sz w:val="24"/>
          <w:szCs w:val="24"/>
          <w:highlight w:val="none"/>
          <w:u w:val="none"/>
          <w:lang w:val="en-US" w:eastAsia="zh-CN" w:bidi="ar"/>
        </w:rPr>
        <w:t>其中，1亿元引导基金专项投向阀门产业类项目。</w:t>
      </w:r>
    </w:p>
    <w:p>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right="120" w:firstLine="480" w:firstLineChars="200"/>
        <w:jc w:val="both"/>
        <w:textAlignment w:val="auto"/>
        <w:rPr>
          <w:rFonts w:hint="eastAsia" w:ascii="方正楷体_GBK" w:hAnsi="方正楷体_GBK" w:eastAsia="方正楷体_GBK" w:cs="方正楷体_GBK"/>
          <w:b w:val="0"/>
          <w:bCs w:val="0"/>
          <w:kern w:val="0"/>
          <w:sz w:val="24"/>
          <w:szCs w:val="24"/>
          <w:highlight w:val="none"/>
          <w:lang w:val="en-US" w:eastAsia="zh-CN" w:bidi="ar"/>
        </w:rPr>
      </w:pPr>
      <w:r>
        <w:rPr>
          <w:rFonts w:hint="eastAsia" w:ascii="方正楷体_GBK" w:hAnsi="方正楷体_GBK" w:eastAsia="方正楷体_GBK" w:cs="方正楷体_GBK"/>
          <w:b w:val="0"/>
          <w:bCs w:val="0"/>
          <w:kern w:val="0"/>
          <w:sz w:val="24"/>
          <w:szCs w:val="24"/>
          <w:highlight w:val="none"/>
          <w:lang w:val="en-US" w:eastAsia="zh-CN" w:bidi="ar"/>
        </w:rPr>
        <w:t>（四）基金返投要求。</w:t>
      </w:r>
    </w:p>
    <w:p>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right="120" w:firstLine="482" w:firstLineChars="200"/>
        <w:jc w:val="both"/>
        <w:textAlignment w:val="auto"/>
        <w:rPr>
          <w:rFonts w:hint="default" w:ascii="Times New Roman" w:hAnsi="Times New Roman" w:eastAsia="方正仿宋_GBK" w:cs="Times New Roman"/>
          <w:kern w:val="0"/>
          <w:sz w:val="24"/>
          <w:szCs w:val="24"/>
          <w:highlight w:val="none"/>
          <w:lang w:val="en-US" w:eastAsia="zh-CN" w:bidi="ar"/>
        </w:rPr>
      </w:pPr>
      <w:r>
        <w:rPr>
          <w:rFonts w:hint="default" w:ascii="Times New Roman" w:hAnsi="Times New Roman" w:eastAsia="方正仿宋_GBK" w:cs="Times New Roman"/>
          <w:b/>
          <w:bCs/>
          <w:kern w:val="0"/>
          <w:sz w:val="24"/>
          <w:szCs w:val="24"/>
          <w:highlight w:val="none"/>
          <w:lang w:val="en-US" w:eastAsia="zh-CN" w:bidi="ar"/>
        </w:rPr>
        <w:t>1.返投比例。</w:t>
      </w:r>
      <w:r>
        <w:rPr>
          <w:rFonts w:hint="eastAsia" w:ascii="Times New Roman" w:hAnsi="Times New Roman" w:eastAsia="方正仿宋_GBK" w:cs="Times New Roman"/>
          <w:kern w:val="0"/>
          <w:sz w:val="24"/>
          <w:szCs w:val="24"/>
          <w:highlight w:val="none"/>
          <w:lang w:val="en-US" w:eastAsia="zh-CN" w:bidi="ar"/>
        </w:rPr>
        <w:t>产业引导基金</w:t>
      </w:r>
      <w:r>
        <w:rPr>
          <w:rFonts w:hint="default" w:ascii="Times New Roman" w:hAnsi="Times New Roman" w:eastAsia="方正仿宋_GBK" w:cs="Times New Roman"/>
          <w:b w:val="0"/>
          <w:bCs w:val="0"/>
          <w:sz w:val="24"/>
          <w:szCs w:val="24"/>
          <w:highlight w:val="none"/>
          <w:lang w:val="en-US" w:eastAsia="zh-CN"/>
        </w:rPr>
        <w:t>以高投集团实际出资金额</w:t>
      </w:r>
      <w:r>
        <w:rPr>
          <w:rFonts w:hint="eastAsia" w:ascii="Times New Roman" w:hAnsi="Times New Roman" w:eastAsia="方正仿宋_GBK" w:cs="Times New Roman"/>
          <w:b w:val="0"/>
          <w:bCs w:val="0"/>
          <w:strike w:val="0"/>
          <w:dstrike w:val="0"/>
          <w:sz w:val="24"/>
          <w:szCs w:val="24"/>
          <w:highlight w:val="none"/>
          <w:lang w:val="en-US" w:eastAsia="zh-CN"/>
        </w:rPr>
        <w:t>不低于1.5倍</w:t>
      </w:r>
      <w:r>
        <w:rPr>
          <w:rFonts w:hint="default" w:ascii="Times New Roman" w:hAnsi="Times New Roman" w:eastAsia="方正仿宋_GBK" w:cs="Times New Roman"/>
          <w:b w:val="0"/>
          <w:bCs w:val="0"/>
          <w:sz w:val="24"/>
          <w:szCs w:val="24"/>
          <w:highlight w:val="none"/>
          <w:lang w:val="en-US" w:eastAsia="zh-CN"/>
        </w:rPr>
        <w:t>返投</w:t>
      </w:r>
      <w:r>
        <w:rPr>
          <w:rFonts w:hint="eastAsia" w:ascii="Times New Roman" w:hAnsi="Times New Roman" w:eastAsia="方正仿宋_GBK" w:cs="Times New Roman"/>
          <w:b w:val="0"/>
          <w:bCs w:val="0"/>
          <w:sz w:val="24"/>
          <w:szCs w:val="24"/>
          <w:highlight w:val="none"/>
          <w:lang w:val="en-US" w:eastAsia="zh-CN"/>
        </w:rPr>
        <w:t>，</w:t>
      </w:r>
      <w:r>
        <w:rPr>
          <w:rFonts w:hint="default" w:ascii="Times New Roman" w:hAnsi="Times New Roman" w:eastAsia="方正仿宋_GBK" w:cs="Times New Roman"/>
          <w:b w:val="0"/>
          <w:bCs w:val="0"/>
          <w:sz w:val="24"/>
          <w:szCs w:val="24"/>
          <w:highlight w:val="none"/>
          <w:lang w:val="en-US" w:eastAsia="zh-CN"/>
        </w:rPr>
        <w:t>用于</w:t>
      </w:r>
      <w:r>
        <w:rPr>
          <w:rFonts w:hint="default" w:ascii="Times New Roman" w:hAnsi="Times New Roman" w:eastAsia="方正仿宋_GBK" w:cs="Times New Roman"/>
          <w:kern w:val="0"/>
          <w:sz w:val="24"/>
          <w:szCs w:val="24"/>
          <w:highlight w:val="none"/>
          <w:lang w:val="en-US" w:eastAsia="zh-CN" w:bidi="ar"/>
        </w:rPr>
        <w:t>垫江县域内</w:t>
      </w:r>
      <w:r>
        <w:rPr>
          <w:rFonts w:hint="eastAsia" w:ascii="Times New Roman" w:hAnsi="Times New Roman" w:eastAsia="方正仿宋_GBK" w:cs="Times New Roman"/>
          <w:kern w:val="0"/>
          <w:sz w:val="24"/>
          <w:szCs w:val="24"/>
          <w:highlight w:val="none"/>
          <w:lang w:val="en-US" w:eastAsia="zh-CN" w:bidi="ar"/>
        </w:rPr>
        <w:t>拟</w:t>
      </w:r>
      <w:r>
        <w:rPr>
          <w:rFonts w:hint="default" w:ascii="Times New Roman" w:hAnsi="Times New Roman" w:eastAsia="方正仿宋_GBK" w:cs="Times New Roman"/>
          <w:kern w:val="0"/>
          <w:sz w:val="24"/>
          <w:szCs w:val="24"/>
          <w:highlight w:val="none"/>
          <w:lang w:val="en-US" w:eastAsia="zh-CN" w:bidi="ar"/>
        </w:rPr>
        <w:t>落地的项目或企业</w:t>
      </w:r>
      <w:r>
        <w:rPr>
          <w:rFonts w:hint="default" w:ascii="Times New Roman" w:hAnsi="Times New Roman" w:eastAsia="方正仿宋_GBK" w:cs="Times New Roman"/>
          <w:b w:val="0"/>
          <w:bCs w:val="0"/>
          <w:sz w:val="24"/>
          <w:szCs w:val="24"/>
          <w:highlight w:val="none"/>
          <w:lang w:val="en-US" w:eastAsia="zh-CN"/>
        </w:rPr>
        <w:t>投资</w:t>
      </w:r>
      <w:r>
        <w:rPr>
          <w:rFonts w:hint="default" w:ascii="Times New Roman" w:hAnsi="Times New Roman" w:eastAsia="方正仿宋_GBK" w:cs="Times New Roman"/>
          <w:kern w:val="0"/>
          <w:sz w:val="24"/>
          <w:szCs w:val="24"/>
          <w:highlight w:val="none"/>
          <w:lang w:val="en-US" w:eastAsia="zh-CN" w:bidi="ar"/>
        </w:rPr>
        <w:t>。</w:t>
      </w:r>
    </w:p>
    <w:p>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楷体_GBK" w:hAnsi="方正楷体_GBK" w:eastAsia="方正楷体_GBK" w:cs="方正楷体_GBK"/>
          <w:b w:val="0"/>
          <w:bCs w:val="0"/>
          <w:kern w:val="0"/>
          <w:sz w:val="24"/>
          <w:szCs w:val="24"/>
          <w:highlight w:val="none"/>
          <w:lang w:val="en-US" w:eastAsia="zh-CN" w:bidi="ar"/>
        </w:rPr>
      </w:pPr>
      <w:r>
        <w:rPr>
          <w:rFonts w:hint="eastAsia" w:ascii="方正楷体_GBK" w:hAnsi="方正楷体_GBK" w:eastAsia="方正楷体_GBK" w:cs="方正楷体_GBK"/>
          <w:b w:val="0"/>
          <w:bCs w:val="0"/>
          <w:kern w:val="0"/>
          <w:sz w:val="24"/>
          <w:szCs w:val="24"/>
          <w:highlight w:val="none"/>
          <w:lang w:val="en-US" w:eastAsia="zh-CN" w:bidi="ar"/>
        </w:rPr>
        <w:t>（五）基金管理人要求。</w:t>
      </w:r>
    </w:p>
    <w:p>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Times New Roman"/>
          <w:color w:val="auto"/>
          <w:sz w:val="24"/>
          <w:szCs w:val="24"/>
          <w:highlight w:val="none"/>
          <w:u w:val="none"/>
          <w:lang w:val="en-US" w:eastAsia="zh-CN"/>
        </w:rPr>
      </w:pPr>
      <w:r>
        <w:rPr>
          <w:rFonts w:hint="eastAsia" w:eastAsia="方正仿宋_GBK" w:cs="Times New Roman"/>
          <w:color w:val="auto"/>
          <w:sz w:val="24"/>
          <w:szCs w:val="24"/>
          <w:highlight w:val="none"/>
          <w:lang w:val="en-US" w:eastAsia="zh-CN"/>
        </w:rPr>
        <w:t>1.</w:t>
      </w:r>
      <w:r>
        <w:rPr>
          <w:rFonts w:hint="eastAsia" w:ascii="Times New Roman" w:hAnsi="Times New Roman" w:eastAsia="方正仿宋_GBK" w:cs="Times New Roman"/>
          <w:color w:val="auto"/>
          <w:sz w:val="24"/>
          <w:szCs w:val="24"/>
          <w:highlight w:val="none"/>
          <w:lang w:val="en-US" w:eastAsia="zh-CN"/>
        </w:rPr>
        <w:t>须在中华人民共和国境内依法设立，具有独立法人资格和私募基金管理资质，实缴资本金不低于1000万元人民币。</w:t>
      </w:r>
      <w:r>
        <w:rPr>
          <w:rFonts w:hint="eastAsia" w:ascii="Times New Roman" w:hAnsi="Times New Roman" w:eastAsia="方正仿宋_GBK" w:cs="Times New Roman"/>
          <w:color w:val="auto"/>
          <w:sz w:val="24"/>
          <w:szCs w:val="24"/>
          <w:highlight w:val="none"/>
          <w:u w:val="none"/>
          <w:lang w:val="en-US" w:eastAsia="zh-CN"/>
        </w:rPr>
        <w:t>备注：提供相应资质、工商登记信息等佐证资料。</w:t>
      </w:r>
    </w:p>
    <w:p>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Times New Roman"/>
          <w:color w:val="auto"/>
          <w:sz w:val="24"/>
          <w:szCs w:val="24"/>
          <w:highlight w:val="none"/>
          <w:u w:val="none"/>
          <w:lang w:val="en-US" w:eastAsia="zh-CN"/>
        </w:rPr>
      </w:pPr>
      <w:r>
        <w:rPr>
          <w:rFonts w:hint="eastAsia" w:eastAsia="方正仿宋_GBK" w:cs="Times New Roman"/>
          <w:color w:val="auto"/>
          <w:sz w:val="24"/>
          <w:szCs w:val="24"/>
          <w:highlight w:val="none"/>
          <w:lang w:val="en-US" w:eastAsia="zh-CN"/>
        </w:rPr>
        <w:t>2.</w:t>
      </w:r>
      <w:r>
        <w:rPr>
          <w:rFonts w:hint="eastAsia" w:ascii="Times New Roman" w:hAnsi="Times New Roman" w:eastAsia="方正仿宋_GBK" w:cs="Times New Roman"/>
          <w:color w:val="auto"/>
          <w:sz w:val="24"/>
          <w:szCs w:val="24"/>
          <w:highlight w:val="none"/>
          <w:lang w:val="en-US" w:eastAsia="zh-CN"/>
        </w:rPr>
        <w:t>具有面向具备一定风险识别和承受能力的合格投资者进行非公开募集社会资本的能力，已募集并管理基金总规模不少于10亿元（含），能在规定期限内完成本基金总额至少60%份额的社会资金（高投集团出资部分以外）募集。</w:t>
      </w:r>
      <w:r>
        <w:rPr>
          <w:rFonts w:hint="eastAsia" w:ascii="Times New Roman" w:hAnsi="Times New Roman" w:eastAsia="方正仿宋_GBK" w:cs="Times New Roman"/>
          <w:color w:val="auto"/>
          <w:sz w:val="24"/>
          <w:szCs w:val="24"/>
          <w:highlight w:val="none"/>
          <w:u w:val="none"/>
          <w:lang w:val="en-US" w:eastAsia="zh-CN"/>
        </w:rPr>
        <w:t>备注：出具承诺函，格式自拟。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方正仿宋_GBK"/>
          <w:sz w:val="24"/>
          <w:szCs w:val="24"/>
          <w:highlight w:val="none"/>
          <w:lang w:val="en-US" w:eastAsia="zh-CN"/>
        </w:rPr>
      </w:pPr>
      <w:r>
        <w:rPr>
          <w:rFonts w:hint="eastAsia" w:ascii="方正楷体_GBK" w:hAnsi="方正楷体_GBK" w:eastAsia="方正楷体_GBK" w:cs="方正楷体_GBK"/>
          <w:kern w:val="0"/>
          <w:sz w:val="24"/>
          <w:szCs w:val="24"/>
          <w:highlight w:val="none"/>
          <w:lang w:val="en-US" w:eastAsia="zh-CN" w:bidi="ar"/>
        </w:rPr>
        <w:t>（六）基金管理费。</w:t>
      </w:r>
      <w:r>
        <w:rPr>
          <w:rFonts w:hint="eastAsia" w:ascii="Times New Roman" w:hAnsi="Times New Roman" w:eastAsia="方正仿宋_GBK" w:cs="Times New Roman"/>
          <w:kern w:val="0"/>
          <w:sz w:val="24"/>
          <w:szCs w:val="24"/>
          <w:highlight w:val="none"/>
          <w:lang w:val="en-US" w:eastAsia="zh-CN" w:bidi="ar"/>
        </w:rPr>
        <w:t>投资期以基金实缴出资总额为计算基数，管理人每年收取1.5%的管理费；退出期以基金实缴出资总额扣除已退出项目投资本金的余额为计算基数，每年收取1%；延长期不收管理费。</w:t>
      </w:r>
      <w:r>
        <w:rPr>
          <w:rFonts w:hint="eastAsia" w:ascii="Times New Roman" w:hAnsi="Times New Roman" w:eastAsia="方正仿宋_GBK" w:cs="方正仿宋_GBK"/>
          <w:sz w:val="24"/>
          <w:szCs w:val="24"/>
          <w:highlight w:val="none"/>
          <w:lang w:eastAsia="zh-CN"/>
        </w:rPr>
        <w:t>管理费主要用于开展拟投项目、企业的尽职调查、专家评审、投资管理、股权退出、日常运营等业务支出与薪酬支出。</w:t>
      </w:r>
    </w:p>
    <w:p>
      <w:pPr>
        <w:keepNext w:val="0"/>
        <w:keepLines w:val="0"/>
        <w:pageBreakBefore w:val="0"/>
        <w:numPr>
          <w:ilvl w:val="0"/>
          <w:numId w:val="0"/>
        </w:numPr>
        <w:kinsoku/>
        <w:wordWrap/>
        <w:overflowPunct/>
        <w:topLinePunct w:val="0"/>
        <w:autoSpaceDE/>
        <w:autoSpaceDN/>
        <w:bidi w:val="0"/>
        <w:adjustRightInd/>
        <w:spacing w:beforeAutospacing="0" w:afterAutospacing="0" w:line="400" w:lineRule="exact"/>
        <w:ind w:firstLine="480" w:firstLineChars="200"/>
        <w:textAlignment w:val="auto"/>
        <w:rPr>
          <w:rFonts w:hint="eastAsia" w:ascii="Times New Roman" w:hAnsi="Times New Roman" w:eastAsia="方正仿宋_GBK" w:cs="Times New Roman"/>
          <w:kern w:val="0"/>
          <w:sz w:val="24"/>
          <w:szCs w:val="24"/>
          <w:highlight w:val="none"/>
          <w:u w:val="none"/>
          <w:lang w:val="en-US" w:eastAsia="zh-CN" w:bidi="ar"/>
        </w:rPr>
      </w:pPr>
      <w:r>
        <w:rPr>
          <w:rFonts w:hint="eastAsia" w:ascii="方正楷体_GBK" w:hAnsi="方正楷体_GBK" w:eastAsia="方正楷体_GBK" w:cs="方正楷体_GBK"/>
          <w:kern w:val="0"/>
          <w:sz w:val="24"/>
          <w:szCs w:val="24"/>
          <w:highlight w:val="none"/>
          <w:lang w:val="en-US" w:eastAsia="zh-CN" w:bidi="ar"/>
        </w:rPr>
        <w:t>（七）基金投资。</w:t>
      </w:r>
      <w:r>
        <w:rPr>
          <w:rFonts w:hint="eastAsia" w:ascii="方正仿宋_GBK" w:hAnsi="方正仿宋_GBK" w:eastAsia="方正仿宋_GBK" w:cs="方正仿宋_GBK"/>
          <w:kern w:val="0"/>
          <w:sz w:val="24"/>
          <w:szCs w:val="24"/>
          <w:highlight w:val="none"/>
          <w:lang w:val="en-US" w:eastAsia="zh-CN" w:bidi="ar"/>
        </w:rPr>
        <w:t>基金主要采取</w:t>
      </w:r>
      <w:r>
        <w:rPr>
          <w:rFonts w:hint="eastAsia" w:ascii="Times New Roman" w:hAnsi="Times New Roman" w:eastAsia="方正仿宋_GBK" w:cs="Times New Roman"/>
          <w:kern w:val="0"/>
          <w:sz w:val="24"/>
          <w:szCs w:val="24"/>
          <w:highlight w:val="none"/>
          <w:lang w:val="en-US" w:eastAsia="zh-CN" w:bidi="ar"/>
        </w:rPr>
        <w:t>股权投资方式进行投资，鼓励并购</w:t>
      </w:r>
      <w:r>
        <w:rPr>
          <w:rFonts w:hint="eastAsia" w:ascii="方正仿宋_GBK" w:hAnsi="方正仿宋_GBK" w:eastAsia="方正仿宋_GBK" w:cs="方正仿宋_GBK"/>
          <w:kern w:val="0"/>
          <w:sz w:val="24"/>
          <w:szCs w:val="24"/>
          <w:highlight w:val="none"/>
          <w:lang w:val="en-US" w:eastAsia="zh-CN" w:bidi="ar"/>
        </w:rPr>
        <w:t>。</w:t>
      </w:r>
      <w:r>
        <w:rPr>
          <w:rFonts w:hint="eastAsia" w:ascii="Times New Roman" w:hAnsi="Times New Roman" w:eastAsia="方正仿宋_GBK" w:cs="Times New Roman"/>
          <w:kern w:val="0"/>
          <w:sz w:val="24"/>
          <w:szCs w:val="24"/>
          <w:highlight w:val="none"/>
          <w:lang w:val="en-US" w:eastAsia="zh-CN" w:bidi="ar"/>
        </w:rPr>
        <w:t>单个项目出资金额原则上不超过认缴基金总规模的</w:t>
      </w:r>
      <w:r>
        <w:rPr>
          <w:rFonts w:hint="eastAsia" w:ascii="Times New Roman" w:hAnsi="Times New Roman" w:eastAsia="方正仿宋_GBK" w:cs="Times New Roman"/>
          <w:kern w:val="0"/>
          <w:sz w:val="24"/>
          <w:szCs w:val="24"/>
          <w:highlight w:val="none"/>
          <w:u w:val="none"/>
          <w:lang w:val="en-US" w:eastAsia="zh-CN" w:bidi="ar"/>
        </w:rPr>
        <w:t>20%；超过20%及以上的，须召开合伙人会议，由全体合伙人一致同意后实施。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kern w:val="0"/>
          <w:sz w:val="24"/>
          <w:szCs w:val="24"/>
          <w:highlight w:val="none"/>
          <w:lang w:val="en-US" w:eastAsia="zh-CN" w:bidi="ar"/>
        </w:rPr>
      </w:pPr>
      <w:r>
        <w:rPr>
          <w:rFonts w:hint="eastAsia" w:ascii="方正楷体_GBK" w:hAnsi="方正楷体_GBK" w:eastAsia="方正楷体_GBK" w:cs="方正楷体_GBK"/>
          <w:kern w:val="0"/>
          <w:sz w:val="24"/>
          <w:szCs w:val="24"/>
          <w:highlight w:val="none"/>
          <w:lang w:val="en-US" w:eastAsia="zh-CN" w:bidi="ar"/>
        </w:rPr>
        <w:t>（八）基金存续期。</w:t>
      </w:r>
      <w:r>
        <w:rPr>
          <w:rFonts w:hint="eastAsia" w:ascii="Times New Roman" w:hAnsi="Times New Roman" w:eastAsia="方正仿宋_GBK" w:cs="Times New Roman"/>
          <w:kern w:val="0"/>
          <w:sz w:val="24"/>
          <w:szCs w:val="24"/>
          <w:highlight w:val="none"/>
          <w:lang w:val="en-US" w:eastAsia="zh-CN" w:bidi="ar"/>
        </w:rPr>
        <w:t>基金存续期为7年，其中投资期4年，退出期3年。到期后经执行事务合伙人提议，并经全体合伙人一致同意，可延长两次，每次</w:t>
      </w:r>
      <w:r>
        <w:rPr>
          <w:rFonts w:hint="default" w:ascii="Times New Roman" w:hAnsi="Times New Roman" w:eastAsia="方正仿宋_GBK" w:cs="Times New Roman"/>
          <w:kern w:val="0"/>
          <w:sz w:val="24"/>
          <w:szCs w:val="24"/>
          <w:highlight w:val="none"/>
          <w:lang w:val="en-US" w:eastAsia="zh-CN" w:bidi="ar"/>
        </w:rPr>
        <w:t>1年。</w:t>
      </w:r>
    </w:p>
    <w:p>
      <w:pPr>
        <w:keepNext w:val="0"/>
        <w:keepLines w:val="0"/>
        <w:pageBreakBefore w:val="0"/>
        <w:numPr>
          <w:ilvl w:val="0"/>
          <w:numId w:val="0"/>
        </w:numPr>
        <w:kinsoku/>
        <w:wordWrap/>
        <w:overflowPunct/>
        <w:topLinePunct w:val="0"/>
        <w:autoSpaceDE/>
        <w:autoSpaceDN/>
        <w:bidi w:val="0"/>
        <w:adjustRightInd/>
        <w:spacing w:beforeAutospacing="0" w:afterAutospacing="0" w:line="400" w:lineRule="exact"/>
        <w:ind w:firstLine="480" w:firstLineChars="200"/>
        <w:textAlignment w:val="auto"/>
        <w:rPr>
          <w:rFonts w:hint="eastAsia" w:ascii="方正楷体_GBK" w:hAnsi="方正楷体_GBK" w:eastAsia="方正楷体_GBK" w:cs="方正楷体_GBK"/>
          <w:kern w:val="0"/>
          <w:sz w:val="24"/>
          <w:szCs w:val="24"/>
          <w:highlight w:val="none"/>
          <w:lang w:val="en-US" w:eastAsia="zh-CN" w:bidi="ar"/>
        </w:rPr>
      </w:pPr>
      <w:r>
        <w:rPr>
          <w:rFonts w:hint="eastAsia" w:ascii="方正楷体_GBK" w:hAnsi="方正楷体_GBK" w:eastAsia="方正楷体_GBK" w:cs="方正楷体_GBK"/>
          <w:kern w:val="0"/>
          <w:sz w:val="24"/>
          <w:szCs w:val="24"/>
          <w:highlight w:val="none"/>
          <w:lang w:val="en-US" w:eastAsia="zh-CN" w:bidi="ar"/>
        </w:rPr>
        <w:t>（九）投资限制</w:t>
      </w:r>
    </w:p>
    <w:p>
      <w:pPr>
        <w:keepNext w:val="0"/>
        <w:keepLines w:val="0"/>
        <w:pageBreakBefore w:val="0"/>
        <w:numPr>
          <w:ilvl w:val="0"/>
          <w:numId w:val="0"/>
        </w:numPr>
        <w:kinsoku/>
        <w:wordWrap/>
        <w:overflowPunct/>
        <w:topLinePunct w:val="0"/>
        <w:autoSpaceDE/>
        <w:autoSpaceDN/>
        <w:bidi w:val="0"/>
        <w:adjustRightInd/>
        <w:spacing w:beforeAutospacing="0" w:afterAutospacing="0" w:line="400" w:lineRule="exact"/>
        <w:ind w:firstLine="480" w:firstLineChars="200"/>
        <w:textAlignment w:val="auto"/>
        <w:rPr>
          <w:rFonts w:hint="eastAsia" w:ascii="Times New Roman" w:hAnsi="Times New Roman" w:eastAsia="方正仿宋_GBK" w:cs="Times New Roman"/>
          <w:kern w:val="0"/>
          <w:sz w:val="24"/>
          <w:szCs w:val="24"/>
          <w:highlight w:val="none"/>
          <w:lang w:val="en-US" w:eastAsia="zh-CN" w:bidi="ar"/>
        </w:rPr>
      </w:pPr>
      <w:r>
        <w:rPr>
          <w:rFonts w:hint="eastAsia" w:ascii="Times New Roman" w:hAnsi="Times New Roman" w:eastAsia="方正仿宋_GBK" w:cs="Times New Roman"/>
          <w:kern w:val="0"/>
          <w:sz w:val="24"/>
          <w:szCs w:val="24"/>
          <w:highlight w:val="none"/>
          <w:lang w:val="en-US" w:eastAsia="zh-CN" w:bidi="ar"/>
        </w:rPr>
        <w:t>1.不得从事抵押融资、委托贷款、对外借贷（以投资为目的1年期以内借款除外）、二级市场股票（战略配售、定向增发、协议转让、大宗交易除外）、期货、房地产、证券投资基金、信托产品、保险计划、企业债券（以投资为目的的可转换债券、可交换债券除外）、其他金融衍生品等投资（进行风险低且流动性强的现金管理除外）。</w:t>
      </w:r>
    </w:p>
    <w:p>
      <w:pPr>
        <w:keepNext w:val="0"/>
        <w:keepLines w:val="0"/>
        <w:pageBreakBefore w:val="0"/>
        <w:numPr>
          <w:ilvl w:val="0"/>
          <w:numId w:val="0"/>
        </w:numPr>
        <w:kinsoku/>
        <w:wordWrap/>
        <w:overflowPunct/>
        <w:topLinePunct w:val="0"/>
        <w:autoSpaceDE/>
        <w:autoSpaceDN/>
        <w:bidi w:val="0"/>
        <w:adjustRightInd/>
        <w:spacing w:beforeAutospacing="0" w:afterAutospacing="0" w:line="400" w:lineRule="exact"/>
        <w:ind w:firstLine="480" w:firstLineChars="200"/>
        <w:textAlignment w:val="auto"/>
        <w:rPr>
          <w:rFonts w:hint="eastAsia" w:ascii="Times New Roman" w:hAnsi="Times New Roman" w:eastAsia="方正仿宋_GBK" w:cs="Times New Roman"/>
          <w:kern w:val="0"/>
          <w:sz w:val="24"/>
          <w:szCs w:val="24"/>
          <w:highlight w:val="none"/>
          <w:lang w:val="en-US" w:eastAsia="zh-CN" w:bidi="ar"/>
        </w:rPr>
      </w:pPr>
      <w:r>
        <w:rPr>
          <w:rFonts w:hint="eastAsia" w:ascii="Times New Roman" w:hAnsi="Times New Roman" w:eastAsia="方正仿宋_GBK" w:cs="Times New Roman"/>
          <w:kern w:val="0"/>
          <w:sz w:val="24"/>
          <w:szCs w:val="24"/>
          <w:highlight w:val="none"/>
          <w:lang w:val="en-US" w:eastAsia="zh-CN" w:bidi="ar"/>
        </w:rPr>
        <w:t>2.不得向任何第三方提供赞助、捐赠等（经批准的公益性捐赠除外）。</w:t>
      </w:r>
    </w:p>
    <w:p>
      <w:pPr>
        <w:keepNext w:val="0"/>
        <w:keepLines w:val="0"/>
        <w:pageBreakBefore w:val="0"/>
        <w:numPr>
          <w:ilvl w:val="0"/>
          <w:numId w:val="0"/>
        </w:numPr>
        <w:kinsoku/>
        <w:wordWrap/>
        <w:overflowPunct/>
        <w:topLinePunct w:val="0"/>
        <w:autoSpaceDE/>
        <w:autoSpaceDN/>
        <w:bidi w:val="0"/>
        <w:adjustRightInd/>
        <w:spacing w:beforeAutospacing="0" w:afterAutospacing="0" w:line="400" w:lineRule="exact"/>
        <w:ind w:firstLine="480" w:firstLineChars="200"/>
        <w:textAlignment w:val="auto"/>
        <w:rPr>
          <w:rFonts w:hint="eastAsia" w:ascii="Times New Roman" w:hAnsi="Times New Roman" w:eastAsia="方正仿宋_GBK" w:cs="Times New Roman"/>
          <w:kern w:val="0"/>
          <w:sz w:val="24"/>
          <w:szCs w:val="24"/>
          <w:highlight w:val="none"/>
          <w:lang w:val="en-US" w:eastAsia="zh-CN" w:bidi="ar"/>
        </w:rPr>
      </w:pPr>
      <w:r>
        <w:rPr>
          <w:rFonts w:hint="eastAsia" w:ascii="Times New Roman" w:hAnsi="Times New Roman" w:eastAsia="方正仿宋_GBK" w:cs="Times New Roman"/>
          <w:kern w:val="0"/>
          <w:sz w:val="24"/>
          <w:szCs w:val="24"/>
          <w:highlight w:val="none"/>
          <w:lang w:val="en-US" w:eastAsia="zh-CN" w:bidi="ar"/>
        </w:rPr>
        <w:t>3.不得吸收或变相吸收存款。</w:t>
      </w:r>
    </w:p>
    <w:p>
      <w:pPr>
        <w:keepNext w:val="0"/>
        <w:keepLines w:val="0"/>
        <w:pageBreakBefore w:val="0"/>
        <w:numPr>
          <w:ilvl w:val="0"/>
          <w:numId w:val="0"/>
        </w:numPr>
        <w:kinsoku/>
        <w:wordWrap/>
        <w:overflowPunct/>
        <w:topLinePunct w:val="0"/>
        <w:autoSpaceDE/>
        <w:autoSpaceDN/>
        <w:bidi w:val="0"/>
        <w:adjustRightInd/>
        <w:spacing w:beforeAutospacing="0" w:afterAutospacing="0" w:line="400" w:lineRule="exact"/>
        <w:ind w:firstLine="480" w:firstLineChars="200"/>
        <w:textAlignment w:val="auto"/>
        <w:rPr>
          <w:rFonts w:hint="eastAsia" w:ascii="Times New Roman" w:hAnsi="Times New Roman" w:eastAsia="方正仿宋_GBK" w:cs="Times New Roman"/>
          <w:kern w:val="0"/>
          <w:sz w:val="24"/>
          <w:szCs w:val="24"/>
          <w:highlight w:val="none"/>
          <w:lang w:val="en-US" w:eastAsia="zh-CN" w:bidi="ar"/>
        </w:rPr>
      </w:pPr>
      <w:r>
        <w:rPr>
          <w:rFonts w:hint="eastAsia" w:ascii="Times New Roman" w:hAnsi="Times New Roman" w:eastAsia="方正仿宋_GBK" w:cs="Times New Roman"/>
          <w:kern w:val="0"/>
          <w:sz w:val="24"/>
          <w:szCs w:val="24"/>
          <w:highlight w:val="none"/>
          <w:lang w:val="en-US" w:eastAsia="zh-CN" w:bidi="ar"/>
        </w:rPr>
        <w:t>4.不得承担无限连带责任的对外投资、担保等业务。</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Times New Roman" w:hAnsi="Times New Roman" w:eastAsia="方正仿宋_GBK" w:cs="Times New Roman"/>
          <w:kern w:val="0"/>
          <w:sz w:val="24"/>
          <w:szCs w:val="24"/>
          <w:highlight w:val="none"/>
          <w:lang w:val="en-US" w:eastAsia="zh-CN" w:bidi="ar"/>
        </w:rPr>
      </w:pPr>
      <w:r>
        <w:rPr>
          <w:rFonts w:hint="eastAsia" w:ascii="Times New Roman" w:hAnsi="Times New Roman" w:eastAsia="方正仿宋_GBK" w:cs="Times New Roman"/>
          <w:kern w:val="0"/>
          <w:sz w:val="24"/>
          <w:szCs w:val="24"/>
          <w:highlight w:val="none"/>
          <w:lang w:val="en-US" w:eastAsia="zh-CN" w:bidi="ar"/>
        </w:rPr>
        <w:t>5.其他国家法律法规禁止从事的业务。</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方正楷体_GBK" w:hAnsi="方正楷体_GBK" w:eastAsia="方正楷体_GBK" w:cs="方正楷体_GBK"/>
          <w:kern w:val="0"/>
          <w:sz w:val="24"/>
          <w:szCs w:val="24"/>
          <w:highlight w:val="none"/>
          <w:lang w:val="en-US" w:eastAsia="zh-CN" w:bidi="ar"/>
        </w:rPr>
      </w:pPr>
      <w:r>
        <w:rPr>
          <w:rFonts w:hint="eastAsia" w:ascii="方正楷体_GBK" w:hAnsi="方正楷体_GBK" w:eastAsia="方正楷体_GBK" w:cs="方正楷体_GBK"/>
          <w:kern w:val="0"/>
          <w:sz w:val="24"/>
          <w:szCs w:val="24"/>
          <w:highlight w:val="none"/>
          <w:lang w:val="en-US" w:eastAsia="zh-CN" w:bidi="ar"/>
        </w:rPr>
        <w:t xml:space="preserve">（十）投资决策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640"/>
        <w:jc w:val="left"/>
        <w:textAlignment w:val="auto"/>
        <w:rPr>
          <w:rFonts w:hint="eastAsia" w:ascii="Times New Roman" w:hAnsi="Times New Roman" w:eastAsia="方正仿宋_GBK" w:cs="Times New Roman"/>
          <w:kern w:val="0"/>
          <w:sz w:val="24"/>
          <w:szCs w:val="24"/>
          <w:highlight w:val="none"/>
          <w:lang w:val="en-US" w:eastAsia="zh-CN" w:bidi="ar"/>
        </w:rPr>
      </w:pPr>
      <w:r>
        <w:rPr>
          <w:rFonts w:hint="eastAsia" w:ascii="Times New Roman" w:hAnsi="Times New Roman" w:eastAsia="方正仿宋_GBK" w:cs="Times New Roman"/>
          <w:kern w:val="0"/>
          <w:sz w:val="24"/>
          <w:szCs w:val="24"/>
          <w:highlight w:val="none"/>
          <w:lang w:val="en-US" w:eastAsia="zh-CN" w:bidi="ar"/>
        </w:rPr>
        <w:t>为强化基金市场化运作能力，提高投资决策科学性，设立产业基金投资决策委员会。主要负责</w:t>
      </w:r>
      <w:r>
        <w:rPr>
          <w:rFonts w:hint="eastAsia" w:ascii="Times New Roman" w:hAnsi="Times New Roman" w:eastAsia="方正仿宋_GBK" w:cs="Times New Roman"/>
          <w:b w:val="0"/>
          <w:bCs w:val="0"/>
          <w:kern w:val="0"/>
          <w:sz w:val="24"/>
          <w:szCs w:val="24"/>
          <w:highlight w:val="none"/>
          <w:lang w:val="en-US" w:eastAsia="zh-CN" w:bidi="ar"/>
        </w:rPr>
        <w:t>制定产业投资基金发展规划和中长期投资计划、适时调整产业投资基金的投资方向、基金项目的投资决策等。投委会由5人组成，其中，</w:t>
      </w:r>
      <w:r>
        <w:rPr>
          <w:rFonts w:hint="eastAsia" w:ascii="Times New Roman" w:hAnsi="Times New Roman" w:eastAsia="方正仿宋_GBK" w:cs="Times New Roman"/>
          <w:kern w:val="0"/>
          <w:sz w:val="24"/>
          <w:szCs w:val="24"/>
          <w:highlight w:val="none"/>
          <w:lang w:val="en-US" w:eastAsia="zh-CN" w:bidi="ar"/>
        </w:rPr>
        <w:t>普通合伙人推荐2名，集团推荐1名，其他国有企业、社会资本方推荐2名。</w:t>
      </w:r>
      <w:r>
        <w:rPr>
          <w:rFonts w:hint="eastAsia" w:ascii="Times New Roman" w:hAnsi="Times New Roman" w:eastAsia="方正仿宋_GBK" w:cs="Times New Roman"/>
          <w:b w:val="0"/>
          <w:bCs w:val="0"/>
          <w:kern w:val="0"/>
          <w:sz w:val="24"/>
          <w:szCs w:val="24"/>
          <w:highlight w:val="none"/>
          <w:lang w:val="en-US" w:eastAsia="zh-CN" w:bidi="ar"/>
        </w:rPr>
        <w:t>投资决策委员会实行一人一票，</w:t>
      </w:r>
      <w:r>
        <w:rPr>
          <w:rFonts w:hint="eastAsia" w:ascii="Times New Roman" w:hAnsi="Times New Roman" w:eastAsia="方正仿宋_GBK" w:cs="Times New Roman"/>
          <w:kern w:val="0"/>
          <w:sz w:val="24"/>
          <w:szCs w:val="24"/>
          <w:highlight w:val="none"/>
          <w:lang w:val="en-US" w:eastAsia="zh-CN" w:bidi="ar"/>
        </w:rPr>
        <w:t>拟投资项目须5票全部表决同意后方可进行投资。</w:t>
      </w:r>
    </w:p>
    <w:p>
      <w:pPr>
        <w:pStyle w:val="50"/>
        <w:keepNext w:val="0"/>
        <w:keepLines w:val="0"/>
        <w:pageBreakBefore w:val="0"/>
        <w:widowControl/>
        <w:suppressLineNumbers w:val="0"/>
        <w:kinsoku/>
        <w:wordWrap/>
        <w:overflowPunct/>
        <w:topLinePunct w:val="0"/>
        <w:autoSpaceDE/>
        <w:autoSpaceDN/>
        <w:bidi w:val="0"/>
        <w:adjustRightInd/>
        <w:spacing w:before="0" w:beforeLines="0" w:beforeAutospacing="0" w:after="0" w:afterLines="0" w:afterAutospacing="0" w:line="400" w:lineRule="exact"/>
        <w:ind w:left="0" w:firstLine="480" w:firstLineChars="200"/>
        <w:textAlignment w:val="auto"/>
        <w:rPr>
          <w:rFonts w:hint="eastAsia" w:ascii="Times New Roman" w:hAnsi="Times New Roman" w:eastAsia="方正仿宋_GBK" w:cs="Times New Roman"/>
          <w:b w:val="0"/>
          <w:bCs w:val="0"/>
          <w:kern w:val="0"/>
          <w:sz w:val="24"/>
          <w:szCs w:val="24"/>
          <w:highlight w:val="none"/>
          <w:lang w:val="en-US" w:eastAsia="zh-CN" w:bidi="ar"/>
        </w:rPr>
      </w:pPr>
      <w:r>
        <w:rPr>
          <w:rFonts w:hint="eastAsia" w:ascii="方正楷体_GBK" w:hAnsi="方正楷体_GBK" w:eastAsia="方正楷体_GBK" w:cs="方正楷体_GBK"/>
          <w:kern w:val="0"/>
          <w:sz w:val="24"/>
          <w:szCs w:val="24"/>
          <w:highlight w:val="none"/>
          <w:lang w:val="en-US" w:eastAsia="zh-CN" w:bidi="ar"/>
        </w:rPr>
        <w:t>（十一）强化项目</w:t>
      </w:r>
      <w:r>
        <w:rPr>
          <w:rFonts w:hint="default" w:ascii="方正楷体_GBK" w:hAnsi="方正楷体_GBK" w:eastAsia="方正楷体_GBK" w:cs="方正楷体_GBK"/>
          <w:kern w:val="0"/>
          <w:sz w:val="24"/>
          <w:szCs w:val="24"/>
          <w:highlight w:val="none"/>
          <w:lang w:val="en-US" w:eastAsia="zh-CN" w:bidi="ar"/>
        </w:rPr>
        <w:t>退出管理。</w:t>
      </w:r>
      <w:r>
        <w:rPr>
          <w:rFonts w:hint="eastAsia" w:ascii="Times New Roman" w:hAnsi="Times New Roman" w:eastAsia="方正仿宋_GBK" w:cs="Times New Roman"/>
          <w:b w:val="0"/>
          <w:bCs w:val="0"/>
          <w:kern w:val="0"/>
          <w:sz w:val="24"/>
          <w:szCs w:val="24"/>
          <w:highlight w:val="none"/>
          <w:lang w:val="en-US" w:eastAsia="zh-CN" w:bidi="ar"/>
        </w:rPr>
        <w:t>在基金存续期满、或存续期内达到预期目标时，按照协议和章程约定的方式适时退出。产业引导基金在退出时应按照国有产权管理有关规定退出，且原则上应优先于其他投资主体，主要通过以下形式退出：</w:t>
      </w:r>
    </w:p>
    <w:p>
      <w:pPr>
        <w:pStyle w:val="50"/>
        <w:keepNext w:val="0"/>
        <w:keepLines w:val="0"/>
        <w:pageBreakBefore w:val="0"/>
        <w:widowControl/>
        <w:suppressLineNumbers w:val="0"/>
        <w:kinsoku/>
        <w:wordWrap/>
        <w:overflowPunct/>
        <w:topLinePunct w:val="0"/>
        <w:autoSpaceDE/>
        <w:autoSpaceDN/>
        <w:bidi w:val="0"/>
        <w:adjustRightInd/>
        <w:spacing w:before="0" w:beforeLines="0" w:beforeAutospacing="0" w:after="0" w:afterLines="0" w:afterAutospacing="0" w:line="400" w:lineRule="exact"/>
        <w:ind w:left="0" w:firstLine="480" w:firstLineChars="200"/>
        <w:textAlignment w:val="auto"/>
        <w:rPr>
          <w:rFonts w:hint="eastAsia" w:ascii="Times New Roman" w:hAnsi="Times New Roman" w:eastAsia="方正仿宋_GBK" w:cs="Times New Roman"/>
          <w:b w:val="0"/>
          <w:bCs w:val="0"/>
          <w:kern w:val="0"/>
          <w:sz w:val="24"/>
          <w:szCs w:val="24"/>
          <w:highlight w:val="none"/>
          <w:lang w:val="en-US" w:eastAsia="zh-CN" w:bidi="ar"/>
        </w:rPr>
      </w:pPr>
      <w:r>
        <w:rPr>
          <w:rFonts w:hint="eastAsia" w:ascii="Times New Roman" w:hAnsi="Times New Roman" w:eastAsia="方正仿宋_GBK" w:cs="Times New Roman"/>
          <w:b w:val="0"/>
          <w:bCs w:val="0"/>
          <w:kern w:val="0"/>
          <w:sz w:val="24"/>
          <w:szCs w:val="24"/>
          <w:highlight w:val="none"/>
          <w:lang w:val="en-US" w:eastAsia="zh-CN" w:bidi="ar"/>
        </w:rPr>
        <w:t>（1）按照约定由大股东、项目实际控制人或其他第三方回购股权退出；</w:t>
      </w:r>
    </w:p>
    <w:p>
      <w:pPr>
        <w:pStyle w:val="50"/>
        <w:keepNext w:val="0"/>
        <w:keepLines w:val="0"/>
        <w:pageBreakBefore w:val="0"/>
        <w:widowControl/>
        <w:suppressLineNumbers w:val="0"/>
        <w:kinsoku/>
        <w:wordWrap/>
        <w:overflowPunct/>
        <w:topLinePunct w:val="0"/>
        <w:autoSpaceDE/>
        <w:autoSpaceDN/>
        <w:bidi w:val="0"/>
        <w:adjustRightInd/>
        <w:spacing w:before="0" w:beforeLines="0" w:beforeAutospacing="0" w:after="0" w:afterLines="0" w:afterAutospacing="0" w:line="400" w:lineRule="exact"/>
        <w:ind w:left="0" w:firstLine="480" w:firstLineChars="200"/>
        <w:textAlignment w:val="auto"/>
        <w:rPr>
          <w:rFonts w:hint="eastAsia" w:ascii="Times New Roman" w:hAnsi="Times New Roman" w:eastAsia="方正仿宋_GBK" w:cs="Times New Roman"/>
          <w:b w:val="0"/>
          <w:bCs w:val="0"/>
          <w:kern w:val="0"/>
          <w:sz w:val="24"/>
          <w:szCs w:val="24"/>
          <w:highlight w:val="none"/>
          <w:lang w:val="en-US" w:eastAsia="zh-CN" w:bidi="ar"/>
        </w:rPr>
      </w:pPr>
      <w:r>
        <w:rPr>
          <w:rFonts w:hint="eastAsia" w:ascii="Times New Roman" w:hAnsi="Times New Roman" w:eastAsia="方正仿宋_GBK" w:cs="Times New Roman"/>
          <w:b w:val="0"/>
          <w:bCs w:val="0"/>
          <w:kern w:val="0"/>
          <w:sz w:val="24"/>
          <w:szCs w:val="24"/>
          <w:highlight w:val="none"/>
          <w:lang w:val="en-US" w:eastAsia="zh-CN" w:bidi="ar"/>
        </w:rPr>
        <w:t>（2）第三方并购或转让股权退出；</w:t>
      </w:r>
    </w:p>
    <w:p>
      <w:pPr>
        <w:pStyle w:val="50"/>
        <w:keepNext w:val="0"/>
        <w:keepLines w:val="0"/>
        <w:pageBreakBefore w:val="0"/>
        <w:widowControl/>
        <w:suppressLineNumbers w:val="0"/>
        <w:kinsoku/>
        <w:wordWrap/>
        <w:overflowPunct/>
        <w:topLinePunct w:val="0"/>
        <w:autoSpaceDE/>
        <w:autoSpaceDN/>
        <w:bidi w:val="0"/>
        <w:adjustRightInd/>
        <w:spacing w:before="0" w:beforeLines="0" w:beforeAutospacing="0" w:after="0" w:afterLines="0" w:afterAutospacing="0" w:line="400" w:lineRule="exact"/>
        <w:ind w:left="0" w:firstLine="480" w:firstLineChars="200"/>
        <w:textAlignment w:val="auto"/>
        <w:rPr>
          <w:rFonts w:hint="eastAsia" w:ascii="Times New Roman" w:hAnsi="Times New Roman" w:eastAsia="方正仿宋_GBK" w:cs="Times New Roman"/>
          <w:b w:val="0"/>
          <w:bCs w:val="0"/>
          <w:kern w:val="0"/>
          <w:sz w:val="24"/>
          <w:szCs w:val="24"/>
          <w:highlight w:val="none"/>
          <w:lang w:val="en-US" w:eastAsia="zh-CN" w:bidi="ar"/>
        </w:rPr>
      </w:pPr>
      <w:r>
        <w:rPr>
          <w:rFonts w:hint="eastAsia" w:ascii="Times New Roman" w:hAnsi="Times New Roman" w:eastAsia="方正仿宋_GBK" w:cs="Times New Roman"/>
          <w:b w:val="0"/>
          <w:bCs w:val="0"/>
          <w:kern w:val="0"/>
          <w:sz w:val="24"/>
          <w:szCs w:val="24"/>
          <w:highlight w:val="none"/>
          <w:lang w:val="en-US" w:eastAsia="zh-CN" w:bidi="ar"/>
        </w:rPr>
        <w:t>（3）投资项目直接上市或打包上市后退出；</w:t>
      </w:r>
    </w:p>
    <w:p>
      <w:pPr>
        <w:pStyle w:val="50"/>
        <w:keepNext w:val="0"/>
        <w:keepLines w:val="0"/>
        <w:pageBreakBefore w:val="0"/>
        <w:widowControl/>
        <w:suppressLineNumbers w:val="0"/>
        <w:kinsoku/>
        <w:wordWrap/>
        <w:overflowPunct/>
        <w:topLinePunct w:val="0"/>
        <w:autoSpaceDE/>
        <w:autoSpaceDN/>
        <w:bidi w:val="0"/>
        <w:adjustRightInd/>
        <w:spacing w:before="0" w:beforeLines="0" w:beforeAutospacing="0" w:after="0" w:afterLines="0" w:afterAutospacing="0" w:line="400" w:lineRule="exact"/>
        <w:ind w:left="0" w:firstLine="480" w:firstLineChars="200"/>
        <w:textAlignment w:val="auto"/>
        <w:rPr>
          <w:rFonts w:hint="eastAsia" w:ascii="Times New Roman" w:hAnsi="Times New Roman" w:eastAsia="方正仿宋_GBK" w:cs="Times New Roman"/>
          <w:b w:val="0"/>
          <w:bCs w:val="0"/>
          <w:kern w:val="0"/>
          <w:sz w:val="24"/>
          <w:szCs w:val="24"/>
          <w:highlight w:val="none"/>
          <w:lang w:val="en-US" w:eastAsia="zh-CN" w:bidi="ar"/>
        </w:rPr>
      </w:pPr>
      <w:r>
        <w:rPr>
          <w:rFonts w:hint="eastAsia" w:ascii="Times New Roman" w:hAnsi="Times New Roman" w:eastAsia="方正仿宋_GBK" w:cs="Times New Roman"/>
          <w:b w:val="0"/>
          <w:bCs w:val="0"/>
          <w:kern w:val="0"/>
          <w:sz w:val="24"/>
          <w:szCs w:val="24"/>
          <w:highlight w:val="none"/>
          <w:lang w:val="en-US" w:eastAsia="zh-CN" w:bidi="ar"/>
        </w:rPr>
        <w:t>（4）投资项目清算后退出等。</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firstLine="480" w:firstLineChars="200"/>
        <w:textAlignment w:val="auto"/>
        <w:rPr>
          <w:rFonts w:hint="default" w:ascii="Times New Roman" w:hAnsi="Times New Roman" w:eastAsia="方正仿宋_GBK" w:cs="Times New Roman"/>
          <w:b w:val="0"/>
          <w:bCs w:val="0"/>
          <w:sz w:val="24"/>
          <w:szCs w:val="24"/>
          <w:highlight w:val="none"/>
          <w:lang w:val="en-US" w:eastAsia="zh-CN"/>
        </w:rPr>
      </w:pPr>
      <w:r>
        <w:rPr>
          <w:rFonts w:hint="eastAsia" w:ascii="Times New Roman" w:hAnsi="Times New Roman" w:eastAsia="方正仿宋_GBK" w:cs="Times New Roman"/>
          <w:b w:val="0"/>
          <w:bCs w:val="0"/>
          <w:sz w:val="24"/>
          <w:szCs w:val="24"/>
          <w:highlight w:val="none"/>
          <w:lang w:val="en-US" w:eastAsia="zh-CN"/>
        </w:rPr>
        <w:t>有下述情况之一的，基金可无需其他出资人同意，选择提请退出：</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firstLine="480" w:firstLineChars="200"/>
        <w:textAlignment w:val="auto"/>
        <w:rPr>
          <w:rFonts w:hint="default" w:ascii="Times New Roman" w:hAnsi="Times New Roman" w:eastAsia="方正仿宋_GBK" w:cs="Times New Roman"/>
          <w:b w:val="0"/>
          <w:bCs w:val="0"/>
          <w:sz w:val="24"/>
          <w:szCs w:val="24"/>
          <w:highlight w:val="none"/>
          <w:lang w:val="en-US" w:eastAsia="zh-CN"/>
        </w:rPr>
      </w:pPr>
      <w:r>
        <w:rPr>
          <w:rFonts w:hint="eastAsia" w:ascii="Times New Roman" w:hAnsi="Times New Roman" w:eastAsia="方正仿宋_GBK" w:cs="Times New Roman"/>
          <w:b w:val="0"/>
          <w:bCs w:val="0"/>
          <w:sz w:val="24"/>
          <w:szCs w:val="24"/>
          <w:highlight w:val="none"/>
          <w:lang w:val="en-US" w:eastAsia="zh-CN"/>
        </w:rPr>
        <w:t>（1）</w:t>
      </w:r>
      <w:r>
        <w:rPr>
          <w:rFonts w:hint="default" w:ascii="Times New Roman" w:hAnsi="Times New Roman" w:eastAsia="方正仿宋_GBK" w:cs="Times New Roman"/>
          <w:b w:val="0"/>
          <w:bCs w:val="0"/>
          <w:sz w:val="24"/>
          <w:szCs w:val="24"/>
          <w:highlight w:val="none"/>
          <w:lang w:val="en-US" w:eastAsia="zh-CN"/>
        </w:rPr>
        <w:t>签订协议后，未在6个月内完成基金设立登记的；</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firstLine="480" w:firstLineChars="200"/>
        <w:textAlignment w:val="auto"/>
        <w:rPr>
          <w:rFonts w:hint="default" w:ascii="Times New Roman" w:hAnsi="Times New Roman" w:eastAsia="方正仿宋_GBK" w:cs="Times New Roman"/>
          <w:b w:val="0"/>
          <w:bCs w:val="0"/>
          <w:sz w:val="24"/>
          <w:szCs w:val="24"/>
          <w:highlight w:val="none"/>
          <w:lang w:val="en-US" w:eastAsia="zh-CN"/>
        </w:rPr>
      </w:pPr>
      <w:r>
        <w:rPr>
          <w:rFonts w:hint="eastAsia" w:ascii="Times New Roman" w:hAnsi="Times New Roman" w:eastAsia="方正仿宋_GBK" w:cs="Times New Roman"/>
          <w:b w:val="0"/>
          <w:bCs w:val="0"/>
          <w:sz w:val="24"/>
          <w:szCs w:val="24"/>
          <w:highlight w:val="none"/>
          <w:lang w:val="en-US" w:eastAsia="zh-CN"/>
        </w:rPr>
        <w:t>（2）</w:t>
      </w:r>
      <w:r>
        <w:rPr>
          <w:rFonts w:hint="default" w:ascii="Times New Roman" w:hAnsi="Times New Roman" w:eastAsia="方正仿宋_GBK" w:cs="Times New Roman"/>
          <w:b w:val="0"/>
          <w:bCs w:val="0"/>
          <w:sz w:val="24"/>
          <w:szCs w:val="24"/>
          <w:highlight w:val="none"/>
          <w:lang w:val="en-US" w:eastAsia="zh-CN"/>
        </w:rPr>
        <w:t>产业投资基金出资资金拨付至基金账户后，未开展业务超过1年的；</w:t>
      </w:r>
    </w:p>
    <w:p>
      <w:pPr>
        <w:keepNext w:val="0"/>
        <w:keepLines w:val="0"/>
        <w:pageBreakBefore w:val="0"/>
        <w:numPr>
          <w:ilvl w:val="0"/>
          <w:numId w:val="0"/>
        </w:numPr>
        <w:tabs>
          <w:tab w:val="left" w:pos="600"/>
        </w:tabs>
        <w:kinsoku/>
        <w:wordWrap/>
        <w:overflowPunct/>
        <w:topLinePunct w:val="0"/>
        <w:autoSpaceDE/>
        <w:autoSpaceDN/>
        <w:bidi w:val="0"/>
        <w:adjustRightInd/>
        <w:snapToGrid/>
        <w:spacing w:beforeAutospacing="0" w:afterAutospacing="0" w:line="400" w:lineRule="exact"/>
        <w:ind w:firstLine="480" w:firstLineChars="200"/>
        <w:textAlignment w:val="auto"/>
        <w:rPr>
          <w:rFonts w:hint="default" w:ascii="Times New Roman" w:hAnsi="Times New Roman" w:eastAsia="方正仿宋_GBK" w:cs="Times New Roman"/>
          <w:b w:val="0"/>
          <w:bCs w:val="0"/>
          <w:sz w:val="24"/>
          <w:szCs w:val="24"/>
          <w:highlight w:val="none"/>
          <w:lang w:val="en-US" w:eastAsia="zh-CN"/>
        </w:rPr>
      </w:pPr>
      <w:r>
        <w:rPr>
          <w:rFonts w:hint="eastAsia" w:ascii="Times New Roman" w:hAnsi="Times New Roman" w:eastAsia="方正仿宋_GBK" w:cs="Times New Roman"/>
          <w:b w:val="0"/>
          <w:bCs w:val="0"/>
          <w:sz w:val="24"/>
          <w:szCs w:val="24"/>
          <w:highlight w:val="none"/>
          <w:lang w:val="en-US" w:eastAsia="zh-CN"/>
        </w:rPr>
        <w:t>（3）</w:t>
      </w:r>
      <w:r>
        <w:rPr>
          <w:rFonts w:hint="default" w:ascii="Times New Roman" w:hAnsi="Times New Roman" w:eastAsia="方正仿宋_GBK" w:cs="Times New Roman"/>
          <w:b w:val="0"/>
          <w:bCs w:val="0"/>
          <w:sz w:val="24"/>
          <w:szCs w:val="24"/>
          <w:highlight w:val="none"/>
          <w:lang w:val="en-US" w:eastAsia="zh-CN"/>
        </w:rPr>
        <w:t>基金投资领域和方向不符合政策目标的；</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firstLine="480" w:firstLineChars="200"/>
        <w:textAlignment w:val="auto"/>
        <w:rPr>
          <w:rFonts w:hint="default" w:ascii="Times New Roman" w:hAnsi="Times New Roman" w:eastAsia="方正仿宋_GBK" w:cs="Times New Roman"/>
          <w:b w:val="0"/>
          <w:bCs w:val="0"/>
          <w:sz w:val="24"/>
          <w:szCs w:val="24"/>
          <w:highlight w:val="none"/>
          <w:lang w:val="en-US" w:eastAsia="zh-CN"/>
        </w:rPr>
      </w:pPr>
      <w:r>
        <w:rPr>
          <w:rFonts w:hint="eastAsia" w:ascii="Times New Roman" w:hAnsi="Times New Roman" w:eastAsia="方正仿宋_GBK" w:cs="Times New Roman"/>
          <w:b w:val="0"/>
          <w:bCs w:val="0"/>
          <w:sz w:val="24"/>
          <w:szCs w:val="24"/>
          <w:highlight w:val="none"/>
          <w:lang w:val="en-US" w:eastAsia="zh-CN"/>
        </w:rPr>
        <w:t>（4）</w:t>
      </w:r>
      <w:r>
        <w:rPr>
          <w:rFonts w:hint="default" w:ascii="Times New Roman" w:hAnsi="Times New Roman" w:eastAsia="方正仿宋_GBK" w:cs="Times New Roman"/>
          <w:b w:val="0"/>
          <w:bCs w:val="0"/>
          <w:sz w:val="24"/>
          <w:szCs w:val="24"/>
          <w:highlight w:val="none"/>
          <w:lang w:val="en-US" w:eastAsia="zh-CN"/>
        </w:rPr>
        <w:t>协议约定的其他情形</w:t>
      </w:r>
      <w:r>
        <w:rPr>
          <w:rFonts w:hint="eastAsia" w:ascii="Times New Roman" w:hAnsi="Times New Roman" w:eastAsia="方正仿宋_GBK" w:cs="Times New Roman"/>
          <w:b w:val="0"/>
          <w:bCs w:val="0"/>
          <w:sz w:val="24"/>
          <w:szCs w:val="24"/>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firstLine="480" w:firstLineChars="200"/>
        <w:textAlignment w:val="auto"/>
        <w:rPr>
          <w:rFonts w:hint="default" w:ascii="方正楷体_GBK" w:hAnsi="方正楷体_GBK" w:eastAsia="方正楷体_GBK" w:cs="方正楷体_GBK"/>
          <w:kern w:val="0"/>
          <w:sz w:val="24"/>
          <w:szCs w:val="24"/>
          <w:highlight w:val="none"/>
          <w:lang w:val="en-US" w:eastAsia="zh-CN" w:bidi="ar"/>
        </w:rPr>
      </w:pPr>
      <w:r>
        <w:rPr>
          <w:rFonts w:hint="eastAsia" w:ascii="方正楷体_GBK" w:hAnsi="方正楷体_GBK" w:eastAsia="方正楷体_GBK" w:cs="方正楷体_GBK"/>
          <w:kern w:val="0"/>
          <w:sz w:val="24"/>
          <w:szCs w:val="24"/>
          <w:highlight w:val="none"/>
          <w:lang w:val="en-US" w:eastAsia="zh-CN" w:bidi="ar"/>
        </w:rPr>
        <w:t>（十二）投资收益分配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基金采取“即退即分”和“先回本，后返利”的方式。投资退出后各合伙人按实缴出资比例进行分配</w:t>
      </w:r>
      <w:r>
        <w:rPr>
          <w:rFonts w:hint="eastAsia" w:ascii="Times New Roman" w:hAnsi="Times New Roman" w:eastAsia="方正仿宋_GBK" w:cs="方正仿宋_GBK"/>
          <w:color w:val="000000"/>
          <w:kern w:val="0"/>
          <w:sz w:val="24"/>
          <w:szCs w:val="24"/>
          <w:highlight w:val="none"/>
          <w:lang w:eastAsia="zh-CN"/>
        </w:rPr>
        <w:t>（基金投资收益率不低于</w:t>
      </w:r>
      <w:r>
        <w:rPr>
          <w:rFonts w:hint="eastAsia" w:ascii="Times New Roman" w:hAnsi="Times New Roman" w:eastAsia="方正仿宋_GBK" w:cs="方正仿宋_GBK"/>
          <w:color w:val="000000"/>
          <w:kern w:val="0"/>
          <w:sz w:val="24"/>
          <w:szCs w:val="24"/>
          <w:highlight w:val="none"/>
          <w:lang w:val="en-US" w:eastAsia="zh-CN"/>
        </w:rPr>
        <w:t>8</w:t>
      </w:r>
      <w:r>
        <w:rPr>
          <w:rFonts w:hint="eastAsia" w:ascii="Times New Roman" w:hAnsi="Times New Roman" w:eastAsia="方正仿宋_GBK" w:cs="方正仿宋_GBK"/>
          <w:color w:val="000000"/>
          <w:kern w:val="0"/>
          <w:sz w:val="24"/>
          <w:szCs w:val="24"/>
          <w:highlight w:val="none"/>
        </w:rPr>
        <w:t>%/年</w:t>
      </w:r>
      <w:r>
        <w:rPr>
          <w:rFonts w:hint="eastAsia" w:ascii="Times New Roman" w:hAnsi="Times New Roman" w:eastAsia="方正仿宋_GBK" w:cs="方正仿宋_GBK"/>
          <w:color w:val="000000"/>
          <w:kern w:val="0"/>
          <w:sz w:val="24"/>
          <w:szCs w:val="24"/>
          <w:highlight w:val="none"/>
          <w:lang w:eastAsia="zh-CN"/>
        </w:rPr>
        <w:t>）</w:t>
      </w: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b w:val="0"/>
          <w:bCs w:val="0"/>
          <w:color w:val="000000"/>
          <w:kern w:val="0"/>
          <w:sz w:val="24"/>
          <w:szCs w:val="24"/>
          <w:highlight w:val="none"/>
          <w:u w:val="none"/>
        </w:rPr>
        <w:t>若有剩余，</w:t>
      </w:r>
      <w:r>
        <w:rPr>
          <w:rFonts w:hint="eastAsia" w:ascii="Times New Roman" w:hAnsi="Times New Roman" w:eastAsia="方正仿宋_GBK" w:cs="方正仿宋_GBK"/>
          <w:b w:val="0"/>
          <w:bCs w:val="0"/>
          <w:color w:val="000000"/>
          <w:kern w:val="0"/>
          <w:sz w:val="24"/>
          <w:szCs w:val="24"/>
          <w:highlight w:val="none"/>
          <w:u w:val="none"/>
          <w:lang w:eastAsia="zh-CN"/>
        </w:rPr>
        <w:t>对基金管理人予以超额利润激励：</w:t>
      </w:r>
      <w:r>
        <w:rPr>
          <w:rFonts w:hint="eastAsia" w:ascii="Times New Roman" w:hAnsi="Times New Roman" w:eastAsia="方正仿宋_GBK" w:cs="Times New Roman"/>
          <w:kern w:val="0"/>
          <w:sz w:val="24"/>
          <w:szCs w:val="24"/>
          <w:highlight w:val="none"/>
          <w:lang w:val="en-US" w:eastAsia="zh-CN" w:bidi="ar"/>
        </w:rPr>
        <w:t>基金年收益率超过8%/年部分在管理人与合伙人间按20%:80%进行分配</w:t>
      </w:r>
      <w:r>
        <w:rPr>
          <w:rFonts w:hint="eastAsia" w:ascii="Times New Roman" w:hAnsi="Times New Roman" w:eastAsia="方正仿宋_GBK" w:cs="方正仿宋_GBK"/>
          <w:b w:val="0"/>
          <w:bCs w:val="0"/>
          <w:color w:val="000000"/>
          <w:kern w:val="0"/>
          <w:sz w:val="24"/>
          <w:szCs w:val="24"/>
          <w:highlight w:val="none"/>
          <w:u w:val="none"/>
          <w:lang w:eastAsia="zh-CN"/>
        </w:rPr>
        <w:t>。</w:t>
      </w:r>
      <w:r>
        <w:rPr>
          <w:rFonts w:hint="eastAsia" w:ascii="Times New Roman" w:hAnsi="Times New Roman" w:eastAsia="方正仿宋_GBK" w:cs="方正仿宋_GBK"/>
          <w:color w:val="000000"/>
          <w:kern w:val="0"/>
          <w:sz w:val="24"/>
          <w:szCs w:val="24"/>
          <w:highlight w:val="none"/>
        </w:rPr>
        <w:t>基金投资期内不进行循环投资。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highlight w:val="none"/>
        </w:rPr>
      </w:pPr>
      <w:r>
        <w:rPr>
          <w:rFonts w:hint="eastAsia" w:ascii="Times New Roman" w:hAnsi="Times New Roman" w:eastAsia="方正仿宋_GBK" w:cs="方正仿宋_GBK"/>
          <w:color w:val="000000"/>
          <w:kern w:val="0"/>
          <w:sz w:val="24"/>
          <w:szCs w:val="24"/>
          <w:highlight w:val="none"/>
          <w:lang w:val="en-US" w:eastAsia="zh-CN"/>
        </w:rPr>
        <w:t>对产业发展投资基金的运作管理应开展年度绩效评价，基金管理费用可根据上一年度的绩效评价结果进行适当浮动。</w:t>
      </w:r>
    </w:p>
    <w:p>
      <w:pPr>
        <w:pStyle w:val="16"/>
        <w:rPr>
          <w:rFonts w:hint="eastAsia"/>
          <w:highlight w:val="none"/>
        </w:rPr>
      </w:pPr>
    </w:p>
    <w:p>
      <w:pPr>
        <w:shd w:val="clear"/>
        <w:rPr>
          <w:rFonts w:hint="eastAsia" w:ascii="仿宋" w:hAnsi="仿宋" w:eastAsia="仿宋" w:cs="仿宋"/>
          <w:kern w:val="0"/>
          <w:sz w:val="24"/>
          <w:szCs w:val="24"/>
          <w:highlight w:val="none"/>
        </w:rPr>
      </w:pPr>
    </w:p>
    <w:p>
      <w:pPr>
        <w:pStyle w:val="71"/>
        <w:shd w:val="clear"/>
        <w:rPr>
          <w:rFonts w:hint="eastAsia" w:ascii="仿宋" w:hAnsi="仿宋" w:eastAsia="仿宋" w:cs="仿宋"/>
          <w:kern w:val="0"/>
          <w:sz w:val="24"/>
          <w:szCs w:val="24"/>
          <w:highlight w:val="none"/>
        </w:rPr>
      </w:pPr>
    </w:p>
    <w:p>
      <w:pPr>
        <w:shd w:val="clear"/>
        <w:rPr>
          <w:rFonts w:hint="eastAsia" w:ascii="仿宋" w:hAnsi="仿宋" w:eastAsia="仿宋" w:cs="仿宋"/>
          <w:kern w:val="0"/>
          <w:sz w:val="24"/>
          <w:szCs w:val="24"/>
          <w:highlight w:val="none"/>
        </w:rPr>
      </w:pPr>
    </w:p>
    <w:p>
      <w:pPr>
        <w:shd w:val="clear"/>
        <w:rPr>
          <w:rFonts w:hint="eastAsia" w:ascii="仿宋" w:hAnsi="仿宋" w:eastAsia="仿宋" w:cs="仿宋"/>
          <w:kern w:val="0"/>
          <w:sz w:val="24"/>
          <w:szCs w:val="24"/>
          <w:highlight w:val="none"/>
        </w:rPr>
      </w:pPr>
    </w:p>
    <w:p>
      <w:pPr>
        <w:shd w:val="clear"/>
        <w:rPr>
          <w:rFonts w:hint="eastAsia" w:ascii="仿宋" w:hAnsi="仿宋" w:eastAsia="仿宋" w:cs="仿宋"/>
          <w:kern w:val="0"/>
          <w:sz w:val="24"/>
          <w:szCs w:val="24"/>
          <w:highlight w:val="none"/>
        </w:rPr>
      </w:pPr>
    </w:p>
    <w:p>
      <w:pPr>
        <w:pStyle w:val="3"/>
        <w:shd w:val="clear"/>
        <w:spacing w:before="0" w:beforeLines="0" w:after="0" w:afterLines="0" w:line="360" w:lineRule="auto"/>
        <w:rPr>
          <w:rFonts w:hint="eastAsia" w:ascii="仿宋" w:hAnsi="仿宋" w:eastAsia="仿宋" w:cs="仿宋"/>
          <w:sz w:val="24"/>
          <w:szCs w:val="28"/>
          <w:highlight w:val="none"/>
        </w:rPr>
      </w:pPr>
      <w:bookmarkStart w:id="20" w:name="_Toc16167"/>
      <w:r>
        <w:rPr>
          <w:rFonts w:hint="eastAsia" w:ascii="仿宋" w:hAnsi="仿宋" w:eastAsia="仿宋" w:cs="仿宋"/>
          <w:b/>
          <w:color w:val="auto"/>
          <w:highlight w:val="none"/>
        </w:rPr>
        <w:t>第三篇  项目商务要求</w:t>
      </w:r>
      <w:bookmarkEnd w:id="20"/>
      <w:bookmarkStart w:id="21" w:name="_Toc493506290"/>
      <w:bookmarkStart w:id="22" w:name="_Toc32284"/>
      <w:bookmarkStart w:id="23" w:name="_Toc267320049"/>
      <w:bookmarkStart w:id="24" w:name="_Toc267320052"/>
    </w:p>
    <w:bookmarkEnd w:id="21"/>
    <w:bookmarkEnd w:id="22"/>
    <w:bookmarkEnd w:id="23"/>
    <w:bookmarkEnd w:id="24"/>
    <w:p>
      <w:pPr>
        <w:pStyle w:val="5"/>
        <w:pageBreakBefore w:val="0"/>
        <w:widowControl w:val="0"/>
        <w:kinsoku/>
        <w:wordWrap/>
        <w:overflowPunct/>
        <w:topLinePunct w:val="0"/>
        <w:autoSpaceDE/>
        <w:autoSpaceDN/>
        <w:bidi w:val="0"/>
        <w:adjustRightInd/>
        <w:spacing w:before="0" w:beforeLines="0" w:after="0" w:afterLines="0" w:line="340" w:lineRule="exact"/>
        <w:ind w:firstLine="482" w:firstLineChars="200"/>
        <w:jc w:val="both"/>
        <w:textAlignment w:val="auto"/>
        <w:rPr>
          <w:rFonts w:hint="default" w:ascii="Times New Roman" w:hAnsi="Times New Roman" w:eastAsia="方正仿宋_GBK" w:cs="Times New Roman"/>
          <w:color w:val="auto"/>
          <w:sz w:val="24"/>
          <w:szCs w:val="24"/>
          <w:highlight w:val="none"/>
        </w:rPr>
      </w:pPr>
      <w:bookmarkStart w:id="25" w:name="_Toc466546913"/>
      <w:bookmarkStart w:id="26" w:name="_Toc344475120"/>
      <w:bookmarkStart w:id="27" w:name="_Toc7157"/>
      <w:bookmarkStart w:id="28" w:name="_Toc18720"/>
      <w:r>
        <w:rPr>
          <w:rFonts w:hint="default" w:ascii="Times New Roman" w:hAnsi="Times New Roman" w:eastAsia="方正仿宋_GBK" w:cs="Times New Roman"/>
          <w:color w:val="auto"/>
          <w:sz w:val="24"/>
          <w:szCs w:val="24"/>
          <w:highlight w:val="none"/>
        </w:rPr>
        <w:t>一、服务期及验收方式</w:t>
      </w:r>
      <w:bookmarkEnd w:id="25"/>
      <w:bookmarkEnd w:id="26"/>
      <w:bookmarkEnd w:id="27"/>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480" w:firstLineChars="200"/>
        <w:jc w:val="left"/>
        <w:textAlignment w:val="auto"/>
        <w:rPr>
          <w:rFonts w:hint="default" w:ascii="Times New Roman" w:hAnsi="Times New Roman" w:eastAsia="方正仿宋_GBK" w:cs="Times New Roman"/>
          <w:color w:val="auto"/>
          <w:sz w:val="24"/>
          <w:szCs w:val="24"/>
          <w:highlight w:val="none"/>
          <w:u w:val="none"/>
          <w:lang w:eastAsia="zh-CN"/>
        </w:rPr>
      </w:pPr>
      <w:bookmarkStart w:id="29" w:name="_Toc344475121"/>
      <w:bookmarkStart w:id="30" w:name="_Toc466546914"/>
      <w:r>
        <w:rPr>
          <w:rFonts w:hint="default" w:ascii="Times New Roman" w:hAnsi="Times New Roman" w:eastAsia="方正仿宋_GBK" w:cs="Times New Roman"/>
          <w:color w:val="auto"/>
          <w:sz w:val="24"/>
          <w:szCs w:val="24"/>
          <w:highlight w:val="none"/>
        </w:rPr>
        <w:t>（一）</w:t>
      </w:r>
      <w:r>
        <w:rPr>
          <w:rFonts w:hint="eastAsia" w:ascii="Times New Roman" w:hAnsi="Times New Roman" w:eastAsia="方正仿宋_GBK" w:cs="Times New Roman"/>
          <w:color w:val="auto"/>
          <w:sz w:val="24"/>
          <w:szCs w:val="24"/>
          <w:highlight w:val="none"/>
          <w:lang w:eastAsia="zh-CN"/>
        </w:rPr>
        <w:t>服务期</w:t>
      </w:r>
      <w:r>
        <w:rPr>
          <w:rFonts w:hint="default"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kern w:val="0"/>
          <w:sz w:val="24"/>
          <w:szCs w:val="24"/>
          <w:highlight w:val="none"/>
          <w:lang w:val="en-US" w:eastAsia="zh-CN" w:bidi="ar"/>
        </w:rPr>
        <w:t>基金存续期为7年，其中投资期4年，退出期3年。到期后经执行事务合伙人提议，并经全体合伙人一致同意，可延长两次，每次</w:t>
      </w:r>
      <w:r>
        <w:rPr>
          <w:rFonts w:hint="default" w:ascii="Times New Roman" w:hAnsi="Times New Roman" w:eastAsia="方正仿宋_GBK" w:cs="Times New Roman"/>
          <w:kern w:val="0"/>
          <w:sz w:val="24"/>
          <w:szCs w:val="24"/>
          <w:highlight w:val="none"/>
          <w:lang w:val="en-US" w:eastAsia="zh-CN" w:bidi="ar"/>
        </w:rPr>
        <w:t>1年。</w:t>
      </w:r>
    </w:p>
    <w:p>
      <w:pPr>
        <w:pageBreakBefore w:val="0"/>
        <w:widowControl w:val="0"/>
        <w:kinsoku/>
        <w:wordWrap/>
        <w:overflowPunct/>
        <w:topLinePunct w:val="0"/>
        <w:autoSpaceDE/>
        <w:autoSpaceDN/>
        <w:bidi w:val="0"/>
        <w:adjustRightInd/>
        <w:snapToGrid w:val="0"/>
        <w:spacing w:line="340" w:lineRule="exact"/>
        <w:ind w:firstLine="480" w:firstLineChars="200"/>
        <w:textAlignment w:val="auto"/>
        <w:outlineLvl w:val="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（二）</w:t>
      </w:r>
      <w:r>
        <w:rPr>
          <w:rFonts w:hint="default" w:ascii="Times New Roman" w:hAnsi="Times New Roman" w:eastAsia="方正仿宋_GBK" w:cs="Times New Roman"/>
          <w:color w:val="auto"/>
          <w:sz w:val="24"/>
          <w:szCs w:val="24"/>
          <w:highlight w:val="none"/>
          <w:lang w:val="en-US" w:eastAsia="zh-CN"/>
        </w:rPr>
        <w:t>验收方式：</w:t>
      </w:r>
      <w:r>
        <w:rPr>
          <w:rFonts w:hint="eastAsia" w:ascii="Times New Roman" w:hAnsi="Times New Roman" w:eastAsia="方正仿宋_GBK" w:cs="Times New Roman"/>
          <w:color w:val="auto"/>
          <w:sz w:val="24"/>
          <w:szCs w:val="24"/>
          <w:highlight w:val="none"/>
          <w:lang w:val="en-US" w:eastAsia="zh-CN"/>
        </w:rPr>
        <w:t>由采购人组织验收。</w:t>
      </w:r>
    </w:p>
    <w:p>
      <w:pPr>
        <w:pStyle w:val="5"/>
        <w:pageBreakBefore w:val="0"/>
        <w:widowControl w:val="0"/>
        <w:kinsoku/>
        <w:wordWrap/>
        <w:overflowPunct/>
        <w:topLinePunct w:val="0"/>
        <w:autoSpaceDE/>
        <w:autoSpaceDN/>
        <w:bidi w:val="0"/>
        <w:adjustRightInd/>
        <w:spacing w:before="0" w:beforeLines="0" w:after="0" w:afterLines="0" w:line="320" w:lineRule="exact"/>
        <w:ind w:firstLine="482" w:firstLineChars="200"/>
        <w:jc w:val="both"/>
        <w:textAlignment w:val="auto"/>
        <w:rPr>
          <w:rFonts w:hint="default" w:ascii="Times New Roman" w:hAnsi="Times New Roman" w:eastAsia="方正仿宋_GBK" w:cs="Times New Roman"/>
          <w:color w:val="auto"/>
          <w:sz w:val="24"/>
          <w:szCs w:val="24"/>
          <w:highlight w:val="none"/>
        </w:rPr>
      </w:pPr>
      <w:bookmarkStart w:id="31" w:name="_Toc9495"/>
      <w:r>
        <w:rPr>
          <w:rFonts w:hint="default" w:ascii="Times New Roman" w:hAnsi="Times New Roman" w:eastAsia="方正仿宋_GBK" w:cs="Times New Roman"/>
          <w:color w:val="auto"/>
          <w:sz w:val="24"/>
          <w:szCs w:val="24"/>
          <w:highlight w:val="none"/>
        </w:rPr>
        <w:t>二、</w:t>
      </w:r>
      <w:bookmarkEnd w:id="29"/>
      <w:r>
        <w:rPr>
          <w:rFonts w:hint="default" w:ascii="Times New Roman" w:hAnsi="Times New Roman" w:eastAsia="方正仿宋_GBK" w:cs="Times New Roman"/>
          <w:color w:val="auto"/>
          <w:sz w:val="24"/>
          <w:szCs w:val="24"/>
          <w:highlight w:val="none"/>
        </w:rPr>
        <w:t>报价要求</w:t>
      </w:r>
      <w:bookmarkEnd w:id="30"/>
      <w:bookmarkEnd w:id="31"/>
    </w:p>
    <w:p>
      <w:pPr>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本次报价</w:t>
      </w:r>
      <w:r>
        <w:rPr>
          <w:rFonts w:hint="eastAsia" w:ascii="Times New Roman" w:hAnsi="Times New Roman" w:eastAsia="仿宋" w:cs="Times New Roman"/>
          <w:color w:val="auto"/>
          <w:kern w:val="0"/>
          <w:sz w:val="24"/>
          <w:szCs w:val="24"/>
          <w:highlight w:val="none"/>
          <w:lang w:eastAsia="zh-CN"/>
        </w:rPr>
        <w:t>包含基金存续期间所产生的</w:t>
      </w:r>
      <w:r>
        <w:rPr>
          <w:rFonts w:hint="default" w:ascii="Times New Roman" w:hAnsi="Times New Roman" w:eastAsia="仿宋" w:cs="Times New Roman"/>
          <w:b w:val="0"/>
          <w:bCs/>
          <w:color w:val="auto"/>
          <w:kern w:val="2"/>
          <w:sz w:val="24"/>
          <w:szCs w:val="24"/>
          <w:highlight w:val="none"/>
          <w:lang w:val="en-US" w:eastAsia="zh-CN" w:bidi="ar-SA"/>
        </w:rPr>
        <w:t>所有费用。</w:t>
      </w:r>
      <w:r>
        <w:rPr>
          <w:rFonts w:hint="default" w:ascii="Times New Roman" w:hAnsi="Times New Roman" w:eastAsia="仿宋" w:cs="Times New Roman"/>
          <w:color w:val="auto"/>
          <w:kern w:val="0"/>
          <w:sz w:val="24"/>
          <w:szCs w:val="24"/>
          <w:highlight w:val="none"/>
        </w:rPr>
        <w:t>不得超过最高限价。</w:t>
      </w:r>
    </w:p>
    <w:p>
      <w:pPr>
        <w:pStyle w:val="5"/>
        <w:pageBreakBefore w:val="0"/>
        <w:widowControl w:val="0"/>
        <w:kinsoku/>
        <w:wordWrap/>
        <w:overflowPunct/>
        <w:topLinePunct w:val="0"/>
        <w:autoSpaceDE/>
        <w:autoSpaceDN/>
        <w:bidi w:val="0"/>
        <w:adjustRightInd/>
        <w:spacing w:before="0" w:beforeLines="0" w:after="0" w:afterLines="0" w:line="320" w:lineRule="exact"/>
        <w:ind w:firstLine="482" w:firstLineChars="200"/>
        <w:jc w:val="both"/>
        <w:textAlignment w:val="auto"/>
        <w:rPr>
          <w:rFonts w:hint="eastAsia" w:ascii="Times New Roman" w:hAnsi="Times New Roman" w:eastAsia="方正仿宋_GBK" w:cs="Times New Roman"/>
          <w:color w:val="auto"/>
          <w:highlight w:val="none"/>
          <w:lang w:eastAsia="zh-CN"/>
        </w:rPr>
      </w:pPr>
      <w:bookmarkStart w:id="32" w:name="_Toc18644"/>
      <w:bookmarkStart w:id="33" w:name="_Toc466546916"/>
      <w:bookmarkStart w:id="34" w:name="_Toc344475122"/>
      <w:r>
        <w:rPr>
          <w:rFonts w:hint="default" w:ascii="Times New Roman" w:hAnsi="Times New Roman" w:eastAsia="方正仿宋_GBK" w:cs="Times New Roman"/>
          <w:color w:val="auto"/>
          <w:sz w:val="24"/>
          <w:szCs w:val="24"/>
          <w:highlight w:val="none"/>
          <w:lang w:val="en-US" w:eastAsia="zh-CN"/>
        </w:rPr>
        <w:t>三</w:t>
      </w:r>
      <w:r>
        <w:rPr>
          <w:rFonts w:hint="default" w:ascii="Times New Roman" w:hAnsi="Times New Roman" w:eastAsia="方正仿宋_GBK" w:cs="Times New Roman"/>
          <w:color w:val="auto"/>
          <w:sz w:val="24"/>
          <w:szCs w:val="24"/>
          <w:highlight w:val="none"/>
        </w:rPr>
        <w:t>、</w:t>
      </w:r>
      <w:bookmarkEnd w:id="32"/>
      <w:bookmarkEnd w:id="33"/>
      <w:bookmarkEnd w:id="34"/>
      <w:r>
        <w:rPr>
          <w:rFonts w:hint="eastAsia" w:ascii="Times New Roman" w:hAnsi="Times New Roman" w:eastAsia="方正仿宋_GBK" w:cs="Times New Roman"/>
          <w:color w:val="auto"/>
          <w:sz w:val="24"/>
          <w:szCs w:val="24"/>
          <w:highlight w:val="none"/>
          <w:lang w:eastAsia="zh-CN"/>
        </w:rPr>
        <w:t>履约保证金</w:t>
      </w:r>
    </w:p>
    <w:p>
      <w:pPr>
        <w:pStyle w:val="4"/>
        <w:pageBreakBefore w:val="0"/>
        <w:widowControl w:val="0"/>
        <w:kinsoku/>
        <w:wordWrap/>
        <w:overflowPunct/>
        <w:topLinePunct w:val="0"/>
        <w:autoSpaceDE/>
        <w:autoSpaceDN/>
        <w:bidi w:val="0"/>
        <w:adjustRightInd/>
        <w:spacing w:before="0" w:beforeLines="0" w:after="0" w:afterLines="0" w:line="320" w:lineRule="exact"/>
        <w:ind w:firstLine="480" w:firstLineChars="200"/>
        <w:textAlignment w:val="auto"/>
        <w:rPr>
          <w:rFonts w:hint="default" w:ascii="Times New Roman" w:hAnsi="Times New Roman" w:eastAsia="仿宋" w:cs="Times New Roman"/>
          <w:b w:val="0"/>
          <w:color w:val="auto"/>
          <w:kern w:val="0"/>
          <w:sz w:val="24"/>
          <w:szCs w:val="24"/>
          <w:highlight w:val="none"/>
          <w:lang w:val="en-US" w:eastAsia="zh-CN" w:bidi="ar-SA"/>
        </w:rPr>
      </w:pPr>
      <w:bookmarkStart w:id="35" w:name="_Toc15010"/>
      <w:bookmarkStart w:id="36" w:name="_Toc27382"/>
      <w:bookmarkStart w:id="37" w:name="_Toc4252"/>
      <w:bookmarkStart w:id="38" w:name="_Toc3465"/>
      <w:bookmarkStart w:id="39" w:name="_Toc32313"/>
      <w:bookmarkStart w:id="40" w:name="_Toc15677"/>
      <w:bookmarkStart w:id="41" w:name="_Toc20887"/>
      <w:bookmarkStart w:id="42" w:name="_Toc1450"/>
      <w:bookmarkStart w:id="43" w:name="_Toc344475123"/>
      <w:bookmarkStart w:id="44" w:name="_Toc23903"/>
      <w:bookmarkStart w:id="45" w:name="_Toc466546917"/>
      <w:bookmarkStart w:id="46" w:name="_Toc15096"/>
      <w:bookmarkStart w:id="47" w:name="_Toc16693"/>
      <w:bookmarkStart w:id="48" w:name="_Toc106030387"/>
      <w:bookmarkStart w:id="49" w:name="_Toc2821"/>
      <w:bookmarkStart w:id="50" w:name="_Toc14177"/>
      <w:bookmarkStart w:id="51" w:name="_Toc4774"/>
      <w:bookmarkStart w:id="52" w:name="_Toc75793511"/>
      <w:bookmarkStart w:id="53" w:name="_Toc2244"/>
      <w:r>
        <w:rPr>
          <w:rFonts w:hint="eastAsia" w:ascii="Times New Roman" w:hAnsi="Times New Roman" w:eastAsia="仿宋" w:cs="Times New Roman"/>
          <w:b w:val="0"/>
          <w:color w:val="auto"/>
          <w:kern w:val="0"/>
          <w:sz w:val="24"/>
          <w:szCs w:val="24"/>
          <w:highlight w:val="none"/>
          <w:lang w:val="en-US" w:eastAsia="zh-CN" w:bidi="ar-SA"/>
        </w:rPr>
        <w:t>中标人在签订合同前应缴纳履约保证金至招标人指定账户，履约保证金按2万元收取，待基金首期出资到位后，一次性退还、无息。保证金缴纳形式为转账、电汇和保函。</w:t>
      </w:r>
    </w:p>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Pr>
        <w:numPr>
          <w:ilvl w:val="0"/>
          <w:numId w:val="0"/>
        </w:numPr>
        <w:spacing w:line="400" w:lineRule="exact"/>
        <w:ind w:firstLine="482" w:firstLineChars="200"/>
        <w:rPr>
          <w:rFonts w:hint="eastAsia" w:ascii="仿宋" w:hAnsi="仿宋" w:eastAsia="仿宋" w:cs="仿宋"/>
          <w:b/>
          <w:color w:val="auto"/>
          <w:sz w:val="24"/>
          <w:szCs w:val="24"/>
          <w:highlight w:val="none"/>
        </w:rPr>
      </w:pPr>
      <w:bookmarkStart w:id="54" w:name="_Toc344475124"/>
      <w:bookmarkStart w:id="55" w:name="_Toc466546918"/>
      <w:r>
        <w:rPr>
          <w:rFonts w:hint="eastAsia" w:ascii="仿宋" w:hAnsi="仿宋" w:eastAsia="仿宋" w:cs="仿宋"/>
          <w:b/>
          <w:color w:val="auto"/>
          <w:sz w:val="24"/>
          <w:szCs w:val="24"/>
          <w:highlight w:val="none"/>
          <w:lang w:eastAsia="zh-CN"/>
        </w:rPr>
        <w:t>四、</w:t>
      </w:r>
      <w:r>
        <w:rPr>
          <w:rFonts w:hint="eastAsia" w:ascii="仿宋" w:hAnsi="仿宋" w:eastAsia="仿宋" w:cs="仿宋"/>
          <w:b/>
          <w:color w:val="auto"/>
          <w:sz w:val="24"/>
          <w:szCs w:val="24"/>
          <w:highlight w:val="none"/>
        </w:rPr>
        <w:t>违约责任</w:t>
      </w:r>
    </w:p>
    <w:p>
      <w:pPr>
        <w:pStyle w:val="23"/>
        <w:numPr>
          <w:ilvl w:val="0"/>
          <w:numId w:val="0"/>
        </w:numPr>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（一）</w:t>
      </w:r>
      <w:r>
        <w:rPr>
          <w:rFonts w:hint="eastAsia" w:ascii="仿宋" w:hAnsi="仿宋" w:eastAsia="仿宋" w:cs="仿宋"/>
          <w:color w:val="auto"/>
          <w:kern w:val="0"/>
          <w:sz w:val="24"/>
          <w:szCs w:val="24"/>
          <w:highlight w:val="none"/>
        </w:rPr>
        <w:t>中标人提供的</w:t>
      </w:r>
      <w:r>
        <w:rPr>
          <w:rFonts w:hint="eastAsia" w:ascii="仿宋" w:hAnsi="仿宋" w:eastAsia="仿宋" w:cs="仿宋"/>
          <w:color w:val="auto"/>
          <w:kern w:val="0"/>
          <w:sz w:val="24"/>
          <w:szCs w:val="24"/>
          <w:highlight w:val="none"/>
          <w:lang w:eastAsia="zh-CN"/>
        </w:rPr>
        <w:t>服务</w:t>
      </w:r>
      <w:r>
        <w:rPr>
          <w:rFonts w:hint="eastAsia" w:ascii="仿宋" w:hAnsi="仿宋" w:eastAsia="仿宋" w:cs="仿宋"/>
          <w:color w:val="auto"/>
          <w:kern w:val="0"/>
          <w:sz w:val="24"/>
          <w:szCs w:val="24"/>
          <w:highlight w:val="none"/>
        </w:rPr>
        <w:t>未达到招标文件规定要求，且对采购人造成损失的，由中标人承担一切责任，并赔偿所造成的损失。</w:t>
      </w:r>
    </w:p>
    <w:p>
      <w:pPr>
        <w:pStyle w:val="222"/>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CN"/>
        </w:rPr>
        <w:t>二</w:t>
      </w:r>
      <w:r>
        <w:rPr>
          <w:rFonts w:hint="eastAsia" w:ascii="仿宋" w:hAnsi="仿宋" w:eastAsia="仿宋" w:cs="仿宋"/>
          <w:color w:val="auto"/>
          <w:szCs w:val="24"/>
          <w:highlight w:val="none"/>
        </w:rPr>
        <w:t>）中标人应向采购人支付的违约金，采购人有权在应付未付款中扣除，违约金不足以弥补采购人损失的，采购人可向中标人追偿。</w:t>
      </w:r>
    </w:p>
    <w:p>
      <w:pPr>
        <w:numPr>
          <w:ilvl w:val="0"/>
          <w:numId w:val="0"/>
        </w:numPr>
        <w:spacing w:line="40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五、</w:t>
      </w:r>
      <w:r>
        <w:rPr>
          <w:rFonts w:hint="eastAsia" w:ascii="仿宋" w:hAnsi="仿宋" w:eastAsia="仿宋" w:cs="仿宋"/>
          <w:b/>
          <w:color w:val="auto"/>
          <w:sz w:val="24"/>
          <w:szCs w:val="24"/>
          <w:highlight w:val="none"/>
        </w:rPr>
        <w:t>争议解决办法</w:t>
      </w:r>
    </w:p>
    <w:p>
      <w:pPr>
        <w:pStyle w:val="23"/>
        <w:ind w:firstLine="480" w:firstLineChars="200"/>
        <w:rPr>
          <w:rFonts w:hint="default" w:ascii="Times New Roman" w:hAnsi="Times New Roman" w:eastAsia="方正仿宋_GBK" w:cs="Times New Roman"/>
          <w:color w:val="auto"/>
          <w:sz w:val="24"/>
          <w:szCs w:val="24"/>
          <w:highlight w:val="none"/>
          <w:lang w:val="en-US" w:eastAsia="zh-CN"/>
        </w:rPr>
      </w:pPr>
      <w:r>
        <w:rPr>
          <w:rFonts w:hint="eastAsia" w:ascii="仿宋" w:hAnsi="仿宋" w:eastAsia="仿宋" w:cs="仿宋"/>
          <w:color w:val="auto"/>
          <w:kern w:val="0"/>
          <w:sz w:val="24"/>
          <w:szCs w:val="24"/>
          <w:highlight w:val="none"/>
        </w:rPr>
        <w:t>采购双方出现争议的，由采购双方友好协商，协商无法达成一致的，向项目所在地人民法院提起诉讼。</w:t>
      </w:r>
    </w:p>
    <w:p>
      <w:pPr>
        <w:pStyle w:val="5"/>
        <w:pageBreakBefore w:val="0"/>
        <w:widowControl w:val="0"/>
        <w:kinsoku/>
        <w:wordWrap/>
        <w:overflowPunct/>
        <w:topLinePunct w:val="0"/>
        <w:autoSpaceDE/>
        <w:autoSpaceDN/>
        <w:bidi w:val="0"/>
        <w:adjustRightInd/>
        <w:spacing w:before="0" w:beforeLines="0" w:after="0" w:afterLines="0" w:line="360" w:lineRule="exact"/>
        <w:ind w:firstLine="482" w:firstLineChars="200"/>
        <w:jc w:val="both"/>
        <w:textAlignment w:val="auto"/>
        <w:rPr>
          <w:rFonts w:hint="default" w:ascii="Times New Roman" w:hAnsi="Times New Roman" w:eastAsia="方正仿宋_GBK" w:cs="Times New Roman"/>
          <w:color w:val="auto"/>
          <w:sz w:val="24"/>
          <w:szCs w:val="24"/>
          <w:highlight w:val="none"/>
        </w:rPr>
      </w:pPr>
      <w:bookmarkStart w:id="56" w:name="_Toc4921"/>
      <w:r>
        <w:rPr>
          <w:rFonts w:hint="eastAsia" w:ascii="Times New Roman" w:hAnsi="Times New Roman" w:eastAsia="方正仿宋_GBK" w:cs="Times New Roman"/>
          <w:color w:val="auto"/>
          <w:sz w:val="24"/>
          <w:szCs w:val="24"/>
          <w:highlight w:val="none"/>
          <w:lang w:val="en-US" w:eastAsia="zh-CN"/>
        </w:rPr>
        <w:t>六</w:t>
      </w:r>
      <w:r>
        <w:rPr>
          <w:rFonts w:hint="default" w:ascii="Times New Roman" w:hAnsi="Times New Roman" w:eastAsia="方正仿宋_GBK" w:cs="Times New Roman"/>
          <w:color w:val="auto"/>
          <w:sz w:val="24"/>
          <w:szCs w:val="24"/>
          <w:highlight w:val="none"/>
        </w:rPr>
        <w:t>、</w:t>
      </w:r>
      <w:bookmarkEnd w:id="54"/>
      <w:bookmarkStart w:id="57" w:name="_Toc344475125"/>
      <w:r>
        <w:rPr>
          <w:rFonts w:hint="default" w:ascii="Times New Roman" w:hAnsi="Times New Roman" w:eastAsia="方正仿宋_GBK" w:cs="Times New Roman"/>
          <w:color w:val="auto"/>
          <w:sz w:val="24"/>
          <w:szCs w:val="24"/>
          <w:highlight w:val="none"/>
        </w:rPr>
        <w:t>其他</w:t>
      </w:r>
      <w:bookmarkEnd w:id="55"/>
      <w:bookmarkEnd w:id="56"/>
    </w:p>
    <w:bookmarkEnd w:id="57"/>
    <w:p>
      <w:pPr>
        <w:pageBreakBefore w:val="0"/>
        <w:widowControl w:val="0"/>
        <w:kinsoku/>
        <w:wordWrap/>
        <w:overflowPunct/>
        <w:topLinePunct w:val="0"/>
        <w:autoSpaceDE/>
        <w:autoSpaceDN/>
        <w:bidi w:val="0"/>
        <w:adjustRightInd/>
        <w:snapToGrid w:val="0"/>
        <w:spacing w:line="360" w:lineRule="exact"/>
        <w:ind w:firstLine="480" w:firstLineChars="200"/>
        <w:textAlignment w:val="auto"/>
        <w:outlineLvl w:val="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（一）供应商必须在响应文件中对以上条款和服务承诺明确列出，承诺内容必须达到本篇及</w:t>
      </w:r>
      <w:r>
        <w:rPr>
          <w:rFonts w:hint="eastAsia" w:ascii="Times New Roman" w:hAnsi="Times New Roman" w:eastAsia="方正仿宋_GBK" w:cs="Times New Roman"/>
          <w:color w:val="auto"/>
          <w:sz w:val="24"/>
          <w:szCs w:val="24"/>
          <w:highlight w:val="none"/>
          <w:lang w:eastAsia="zh-CN"/>
        </w:rPr>
        <w:t>招标</w:t>
      </w:r>
      <w:r>
        <w:rPr>
          <w:rFonts w:hint="default" w:ascii="Times New Roman" w:hAnsi="Times New Roman" w:eastAsia="方正仿宋_GBK" w:cs="Times New Roman"/>
          <w:color w:val="auto"/>
          <w:sz w:val="24"/>
          <w:szCs w:val="24"/>
          <w:highlight w:val="none"/>
        </w:rPr>
        <w:t>文件其他条款的要求。</w:t>
      </w:r>
    </w:p>
    <w:p>
      <w:pPr>
        <w:pageBreakBefore w:val="0"/>
        <w:widowControl w:val="0"/>
        <w:kinsoku/>
        <w:wordWrap/>
        <w:overflowPunct/>
        <w:topLinePunct w:val="0"/>
        <w:autoSpaceDE/>
        <w:autoSpaceDN/>
        <w:bidi w:val="0"/>
        <w:adjustRightInd/>
        <w:snapToGrid w:val="0"/>
        <w:spacing w:line="360" w:lineRule="exact"/>
        <w:ind w:firstLine="480" w:firstLineChars="200"/>
        <w:textAlignment w:val="auto"/>
        <w:outlineLvl w:val="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（二）其他未尽事宜由供需双方在采购合同中详细约定。</w:t>
      </w:r>
    </w:p>
    <w:p>
      <w:pPr>
        <w:pStyle w:val="4"/>
        <w:spacing w:before="0" w:after="0" w:line="360" w:lineRule="auto"/>
        <w:jc w:val="center"/>
        <w:rPr>
          <w:rFonts w:hint="default" w:ascii="Times New Roman" w:hAnsi="Times New Roman" w:eastAsia="方正小标宋_GBK" w:cs="Times New Roman"/>
          <w:b w:val="0"/>
          <w:color w:val="auto"/>
          <w:sz w:val="36"/>
          <w:szCs w:val="30"/>
          <w:highlight w:val="none"/>
        </w:rPr>
      </w:pPr>
    </w:p>
    <w:p>
      <w:pPr>
        <w:pStyle w:val="4"/>
        <w:spacing w:before="0" w:after="0" w:line="360" w:lineRule="auto"/>
        <w:jc w:val="both"/>
        <w:rPr>
          <w:rFonts w:hint="default" w:ascii="Times New Roman" w:hAnsi="Times New Roman" w:eastAsia="方正小标宋_GBK" w:cs="Times New Roman"/>
          <w:b w:val="0"/>
          <w:color w:val="auto"/>
          <w:sz w:val="36"/>
          <w:szCs w:val="30"/>
          <w:highlight w:val="none"/>
        </w:rPr>
      </w:pPr>
    </w:p>
    <w:p>
      <w:pPr>
        <w:rPr>
          <w:rFonts w:hint="default" w:ascii="Times New Roman" w:hAnsi="Times New Roman" w:eastAsia="方正小标宋_GBK" w:cs="Times New Roman"/>
          <w:b/>
          <w:color w:val="auto"/>
          <w:sz w:val="36"/>
          <w:szCs w:val="30"/>
          <w:highlight w:val="none"/>
        </w:rPr>
      </w:pPr>
    </w:p>
    <w:p>
      <w:pPr>
        <w:pStyle w:val="23"/>
        <w:rPr>
          <w:rFonts w:hint="default" w:ascii="Times New Roman" w:hAnsi="Times New Roman" w:eastAsia="方正小标宋_GBK" w:cs="Times New Roman"/>
          <w:b/>
          <w:color w:val="auto"/>
          <w:sz w:val="36"/>
          <w:szCs w:val="30"/>
          <w:highlight w:val="none"/>
        </w:rPr>
      </w:pPr>
    </w:p>
    <w:p>
      <w:pPr>
        <w:pStyle w:val="222"/>
        <w:rPr>
          <w:rFonts w:hint="default" w:ascii="Times New Roman" w:hAnsi="Times New Roman" w:eastAsia="方正小标宋_GBK" w:cs="Times New Roman"/>
          <w:b/>
          <w:color w:val="auto"/>
          <w:sz w:val="36"/>
          <w:szCs w:val="30"/>
          <w:highlight w:val="none"/>
        </w:rPr>
      </w:pPr>
    </w:p>
    <w:p>
      <w:pPr>
        <w:pStyle w:val="222"/>
        <w:rPr>
          <w:rFonts w:hint="default" w:ascii="Times New Roman" w:hAnsi="Times New Roman" w:eastAsia="方正小标宋_GBK" w:cs="Times New Roman"/>
          <w:b/>
          <w:color w:val="auto"/>
          <w:sz w:val="36"/>
          <w:szCs w:val="30"/>
          <w:highlight w:val="none"/>
        </w:rPr>
      </w:pPr>
    </w:p>
    <w:p>
      <w:pPr>
        <w:pStyle w:val="222"/>
        <w:rPr>
          <w:rFonts w:hint="default" w:ascii="Times New Roman" w:hAnsi="Times New Roman" w:eastAsia="方正小标宋_GBK" w:cs="Times New Roman"/>
          <w:b/>
          <w:color w:val="auto"/>
          <w:sz w:val="36"/>
          <w:szCs w:val="30"/>
          <w:highlight w:val="none"/>
        </w:rPr>
      </w:pPr>
    </w:p>
    <w:p>
      <w:pPr>
        <w:pStyle w:val="222"/>
        <w:rPr>
          <w:rFonts w:hint="default" w:ascii="Times New Roman" w:hAnsi="Times New Roman" w:eastAsia="方正小标宋_GBK" w:cs="Times New Roman"/>
          <w:b/>
          <w:color w:val="auto"/>
          <w:sz w:val="36"/>
          <w:szCs w:val="30"/>
          <w:highlight w:val="none"/>
        </w:rPr>
      </w:pPr>
    </w:p>
    <w:p>
      <w:pPr>
        <w:pStyle w:val="222"/>
        <w:rPr>
          <w:rFonts w:hint="default" w:ascii="Times New Roman" w:hAnsi="Times New Roman" w:eastAsia="方正小标宋_GBK" w:cs="Times New Roman"/>
          <w:b/>
          <w:color w:val="auto"/>
          <w:sz w:val="36"/>
          <w:szCs w:val="30"/>
          <w:highlight w:val="none"/>
        </w:rPr>
      </w:pPr>
    </w:p>
    <w:p>
      <w:pPr>
        <w:pStyle w:val="3"/>
        <w:shd w:val="clear"/>
        <w:spacing w:before="0" w:beforeLines="0" w:after="0" w:afterLines="0" w:line="360" w:lineRule="auto"/>
        <w:rPr>
          <w:rFonts w:hint="eastAsia" w:ascii="仿宋" w:hAnsi="仿宋" w:eastAsia="仿宋" w:cs="仿宋"/>
          <w:b/>
          <w:highlight w:val="none"/>
        </w:rPr>
      </w:pPr>
      <w:r>
        <w:rPr>
          <w:rFonts w:hint="eastAsia" w:ascii="仿宋" w:hAnsi="仿宋" w:eastAsia="仿宋" w:cs="仿宋"/>
          <w:b/>
          <w:highlight w:val="none"/>
        </w:rPr>
        <w:t>第四篇  资格审查及评标办法</w:t>
      </w:r>
      <w:bookmarkEnd w:id="28"/>
    </w:p>
    <w:p>
      <w:pPr>
        <w:pStyle w:val="4"/>
        <w:shd w:val="clear"/>
        <w:spacing w:line="400" w:lineRule="exact"/>
        <w:ind w:firstLine="482" w:firstLineChars="200"/>
        <w:rPr>
          <w:rFonts w:hint="eastAsia" w:ascii="仿宋" w:hAnsi="仿宋" w:eastAsia="仿宋" w:cs="仿宋"/>
          <w:b/>
          <w:sz w:val="24"/>
          <w:szCs w:val="24"/>
          <w:highlight w:val="none"/>
        </w:rPr>
      </w:pPr>
      <w:bookmarkStart w:id="58" w:name="_Toc492721015"/>
      <w:bookmarkStart w:id="59" w:name="_Toc7390"/>
      <w:r>
        <w:rPr>
          <w:rFonts w:hint="eastAsia" w:ascii="仿宋" w:hAnsi="仿宋" w:eastAsia="仿宋" w:cs="仿宋"/>
          <w:b/>
          <w:sz w:val="24"/>
          <w:szCs w:val="24"/>
          <w:highlight w:val="none"/>
        </w:rPr>
        <w:t>一、资格审查</w:t>
      </w:r>
      <w:bookmarkEnd w:id="58"/>
      <w:bookmarkEnd w:id="59"/>
    </w:p>
    <w:p>
      <w:pPr>
        <w:pageBreakBefore w:val="0"/>
        <w:widowControl w:val="0"/>
        <w:kinsoku/>
        <w:wordWrap/>
        <w:overflowPunct/>
        <w:topLinePunct w:val="0"/>
        <w:autoSpaceDE/>
        <w:autoSpaceDN/>
        <w:bidi w:val="0"/>
        <w:adjustRightInd/>
        <w:snapToGrid w:val="0"/>
        <w:spacing w:line="360" w:lineRule="exact"/>
        <w:ind w:firstLine="480" w:firstLineChars="200"/>
        <w:textAlignment w:val="auto"/>
        <w:outlineLvl w:val="0"/>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依据政府采购相关法律法规规定,由采购人对电子投标文件中的资格证明文件进行审查。资格审查资料表如下：</w:t>
      </w:r>
    </w:p>
    <w:tbl>
      <w:tblPr>
        <w:tblStyle w:val="57"/>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79"/>
        <w:gridCol w:w="3464"/>
        <w:gridCol w:w="3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824" w:type="dxa"/>
            <w:noWrap w:val="0"/>
            <w:vAlign w:val="center"/>
          </w:tcPr>
          <w:p>
            <w:pPr>
              <w:shd w:val="clear"/>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序号</w:t>
            </w:r>
          </w:p>
        </w:tc>
        <w:tc>
          <w:tcPr>
            <w:tcW w:w="4243" w:type="dxa"/>
            <w:gridSpan w:val="2"/>
            <w:noWrap w:val="0"/>
            <w:vAlign w:val="center"/>
          </w:tcPr>
          <w:p>
            <w:pPr>
              <w:shd w:val="clear"/>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检查因素</w:t>
            </w:r>
          </w:p>
        </w:tc>
        <w:tc>
          <w:tcPr>
            <w:tcW w:w="3872" w:type="dxa"/>
            <w:noWrap w:val="0"/>
            <w:vAlign w:val="center"/>
          </w:tcPr>
          <w:p>
            <w:pPr>
              <w:shd w:val="clear"/>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9" w:hRule="atLeast"/>
        </w:trPr>
        <w:tc>
          <w:tcPr>
            <w:tcW w:w="824" w:type="dxa"/>
            <w:vMerge w:val="restart"/>
            <w:noWrap w:val="0"/>
            <w:vAlign w:val="center"/>
          </w:tcPr>
          <w:p>
            <w:pPr>
              <w:shd w:val="clea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w:t>
            </w:r>
          </w:p>
        </w:tc>
        <w:tc>
          <w:tcPr>
            <w:tcW w:w="779" w:type="dxa"/>
            <w:vMerge w:val="restart"/>
            <w:noWrap w:val="0"/>
            <w:vAlign w:val="center"/>
          </w:tcPr>
          <w:p>
            <w:pPr>
              <w:shd w:val="clear"/>
              <w:rPr>
                <w:rFonts w:hint="eastAsia" w:ascii="仿宋" w:hAnsi="仿宋" w:eastAsia="仿宋" w:cs="仿宋"/>
                <w:color w:val="auto"/>
                <w:sz w:val="21"/>
                <w:szCs w:val="21"/>
                <w:highlight w:val="none"/>
                <w:lang w:val="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垫江县</w:t>
            </w:r>
            <w:r>
              <w:rPr>
                <w:rFonts w:hint="eastAsia" w:ascii="仿宋" w:hAnsi="仿宋" w:eastAsia="仿宋" w:cs="仿宋"/>
                <w:sz w:val="21"/>
                <w:szCs w:val="21"/>
                <w:highlight w:val="none"/>
              </w:rPr>
              <w:t>属国有企业采购管理办法》第十二条规定</w:t>
            </w:r>
          </w:p>
        </w:tc>
        <w:tc>
          <w:tcPr>
            <w:tcW w:w="3464" w:type="dxa"/>
            <w:noWrap w:val="0"/>
            <w:vAlign w:val="center"/>
          </w:tcPr>
          <w:p>
            <w:pPr>
              <w:shd w:val="clea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1.具有独立承担民事责任的能力</w:t>
            </w:r>
          </w:p>
        </w:tc>
        <w:tc>
          <w:tcPr>
            <w:tcW w:w="3872" w:type="dxa"/>
            <w:noWrap w:val="0"/>
            <w:vAlign w:val="center"/>
          </w:tcPr>
          <w:p>
            <w:pPr>
              <w:shd w:val="clea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1.投标人法人营业执照（副本）或事业单位法人证书（副本）或个体工商户营业执照或有效的自然人身份证明或社会团体法人登记证书（提供复印件）。 </w:t>
            </w:r>
          </w:p>
          <w:p>
            <w:pPr>
              <w:shd w:val="clea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824" w:type="dxa"/>
            <w:vMerge w:val="continue"/>
            <w:noWrap w:val="0"/>
            <w:vAlign w:val="center"/>
          </w:tcPr>
          <w:p>
            <w:pPr>
              <w:shd w:val="clear"/>
              <w:jc w:val="center"/>
              <w:rPr>
                <w:rFonts w:hint="eastAsia" w:ascii="仿宋" w:hAnsi="仿宋" w:eastAsia="仿宋" w:cs="仿宋"/>
                <w:color w:val="auto"/>
                <w:sz w:val="21"/>
                <w:szCs w:val="21"/>
                <w:highlight w:val="none"/>
              </w:rPr>
            </w:pPr>
          </w:p>
        </w:tc>
        <w:tc>
          <w:tcPr>
            <w:tcW w:w="779" w:type="dxa"/>
            <w:vMerge w:val="continue"/>
            <w:noWrap w:val="0"/>
            <w:vAlign w:val="center"/>
          </w:tcPr>
          <w:p>
            <w:pPr>
              <w:shd w:val="clear"/>
              <w:rPr>
                <w:rFonts w:hint="eastAsia" w:ascii="仿宋" w:hAnsi="仿宋" w:eastAsia="仿宋" w:cs="仿宋"/>
                <w:color w:val="auto"/>
                <w:sz w:val="21"/>
                <w:szCs w:val="21"/>
                <w:highlight w:val="none"/>
                <w:lang w:val="zh-CN"/>
              </w:rPr>
            </w:pPr>
          </w:p>
        </w:tc>
        <w:tc>
          <w:tcPr>
            <w:tcW w:w="3464" w:type="dxa"/>
            <w:noWrap w:val="0"/>
            <w:vAlign w:val="center"/>
          </w:tcPr>
          <w:p>
            <w:pPr>
              <w:shd w:val="clea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2.</w:t>
            </w:r>
            <w:r>
              <w:rPr>
                <w:rFonts w:hint="eastAsia" w:ascii="仿宋" w:hAnsi="仿宋" w:eastAsia="仿宋" w:cs="仿宋"/>
                <w:color w:val="auto"/>
                <w:sz w:val="21"/>
                <w:szCs w:val="21"/>
                <w:highlight w:val="none"/>
              </w:rPr>
              <w:t>具有良好的商业信誉和健全的财务会计制度</w:t>
            </w:r>
          </w:p>
        </w:tc>
        <w:tc>
          <w:tcPr>
            <w:tcW w:w="3872" w:type="dxa"/>
            <w:vMerge w:val="restart"/>
            <w:noWrap w:val="0"/>
            <w:vAlign w:val="center"/>
          </w:tcPr>
          <w:p>
            <w:pPr>
              <w:shd w:val="clea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投标人提供基本资格条件承诺函（见格式文件）。</w:t>
            </w:r>
          </w:p>
          <w:p>
            <w:pPr>
              <w:shd w:val="clea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应对其承诺内容的真实性、合法性、有效性负责。经调查核实为虚假承诺的，视同为“提供虚假材料谋取中标、成交”的违法行为，依照《中华人民共和国政府采购法》等法律法规追 究相应责任。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824" w:type="dxa"/>
            <w:vMerge w:val="continue"/>
            <w:noWrap w:val="0"/>
            <w:vAlign w:val="center"/>
          </w:tcPr>
          <w:p>
            <w:pPr>
              <w:shd w:val="clear"/>
              <w:jc w:val="center"/>
              <w:rPr>
                <w:rFonts w:hint="eastAsia" w:ascii="仿宋" w:hAnsi="仿宋" w:eastAsia="仿宋" w:cs="仿宋"/>
                <w:color w:val="auto"/>
                <w:sz w:val="21"/>
                <w:szCs w:val="21"/>
                <w:highlight w:val="none"/>
              </w:rPr>
            </w:pPr>
          </w:p>
        </w:tc>
        <w:tc>
          <w:tcPr>
            <w:tcW w:w="779" w:type="dxa"/>
            <w:vMerge w:val="continue"/>
            <w:noWrap w:val="0"/>
            <w:vAlign w:val="center"/>
          </w:tcPr>
          <w:p>
            <w:pPr>
              <w:shd w:val="clear"/>
              <w:rPr>
                <w:rFonts w:hint="eastAsia" w:ascii="仿宋" w:hAnsi="仿宋" w:eastAsia="仿宋" w:cs="仿宋"/>
                <w:color w:val="auto"/>
                <w:sz w:val="21"/>
                <w:szCs w:val="21"/>
                <w:highlight w:val="none"/>
                <w:lang w:val="zh-CN"/>
              </w:rPr>
            </w:pPr>
          </w:p>
        </w:tc>
        <w:tc>
          <w:tcPr>
            <w:tcW w:w="3464" w:type="dxa"/>
            <w:noWrap w:val="0"/>
            <w:vAlign w:val="center"/>
          </w:tcPr>
          <w:p>
            <w:pPr>
              <w:shd w:val="clea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3.具有履行合同所必需的设备和专业技术、</w:t>
            </w:r>
            <w:r>
              <w:rPr>
                <w:rFonts w:hint="eastAsia" w:ascii="仿宋" w:hAnsi="仿宋" w:eastAsia="仿宋" w:cs="仿宋"/>
                <w:color w:val="auto"/>
                <w:sz w:val="21"/>
                <w:szCs w:val="21"/>
                <w:highlight w:val="none"/>
                <w:lang w:val="en-US" w:eastAsia="zh-CN"/>
              </w:rPr>
              <w:t>售后保障等</w:t>
            </w:r>
            <w:r>
              <w:rPr>
                <w:rFonts w:hint="eastAsia" w:ascii="仿宋" w:hAnsi="仿宋" w:eastAsia="仿宋" w:cs="仿宋"/>
                <w:color w:val="auto"/>
                <w:sz w:val="21"/>
                <w:szCs w:val="21"/>
                <w:highlight w:val="none"/>
                <w:lang w:val="zh-CN"/>
              </w:rPr>
              <w:t>能力</w:t>
            </w:r>
          </w:p>
        </w:tc>
        <w:tc>
          <w:tcPr>
            <w:tcW w:w="3872" w:type="dxa"/>
            <w:vMerge w:val="continue"/>
            <w:noWrap w:val="0"/>
            <w:vAlign w:val="center"/>
          </w:tcPr>
          <w:p>
            <w:pPr>
              <w:shd w:val="clear"/>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824" w:type="dxa"/>
            <w:vMerge w:val="continue"/>
            <w:noWrap w:val="0"/>
            <w:vAlign w:val="center"/>
          </w:tcPr>
          <w:p>
            <w:pPr>
              <w:shd w:val="clear"/>
              <w:jc w:val="center"/>
              <w:rPr>
                <w:rFonts w:hint="eastAsia" w:ascii="仿宋" w:hAnsi="仿宋" w:eastAsia="仿宋" w:cs="仿宋"/>
                <w:color w:val="auto"/>
                <w:sz w:val="21"/>
                <w:szCs w:val="21"/>
                <w:highlight w:val="none"/>
              </w:rPr>
            </w:pPr>
          </w:p>
        </w:tc>
        <w:tc>
          <w:tcPr>
            <w:tcW w:w="779" w:type="dxa"/>
            <w:vMerge w:val="continue"/>
            <w:noWrap w:val="0"/>
            <w:vAlign w:val="center"/>
          </w:tcPr>
          <w:p>
            <w:pPr>
              <w:shd w:val="clear"/>
              <w:rPr>
                <w:rFonts w:hint="eastAsia" w:ascii="仿宋" w:hAnsi="仿宋" w:eastAsia="仿宋" w:cs="仿宋"/>
                <w:color w:val="auto"/>
                <w:sz w:val="21"/>
                <w:szCs w:val="21"/>
                <w:highlight w:val="none"/>
                <w:lang w:val="zh-CN"/>
              </w:rPr>
            </w:pPr>
          </w:p>
        </w:tc>
        <w:tc>
          <w:tcPr>
            <w:tcW w:w="3464" w:type="dxa"/>
            <w:noWrap w:val="0"/>
            <w:vAlign w:val="center"/>
          </w:tcPr>
          <w:p>
            <w:pPr>
              <w:shd w:val="clea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4.有依法缴纳税收和社会保障</w:t>
            </w:r>
            <w:r>
              <w:rPr>
                <w:rFonts w:hint="eastAsia" w:ascii="仿宋" w:hAnsi="仿宋" w:eastAsia="仿宋" w:cs="仿宋"/>
                <w:color w:val="auto"/>
                <w:sz w:val="21"/>
                <w:szCs w:val="21"/>
                <w:highlight w:val="none"/>
                <w:lang w:val="en-US" w:eastAsia="zh-CN"/>
              </w:rPr>
              <w:t>资</w:t>
            </w:r>
            <w:r>
              <w:rPr>
                <w:rFonts w:hint="eastAsia" w:ascii="仿宋" w:hAnsi="仿宋" w:eastAsia="仿宋" w:cs="仿宋"/>
                <w:color w:val="auto"/>
                <w:sz w:val="21"/>
                <w:szCs w:val="21"/>
                <w:highlight w:val="none"/>
                <w:lang w:val="zh-CN"/>
              </w:rPr>
              <w:t>金的良好记录</w:t>
            </w:r>
          </w:p>
        </w:tc>
        <w:tc>
          <w:tcPr>
            <w:tcW w:w="3872" w:type="dxa"/>
            <w:vMerge w:val="continue"/>
            <w:noWrap w:val="0"/>
            <w:vAlign w:val="center"/>
          </w:tcPr>
          <w:p>
            <w:pPr>
              <w:shd w:val="clear"/>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824" w:type="dxa"/>
            <w:vMerge w:val="continue"/>
            <w:noWrap w:val="0"/>
            <w:vAlign w:val="center"/>
          </w:tcPr>
          <w:p>
            <w:pPr>
              <w:shd w:val="clear"/>
              <w:jc w:val="center"/>
              <w:rPr>
                <w:rFonts w:hint="eastAsia" w:ascii="仿宋" w:hAnsi="仿宋" w:eastAsia="仿宋" w:cs="仿宋"/>
                <w:color w:val="auto"/>
                <w:sz w:val="21"/>
                <w:szCs w:val="21"/>
                <w:highlight w:val="none"/>
              </w:rPr>
            </w:pPr>
          </w:p>
        </w:tc>
        <w:tc>
          <w:tcPr>
            <w:tcW w:w="779" w:type="dxa"/>
            <w:vMerge w:val="continue"/>
            <w:noWrap w:val="0"/>
            <w:vAlign w:val="center"/>
          </w:tcPr>
          <w:p>
            <w:pPr>
              <w:shd w:val="clear"/>
              <w:rPr>
                <w:rFonts w:hint="eastAsia" w:ascii="仿宋" w:hAnsi="仿宋" w:eastAsia="仿宋" w:cs="仿宋"/>
                <w:color w:val="auto"/>
                <w:sz w:val="21"/>
                <w:szCs w:val="21"/>
                <w:highlight w:val="none"/>
                <w:lang w:val="zh-CN"/>
              </w:rPr>
            </w:pPr>
          </w:p>
        </w:tc>
        <w:tc>
          <w:tcPr>
            <w:tcW w:w="3464" w:type="dxa"/>
            <w:noWrap w:val="0"/>
            <w:vAlign w:val="center"/>
          </w:tcPr>
          <w:p>
            <w:pPr>
              <w:shd w:val="clea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5.参加采购</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招投标等</w:t>
            </w:r>
            <w:r>
              <w:rPr>
                <w:rFonts w:hint="eastAsia" w:ascii="仿宋" w:hAnsi="仿宋" w:eastAsia="仿宋" w:cs="仿宋"/>
                <w:color w:val="auto"/>
                <w:sz w:val="21"/>
                <w:szCs w:val="21"/>
                <w:highlight w:val="none"/>
              </w:rPr>
              <w:t>活动前三年内，在经营活动中没有重大违法记录（注</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position w:val="3"/>
                <w:sz w:val="16"/>
                <w:szCs w:val="24"/>
                <w:highlight w:val="none"/>
              </w:rPr>
              <w:instrText xml:space="preserve">1</w:instrText>
            </w:r>
            <w:r>
              <w:rPr>
                <w:rFonts w:hint="eastAsia" w:ascii="仿宋" w:hAnsi="仿宋" w:eastAsia="仿宋" w:cs="仿宋"/>
                <w:color w:val="auto"/>
                <w:kern w:val="0"/>
                <w:sz w:val="24"/>
                <w:szCs w:val="24"/>
                <w:highlight w:val="none"/>
              </w:rPr>
              <w:instrText xml:space="preserve">)</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sz w:val="21"/>
                <w:szCs w:val="21"/>
                <w:highlight w:val="none"/>
              </w:rPr>
              <w:t>）</w:t>
            </w:r>
          </w:p>
        </w:tc>
        <w:tc>
          <w:tcPr>
            <w:tcW w:w="3872" w:type="dxa"/>
            <w:vMerge w:val="continue"/>
            <w:noWrap w:val="0"/>
            <w:vAlign w:val="center"/>
          </w:tcPr>
          <w:p>
            <w:pPr>
              <w:shd w:val="clear"/>
              <w:rPr>
                <w:rFonts w:hint="eastAsia" w:ascii="仿宋" w:hAnsi="仿宋" w:eastAsia="仿宋" w:cs="仿宋"/>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824" w:type="dxa"/>
            <w:vMerge w:val="continue"/>
            <w:noWrap w:val="0"/>
            <w:vAlign w:val="center"/>
          </w:tcPr>
          <w:p>
            <w:pPr>
              <w:shd w:val="clear"/>
              <w:jc w:val="center"/>
              <w:rPr>
                <w:rFonts w:hint="eastAsia" w:ascii="仿宋" w:hAnsi="仿宋" w:eastAsia="仿宋" w:cs="仿宋"/>
                <w:color w:val="auto"/>
                <w:sz w:val="21"/>
                <w:szCs w:val="21"/>
                <w:highlight w:val="none"/>
              </w:rPr>
            </w:pPr>
          </w:p>
        </w:tc>
        <w:tc>
          <w:tcPr>
            <w:tcW w:w="779" w:type="dxa"/>
            <w:vMerge w:val="continue"/>
            <w:noWrap w:val="0"/>
            <w:vAlign w:val="center"/>
          </w:tcPr>
          <w:p>
            <w:pPr>
              <w:shd w:val="clear"/>
              <w:rPr>
                <w:rFonts w:hint="eastAsia" w:ascii="仿宋" w:hAnsi="仿宋" w:eastAsia="仿宋" w:cs="仿宋"/>
                <w:color w:val="auto"/>
                <w:sz w:val="21"/>
                <w:szCs w:val="21"/>
                <w:highlight w:val="none"/>
              </w:rPr>
            </w:pPr>
          </w:p>
        </w:tc>
        <w:tc>
          <w:tcPr>
            <w:tcW w:w="3464" w:type="dxa"/>
            <w:noWrap w:val="0"/>
            <w:vAlign w:val="center"/>
          </w:tcPr>
          <w:p>
            <w:pPr>
              <w:shd w:val="clea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6.法律、行政法规规定的其他条件</w:t>
            </w:r>
          </w:p>
        </w:tc>
        <w:tc>
          <w:tcPr>
            <w:tcW w:w="3872" w:type="dxa"/>
            <w:noWrap w:val="0"/>
            <w:vAlign w:val="center"/>
          </w:tcPr>
          <w:p>
            <w:pPr>
              <w:shd w:val="clear"/>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trPr>
        <w:tc>
          <w:tcPr>
            <w:tcW w:w="824" w:type="dxa"/>
            <w:noWrap w:val="0"/>
            <w:vAlign w:val="center"/>
          </w:tcPr>
          <w:p>
            <w:pPr>
              <w:shd w:val="clea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（二）</w:t>
            </w:r>
          </w:p>
        </w:tc>
        <w:tc>
          <w:tcPr>
            <w:tcW w:w="4243" w:type="dxa"/>
            <w:gridSpan w:val="2"/>
            <w:noWrap w:val="0"/>
            <w:vAlign w:val="center"/>
          </w:tcPr>
          <w:p>
            <w:pPr>
              <w:shd w:val="clea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本项目的特定资格条件</w:t>
            </w:r>
          </w:p>
        </w:tc>
        <w:tc>
          <w:tcPr>
            <w:tcW w:w="3872" w:type="dxa"/>
            <w:noWrap w:val="0"/>
            <w:vAlign w:val="center"/>
          </w:tcPr>
          <w:p>
            <w:pPr>
              <w:shd w:val="clea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按第一篇“三、投标人资格要求（</w:t>
            </w:r>
            <w:r>
              <w:rPr>
                <w:rFonts w:hint="eastAsia" w:ascii="仿宋" w:hAnsi="仿宋" w:eastAsia="仿宋" w:cs="仿宋"/>
                <w:color w:val="auto"/>
                <w:sz w:val="21"/>
                <w:szCs w:val="21"/>
                <w:highlight w:val="none"/>
                <w:lang w:eastAsia="zh-CN"/>
              </w:rPr>
              <w:t>三</w:t>
            </w:r>
            <w:r>
              <w:rPr>
                <w:rFonts w:hint="eastAsia" w:ascii="仿宋" w:hAnsi="仿宋" w:eastAsia="仿宋" w:cs="仿宋"/>
                <w:color w:val="auto"/>
                <w:sz w:val="21"/>
                <w:szCs w:val="21"/>
                <w:highlight w:val="none"/>
              </w:rPr>
              <w:t>）本项目的特定资格条件”的要求提交（如果有）。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824" w:type="dxa"/>
            <w:noWrap/>
            <w:vAlign w:val="center"/>
          </w:tcPr>
          <w:p>
            <w:pPr>
              <w:jc w:val="center"/>
              <w:rPr>
                <w:rFonts w:ascii="仿宋" w:hAnsi="仿宋" w:eastAsia="仿宋"/>
                <w:sz w:val="21"/>
                <w:szCs w:val="21"/>
              </w:rPr>
            </w:pPr>
            <w:r>
              <w:rPr>
                <w:rFonts w:hint="eastAsia" w:ascii="仿宋" w:hAnsi="仿宋" w:eastAsia="仿宋"/>
                <w:sz w:val="21"/>
                <w:szCs w:val="21"/>
              </w:rPr>
              <w:t>（三）</w:t>
            </w:r>
          </w:p>
        </w:tc>
        <w:tc>
          <w:tcPr>
            <w:tcW w:w="4243" w:type="dxa"/>
            <w:gridSpan w:val="2"/>
            <w:noWrap/>
            <w:vAlign w:val="center"/>
          </w:tcPr>
          <w:p>
            <w:pPr>
              <w:rPr>
                <w:rFonts w:ascii="仿宋" w:hAnsi="仿宋" w:eastAsia="仿宋"/>
                <w:sz w:val="21"/>
                <w:szCs w:val="21"/>
              </w:rPr>
            </w:pPr>
            <w:r>
              <w:rPr>
                <w:rFonts w:hint="eastAsia" w:ascii="仿宋" w:hAnsi="仿宋" w:eastAsia="仿宋"/>
                <w:sz w:val="21"/>
                <w:szCs w:val="21"/>
              </w:rPr>
              <w:t>投标保证金</w:t>
            </w:r>
          </w:p>
        </w:tc>
        <w:tc>
          <w:tcPr>
            <w:tcW w:w="3872" w:type="dxa"/>
            <w:noWrap/>
            <w:vAlign w:val="center"/>
          </w:tcPr>
          <w:p>
            <w:pPr>
              <w:rPr>
                <w:rFonts w:ascii="仿宋" w:hAnsi="仿宋" w:eastAsia="仿宋"/>
                <w:sz w:val="21"/>
                <w:szCs w:val="21"/>
              </w:rPr>
            </w:pPr>
            <w:r>
              <w:rPr>
                <w:rFonts w:hint="eastAsia" w:ascii="仿宋" w:hAnsi="仿宋" w:eastAsia="仿宋"/>
                <w:sz w:val="21"/>
                <w:szCs w:val="21"/>
              </w:rPr>
              <w:t>按照招标文件要求足额交纳所投包的投标保证金。</w:t>
            </w:r>
          </w:p>
        </w:tc>
      </w:tr>
    </w:tbl>
    <w:p>
      <w:pPr>
        <w:shd w:val="clear"/>
        <w:snapToGrid w:val="0"/>
        <w:spacing w:line="400" w:lineRule="exact"/>
        <w:rPr>
          <w:rFonts w:hint="eastAsia" w:ascii="仿宋" w:hAnsi="仿宋" w:eastAsia="仿宋" w:cs="仿宋"/>
          <w:color w:val="auto"/>
          <w:kern w:val="0"/>
          <w:sz w:val="24"/>
          <w:szCs w:val="24"/>
          <w:highlight w:val="none"/>
        </w:rPr>
      </w:pPr>
    </w:p>
    <w:p>
      <w:pPr>
        <w:shd w:val="clear"/>
        <w:snapToGrid w:val="0"/>
        <w:spacing w:line="400" w:lineRule="exact"/>
        <w:ind w:firstLine="480" w:firstLineChars="200"/>
        <w:rPr>
          <w:rFonts w:hint="eastAsia" w:ascii="宋体" w:hAnsi="宋体" w:cs="宋体"/>
          <w:sz w:val="24"/>
          <w:szCs w:val="24"/>
          <w:highlight w:val="none"/>
        </w:rPr>
      </w:pPr>
      <w:r>
        <w:rPr>
          <w:rFonts w:hint="eastAsia" w:ascii="仿宋" w:hAnsi="仿宋" w:eastAsia="仿宋" w:cs="仿宋"/>
          <w:color w:val="auto"/>
          <w:kern w:val="0"/>
          <w:sz w:val="24"/>
          <w:szCs w:val="24"/>
          <w:highlight w:val="none"/>
        </w:rPr>
        <w:t>注：</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position w:val="3"/>
          <w:sz w:val="16"/>
          <w:szCs w:val="24"/>
          <w:highlight w:val="none"/>
        </w:rPr>
        <w:instrText xml:space="preserve">1</w:instrText>
      </w:r>
      <w:r>
        <w:rPr>
          <w:rFonts w:hint="eastAsia" w:ascii="仿宋" w:hAnsi="仿宋" w:eastAsia="仿宋" w:cs="仿宋"/>
          <w:color w:val="auto"/>
          <w:kern w:val="0"/>
          <w:sz w:val="24"/>
          <w:szCs w:val="24"/>
          <w:highlight w:val="none"/>
        </w:rPr>
        <w:instrText xml:space="preserve">)</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lang w:val="en-US" w:eastAsia="zh-CN"/>
        </w:rPr>
        <w:t>参照</w:t>
      </w:r>
      <w:r>
        <w:rPr>
          <w:rFonts w:hint="eastAsia" w:ascii="仿宋" w:hAnsi="仿宋" w:eastAsia="仿宋" w:cs="仿宋"/>
          <w:color w:val="auto"/>
          <w:kern w:val="0"/>
          <w:sz w:val="24"/>
          <w:szCs w:val="24"/>
          <w:highlight w:val="none"/>
        </w:rPr>
        <w:t>《中华人民共和国政府采购法</w:t>
      </w:r>
      <w:r>
        <w:rPr>
          <w:rFonts w:hint="eastAsia" w:ascii="仿宋" w:hAnsi="仿宋" w:eastAsia="仿宋" w:cs="仿宋"/>
          <w:kern w:val="0"/>
          <w:sz w:val="24"/>
          <w:szCs w:val="24"/>
          <w:highlight w:val="none"/>
        </w:rPr>
        <w:t>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投标人</w:t>
      </w:r>
      <w:r>
        <w:rPr>
          <w:rFonts w:hint="eastAsia" w:ascii="仿宋" w:hAnsi="仿宋" w:eastAsia="仿宋" w:cs="仿宋"/>
          <w:kern w:val="0"/>
          <w:sz w:val="24"/>
          <w:szCs w:val="24"/>
          <w:highlight w:val="none"/>
          <w:lang w:val="en-US" w:eastAsia="zh-CN"/>
        </w:rPr>
        <w:t>可</w:t>
      </w:r>
      <w:r>
        <w:rPr>
          <w:rFonts w:hint="eastAsia" w:ascii="仿宋" w:hAnsi="仿宋" w:eastAsia="仿宋" w:cs="仿宋"/>
          <w:kern w:val="0"/>
          <w:sz w:val="24"/>
          <w:szCs w:val="24"/>
          <w:highlight w:val="none"/>
        </w:rPr>
        <w:t>于电子投标文件递交时间前通过 “信用中国”网站(www.creditchina.gov.cn)、"中国政府采购网"(www.ccgp.gov.cn)等渠道查询信用记录。</w:t>
      </w:r>
      <w:bookmarkStart w:id="60" w:name="_Toc492721016"/>
    </w:p>
    <w:p>
      <w:pPr>
        <w:pStyle w:val="4"/>
        <w:shd w:val="clear"/>
        <w:spacing w:line="400" w:lineRule="exact"/>
        <w:ind w:firstLine="482" w:firstLineChars="200"/>
        <w:rPr>
          <w:rFonts w:hint="eastAsia" w:ascii="仿宋" w:hAnsi="仿宋" w:eastAsia="仿宋" w:cs="仿宋"/>
          <w:b/>
          <w:sz w:val="24"/>
          <w:szCs w:val="24"/>
          <w:highlight w:val="none"/>
        </w:rPr>
      </w:pPr>
      <w:bookmarkStart w:id="61" w:name="_Toc31043"/>
      <w:r>
        <w:rPr>
          <w:rFonts w:hint="eastAsia" w:ascii="仿宋" w:hAnsi="仿宋" w:eastAsia="仿宋" w:cs="仿宋"/>
          <w:b/>
          <w:sz w:val="24"/>
          <w:szCs w:val="24"/>
          <w:highlight w:val="none"/>
        </w:rPr>
        <w:t>二、评标方法</w:t>
      </w:r>
      <w:bookmarkEnd w:id="60"/>
      <w:bookmarkEnd w:id="61"/>
    </w:p>
    <w:p>
      <w:pPr>
        <w:shd w:val="clear"/>
        <w:snapToGri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本项目采用综合评分法进行评标。</w:t>
      </w:r>
    </w:p>
    <w:p>
      <w:pPr>
        <w:shd w:val="clear"/>
        <w:snapToGrid w:val="0"/>
        <w:spacing w:line="40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kern w:val="0"/>
          <w:sz w:val="24"/>
          <w:szCs w:val="24"/>
          <w:highlight w:val="none"/>
        </w:rPr>
        <w:t>综合评分法，是指投标文件满足招标文件全部实质性要求且按照评审因素的量化指标评审得分最高的投标人为中标候选人的评标方法。投标人总得分为价格、商务、技术等评定因素分别按照相应权重值计算分项得分后相加，满分为100分。</w:t>
      </w:r>
    </w:p>
    <w:p>
      <w:pPr>
        <w:shd w:val="clear"/>
        <w:snapToGri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（一）符合性审查</w:t>
      </w:r>
    </w:p>
    <w:p>
      <w:pPr>
        <w:shd w:val="clear"/>
        <w:snapToGri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评标委员会应当对符合资格的投标人的</w:t>
      </w:r>
      <w:r>
        <w:rPr>
          <w:rFonts w:hint="eastAsia" w:ascii="仿宋" w:hAnsi="仿宋" w:eastAsia="仿宋" w:cs="仿宋"/>
          <w:kern w:val="0"/>
          <w:sz w:val="24"/>
          <w:szCs w:val="24"/>
          <w:highlight w:val="none"/>
          <w:lang w:val="en-US" w:eastAsia="zh-CN"/>
        </w:rPr>
        <w:t>电子</w:t>
      </w:r>
      <w:r>
        <w:rPr>
          <w:rFonts w:hint="eastAsia" w:ascii="仿宋" w:hAnsi="仿宋" w:eastAsia="仿宋" w:cs="仿宋"/>
          <w:kern w:val="0"/>
          <w:sz w:val="24"/>
          <w:szCs w:val="24"/>
          <w:highlight w:val="none"/>
        </w:rPr>
        <w:t>投标文件进行符合性审查，以确定其是否满足招标文件的实质性要求。符合性审查资料表如下：</w:t>
      </w:r>
    </w:p>
    <w:tbl>
      <w:tblPr>
        <w:tblStyle w:val="57"/>
        <w:tblW w:w="8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339"/>
        <w:gridCol w:w="1702"/>
        <w:gridCol w:w="4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578" w:type="dxa"/>
            <w:noWrap w:val="0"/>
            <w:vAlign w:val="center"/>
          </w:tcPr>
          <w:p>
            <w:pPr>
              <w:shd w:val="clear"/>
              <w:spacing w:line="240" w:lineRule="exact"/>
              <w:jc w:val="center"/>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序号</w:t>
            </w:r>
          </w:p>
        </w:tc>
        <w:tc>
          <w:tcPr>
            <w:tcW w:w="3041" w:type="dxa"/>
            <w:gridSpan w:val="2"/>
            <w:noWrap w:val="0"/>
            <w:vAlign w:val="center"/>
          </w:tcPr>
          <w:p>
            <w:pPr>
              <w:shd w:val="clear"/>
              <w:spacing w:line="240" w:lineRule="exact"/>
              <w:jc w:val="center"/>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评审因素</w:t>
            </w:r>
          </w:p>
        </w:tc>
        <w:tc>
          <w:tcPr>
            <w:tcW w:w="4639" w:type="dxa"/>
            <w:noWrap w:val="0"/>
            <w:vAlign w:val="center"/>
          </w:tcPr>
          <w:p>
            <w:pPr>
              <w:shd w:val="clear"/>
              <w:spacing w:line="240" w:lineRule="exact"/>
              <w:jc w:val="center"/>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578" w:type="dxa"/>
            <w:vMerge w:val="restart"/>
            <w:noWrap w:val="0"/>
            <w:vAlign w:val="center"/>
          </w:tcPr>
          <w:p>
            <w:pPr>
              <w:shd w:val="clear"/>
              <w:spacing w:line="240" w:lineRule="exact"/>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w:t>
            </w:r>
          </w:p>
        </w:tc>
        <w:tc>
          <w:tcPr>
            <w:tcW w:w="1339" w:type="dxa"/>
            <w:vMerge w:val="restart"/>
            <w:noWrap w:val="0"/>
            <w:vAlign w:val="center"/>
          </w:tcPr>
          <w:p>
            <w:pPr>
              <w:shd w:val="clear"/>
              <w:spacing w:line="240" w:lineRule="exact"/>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有效性审查</w:t>
            </w:r>
          </w:p>
        </w:tc>
        <w:tc>
          <w:tcPr>
            <w:tcW w:w="1702" w:type="dxa"/>
            <w:noWrap w:val="0"/>
            <w:vAlign w:val="center"/>
          </w:tcPr>
          <w:p>
            <w:pPr>
              <w:shd w:val="clear"/>
              <w:spacing w:line="240" w:lineRule="exact"/>
              <w:rPr>
                <w:rFonts w:hint="eastAsia" w:ascii="仿宋" w:hAnsi="仿宋" w:eastAsia="仿宋" w:cs="仿宋"/>
                <w:kern w:val="0"/>
                <w:sz w:val="21"/>
                <w:szCs w:val="21"/>
                <w:highlight w:val="none"/>
                <w:lang w:val="en-US" w:eastAsia="zh-CN"/>
              </w:rPr>
            </w:pPr>
            <w:r>
              <w:rPr>
                <w:rFonts w:hint="eastAsia" w:ascii="仿宋" w:hAnsi="仿宋" w:eastAsia="仿宋" w:cs="仿宋"/>
                <w:sz w:val="21"/>
                <w:szCs w:val="21"/>
                <w:highlight w:val="none"/>
                <w:lang w:val="en-US" w:eastAsia="zh-CN"/>
              </w:rPr>
              <w:t>电子</w:t>
            </w:r>
            <w:r>
              <w:rPr>
                <w:rFonts w:hint="eastAsia" w:ascii="仿宋" w:hAnsi="仿宋" w:eastAsia="仿宋" w:cs="仿宋"/>
                <w:sz w:val="21"/>
                <w:szCs w:val="21"/>
                <w:highlight w:val="none"/>
              </w:rPr>
              <w:t>投标文件签署</w:t>
            </w:r>
            <w:r>
              <w:rPr>
                <w:rFonts w:hint="eastAsia" w:ascii="仿宋" w:hAnsi="仿宋" w:eastAsia="仿宋" w:cs="仿宋"/>
                <w:sz w:val="21"/>
                <w:szCs w:val="21"/>
                <w:highlight w:val="none"/>
                <w:lang w:val="en-US" w:eastAsia="zh-CN"/>
              </w:rPr>
              <w:t>或盖章</w:t>
            </w:r>
          </w:p>
        </w:tc>
        <w:tc>
          <w:tcPr>
            <w:tcW w:w="4639" w:type="dxa"/>
            <w:noWrap w:val="0"/>
            <w:vAlign w:val="center"/>
          </w:tcPr>
          <w:p>
            <w:pPr>
              <w:shd w:val="clear"/>
              <w:spacing w:line="240" w:lineRule="exact"/>
              <w:rPr>
                <w:rFonts w:hint="eastAsia" w:ascii="仿宋" w:hAnsi="仿宋" w:eastAsia="仿宋" w:cs="仿宋"/>
                <w:kern w:val="0"/>
                <w:sz w:val="21"/>
                <w:szCs w:val="21"/>
                <w:highlight w:val="none"/>
              </w:rPr>
            </w:pPr>
            <w:r>
              <w:rPr>
                <w:rFonts w:hint="eastAsia" w:ascii="仿宋" w:hAnsi="仿宋" w:eastAsia="仿宋" w:cs="仿宋"/>
                <w:sz w:val="21"/>
                <w:szCs w:val="21"/>
                <w:highlight w:val="none"/>
                <w:lang w:val="en-US" w:eastAsia="zh-CN"/>
              </w:rPr>
              <w:t>电子</w:t>
            </w:r>
            <w:r>
              <w:rPr>
                <w:rFonts w:hint="eastAsia" w:ascii="仿宋" w:hAnsi="仿宋" w:eastAsia="仿宋" w:cs="仿宋"/>
                <w:sz w:val="21"/>
                <w:szCs w:val="21"/>
                <w:highlight w:val="none"/>
              </w:rPr>
              <w:t>投标文件上法定代表人（或其授权代表）或自然人（投标人为自然人）的签署或盖章齐全。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578" w:type="dxa"/>
            <w:vMerge w:val="continue"/>
            <w:noWrap w:val="0"/>
            <w:vAlign w:val="center"/>
          </w:tcPr>
          <w:p>
            <w:pPr>
              <w:shd w:val="clear"/>
              <w:spacing w:line="240" w:lineRule="exact"/>
              <w:jc w:val="center"/>
              <w:rPr>
                <w:rFonts w:hint="eastAsia" w:ascii="仿宋" w:hAnsi="仿宋" w:eastAsia="仿宋" w:cs="仿宋"/>
                <w:kern w:val="0"/>
                <w:sz w:val="21"/>
                <w:szCs w:val="21"/>
                <w:highlight w:val="none"/>
              </w:rPr>
            </w:pPr>
          </w:p>
        </w:tc>
        <w:tc>
          <w:tcPr>
            <w:tcW w:w="1339" w:type="dxa"/>
            <w:vMerge w:val="continue"/>
            <w:noWrap w:val="0"/>
            <w:vAlign w:val="center"/>
          </w:tcPr>
          <w:p>
            <w:pPr>
              <w:shd w:val="clear"/>
              <w:spacing w:line="240" w:lineRule="exact"/>
              <w:rPr>
                <w:rFonts w:hint="eastAsia" w:ascii="仿宋" w:hAnsi="仿宋" w:eastAsia="仿宋" w:cs="仿宋"/>
                <w:kern w:val="0"/>
                <w:sz w:val="21"/>
                <w:szCs w:val="21"/>
                <w:highlight w:val="none"/>
              </w:rPr>
            </w:pPr>
          </w:p>
        </w:tc>
        <w:tc>
          <w:tcPr>
            <w:tcW w:w="1702" w:type="dxa"/>
            <w:noWrap w:val="0"/>
            <w:vAlign w:val="center"/>
          </w:tcPr>
          <w:p>
            <w:pPr>
              <w:shd w:val="clear"/>
              <w:spacing w:line="240" w:lineRule="exac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投标方案</w:t>
            </w:r>
          </w:p>
        </w:tc>
        <w:tc>
          <w:tcPr>
            <w:tcW w:w="4639" w:type="dxa"/>
            <w:noWrap w:val="0"/>
            <w:vAlign w:val="center"/>
          </w:tcPr>
          <w:p>
            <w:pPr>
              <w:shd w:val="clear"/>
              <w:spacing w:line="240" w:lineRule="exact"/>
              <w:rPr>
                <w:rFonts w:hint="eastAsia" w:ascii="仿宋" w:hAnsi="仿宋" w:eastAsia="仿宋" w:cs="仿宋"/>
                <w:kern w:val="0"/>
                <w:sz w:val="21"/>
                <w:szCs w:val="21"/>
                <w:highlight w:val="none"/>
              </w:rPr>
            </w:pPr>
            <w:r>
              <w:rPr>
                <w:rFonts w:hint="eastAsia" w:ascii="仿宋" w:hAnsi="仿宋" w:eastAsia="仿宋" w:cs="仿宋"/>
                <w:sz w:val="21"/>
                <w:szCs w:val="21"/>
                <w:highlight w:val="none"/>
                <w:lang w:val="zh-CN"/>
              </w:rPr>
              <w:t>每个分包只能有一个方案投标。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578" w:type="dxa"/>
            <w:vMerge w:val="continue"/>
            <w:noWrap w:val="0"/>
            <w:vAlign w:val="center"/>
          </w:tcPr>
          <w:p>
            <w:pPr>
              <w:shd w:val="clear"/>
              <w:spacing w:line="240" w:lineRule="exact"/>
              <w:jc w:val="center"/>
              <w:rPr>
                <w:rFonts w:hint="eastAsia" w:ascii="仿宋" w:hAnsi="仿宋" w:eastAsia="仿宋" w:cs="仿宋"/>
                <w:kern w:val="0"/>
                <w:sz w:val="21"/>
                <w:szCs w:val="21"/>
                <w:highlight w:val="none"/>
              </w:rPr>
            </w:pPr>
          </w:p>
        </w:tc>
        <w:tc>
          <w:tcPr>
            <w:tcW w:w="1339" w:type="dxa"/>
            <w:vMerge w:val="continue"/>
            <w:noWrap w:val="0"/>
            <w:vAlign w:val="center"/>
          </w:tcPr>
          <w:p>
            <w:pPr>
              <w:shd w:val="clear"/>
              <w:spacing w:line="240" w:lineRule="exact"/>
              <w:rPr>
                <w:rFonts w:hint="eastAsia" w:ascii="仿宋" w:hAnsi="仿宋" w:eastAsia="仿宋" w:cs="仿宋"/>
                <w:kern w:val="0"/>
                <w:sz w:val="21"/>
                <w:szCs w:val="21"/>
                <w:highlight w:val="none"/>
              </w:rPr>
            </w:pPr>
          </w:p>
        </w:tc>
        <w:tc>
          <w:tcPr>
            <w:tcW w:w="1702" w:type="dxa"/>
            <w:noWrap w:val="0"/>
            <w:vAlign w:val="center"/>
          </w:tcPr>
          <w:p>
            <w:pPr>
              <w:shd w:val="clear"/>
              <w:spacing w:line="240" w:lineRule="exact"/>
              <w:rPr>
                <w:rFonts w:hint="eastAsia" w:ascii="仿宋" w:hAnsi="仿宋" w:eastAsia="仿宋" w:cs="仿宋"/>
                <w:sz w:val="21"/>
                <w:szCs w:val="21"/>
                <w:highlight w:val="none"/>
                <w:lang w:val="zh-CN"/>
              </w:rPr>
            </w:pPr>
            <w:r>
              <w:rPr>
                <w:rFonts w:hint="eastAsia" w:ascii="仿宋" w:hAnsi="仿宋" w:eastAsia="仿宋" w:cs="仿宋"/>
                <w:sz w:val="21"/>
                <w:szCs w:val="21"/>
                <w:highlight w:val="none"/>
              </w:rPr>
              <w:t>报价唯一</w:t>
            </w:r>
          </w:p>
        </w:tc>
        <w:tc>
          <w:tcPr>
            <w:tcW w:w="4639" w:type="dxa"/>
            <w:noWrap w:val="0"/>
            <w:vAlign w:val="center"/>
          </w:tcPr>
          <w:p>
            <w:pPr>
              <w:shd w:val="clear"/>
              <w:spacing w:line="240" w:lineRule="exact"/>
              <w:rPr>
                <w:rFonts w:hint="eastAsia" w:ascii="仿宋" w:hAnsi="仿宋" w:eastAsia="仿宋" w:cs="仿宋"/>
                <w:kern w:val="0"/>
                <w:sz w:val="21"/>
                <w:szCs w:val="21"/>
                <w:highlight w:val="none"/>
              </w:rPr>
            </w:pPr>
            <w:r>
              <w:rPr>
                <w:rFonts w:hint="eastAsia" w:ascii="仿宋" w:hAnsi="仿宋" w:eastAsia="仿宋" w:cs="仿宋"/>
                <w:sz w:val="21"/>
                <w:szCs w:val="21"/>
                <w:highlight w:val="none"/>
                <w:lang w:val="zh-CN"/>
              </w:rPr>
              <w:t>只能在预算金额和最高限价内报价，</w:t>
            </w:r>
            <w:r>
              <w:rPr>
                <w:rFonts w:hint="eastAsia" w:ascii="仿宋" w:hAnsi="仿宋" w:eastAsia="仿宋" w:cs="仿宋"/>
                <w:sz w:val="21"/>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578" w:type="dxa"/>
            <w:noWrap w:val="0"/>
            <w:vAlign w:val="center"/>
          </w:tcPr>
          <w:p>
            <w:pPr>
              <w:shd w:val="clear"/>
              <w:spacing w:line="240" w:lineRule="exact"/>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2</w:t>
            </w:r>
          </w:p>
        </w:tc>
        <w:tc>
          <w:tcPr>
            <w:tcW w:w="1339" w:type="dxa"/>
            <w:noWrap w:val="0"/>
            <w:vAlign w:val="center"/>
          </w:tcPr>
          <w:p>
            <w:pPr>
              <w:shd w:val="clear"/>
              <w:spacing w:line="240" w:lineRule="exact"/>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完整性审查</w:t>
            </w:r>
          </w:p>
        </w:tc>
        <w:tc>
          <w:tcPr>
            <w:tcW w:w="1702" w:type="dxa"/>
            <w:noWrap w:val="0"/>
            <w:vAlign w:val="center"/>
          </w:tcPr>
          <w:p>
            <w:pPr>
              <w:shd w:val="clear"/>
              <w:spacing w:line="240" w:lineRule="exact"/>
              <w:rPr>
                <w:rFonts w:hint="eastAsia" w:ascii="仿宋" w:hAnsi="仿宋" w:eastAsia="仿宋" w:cs="仿宋"/>
                <w:kern w:val="0"/>
                <w:sz w:val="21"/>
                <w:szCs w:val="21"/>
                <w:highlight w:val="none"/>
              </w:rPr>
            </w:pPr>
            <w:r>
              <w:rPr>
                <w:rFonts w:hint="eastAsia" w:ascii="仿宋" w:hAnsi="仿宋" w:eastAsia="仿宋" w:cs="仿宋"/>
                <w:sz w:val="21"/>
                <w:szCs w:val="21"/>
                <w:highlight w:val="none"/>
                <w:lang w:val="zh-CN"/>
              </w:rPr>
              <w:t>投标文件份数</w:t>
            </w:r>
          </w:p>
        </w:tc>
        <w:tc>
          <w:tcPr>
            <w:tcW w:w="4639" w:type="dxa"/>
            <w:noWrap w:val="0"/>
            <w:vAlign w:val="center"/>
          </w:tcPr>
          <w:p>
            <w:pPr>
              <w:shd w:val="clear"/>
              <w:spacing w:line="240" w:lineRule="exact"/>
              <w:rPr>
                <w:rFonts w:hint="eastAsia" w:ascii="仿宋" w:hAnsi="仿宋" w:eastAsia="仿宋" w:cs="仿宋"/>
                <w:kern w:val="0"/>
                <w:sz w:val="21"/>
                <w:szCs w:val="21"/>
                <w:highlight w:val="none"/>
              </w:rPr>
            </w:pPr>
            <w:r>
              <w:rPr>
                <w:rFonts w:hint="eastAsia" w:ascii="仿宋" w:hAnsi="仿宋" w:eastAsia="仿宋" w:cs="仿宋"/>
                <w:sz w:val="21"/>
                <w:szCs w:val="21"/>
                <w:highlight w:val="none"/>
                <w:lang w:val="zh-CN"/>
              </w:rPr>
              <w:t>电子投标文件数量</w:t>
            </w:r>
            <w:r>
              <w:rPr>
                <w:rFonts w:hint="eastAsia" w:ascii="仿宋" w:hAnsi="仿宋" w:eastAsia="仿宋" w:cs="仿宋"/>
                <w:sz w:val="21"/>
                <w:szCs w:val="21"/>
                <w:highlight w:val="none"/>
                <w:lang w:val="en-US" w:eastAsia="zh-CN"/>
              </w:rPr>
              <w:t>和须提交的相关原件数量（如果有）</w:t>
            </w:r>
            <w:r>
              <w:rPr>
                <w:rFonts w:hint="eastAsia" w:ascii="仿宋" w:hAnsi="仿宋" w:eastAsia="仿宋" w:cs="仿宋"/>
                <w:sz w:val="21"/>
                <w:szCs w:val="21"/>
                <w:highlight w:val="none"/>
                <w:lang w:val="zh-CN"/>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578" w:type="dxa"/>
            <w:noWrap w:val="0"/>
            <w:vAlign w:val="center"/>
          </w:tcPr>
          <w:p>
            <w:pPr>
              <w:shd w:val="clear"/>
              <w:spacing w:line="240" w:lineRule="exact"/>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3</w:t>
            </w:r>
          </w:p>
        </w:tc>
        <w:tc>
          <w:tcPr>
            <w:tcW w:w="1339" w:type="dxa"/>
            <w:noWrap w:val="0"/>
            <w:vAlign w:val="center"/>
          </w:tcPr>
          <w:p>
            <w:pPr>
              <w:shd w:val="clear"/>
              <w:spacing w:line="240" w:lineRule="exact"/>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服务</w:t>
            </w:r>
            <w:r>
              <w:rPr>
                <w:rFonts w:hint="eastAsia" w:ascii="仿宋" w:hAnsi="仿宋" w:eastAsia="仿宋" w:cs="仿宋"/>
                <w:kern w:val="0"/>
                <w:sz w:val="21"/>
                <w:szCs w:val="21"/>
                <w:highlight w:val="none"/>
              </w:rPr>
              <w:t>部分</w:t>
            </w:r>
          </w:p>
        </w:tc>
        <w:tc>
          <w:tcPr>
            <w:tcW w:w="1702" w:type="dxa"/>
            <w:noWrap w:val="0"/>
            <w:vAlign w:val="center"/>
          </w:tcPr>
          <w:p>
            <w:pPr>
              <w:shd w:val="clear"/>
              <w:spacing w:line="240" w:lineRule="exact"/>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投标文件内容</w:t>
            </w:r>
          </w:p>
        </w:tc>
        <w:tc>
          <w:tcPr>
            <w:tcW w:w="4639" w:type="dxa"/>
            <w:noWrap w:val="0"/>
            <w:vAlign w:val="center"/>
          </w:tcPr>
          <w:p>
            <w:pPr>
              <w:shd w:val="clear"/>
              <w:spacing w:line="240" w:lineRule="exact"/>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本招标文件第二篇中（※）号标注的部分。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578" w:type="dxa"/>
            <w:noWrap w:val="0"/>
            <w:vAlign w:val="center"/>
          </w:tcPr>
          <w:p>
            <w:pPr>
              <w:shd w:val="clear"/>
              <w:spacing w:line="240" w:lineRule="exact"/>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4</w:t>
            </w:r>
          </w:p>
        </w:tc>
        <w:tc>
          <w:tcPr>
            <w:tcW w:w="1339" w:type="dxa"/>
            <w:noWrap w:val="0"/>
            <w:vAlign w:val="center"/>
          </w:tcPr>
          <w:p>
            <w:pPr>
              <w:shd w:val="clear"/>
              <w:spacing w:line="240" w:lineRule="exact"/>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商务部分</w:t>
            </w:r>
          </w:p>
        </w:tc>
        <w:tc>
          <w:tcPr>
            <w:tcW w:w="1702" w:type="dxa"/>
            <w:noWrap w:val="0"/>
            <w:vAlign w:val="center"/>
          </w:tcPr>
          <w:p>
            <w:pPr>
              <w:shd w:val="clear"/>
              <w:spacing w:line="240" w:lineRule="exact"/>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投标文件内容</w:t>
            </w:r>
          </w:p>
        </w:tc>
        <w:tc>
          <w:tcPr>
            <w:tcW w:w="4639" w:type="dxa"/>
            <w:noWrap w:val="0"/>
            <w:vAlign w:val="center"/>
          </w:tcPr>
          <w:p>
            <w:pPr>
              <w:shd w:val="clear"/>
              <w:spacing w:line="240" w:lineRule="exact"/>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本招标文件第三篇中（※）号标注的部分。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 w:hRule="atLeast"/>
        </w:trPr>
        <w:tc>
          <w:tcPr>
            <w:tcW w:w="578" w:type="dxa"/>
            <w:noWrap w:val="0"/>
            <w:vAlign w:val="center"/>
          </w:tcPr>
          <w:p>
            <w:pPr>
              <w:shd w:val="clear"/>
              <w:spacing w:line="240" w:lineRule="exact"/>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5</w:t>
            </w:r>
          </w:p>
        </w:tc>
        <w:tc>
          <w:tcPr>
            <w:tcW w:w="1339" w:type="dxa"/>
            <w:noWrap w:val="0"/>
            <w:vAlign w:val="center"/>
          </w:tcPr>
          <w:p>
            <w:pPr>
              <w:shd w:val="clear"/>
              <w:spacing w:line="240" w:lineRule="exact"/>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投标有效期</w:t>
            </w:r>
          </w:p>
        </w:tc>
        <w:tc>
          <w:tcPr>
            <w:tcW w:w="1702" w:type="dxa"/>
            <w:noWrap w:val="0"/>
            <w:vAlign w:val="center"/>
          </w:tcPr>
          <w:p>
            <w:pPr>
              <w:shd w:val="clear"/>
              <w:spacing w:line="240" w:lineRule="exact"/>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投标文件内容</w:t>
            </w:r>
          </w:p>
        </w:tc>
        <w:tc>
          <w:tcPr>
            <w:tcW w:w="4639" w:type="dxa"/>
            <w:noWrap w:val="0"/>
            <w:vAlign w:val="center"/>
          </w:tcPr>
          <w:p>
            <w:pPr>
              <w:shd w:val="clear"/>
              <w:spacing w:line="240" w:lineRule="exact"/>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投标有效期为电子投标文件截止时间起90天。</w:t>
            </w:r>
          </w:p>
        </w:tc>
      </w:tr>
    </w:tbl>
    <w:p>
      <w:pPr>
        <w:shd w:val="clear"/>
        <w:snapToGri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（二）</w:t>
      </w:r>
      <w:bookmarkStart w:id="62" w:name="_Hlk148216427"/>
      <w:r>
        <w:rPr>
          <w:rFonts w:hint="eastAsia" w:ascii="仿宋" w:hAnsi="仿宋" w:eastAsia="仿宋" w:cs="仿宋"/>
          <w:kern w:val="0"/>
          <w:sz w:val="24"/>
          <w:szCs w:val="24"/>
          <w:highlight w:val="none"/>
        </w:rPr>
        <w:t>澄清有关问题。对电子投标文件中含义不明确、同类问题表述不一致或者有明显文字和计算错误的内容，评标委员会可在线要求投标人作出必要澄清、说明或者纠正，其澄清的内容不得超出电子投标文件的范围或者改变电子投标文件的实质性内容。澄清内容以线下书面形式作出，</w:t>
      </w:r>
      <w:bookmarkStart w:id="63" w:name="_Hlk148269031"/>
      <w:r>
        <w:rPr>
          <w:rFonts w:hint="eastAsia" w:ascii="仿宋" w:hAnsi="仿宋" w:eastAsia="仿宋" w:cs="仿宋"/>
          <w:kern w:val="0"/>
          <w:sz w:val="24"/>
          <w:szCs w:val="24"/>
          <w:highlight w:val="none"/>
        </w:rPr>
        <w:t>文件电子化上传</w:t>
      </w:r>
      <w:bookmarkEnd w:id="63"/>
      <w:r>
        <w:rPr>
          <w:rFonts w:hint="eastAsia" w:ascii="仿宋" w:hAnsi="仿宋" w:eastAsia="仿宋" w:cs="仿宋"/>
          <w:kern w:val="0"/>
          <w:sz w:val="24"/>
          <w:szCs w:val="24"/>
          <w:highlight w:val="none"/>
        </w:rPr>
        <w:t>。</w:t>
      </w:r>
      <w:bookmarkStart w:id="64" w:name="_Hlk148269077"/>
      <w:r>
        <w:rPr>
          <w:rFonts w:hint="eastAsia" w:ascii="仿宋" w:hAnsi="仿宋" w:eastAsia="仿宋" w:cs="仿宋"/>
          <w:kern w:val="0"/>
          <w:sz w:val="24"/>
          <w:szCs w:val="24"/>
          <w:highlight w:val="none"/>
        </w:rPr>
        <w:t>投标人通过书面形式作出的澄清、说明或者纠正应当由法定代表人（或其授权代表）或自然人（投标人为自然人）签署或者加盖公章并将澄清等文件扫描为PDF格式，上传至电子开标室的“问题澄清”输入框中的“澄清附件”中。由授权代表签署的，应当附法定代表人授权书。投标人为自然人的，应当由本人签署并附身份证明。以上签署等文件都要以PDF格式上传到“问题澄清”输入框中的“澄清附件”（澄清附件只允许一个文档上传，所有上传文件都应归到一个PDF文档当中）</w:t>
      </w:r>
      <w:bookmarkEnd w:id="64"/>
      <w:r>
        <w:rPr>
          <w:rFonts w:hint="eastAsia" w:ascii="仿宋" w:hAnsi="仿宋" w:eastAsia="仿宋" w:cs="仿宋"/>
          <w:kern w:val="0"/>
          <w:sz w:val="24"/>
          <w:szCs w:val="24"/>
          <w:highlight w:val="none"/>
        </w:rPr>
        <w:t>。</w:t>
      </w:r>
    </w:p>
    <w:bookmarkEnd w:id="62"/>
    <w:p>
      <w:pPr>
        <w:shd w:val="clea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（三）比较与评价。按招标文件中规定的评标方法和标准，对资格审查和符合性审查合格的</w:t>
      </w:r>
      <w:r>
        <w:rPr>
          <w:rFonts w:hint="eastAsia" w:ascii="仿宋" w:hAnsi="仿宋" w:eastAsia="仿宋" w:cs="仿宋"/>
          <w:sz w:val="24"/>
          <w:szCs w:val="24"/>
          <w:highlight w:val="none"/>
          <w:lang w:val="en-US" w:eastAsia="zh-CN"/>
        </w:rPr>
        <w:t>电子</w:t>
      </w:r>
      <w:r>
        <w:rPr>
          <w:rFonts w:hint="eastAsia" w:ascii="仿宋" w:hAnsi="仿宋" w:eastAsia="仿宋" w:cs="仿宋"/>
          <w:sz w:val="24"/>
          <w:szCs w:val="24"/>
          <w:highlight w:val="none"/>
        </w:rPr>
        <w:t>投标文件进行商务和技术评估。</w:t>
      </w:r>
    </w:p>
    <w:p>
      <w:pPr>
        <w:shd w:val="clea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评标委员会各成员独立对每个有效投标人（通过资格审查、</w:t>
      </w:r>
      <w:r>
        <w:rPr>
          <w:rFonts w:hint="eastAsia" w:ascii="仿宋" w:hAnsi="仿宋" w:eastAsia="仿宋" w:cs="仿宋"/>
          <w:kern w:val="0"/>
          <w:sz w:val="24"/>
          <w:szCs w:val="24"/>
          <w:highlight w:val="none"/>
        </w:rPr>
        <w:t>符合性审查的投标人</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val="en-US" w:eastAsia="zh-CN"/>
        </w:rPr>
        <w:t>电子</w:t>
      </w:r>
      <w:r>
        <w:rPr>
          <w:rFonts w:hint="eastAsia" w:ascii="仿宋" w:hAnsi="仿宋" w:eastAsia="仿宋" w:cs="仿宋"/>
          <w:sz w:val="24"/>
          <w:szCs w:val="24"/>
          <w:highlight w:val="none"/>
        </w:rPr>
        <w:t>投标文件进行评价、打分，然后由评标委员会对各成员打分情况进行核查及复核，个别成员对同一投标人同一评分项的打分偏离较大的，应对投标人的</w:t>
      </w:r>
      <w:r>
        <w:rPr>
          <w:rFonts w:hint="eastAsia" w:ascii="仿宋" w:hAnsi="仿宋" w:eastAsia="仿宋" w:cs="仿宋"/>
          <w:sz w:val="24"/>
          <w:szCs w:val="24"/>
          <w:highlight w:val="none"/>
          <w:lang w:val="en-US" w:eastAsia="zh-CN"/>
        </w:rPr>
        <w:t>电子</w:t>
      </w:r>
      <w:r>
        <w:rPr>
          <w:rFonts w:hint="eastAsia" w:ascii="仿宋" w:hAnsi="仿宋" w:eastAsia="仿宋" w:cs="仿宋"/>
          <w:sz w:val="24"/>
          <w:szCs w:val="24"/>
          <w:highlight w:val="none"/>
        </w:rPr>
        <w:t>投标文件进行再次核对，确属打分有误的，应及时进行修正。</w:t>
      </w:r>
    </w:p>
    <w:p>
      <w:pPr>
        <w:shd w:val="clea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复核后，评标委员会汇总每个投标人每项评分因素的得分。</w:t>
      </w:r>
    </w:p>
    <w:p>
      <w:pPr>
        <w:shd w:val="clea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（四）推荐中标候选人名单。</w:t>
      </w:r>
    </w:p>
    <w:p>
      <w:pPr>
        <w:shd w:val="clear" w:color="auto" w:fill="auto"/>
        <w:snapToGrid w:val="0"/>
        <w:spacing w:line="400" w:lineRule="exact"/>
        <w:ind w:firstLine="480" w:firstLineChars="200"/>
        <w:rPr>
          <w:rFonts w:hint="eastAsia" w:ascii="仿宋" w:hAnsi="仿宋" w:eastAsia="仿宋" w:cs="仿宋"/>
          <w:color w:val="FF0000"/>
          <w:sz w:val="24"/>
          <w:szCs w:val="24"/>
          <w:highlight w:val="none"/>
        </w:rPr>
      </w:pPr>
      <w:bookmarkStart w:id="65" w:name="_Toc492721017"/>
      <w:bookmarkStart w:id="66" w:name="_Toc267320057"/>
      <w:bookmarkStart w:id="67" w:name="_Toc8485"/>
      <w:r>
        <w:rPr>
          <w:rFonts w:hint="eastAsia" w:ascii="仿宋" w:hAnsi="仿宋" w:eastAsia="仿宋" w:cs="仿宋"/>
          <w:sz w:val="24"/>
          <w:szCs w:val="24"/>
          <w:highlight w:val="none"/>
        </w:rPr>
        <w:t>按评审后得分由高到低的排列顺序推荐综合得分排名前三的投标人为</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中标候选人，排名第一的为第一中标候选人。得分相同的，按投标报价由低到高顺序排列。得分且</w:t>
      </w:r>
      <w:r>
        <w:rPr>
          <w:rFonts w:hint="eastAsia" w:ascii="仿宋" w:hAnsi="仿宋" w:eastAsia="仿宋" w:cs="仿宋"/>
          <w:color w:val="000000" w:themeColor="text1"/>
          <w:sz w:val="24"/>
          <w:szCs w:val="24"/>
          <w:highlight w:val="none"/>
          <w14:textFill>
            <w14:solidFill>
              <w14:schemeClr w14:val="tx1"/>
            </w14:solidFill>
          </w14:textFill>
        </w:rPr>
        <w:t>投标报价相同的并列</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按照抽签决定</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服务</w:t>
      </w:r>
      <w:r>
        <w:rPr>
          <w:rFonts w:hint="eastAsia" w:ascii="仿宋" w:hAnsi="仿宋" w:eastAsia="仿宋" w:cs="仿宋"/>
          <w:color w:val="000000" w:themeColor="text1"/>
          <w:sz w:val="24"/>
          <w:szCs w:val="24"/>
          <w:highlight w:val="none"/>
          <w14:textFill>
            <w14:solidFill>
              <w14:schemeClr w14:val="tx1"/>
            </w14:solidFill>
          </w14:textFill>
        </w:rPr>
        <w:t>部分得分为0分的投标人，将失去成为中标候选人的资格。</w:t>
      </w:r>
    </w:p>
    <w:p>
      <w:pPr>
        <w:numPr>
          <w:ilvl w:val="0"/>
          <w:numId w:val="18"/>
        </w:numPr>
        <w:shd w:val="clear"/>
        <w:snapToGrid w:val="0"/>
        <w:spacing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评标标准</w:t>
      </w:r>
      <w:bookmarkEnd w:id="65"/>
      <w:bookmarkEnd w:id="66"/>
      <w:bookmarkEnd w:id="67"/>
    </w:p>
    <w:p>
      <w:pPr>
        <w:numPr>
          <w:ilvl w:val="0"/>
          <w:numId w:val="0"/>
        </w:numPr>
        <w:shd w:val="clea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评审因素</w:t>
      </w:r>
    </w:p>
    <w:tbl>
      <w:tblPr>
        <w:tblStyle w:val="57"/>
        <w:tblW w:w="977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151"/>
        <w:gridCol w:w="767"/>
        <w:gridCol w:w="5761"/>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96" w:type="dxa"/>
            <w:tcBorders>
              <w:top w:val="single" w:color="9CA1AC" w:sz="4" w:space="0"/>
              <w:left w:val="single" w:color="9CA1AC" w:sz="4" w:space="0"/>
              <w:bottom w:val="single" w:color="9CA1AC" w:sz="4" w:space="0"/>
              <w:right w:val="single" w:color="9CA1AC" w:sz="4" w:space="0"/>
            </w:tcBorders>
            <w:shd w:val="clear" w:color="auto" w:fill="D0D3D8"/>
            <w:noWrap w:val="0"/>
            <w:vAlign w:val="center"/>
          </w:tcPr>
          <w:p>
            <w:pPr>
              <w:spacing w:line="240" w:lineRule="atLeast"/>
              <w:ind w:firstLine="28"/>
              <w:jc w:val="center"/>
              <w:rPr>
                <w:rFonts w:hint="default" w:ascii="Times New Roman" w:hAnsi="Times New Roman" w:eastAsia="仿宋" w:cs="Times New Roman"/>
                <w:b/>
                <w:color w:val="000000"/>
                <w:sz w:val="21"/>
                <w:szCs w:val="21"/>
                <w:highlight w:val="none"/>
              </w:rPr>
            </w:pPr>
            <w:r>
              <w:rPr>
                <w:rFonts w:hint="default" w:ascii="Times New Roman" w:hAnsi="Times New Roman" w:eastAsia="仿宋" w:cs="Times New Roman"/>
                <w:b/>
                <w:color w:val="000000"/>
                <w:sz w:val="21"/>
                <w:szCs w:val="21"/>
                <w:highlight w:val="none"/>
              </w:rPr>
              <w:t>序号</w:t>
            </w:r>
          </w:p>
        </w:tc>
        <w:tc>
          <w:tcPr>
            <w:tcW w:w="1151" w:type="dxa"/>
            <w:tcBorders>
              <w:top w:val="single" w:color="9CA1AC" w:sz="4" w:space="0"/>
              <w:left w:val="single" w:color="9CA1AC" w:sz="4" w:space="0"/>
              <w:bottom w:val="single" w:color="9CA1AC" w:sz="4" w:space="0"/>
              <w:right w:val="single" w:color="9CA1AC" w:sz="4" w:space="0"/>
            </w:tcBorders>
            <w:shd w:val="clear" w:color="auto" w:fill="D0D3D8"/>
            <w:noWrap w:val="0"/>
            <w:vAlign w:val="center"/>
          </w:tcPr>
          <w:p>
            <w:pPr>
              <w:spacing w:line="240" w:lineRule="atLeast"/>
              <w:ind w:firstLine="28"/>
              <w:jc w:val="center"/>
              <w:rPr>
                <w:rFonts w:hint="default" w:ascii="Times New Roman" w:hAnsi="Times New Roman" w:eastAsia="仿宋" w:cs="Times New Roman"/>
                <w:b/>
                <w:color w:val="000000"/>
                <w:sz w:val="21"/>
                <w:szCs w:val="21"/>
                <w:highlight w:val="none"/>
              </w:rPr>
            </w:pPr>
            <w:r>
              <w:rPr>
                <w:rFonts w:hint="default" w:ascii="Times New Roman" w:hAnsi="Times New Roman" w:eastAsia="仿宋" w:cs="Times New Roman"/>
                <w:b/>
                <w:color w:val="000000"/>
                <w:sz w:val="21"/>
                <w:szCs w:val="21"/>
                <w:highlight w:val="none"/>
              </w:rPr>
              <w:t>评分因素及权重</w:t>
            </w:r>
          </w:p>
        </w:tc>
        <w:tc>
          <w:tcPr>
            <w:tcW w:w="767" w:type="dxa"/>
            <w:tcBorders>
              <w:top w:val="single" w:color="9CA1AC" w:sz="4" w:space="0"/>
              <w:left w:val="single" w:color="9CA1AC" w:sz="4" w:space="0"/>
              <w:bottom w:val="single" w:color="9CA1AC" w:sz="4" w:space="0"/>
              <w:right w:val="single" w:color="9CA1AC" w:sz="4" w:space="0"/>
            </w:tcBorders>
            <w:shd w:val="clear" w:color="auto" w:fill="D0D3D8"/>
            <w:noWrap w:val="0"/>
            <w:vAlign w:val="center"/>
          </w:tcPr>
          <w:p>
            <w:pPr>
              <w:spacing w:line="240" w:lineRule="atLeast"/>
              <w:ind w:firstLine="28"/>
              <w:jc w:val="center"/>
              <w:rPr>
                <w:rFonts w:hint="default" w:ascii="Times New Roman" w:hAnsi="Times New Roman" w:eastAsia="仿宋" w:cs="Times New Roman"/>
                <w:b/>
                <w:color w:val="000000"/>
                <w:sz w:val="21"/>
                <w:szCs w:val="21"/>
                <w:highlight w:val="none"/>
              </w:rPr>
            </w:pPr>
            <w:r>
              <w:rPr>
                <w:rFonts w:hint="default" w:ascii="Times New Roman" w:hAnsi="Times New Roman" w:eastAsia="仿宋" w:cs="Times New Roman"/>
                <w:b/>
                <w:color w:val="000000"/>
                <w:sz w:val="21"/>
                <w:szCs w:val="21"/>
                <w:highlight w:val="none"/>
              </w:rPr>
              <w:t>分值</w:t>
            </w:r>
          </w:p>
        </w:tc>
        <w:tc>
          <w:tcPr>
            <w:tcW w:w="5761" w:type="dxa"/>
            <w:tcBorders>
              <w:top w:val="single" w:color="9CA1AC" w:sz="4" w:space="0"/>
              <w:left w:val="single" w:color="9CA1AC" w:sz="4" w:space="0"/>
              <w:bottom w:val="single" w:color="9CA1AC" w:sz="4" w:space="0"/>
              <w:right w:val="single" w:color="9CA1AC" w:sz="4" w:space="0"/>
            </w:tcBorders>
            <w:shd w:val="clear" w:color="auto" w:fill="D0D3D8"/>
            <w:noWrap w:val="0"/>
            <w:vAlign w:val="center"/>
          </w:tcPr>
          <w:p>
            <w:pPr>
              <w:spacing w:line="240" w:lineRule="atLeast"/>
              <w:ind w:firstLine="28"/>
              <w:jc w:val="center"/>
              <w:rPr>
                <w:rFonts w:hint="default" w:ascii="Times New Roman" w:hAnsi="Times New Roman" w:eastAsia="仿宋" w:cs="Times New Roman"/>
                <w:b/>
                <w:color w:val="000000"/>
                <w:sz w:val="21"/>
                <w:szCs w:val="21"/>
                <w:highlight w:val="none"/>
              </w:rPr>
            </w:pPr>
            <w:r>
              <w:rPr>
                <w:rFonts w:hint="default" w:ascii="Times New Roman" w:hAnsi="Times New Roman" w:eastAsia="仿宋" w:cs="Times New Roman"/>
                <w:b/>
                <w:color w:val="000000"/>
                <w:sz w:val="21"/>
                <w:szCs w:val="21"/>
                <w:highlight w:val="none"/>
              </w:rPr>
              <w:t>评分标准</w:t>
            </w:r>
          </w:p>
        </w:tc>
        <w:tc>
          <w:tcPr>
            <w:tcW w:w="1501" w:type="dxa"/>
            <w:tcBorders>
              <w:top w:val="single" w:color="9CA1AC" w:sz="4" w:space="0"/>
              <w:left w:val="single" w:color="9CA1AC" w:sz="4" w:space="0"/>
              <w:bottom w:val="single" w:color="9CA1AC" w:sz="4" w:space="0"/>
              <w:right w:val="single" w:color="9CA1AC" w:sz="4" w:space="0"/>
            </w:tcBorders>
            <w:shd w:val="clear" w:color="auto" w:fill="D0D3D8"/>
            <w:noWrap w:val="0"/>
            <w:vAlign w:val="center"/>
          </w:tcPr>
          <w:p>
            <w:pPr>
              <w:pStyle w:val="191"/>
              <w:spacing w:before="0" w:after="0" w:line="240" w:lineRule="atLeast"/>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40" w:lineRule="atLeast"/>
              <w:ind w:firstLine="28"/>
              <w:jc w:val="center"/>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1</w:t>
            </w:r>
          </w:p>
        </w:tc>
        <w:tc>
          <w:tcPr>
            <w:tcW w:w="1151"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40" w:lineRule="atLeast"/>
              <w:ind w:firstLine="28"/>
              <w:jc w:val="center"/>
              <w:rPr>
                <w:rFonts w:hint="default" w:ascii="Times New Roman" w:hAnsi="Times New Roman" w:eastAsia="仿宋" w:cs="Times New Roman"/>
                <w:color w:val="000000"/>
                <w:sz w:val="21"/>
                <w:szCs w:val="21"/>
                <w:highlight w:val="none"/>
              </w:rPr>
            </w:pPr>
            <w:r>
              <w:rPr>
                <w:rFonts w:hint="eastAsia" w:ascii="Times New Roman" w:hAnsi="Times New Roman" w:eastAsia="仿宋" w:cs="Times New Roman"/>
                <w:color w:val="000000"/>
                <w:sz w:val="21"/>
                <w:szCs w:val="21"/>
                <w:highlight w:val="none"/>
                <w:lang w:eastAsia="zh-CN"/>
              </w:rPr>
              <w:t>投标</w:t>
            </w:r>
            <w:r>
              <w:rPr>
                <w:rFonts w:hint="default" w:ascii="Times New Roman" w:hAnsi="Times New Roman" w:eastAsia="仿宋" w:cs="Times New Roman"/>
                <w:color w:val="000000"/>
                <w:sz w:val="21"/>
                <w:szCs w:val="21"/>
                <w:highlight w:val="none"/>
              </w:rPr>
              <w:t>报价</w:t>
            </w:r>
          </w:p>
          <w:p>
            <w:pPr>
              <w:spacing w:line="240" w:lineRule="atLeast"/>
              <w:ind w:firstLine="28"/>
              <w:jc w:val="center"/>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w:t>
            </w:r>
            <w:r>
              <w:rPr>
                <w:rFonts w:hint="eastAsia" w:ascii="Times New Roman" w:hAnsi="Times New Roman" w:eastAsia="仿宋" w:cs="Times New Roman"/>
                <w:color w:val="000000"/>
                <w:sz w:val="21"/>
                <w:szCs w:val="21"/>
                <w:highlight w:val="none"/>
                <w:lang w:val="en-US" w:eastAsia="zh-CN"/>
              </w:rPr>
              <w:t>50</w:t>
            </w:r>
            <w:r>
              <w:rPr>
                <w:rFonts w:hint="default" w:ascii="Times New Roman" w:hAnsi="Times New Roman" w:eastAsia="仿宋" w:cs="Times New Roman"/>
                <w:color w:val="000000"/>
                <w:sz w:val="21"/>
                <w:szCs w:val="21"/>
                <w:highlight w:val="none"/>
              </w:rPr>
              <w:t>%）</w:t>
            </w:r>
          </w:p>
        </w:tc>
        <w:tc>
          <w:tcPr>
            <w:tcW w:w="767"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40" w:lineRule="atLeast"/>
              <w:ind w:firstLine="28"/>
              <w:jc w:val="center"/>
              <w:rPr>
                <w:rFonts w:hint="default" w:ascii="Times New Roman" w:hAnsi="Times New Roman" w:eastAsia="仿宋" w:cs="Times New Roman"/>
                <w:color w:val="000000"/>
                <w:sz w:val="21"/>
                <w:szCs w:val="21"/>
                <w:highlight w:val="none"/>
                <w:lang w:val="en-US" w:eastAsia="zh-CN"/>
              </w:rPr>
            </w:pPr>
            <w:r>
              <w:rPr>
                <w:rFonts w:hint="eastAsia" w:ascii="Times New Roman" w:hAnsi="Times New Roman" w:eastAsia="仿宋" w:cs="Times New Roman"/>
                <w:color w:val="000000"/>
                <w:sz w:val="21"/>
                <w:szCs w:val="21"/>
                <w:highlight w:val="none"/>
                <w:lang w:val="en-US" w:eastAsia="zh-CN"/>
              </w:rPr>
              <w:t>50</w:t>
            </w:r>
          </w:p>
        </w:tc>
        <w:tc>
          <w:tcPr>
            <w:tcW w:w="5761"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 w:cs="Times New Roman"/>
                <w:color w:val="000000"/>
                <w:sz w:val="24"/>
                <w:szCs w:val="24"/>
                <w:highlight w:val="none"/>
                <w:lang w:eastAsia="zh-CN"/>
              </w:rPr>
            </w:pPr>
            <w:r>
              <w:rPr>
                <w:rFonts w:hint="eastAsia" w:ascii="Times New Roman" w:hAnsi="Times New Roman" w:eastAsia="仿宋" w:cs="Times New Roman"/>
                <w:color w:val="000000"/>
                <w:sz w:val="24"/>
                <w:szCs w:val="24"/>
                <w:highlight w:val="none"/>
                <w:lang w:eastAsia="zh-CN"/>
              </w:rPr>
              <w:t>按照</w:t>
            </w:r>
            <w:r>
              <w:rPr>
                <w:rFonts w:hint="eastAsia" w:ascii="Times New Roman" w:hAnsi="Times New Roman" w:eastAsia="仿宋" w:cs="Times New Roman"/>
                <w:color w:val="000000"/>
                <w:sz w:val="24"/>
                <w:szCs w:val="24"/>
                <w:highlight w:val="none"/>
                <w:lang w:val="en-US" w:eastAsia="zh-CN"/>
              </w:rPr>
              <w:t>投资期基金管理费报价</w:t>
            </w:r>
            <w:r>
              <w:rPr>
                <w:rFonts w:hint="eastAsia" w:ascii="Times New Roman" w:hAnsi="Times New Roman" w:eastAsia="仿宋" w:cs="Times New Roman"/>
                <w:color w:val="000000"/>
                <w:sz w:val="24"/>
                <w:szCs w:val="24"/>
                <w:highlight w:val="none"/>
                <w:u w:val="single"/>
                <w:lang w:val="en-US" w:eastAsia="zh-CN"/>
              </w:rPr>
              <w:t xml:space="preserve">    </w:t>
            </w:r>
            <w:r>
              <w:rPr>
                <w:rFonts w:hint="eastAsia" w:ascii="Times New Roman" w:hAnsi="Times New Roman" w:eastAsia="仿宋" w:cs="Times New Roman"/>
                <w:color w:val="000000"/>
                <w:sz w:val="24"/>
                <w:szCs w:val="24"/>
                <w:highlight w:val="none"/>
                <w:lang w:val="en-US" w:eastAsia="zh-CN"/>
              </w:rPr>
              <w:t>%/年（以基金实缴出资总额为计算基数）、退出期基金管理费</w:t>
            </w:r>
            <w:r>
              <w:rPr>
                <w:rFonts w:hint="eastAsia" w:ascii="Times New Roman" w:hAnsi="Times New Roman" w:eastAsia="仿宋" w:cs="Times New Roman"/>
                <w:color w:val="000000"/>
                <w:sz w:val="24"/>
                <w:szCs w:val="24"/>
                <w:highlight w:val="none"/>
                <w:u w:val="single"/>
                <w:lang w:val="en-US" w:eastAsia="zh-CN"/>
              </w:rPr>
              <w:t xml:space="preserve">    </w:t>
            </w:r>
            <w:r>
              <w:rPr>
                <w:rFonts w:hint="eastAsia" w:ascii="Times New Roman" w:hAnsi="Times New Roman" w:eastAsia="仿宋" w:cs="Times New Roman"/>
                <w:color w:val="000000"/>
                <w:sz w:val="24"/>
                <w:szCs w:val="24"/>
                <w:highlight w:val="none"/>
                <w:lang w:val="en-US" w:eastAsia="zh-CN"/>
              </w:rPr>
              <w:t>%/年（以基金实缴出资总额扣除已退出项目投资本金的余额为计算基数）进行报价。</w:t>
            </w:r>
            <w:r>
              <w:rPr>
                <w:rFonts w:hint="default" w:ascii="Times New Roman" w:hAnsi="Times New Roman" w:eastAsia="仿宋" w:cs="Times New Roman"/>
                <w:color w:val="000000"/>
                <w:sz w:val="24"/>
                <w:szCs w:val="24"/>
                <w:highlight w:val="none"/>
                <w:lang w:val="en-US" w:eastAsia="zh-CN"/>
              </w:rPr>
              <w:t>有效的</w:t>
            </w:r>
            <w:r>
              <w:rPr>
                <w:rFonts w:hint="eastAsia" w:ascii="Times New Roman" w:hAnsi="Times New Roman" w:eastAsia="仿宋" w:cs="Times New Roman"/>
                <w:color w:val="000000"/>
                <w:sz w:val="24"/>
                <w:szCs w:val="24"/>
                <w:highlight w:val="none"/>
                <w:lang w:val="en-US" w:eastAsia="zh-CN"/>
              </w:rPr>
              <w:t>投标</w:t>
            </w:r>
            <w:r>
              <w:rPr>
                <w:rFonts w:hint="default" w:ascii="Times New Roman" w:hAnsi="Times New Roman" w:eastAsia="仿宋" w:cs="Times New Roman"/>
                <w:color w:val="000000"/>
                <w:sz w:val="24"/>
                <w:szCs w:val="24"/>
                <w:highlight w:val="none"/>
                <w:lang w:val="en-US" w:eastAsia="zh-CN"/>
              </w:rPr>
              <w:t>报价中的最低价为</w:t>
            </w:r>
            <w:r>
              <w:rPr>
                <w:rFonts w:hint="eastAsia" w:ascii="Times New Roman" w:hAnsi="Times New Roman" w:eastAsia="仿宋" w:cs="Times New Roman"/>
                <w:color w:val="000000"/>
                <w:sz w:val="24"/>
                <w:szCs w:val="24"/>
                <w:highlight w:val="none"/>
                <w:lang w:val="en-US" w:eastAsia="zh-CN"/>
              </w:rPr>
              <w:t>投标</w:t>
            </w:r>
            <w:r>
              <w:rPr>
                <w:rFonts w:hint="default" w:ascii="Times New Roman" w:hAnsi="Times New Roman" w:eastAsia="仿宋" w:cs="Times New Roman"/>
                <w:color w:val="000000"/>
                <w:sz w:val="24"/>
                <w:szCs w:val="24"/>
                <w:highlight w:val="none"/>
              </w:rPr>
              <w:t>基准价，</w:t>
            </w:r>
            <w:r>
              <w:rPr>
                <w:rFonts w:hint="eastAsia" w:ascii="Times New Roman" w:hAnsi="Times New Roman" w:eastAsia="仿宋" w:cs="Times New Roman"/>
                <w:color w:val="000000"/>
                <w:sz w:val="24"/>
                <w:szCs w:val="24"/>
                <w:highlight w:val="none"/>
                <w:lang w:eastAsia="zh-CN"/>
              </w:rPr>
              <w:t>其中，投标基准价分为投资期投标基准价和退出期投标基准价，各占分值</w:t>
            </w:r>
            <w:r>
              <w:rPr>
                <w:rFonts w:hint="eastAsia" w:ascii="Times New Roman" w:hAnsi="Times New Roman" w:eastAsia="仿宋" w:cs="Times New Roman"/>
                <w:color w:val="000000"/>
                <w:sz w:val="24"/>
                <w:szCs w:val="24"/>
                <w:highlight w:val="none"/>
                <w:lang w:val="en-US" w:eastAsia="zh-CN"/>
              </w:rPr>
              <w:t>25分</w:t>
            </w:r>
            <w:r>
              <w:rPr>
                <w:rFonts w:hint="eastAsia" w:ascii="Times New Roman" w:hAnsi="Times New Roman" w:eastAsia="仿宋" w:cs="Times New Roman"/>
                <w:color w:val="000000"/>
                <w:sz w:val="24"/>
                <w:szCs w:val="24"/>
                <w:highlight w:val="none"/>
                <w:lang w:eastAsia="zh-CN"/>
              </w:rPr>
              <w:t>，</w:t>
            </w:r>
            <w:r>
              <w:rPr>
                <w:rFonts w:hint="default" w:ascii="Times New Roman" w:hAnsi="Times New Roman" w:eastAsia="仿宋" w:cs="Times New Roman"/>
                <w:color w:val="000000"/>
                <w:sz w:val="24"/>
                <w:szCs w:val="24"/>
                <w:highlight w:val="none"/>
              </w:rPr>
              <w:t>按照下列公式计算每个供应商的投标价格得分。</w:t>
            </w:r>
            <w:r>
              <w:rPr>
                <w:rFonts w:hint="eastAsia" w:ascii="Times New Roman" w:hAnsi="Times New Roman" w:eastAsia="仿宋" w:cs="Times New Roman"/>
                <w:color w:val="000000"/>
                <w:sz w:val="24"/>
                <w:szCs w:val="24"/>
                <w:highlight w:val="none"/>
                <w:lang w:eastAsia="zh-CN"/>
              </w:rPr>
              <w:t>最低报价不是中标的唯一依据。</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jc w:val="both"/>
              <w:textAlignment w:val="auto"/>
              <w:rPr>
                <w:rFonts w:hint="default" w:ascii="Times New Roman" w:hAnsi="Times New Roman" w:eastAsia="仿宋" w:cs="Times New Roman"/>
                <w:color w:val="000000"/>
                <w:sz w:val="24"/>
                <w:szCs w:val="24"/>
                <w:highlight w:val="none"/>
                <w:lang w:val="en-US" w:eastAsia="zh-CN"/>
              </w:rPr>
            </w:pPr>
            <w:r>
              <w:rPr>
                <w:rFonts w:hint="eastAsia" w:ascii="Times New Roman" w:hAnsi="Times New Roman" w:eastAsia="仿宋" w:cs="Times New Roman"/>
                <w:color w:val="000000"/>
                <w:sz w:val="24"/>
                <w:szCs w:val="24"/>
                <w:highlight w:val="none"/>
                <w:lang w:val="en-US" w:eastAsia="zh-CN"/>
              </w:rPr>
              <w:t>1.投资期报价得分：</w:t>
            </w:r>
            <w:r>
              <w:rPr>
                <w:rFonts w:hint="default" w:ascii="Times New Roman" w:hAnsi="Times New Roman" w:eastAsia="仿宋" w:cs="Times New Roman"/>
                <w:color w:val="000000"/>
                <w:sz w:val="24"/>
                <w:szCs w:val="24"/>
                <w:highlight w:val="none"/>
                <w:lang w:val="en-US" w:eastAsia="zh-CN"/>
              </w:rPr>
              <w:t>报价最低者得</w:t>
            </w:r>
            <w:r>
              <w:rPr>
                <w:rFonts w:hint="eastAsia" w:ascii="Times New Roman" w:hAnsi="Times New Roman" w:eastAsia="仿宋" w:cs="Times New Roman"/>
                <w:color w:val="000000"/>
                <w:sz w:val="24"/>
                <w:szCs w:val="24"/>
                <w:highlight w:val="none"/>
                <w:lang w:val="en-US" w:eastAsia="zh-CN"/>
              </w:rPr>
              <w:t>25</w:t>
            </w:r>
            <w:r>
              <w:rPr>
                <w:rFonts w:hint="default" w:ascii="Times New Roman" w:hAnsi="Times New Roman" w:eastAsia="仿宋" w:cs="Times New Roman"/>
                <w:color w:val="000000"/>
                <w:sz w:val="24"/>
                <w:szCs w:val="24"/>
                <w:highlight w:val="none"/>
                <w:lang w:val="en-US" w:eastAsia="zh-CN"/>
              </w:rPr>
              <w:t>分，后续报价</w:t>
            </w:r>
            <w:r>
              <w:rPr>
                <w:rFonts w:hint="eastAsia" w:ascii="Times New Roman" w:hAnsi="Times New Roman" w:eastAsia="仿宋" w:cs="Times New Roman"/>
                <w:color w:val="000000"/>
                <w:sz w:val="24"/>
                <w:szCs w:val="24"/>
                <w:highlight w:val="none"/>
                <w:lang w:val="en-US" w:eastAsia="zh-CN"/>
              </w:rPr>
              <w:t>比</w:t>
            </w:r>
            <w:r>
              <w:rPr>
                <w:rFonts w:hint="default" w:ascii="Times New Roman" w:hAnsi="Times New Roman" w:eastAsia="仿宋" w:cs="Times New Roman"/>
                <w:color w:val="000000"/>
                <w:sz w:val="24"/>
                <w:szCs w:val="24"/>
                <w:highlight w:val="none"/>
                <w:lang w:val="en-US" w:eastAsia="zh-CN"/>
              </w:rPr>
              <w:t>报价最低者每高0.01%的，扣0.</w:t>
            </w:r>
            <w:r>
              <w:rPr>
                <w:rFonts w:hint="eastAsia" w:ascii="Times New Roman" w:hAnsi="Times New Roman" w:eastAsia="仿宋" w:cs="Times New Roman"/>
                <w:color w:val="000000"/>
                <w:sz w:val="24"/>
                <w:szCs w:val="24"/>
                <w:highlight w:val="none"/>
                <w:lang w:val="en-US" w:eastAsia="zh-CN"/>
              </w:rPr>
              <w:t>05</w:t>
            </w:r>
            <w:r>
              <w:rPr>
                <w:rFonts w:hint="default" w:ascii="Times New Roman" w:hAnsi="Times New Roman" w:eastAsia="仿宋" w:cs="Times New Roman"/>
                <w:color w:val="000000"/>
                <w:sz w:val="24"/>
                <w:szCs w:val="24"/>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both"/>
              <w:textAlignment w:val="auto"/>
              <w:rPr>
                <w:rFonts w:hint="default" w:ascii="Times New Roman" w:hAnsi="Times New Roman" w:eastAsia="仿宋" w:cs="Times New Roman"/>
                <w:color w:val="000000"/>
                <w:sz w:val="24"/>
                <w:szCs w:val="24"/>
                <w:highlight w:val="none"/>
                <w:lang w:val="en-US" w:eastAsia="zh-CN"/>
              </w:rPr>
            </w:pPr>
            <w:r>
              <w:rPr>
                <w:rFonts w:hint="eastAsia" w:ascii="Times New Roman" w:hAnsi="Times New Roman" w:eastAsia="仿宋" w:cs="Times New Roman"/>
                <w:color w:val="000000"/>
                <w:sz w:val="24"/>
                <w:szCs w:val="24"/>
                <w:highlight w:val="none"/>
                <w:lang w:val="en-US" w:eastAsia="zh-CN"/>
              </w:rPr>
              <w:t>2.退出期报价得分：</w:t>
            </w:r>
            <w:r>
              <w:rPr>
                <w:rFonts w:hint="default" w:ascii="Times New Roman" w:hAnsi="Times New Roman" w:eastAsia="仿宋" w:cs="Times New Roman"/>
                <w:color w:val="000000"/>
                <w:sz w:val="24"/>
                <w:szCs w:val="24"/>
                <w:highlight w:val="none"/>
                <w:lang w:val="en-US" w:eastAsia="zh-CN"/>
              </w:rPr>
              <w:t>报价最低者得</w:t>
            </w:r>
            <w:r>
              <w:rPr>
                <w:rFonts w:hint="eastAsia" w:ascii="Times New Roman" w:hAnsi="Times New Roman" w:eastAsia="仿宋" w:cs="Times New Roman"/>
                <w:color w:val="000000"/>
                <w:sz w:val="24"/>
                <w:szCs w:val="24"/>
                <w:highlight w:val="none"/>
                <w:lang w:val="en-US" w:eastAsia="zh-CN"/>
              </w:rPr>
              <w:t>25</w:t>
            </w:r>
            <w:r>
              <w:rPr>
                <w:rFonts w:hint="default" w:ascii="Times New Roman" w:hAnsi="Times New Roman" w:eastAsia="仿宋" w:cs="Times New Roman"/>
                <w:color w:val="000000"/>
                <w:sz w:val="24"/>
                <w:szCs w:val="24"/>
                <w:highlight w:val="none"/>
                <w:lang w:val="en-US" w:eastAsia="zh-CN"/>
              </w:rPr>
              <w:t>分，后续报价</w:t>
            </w:r>
            <w:r>
              <w:rPr>
                <w:rFonts w:hint="eastAsia" w:ascii="Times New Roman" w:hAnsi="Times New Roman" w:eastAsia="仿宋" w:cs="Times New Roman"/>
                <w:color w:val="000000"/>
                <w:sz w:val="24"/>
                <w:szCs w:val="24"/>
                <w:highlight w:val="none"/>
                <w:lang w:val="en-US" w:eastAsia="zh-CN"/>
              </w:rPr>
              <w:t>比</w:t>
            </w:r>
            <w:r>
              <w:rPr>
                <w:rFonts w:hint="default" w:ascii="Times New Roman" w:hAnsi="Times New Roman" w:eastAsia="仿宋" w:cs="Times New Roman"/>
                <w:color w:val="000000"/>
                <w:sz w:val="24"/>
                <w:szCs w:val="24"/>
                <w:highlight w:val="none"/>
                <w:lang w:val="en-US" w:eastAsia="zh-CN"/>
              </w:rPr>
              <w:t>报价最低者每高0.01%的，扣0.</w:t>
            </w:r>
            <w:r>
              <w:rPr>
                <w:rFonts w:hint="eastAsia" w:ascii="Times New Roman" w:hAnsi="Times New Roman" w:eastAsia="仿宋" w:cs="Times New Roman"/>
                <w:color w:val="000000"/>
                <w:sz w:val="24"/>
                <w:szCs w:val="24"/>
                <w:highlight w:val="none"/>
                <w:lang w:val="en-US" w:eastAsia="zh-CN"/>
              </w:rPr>
              <w:t>05</w:t>
            </w:r>
            <w:r>
              <w:rPr>
                <w:rFonts w:hint="default" w:ascii="Times New Roman" w:hAnsi="Times New Roman" w:eastAsia="仿宋" w:cs="Times New Roman"/>
                <w:color w:val="000000"/>
                <w:sz w:val="24"/>
                <w:szCs w:val="24"/>
                <w:highlight w:val="none"/>
                <w:lang w:val="en-US" w:eastAsia="zh-CN"/>
              </w:rPr>
              <w:t>分。</w:t>
            </w:r>
          </w:p>
          <w:p>
            <w:pPr>
              <w:spacing w:line="240" w:lineRule="atLeast"/>
              <w:rPr>
                <w:rFonts w:hint="default" w:ascii="Times New Roman" w:hAnsi="Times New Roman" w:eastAsia="仿宋" w:cs="Times New Roman"/>
                <w:color w:val="000000"/>
                <w:sz w:val="21"/>
                <w:szCs w:val="21"/>
                <w:highlight w:val="none"/>
                <w:lang w:val="en-US" w:eastAsia="zh-CN"/>
              </w:rPr>
            </w:pPr>
            <w:r>
              <w:rPr>
                <w:rFonts w:hint="eastAsia" w:ascii="Times New Roman" w:hAnsi="Times New Roman" w:eastAsia="仿宋" w:cs="Times New Roman"/>
                <w:color w:val="000000"/>
                <w:sz w:val="24"/>
                <w:szCs w:val="24"/>
                <w:highlight w:val="none"/>
                <w:lang w:eastAsia="zh-CN"/>
              </w:rPr>
              <w:t>投标</w:t>
            </w:r>
            <w:r>
              <w:rPr>
                <w:rFonts w:hint="default" w:ascii="Times New Roman" w:hAnsi="Times New Roman" w:eastAsia="仿宋" w:cs="Times New Roman"/>
                <w:color w:val="000000"/>
                <w:sz w:val="24"/>
                <w:szCs w:val="24"/>
                <w:highlight w:val="none"/>
              </w:rPr>
              <w:t>报价</w:t>
            </w:r>
            <w:r>
              <w:rPr>
                <w:rFonts w:hint="eastAsia" w:ascii="Times New Roman" w:hAnsi="Times New Roman" w:eastAsia="仿宋" w:cs="Times New Roman"/>
                <w:color w:val="000000"/>
                <w:sz w:val="24"/>
                <w:szCs w:val="24"/>
                <w:highlight w:val="none"/>
                <w:lang w:eastAsia="zh-CN"/>
              </w:rPr>
              <w:t>总</w:t>
            </w:r>
            <w:r>
              <w:rPr>
                <w:rFonts w:hint="default" w:ascii="Times New Roman" w:hAnsi="Times New Roman" w:eastAsia="仿宋" w:cs="Times New Roman"/>
                <w:color w:val="000000"/>
                <w:sz w:val="24"/>
                <w:szCs w:val="24"/>
                <w:highlight w:val="none"/>
              </w:rPr>
              <w:t>得分＝</w:t>
            </w:r>
            <w:r>
              <w:rPr>
                <w:rFonts w:hint="eastAsia" w:ascii="Times New Roman" w:hAnsi="Times New Roman" w:eastAsia="仿宋" w:cs="Times New Roman"/>
                <w:color w:val="000000"/>
                <w:sz w:val="24"/>
                <w:szCs w:val="24"/>
                <w:highlight w:val="none"/>
                <w:lang w:eastAsia="zh-CN"/>
              </w:rPr>
              <w:t>投资期报价得分</w:t>
            </w:r>
            <w:r>
              <w:rPr>
                <w:rFonts w:hint="eastAsia" w:ascii="Times New Roman" w:hAnsi="Times New Roman" w:eastAsia="仿宋" w:cs="Times New Roman"/>
                <w:color w:val="000000"/>
                <w:sz w:val="24"/>
                <w:szCs w:val="24"/>
                <w:highlight w:val="none"/>
                <w:lang w:val="en-US" w:eastAsia="zh-CN"/>
              </w:rPr>
              <w:t>+退出期报价得分</w:t>
            </w:r>
            <w:r>
              <w:rPr>
                <w:rFonts w:hint="default" w:ascii="Times New Roman" w:hAnsi="Times New Roman" w:eastAsia="仿宋" w:cs="Times New Roman"/>
                <w:color w:val="000000"/>
                <w:sz w:val="24"/>
                <w:szCs w:val="24"/>
                <w:highlight w:val="none"/>
              </w:rPr>
              <w:t>。</w:t>
            </w:r>
          </w:p>
        </w:tc>
        <w:tc>
          <w:tcPr>
            <w:tcW w:w="1501"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40" w:lineRule="atLeast"/>
              <w:ind w:left="-38" w:firstLine="192" w:firstLineChars="0"/>
              <w:jc w:val="left"/>
              <w:rPr>
                <w:rFonts w:hint="eastAsia" w:ascii="Times New Roman" w:hAnsi="Times New Roman" w:eastAsia="仿宋" w:cs="Times New Roman"/>
                <w:color w:val="00000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40" w:lineRule="atLeast"/>
              <w:ind w:firstLine="28"/>
              <w:jc w:val="center"/>
              <w:rPr>
                <w:rFonts w:hint="eastAsia" w:ascii="Times New Roman" w:hAnsi="Times New Roman" w:eastAsia="仿宋" w:cs="Times New Roman"/>
                <w:color w:val="000000"/>
                <w:sz w:val="21"/>
                <w:szCs w:val="21"/>
                <w:highlight w:val="none"/>
                <w:lang w:val="en-US" w:eastAsia="zh-CN"/>
              </w:rPr>
            </w:pPr>
            <w:r>
              <w:rPr>
                <w:rFonts w:hint="eastAsia" w:ascii="Times New Roman" w:hAnsi="Times New Roman" w:eastAsia="仿宋" w:cs="Times New Roman"/>
                <w:color w:val="000000"/>
                <w:sz w:val="21"/>
                <w:szCs w:val="21"/>
                <w:highlight w:val="none"/>
                <w:lang w:val="en-US" w:eastAsia="zh-CN"/>
              </w:rPr>
              <w:t>2</w:t>
            </w:r>
          </w:p>
        </w:tc>
        <w:tc>
          <w:tcPr>
            <w:tcW w:w="1151"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40" w:lineRule="atLeast"/>
              <w:ind w:firstLine="28"/>
              <w:jc w:val="center"/>
              <w:rPr>
                <w:rFonts w:hint="eastAsia" w:ascii="Times New Roman" w:hAnsi="Times New Roman" w:eastAsia="仿宋" w:cs="Times New Roman"/>
                <w:color w:val="000000"/>
                <w:sz w:val="21"/>
                <w:szCs w:val="21"/>
                <w:highlight w:val="none"/>
                <w:lang w:val="en-US" w:eastAsia="zh-CN"/>
              </w:rPr>
            </w:pPr>
            <w:r>
              <w:rPr>
                <w:rFonts w:hint="eastAsia" w:ascii="Times New Roman" w:hAnsi="Times New Roman" w:eastAsia="仿宋" w:cs="Times New Roman"/>
                <w:color w:val="000000"/>
                <w:sz w:val="21"/>
                <w:szCs w:val="21"/>
                <w:highlight w:val="none"/>
                <w:lang w:val="en-US" w:eastAsia="zh-CN"/>
              </w:rPr>
              <w:t>技术部分（43%）</w:t>
            </w:r>
          </w:p>
        </w:tc>
        <w:tc>
          <w:tcPr>
            <w:tcW w:w="767"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40" w:lineRule="atLeast"/>
              <w:ind w:firstLine="28"/>
              <w:jc w:val="center"/>
              <w:rPr>
                <w:rFonts w:hint="default" w:ascii="Times New Roman" w:hAnsi="Times New Roman" w:eastAsia="仿宋" w:cs="Times New Roman"/>
                <w:color w:val="000000"/>
                <w:sz w:val="21"/>
                <w:szCs w:val="21"/>
                <w:highlight w:val="none"/>
                <w:lang w:val="en-US" w:eastAsia="zh-CN"/>
              </w:rPr>
            </w:pPr>
            <w:r>
              <w:rPr>
                <w:rFonts w:hint="eastAsia" w:ascii="Times New Roman" w:hAnsi="Times New Roman" w:eastAsia="仿宋" w:cs="Times New Roman"/>
                <w:color w:val="000000"/>
                <w:sz w:val="21"/>
                <w:szCs w:val="21"/>
                <w:highlight w:val="none"/>
                <w:lang w:val="en-US" w:eastAsia="zh-CN"/>
              </w:rPr>
              <w:t>43</w:t>
            </w:r>
          </w:p>
        </w:tc>
        <w:tc>
          <w:tcPr>
            <w:tcW w:w="5761"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 w:cs="Times New Roman"/>
                <w:color w:val="000000"/>
                <w:sz w:val="24"/>
                <w:szCs w:val="24"/>
                <w:highlight w:val="none"/>
                <w:lang w:val="en-US" w:eastAsia="zh-CN"/>
              </w:rPr>
            </w:pPr>
            <w:r>
              <w:rPr>
                <w:rFonts w:hint="eastAsia" w:ascii="方正楷体_GBK" w:hAnsi="方正楷体_GBK" w:eastAsia="方正楷体_GBK" w:cs="方正楷体_GBK"/>
                <w:color w:val="000000"/>
                <w:sz w:val="24"/>
                <w:szCs w:val="24"/>
                <w:highlight w:val="none"/>
                <w:lang w:val="en-US" w:eastAsia="zh-CN"/>
              </w:rPr>
              <w:t>（一）投资及风控制度（9分）。</w:t>
            </w:r>
            <w:r>
              <w:rPr>
                <w:rFonts w:hint="default" w:ascii="Times New Roman" w:hAnsi="Times New Roman" w:eastAsia="仿宋" w:cs="Times New Roman"/>
                <w:color w:val="000000"/>
                <w:sz w:val="24"/>
                <w:szCs w:val="24"/>
                <w:highlight w:val="none"/>
                <w:lang w:val="en-US" w:eastAsia="zh-CN"/>
              </w:rPr>
              <w:t>根据本项目招标需求及特点</w:t>
            </w:r>
            <w:r>
              <w:rPr>
                <w:rFonts w:hint="eastAsia" w:eastAsia="仿宋" w:cs="Times New Roman"/>
                <w:color w:val="000000"/>
                <w:sz w:val="24"/>
                <w:szCs w:val="24"/>
                <w:highlight w:val="none"/>
                <w:lang w:val="en-US" w:eastAsia="zh-CN"/>
              </w:rPr>
              <w:t>，拥有</w:t>
            </w:r>
            <w:r>
              <w:rPr>
                <w:rFonts w:hint="eastAsia" w:ascii="Times New Roman" w:hAnsi="Times New Roman" w:eastAsia="方正仿宋_GBK" w:cs="Times New Roman"/>
                <w:color w:val="auto"/>
                <w:sz w:val="24"/>
                <w:szCs w:val="24"/>
                <w:highlight w:val="none"/>
                <w:lang w:val="en-US" w:eastAsia="zh-CN"/>
              </w:rPr>
              <w:t>私募基金“募、投、管、退 ”全流程的制度体系</w:t>
            </w:r>
            <w:r>
              <w:rPr>
                <w:rFonts w:hint="default" w:ascii="Times New Roman" w:hAnsi="Times New Roman" w:eastAsia="仿宋" w:cs="Times New Roman"/>
                <w:color w:val="000000"/>
                <w:sz w:val="24"/>
                <w:szCs w:val="24"/>
                <w:highlight w:val="none"/>
                <w:lang w:val="en-US" w:eastAsia="zh-CN"/>
              </w:rPr>
              <w:t xml:space="preserve">。 </w:t>
            </w:r>
            <w:r>
              <w:rPr>
                <w:rFonts w:hint="eastAsia" w:ascii="Times New Roman" w:hAnsi="Times New Roman" w:eastAsia="仿宋" w:cs="Times New Roman"/>
                <w:color w:val="000000"/>
                <w:sz w:val="24"/>
                <w:szCs w:val="24"/>
                <w:highlight w:val="none"/>
                <w:lang w:val="en-US" w:eastAsia="zh-CN"/>
              </w:rPr>
              <w:t xml:space="preserve">                                                   </w:t>
            </w:r>
            <w:r>
              <w:rPr>
                <w:rFonts w:hint="default" w:ascii="Times New Roman" w:hAnsi="Times New Roman" w:eastAsia="仿宋" w:cs="Times New Roman"/>
                <w:color w:val="000000"/>
                <w:sz w:val="24"/>
                <w:szCs w:val="24"/>
                <w:highlight w:val="none"/>
                <w:lang w:val="en-US" w:eastAsia="zh-CN"/>
              </w:rPr>
              <w:t>（1）制度优秀、设计合理、明确可行、完全符合采购人情况及项 目特点的，得</w:t>
            </w:r>
            <w:r>
              <w:rPr>
                <w:rFonts w:hint="eastAsia" w:ascii="Times New Roman" w:hAnsi="Times New Roman" w:eastAsia="仿宋" w:cs="Times New Roman"/>
                <w:color w:val="000000"/>
                <w:sz w:val="24"/>
                <w:szCs w:val="24"/>
                <w:highlight w:val="none"/>
                <w:lang w:val="en-US" w:eastAsia="zh-CN"/>
              </w:rPr>
              <w:t>9</w:t>
            </w:r>
            <w:r>
              <w:rPr>
                <w:rFonts w:hint="default" w:ascii="Times New Roman" w:hAnsi="Times New Roman" w:eastAsia="仿宋" w:cs="Times New Roman"/>
                <w:color w:val="000000"/>
                <w:sz w:val="24"/>
                <w:szCs w:val="24"/>
                <w:highlight w:val="none"/>
                <w:lang w:val="en-US" w:eastAsia="zh-CN"/>
              </w:rPr>
              <w:t>分；</w:t>
            </w:r>
            <w:r>
              <w:rPr>
                <w:rFonts w:hint="eastAsia" w:ascii="Times New Roman" w:hAnsi="Times New Roman" w:eastAsia="仿宋" w:cs="Times New Roman"/>
                <w:color w:val="000000"/>
                <w:sz w:val="24"/>
                <w:szCs w:val="24"/>
                <w:highlight w:val="none"/>
                <w:lang w:val="en-US" w:eastAsia="zh-CN"/>
              </w:rPr>
              <w:t xml:space="preserve">                                                                  </w:t>
            </w:r>
            <w:r>
              <w:rPr>
                <w:rFonts w:hint="default" w:ascii="Times New Roman" w:hAnsi="Times New Roman" w:eastAsia="仿宋" w:cs="Times New Roman"/>
                <w:color w:val="000000"/>
                <w:sz w:val="24"/>
                <w:szCs w:val="24"/>
                <w:highlight w:val="none"/>
                <w:lang w:val="en-US" w:eastAsia="zh-CN"/>
              </w:rPr>
              <w:t>（2）制度良好、设计相对合理、具备一定可行性的，得</w:t>
            </w:r>
            <w:r>
              <w:rPr>
                <w:rFonts w:hint="eastAsia" w:ascii="Times New Roman" w:hAnsi="Times New Roman" w:eastAsia="仿宋" w:cs="Times New Roman"/>
                <w:color w:val="000000"/>
                <w:sz w:val="24"/>
                <w:szCs w:val="24"/>
                <w:highlight w:val="none"/>
                <w:lang w:val="en-US" w:eastAsia="zh-CN"/>
              </w:rPr>
              <w:t>5</w:t>
            </w:r>
            <w:r>
              <w:rPr>
                <w:rFonts w:hint="default" w:ascii="Times New Roman" w:hAnsi="Times New Roman" w:eastAsia="仿宋" w:cs="Times New Roman"/>
                <w:color w:val="000000"/>
                <w:sz w:val="24"/>
                <w:szCs w:val="24"/>
                <w:highlight w:val="none"/>
                <w:lang w:val="en-US" w:eastAsia="zh-CN"/>
              </w:rPr>
              <w:t>分；</w:t>
            </w:r>
            <w:r>
              <w:rPr>
                <w:rFonts w:hint="eastAsia" w:ascii="Times New Roman" w:hAnsi="Times New Roman" w:eastAsia="仿宋" w:cs="Times New Roman"/>
                <w:color w:val="000000"/>
                <w:sz w:val="24"/>
                <w:szCs w:val="24"/>
                <w:highlight w:val="none"/>
                <w:lang w:val="en-US" w:eastAsia="zh-CN"/>
              </w:rPr>
              <w:t xml:space="preserve">                           </w:t>
            </w:r>
            <w:r>
              <w:rPr>
                <w:rFonts w:hint="default" w:ascii="Times New Roman" w:hAnsi="Times New Roman" w:eastAsia="仿宋" w:cs="Times New Roman"/>
                <w:color w:val="000000"/>
                <w:sz w:val="24"/>
                <w:szCs w:val="24"/>
                <w:highlight w:val="none"/>
                <w:lang w:val="en-US" w:eastAsia="zh-CN"/>
              </w:rPr>
              <w:t xml:space="preserve"> </w:t>
            </w:r>
            <w:r>
              <w:rPr>
                <w:rFonts w:hint="eastAsia" w:ascii="Times New Roman" w:hAnsi="Times New Roman" w:eastAsia="仿宋" w:cs="Times New Roman"/>
                <w:color w:val="000000"/>
                <w:sz w:val="24"/>
                <w:szCs w:val="24"/>
                <w:highlight w:val="none"/>
                <w:lang w:val="en-US" w:eastAsia="zh-CN"/>
              </w:rPr>
              <w:t xml:space="preserve">                             </w:t>
            </w:r>
            <w:r>
              <w:rPr>
                <w:rFonts w:hint="default" w:ascii="Times New Roman" w:hAnsi="Times New Roman" w:eastAsia="仿宋" w:cs="Times New Roman"/>
                <w:color w:val="000000"/>
                <w:sz w:val="24"/>
                <w:szCs w:val="24"/>
                <w:highlight w:val="none"/>
                <w:lang w:val="en-US" w:eastAsia="zh-CN"/>
              </w:rPr>
              <w:t>（3）制度合格，基本满足需求的，得</w:t>
            </w:r>
            <w:r>
              <w:rPr>
                <w:rFonts w:hint="eastAsia" w:ascii="Times New Roman" w:hAnsi="Times New Roman" w:eastAsia="仿宋" w:cs="Times New Roman"/>
                <w:color w:val="000000"/>
                <w:sz w:val="24"/>
                <w:szCs w:val="24"/>
                <w:highlight w:val="none"/>
                <w:lang w:val="en-US" w:eastAsia="zh-CN"/>
              </w:rPr>
              <w:t>2</w:t>
            </w:r>
            <w:r>
              <w:rPr>
                <w:rFonts w:hint="default" w:ascii="Times New Roman" w:hAnsi="Times New Roman" w:eastAsia="仿宋" w:cs="Times New Roman"/>
                <w:color w:val="000000"/>
                <w:sz w:val="24"/>
                <w:szCs w:val="24"/>
                <w:highlight w:val="none"/>
                <w:lang w:val="en-US" w:eastAsia="zh-CN"/>
              </w:rPr>
              <w:t xml:space="preserve">分； </w:t>
            </w:r>
            <w:r>
              <w:rPr>
                <w:rFonts w:hint="eastAsia" w:ascii="Times New Roman" w:hAnsi="Times New Roman" w:eastAsia="仿宋" w:cs="Times New Roman"/>
                <w:color w:val="000000"/>
                <w:sz w:val="24"/>
                <w:szCs w:val="24"/>
                <w:highlight w:val="none"/>
                <w:lang w:val="en-US" w:eastAsia="zh-CN"/>
              </w:rPr>
              <w:t xml:space="preserve">                                                 </w:t>
            </w:r>
            <w:r>
              <w:rPr>
                <w:rFonts w:hint="default" w:ascii="Times New Roman" w:hAnsi="Times New Roman" w:eastAsia="仿宋" w:cs="Times New Roman"/>
                <w:color w:val="000000"/>
                <w:sz w:val="24"/>
                <w:szCs w:val="24"/>
                <w:highlight w:val="none"/>
                <w:lang w:val="en-US" w:eastAsia="zh-CN"/>
              </w:rPr>
              <w:t>（4）制度不合格</w:t>
            </w:r>
            <w:r>
              <w:rPr>
                <w:rFonts w:hint="eastAsia" w:ascii="Times New Roman" w:hAnsi="Times New Roman" w:eastAsia="仿宋" w:cs="Times New Roman"/>
                <w:color w:val="000000"/>
                <w:sz w:val="24"/>
                <w:szCs w:val="24"/>
                <w:highlight w:val="none"/>
                <w:lang w:val="en-US" w:eastAsia="zh-CN"/>
              </w:rPr>
              <w:t>或较粗糙</w:t>
            </w:r>
            <w:r>
              <w:rPr>
                <w:rFonts w:hint="default" w:ascii="Times New Roman" w:hAnsi="Times New Roman" w:eastAsia="仿宋" w:cs="Times New Roman"/>
                <w:color w:val="000000"/>
                <w:sz w:val="24"/>
                <w:szCs w:val="24"/>
                <w:highlight w:val="none"/>
                <w:lang w:val="en-US" w:eastAsia="zh-CN"/>
              </w:rPr>
              <w:t>的，不得分。</w:t>
            </w:r>
            <w:r>
              <w:rPr>
                <w:rFonts w:hint="eastAsia" w:ascii="Times New Roman" w:hAnsi="Times New Roman" w:eastAsia="仿宋" w:cs="Times New Roman"/>
                <w:color w:val="000000"/>
                <w:sz w:val="24"/>
                <w:szCs w:val="24"/>
                <w:highlight w:val="none"/>
                <w:lang w:val="en-US" w:eastAsia="zh-CN"/>
              </w:rPr>
              <w:t xml:space="preserve">                           </w:t>
            </w:r>
          </w:p>
          <w:p>
            <w:pPr>
              <w:pStyle w:val="103"/>
              <w:keepNext w:val="0"/>
              <w:keepLines w:val="0"/>
              <w:pageBreakBefore w:val="0"/>
              <w:widowControl/>
              <w:kinsoku/>
              <w:wordWrap/>
              <w:overflowPunct/>
              <w:topLinePunct w:val="0"/>
              <w:autoSpaceDE/>
              <w:autoSpaceDN/>
              <w:bidi w:val="0"/>
              <w:adjustRightInd/>
              <w:snapToGrid w:val="0"/>
              <w:spacing w:before="0" w:after="0" w:line="320" w:lineRule="exact"/>
              <w:textAlignment w:val="auto"/>
              <w:rPr>
                <w:rFonts w:hint="eastAsia" w:ascii="Times New Roman" w:hAnsi="Times New Roman" w:eastAsia="仿宋" w:cs="Times New Roman"/>
                <w:color w:val="000000"/>
                <w:kern w:val="2"/>
                <w:sz w:val="24"/>
                <w:szCs w:val="24"/>
                <w:highlight w:val="none"/>
                <w:lang w:val="en-US" w:eastAsia="zh-CN" w:bidi="ar-SA"/>
              </w:rPr>
            </w:pPr>
            <w:r>
              <w:rPr>
                <w:rFonts w:hint="eastAsia" w:ascii="方正楷体_GBK" w:hAnsi="方正楷体_GBK" w:eastAsia="方正楷体_GBK" w:cs="方正楷体_GBK"/>
                <w:color w:val="000000"/>
                <w:kern w:val="2"/>
                <w:sz w:val="24"/>
                <w:szCs w:val="24"/>
                <w:highlight w:val="none"/>
                <w:lang w:val="en-US" w:eastAsia="zh-CN" w:bidi="ar-SA"/>
              </w:rPr>
              <w:t>（二）服务方</w:t>
            </w:r>
            <w:r>
              <w:rPr>
                <w:rFonts w:hint="eastAsia" w:ascii="Times New Roman" w:hAnsi="Times New Roman" w:eastAsia="仿宋" w:cs="Times New Roman"/>
                <w:color w:val="000000"/>
                <w:kern w:val="2"/>
                <w:sz w:val="24"/>
                <w:szCs w:val="24"/>
                <w:highlight w:val="none"/>
                <w:lang w:val="en-US" w:eastAsia="zh-CN" w:bidi="ar-SA"/>
              </w:rPr>
              <w:t>案（9分）。能够对垫江高新区的相关产业有充分的认识和理解、梳理出产业链中需要延链、补链的关键环节，并针对性地制定落实举措；</w:t>
            </w:r>
            <w:r>
              <w:rPr>
                <w:rFonts w:hint="eastAsia" w:ascii="Times New Roman" w:hAnsi="Times New Roman" w:eastAsia="方正仿宋_GBK" w:cs="Times New Roman"/>
                <w:color w:val="auto"/>
                <w:sz w:val="24"/>
                <w:szCs w:val="24"/>
                <w:highlight w:val="none"/>
                <w:lang w:val="en-US" w:eastAsia="zh-CN"/>
              </w:rPr>
              <w:t>在</w:t>
            </w:r>
            <w:r>
              <w:rPr>
                <w:rFonts w:hint="default" w:ascii="Times New Roman" w:hAnsi="Times New Roman" w:eastAsia="方正仿宋_GBK" w:cs="Times New Roman"/>
                <w:color w:val="auto"/>
                <w:sz w:val="24"/>
                <w:szCs w:val="24"/>
                <w:highlight w:val="none"/>
                <w:lang w:val="en-US" w:eastAsia="zh-CN"/>
              </w:rPr>
              <w:t>先进材料、食品药品及农产品加工、汽摩装备三大主导产业</w:t>
            </w:r>
            <w:r>
              <w:rPr>
                <w:rFonts w:hint="eastAsia" w:ascii="Times New Roman" w:hAnsi="Times New Roman" w:eastAsia="方正仿宋_GBK" w:cs="Times New Roman"/>
                <w:color w:val="auto"/>
                <w:sz w:val="24"/>
                <w:szCs w:val="24"/>
                <w:highlight w:val="none"/>
                <w:lang w:val="en-US" w:eastAsia="zh-CN"/>
              </w:rPr>
              <w:t>领域具有行业研究、并购重组、产业发展、金融服务等方面资源嫁接能力和合作统筹能力，包括股东资源、公共资源、产业资源的协同等，能充分理解</w:t>
            </w:r>
            <w:r>
              <w:rPr>
                <w:rFonts w:hint="eastAsia" w:ascii="Times New Roman" w:hAnsi="Times New Roman" w:eastAsia="仿宋" w:cs="Times New Roman"/>
                <w:color w:val="000000"/>
                <w:kern w:val="2"/>
                <w:sz w:val="24"/>
                <w:szCs w:val="24"/>
                <w:highlight w:val="none"/>
                <w:lang w:val="en-US" w:eastAsia="zh-CN" w:bidi="ar-SA"/>
              </w:rPr>
              <w:t xml:space="preserve">本项目投资方向、产业发展需求等。对本次基金的相关内容了解充分，需求分析深入，方案思路清晰，有切实可行的自行出资（或募资）方案和科学合理的投资计划，技术路径可靠规范，基金内外部管理、相关保障措施等方面进行评审。    </w:t>
            </w:r>
          </w:p>
          <w:p>
            <w:pPr>
              <w:pStyle w:val="10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textAlignment w:val="auto"/>
              <w:rPr>
                <w:rFonts w:hint="eastAsia" w:ascii="Times New Roman" w:hAnsi="Times New Roman" w:eastAsia="仿宋" w:cs="Times New Roman"/>
                <w:color w:val="000000"/>
                <w:kern w:val="2"/>
                <w:sz w:val="24"/>
                <w:szCs w:val="24"/>
                <w:highlight w:val="none"/>
                <w:lang w:val="en-US" w:eastAsia="zh-CN" w:bidi="ar-SA"/>
              </w:rPr>
            </w:pPr>
            <w:r>
              <w:rPr>
                <w:rFonts w:hint="eastAsia" w:ascii="Times New Roman" w:hAnsi="Times New Roman" w:eastAsia="仿宋" w:cs="Times New Roman"/>
                <w:color w:val="000000"/>
                <w:kern w:val="2"/>
                <w:sz w:val="24"/>
                <w:szCs w:val="24"/>
                <w:highlight w:val="none"/>
                <w:lang w:val="en-US" w:eastAsia="zh-CN" w:bidi="ar-SA"/>
              </w:rPr>
              <w:t xml:space="preserve">（1）方案优秀、设计合理、明确可行、完全符合采购人情况及项目特点的，得9分；                                                  </w:t>
            </w:r>
          </w:p>
          <w:p>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left"/>
              <w:textAlignment w:val="auto"/>
              <w:rPr>
                <w:rFonts w:hint="eastAsia" w:ascii="Times New Roman" w:hAnsi="Times New Roman" w:eastAsia="仿宋" w:cs="Times New Roman"/>
                <w:color w:val="000000"/>
                <w:kern w:val="2"/>
                <w:sz w:val="24"/>
                <w:szCs w:val="24"/>
                <w:highlight w:val="none"/>
                <w:lang w:val="en-US" w:eastAsia="zh-CN" w:bidi="ar-SA"/>
              </w:rPr>
            </w:pPr>
            <w:r>
              <w:rPr>
                <w:rFonts w:hint="eastAsia" w:ascii="Times New Roman" w:hAnsi="Times New Roman" w:eastAsia="仿宋" w:cs="Times New Roman"/>
                <w:color w:val="000000"/>
                <w:kern w:val="2"/>
                <w:sz w:val="24"/>
                <w:szCs w:val="24"/>
                <w:highlight w:val="none"/>
                <w:lang w:val="en-US" w:eastAsia="zh-CN" w:bidi="ar-SA"/>
              </w:rPr>
              <w:t>（2）方案良好、设计相对合理、具备一定可行性的，得5分；                                                    （3）方案合格，基本满足需求的，得2分；                                 （4）方案不合格或未提供的，不得分。</w:t>
            </w:r>
          </w:p>
          <w:p>
            <w:pPr>
              <w:pStyle w:val="103"/>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exact"/>
              <w:ind w:firstLine="240" w:firstLineChars="100"/>
              <w:textAlignment w:val="auto"/>
              <w:rPr>
                <w:rFonts w:hint="eastAsia" w:ascii="Times New Roman" w:hAnsi="Times New Roman" w:eastAsia="方正仿宋_GBK" w:cs="Times New Roman"/>
                <w:b w:val="0"/>
                <w:bCs w:val="0"/>
                <w:color w:val="000000"/>
                <w:sz w:val="24"/>
                <w:szCs w:val="24"/>
                <w:highlight w:val="none"/>
                <w:lang w:val="en-US" w:eastAsia="zh-CN"/>
              </w:rPr>
            </w:pPr>
            <w:r>
              <w:rPr>
                <w:rFonts w:hint="eastAsia" w:ascii="方正楷体_GBK" w:hAnsi="方正楷体_GBK" w:eastAsia="方正楷体_GBK" w:cs="方正楷体_GBK"/>
                <w:color w:val="000000"/>
                <w:kern w:val="2"/>
                <w:sz w:val="24"/>
                <w:szCs w:val="24"/>
                <w:highlight w:val="none"/>
                <w:lang w:val="en-US" w:eastAsia="zh-CN" w:bidi="ar-SA"/>
              </w:rPr>
              <w:t>（三）项目储备（6分）。</w:t>
            </w:r>
            <w:r>
              <w:rPr>
                <w:rFonts w:hint="eastAsia" w:ascii="Times New Roman" w:hAnsi="Times New Roman" w:eastAsia="方正仿宋_GBK" w:cs="Times New Roman"/>
                <w:b w:val="0"/>
                <w:bCs w:val="0"/>
                <w:color w:val="000000"/>
                <w:sz w:val="24"/>
                <w:szCs w:val="24"/>
                <w:highlight w:val="none"/>
                <w:lang w:val="en-US" w:eastAsia="zh-CN"/>
              </w:rPr>
              <w:t xml:space="preserve">供应商每提供一个拟落地垫江的优质项目得1分，满分6分，未提供不得分。备注：须提供优质项目储备清单及第一阶段的投资计划，并加盖投标人公章以及拟落地项目公司公章，未提供或提供材料不全不得分。                                                          </w:t>
            </w:r>
          </w:p>
          <w:p>
            <w:pPr>
              <w:pStyle w:val="103"/>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exact"/>
              <w:ind w:firstLine="240" w:firstLineChars="100"/>
              <w:textAlignment w:val="auto"/>
              <w:rPr>
                <w:rFonts w:hint="eastAsia" w:ascii="Times New Roman" w:hAnsi="Times New Roman" w:eastAsia="方正仿宋_GBK" w:cs="Times New Roman"/>
                <w:b w:val="0"/>
                <w:bCs w:val="0"/>
                <w:color w:val="000000"/>
                <w:sz w:val="24"/>
                <w:szCs w:val="24"/>
                <w:highlight w:val="none"/>
                <w:lang w:val="en-US" w:eastAsia="zh-CN"/>
              </w:rPr>
            </w:pPr>
            <w:r>
              <w:rPr>
                <w:rFonts w:hint="eastAsia" w:ascii="方正楷体_GBK" w:hAnsi="方正楷体_GBK" w:eastAsia="方正楷体_GBK" w:cs="方正楷体_GBK"/>
                <w:color w:val="000000"/>
                <w:kern w:val="2"/>
                <w:sz w:val="24"/>
                <w:szCs w:val="24"/>
                <w:highlight w:val="none"/>
                <w:lang w:val="en-US" w:eastAsia="zh-CN" w:bidi="ar-SA"/>
              </w:rPr>
              <w:t>（四）基金管理（5分）。</w:t>
            </w:r>
            <w:r>
              <w:rPr>
                <w:rFonts w:hint="eastAsia" w:ascii="Times New Roman" w:hAnsi="Times New Roman" w:eastAsia="方正仿宋_GBK" w:cs="Times New Roman"/>
                <w:b w:val="0"/>
                <w:bCs w:val="0"/>
                <w:color w:val="000000"/>
                <w:sz w:val="24"/>
                <w:szCs w:val="24"/>
                <w:highlight w:val="none"/>
                <w:lang w:val="en-US" w:eastAsia="zh-CN"/>
              </w:rPr>
              <w:t>管理过3只及以上地方产业引导基金出资的子基金，每只基金加1分，其中，基金获得过“优秀”评价的，另行加2分；满分5分。备注：可提供工商查询资料或基协备案资料或合作协议、地方产业引导基金出具的评级文件等。</w:t>
            </w:r>
          </w:p>
          <w:p>
            <w:pPr>
              <w:pStyle w:val="148"/>
              <w:numPr>
                <w:ilvl w:val="0"/>
                <w:numId w:val="0"/>
              </w:numPr>
              <w:ind w:firstLine="240" w:firstLineChars="100"/>
              <w:rPr>
                <w:rFonts w:hint="eastAsia" w:ascii="Times New Roman" w:hAnsi="Times New Roman" w:eastAsia="方正仿宋_GBK" w:cs="Times New Roman"/>
                <w:b w:val="0"/>
                <w:bCs w:val="0"/>
                <w:color w:val="000000"/>
                <w:kern w:val="2"/>
                <w:sz w:val="24"/>
                <w:szCs w:val="24"/>
                <w:highlight w:val="none"/>
                <w:lang w:val="en-US" w:eastAsia="zh-CN" w:bidi="ar-SA"/>
              </w:rPr>
            </w:pPr>
            <w:r>
              <w:rPr>
                <w:rFonts w:hint="eastAsia" w:ascii="方正楷体_GBK" w:hAnsi="方正楷体_GBK" w:eastAsia="方正楷体_GBK" w:cs="方正楷体_GBK"/>
                <w:color w:val="000000"/>
                <w:kern w:val="2"/>
                <w:sz w:val="24"/>
                <w:szCs w:val="24"/>
                <w:highlight w:val="none"/>
                <w:lang w:val="en-US" w:eastAsia="zh-CN" w:bidi="ar-SA"/>
              </w:rPr>
              <w:t>（五）成功案例（10分）。</w:t>
            </w:r>
            <w:r>
              <w:rPr>
                <w:rFonts w:hint="eastAsia" w:ascii="Times New Roman" w:hAnsi="Times New Roman" w:eastAsia="方正仿宋_GBK" w:cs="Times New Roman"/>
                <w:b w:val="0"/>
                <w:bCs w:val="0"/>
                <w:color w:val="000000"/>
                <w:sz w:val="24"/>
                <w:szCs w:val="24"/>
                <w:highlight w:val="none"/>
                <w:lang w:val="en-US" w:eastAsia="zh-CN"/>
              </w:rPr>
              <w:t>近3年有成功退出案例的，每例加2分，其中，采取IPO成功上市退出的，每例另行加3分。备</w:t>
            </w:r>
            <w:r>
              <w:rPr>
                <w:rFonts w:hint="eastAsia" w:ascii="Times New Roman" w:hAnsi="Times New Roman" w:eastAsia="方正仿宋_GBK" w:cs="Times New Roman"/>
                <w:b w:val="0"/>
                <w:bCs w:val="0"/>
                <w:color w:val="000000"/>
                <w:kern w:val="2"/>
                <w:sz w:val="24"/>
                <w:szCs w:val="24"/>
                <w:highlight w:val="none"/>
                <w:lang w:val="en-US" w:eastAsia="zh-CN" w:bidi="ar-SA"/>
              </w:rPr>
              <w:t>注：提供项目投资协议、投资及退出银行流水单等。</w:t>
            </w:r>
          </w:p>
          <w:p>
            <w:pPr>
              <w:pStyle w:val="103"/>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exact"/>
              <w:ind w:firstLine="240" w:firstLineChars="100"/>
              <w:textAlignment w:val="auto"/>
              <w:rPr>
                <w:rFonts w:hint="default"/>
                <w:color w:val="000000"/>
                <w:highlight w:val="none"/>
                <w:lang w:val="en-US"/>
              </w:rPr>
            </w:pPr>
            <w:r>
              <w:rPr>
                <w:rFonts w:hint="eastAsia" w:ascii="Times New Roman" w:hAnsi="Times New Roman" w:eastAsia="方正仿宋_GBK" w:cs="Times New Roman"/>
                <w:b w:val="0"/>
                <w:bCs w:val="0"/>
                <w:color w:val="000000"/>
                <w:sz w:val="24"/>
                <w:szCs w:val="24"/>
                <w:highlight w:val="none"/>
                <w:lang w:val="en-US" w:eastAsia="zh-CN"/>
              </w:rPr>
              <w:t>（六）基金合作（4分）。有过与央企合作成立基金案例的，加4分，否则不加分。备注：提供工商查询资料。</w:t>
            </w:r>
          </w:p>
        </w:tc>
        <w:tc>
          <w:tcPr>
            <w:tcW w:w="1501"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40" w:lineRule="atLeast"/>
              <w:ind w:left="-38"/>
              <w:jc w:val="left"/>
              <w:rPr>
                <w:rFonts w:hint="default" w:ascii="Times New Roman" w:hAnsi="Times New Roman" w:eastAsia="仿宋"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40" w:lineRule="atLeast"/>
              <w:ind w:firstLine="28"/>
              <w:jc w:val="center"/>
              <w:rPr>
                <w:rFonts w:hint="eastAsia" w:ascii="Times New Roman" w:hAnsi="Times New Roman" w:eastAsia="仿宋" w:cs="Times New Roman"/>
                <w:color w:val="000000"/>
                <w:sz w:val="21"/>
                <w:szCs w:val="21"/>
                <w:highlight w:val="none"/>
                <w:lang w:eastAsia="zh-CN"/>
              </w:rPr>
            </w:pPr>
            <w:r>
              <w:rPr>
                <w:rFonts w:hint="eastAsia" w:ascii="Times New Roman" w:hAnsi="Times New Roman" w:eastAsia="仿宋" w:cs="Times New Roman"/>
                <w:color w:val="000000"/>
                <w:sz w:val="21"/>
                <w:szCs w:val="21"/>
                <w:highlight w:val="none"/>
                <w:lang w:val="en-US" w:eastAsia="zh-CN"/>
              </w:rPr>
              <w:t>3</w:t>
            </w:r>
          </w:p>
        </w:tc>
        <w:tc>
          <w:tcPr>
            <w:tcW w:w="1151"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pStyle w:val="24"/>
              <w:numPr>
                <w:ilvl w:val="0"/>
                <w:numId w:val="0"/>
              </w:numPr>
              <w:spacing w:line="280" w:lineRule="exact"/>
              <w:outlineLvl w:val="0"/>
              <w:rPr>
                <w:rFonts w:hint="default" w:ascii="Times New Roman" w:hAnsi="Times New Roman" w:eastAsia="仿宋" w:cs="Times New Roman"/>
                <w:color w:val="000000"/>
                <w:sz w:val="21"/>
                <w:szCs w:val="21"/>
                <w:highlight w:val="none"/>
                <w:lang w:val="en-US" w:eastAsia="zh-CN"/>
              </w:rPr>
            </w:pPr>
            <w:r>
              <w:rPr>
                <w:rFonts w:hint="eastAsia" w:ascii="Times New Roman" w:hAnsi="Times New Roman" w:eastAsia="仿宋" w:cs="Times New Roman"/>
                <w:color w:val="000000"/>
                <w:sz w:val="21"/>
                <w:szCs w:val="21"/>
                <w:highlight w:val="none"/>
                <w:lang w:val="en-US" w:eastAsia="zh-CN"/>
              </w:rPr>
              <w:t>商务</w:t>
            </w:r>
            <w:r>
              <w:rPr>
                <w:rFonts w:hint="default" w:ascii="Times New Roman" w:hAnsi="Times New Roman" w:eastAsia="仿宋" w:cs="Times New Roman"/>
                <w:color w:val="000000"/>
                <w:sz w:val="21"/>
                <w:szCs w:val="21"/>
                <w:highlight w:val="none"/>
                <w:lang w:val="en-US" w:eastAsia="zh-CN"/>
              </w:rPr>
              <w:t>部分</w:t>
            </w:r>
          </w:p>
          <w:p>
            <w:pPr>
              <w:spacing w:line="240" w:lineRule="atLeast"/>
              <w:ind w:firstLine="28"/>
              <w:jc w:val="center"/>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w:t>
            </w:r>
            <w:r>
              <w:rPr>
                <w:rFonts w:hint="eastAsia" w:ascii="Times New Roman" w:hAnsi="Times New Roman" w:eastAsia="仿宋" w:cs="Times New Roman"/>
                <w:color w:val="000000"/>
                <w:sz w:val="21"/>
                <w:szCs w:val="21"/>
                <w:highlight w:val="none"/>
                <w:lang w:val="en-US" w:eastAsia="zh-CN"/>
              </w:rPr>
              <w:t>7</w:t>
            </w:r>
            <w:r>
              <w:rPr>
                <w:rFonts w:hint="default" w:ascii="Times New Roman" w:hAnsi="Times New Roman" w:eastAsia="仿宋" w:cs="Times New Roman"/>
                <w:color w:val="000000"/>
                <w:sz w:val="21"/>
                <w:szCs w:val="21"/>
                <w:highlight w:val="none"/>
              </w:rPr>
              <w:t>%）</w:t>
            </w:r>
          </w:p>
        </w:tc>
        <w:tc>
          <w:tcPr>
            <w:tcW w:w="767"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40" w:lineRule="atLeast"/>
              <w:ind w:firstLine="28"/>
              <w:jc w:val="center"/>
              <w:rPr>
                <w:rFonts w:hint="default" w:ascii="Times New Roman" w:hAnsi="Times New Roman" w:eastAsia="仿宋" w:cs="Times New Roman"/>
                <w:color w:val="000000"/>
                <w:sz w:val="21"/>
                <w:szCs w:val="21"/>
                <w:highlight w:val="none"/>
                <w:lang w:val="en-US" w:eastAsia="zh-CN"/>
              </w:rPr>
            </w:pPr>
            <w:r>
              <w:rPr>
                <w:rFonts w:hint="eastAsia" w:ascii="Times New Roman" w:hAnsi="Times New Roman" w:eastAsia="仿宋" w:cs="Times New Roman"/>
                <w:color w:val="000000"/>
                <w:sz w:val="21"/>
                <w:szCs w:val="21"/>
                <w:highlight w:val="none"/>
                <w:lang w:val="en-US" w:eastAsia="zh-CN"/>
              </w:rPr>
              <w:t>7</w:t>
            </w:r>
          </w:p>
        </w:tc>
        <w:tc>
          <w:tcPr>
            <w:tcW w:w="5761"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pStyle w:val="103"/>
              <w:keepNext w:val="0"/>
              <w:keepLines w:val="0"/>
              <w:pageBreakBefore w:val="0"/>
              <w:widowControl/>
              <w:numPr>
                <w:ilvl w:val="0"/>
                <w:numId w:val="0"/>
              </w:numPr>
              <w:kinsoku/>
              <w:wordWrap/>
              <w:overflowPunct/>
              <w:topLinePunct w:val="0"/>
              <w:autoSpaceDE/>
              <w:autoSpaceDN/>
              <w:bidi w:val="0"/>
              <w:adjustRightInd/>
              <w:snapToGrid w:val="0"/>
              <w:spacing w:before="0" w:after="0" w:line="320" w:lineRule="exact"/>
              <w:ind w:right="40" w:rightChars="0" w:firstLine="480" w:firstLineChars="200"/>
              <w:jc w:val="left"/>
              <w:textAlignment w:val="auto"/>
              <w:rPr>
                <w:rFonts w:hint="eastAsia" w:ascii="Times New Roman" w:hAnsi="Times New Roman" w:eastAsia="方正仿宋_GBK" w:cs="Times New Roman"/>
                <w:b w:val="0"/>
                <w:bCs w:val="0"/>
                <w:color w:val="000000"/>
                <w:sz w:val="24"/>
                <w:szCs w:val="24"/>
                <w:highlight w:val="none"/>
                <w:lang w:val="en-US" w:eastAsia="zh-CN"/>
              </w:rPr>
            </w:pPr>
            <w:r>
              <w:rPr>
                <w:rFonts w:hint="eastAsia" w:ascii="Times New Roman" w:hAnsi="Times New Roman" w:eastAsia="方正仿宋_GBK" w:cs="Times New Roman"/>
                <w:b w:val="0"/>
                <w:bCs w:val="0"/>
                <w:color w:val="000000"/>
                <w:sz w:val="24"/>
                <w:szCs w:val="24"/>
                <w:highlight w:val="none"/>
                <w:lang w:val="en-US" w:eastAsia="zh-CN"/>
              </w:rPr>
              <w:t xml:space="preserve">（一）拟派项目负责人（5分）：具有6（含）—7（不含）年及以上股权投资或资本管理工作经验的得1分，具有7（含）—10（不含）年及以上股权投资或资本管理工作经验的得3分，具有10年及以上股权投资或资本管理工作经验的得5分。                                                  </w:t>
            </w:r>
          </w:p>
          <w:p>
            <w:pPr>
              <w:ind w:firstLine="480" w:firstLineChars="200"/>
              <w:jc w:val="left"/>
              <w:rPr>
                <w:rFonts w:hint="eastAsia" w:ascii="Times New Roman" w:hAnsi="Times New Roman" w:eastAsia="方正仿宋_GBK" w:cs="Times New Roman"/>
                <w:b w:val="0"/>
                <w:bCs w:val="0"/>
                <w:color w:val="000000"/>
                <w:sz w:val="24"/>
                <w:szCs w:val="24"/>
                <w:highlight w:val="none"/>
                <w:lang w:val="en-US" w:eastAsia="zh-CN"/>
              </w:rPr>
            </w:pPr>
            <w:r>
              <w:rPr>
                <w:rFonts w:hint="eastAsia" w:ascii="Times New Roman" w:hAnsi="Times New Roman" w:eastAsia="方正仿宋_GBK" w:cs="Times New Roman"/>
                <w:b w:val="0"/>
                <w:bCs w:val="0"/>
                <w:color w:val="000000"/>
                <w:sz w:val="24"/>
                <w:szCs w:val="24"/>
                <w:highlight w:val="none"/>
                <w:lang w:val="en-US" w:eastAsia="zh-CN"/>
              </w:rPr>
              <w:t>（二）拟派本项目其他团队人员（2分）：除项目负责人外，供应商拥有独立的项目投资团队，并承诺人员不低于</w:t>
            </w:r>
            <w:r>
              <w:rPr>
                <w:rFonts w:hint="eastAsia" w:eastAsia="方正仿宋_GBK" w:cs="Times New Roman"/>
                <w:b w:val="0"/>
                <w:bCs w:val="0"/>
                <w:color w:val="000000"/>
                <w:sz w:val="24"/>
                <w:szCs w:val="24"/>
                <w:highlight w:val="none"/>
                <w:lang w:val="en-US" w:eastAsia="zh-CN"/>
              </w:rPr>
              <w:t>5</w:t>
            </w:r>
            <w:r>
              <w:rPr>
                <w:rFonts w:hint="eastAsia" w:ascii="Times New Roman" w:hAnsi="Times New Roman" w:eastAsia="方正仿宋_GBK" w:cs="Times New Roman"/>
                <w:b w:val="0"/>
                <w:bCs w:val="0"/>
                <w:color w:val="000000"/>
                <w:sz w:val="24"/>
                <w:szCs w:val="24"/>
                <w:highlight w:val="none"/>
                <w:lang w:val="en-US" w:eastAsia="zh-CN"/>
              </w:rPr>
              <w:t xml:space="preserve">人，且服务于本基金的得2分，否则不得分。                                                                  </w:t>
            </w:r>
          </w:p>
          <w:p>
            <w:pPr>
              <w:ind w:firstLine="480" w:firstLineChars="200"/>
              <w:jc w:val="left"/>
              <w:rPr>
                <w:rFonts w:hint="default" w:ascii="Times New Roman" w:hAnsi="Times New Roman" w:eastAsia="仿宋" w:cs="Times New Roman"/>
                <w:color w:val="000000"/>
                <w:sz w:val="21"/>
                <w:szCs w:val="21"/>
                <w:highlight w:val="none"/>
                <w:lang w:val="en-US" w:eastAsia="zh-CN"/>
              </w:rPr>
            </w:pPr>
            <w:r>
              <w:rPr>
                <w:rFonts w:hint="eastAsia" w:ascii="Times New Roman" w:hAnsi="Times New Roman" w:eastAsia="方正仿宋_GBK" w:cs="Times New Roman"/>
                <w:b w:val="0"/>
                <w:bCs w:val="0"/>
                <w:color w:val="000000"/>
                <w:sz w:val="24"/>
                <w:szCs w:val="24"/>
                <w:highlight w:val="none"/>
                <w:lang w:val="en-US" w:eastAsia="zh-CN"/>
              </w:rPr>
              <w:t>注：须同时提供项目团队成员（含项目负责人）简历（格式自拟）、 基金从业资格证书、社保证明材料（投标截止日期前提供近六个月缴纳社保证明）、承诺书原件（或复印件加盖单位公章） 彩色扫描件，上述材料中须体现5年以上股权投资或资本管理工作经验，否则不予认可。</w:t>
            </w:r>
            <w:r>
              <w:rPr>
                <w:rFonts w:hint="eastAsia" w:ascii="Times New Roman" w:hAnsi="Times New Roman" w:eastAsia="仿宋" w:cs="Times New Roman"/>
                <w:color w:val="000000"/>
                <w:sz w:val="21"/>
                <w:szCs w:val="21"/>
                <w:highlight w:val="none"/>
                <w:lang w:val="en-US" w:eastAsia="zh-CN"/>
              </w:rPr>
              <w:t xml:space="preserve">                          </w:t>
            </w:r>
          </w:p>
        </w:tc>
        <w:tc>
          <w:tcPr>
            <w:tcW w:w="1501"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40" w:lineRule="atLeast"/>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lang w:eastAsia="zh-CN"/>
              </w:rPr>
              <w:t>供应商</w:t>
            </w:r>
            <w:r>
              <w:rPr>
                <w:rFonts w:hint="default" w:ascii="Times New Roman" w:hAnsi="Times New Roman" w:eastAsia="仿宋" w:cs="Times New Roman"/>
                <w:color w:val="000000"/>
                <w:sz w:val="21"/>
                <w:szCs w:val="21"/>
                <w:highlight w:val="none"/>
              </w:rPr>
              <w:t>提供方案，格式自拟。</w:t>
            </w:r>
          </w:p>
        </w:tc>
      </w:tr>
    </w:tbl>
    <w:p>
      <w:pPr>
        <w:pStyle w:val="16"/>
        <w:numPr>
          <w:ilvl w:val="0"/>
          <w:numId w:val="0"/>
        </w:numPr>
        <w:rPr>
          <w:rFonts w:hint="eastAsia"/>
          <w:highlight w:val="none"/>
        </w:rPr>
      </w:pPr>
    </w:p>
    <w:p>
      <w:pPr>
        <w:shd w:val="clear"/>
        <w:snapToGrid w:val="0"/>
        <w:spacing w:line="400" w:lineRule="exact"/>
        <w:ind w:firstLine="465"/>
        <w:rPr>
          <w:rFonts w:hint="eastAsia" w:ascii="仿宋" w:hAnsi="仿宋" w:eastAsia="仿宋" w:cs="仿宋"/>
          <w:sz w:val="24"/>
          <w:szCs w:val="24"/>
          <w:highlight w:val="none"/>
        </w:rPr>
      </w:pPr>
      <w:bookmarkStart w:id="68" w:name="_Toc492721018"/>
      <w:r>
        <w:rPr>
          <w:rFonts w:hint="eastAsia" w:ascii="仿宋" w:hAnsi="仿宋" w:eastAsia="仿宋" w:cs="仿宋"/>
          <w:sz w:val="24"/>
          <w:szCs w:val="24"/>
          <w:highlight w:val="none"/>
        </w:rPr>
        <w:t>说明：评标委员会认为投标人的报价明显低于其他通过符合性审查投标人的报价，有可能影响产品质量或者不能诚信履约的，应当要求其在评标现场合理的时间内通过电子招投标系统在线提供书面说明（PDF格式），必要时提交相关证明材料电子档（PDF格式）；投标人不能证明其报价合理性的，评标委员会应当将其作为无效投标处理。</w:t>
      </w:r>
    </w:p>
    <w:p>
      <w:pPr>
        <w:pStyle w:val="4"/>
        <w:shd w:val="clear"/>
        <w:spacing w:line="400" w:lineRule="exact"/>
        <w:ind w:firstLine="482" w:firstLineChars="200"/>
        <w:rPr>
          <w:rFonts w:hint="eastAsia" w:ascii="仿宋" w:hAnsi="仿宋" w:eastAsia="仿宋" w:cs="仿宋"/>
          <w:b/>
          <w:sz w:val="24"/>
          <w:szCs w:val="24"/>
          <w:highlight w:val="none"/>
        </w:rPr>
      </w:pPr>
      <w:bookmarkStart w:id="69" w:name="_Toc26241"/>
      <w:r>
        <w:rPr>
          <w:rFonts w:hint="eastAsia" w:ascii="仿宋" w:hAnsi="仿宋" w:eastAsia="仿宋" w:cs="仿宋"/>
          <w:b/>
          <w:sz w:val="24"/>
          <w:szCs w:val="24"/>
          <w:highlight w:val="none"/>
        </w:rPr>
        <w:t>四、无效投标条款</w:t>
      </w:r>
      <w:bookmarkEnd w:id="68"/>
      <w:bookmarkEnd w:id="69"/>
    </w:p>
    <w:p>
      <w:pPr>
        <w:shd w:val="clea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投标人或其投标文件出现下列情况之一者，应为无效投标：</w:t>
      </w:r>
    </w:p>
    <w:p>
      <w:pPr>
        <w:shd w:val="clear"/>
        <w:snapToGri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一</w:t>
      </w:r>
      <w:r>
        <w:rPr>
          <w:rFonts w:hint="eastAsia" w:ascii="仿宋" w:hAnsi="仿宋" w:eastAsia="仿宋" w:cs="仿宋"/>
          <w:kern w:val="0"/>
          <w:sz w:val="24"/>
          <w:szCs w:val="24"/>
          <w:highlight w:val="none"/>
        </w:rPr>
        <w:t>）电子投标文件未按招标文件要求签署、盖章的；</w:t>
      </w:r>
    </w:p>
    <w:p>
      <w:pPr>
        <w:shd w:val="clear"/>
        <w:snapToGri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二</w:t>
      </w:r>
      <w:r>
        <w:rPr>
          <w:rFonts w:hint="eastAsia" w:ascii="仿宋" w:hAnsi="仿宋" w:eastAsia="仿宋" w:cs="仿宋"/>
          <w:kern w:val="0"/>
          <w:sz w:val="24"/>
          <w:szCs w:val="24"/>
          <w:highlight w:val="none"/>
        </w:rPr>
        <w:t>）不具备招标文件中规定的资格要求的；</w:t>
      </w:r>
    </w:p>
    <w:p>
      <w:pPr>
        <w:snapToGrid w:val="0"/>
        <w:spacing w:line="400" w:lineRule="exact"/>
        <w:ind w:firstLine="480" w:firstLineChars="200"/>
        <w:rPr>
          <w:rFonts w:hint="eastAsia"/>
        </w:rPr>
      </w:pPr>
      <w:r>
        <w:rPr>
          <w:rFonts w:hint="eastAsia" w:ascii="仿宋" w:hAnsi="仿宋" w:eastAsia="仿宋"/>
          <w:sz w:val="24"/>
          <w:szCs w:val="24"/>
        </w:rPr>
        <w:t>（</w:t>
      </w:r>
      <w:r>
        <w:rPr>
          <w:rFonts w:hint="eastAsia" w:ascii="仿宋" w:hAnsi="仿宋" w:eastAsia="仿宋"/>
          <w:sz w:val="24"/>
          <w:szCs w:val="24"/>
          <w:lang w:eastAsia="zh-CN"/>
        </w:rPr>
        <w:t>三</w:t>
      </w:r>
      <w:r>
        <w:rPr>
          <w:rFonts w:hint="eastAsia" w:ascii="仿宋" w:hAnsi="仿宋" w:eastAsia="仿宋"/>
          <w:sz w:val="24"/>
          <w:szCs w:val="24"/>
        </w:rPr>
        <w:t>）未按照招标文件的规定提交投标保证金的；</w:t>
      </w:r>
    </w:p>
    <w:p>
      <w:pPr>
        <w:shd w:val="clear"/>
        <w:snapToGri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四</w:t>
      </w:r>
      <w:r>
        <w:rPr>
          <w:rFonts w:hint="eastAsia" w:ascii="仿宋" w:hAnsi="仿宋" w:eastAsia="仿宋" w:cs="仿宋"/>
          <w:kern w:val="0"/>
          <w:sz w:val="24"/>
          <w:szCs w:val="24"/>
          <w:highlight w:val="none"/>
        </w:rPr>
        <w:t>）报价超过招标文件中规定的预算金额或者最高限价的；</w:t>
      </w:r>
    </w:p>
    <w:p>
      <w:pPr>
        <w:shd w:val="clear"/>
        <w:snapToGri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五</w:t>
      </w:r>
      <w:r>
        <w:rPr>
          <w:rFonts w:hint="eastAsia" w:ascii="仿宋" w:hAnsi="仿宋" w:eastAsia="仿宋" w:cs="仿宋"/>
          <w:kern w:val="0"/>
          <w:sz w:val="24"/>
          <w:szCs w:val="24"/>
          <w:highlight w:val="none"/>
        </w:rPr>
        <w:t>）电子投标文件含有采购人不能接受的附加条件的；</w:t>
      </w:r>
    </w:p>
    <w:p>
      <w:pPr>
        <w:shd w:val="clear"/>
        <w:snapToGri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六</w:t>
      </w:r>
      <w:r>
        <w:rPr>
          <w:rFonts w:hint="eastAsia" w:ascii="仿宋" w:hAnsi="仿宋" w:eastAsia="仿宋" w:cs="仿宋"/>
          <w:kern w:val="0"/>
          <w:sz w:val="24"/>
          <w:szCs w:val="24"/>
          <w:highlight w:val="none"/>
        </w:rPr>
        <w:t>）投标人串通投标的；</w:t>
      </w:r>
    </w:p>
    <w:p>
      <w:pPr>
        <w:shd w:val="clear"/>
        <w:snapToGrid w:val="0"/>
        <w:spacing w:line="400" w:lineRule="exact"/>
        <w:ind w:firstLine="480" w:firstLineChars="200"/>
        <w:rPr>
          <w:rFonts w:hint="eastAsia" w:ascii="仿宋" w:hAnsi="仿宋" w:eastAsia="仿宋" w:cs="仿宋"/>
          <w:kern w:val="0"/>
          <w:sz w:val="24"/>
          <w:szCs w:val="24"/>
          <w:highlight w:val="none"/>
          <w:lang w:eastAsia="zh-TW"/>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七</w:t>
      </w:r>
      <w:r>
        <w:rPr>
          <w:rFonts w:hint="eastAsia" w:ascii="仿宋" w:hAnsi="仿宋" w:eastAsia="仿宋" w:cs="仿宋"/>
          <w:kern w:val="0"/>
          <w:sz w:val="24"/>
          <w:szCs w:val="24"/>
          <w:highlight w:val="none"/>
        </w:rPr>
        <w:t>）投标人组成联合体投标的（不接受联合体投标时适用）；</w:t>
      </w:r>
    </w:p>
    <w:p>
      <w:pPr>
        <w:shd w:val="clear"/>
        <w:snapToGrid w:val="0"/>
        <w:spacing w:line="400" w:lineRule="exact"/>
        <w:ind w:firstLine="480" w:firstLineChars="200"/>
        <w:rPr>
          <w:rFonts w:hint="eastAsia" w:ascii="仿宋" w:hAnsi="仿宋" w:eastAsia="仿宋" w:cs="仿宋"/>
          <w:kern w:val="0"/>
          <w:sz w:val="24"/>
          <w:szCs w:val="24"/>
          <w:highlight w:val="none"/>
          <w:lang w:eastAsia="zh-TW"/>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八</w:t>
      </w:r>
      <w:r>
        <w:rPr>
          <w:rFonts w:hint="eastAsia" w:ascii="仿宋" w:hAnsi="仿宋" w:eastAsia="仿宋" w:cs="仿宋"/>
          <w:kern w:val="0"/>
          <w:sz w:val="24"/>
          <w:szCs w:val="24"/>
          <w:highlight w:val="none"/>
        </w:rPr>
        <w:t>）投标人进行合同分包的（不接受合同分包时适用）；</w:t>
      </w:r>
    </w:p>
    <w:p>
      <w:pPr>
        <w:pStyle w:val="4"/>
        <w:shd w:val="clear"/>
        <w:spacing w:line="400" w:lineRule="exact"/>
        <w:ind w:firstLine="480" w:firstLineChars="200"/>
        <w:rPr>
          <w:rFonts w:hint="eastAsia" w:ascii="仿宋" w:hAnsi="仿宋" w:eastAsia="仿宋" w:cs="仿宋"/>
          <w:sz w:val="24"/>
          <w:szCs w:val="24"/>
          <w:highlight w:val="none"/>
        </w:rPr>
      </w:pPr>
      <w:bookmarkStart w:id="70" w:name="_Toc17109"/>
      <w:bookmarkStart w:id="71" w:name="_Toc32424"/>
      <w:bookmarkStart w:id="72" w:name="_Toc23082"/>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九</w:t>
      </w:r>
      <w:r>
        <w:rPr>
          <w:rFonts w:hint="eastAsia" w:ascii="仿宋" w:hAnsi="仿宋" w:eastAsia="仿宋" w:cs="仿宋"/>
          <w:kern w:val="0"/>
          <w:sz w:val="24"/>
          <w:szCs w:val="24"/>
          <w:highlight w:val="none"/>
        </w:rPr>
        <w:t>）法律、法规和招标文件规定的其他无效情形。</w:t>
      </w:r>
      <w:bookmarkEnd w:id="70"/>
      <w:bookmarkEnd w:id="71"/>
      <w:bookmarkEnd w:id="72"/>
    </w:p>
    <w:p>
      <w:pPr>
        <w:pStyle w:val="4"/>
        <w:shd w:val="clear"/>
        <w:spacing w:line="400" w:lineRule="exact"/>
        <w:ind w:firstLine="482" w:firstLineChars="200"/>
        <w:rPr>
          <w:rFonts w:hint="eastAsia" w:ascii="仿宋" w:hAnsi="仿宋" w:eastAsia="仿宋" w:cs="仿宋"/>
          <w:b/>
          <w:sz w:val="24"/>
          <w:szCs w:val="24"/>
          <w:highlight w:val="none"/>
        </w:rPr>
      </w:pPr>
      <w:bookmarkStart w:id="73" w:name="_Toc15950"/>
      <w:bookmarkStart w:id="74" w:name="_Toc492721019"/>
      <w:r>
        <w:rPr>
          <w:rFonts w:hint="eastAsia" w:ascii="仿宋" w:hAnsi="仿宋" w:eastAsia="仿宋" w:cs="仿宋"/>
          <w:b/>
          <w:sz w:val="24"/>
          <w:szCs w:val="24"/>
          <w:highlight w:val="none"/>
        </w:rPr>
        <w:t>五、废标条款</w:t>
      </w:r>
      <w:bookmarkEnd w:id="73"/>
      <w:bookmarkEnd w:id="74"/>
    </w:p>
    <w:p>
      <w:pPr>
        <w:shd w:val="clea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评标委员会评审时出现以下情况之一的，应予废标：</w:t>
      </w:r>
    </w:p>
    <w:p>
      <w:pPr>
        <w:shd w:val="clea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（一）符合专业条件的投标人或者对招标文件作实质响应的投标人不足三家的；</w:t>
      </w:r>
    </w:p>
    <w:p>
      <w:pPr>
        <w:shd w:val="clea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（二）投标人的报价均超过了采购预算，采购人不能支付的；</w:t>
      </w:r>
    </w:p>
    <w:p>
      <w:pPr>
        <w:shd w:val="clea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（三）出现影响采购公正的违法、违规行为的；</w:t>
      </w:r>
    </w:p>
    <w:p>
      <w:pPr>
        <w:shd w:val="clea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（四）因重大变故，采购任务取消的。</w:t>
      </w:r>
    </w:p>
    <w:p>
      <w:pPr>
        <w:shd w:val="clea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废标后，除采购任务取消情形外，应当重新组织采购。</w:t>
      </w:r>
    </w:p>
    <w:p>
      <w:pPr>
        <w:pStyle w:val="3"/>
        <w:shd w:val="clear"/>
        <w:spacing w:before="0" w:beforeLines="0" w:after="0" w:afterLines="0" w:line="360" w:lineRule="auto"/>
        <w:rPr>
          <w:rFonts w:hint="eastAsia" w:ascii="仿宋" w:hAnsi="仿宋" w:eastAsia="仿宋" w:cs="仿宋"/>
          <w:b/>
          <w:highlight w:val="none"/>
        </w:rPr>
      </w:pPr>
      <w:r>
        <w:rPr>
          <w:rFonts w:hint="eastAsia" w:ascii="仿宋" w:hAnsi="仿宋" w:eastAsia="仿宋" w:cs="仿宋"/>
          <w:sz w:val="28"/>
          <w:highlight w:val="none"/>
        </w:rPr>
        <w:br w:type="page"/>
      </w:r>
      <w:bookmarkStart w:id="75" w:name="_Toc6521"/>
      <w:r>
        <w:rPr>
          <w:rFonts w:hint="eastAsia" w:ascii="仿宋" w:hAnsi="仿宋" w:eastAsia="仿宋" w:cs="仿宋"/>
          <w:b/>
          <w:highlight w:val="none"/>
        </w:rPr>
        <w:t>第五篇  投标人须知</w:t>
      </w:r>
      <w:bookmarkEnd w:id="75"/>
    </w:p>
    <w:p>
      <w:pPr>
        <w:pStyle w:val="4"/>
        <w:shd w:val="clear"/>
        <w:spacing w:line="400" w:lineRule="exact"/>
        <w:ind w:firstLine="482" w:firstLineChars="200"/>
        <w:rPr>
          <w:rFonts w:hint="eastAsia" w:ascii="仿宋" w:hAnsi="仿宋" w:eastAsia="仿宋" w:cs="仿宋"/>
          <w:b/>
          <w:sz w:val="24"/>
          <w:highlight w:val="none"/>
        </w:rPr>
      </w:pPr>
      <w:bookmarkStart w:id="76" w:name="_Toc9524"/>
      <w:bookmarkStart w:id="77" w:name="_Toc25188"/>
      <w:r>
        <w:rPr>
          <w:rFonts w:hint="eastAsia" w:ascii="仿宋" w:hAnsi="仿宋" w:eastAsia="仿宋" w:cs="仿宋"/>
          <w:b/>
          <w:sz w:val="24"/>
          <w:highlight w:val="none"/>
        </w:rPr>
        <w:t>一、投标人</w:t>
      </w:r>
      <w:bookmarkEnd w:id="76"/>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（一）投标人</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投标人是指响应招标、参加投标竞争的法人、其他组织或者自然人。</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（二）合格投标人条件</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合格投标人应完全符合招标文件第一篇中规定的投标人资格条件，并对招标文件作出实质性响应。</w:t>
      </w:r>
    </w:p>
    <w:p>
      <w:pPr>
        <w:shd w:val="clear"/>
        <w:snapToGrid w:val="0"/>
        <w:spacing w:line="4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（三）投标人的风险</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投标人没有按照招标文件要求提供全部资料，或者投标人没有对招标文件在各方面作出实质性响应，可能导致投标被拒绝或评定为无效投标。</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（四）法律责任</w:t>
      </w:r>
    </w:p>
    <w:p>
      <w:pPr>
        <w:pStyle w:val="4"/>
        <w:shd w:val="clear"/>
        <w:spacing w:line="400" w:lineRule="exact"/>
        <w:ind w:firstLine="482" w:firstLineChars="200"/>
        <w:rPr>
          <w:rFonts w:hint="eastAsia" w:ascii="仿宋" w:hAnsi="仿宋" w:eastAsia="仿宋" w:cs="仿宋"/>
          <w:b/>
          <w:sz w:val="24"/>
          <w:highlight w:val="none"/>
        </w:rPr>
      </w:pPr>
      <w:bookmarkStart w:id="78" w:name="_Toc29481"/>
      <w:r>
        <w:rPr>
          <w:rFonts w:hint="eastAsia" w:ascii="仿宋" w:hAnsi="仿宋" w:eastAsia="仿宋" w:cs="仿宋"/>
          <w:b/>
          <w:sz w:val="24"/>
          <w:highlight w:val="none"/>
        </w:rPr>
        <w:t>投标人违反投标相关规定的，将参照《中华人民共和国政府采购法》、《中华人民共和国政府采购法实施条例》《中华人民共和国民法典》等法律法规规定追究投标人法律责任。</w:t>
      </w:r>
      <w:bookmarkEnd w:id="78"/>
    </w:p>
    <w:p>
      <w:pPr>
        <w:pStyle w:val="4"/>
        <w:shd w:val="clear"/>
        <w:spacing w:line="400" w:lineRule="exact"/>
        <w:ind w:firstLine="482" w:firstLineChars="200"/>
        <w:rPr>
          <w:rFonts w:hint="eastAsia" w:ascii="仿宋" w:hAnsi="仿宋" w:eastAsia="仿宋" w:cs="仿宋"/>
          <w:b/>
          <w:sz w:val="24"/>
          <w:highlight w:val="none"/>
        </w:rPr>
      </w:pPr>
      <w:bookmarkStart w:id="79" w:name="_Toc16215"/>
      <w:r>
        <w:rPr>
          <w:rFonts w:hint="eastAsia" w:ascii="仿宋" w:hAnsi="仿宋" w:eastAsia="仿宋" w:cs="仿宋"/>
          <w:b/>
          <w:sz w:val="24"/>
          <w:highlight w:val="none"/>
        </w:rPr>
        <w:t>二、招标文件</w:t>
      </w:r>
      <w:bookmarkEnd w:id="79"/>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招标文件是投标人编制投标文件的依据，是评标委员会评判依据和标准。招标文件也是采购人与中标人签订合同的基础。</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（一）招标文件由投标邀请书；项目服务内容及相关要求；商务条款；投标人须知；评标方法、评标标准、无效投标条款和废标条款；合同主要条款、合同范本；投标文件格式等七部分组成。</w:t>
      </w:r>
    </w:p>
    <w:p>
      <w:pPr>
        <w:shd w:val="clear"/>
        <w:snapToGrid w:val="0"/>
        <w:spacing w:line="400" w:lineRule="exact"/>
        <w:ind w:firstLine="480"/>
        <w:rPr>
          <w:rFonts w:hint="eastAsia" w:ascii="仿宋" w:hAnsi="仿宋" w:eastAsia="仿宋" w:cs="仿宋"/>
          <w:sz w:val="24"/>
          <w:highlight w:val="none"/>
        </w:rPr>
      </w:pPr>
      <w:r>
        <w:rPr>
          <w:rFonts w:hint="eastAsia" w:ascii="仿宋" w:hAnsi="仿宋" w:eastAsia="仿宋" w:cs="仿宋"/>
          <w:sz w:val="24"/>
          <w:szCs w:val="28"/>
          <w:highlight w:val="none"/>
        </w:rPr>
        <w:t>（二）采购人或</w:t>
      </w:r>
      <w:r>
        <w:rPr>
          <w:rFonts w:hint="eastAsia" w:ascii="仿宋" w:hAnsi="仿宋" w:eastAsia="仿宋" w:cs="仿宋"/>
          <w:sz w:val="24"/>
          <w:highlight w:val="none"/>
        </w:rPr>
        <w:t>采购代理机构对招标文件所作的一切有效的书面通知、修改及补充，都是招标文件不可分割的部分。</w:t>
      </w:r>
    </w:p>
    <w:p>
      <w:pPr>
        <w:shd w:val="clear"/>
        <w:snapToGrid w:val="0"/>
        <w:spacing w:line="400" w:lineRule="exact"/>
        <w:ind w:firstLine="480"/>
        <w:rPr>
          <w:rFonts w:hint="eastAsia" w:ascii="仿宋" w:hAnsi="仿宋" w:eastAsia="仿宋" w:cs="仿宋"/>
          <w:sz w:val="24"/>
          <w:highlight w:val="none"/>
        </w:rPr>
      </w:pPr>
      <w:r>
        <w:rPr>
          <w:rFonts w:hint="eastAsia" w:ascii="仿宋" w:hAnsi="仿宋" w:eastAsia="仿宋" w:cs="仿宋"/>
          <w:sz w:val="24"/>
          <w:highlight w:val="none"/>
        </w:rPr>
        <w:t>（三）</w:t>
      </w:r>
      <w:r>
        <w:rPr>
          <w:rFonts w:hint="eastAsia" w:ascii="仿宋" w:hAnsi="仿宋" w:eastAsia="仿宋" w:cs="仿宋"/>
          <w:sz w:val="24"/>
          <w:szCs w:val="24"/>
          <w:highlight w:val="none"/>
        </w:rPr>
        <w:t>本项目的招标文件、补遗文件（如果有）一律在垫江县国企数字化采购平台（https://djxgzw.gec123.com/）、行采家（https://www.gec123.com）和重庆市公共资源交易网（垫江县）（https://www.cqggzy.com/dianjiangweb/）上发布，请各投标人注意下载；无论投标人下载与否，均视同投标人已知晓本项目招标文件、补遗文件的内容。</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w:t>
      </w:r>
      <w:r>
        <w:rPr>
          <w:rFonts w:hint="eastAsia" w:ascii="仿宋" w:hAnsi="仿宋" w:eastAsia="仿宋" w:cs="仿宋"/>
          <w:sz w:val="24"/>
          <w:szCs w:val="28"/>
          <w:highlight w:val="none"/>
        </w:rPr>
        <w:t>采购人或</w:t>
      </w:r>
      <w:r>
        <w:rPr>
          <w:rFonts w:hint="eastAsia" w:ascii="仿宋" w:hAnsi="仿宋" w:eastAsia="仿宋" w:cs="仿宋"/>
          <w:sz w:val="24"/>
          <w:highlight w:val="none"/>
        </w:rPr>
        <w:t>采购代理机构对已发出的招标文件需要进行澄清或修改的，应以公告形式通知所有招标文件收受人。该澄清或者修改的内容为招标文件的组成部分。</w:t>
      </w:r>
    </w:p>
    <w:p>
      <w:pPr>
        <w:pStyle w:val="4"/>
        <w:shd w:val="clear"/>
        <w:spacing w:line="400" w:lineRule="exact"/>
        <w:ind w:firstLine="482" w:firstLineChars="200"/>
        <w:rPr>
          <w:rFonts w:hint="eastAsia" w:ascii="仿宋" w:hAnsi="仿宋" w:eastAsia="仿宋" w:cs="仿宋"/>
          <w:b/>
          <w:sz w:val="24"/>
          <w:highlight w:val="none"/>
        </w:rPr>
      </w:pPr>
      <w:bookmarkStart w:id="80" w:name="_Toc6743"/>
      <w:r>
        <w:rPr>
          <w:rFonts w:hint="eastAsia" w:ascii="仿宋" w:hAnsi="仿宋" w:eastAsia="仿宋" w:cs="仿宋"/>
          <w:b/>
          <w:sz w:val="24"/>
          <w:highlight w:val="none"/>
        </w:rPr>
        <w:t>三、电子投标文件</w:t>
      </w:r>
      <w:bookmarkEnd w:id="80"/>
    </w:p>
    <w:p>
      <w:pPr>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投标人应当按照招标文件的要求编制电子投标文件，并对招标文件提出的要求和条件作出实质性响应，电子投标文件应编制完整的页码、目录。</w:t>
      </w:r>
    </w:p>
    <w:p>
      <w:pPr>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（一）电子投标文件组成</w:t>
      </w:r>
    </w:p>
    <w:p>
      <w:pPr>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电子投标文件主体内容由第七篇“投标文件格式”规定的部分和投标人所作的一切有效补充、修改和承诺等文件组成，投标人应按照第七篇“投标文件格式”规定的目录顺序组织编写。</w:t>
      </w:r>
    </w:p>
    <w:p>
      <w:pPr>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电子投标文件必须根据《行采家全程电子化操作手册-供应商(CA证书解密版)》手册第五章内容，完成电子投标文件的报价一览表信息填写、投标文件（PDF格式）的导入、条款页码关联、电子投标文件电子章签署、下载加密电子投标文件等工作。否则有可能影响评委对电子投标文件的评审。</w:t>
      </w:r>
    </w:p>
    <w:p>
      <w:pPr>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（二）投标有效期</w:t>
      </w:r>
    </w:p>
    <w:p>
      <w:pPr>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投标有效期为投标截止时间起90天。</w:t>
      </w:r>
    </w:p>
    <w:p>
      <w:pPr>
        <w:shd w:val="clear"/>
        <w:snapToGrid w:val="0"/>
        <w:spacing w:line="400" w:lineRule="exact"/>
        <w:ind w:firstLine="470" w:firstLineChars="196"/>
        <w:jc w:val="left"/>
        <w:rPr>
          <w:rFonts w:hint="eastAsia" w:ascii="仿宋" w:hAnsi="仿宋" w:eastAsia="仿宋" w:cs="仿宋"/>
          <w:bCs/>
          <w:sz w:val="24"/>
          <w:highlight w:val="none"/>
        </w:rPr>
      </w:pPr>
      <w:r>
        <w:rPr>
          <w:rFonts w:hint="eastAsia" w:ascii="仿宋" w:hAnsi="仿宋" w:eastAsia="仿宋" w:cs="仿宋"/>
          <w:bCs/>
          <w:sz w:val="24"/>
          <w:highlight w:val="none"/>
        </w:rPr>
        <w:t>（三）投标文件的份数和签署</w:t>
      </w:r>
    </w:p>
    <w:p>
      <w:pPr>
        <w:shd w:val="clear"/>
        <w:tabs>
          <w:tab w:val="left" w:pos="1764"/>
        </w:tabs>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highlight w:val="none"/>
        </w:rPr>
        <w:t xml:space="preserve"> </w:t>
      </w:r>
      <w:r>
        <w:rPr>
          <w:rFonts w:hint="eastAsia" w:ascii="仿宋" w:hAnsi="仿宋" w:eastAsia="仿宋" w:cs="仿宋"/>
          <w:sz w:val="24"/>
          <w:highlight w:val="none"/>
        </w:rPr>
        <w:t>电子投标文件一式一份，投标时请提交通过投标文件制作系统下载的电子加密投标文件。若因系统或CA证书异常原因无法正常解密，投标人须在电子开标室向采购代理机构申请提交电子备份投标文件，电子招投标系统会对电子备份投标文件与电子加密投标文件的一致性进行核验，若投标人操作失误，后果自行负责。</w:t>
      </w:r>
    </w:p>
    <w:p>
      <w:pPr>
        <w:shd w:val="clear"/>
        <w:tabs>
          <w:tab w:val="left" w:pos="1764"/>
        </w:tabs>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highlight w:val="none"/>
        </w:rPr>
        <w:t xml:space="preserve"> </w:t>
      </w:r>
      <w:r>
        <w:rPr>
          <w:rFonts w:hint="eastAsia" w:ascii="仿宋" w:hAnsi="仿宋" w:eastAsia="仿宋" w:cs="仿宋"/>
          <w:sz w:val="24"/>
          <w:highlight w:val="none"/>
        </w:rPr>
        <w:t>在电子投标文件中，招标文件第七篇投标文件格式中规定签署、盖章的地方必须按其规定签署、盖章。</w:t>
      </w:r>
    </w:p>
    <w:p>
      <w:pPr>
        <w:shd w:val="clear"/>
        <w:snapToGrid w:val="0"/>
        <w:spacing w:line="400" w:lineRule="exact"/>
        <w:ind w:firstLine="470" w:firstLineChars="196"/>
        <w:jc w:val="left"/>
        <w:rPr>
          <w:rFonts w:hint="eastAsia" w:ascii="仿宋" w:hAnsi="仿宋" w:eastAsia="仿宋" w:cs="仿宋"/>
          <w:bCs/>
          <w:sz w:val="24"/>
          <w:highlight w:val="none"/>
        </w:rPr>
      </w:pPr>
      <w:r>
        <w:rPr>
          <w:rFonts w:hint="eastAsia" w:ascii="仿宋" w:hAnsi="仿宋" w:eastAsia="仿宋" w:cs="仿宋"/>
          <w:sz w:val="24"/>
          <w:highlight w:val="none"/>
        </w:rPr>
        <w:t>3.电报、电话、传真形式的投标文件概不接受。</w:t>
      </w:r>
    </w:p>
    <w:p>
      <w:pPr>
        <w:shd w:val="clear"/>
        <w:snapToGrid w:val="0"/>
        <w:spacing w:line="400" w:lineRule="exact"/>
        <w:ind w:firstLine="470" w:firstLineChars="196"/>
        <w:jc w:val="left"/>
        <w:rPr>
          <w:rFonts w:hint="eastAsia" w:ascii="仿宋" w:hAnsi="仿宋" w:eastAsia="仿宋" w:cs="仿宋"/>
          <w:bCs/>
          <w:sz w:val="24"/>
          <w:highlight w:val="none"/>
        </w:rPr>
      </w:pPr>
      <w:r>
        <w:rPr>
          <w:rFonts w:hint="eastAsia" w:ascii="仿宋" w:hAnsi="仿宋" w:eastAsia="仿宋" w:cs="仿宋"/>
          <w:bCs/>
          <w:sz w:val="24"/>
          <w:highlight w:val="none"/>
        </w:rPr>
        <w:t>（四）投标报价</w:t>
      </w:r>
    </w:p>
    <w:p>
      <w:pPr>
        <w:pStyle w:val="31"/>
        <w:shd w:val="clear"/>
        <w:spacing w:line="40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1.投标人应严格按照“投标文件格式”中“开标一览表”和“电子投标文件制作系统中的报价一览表”的格式填写报价。</w:t>
      </w:r>
    </w:p>
    <w:p>
      <w:pPr>
        <w:pStyle w:val="31"/>
        <w:shd w:val="clear"/>
        <w:spacing w:line="40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2.投标人的报价为一次性报价，即在投标有效期内投标价格固定不变。</w:t>
      </w:r>
    </w:p>
    <w:p>
      <w:pPr>
        <w:pStyle w:val="31"/>
        <w:shd w:val="clear"/>
        <w:spacing w:line="40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3.本项目只接受一个投标报价（“投标文件格式”中“开标一览表”的报价必须和电子招投标系统中《开标一览汇总表》所展示报价一致。如果不一致时，以电子招投标系统中《开标一览汇总表》所展示报价为准），有选择的或有条件的报价将不予接受。</w:t>
      </w:r>
    </w:p>
    <w:p>
      <w:pPr>
        <w:pStyle w:val="31"/>
        <w:shd w:val="clear"/>
        <w:spacing w:line="40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注：“在电子投标文件制作系统中的报价一览表所填报价”即为“电子招投标系统中《开标一览汇总表》所展示报价”。</w:t>
      </w:r>
    </w:p>
    <w:p>
      <w:pPr>
        <w:pStyle w:val="31"/>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（五）修正错误</w:t>
      </w:r>
    </w:p>
    <w:p>
      <w:pPr>
        <w:pStyle w:val="31"/>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若电子投标文件出现计算或表达上的错误，修正错误的原则如下：</w:t>
      </w:r>
    </w:p>
    <w:p>
      <w:pPr>
        <w:pStyle w:val="31"/>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1.电子投标文件中开标一览表（报价表）内容与电子投标文件中相应内容不一致的，以开标一览表（报价表）为准；</w:t>
      </w:r>
    </w:p>
    <w:p>
      <w:pPr>
        <w:pStyle w:val="31"/>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2.大写金额和小写金额不一致的，以大写金额为准；</w:t>
      </w:r>
    </w:p>
    <w:p>
      <w:pPr>
        <w:pStyle w:val="31"/>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3.单价金额小数点或者百分比有明显错位的，以开标一览表的总价为准，并修改单价；</w:t>
      </w:r>
    </w:p>
    <w:p>
      <w:pPr>
        <w:pStyle w:val="31"/>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4.总价金额与按单价汇总金额不一致的，以单价金额计算结果为准。</w:t>
      </w:r>
    </w:p>
    <w:p>
      <w:pPr>
        <w:pStyle w:val="31"/>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5.电子投标文件中开标一览表（报价表）内容与电子招投标系统中《开标一览汇总表》所展示内容不一致时，以电子招投标系统中《开标一览汇总表》所展示内容为准。</w:t>
      </w:r>
    </w:p>
    <w:p>
      <w:pPr>
        <w:pStyle w:val="31"/>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pPr>
        <w:pStyle w:val="31"/>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（六）投标文件的递交</w:t>
      </w:r>
    </w:p>
    <w:p>
      <w:pPr>
        <w:pStyle w:val="31"/>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highlight w:val="none"/>
        </w:rPr>
        <w:t xml:space="preserve"> </w:t>
      </w:r>
      <w:r>
        <w:rPr>
          <w:rFonts w:hint="eastAsia" w:ascii="仿宋" w:hAnsi="仿宋" w:eastAsia="仿宋" w:cs="仿宋"/>
          <w:sz w:val="24"/>
          <w:highlight w:val="none"/>
        </w:rPr>
        <w:t>电子投标文件的递交按照《行采家全程电子化操作手册-供应商(CA证书解密版)》手册第七章流程操作。</w:t>
      </w:r>
    </w:p>
    <w:p>
      <w:pPr>
        <w:pStyle w:val="31"/>
        <w:shd w:val="clear"/>
        <w:spacing w:line="400" w:lineRule="exact"/>
        <w:ind w:firstLine="480" w:firstLineChars="200"/>
        <w:outlineLvl w:val="2"/>
        <w:rPr>
          <w:rFonts w:hint="eastAsia" w:ascii="仿宋" w:hAnsi="仿宋" w:eastAsia="仿宋" w:cs="仿宋"/>
          <w:sz w:val="24"/>
          <w:highlight w:val="none"/>
        </w:rPr>
      </w:pPr>
      <w:r>
        <w:rPr>
          <w:rFonts w:hint="eastAsia" w:ascii="仿宋" w:hAnsi="仿宋" w:eastAsia="仿宋" w:cs="仿宋"/>
          <w:sz w:val="24"/>
          <w:highlight w:val="none"/>
        </w:rPr>
        <w:t>须提交的相关原件（如果有）：应完整封装，且在封套上注明项目名称、投标人名称，递交时间地点同开标时间地点。</w:t>
      </w:r>
    </w:p>
    <w:p>
      <w:pPr>
        <w:pStyle w:val="4"/>
        <w:shd w:val="clear"/>
        <w:spacing w:line="400" w:lineRule="exact"/>
        <w:ind w:firstLine="482" w:firstLineChars="200"/>
        <w:rPr>
          <w:rFonts w:hint="eastAsia" w:ascii="仿宋" w:hAnsi="仿宋" w:eastAsia="仿宋" w:cs="仿宋"/>
          <w:b/>
          <w:sz w:val="24"/>
          <w:highlight w:val="none"/>
        </w:rPr>
      </w:pPr>
      <w:bookmarkStart w:id="81" w:name="_Toc26025"/>
      <w:r>
        <w:rPr>
          <w:rFonts w:hint="eastAsia" w:ascii="仿宋" w:hAnsi="仿宋" w:eastAsia="仿宋" w:cs="仿宋"/>
          <w:b/>
          <w:sz w:val="24"/>
          <w:highlight w:val="none"/>
        </w:rPr>
        <w:t>四、开标</w:t>
      </w:r>
      <w:bookmarkEnd w:id="81"/>
    </w:p>
    <w:p>
      <w:pPr>
        <w:shd w:val="clear"/>
        <w:spacing w:line="400" w:lineRule="exact"/>
        <w:ind w:firstLine="480" w:firstLineChars="200"/>
        <w:rPr>
          <w:rFonts w:hint="eastAsia" w:ascii="仿宋" w:hAnsi="仿宋" w:eastAsia="仿宋" w:cs="仿宋"/>
          <w:sz w:val="24"/>
          <w:highlight w:val="none"/>
        </w:rPr>
      </w:pPr>
      <w:bookmarkStart w:id="82" w:name="_Toc24045"/>
      <w:r>
        <w:rPr>
          <w:rFonts w:hint="eastAsia" w:ascii="仿宋" w:hAnsi="仿宋" w:eastAsia="仿宋" w:cs="仿宋"/>
          <w:sz w:val="24"/>
          <w:highlight w:val="none"/>
        </w:rPr>
        <w:t>（一）开标应当在招标文件中“投标邀请书”确定的时间和地点公开进行。</w:t>
      </w:r>
    </w:p>
    <w:p>
      <w:pPr>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（二）采购代理机构可视采购具体情况，延长电子投标文件截止时间和开标时间，并将变更时间书面通知所有招标文件收受人。</w:t>
      </w:r>
    </w:p>
    <w:p>
      <w:pPr>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（三）开标由采购人或采购代理机构主持，邀请投标人和有关监督部门代表参加,有关监督部门可视情况派员现场监督。</w:t>
      </w:r>
    </w:p>
    <w:p>
      <w:pPr>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（四）开标时，采取电子开标，投标人在规定的时间内解密电子投标文件，电子开标室将展示投标人名称、投标价格和《开标一览汇总表》。投标人不足三家的，不得开标。</w:t>
      </w:r>
    </w:p>
    <w:p>
      <w:pPr>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（五）未宣读的投标价格、价格折扣和招标文件允许提供的备选投标方案等实质性内容等，评标时不予承认。</w:t>
      </w:r>
    </w:p>
    <w:p>
      <w:pPr>
        <w:pStyle w:val="31"/>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（六）开标过程由</w:t>
      </w:r>
      <w:r>
        <w:rPr>
          <w:rFonts w:hint="eastAsia" w:ascii="仿宋" w:hAnsi="仿宋" w:eastAsia="仿宋" w:cs="仿宋"/>
          <w:sz w:val="24"/>
          <w:highlight w:val="none"/>
          <w:lang w:val="en-US" w:eastAsia="zh-CN"/>
        </w:rPr>
        <w:t>垫江县国企数字化采购平台</w:t>
      </w:r>
      <w:r>
        <w:rPr>
          <w:rFonts w:hint="eastAsia" w:ascii="仿宋" w:hAnsi="仿宋" w:eastAsia="仿宋" w:cs="仿宋"/>
          <w:sz w:val="24"/>
          <w:highlight w:val="none"/>
        </w:rPr>
        <w:t>同步记录，并存档备查。</w:t>
      </w:r>
    </w:p>
    <w:p>
      <w:pPr>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（七）投标人未参加开标的，视同认可开标结果。</w:t>
      </w:r>
    </w:p>
    <w:p>
      <w:pPr>
        <w:pStyle w:val="4"/>
        <w:shd w:val="clear"/>
        <w:spacing w:line="40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五、评标</w:t>
      </w:r>
      <w:bookmarkEnd w:id="82"/>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见第四篇“评标”内容。</w:t>
      </w:r>
    </w:p>
    <w:p>
      <w:pPr>
        <w:pStyle w:val="4"/>
        <w:shd w:val="clear"/>
        <w:spacing w:line="400" w:lineRule="exact"/>
        <w:ind w:firstLine="482" w:firstLineChars="200"/>
        <w:rPr>
          <w:rFonts w:hint="eastAsia" w:ascii="仿宋" w:hAnsi="仿宋" w:eastAsia="仿宋" w:cs="仿宋"/>
          <w:b/>
          <w:sz w:val="24"/>
          <w:highlight w:val="none"/>
        </w:rPr>
      </w:pPr>
      <w:bookmarkStart w:id="83" w:name="_Toc22757"/>
      <w:r>
        <w:rPr>
          <w:rFonts w:hint="eastAsia" w:ascii="仿宋" w:hAnsi="仿宋" w:eastAsia="仿宋" w:cs="仿宋"/>
          <w:b/>
          <w:sz w:val="24"/>
          <w:highlight w:val="none"/>
        </w:rPr>
        <w:t>六、定标</w:t>
      </w:r>
      <w:bookmarkEnd w:id="83"/>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（一）定标原则</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采购人或其授权的评标委员会应按照评标报告中推荐的中标候选人排名顺序确定中标人。</w:t>
      </w:r>
    </w:p>
    <w:p>
      <w:pPr>
        <w:pStyle w:val="31"/>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（二）定标程序</w:t>
      </w:r>
    </w:p>
    <w:p>
      <w:pPr>
        <w:pStyle w:val="31"/>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1.采购代理机构应当在评标结束后2个工作日内将评标报告送采购人。</w:t>
      </w:r>
    </w:p>
    <w:p>
      <w:pPr>
        <w:pStyle w:val="31"/>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2.采购人应当自收到评标报告之日起5个工作日内按评标报告推荐的中标候选人顺序确定中标人。</w:t>
      </w:r>
    </w:p>
    <w:p>
      <w:pPr>
        <w:pStyle w:val="31"/>
        <w:shd w:val="clear"/>
        <w:spacing w:line="400" w:lineRule="exact"/>
        <w:ind w:firstLine="480" w:firstLineChars="200"/>
        <w:rPr>
          <w:rStyle w:val="65"/>
          <w:rFonts w:hint="eastAsia" w:ascii="仿宋" w:hAnsi="仿宋" w:eastAsia="仿宋" w:cs="仿宋"/>
          <w:kern w:val="0"/>
          <w:highlight w:val="none"/>
          <w:lang w:eastAsia="zh-TW"/>
        </w:rPr>
      </w:pPr>
      <w:r>
        <w:rPr>
          <w:rFonts w:hint="eastAsia" w:ascii="仿宋" w:hAnsi="仿宋" w:eastAsia="仿宋" w:cs="仿宋"/>
          <w:sz w:val="24"/>
          <w:highlight w:val="none"/>
        </w:rPr>
        <w:t>中标候选人并列的，由采购人或者采购人委托评标委员会按照技术需求的优劣顺序排列；技术需求优劣顺序相同的，按商务条款的优劣顺序排列确定中标人。</w:t>
      </w:r>
    </w:p>
    <w:p>
      <w:pPr>
        <w:pStyle w:val="31"/>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3.采购人或者采购代理机构应当自中标人确定之日起2个工作日内，在</w:t>
      </w:r>
      <w:r>
        <w:rPr>
          <w:rFonts w:hint="eastAsia" w:ascii="仿宋" w:hAnsi="仿宋" w:eastAsia="仿宋" w:cs="仿宋"/>
          <w:sz w:val="24"/>
          <w:szCs w:val="24"/>
          <w:highlight w:val="none"/>
        </w:rPr>
        <w:t>垫江县国企数字化采购平台（https://djxgzw.gec123.com/）、行采家（https://www.gec123.com）和重庆市公共资源交易网（垫江县）（https://www.cqggzy.com/dianjiangweb/）</w:t>
      </w:r>
      <w:r>
        <w:rPr>
          <w:rFonts w:hint="eastAsia" w:ascii="仿宋" w:hAnsi="仿宋" w:eastAsia="仿宋" w:cs="仿宋"/>
          <w:sz w:val="24"/>
          <w:highlight w:val="none"/>
        </w:rPr>
        <w:t>上公告中标结果。中标公告期限为1个工作日。</w:t>
      </w:r>
    </w:p>
    <w:p>
      <w:pPr>
        <w:pStyle w:val="31"/>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4.中标人变更</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中标人拒绝与采购人签订合同的，采购人可以按照评标报告推荐的中标候选人顺序，确定排名下一位的候选人为中标人，也可以重新开展企业采购活动。</w:t>
      </w:r>
    </w:p>
    <w:p>
      <w:pPr>
        <w:pStyle w:val="4"/>
        <w:shd w:val="clear"/>
        <w:spacing w:line="400" w:lineRule="exact"/>
        <w:ind w:firstLine="482" w:firstLineChars="200"/>
        <w:rPr>
          <w:rFonts w:hint="eastAsia" w:ascii="仿宋" w:hAnsi="仿宋" w:eastAsia="仿宋" w:cs="仿宋"/>
          <w:b/>
          <w:sz w:val="24"/>
          <w:highlight w:val="none"/>
        </w:rPr>
      </w:pPr>
      <w:bookmarkStart w:id="84" w:name="_Toc9573"/>
      <w:r>
        <w:rPr>
          <w:rFonts w:hint="eastAsia" w:ascii="仿宋" w:hAnsi="仿宋" w:eastAsia="仿宋" w:cs="仿宋"/>
          <w:b/>
          <w:sz w:val="24"/>
          <w:highlight w:val="none"/>
        </w:rPr>
        <w:t>七、中标通知书</w:t>
      </w:r>
      <w:bookmarkEnd w:id="84"/>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（一）采购人依法确定中标人后，采购代理机构发出中标通知书。</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（二）中标通知书发出后，采购人改变中标结果，或者中标人放弃中标，应当承担相应的法律责任。</w:t>
      </w:r>
    </w:p>
    <w:p>
      <w:pPr>
        <w:pStyle w:val="4"/>
        <w:shd w:val="clear"/>
        <w:spacing w:line="40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八、询问、质疑和投诉</w:t>
      </w:r>
    </w:p>
    <w:p>
      <w:pPr>
        <w:shd w:val="clea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（一）询问</w:t>
      </w:r>
    </w:p>
    <w:p>
      <w:pPr>
        <w:shd w:val="clea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采购人或者采购代理机构应当在3个工作日内对投标人依法提出的询问作出答复。投标人询问可以是口头或书面形式。</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（二）质疑</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投标人认为采购文件、采购过程和中标结果使自己的权益受到伤害的，可向采购人或采购代理机构以书面形式提出质疑。</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提出质疑的应当是参与所质疑项目采购活动的投标人。</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1.质疑内容、时限</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1.1招标文件公告期限为采购公告发出之日起五个工作日，投标人对招标文件提出质疑的，应在招标文件公告期限届满之日起七个工作日内以书面形式向采购人提出。</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 投标人对采购过程提出质疑的，应在各采购程序环节结束之日起七个工作日内以书面形式向采购人、采购代理机构提出。</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1.3中标结果公告期限为中标结果公告发出之日起三个工作日，投标人对中标结果如有异议的，应当在中标结果公告期限届满之日起七个工作日内以书面形式向采购人提出。</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1.4投标人对除开评标过程以外的质疑，应向采购人提出质疑。</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1.5投标人提出质疑应当提交质疑函和必要的证明材料，质疑函应当包括下列内容：</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1.5.1投标人的姓名或者名称、地址、邮编、联系人及联系电话；</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1.5.2质疑项目的名称、项目编号以及采购执行编号；</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1.5.3具体、明确的质疑事项和与质疑事项相关的请求；</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1.5.4事实依据；</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1.5.5必要的法律依据；</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1.5.6提出质疑的日期；</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1.5.7营业执照（或事业单位法人证书，或个体工商户营业执照或有效的自然人身份证明）复印件；</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1.5.8法定代表人授权委托书原件、法定代表人身份证复印件和其授权代表的身份证复印件（投标人为自然人的提供自然人身份证复印件）；</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1.6投标人为自然人的，质疑函应当由本人签字；投标人为法人或者其他组织的，质疑函应当由法定代表人、主要负责人，或者其授权代表签字或者盖章，并加盖公章。</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1.7 质疑文件的递交：一式两份，采购人和采购代理机构各一份。</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2.质疑答复</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采购人或采购代理机构应当在收到投标人的书面质疑后七个工作日内作出答复，并以书面形式通知质疑投标人和其他有关投标人。</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3.其他</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3.1投标人应参照《政府采购质疑和投诉办法》（财政部令第94号）及相关法律法规要求，在法定质疑期内一次性提出针对同一采购程序环节的质疑。</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3.2质疑函范本可在财政部门户网站和中国政府采购网下载。</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4.质疑联系方式详见第一篇“联系方式”。</w:t>
      </w:r>
    </w:p>
    <w:p>
      <w:pPr>
        <w:shd w:val="clea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（三）投诉</w:t>
      </w:r>
    </w:p>
    <w:p>
      <w:pPr>
        <w:shd w:val="clear"/>
        <w:snapToGrid w:val="0"/>
        <w:spacing w:line="40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1.投标人对采购人、采购代理机构的答复不满意，或者采购人、采购代理机构未在规定时间内答复的，可在答复期满后十五个工作日内向采购人采购领导小组会提出投诉。采购领导小组联系方式：</w:t>
      </w:r>
      <w:r>
        <w:rPr>
          <w:rFonts w:hint="eastAsia" w:ascii="仿宋" w:hAnsi="仿宋" w:eastAsia="仿宋" w:cs="仿宋"/>
          <w:color w:val="auto"/>
          <w:sz w:val="24"/>
          <w:highlight w:val="none"/>
          <w:lang w:val="en-US" w:eastAsia="zh-CN"/>
        </w:rPr>
        <w:t>15808005859</w:t>
      </w: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黄老师</w:t>
      </w:r>
      <w:r>
        <w:rPr>
          <w:rFonts w:hint="eastAsia" w:ascii="仿宋" w:hAnsi="仿宋" w:eastAsia="仿宋" w:cs="仿宋"/>
          <w:color w:val="auto"/>
          <w:sz w:val="24"/>
          <w:highlight w:val="none"/>
        </w:rPr>
        <w:t>。</w:t>
      </w:r>
    </w:p>
    <w:p>
      <w:pPr>
        <w:shd w:val="clear"/>
        <w:snapToGrid w:val="0"/>
        <w:spacing w:line="40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2.在提出投诉时，应附送相关证明材料。投诉书及证明材料为外文的，应同时提供其中文译本；中文与外文意思不一致的，以中文为准。</w:t>
      </w:r>
    </w:p>
    <w:p>
      <w:pPr>
        <w:shd w:val="clear"/>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在确定受理投诉后，采购人采购领导小组自受理投诉之日起三十个工作日内（进行调查取证或者组织质证时间除外）对投诉事项做出处理决定，并将投诉处理决定书送达投诉人、被投诉人和其他与投诉处理决定有利害关系的企业采购相关当事人。</w:t>
      </w:r>
    </w:p>
    <w:p>
      <w:pPr>
        <w:pStyle w:val="4"/>
        <w:shd w:val="clear"/>
        <w:spacing w:line="400" w:lineRule="exact"/>
        <w:ind w:firstLine="482" w:firstLineChars="200"/>
        <w:rPr>
          <w:rFonts w:hint="eastAsia" w:ascii="仿宋" w:hAnsi="仿宋" w:eastAsia="仿宋" w:cs="仿宋"/>
          <w:b/>
          <w:sz w:val="24"/>
          <w:highlight w:val="none"/>
        </w:rPr>
      </w:pPr>
      <w:bookmarkStart w:id="85" w:name="_Toc6661"/>
      <w:r>
        <w:rPr>
          <w:rFonts w:hint="eastAsia" w:ascii="仿宋" w:hAnsi="仿宋" w:eastAsia="仿宋" w:cs="仿宋"/>
          <w:b/>
          <w:sz w:val="24"/>
          <w:highlight w:val="none"/>
        </w:rPr>
        <w:t>九、签订合同</w:t>
      </w:r>
      <w:bookmarkEnd w:id="85"/>
    </w:p>
    <w:p>
      <w:pPr>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（一）采购人应当自中标通知书发出之日起三十日内，按照招标文件和中标人投标文件的约定，与中标人签订书面合同。所签订的合同不得对招标文件和中标人投标文件作实质性修改。</w:t>
      </w:r>
      <w:r>
        <w:rPr>
          <w:rFonts w:hint="eastAsia" w:ascii="仿宋" w:hAnsi="仿宋" w:eastAsia="仿宋" w:cs="仿宋"/>
          <w:kern w:val="0"/>
          <w:sz w:val="24"/>
          <w:szCs w:val="24"/>
          <w:highlight w:val="none"/>
        </w:rPr>
        <w:t>其他未尽事宜由采购人和中标人在采购合同中详细约定。</w:t>
      </w:r>
    </w:p>
    <w:p>
      <w:pPr>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（二）采购人应当自企业采购合同签订之日起2个工作日内将合同报区国资委和乙方备案。</w:t>
      </w:r>
    </w:p>
    <w:p>
      <w:pPr>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（三）招标文件、中标人的投标文件及澄清文件等，均为签订企业采购合同的依据。</w:t>
      </w:r>
    </w:p>
    <w:p>
      <w:pPr>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（四）合同生效条款由供需双方约定，法律、行政法规规定应当办理批准、登记等手续后生效的合同，依照其规定。</w:t>
      </w:r>
    </w:p>
    <w:p>
      <w:pPr>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（五）合同原则上应参照《重庆市政府采购合同》签订，相关单位要求适用合同通用格式版本的，应按其要求另行签订其他合同。</w:t>
      </w:r>
    </w:p>
    <w:p>
      <w:pPr>
        <w:shd w:val="clea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（六）采购人要求中标人提供履约保证金的，应当在招标文件中予以约定。中标人履约完毕后，采购人应按招标文件及合同的约定无息退还其履约保证金。</w:t>
      </w:r>
    </w:p>
    <w:p>
      <w:pPr>
        <w:pStyle w:val="4"/>
        <w:shd w:val="clear"/>
        <w:spacing w:line="400" w:lineRule="exact"/>
        <w:ind w:firstLine="482" w:firstLineChars="200"/>
        <w:rPr>
          <w:rFonts w:hint="eastAsia" w:ascii="仿宋" w:hAnsi="仿宋" w:eastAsia="仿宋" w:cs="仿宋"/>
          <w:b/>
          <w:sz w:val="24"/>
          <w:highlight w:val="none"/>
        </w:rPr>
      </w:pPr>
      <w:bookmarkStart w:id="86" w:name="_Toc23311"/>
      <w:r>
        <w:rPr>
          <w:rFonts w:hint="eastAsia" w:ascii="仿宋" w:hAnsi="仿宋" w:eastAsia="仿宋" w:cs="仿宋"/>
          <w:b/>
          <w:sz w:val="24"/>
          <w:highlight w:val="none"/>
        </w:rPr>
        <w:t>十、银行信用贷款支持</w:t>
      </w:r>
      <w:bookmarkEnd w:id="86"/>
    </w:p>
    <w:bookmarkEnd w:id="77"/>
    <w:p>
      <w:pPr>
        <w:shd w:val="clear"/>
        <w:spacing w:line="500" w:lineRule="exact"/>
        <w:ind w:firstLine="560" w:firstLineChars="200"/>
        <w:rPr>
          <w:rFonts w:hint="eastAsia" w:ascii="仿宋" w:hAnsi="仿宋" w:eastAsia="仿宋" w:cs="仿宋"/>
          <w:kern w:val="0"/>
          <w:sz w:val="24"/>
          <w:szCs w:val="24"/>
          <w:highlight w:val="none"/>
        </w:rPr>
      </w:pPr>
      <w:r>
        <w:rPr>
          <w:rFonts w:hint="eastAsia" w:ascii="仿宋" w:hAnsi="仿宋" w:eastAsia="仿宋" w:cs="仿宋"/>
          <w:highlight w:val="none"/>
        </w:rPr>
        <w:br w:type="page"/>
      </w:r>
      <w:bookmarkStart w:id="87" w:name="_Toc49177933"/>
      <w:r>
        <w:rPr>
          <w:rFonts w:hint="eastAsia" w:ascii="仿宋" w:hAnsi="仿宋" w:eastAsia="仿宋"/>
          <w:b/>
          <w:sz w:val="44"/>
          <w:szCs w:val="28"/>
          <w:highlight w:val="none"/>
        </w:rPr>
        <w:t xml:space="preserve">第六篇  </w:t>
      </w:r>
      <w:r>
        <w:rPr>
          <w:rFonts w:hint="eastAsia" w:ascii="仿宋" w:hAnsi="仿宋" w:eastAsia="仿宋"/>
          <w:b/>
          <w:sz w:val="40"/>
          <w:szCs w:val="28"/>
          <w:highlight w:val="none"/>
        </w:rPr>
        <w:t>企业采购合同（格式自拟）</w:t>
      </w:r>
    </w:p>
    <w:bookmarkEnd w:id="87"/>
    <w:p>
      <w:pPr>
        <w:shd w:val="clear"/>
        <w:spacing w:line="560" w:lineRule="exact"/>
        <w:jc w:val="left"/>
        <w:rPr>
          <w:rFonts w:hint="eastAsia" w:ascii="仿宋" w:hAnsi="仿宋" w:eastAsia="仿宋" w:cs="仿宋"/>
          <w:sz w:val="24"/>
          <w:szCs w:val="24"/>
          <w:highlight w:val="none"/>
        </w:rPr>
      </w:pPr>
    </w:p>
    <w:p>
      <w:pPr>
        <w:shd w:val="clear"/>
        <w:spacing w:line="560" w:lineRule="exact"/>
        <w:jc w:val="left"/>
        <w:rPr>
          <w:rFonts w:hint="eastAsia" w:ascii="仿宋" w:hAnsi="仿宋" w:eastAsia="仿宋" w:cs="仿宋"/>
          <w:sz w:val="24"/>
          <w:szCs w:val="24"/>
          <w:highlight w:val="none"/>
        </w:rPr>
      </w:pPr>
    </w:p>
    <w:p>
      <w:pPr>
        <w:shd w:val="clear"/>
        <w:spacing w:line="560" w:lineRule="exact"/>
        <w:jc w:val="left"/>
        <w:rPr>
          <w:rFonts w:hint="eastAsia" w:ascii="仿宋" w:hAnsi="仿宋" w:eastAsia="仿宋" w:cs="仿宋"/>
          <w:sz w:val="24"/>
          <w:szCs w:val="24"/>
          <w:highlight w:val="none"/>
        </w:rPr>
      </w:pPr>
    </w:p>
    <w:p>
      <w:pPr>
        <w:shd w:val="clear"/>
        <w:spacing w:line="560" w:lineRule="exact"/>
        <w:jc w:val="left"/>
        <w:rPr>
          <w:rFonts w:hint="eastAsia" w:ascii="仿宋" w:hAnsi="仿宋" w:eastAsia="仿宋" w:cs="仿宋"/>
          <w:sz w:val="24"/>
          <w:szCs w:val="24"/>
          <w:highlight w:val="none"/>
        </w:rPr>
      </w:pPr>
    </w:p>
    <w:p>
      <w:pPr>
        <w:shd w:val="clear"/>
        <w:spacing w:line="560" w:lineRule="exact"/>
        <w:jc w:val="left"/>
        <w:rPr>
          <w:rFonts w:hint="eastAsia" w:ascii="仿宋" w:hAnsi="仿宋" w:eastAsia="仿宋" w:cs="仿宋"/>
          <w:sz w:val="24"/>
          <w:szCs w:val="24"/>
          <w:highlight w:val="none"/>
        </w:rPr>
      </w:pPr>
    </w:p>
    <w:p>
      <w:pPr>
        <w:shd w:val="clear"/>
        <w:spacing w:line="560" w:lineRule="exact"/>
        <w:jc w:val="left"/>
        <w:rPr>
          <w:rFonts w:hint="eastAsia" w:ascii="仿宋" w:hAnsi="仿宋" w:eastAsia="仿宋" w:cs="仿宋"/>
          <w:sz w:val="24"/>
          <w:szCs w:val="24"/>
          <w:highlight w:val="none"/>
        </w:rPr>
      </w:pPr>
    </w:p>
    <w:p>
      <w:pPr>
        <w:shd w:val="clear"/>
        <w:spacing w:line="560" w:lineRule="exact"/>
        <w:jc w:val="left"/>
        <w:rPr>
          <w:rFonts w:hint="eastAsia" w:ascii="仿宋" w:hAnsi="仿宋" w:eastAsia="仿宋" w:cs="仿宋"/>
          <w:sz w:val="24"/>
          <w:szCs w:val="24"/>
          <w:highlight w:val="none"/>
        </w:rPr>
      </w:pPr>
    </w:p>
    <w:p>
      <w:pPr>
        <w:shd w:val="clear"/>
        <w:spacing w:line="560" w:lineRule="exact"/>
        <w:jc w:val="left"/>
        <w:rPr>
          <w:rFonts w:hint="eastAsia" w:ascii="仿宋" w:hAnsi="仿宋" w:eastAsia="仿宋" w:cs="仿宋"/>
          <w:sz w:val="24"/>
          <w:szCs w:val="24"/>
          <w:highlight w:val="none"/>
        </w:rPr>
      </w:pPr>
    </w:p>
    <w:p>
      <w:pPr>
        <w:shd w:val="clear"/>
        <w:spacing w:line="560" w:lineRule="exact"/>
        <w:jc w:val="left"/>
        <w:rPr>
          <w:rFonts w:hint="eastAsia" w:ascii="仿宋" w:hAnsi="仿宋" w:eastAsia="仿宋" w:cs="仿宋"/>
          <w:sz w:val="24"/>
          <w:szCs w:val="24"/>
          <w:highlight w:val="none"/>
        </w:rPr>
      </w:pPr>
    </w:p>
    <w:p>
      <w:pPr>
        <w:shd w:val="clear"/>
        <w:spacing w:line="560" w:lineRule="exact"/>
        <w:jc w:val="left"/>
        <w:rPr>
          <w:rFonts w:hint="eastAsia" w:ascii="仿宋" w:hAnsi="仿宋" w:eastAsia="仿宋" w:cs="仿宋"/>
          <w:sz w:val="24"/>
          <w:szCs w:val="24"/>
          <w:highlight w:val="none"/>
        </w:rPr>
      </w:pPr>
    </w:p>
    <w:p>
      <w:pPr>
        <w:rPr>
          <w:rFonts w:hint="eastAsia" w:ascii="仿宋" w:hAnsi="仿宋" w:eastAsia="仿宋" w:cs="仿宋"/>
          <w:b/>
          <w:highlight w:val="none"/>
        </w:rPr>
      </w:pPr>
      <w:bookmarkStart w:id="88" w:name="_Toc24748"/>
      <w:r>
        <w:rPr>
          <w:rFonts w:hint="eastAsia" w:ascii="仿宋" w:hAnsi="仿宋" w:eastAsia="仿宋" w:cs="仿宋"/>
          <w:b/>
          <w:highlight w:val="none"/>
        </w:rPr>
        <w:br w:type="page"/>
      </w:r>
    </w:p>
    <w:p>
      <w:pPr>
        <w:pStyle w:val="3"/>
        <w:shd w:val="clear"/>
        <w:spacing w:before="0" w:beforeLines="0" w:after="0" w:afterLines="0" w:line="360" w:lineRule="auto"/>
        <w:rPr>
          <w:rFonts w:hint="eastAsia" w:ascii="仿宋" w:hAnsi="仿宋" w:eastAsia="仿宋" w:cs="仿宋"/>
          <w:b/>
          <w:highlight w:val="none"/>
        </w:rPr>
      </w:pPr>
      <w:r>
        <w:rPr>
          <w:rFonts w:hint="eastAsia" w:ascii="仿宋" w:hAnsi="仿宋" w:eastAsia="仿宋" w:cs="仿宋"/>
          <w:b/>
          <w:highlight w:val="none"/>
        </w:rPr>
        <w:t xml:space="preserve">第七篇  </w:t>
      </w:r>
      <w:r>
        <w:rPr>
          <w:rFonts w:hint="eastAsia" w:ascii="仿宋" w:hAnsi="仿宋" w:eastAsia="仿宋" w:cs="仿宋"/>
          <w:b/>
          <w:highlight w:val="none"/>
          <w:lang w:val="en-US" w:eastAsia="zh-CN"/>
        </w:rPr>
        <w:t>电子</w:t>
      </w:r>
      <w:r>
        <w:rPr>
          <w:rFonts w:hint="eastAsia" w:ascii="仿宋" w:hAnsi="仿宋" w:eastAsia="仿宋" w:cs="仿宋"/>
          <w:b/>
          <w:highlight w:val="none"/>
        </w:rPr>
        <w:t>投标文件格式</w:t>
      </w:r>
      <w:bookmarkEnd w:id="88"/>
    </w:p>
    <w:p>
      <w:pPr>
        <w:shd w:val="clear"/>
        <w:snapToGrid w:val="0"/>
        <w:spacing w:line="44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一、经济文件</w:t>
      </w:r>
    </w:p>
    <w:p>
      <w:pPr>
        <w:shd w:val="clea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（一）开标一览表</w:t>
      </w:r>
    </w:p>
    <w:p>
      <w:pPr>
        <w:shd w:val="clear"/>
        <w:snapToGrid w:val="0"/>
        <w:spacing w:line="44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二、技术文件</w:t>
      </w:r>
    </w:p>
    <w:p>
      <w:pPr>
        <w:shd w:val="clea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（一）服务实施方案</w:t>
      </w:r>
    </w:p>
    <w:p>
      <w:pPr>
        <w:shd w:val="clea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（二）服务项目条款差异表</w:t>
      </w:r>
    </w:p>
    <w:p>
      <w:pPr>
        <w:shd w:val="clear"/>
        <w:snapToGrid w:val="0"/>
        <w:spacing w:line="44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三、商务文件</w:t>
      </w:r>
    </w:p>
    <w:p>
      <w:pPr>
        <w:shd w:val="clea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（一）投标函（格式）</w:t>
      </w:r>
    </w:p>
    <w:p>
      <w:pPr>
        <w:shd w:val="clea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（二）商务条款差异表</w:t>
      </w:r>
    </w:p>
    <w:p>
      <w:pPr>
        <w:shd w:val="clea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（三）其他商务资料（自拟，按照第三篇、第四篇的要求拟定）</w:t>
      </w:r>
    </w:p>
    <w:p>
      <w:pPr>
        <w:shd w:val="clear"/>
        <w:snapToGrid w:val="0"/>
        <w:spacing w:line="44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eastAsia="zh-CN"/>
        </w:rPr>
        <w:t>四</w:t>
      </w:r>
      <w:r>
        <w:rPr>
          <w:rFonts w:hint="eastAsia" w:ascii="仿宋" w:hAnsi="仿宋" w:eastAsia="仿宋" w:cs="仿宋"/>
          <w:b/>
          <w:sz w:val="24"/>
          <w:szCs w:val="24"/>
          <w:highlight w:val="none"/>
        </w:rPr>
        <w:t>、资格文件</w:t>
      </w:r>
    </w:p>
    <w:p>
      <w:pPr>
        <w:shd w:val="clea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（一）法人营业执照（副本）或事业单位法人证书（副本）或个体工商户营业执照或有效的自然人身份证明或社会团体法人登记证书复印件</w:t>
      </w:r>
    </w:p>
    <w:p>
      <w:pPr>
        <w:shd w:val="clea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说明：投标人按“多证合一”登记制度办理营业执照的，税务登记证（副本）和社会保险登记证以投标人所提供的法人营业执照（副本）复印件为准。</w:t>
      </w:r>
    </w:p>
    <w:p>
      <w:pPr>
        <w:shd w:val="clear"/>
        <w:snapToGrid w:val="0"/>
        <w:spacing w:line="400" w:lineRule="exact"/>
        <w:ind w:firstLine="480" w:firstLineChars="200"/>
        <w:rPr>
          <w:rFonts w:hint="eastAsia" w:ascii="仿宋" w:hAnsi="仿宋" w:eastAsia="仿宋" w:cs="仿宋"/>
          <w:sz w:val="24"/>
          <w:szCs w:val="24"/>
          <w:highlight w:val="none"/>
        </w:rPr>
      </w:pPr>
      <w:bookmarkStart w:id="89" w:name="_Toc492721037"/>
      <w:bookmarkStart w:id="90" w:name="_Toc429584884"/>
      <w:r>
        <w:rPr>
          <w:rFonts w:hint="eastAsia" w:ascii="仿宋" w:hAnsi="仿宋" w:eastAsia="仿宋" w:cs="仿宋"/>
          <w:sz w:val="24"/>
          <w:szCs w:val="24"/>
          <w:highlight w:val="none"/>
        </w:rPr>
        <w:t>（二）法定代表人身份证明书（格式）</w:t>
      </w:r>
    </w:p>
    <w:p>
      <w:pPr>
        <w:shd w:val="clea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（三）法定代表人授权委托书（格式）</w:t>
      </w:r>
    </w:p>
    <w:p>
      <w:pPr>
        <w:shd w:val="clea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（四）基本资格条件承诺函（格式）</w:t>
      </w:r>
    </w:p>
    <w:p>
      <w:pPr>
        <w:shd w:val="clear"/>
        <w:snapToGrid w:val="0"/>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color w:val="auto"/>
          <w:sz w:val="24"/>
          <w:szCs w:val="24"/>
          <w:highlight w:val="none"/>
        </w:rPr>
        <w:t>（五）</w:t>
      </w:r>
      <w:r>
        <w:rPr>
          <w:rFonts w:hint="eastAsia" w:ascii="仿宋" w:hAnsi="仿宋" w:eastAsia="仿宋" w:cs="仿宋"/>
          <w:sz w:val="24"/>
          <w:szCs w:val="24"/>
          <w:highlight w:val="none"/>
        </w:rPr>
        <w:t>特定资格条件证书或证明文件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如有</w:t>
      </w:r>
      <w:r>
        <w:rPr>
          <w:rFonts w:hint="eastAsia" w:ascii="仿宋" w:hAnsi="仿宋" w:eastAsia="仿宋" w:cs="仿宋"/>
          <w:sz w:val="24"/>
          <w:szCs w:val="24"/>
          <w:highlight w:val="none"/>
          <w:lang w:eastAsia="zh-CN"/>
        </w:rPr>
        <w:t>）</w:t>
      </w:r>
    </w:p>
    <w:p>
      <w:pPr>
        <w:pStyle w:val="4"/>
        <w:pageBreakBefore/>
        <w:shd w:val="clear"/>
        <w:spacing w:line="500" w:lineRule="exact"/>
        <w:rPr>
          <w:rFonts w:hint="eastAsia" w:ascii="仿宋" w:hAnsi="仿宋" w:eastAsia="仿宋" w:cs="仿宋"/>
          <w:b/>
          <w:szCs w:val="28"/>
          <w:highlight w:val="none"/>
        </w:rPr>
      </w:pPr>
      <w:bookmarkStart w:id="91" w:name="_Toc21633"/>
      <w:r>
        <w:rPr>
          <w:rFonts w:hint="eastAsia" w:ascii="仿宋" w:hAnsi="仿宋" w:eastAsia="仿宋" w:cs="仿宋"/>
          <w:b/>
          <w:szCs w:val="28"/>
          <w:highlight w:val="none"/>
        </w:rPr>
        <w:t>一、经济文件</w:t>
      </w:r>
      <w:bookmarkEnd w:id="89"/>
      <w:bookmarkEnd w:id="90"/>
      <w:bookmarkEnd w:id="91"/>
    </w:p>
    <w:p>
      <w:pPr>
        <w:shd w:val="clear"/>
        <w:snapToGrid w:val="0"/>
        <w:spacing w:line="500" w:lineRule="exact"/>
        <w:jc w:val="center"/>
        <w:rPr>
          <w:rFonts w:hint="eastAsia" w:ascii="仿宋" w:hAnsi="仿宋" w:eastAsia="仿宋" w:cs="仿宋"/>
          <w:szCs w:val="36"/>
          <w:highlight w:val="none"/>
        </w:rPr>
      </w:pPr>
      <w:r>
        <w:rPr>
          <w:rFonts w:hint="eastAsia" w:ascii="仿宋" w:hAnsi="仿宋" w:eastAsia="仿宋" w:cs="仿宋"/>
          <w:szCs w:val="36"/>
          <w:highlight w:val="none"/>
        </w:rPr>
        <w:t>（一）开标一览表</w:t>
      </w:r>
    </w:p>
    <w:p>
      <w:pPr>
        <w:shd w:val="clear" w:color="auto" w:fill="auto"/>
        <w:spacing w:line="500" w:lineRule="exact"/>
        <w:ind w:firstLine="240" w:firstLineChars="100"/>
        <w:rPr>
          <w:rFonts w:hint="eastAsia" w:ascii="仿宋" w:hAnsi="仿宋" w:eastAsia="仿宋" w:cs="仿宋"/>
          <w:sz w:val="24"/>
          <w:szCs w:val="28"/>
          <w:highlight w:val="none"/>
        </w:rPr>
      </w:pPr>
      <w:r>
        <w:rPr>
          <w:rFonts w:hint="eastAsia" w:ascii="仿宋" w:hAnsi="仿宋" w:eastAsia="仿宋" w:cs="仿宋"/>
          <w:sz w:val="24"/>
          <w:szCs w:val="28"/>
          <w:highlight w:val="none"/>
        </w:rPr>
        <w:t>招标项目名称：</w:t>
      </w:r>
      <w:r>
        <w:rPr>
          <w:rFonts w:hint="eastAsia" w:ascii="Times New Roman" w:hAnsi="Times New Roman" w:eastAsia="方正仿宋_GBK" w:cs="Times New Roman"/>
          <w:b w:val="0"/>
          <w:color w:val="auto"/>
          <w:kern w:val="2"/>
          <w:sz w:val="24"/>
          <w:szCs w:val="24"/>
          <w:highlight w:val="none"/>
          <w:lang w:val="en-US" w:eastAsia="zh-CN" w:bidi="ar-SA"/>
        </w:rPr>
        <w:t>垫江县产业发展引导基金遴选基金管理人项目</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477"/>
        <w:gridCol w:w="1035"/>
        <w:gridCol w:w="2664"/>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trPr>
        <w:tc>
          <w:tcPr>
            <w:tcW w:w="1788" w:type="dxa"/>
            <w:noWrap w:val="0"/>
            <w:vAlign w:val="center"/>
          </w:tcPr>
          <w:p>
            <w:pPr>
              <w:shd w:val="clear" w:color="auto" w:fill="auto"/>
              <w:spacing w:line="500" w:lineRule="exact"/>
              <w:jc w:val="center"/>
              <w:rPr>
                <w:rFonts w:hint="eastAsia" w:ascii="仿宋" w:hAnsi="仿宋" w:eastAsia="仿宋"/>
                <w:sz w:val="21"/>
                <w:szCs w:val="28"/>
                <w:highlight w:val="none"/>
              </w:rPr>
            </w:pPr>
            <w:r>
              <w:rPr>
                <w:rFonts w:hint="eastAsia" w:ascii="仿宋" w:hAnsi="仿宋" w:eastAsia="仿宋"/>
                <w:sz w:val="21"/>
                <w:szCs w:val="28"/>
                <w:highlight w:val="none"/>
              </w:rPr>
              <w:t>投标人名称</w:t>
            </w:r>
          </w:p>
        </w:tc>
        <w:tc>
          <w:tcPr>
            <w:tcW w:w="7840" w:type="dxa"/>
            <w:gridSpan w:val="4"/>
            <w:noWrap w:val="0"/>
            <w:vAlign w:val="center"/>
          </w:tcPr>
          <w:p>
            <w:pPr>
              <w:shd w:val="clear" w:color="auto" w:fill="auto"/>
              <w:spacing w:line="500" w:lineRule="exact"/>
              <w:jc w:val="center"/>
              <w:rPr>
                <w:rFonts w:hint="eastAsia" w:ascii="仿宋" w:hAnsi="仿宋" w:eastAsia="仿宋"/>
                <w:sz w:val="21"/>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trPr>
        <w:tc>
          <w:tcPr>
            <w:tcW w:w="3265" w:type="dxa"/>
            <w:gridSpan w:val="2"/>
            <w:noWrap w:val="0"/>
            <w:vAlign w:val="center"/>
          </w:tcPr>
          <w:p>
            <w:pPr>
              <w:shd w:val="clear" w:color="auto" w:fill="auto"/>
              <w:spacing w:line="500" w:lineRule="exact"/>
              <w:jc w:val="center"/>
              <w:rPr>
                <w:rFonts w:hint="default" w:ascii="仿宋" w:hAnsi="仿宋" w:eastAsia="仿宋"/>
                <w:sz w:val="21"/>
                <w:szCs w:val="28"/>
                <w:highlight w:val="none"/>
                <w:lang w:val="en-US" w:eastAsia="zh-CN"/>
              </w:rPr>
            </w:pPr>
            <w:r>
              <w:rPr>
                <w:rFonts w:hint="eastAsia" w:ascii="仿宋" w:hAnsi="仿宋" w:eastAsia="仿宋"/>
                <w:sz w:val="21"/>
                <w:szCs w:val="28"/>
                <w:highlight w:val="none"/>
                <w:lang w:val="en-US" w:eastAsia="zh-CN"/>
              </w:rPr>
              <w:t>项目名称</w:t>
            </w:r>
          </w:p>
        </w:tc>
        <w:tc>
          <w:tcPr>
            <w:tcW w:w="1035" w:type="dxa"/>
            <w:noWrap w:val="0"/>
            <w:vAlign w:val="center"/>
          </w:tcPr>
          <w:p>
            <w:pPr>
              <w:shd w:val="clear" w:color="auto" w:fill="auto"/>
              <w:spacing w:line="500" w:lineRule="exact"/>
              <w:jc w:val="center"/>
              <w:rPr>
                <w:rFonts w:hint="eastAsia" w:ascii="仿宋" w:hAnsi="仿宋" w:eastAsia="仿宋"/>
                <w:sz w:val="21"/>
                <w:szCs w:val="28"/>
                <w:highlight w:val="none"/>
              </w:rPr>
            </w:pPr>
            <w:r>
              <w:rPr>
                <w:rFonts w:hint="eastAsia" w:ascii="仿宋" w:hAnsi="仿宋" w:eastAsia="仿宋"/>
                <w:sz w:val="21"/>
                <w:szCs w:val="28"/>
                <w:highlight w:val="none"/>
              </w:rPr>
              <w:t>数量</w:t>
            </w:r>
          </w:p>
        </w:tc>
        <w:tc>
          <w:tcPr>
            <w:tcW w:w="2664" w:type="dxa"/>
            <w:noWrap w:val="0"/>
            <w:vAlign w:val="center"/>
          </w:tcPr>
          <w:p>
            <w:pPr>
              <w:shd w:val="clear" w:color="auto" w:fill="auto"/>
              <w:spacing w:line="500" w:lineRule="exact"/>
              <w:jc w:val="center"/>
              <w:rPr>
                <w:rFonts w:hint="eastAsia" w:ascii="仿宋" w:hAnsi="仿宋" w:eastAsia="仿宋"/>
                <w:sz w:val="21"/>
                <w:szCs w:val="28"/>
                <w:highlight w:val="none"/>
              </w:rPr>
            </w:pPr>
            <w:r>
              <w:rPr>
                <w:rFonts w:hint="eastAsia" w:ascii="仿宋" w:hAnsi="仿宋" w:eastAsia="仿宋"/>
                <w:sz w:val="21"/>
                <w:szCs w:val="28"/>
                <w:highlight w:val="none"/>
                <w:lang w:eastAsia="zh-CN"/>
              </w:rPr>
              <w:t>投资期</w:t>
            </w:r>
            <w:r>
              <w:rPr>
                <w:rFonts w:hint="eastAsia" w:ascii="仿宋" w:hAnsi="仿宋" w:eastAsia="仿宋"/>
                <w:sz w:val="21"/>
                <w:szCs w:val="28"/>
                <w:highlight w:val="none"/>
              </w:rPr>
              <w:t>投标报</w:t>
            </w:r>
            <w:r>
              <w:rPr>
                <w:rFonts w:hint="eastAsia" w:ascii="仿宋" w:hAnsi="仿宋" w:eastAsia="仿宋"/>
                <w:sz w:val="21"/>
                <w:szCs w:val="28"/>
                <w:highlight w:val="none"/>
                <w:lang w:eastAsia="zh-CN"/>
              </w:rPr>
              <w:t>价（</w:t>
            </w:r>
            <w:r>
              <w:rPr>
                <w:rFonts w:hint="eastAsia" w:ascii="仿宋" w:hAnsi="仿宋" w:eastAsia="仿宋"/>
                <w:sz w:val="21"/>
                <w:szCs w:val="28"/>
                <w:highlight w:val="none"/>
                <w:u w:val="single"/>
                <w:lang w:val="en-US" w:eastAsia="zh-CN"/>
              </w:rPr>
              <w:t xml:space="preserve">   </w:t>
            </w:r>
            <w:r>
              <w:rPr>
                <w:rFonts w:hint="eastAsia" w:ascii="仿宋" w:hAnsi="仿宋" w:eastAsia="仿宋"/>
                <w:sz w:val="21"/>
                <w:szCs w:val="28"/>
                <w:highlight w:val="none"/>
                <w:lang w:val="en-US" w:eastAsia="zh-CN"/>
              </w:rPr>
              <w:t>%/年</w:t>
            </w:r>
            <w:r>
              <w:rPr>
                <w:rFonts w:hint="eastAsia" w:ascii="仿宋" w:hAnsi="仿宋" w:eastAsia="仿宋"/>
                <w:sz w:val="21"/>
                <w:szCs w:val="28"/>
                <w:highlight w:val="none"/>
              </w:rPr>
              <w:t>）</w:t>
            </w:r>
          </w:p>
        </w:tc>
        <w:tc>
          <w:tcPr>
            <w:tcW w:w="2664" w:type="dxa"/>
            <w:noWrap w:val="0"/>
            <w:vAlign w:val="center"/>
          </w:tcPr>
          <w:p>
            <w:pPr>
              <w:shd w:val="clear" w:color="auto" w:fill="auto"/>
              <w:spacing w:line="500" w:lineRule="exact"/>
              <w:jc w:val="center"/>
              <w:rPr>
                <w:rFonts w:hint="eastAsia" w:ascii="仿宋" w:hAnsi="仿宋" w:eastAsia="仿宋"/>
                <w:sz w:val="21"/>
                <w:szCs w:val="28"/>
                <w:highlight w:val="none"/>
                <w:lang w:eastAsia="zh-CN"/>
              </w:rPr>
            </w:pPr>
            <w:r>
              <w:rPr>
                <w:rFonts w:hint="eastAsia" w:ascii="仿宋" w:hAnsi="仿宋" w:eastAsia="仿宋"/>
                <w:sz w:val="21"/>
                <w:szCs w:val="28"/>
                <w:highlight w:val="none"/>
                <w:lang w:eastAsia="zh-CN"/>
              </w:rPr>
              <w:t>退出期</w:t>
            </w:r>
            <w:r>
              <w:rPr>
                <w:rFonts w:hint="eastAsia" w:ascii="仿宋" w:hAnsi="仿宋" w:eastAsia="仿宋"/>
                <w:sz w:val="21"/>
                <w:szCs w:val="28"/>
                <w:highlight w:val="none"/>
              </w:rPr>
              <w:t>投标报</w:t>
            </w:r>
            <w:r>
              <w:rPr>
                <w:rFonts w:hint="eastAsia" w:ascii="仿宋" w:hAnsi="仿宋" w:eastAsia="仿宋"/>
                <w:sz w:val="21"/>
                <w:szCs w:val="28"/>
                <w:highlight w:val="none"/>
                <w:lang w:eastAsia="zh-CN"/>
              </w:rPr>
              <w:t>价（</w:t>
            </w:r>
            <w:r>
              <w:rPr>
                <w:rFonts w:hint="eastAsia" w:ascii="仿宋" w:hAnsi="仿宋" w:eastAsia="仿宋"/>
                <w:sz w:val="21"/>
                <w:szCs w:val="28"/>
                <w:highlight w:val="none"/>
                <w:u w:val="single"/>
                <w:lang w:val="en-US" w:eastAsia="zh-CN"/>
              </w:rPr>
              <w:t xml:space="preserve">   </w:t>
            </w:r>
            <w:r>
              <w:rPr>
                <w:rFonts w:hint="eastAsia" w:ascii="仿宋" w:hAnsi="仿宋" w:eastAsia="仿宋"/>
                <w:sz w:val="21"/>
                <w:szCs w:val="28"/>
                <w:highlight w:val="none"/>
                <w:lang w:val="en-US" w:eastAsia="zh-CN"/>
              </w:rPr>
              <w:t>%/年</w:t>
            </w:r>
            <w:r>
              <w:rPr>
                <w:rFonts w:hint="eastAsia" w:ascii="仿宋" w:hAnsi="仿宋" w:eastAsia="仿宋"/>
                <w:sz w:val="21"/>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trPr>
        <w:tc>
          <w:tcPr>
            <w:tcW w:w="3265" w:type="dxa"/>
            <w:gridSpan w:val="2"/>
            <w:tcBorders>
              <w:bottom w:val="single" w:color="auto" w:sz="4" w:space="0"/>
            </w:tcBorders>
            <w:noWrap w:val="0"/>
            <w:vAlign w:val="center"/>
          </w:tcPr>
          <w:p>
            <w:pPr>
              <w:shd w:val="clear" w:color="auto" w:fill="auto"/>
              <w:spacing w:line="500" w:lineRule="exact"/>
              <w:jc w:val="center"/>
              <w:rPr>
                <w:rFonts w:hint="eastAsia" w:ascii="仿宋" w:hAnsi="仿宋" w:eastAsia="仿宋"/>
                <w:sz w:val="21"/>
                <w:szCs w:val="28"/>
                <w:highlight w:val="none"/>
              </w:rPr>
            </w:pPr>
            <w:r>
              <w:rPr>
                <w:rFonts w:hint="eastAsia" w:ascii="Times New Roman" w:hAnsi="Times New Roman" w:eastAsia="方正仿宋_GBK" w:cs="Times New Roman"/>
                <w:b w:val="0"/>
                <w:color w:val="auto"/>
                <w:kern w:val="2"/>
                <w:sz w:val="24"/>
                <w:szCs w:val="24"/>
                <w:highlight w:val="none"/>
                <w:lang w:val="en-US" w:eastAsia="zh-CN" w:bidi="ar-SA"/>
              </w:rPr>
              <w:t>垫江县产业发展引导基金遴选基金管理人项目</w:t>
            </w:r>
          </w:p>
        </w:tc>
        <w:tc>
          <w:tcPr>
            <w:tcW w:w="1035" w:type="dxa"/>
            <w:tcBorders>
              <w:bottom w:val="single" w:color="auto" w:sz="4" w:space="0"/>
            </w:tcBorders>
            <w:noWrap w:val="0"/>
            <w:vAlign w:val="center"/>
          </w:tcPr>
          <w:p>
            <w:pPr>
              <w:shd w:val="clear" w:color="auto" w:fill="auto"/>
              <w:spacing w:line="500" w:lineRule="exact"/>
              <w:jc w:val="center"/>
              <w:rPr>
                <w:rFonts w:hint="eastAsia" w:ascii="仿宋" w:hAnsi="仿宋" w:eastAsia="仿宋"/>
                <w:sz w:val="21"/>
                <w:szCs w:val="28"/>
                <w:highlight w:val="none"/>
                <w:lang w:val="en-US" w:eastAsia="zh-CN"/>
              </w:rPr>
            </w:pPr>
            <w:r>
              <w:rPr>
                <w:rFonts w:hint="default" w:ascii="仿宋" w:hAnsi="仿宋" w:eastAsia="仿宋"/>
                <w:sz w:val="21"/>
                <w:szCs w:val="28"/>
                <w:highlight w:val="none"/>
                <w:lang w:val="en-US"/>
              </w:rPr>
              <w:t>1</w:t>
            </w:r>
            <w:r>
              <w:rPr>
                <w:rFonts w:hint="eastAsia" w:ascii="仿宋" w:hAnsi="仿宋" w:eastAsia="仿宋"/>
                <w:sz w:val="21"/>
                <w:szCs w:val="28"/>
                <w:highlight w:val="none"/>
                <w:lang w:val="en-US" w:eastAsia="zh-CN"/>
              </w:rPr>
              <w:t>项</w:t>
            </w:r>
          </w:p>
        </w:tc>
        <w:tc>
          <w:tcPr>
            <w:tcW w:w="2664" w:type="dxa"/>
            <w:tcBorders>
              <w:bottom w:val="single" w:color="auto" w:sz="4" w:space="0"/>
            </w:tcBorders>
            <w:noWrap w:val="0"/>
            <w:vAlign w:val="top"/>
          </w:tcPr>
          <w:p>
            <w:pPr>
              <w:shd w:val="clear" w:color="auto" w:fill="auto"/>
              <w:spacing w:line="500" w:lineRule="exact"/>
              <w:rPr>
                <w:rFonts w:hint="eastAsia" w:ascii="仿宋" w:hAnsi="仿宋" w:eastAsia="仿宋"/>
                <w:sz w:val="21"/>
                <w:szCs w:val="28"/>
                <w:highlight w:val="none"/>
              </w:rPr>
            </w:pPr>
          </w:p>
        </w:tc>
        <w:tc>
          <w:tcPr>
            <w:tcW w:w="2664" w:type="dxa"/>
            <w:tcBorders>
              <w:bottom w:val="single" w:color="auto" w:sz="4" w:space="0"/>
            </w:tcBorders>
            <w:noWrap w:val="0"/>
            <w:vAlign w:val="top"/>
          </w:tcPr>
          <w:p>
            <w:pPr>
              <w:shd w:val="clear" w:color="auto" w:fill="auto"/>
              <w:spacing w:line="500" w:lineRule="exact"/>
              <w:rPr>
                <w:rFonts w:hint="eastAsia" w:ascii="仿宋" w:hAnsi="仿宋" w:eastAsia="仿宋"/>
                <w:sz w:val="21"/>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9628" w:type="dxa"/>
            <w:gridSpan w:val="5"/>
            <w:noWrap w:val="0"/>
            <w:vAlign w:val="center"/>
          </w:tcPr>
          <w:p>
            <w:pPr>
              <w:pStyle w:val="33"/>
              <w:shd w:val="clear" w:color="auto" w:fill="auto"/>
              <w:spacing w:line="500" w:lineRule="exact"/>
              <w:rPr>
                <w:rFonts w:hint="eastAsia" w:ascii="仿宋" w:hAnsi="仿宋" w:eastAsia="仿宋"/>
                <w:sz w:val="21"/>
                <w:szCs w:val="28"/>
                <w:highlight w:val="none"/>
                <w:lang w:val="en-US" w:eastAsia="zh-CN"/>
              </w:rPr>
            </w:pPr>
            <w:r>
              <w:rPr>
                <w:rFonts w:hint="eastAsia" w:ascii="仿宋" w:hAnsi="仿宋" w:eastAsia="仿宋"/>
                <w:sz w:val="21"/>
                <w:szCs w:val="28"/>
                <w:highlight w:val="none"/>
                <w:lang w:val="en-US" w:eastAsia="zh-CN"/>
              </w:rPr>
              <w:t>备注：</w:t>
            </w:r>
            <w:r>
              <w:rPr>
                <w:rFonts w:hint="eastAsia" w:ascii="Times New Roman" w:hAnsi="Times New Roman" w:eastAsia="仿宋" w:cs="Times New Roman"/>
                <w:color w:val="auto"/>
                <w:sz w:val="24"/>
                <w:szCs w:val="24"/>
                <w:highlight w:val="none"/>
                <w:lang w:val="en-US" w:eastAsia="zh-CN"/>
              </w:rPr>
              <w:t>投资期基金管理费以基金实缴出资总额为计算基数，退出期基金管理费以基金实缴出资总额扣除已退出项目投资本金的余额为计算基数。</w:t>
            </w:r>
          </w:p>
        </w:tc>
      </w:tr>
    </w:tbl>
    <w:p>
      <w:pPr>
        <w:pStyle w:val="33"/>
        <w:shd w:val="clear" w:color="auto" w:fill="auto"/>
        <w:spacing w:line="500" w:lineRule="exact"/>
        <w:rPr>
          <w:rFonts w:hint="eastAsia" w:ascii="仿宋" w:hAnsi="仿宋" w:eastAsia="仿宋" w:cs="仿宋"/>
          <w:sz w:val="24"/>
          <w:szCs w:val="28"/>
          <w:highlight w:val="none"/>
        </w:rPr>
      </w:pPr>
    </w:p>
    <w:p>
      <w:pPr>
        <w:shd w:val="clear"/>
        <w:rPr>
          <w:rFonts w:hint="eastAsia" w:ascii="仿宋" w:hAnsi="仿宋" w:eastAsia="仿宋" w:cs="仿宋"/>
          <w:highlight w:val="none"/>
        </w:rPr>
      </w:pPr>
    </w:p>
    <w:p>
      <w:pPr>
        <w:shd w:val="clear"/>
        <w:spacing w:line="500" w:lineRule="exact"/>
        <w:rPr>
          <w:rFonts w:hint="eastAsia" w:ascii="仿宋" w:hAnsi="仿宋" w:eastAsia="仿宋" w:cs="仿宋"/>
          <w:sz w:val="24"/>
          <w:szCs w:val="28"/>
          <w:highlight w:val="none"/>
        </w:rPr>
      </w:pPr>
    </w:p>
    <w:p>
      <w:pPr>
        <w:shd w:val="clear"/>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投标人                         法定代表人（或法定代表人授权代表）或自然人：</w:t>
      </w:r>
    </w:p>
    <w:p>
      <w:pPr>
        <w:shd w:val="clear"/>
        <w:spacing w:line="500" w:lineRule="exact"/>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  （投标人公章）                               （签字或盖章）</w:t>
      </w:r>
    </w:p>
    <w:p>
      <w:pPr>
        <w:shd w:val="clear"/>
        <w:spacing w:line="500" w:lineRule="exact"/>
        <w:rPr>
          <w:rFonts w:hint="eastAsia" w:ascii="仿宋" w:hAnsi="仿宋" w:eastAsia="仿宋" w:cs="仿宋"/>
          <w:sz w:val="24"/>
          <w:szCs w:val="28"/>
          <w:highlight w:val="none"/>
        </w:rPr>
      </w:pPr>
    </w:p>
    <w:p>
      <w:pPr>
        <w:shd w:val="clear"/>
        <w:spacing w:line="500" w:lineRule="exact"/>
        <w:rPr>
          <w:rFonts w:hint="eastAsia" w:ascii="仿宋" w:hAnsi="仿宋" w:eastAsia="仿宋" w:cs="仿宋"/>
          <w:sz w:val="24"/>
          <w:szCs w:val="28"/>
          <w:highlight w:val="none"/>
        </w:rPr>
      </w:pPr>
    </w:p>
    <w:p>
      <w:pPr>
        <w:shd w:val="clear"/>
        <w:spacing w:line="500" w:lineRule="exact"/>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                                            年     月     日</w:t>
      </w:r>
    </w:p>
    <w:p>
      <w:pPr>
        <w:shd w:val="clear"/>
        <w:snapToGrid w:val="0"/>
        <w:spacing w:line="500" w:lineRule="exact"/>
        <w:ind w:firstLine="480" w:firstLineChars="200"/>
        <w:rPr>
          <w:rFonts w:hint="eastAsia" w:ascii="仿宋" w:hAnsi="仿宋" w:eastAsia="仿宋" w:cs="仿宋"/>
          <w:sz w:val="24"/>
          <w:szCs w:val="28"/>
          <w:highlight w:val="none"/>
        </w:rPr>
      </w:pPr>
    </w:p>
    <w:p>
      <w:pPr>
        <w:shd w:val="clear"/>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说明：</w:t>
      </w:r>
    </w:p>
    <w:p>
      <w:pPr>
        <w:shd w:val="clear"/>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1.开标一览表按格式填列；</w:t>
      </w:r>
    </w:p>
    <w:p>
      <w:pPr>
        <w:shd w:val="clear"/>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2.开标一览表在开标大会上当众宣读，务必填写清楚，准确无误；</w:t>
      </w:r>
    </w:p>
    <w:p>
      <w:pPr>
        <w:shd w:val="clear"/>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3.若以联合体参与投标的，应在“投标人名称”处注明所有联合体名称。“投标人”处至少应加盖联合体主办方（主体）公章。</w:t>
      </w:r>
    </w:p>
    <w:p>
      <w:pPr>
        <w:keepNext w:val="0"/>
        <w:keepLines w:val="0"/>
        <w:pageBreakBefore w:val="0"/>
        <w:widowControl w:val="0"/>
        <w:shd w:val="clear"/>
        <w:kinsoku/>
        <w:wordWrap/>
        <w:overflowPunct/>
        <w:topLinePunct w:val="0"/>
        <w:autoSpaceDE/>
        <w:autoSpaceDN/>
        <w:bidi w:val="0"/>
        <w:adjustRightInd/>
        <w:snapToGrid w:val="0"/>
        <w:spacing w:line="400" w:lineRule="exact"/>
        <w:jc w:val="left"/>
        <w:textAlignment w:val="auto"/>
        <w:rPr>
          <w:rFonts w:hint="eastAsia" w:ascii="仿宋" w:hAnsi="仿宋" w:eastAsia="仿宋" w:cs="仿宋"/>
          <w:b w:val="0"/>
          <w:bCs w:val="0"/>
          <w:sz w:val="24"/>
          <w:szCs w:val="24"/>
          <w:highlight w:val="none"/>
        </w:rPr>
      </w:pPr>
      <w:r>
        <w:rPr>
          <w:rFonts w:hint="eastAsia" w:ascii="仿宋" w:hAnsi="仿宋" w:eastAsia="仿宋" w:cs="仿宋"/>
          <w:szCs w:val="28"/>
          <w:highlight w:val="none"/>
        </w:rPr>
        <w:br w:type="page"/>
      </w:r>
    </w:p>
    <w:p>
      <w:pPr>
        <w:keepNext w:val="0"/>
        <w:keepLines w:val="0"/>
        <w:pageBreakBefore w:val="0"/>
        <w:widowControl w:val="0"/>
        <w:shd w:val="clear"/>
        <w:kinsoku/>
        <w:wordWrap/>
        <w:overflowPunct/>
        <w:topLinePunct w:val="0"/>
        <w:autoSpaceDE/>
        <w:autoSpaceDN/>
        <w:bidi w:val="0"/>
        <w:adjustRightInd/>
        <w:snapToGrid w:val="0"/>
        <w:spacing w:line="400" w:lineRule="exact"/>
        <w:jc w:val="left"/>
        <w:textAlignment w:val="auto"/>
        <w:rPr>
          <w:rFonts w:hint="eastAsia" w:ascii="仿宋" w:hAnsi="仿宋" w:eastAsia="仿宋" w:cs="仿宋"/>
          <w:b w:val="0"/>
          <w:bCs w:val="0"/>
          <w:sz w:val="24"/>
          <w:szCs w:val="24"/>
          <w:highlight w:val="none"/>
        </w:rPr>
      </w:pPr>
    </w:p>
    <w:p>
      <w:pPr>
        <w:pStyle w:val="5"/>
        <w:spacing w:before="0" w:after="0" w:line="360" w:lineRule="auto"/>
        <w:jc w:val="both"/>
        <w:rPr>
          <w:rFonts w:hint="default" w:ascii="Times New Roman" w:hAnsi="Times New Roman" w:eastAsia="方正仿宋_GBK" w:cs="Times New Roman"/>
          <w:color w:val="auto"/>
          <w:sz w:val="24"/>
          <w:szCs w:val="24"/>
          <w:highlight w:val="none"/>
        </w:rPr>
      </w:pPr>
      <w:bookmarkStart w:id="92" w:name="_Toc313888361"/>
      <w:bookmarkStart w:id="93" w:name="_Toc313008357"/>
      <w:bookmarkStart w:id="94" w:name="_Toc11250"/>
      <w:bookmarkStart w:id="95" w:name="_Toc342913420"/>
      <w:r>
        <w:rPr>
          <w:rFonts w:hint="default" w:ascii="Times New Roman" w:hAnsi="Times New Roman" w:eastAsia="方正仿宋_GBK" w:cs="Times New Roman"/>
          <w:color w:val="auto"/>
          <w:sz w:val="24"/>
          <w:szCs w:val="24"/>
          <w:highlight w:val="none"/>
        </w:rPr>
        <w:t>二、</w:t>
      </w:r>
      <w:r>
        <w:rPr>
          <w:rFonts w:hint="eastAsia" w:ascii="Times New Roman" w:hAnsi="Times New Roman" w:eastAsia="方正仿宋_GBK" w:cs="Times New Roman"/>
          <w:color w:val="auto"/>
          <w:sz w:val="24"/>
          <w:szCs w:val="24"/>
          <w:highlight w:val="none"/>
          <w:lang w:eastAsia="zh-CN"/>
        </w:rPr>
        <w:t>技术文件</w:t>
      </w:r>
      <w:bookmarkEnd w:id="92"/>
      <w:bookmarkEnd w:id="93"/>
      <w:bookmarkEnd w:id="94"/>
      <w:bookmarkEnd w:id="95"/>
    </w:p>
    <w:p>
      <w:pPr>
        <w:snapToGrid w:val="0"/>
        <w:spacing w:line="360" w:lineRule="auto"/>
        <w:ind w:firstLine="1920" w:firstLineChars="800"/>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（一）服务方案（格式自定）</w:t>
      </w:r>
    </w:p>
    <w:p>
      <w:pPr>
        <w:shd w:val="clear"/>
        <w:tabs>
          <w:tab w:val="left" w:pos="6300"/>
        </w:tabs>
        <w:snapToGrid w:val="0"/>
        <w:spacing w:line="500" w:lineRule="exact"/>
        <w:ind w:firstLine="570"/>
        <w:rPr>
          <w:rFonts w:hint="eastAsia" w:ascii="仿宋" w:hAnsi="仿宋" w:eastAsia="仿宋" w:cs="仿宋"/>
          <w:sz w:val="24"/>
          <w:szCs w:val="24"/>
          <w:highlight w:val="none"/>
        </w:rPr>
      </w:pPr>
    </w:p>
    <w:p>
      <w:pPr>
        <w:shd w:val="clear"/>
        <w:tabs>
          <w:tab w:val="left" w:pos="6300"/>
        </w:tabs>
        <w:snapToGrid w:val="0"/>
        <w:spacing w:line="40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sz w:val="24"/>
          <w:szCs w:val="24"/>
          <w:highlight w:val="none"/>
        </w:rPr>
        <w:t>（二）服务项目条款差异表</w:t>
      </w:r>
    </w:p>
    <w:p>
      <w:pPr>
        <w:pStyle w:val="33"/>
        <w:shd w:val="clear"/>
        <w:tabs>
          <w:tab w:val="left" w:pos="6300"/>
        </w:tabs>
        <w:snapToGrid w:val="0"/>
        <w:spacing w:line="400" w:lineRule="exact"/>
        <w:ind w:firstLine="480" w:firstLineChars="200"/>
        <w:outlineLvl w:val="0"/>
        <w:rPr>
          <w:rFonts w:hint="eastAsia" w:ascii="仿宋" w:hAnsi="仿宋" w:eastAsia="仿宋" w:cs="仿宋"/>
          <w:sz w:val="24"/>
          <w:highlight w:val="none"/>
        </w:rPr>
      </w:pPr>
      <w:r>
        <w:rPr>
          <w:rFonts w:hint="eastAsia" w:ascii="仿宋" w:hAnsi="仿宋" w:eastAsia="仿宋" w:cs="仿宋"/>
          <w:sz w:val="24"/>
          <w:highlight w:val="none"/>
        </w:rPr>
        <w:t>采购项目名称：</w:t>
      </w:r>
    </w:p>
    <w:tbl>
      <w:tblPr>
        <w:tblStyle w:val="57"/>
        <w:tblW w:w="78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39" w:type="dxa"/>
            <w:noWrap w:val="0"/>
            <w:vAlign w:val="center"/>
          </w:tcPr>
          <w:p>
            <w:pPr>
              <w:shd w:val="clear"/>
              <w:tabs>
                <w:tab w:val="left" w:pos="6300"/>
              </w:tabs>
              <w:snapToGrid w:val="0"/>
              <w:spacing w:line="400" w:lineRule="exact"/>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2428" w:type="dxa"/>
            <w:noWrap w:val="0"/>
            <w:vAlign w:val="center"/>
          </w:tcPr>
          <w:p>
            <w:pPr>
              <w:shd w:val="clear"/>
              <w:tabs>
                <w:tab w:val="left" w:pos="6300"/>
              </w:tabs>
              <w:snapToGrid w:val="0"/>
              <w:spacing w:line="400" w:lineRule="exact"/>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招标要求</w:t>
            </w:r>
          </w:p>
        </w:tc>
        <w:tc>
          <w:tcPr>
            <w:tcW w:w="2520" w:type="dxa"/>
            <w:noWrap w:val="0"/>
            <w:vAlign w:val="center"/>
          </w:tcPr>
          <w:p>
            <w:pPr>
              <w:shd w:val="clear"/>
              <w:tabs>
                <w:tab w:val="left" w:pos="6300"/>
              </w:tabs>
              <w:snapToGrid w:val="0"/>
              <w:spacing w:line="400" w:lineRule="exact"/>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投标应答</w:t>
            </w:r>
          </w:p>
        </w:tc>
        <w:tc>
          <w:tcPr>
            <w:tcW w:w="1888" w:type="dxa"/>
            <w:noWrap w:val="0"/>
            <w:vAlign w:val="center"/>
          </w:tcPr>
          <w:p>
            <w:pPr>
              <w:shd w:val="clear"/>
              <w:tabs>
                <w:tab w:val="left" w:pos="6300"/>
              </w:tabs>
              <w:snapToGrid w:val="0"/>
              <w:spacing w:line="400" w:lineRule="exact"/>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noWrap w:val="0"/>
            <w:vAlign w:val="center"/>
          </w:tcPr>
          <w:p>
            <w:pPr>
              <w:shd w:val="clear"/>
              <w:tabs>
                <w:tab w:val="left" w:pos="6300"/>
              </w:tabs>
              <w:snapToGrid w:val="0"/>
              <w:spacing w:line="400" w:lineRule="exact"/>
              <w:jc w:val="center"/>
              <w:outlineLvl w:val="0"/>
              <w:rPr>
                <w:rFonts w:hint="eastAsia" w:ascii="仿宋" w:hAnsi="仿宋" w:eastAsia="仿宋" w:cs="仿宋"/>
                <w:sz w:val="21"/>
                <w:szCs w:val="21"/>
                <w:highlight w:val="none"/>
              </w:rPr>
            </w:pPr>
          </w:p>
        </w:tc>
        <w:tc>
          <w:tcPr>
            <w:tcW w:w="2428" w:type="dxa"/>
            <w:noWrap w:val="0"/>
            <w:vAlign w:val="center"/>
          </w:tcPr>
          <w:p>
            <w:pPr>
              <w:shd w:val="clear"/>
              <w:tabs>
                <w:tab w:val="left" w:pos="6300"/>
              </w:tabs>
              <w:snapToGrid w:val="0"/>
              <w:spacing w:line="400" w:lineRule="exact"/>
              <w:jc w:val="center"/>
              <w:outlineLvl w:val="0"/>
              <w:rPr>
                <w:rFonts w:hint="eastAsia" w:ascii="仿宋" w:hAnsi="仿宋" w:eastAsia="仿宋" w:cs="仿宋"/>
                <w:sz w:val="21"/>
                <w:szCs w:val="21"/>
                <w:highlight w:val="none"/>
              </w:rPr>
            </w:pPr>
          </w:p>
        </w:tc>
        <w:tc>
          <w:tcPr>
            <w:tcW w:w="2520" w:type="dxa"/>
            <w:noWrap w:val="0"/>
            <w:vAlign w:val="center"/>
          </w:tcPr>
          <w:p>
            <w:pPr>
              <w:shd w:val="clear"/>
              <w:tabs>
                <w:tab w:val="left" w:pos="6300"/>
              </w:tabs>
              <w:snapToGrid w:val="0"/>
              <w:spacing w:line="400" w:lineRule="exact"/>
              <w:jc w:val="center"/>
              <w:outlineLvl w:val="0"/>
              <w:rPr>
                <w:rFonts w:hint="eastAsia" w:ascii="仿宋" w:hAnsi="仿宋" w:eastAsia="仿宋" w:cs="仿宋"/>
                <w:sz w:val="21"/>
                <w:szCs w:val="21"/>
                <w:highlight w:val="none"/>
              </w:rPr>
            </w:pPr>
          </w:p>
        </w:tc>
        <w:tc>
          <w:tcPr>
            <w:tcW w:w="1888" w:type="dxa"/>
            <w:noWrap w:val="0"/>
            <w:vAlign w:val="center"/>
          </w:tcPr>
          <w:p>
            <w:pPr>
              <w:shd w:val="clear"/>
              <w:tabs>
                <w:tab w:val="left" w:pos="6300"/>
              </w:tabs>
              <w:snapToGrid w:val="0"/>
              <w:spacing w:line="400" w:lineRule="exact"/>
              <w:jc w:val="center"/>
              <w:outlineLvl w:val="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noWrap w:val="0"/>
            <w:vAlign w:val="center"/>
          </w:tcPr>
          <w:p>
            <w:pPr>
              <w:shd w:val="clear"/>
              <w:tabs>
                <w:tab w:val="left" w:pos="6300"/>
              </w:tabs>
              <w:snapToGrid w:val="0"/>
              <w:spacing w:line="400" w:lineRule="exact"/>
              <w:jc w:val="center"/>
              <w:outlineLvl w:val="0"/>
              <w:rPr>
                <w:rFonts w:hint="eastAsia" w:ascii="仿宋" w:hAnsi="仿宋" w:eastAsia="仿宋" w:cs="仿宋"/>
                <w:sz w:val="21"/>
                <w:szCs w:val="21"/>
                <w:highlight w:val="none"/>
              </w:rPr>
            </w:pPr>
          </w:p>
        </w:tc>
        <w:tc>
          <w:tcPr>
            <w:tcW w:w="2428" w:type="dxa"/>
            <w:noWrap w:val="0"/>
            <w:vAlign w:val="center"/>
          </w:tcPr>
          <w:p>
            <w:pPr>
              <w:shd w:val="clear"/>
              <w:tabs>
                <w:tab w:val="left" w:pos="6300"/>
              </w:tabs>
              <w:snapToGrid w:val="0"/>
              <w:spacing w:line="400" w:lineRule="exact"/>
              <w:jc w:val="center"/>
              <w:outlineLvl w:val="0"/>
              <w:rPr>
                <w:rFonts w:hint="eastAsia" w:ascii="仿宋" w:hAnsi="仿宋" w:eastAsia="仿宋" w:cs="仿宋"/>
                <w:sz w:val="21"/>
                <w:szCs w:val="21"/>
                <w:highlight w:val="none"/>
              </w:rPr>
            </w:pPr>
          </w:p>
        </w:tc>
        <w:tc>
          <w:tcPr>
            <w:tcW w:w="2520" w:type="dxa"/>
            <w:noWrap w:val="0"/>
            <w:vAlign w:val="center"/>
          </w:tcPr>
          <w:p>
            <w:pPr>
              <w:shd w:val="clear"/>
              <w:tabs>
                <w:tab w:val="left" w:pos="6300"/>
              </w:tabs>
              <w:snapToGrid w:val="0"/>
              <w:spacing w:line="400" w:lineRule="exact"/>
              <w:jc w:val="center"/>
              <w:outlineLvl w:val="0"/>
              <w:rPr>
                <w:rFonts w:hint="eastAsia" w:ascii="仿宋" w:hAnsi="仿宋" w:eastAsia="仿宋" w:cs="仿宋"/>
                <w:sz w:val="21"/>
                <w:szCs w:val="21"/>
                <w:highlight w:val="none"/>
              </w:rPr>
            </w:pPr>
          </w:p>
        </w:tc>
        <w:tc>
          <w:tcPr>
            <w:tcW w:w="1888" w:type="dxa"/>
            <w:noWrap w:val="0"/>
            <w:vAlign w:val="center"/>
          </w:tcPr>
          <w:p>
            <w:pPr>
              <w:shd w:val="clear"/>
              <w:tabs>
                <w:tab w:val="left" w:pos="6300"/>
              </w:tabs>
              <w:snapToGrid w:val="0"/>
              <w:spacing w:line="400" w:lineRule="exact"/>
              <w:jc w:val="center"/>
              <w:outlineLvl w:val="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noWrap w:val="0"/>
            <w:vAlign w:val="center"/>
          </w:tcPr>
          <w:p>
            <w:pPr>
              <w:shd w:val="clear"/>
              <w:tabs>
                <w:tab w:val="left" w:pos="6300"/>
              </w:tabs>
              <w:snapToGrid w:val="0"/>
              <w:spacing w:line="400" w:lineRule="exact"/>
              <w:jc w:val="center"/>
              <w:outlineLvl w:val="0"/>
              <w:rPr>
                <w:rFonts w:hint="eastAsia" w:ascii="仿宋" w:hAnsi="仿宋" w:eastAsia="仿宋" w:cs="仿宋"/>
                <w:sz w:val="21"/>
                <w:szCs w:val="21"/>
                <w:highlight w:val="none"/>
              </w:rPr>
            </w:pPr>
          </w:p>
        </w:tc>
        <w:tc>
          <w:tcPr>
            <w:tcW w:w="2428" w:type="dxa"/>
            <w:noWrap w:val="0"/>
            <w:vAlign w:val="center"/>
          </w:tcPr>
          <w:p>
            <w:pPr>
              <w:shd w:val="clear"/>
              <w:tabs>
                <w:tab w:val="left" w:pos="6300"/>
              </w:tabs>
              <w:snapToGrid w:val="0"/>
              <w:spacing w:line="400" w:lineRule="exact"/>
              <w:jc w:val="center"/>
              <w:outlineLvl w:val="0"/>
              <w:rPr>
                <w:rFonts w:hint="eastAsia" w:ascii="仿宋" w:hAnsi="仿宋" w:eastAsia="仿宋" w:cs="仿宋"/>
                <w:sz w:val="21"/>
                <w:szCs w:val="21"/>
                <w:highlight w:val="none"/>
              </w:rPr>
            </w:pPr>
          </w:p>
        </w:tc>
        <w:tc>
          <w:tcPr>
            <w:tcW w:w="2520" w:type="dxa"/>
            <w:noWrap w:val="0"/>
            <w:vAlign w:val="center"/>
          </w:tcPr>
          <w:p>
            <w:pPr>
              <w:shd w:val="clear"/>
              <w:tabs>
                <w:tab w:val="left" w:pos="6300"/>
              </w:tabs>
              <w:snapToGrid w:val="0"/>
              <w:spacing w:line="400" w:lineRule="exact"/>
              <w:jc w:val="center"/>
              <w:outlineLvl w:val="0"/>
              <w:rPr>
                <w:rFonts w:hint="eastAsia" w:ascii="仿宋" w:hAnsi="仿宋" w:eastAsia="仿宋" w:cs="仿宋"/>
                <w:sz w:val="21"/>
                <w:szCs w:val="21"/>
                <w:highlight w:val="none"/>
              </w:rPr>
            </w:pPr>
          </w:p>
        </w:tc>
        <w:tc>
          <w:tcPr>
            <w:tcW w:w="1888" w:type="dxa"/>
            <w:noWrap w:val="0"/>
            <w:vAlign w:val="center"/>
          </w:tcPr>
          <w:p>
            <w:pPr>
              <w:shd w:val="clear"/>
              <w:tabs>
                <w:tab w:val="left" w:pos="6300"/>
              </w:tabs>
              <w:snapToGrid w:val="0"/>
              <w:spacing w:line="400" w:lineRule="exact"/>
              <w:jc w:val="center"/>
              <w:outlineLvl w:val="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noWrap w:val="0"/>
            <w:vAlign w:val="center"/>
          </w:tcPr>
          <w:p>
            <w:pPr>
              <w:shd w:val="clear"/>
              <w:tabs>
                <w:tab w:val="left" w:pos="6300"/>
              </w:tabs>
              <w:snapToGrid w:val="0"/>
              <w:spacing w:line="400" w:lineRule="exact"/>
              <w:jc w:val="center"/>
              <w:outlineLvl w:val="0"/>
              <w:rPr>
                <w:rFonts w:hint="eastAsia" w:ascii="仿宋" w:hAnsi="仿宋" w:eastAsia="仿宋" w:cs="仿宋"/>
                <w:sz w:val="21"/>
                <w:szCs w:val="21"/>
                <w:highlight w:val="none"/>
              </w:rPr>
            </w:pPr>
          </w:p>
        </w:tc>
        <w:tc>
          <w:tcPr>
            <w:tcW w:w="2428" w:type="dxa"/>
            <w:noWrap w:val="0"/>
            <w:vAlign w:val="center"/>
          </w:tcPr>
          <w:p>
            <w:pPr>
              <w:shd w:val="clear"/>
              <w:tabs>
                <w:tab w:val="left" w:pos="6300"/>
              </w:tabs>
              <w:snapToGrid w:val="0"/>
              <w:spacing w:line="400" w:lineRule="exact"/>
              <w:jc w:val="center"/>
              <w:outlineLvl w:val="0"/>
              <w:rPr>
                <w:rFonts w:hint="eastAsia" w:ascii="仿宋" w:hAnsi="仿宋" w:eastAsia="仿宋" w:cs="仿宋"/>
                <w:sz w:val="21"/>
                <w:szCs w:val="21"/>
                <w:highlight w:val="none"/>
              </w:rPr>
            </w:pPr>
          </w:p>
        </w:tc>
        <w:tc>
          <w:tcPr>
            <w:tcW w:w="2520" w:type="dxa"/>
            <w:noWrap w:val="0"/>
            <w:vAlign w:val="center"/>
          </w:tcPr>
          <w:p>
            <w:pPr>
              <w:shd w:val="clear"/>
              <w:tabs>
                <w:tab w:val="left" w:pos="6300"/>
              </w:tabs>
              <w:snapToGrid w:val="0"/>
              <w:spacing w:line="400" w:lineRule="exact"/>
              <w:jc w:val="center"/>
              <w:outlineLvl w:val="0"/>
              <w:rPr>
                <w:rFonts w:hint="eastAsia" w:ascii="仿宋" w:hAnsi="仿宋" w:eastAsia="仿宋" w:cs="仿宋"/>
                <w:sz w:val="21"/>
                <w:szCs w:val="21"/>
                <w:highlight w:val="none"/>
              </w:rPr>
            </w:pPr>
          </w:p>
        </w:tc>
        <w:tc>
          <w:tcPr>
            <w:tcW w:w="1888" w:type="dxa"/>
            <w:noWrap w:val="0"/>
            <w:vAlign w:val="center"/>
          </w:tcPr>
          <w:p>
            <w:pPr>
              <w:shd w:val="clear"/>
              <w:tabs>
                <w:tab w:val="left" w:pos="6300"/>
              </w:tabs>
              <w:snapToGrid w:val="0"/>
              <w:spacing w:line="400" w:lineRule="exact"/>
              <w:jc w:val="center"/>
              <w:outlineLvl w:val="0"/>
              <w:rPr>
                <w:rFonts w:hint="eastAsia" w:ascii="仿宋" w:hAnsi="仿宋" w:eastAsia="仿宋" w:cs="仿宋"/>
                <w:sz w:val="21"/>
                <w:szCs w:val="21"/>
                <w:highlight w:val="none"/>
              </w:rPr>
            </w:pPr>
          </w:p>
        </w:tc>
      </w:tr>
    </w:tbl>
    <w:p>
      <w:pPr>
        <w:shd w:val="clear"/>
        <w:tabs>
          <w:tab w:val="left" w:pos="6300"/>
        </w:tabs>
        <w:snapToGrid w:val="0"/>
        <w:spacing w:line="500" w:lineRule="exact"/>
        <w:ind w:firstLine="570"/>
        <w:rPr>
          <w:rFonts w:hint="eastAsia" w:ascii="仿宋" w:hAnsi="仿宋" w:eastAsia="仿宋" w:cs="仿宋"/>
          <w:sz w:val="24"/>
          <w:szCs w:val="28"/>
          <w:highlight w:val="none"/>
        </w:rPr>
      </w:pPr>
      <w:r>
        <w:rPr>
          <w:rFonts w:hint="eastAsia" w:ascii="仿宋" w:hAnsi="仿宋" w:eastAsia="仿宋" w:cs="仿宋"/>
          <w:sz w:val="24"/>
          <w:szCs w:val="28"/>
          <w:highlight w:val="none"/>
        </w:rPr>
        <w:t>投标人：                       法定代表人（或法定代表人授权代表）或自然人：</w:t>
      </w:r>
    </w:p>
    <w:p>
      <w:pPr>
        <w:shd w:val="clear"/>
        <w:spacing w:line="500" w:lineRule="exact"/>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    </w:t>
      </w:r>
    </w:p>
    <w:p>
      <w:pPr>
        <w:shd w:val="clear"/>
        <w:spacing w:line="500" w:lineRule="exact"/>
        <w:ind w:firstLine="720" w:firstLineChars="300"/>
        <w:rPr>
          <w:rFonts w:hint="eastAsia" w:ascii="仿宋" w:hAnsi="仿宋" w:eastAsia="仿宋" w:cs="仿宋"/>
          <w:sz w:val="24"/>
          <w:szCs w:val="28"/>
          <w:highlight w:val="none"/>
        </w:rPr>
      </w:pPr>
      <w:r>
        <w:rPr>
          <w:rFonts w:hint="eastAsia" w:ascii="仿宋" w:hAnsi="仿宋" w:eastAsia="仿宋" w:cs="仿宋"/>
          <w:sz w:val="24"/>
          <w:szCs w:val="28"/>
          <w:highlight w:val="none"/>
        </w:rPr>
        <w:t>（投标人公章）                               （签字或盖章）</w:t>
      </w:r>
    </w:p>
    <w:p>
      <w:pPr>
        <w:shd w:val="clear"/>
        <w:tabs>
          <w:tab w:val="left" w:pos="6300"/>
        </w:tabs>
        <w:snapToGrid w:val="0"/>
        <w:spacing w:line="500" w:lineRule="exact"/>
        <w:ind w:firstLine="570"/>
        <w:rPr>
          <w:rFonts w:hint="eastAsia" w:ascii="仿宋" w:hAnsi="仿宋" w:eastAsia="仿宋" w:cs="仿宋"/>
          <w:sz w:val="24"/>
          <w:highlight w:val="none"/>
        </w:rPr>
      </w:pPr>
      <w:r>
        <w:rPr>
          <w:rFonts w:hint="eastAsia" w:ascii="仿宋" w:hAnsi="仿宋" w:eastAsia="仿宋" w:cs="仿宋"/>
          <w:sz w:val="24"/>
          <w:szCs w:val="28"/>
          <w:highlight w:val="none"/>
        </w:rPr>
        <w:t xml:space="preserve">                                            年     月     日</w:t>
      </w:r>
    </w:p>
    <w:p>
      <w:pPr>
        <w:shd w:val="clear"/>
        <w:tabs>
          <w:tab w:val="left" w:pos="6300"/>
        </w:tabs>
        <w:snapToGrid w:val="0"/>
        <w:spacing w:line="500" w:lineRule="exact"/>
        <w:ind w:firstLine="570"/>
        <w:rPr>
          <w:rFonts w:hint="eastAsia" w:ascii="仿宋" w:hAnsi="仿宋" w:eastAsia="仿宋" w:cs="仿宋"/>
          <w:sz w:val="24"/>
          <w:highlight w:val="none"/>
        </w:rPr>
      </w:pPr>
      <w:r>
        <w:rPr>
          <w:rFonts w:hint="eastAsia" w:ascii="仿宋" w:hAnsi="仿宋" w:eastAsia="仿宋" w:cs="仿宋"/>
          <w:sz w:val="24"/>
          <w:highlight w:val="none"/>
        </w:rPr>
        <w:t>注：</w:t>
      </w:r>
    </w:p>
    <w:p>
      <w:pPr>
        <w:shd w:val="clear"/>
        <w:tabs>
          <w:tab w:val="left" w:pos="6300"/>
        </w:tabs>
        <w:snapToGrid w:val="0"/>
        <w:spacing w:line="50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1.本表即为对本项目“第二篇 项目服务内容及相关要求”中所列技术要求进行比较和响应；</w:t>
      </w:r>
    </w:p>
    <w:p>
      <w:pPr>
        <w:shd w:val="clear"/>
        <w:tabs>
          <w:tab w:val="left" w:pos="6300"/>
        </w:tabs>
        <w:snapToGrid w:val="0"/>
        <w:spacing w:line="50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2.该表必须按照招标文件要求逐条如实填写，根据投标情况在“差异说明”项填写正偏离或负偏离及原因，完全符合的填写“无差异”；</w:t>
      </w:r>
    </w:p>
    <w:p>
      <w:pPr>
        <w:shd w:val="clear"/>
        <w:tabs>
          <w:tab w:val="left" w:pos="6300"/>
        </w:tabs>
        <w:snapToGrid w:val="0"/>
        <w:spacing w:line="50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3.该表可扩展；</w:t>
      </w:r>
    </w:p>
    <w:p>
      <w:pPr>
        <w:shd w:val="clear"/>
        <w:tabs>
          <w:tab w:val="left" w:pos="6300"/>
        </w:tabs>
        <w:snapToGrid w:val="0"/>
        <w:spacing w:line="50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4.可附相关技术支撑材料。（格式自定）</w:t>
      </w:r>
    </w:p>
    <w:p>
      <w:pPr>
        <w:shd w:val="clear"/>
        <w:snapToGrid w:val="0"/>
        <w:spacing w:line="500" w:lineRule="exact"/>
        <w:ind w:firstLine="480" w:firstLineChars="200"/>
        <w:rPr>
          <w:rFonts w:hint="eastAsia" w:ascii="仿宋" w:hAnsi="仿宋" w:eastAsia="仿宋" w:cs="仿宋"/>
          <w:color w:val="FF0000"/>
          <w:sz w:val="24"/>
          <w:szCs w:val="28"/>
          <w:highlight w:val="none"/>
          <w:lang w:eastAsia="zh-CN"/>
        </w:rPr>
      </w:pPr>
    </w:p>
    <w:p>
      <w:pPr>
        <w:shd w:val="clear"/>
        <w:snapToGrid w:val="0"/>
        <w:spacing w:line="500" w:lineRule="exact"/>
        <w:ind w:firstLine="480" w:firstLineChars="200"/>
        <w:rPr>
          <w:rFonts w:hint="eastAsia" w:ascii="仿宋" w:hAnsi="仿宋" w:eastAsia="仿宋" w:cs="仿宋"/>
          <w:color w:val="FF0000"/>
          <w:sz w:val="24"/>
          <w:szCs w:val="28"/>
          <w:highlight w:val="none"/>
          <w:lang w:eastAsia="zh-CN"/>
        </w:rPr>
      </w:pPr>
    </w:p>
    <w:p>
      <w:pPr>
        <w:shd w:val="clear"/>
        <w:snapToGrid w:val="0"/>
        <w:spacing w:line="500" w:lineRule="exact"/>
        <w:ind w:firstLine="480" w:firstLineChars="200"/>
        <w:rPr>
          <w:rFonts w:hint="eastAsia" w:ascii="仿宋" w:hAnsi="仿宋" w:eastAsia="仿宋" w:cs="仿宋"/>
          <w:color w:val="FF0000"/>
          <w:sz w:val="24"/>
          <w:szCs w:val="28"/>
          <w:highlight w:val="none"/>
          <w:lang w:eastAsia="zh-CN"/>
        </w:rPr>
      </w:pPr>
    </w:p>
    <w:p>
      <w:pPr>
        <w:shd w:val="clear"/>
        <w:snapToGrid w:val="0"/>
        <w:spacing w:line="500" w:lineRule="exact"/>
        <w:ind w:firstLine="480" w:firstLineChars="200"/>
        <w:rPr>
          <w:rFonts w:hint="eastAsia" w:ascii="仿宋" w:hAnsi="仿宋" w:eastAsia="仿宋" w:cs="仿宋"/>
          <w:color w:val="FF0000"/>
          <w:sz w:val="24"/>
          <w:szCs w:val="28"/>
          <w:highlight w:val="none"/>
          <w:lang w:eastAsia="zh-CN"/>
        </w:rPr>
      </w:pPr>
    </w:p>
    <w:p>
      <w:pPr>
        <w:shd w:val="clear"/>
        <w:snapToGrid w:val="0"/>
        <w:spacing w:line="500" w:lineRule="exact"/>
        <w:ind w:firstLine="480" w:firstLineChars="200"/>
        <w:rPr>
          <w:rFonts w:hint="eastAsia" w:ascii="仿宋" w:hAnsi="仿宋" w:eastAsia="仿宋" w:cs="仿宋"/>
          <w:color w:val="FF0000"/>
          <w:sz w:val="24"/>
          <w:szCs w:val="28"/>
          <w:highlight w:val="none"/>
          <w:lang w:eastAsia="zh-CN"/>
        </w:rPr>
      </w:pPr>
    </w:p>
    <w:p>
      <w:pPr>
        <w:shd w:val="clear"/>
        <w:snapToGrid w:val="0"/>
        <w:spacing w:line="500" w:lineRule="exact"/>
        <w:ind w:firstLine="480" w:firstLineChars="200"/>
        <w:rPr>
          <w:rFonts w:hint="eastAsia" w:ascii="仿宋" w:hAnsi="仿宋" w:eastAsia="仿宋" w:cs="仿宋"/>
          <w:color w:val="FF0000"/>
          <w:sz w:val="24"/>
          <w:szCs w:val="28"/>
          <w:highlight w:val="none"/>
          <w:lang w:eastAsia="zh-CN"/>
        </w:rPr>
      </w:pPr>
    </w:p>
    <w:p>
      <w:pPr>
        <w:shd w:val="clear"/>
        <w:snapToGrid w:val="0"/>
        <w:spacing w:line="500" w:lineRule="exact"/>
        <w:ind w:firstLine="480" w:firstLineChars="200"/>
        <w:rPr>
          <w:rFonts w:hint="eastAsia" w:ascii="仿宋" w:hAnsi="仿宋" w:eastAsia="仿宋" w:cs="仿宋"/>
          <w:color w:val="FF0000"/>
          <w:sz w:val="24"/>
          <w:szCs w:val="28"/>
          <w:highlight w:val="none"/>
          <w:lang w:eastAsia="zh-CN"/>
        </w:rPr>
      </w:pPr>
    </w:p>
    <w:p>
      <w:pPr>
        <w:shd w:val="clear"/>
        <w:snapToGrid w:val="0"/>
        <w:spacing w:line="500" w:lineRule="exact"/>
        <w:ind w:firstLine="480" w:firstLineChars="200"/>
        <w:rPr>
          <w:rFonts w:hint="eastAsia" w:ascii="仿宋" w:hAnsi="仿宋" w:eastAsia="仿宋" w:cs="仿宋"/>
          <w:color w:val="FF0000"/>
          <w:sz w:val="24"/>
          <w:szCs w:val="28"/>
          <w:highlight w:val="none"/>
          <w:lang w:eastAsia="zh-CN"/>
        </w:rPr>
      </w:pPr>
    </w:p>
    <w:p>
      <w:pPr>
        <w:pStyle w:val="4"/>
        <w:pageBreakBefore/>
        <w:shd w:val="clear"/>
        <w:spacing w:line="500" w:lineRule="exact"/>
        <w:rPr>
          <w:rFonts w:hint="eastAsia" w:ascii="仿宋" w:hAnsi="仿宋" w:eastAsia="仿宋" w:cs="仿宋"/>
          <w:b/>
          <w:szCs w:val="28"/>
          <w:highlight w:val="none"/>
        </w:rPr>
      </w:pPr>
      <w:bookmarkStart w:id="96" w:name="_Toc429584886"/>
      <w:bookmarkStart w:id="97" w:name="_Toc492721039"/>
      <w:bookmarkStart w:id="98" w:name="_Toc24551"/>
      <w:r>
        <w:rPr>
          <w:rFonts w:hint="eastAsia" w:ascii="仿宋" w:hAnsi="仿宋" w:eastAsia="仿宋" w:cs="仿宋"/>
          <w:b/>
          <w:szCs w:val="28"/>
          <w:highlight w:val="none"/>
        </w:rPr>
        <w:t>三、商务文件</w:t>
      </w:r>
      <w:bookmarkEnd w:id="96"/>
      <w:bookmarkEnd w:id="97"/>
      <w:bookmarkEnd w:id="98"/>
    </w:p>
    <w:p>
      <w:pPr>
        <w:shd w:val="clear"/>
        <w:snapToGrid w:val="0"/>
        <w:spacing w:before="120" w:beforeLines="50" w:line="500" w:lineRule="exact"/>
        <w:jc w:val="center"/>
        <w:rPr>
          <w:rFonts w:hint="eastAsia" w:ascii="仿宋" w:hAnsi="仿宋" w:eastAsia="仿宋" w:cs="仿宋"/>
          <w:szCs w:val="28"/>
          <w:highlight w:val="none"/>
        </w:rPr>
      </w:pPr>
      <w:r>
        <w:rPr>
          <w:rFonts w:hint="eastAsia" w:ascii="仿宋" w:hAnsi="仿宋" w:eastAsia="仿宋" w:cs="仿宋"/>
          <w:szCs w:val="28"/>
          <w:highlight w:val="none"/>
        </w:rPr>
        <w:t>（一）投标函（格式）</w:t>
      </w:r>
    </w:p>
    <w:p>
      <w:pPr>
        <w:shd w:val="clear"/>
        <w:spacing w:line="500" w:lineRule="exact"/>
        <w:rPr>
          <w:rFonts w:hint="eastAsia" w:ascii="仿宋" w:hAnsi="仿宋" w:eastAsia="仿宋" w:cs="仿宋"/>
          <w:sz w:val="24"/>
          <w:szCs w:val="28"/>
          <w:highlight w:val="none"/>
        </w:rPr>
      </w:pPr>
    </w:p>
    <w:p>
      <w:pPr>
        <w:shd w:val="clear"/>
        <w:spacing w:line="500" w:lineRule="exact"/>
        <w:ind w:firstLine="480" w:firstLineChars="200"/>
        <w:rPr>
          <w:rFonts w:hint="eastAsia" w:ascii="仿宋" w:hAnsi="仿宋" w:eastAsia="仿宋"/>
          <w:sz w:val="24"/>
          <w:szCs w:val="28"/>
          <w:highlight w:val="none"/>
          <w:u w:val="single"/>
        </w:rPr>
      </w:pPr>
      <w:r>
        <w:rPr>
          <w:rFonts w:hint="eastAsia" w:ascii="仿宋" w:hAnsi="仿宋" w:eastAsia="仿宋"/>
          <w:sz w:val="24"/>
          <w:szCs w:val="28"/>
          <w:highlight w:val="none"/>
        </w:rPr>
        <w:t>招标项目名称：</w:t>
      </w:r>
      <w:r>
        <w:rPr>
          <w:rFonts w:hint="eastAsia" w:ascii="仿宋" w:hAnsi="仿宋" w:eastAsia="仿宋"/>
          <w:sz w:val="24"/>
          <w:szCs w:val="28"/>
          <w:highlight w:val="none"/>
          <w:u w:val="single"/>
        </w:rPr>
        <w:t xml:space="preserve">                                             </w:t>
      </w:r>
    </w:p>
    <w:p>
      <w:pPr>
        <w:shd w:val="clear"/>
        <w:spacing w:line="500" w:lineRule="exact"/>
        <w:rPr>
          <w:rFonts w:hint="eastAsia" w:ascii="仿宋" w:hAnsi="仿宋" w:eastAsia="仿宋"/>
          <w:sz w:val="24"/>
          <w:szCs w:val="28"/>
          <w:highlight w:val="none"/>
        </w:rPr>
      </w:pPr>
    </w:p>
    <w:p>
      <w:pPr>
        <w:shd w:val="clear"/>
        <w:tabs>
          <w:tab w:val="left" w:pos="6300"/>
        </w:tabs>
        <w:snapToGrid w:val="0"/>
        <w:spacing w:line="500" w:lineRule="exact"/>
        <w:rPr>
          <w:rFonts w:hint="eastAsia" w:ascii="仿宋" w:hAnsi="仿宋" w:eastAsia="仿宋"/>
          <w:sz w:val="24"/>
          <w:szCs w:val="28"/>
          <w:highlight w:val="none"/>
        </w:rPr>
      </w:pPr>
      <w:r>
        <w:rPr>
          <w:rFonts w:hint="eastAsia" w:ascii="仿宋" w:hAnsi="仿宋" w:eastAsia="仿宋"/>
          <w:sz w:val="24"/>
          <w:szCs w:val="28"/>
          <w:highlight w:val="none"/>
        </w:rPr>
        <w:t>致：</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（采购代理机构名称）：</w:t>
      </w:r>
    </w:p>
    <w:p>
      <w:pPr>
        <w:shd w:val="clear"/>
        <w:snapToGrid w:val="0"/>
        <w:spacing w:before="120" w:beforeLines="50" w:line="500" w:lineRule="exact"/>
        <w:ind w:firstLine="480" w:firstLineChars="200"/>
        <w:rPr>
          <w:rFonts w:hint="eastAsia" w:ascii="仿宋" w:hAnsi="仿宋" w:eastAsia="仿宋"/>
          <w:sz w:val="24"/>
          <w:szCs w:val="28"/>
          <w:highlight w:val="none"/>
        </w:rPr>
      </w:pP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（投标人名称）系中华人民共和国合法企业，注册地址：</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。我方就参加本次投标有关事项郑重声明如下：</w:t>
      </w:r>
    </w:p>
    <w:p>
      <w:pPr>
        <w:shd w:val="clear"/>
        <w:tabs>
          <w:tab w:val="left" w:pos="6300"/>
        </w:tabs>
        <w:snapToGrid w:val="0"/>
        <w:spacing w:line="500" w:lineRule="exact"/>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一、我方完全理解并接受该项目招标文件所有要求。</w:t>
      </w:r>
    </w:p>
    <w:p>
      <w:pPr>
        <w:shd w:val="clear"/>
        <w:tabs>
          <w:tab w:val="left" w:pos="6300"/>
        </w:tabs>
        <w:snapToGrid w:val="0"/>
        <w:spacing w:line="500" w:lineRule="exact"/>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二、我方提交的所有投标文件、资料都是准确和真实的，如有虚假或隐瞒，我方愿意承担一切法律责任。</w:t>
      </w:r>
    </w:p>
    <w:p>
      <w:pPr>
        <w:shd w:val="clear"/>
        <w:tabs>
          <w:tab w:val="left" w:pos="6300"/>
        </w:tabs>
        <w:snapToGrid w:val="0"/>
        <w:spacing w:line="500" w:lineRule="exact"/>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三、我方承诺按照招标文件要求，提供招标项目的技术服务。</w:t>
      </w:r>
    </w:p>
    <w:p>
      <w:pPr>
        <w:shd w:val="clear"/>
        <w:tabs>
          <w:tab w:val="left" w:pos="6300"/>
        </w:tabs>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sz w:val="24"/>
          <w:szCs w:val="28"/>
          <w:highlight w:val="none"/>
        </w:rPr>
        <w:t>四、我方按招标文件要求提交的投标文件为：</w:t>
      </w:r>
      <w:r>
        <w:rPr>
          <w:rFonts w:hint="eastAsia" w:ascii="仿宋" w:hAnsi="仿宋" w:eastAsia="仿宋" w:cs="仿宋"/>
          <w:sz w:val="24"/>
          <w:szCs w:val="28"/>
          <w:highlight w:val="none"/>
        </w:rPr>
        <w:t>电子投标文件</w:t>
      </w:r>
      <w:r>
        <w:rPr>
          <w:rFonts w:hint="eastAsia" w:ascii="仿宋" w:hAnsi="仿宋" w:eastAsia="仿宋" w:cs="仿宋"/>
          <w:sz w:val="24"/>
          <w:szCs w:val="28"/>
          <w:highlight w:val="none"/>
          <w:lang w:val="en-US" w:eastAsia="zh-CN"/>
        </w:rPr>
        <w:t>壹</w:t>
      </w:r>
      <w:r>
        <w:rPr>
          <w:rFonts w:hint="eastAsia" w:ascii="仿宋" w:hAnsi="仿宋" w:eastAsia="仿宋" w:cs="仿宋"/>
          <w:sz w:val="24"/>
          <w:szCs w:val="28"/>
          <w:highlight w:val="none"/>
        </w:rPr>
        <w:t>份。</w:t>
      </w:r>
    </w:p>
    <w:p>
      <w:pPr>
        <w:shd w:val="clear"/>
        <w:tabs>
          <w:tab w:val="left" w:pos="6300"/>
        </w:tabs>
        <w:snapToGrid w:val="0"/>
        <w:spacing w:line="500" w:lineRule="exact"/>
        <w:ind w:firstLine="480" w:firstLineChars="200"/>
        <w:rPr>
          <w:rFonts w:hint="eastAsia" w:ascii="仿宋" w:hAnsi="仿宋" w:eastAsia="仿宋"/>
          <w:sz w:val="24"/>
          <w:szCs w:val="28"/>
          <w:highlight w:val="none"/>
        </w:rPr>
      </w:pPr>
      <w:r>
        <w:rPr>
          <w:rFonts w:hint="eastAsia" w:ascii="仿宋" w:hAnsi="仿宋" w:eastAsia="仿宋" w:cs="仿宋"/>
          <w:sz w:val="24"/>
          <w:szCs w:val="28"/>
          <w:highlight w:val="none"/>
        </w:rPr>
        <w:t>五、我方承诺：本次投标的投标有效期为</w:t>
      </w:r>
      <w:r>
        <w:rPr>
          <w:rFonts w:hint="eastAsia" w:ascii="仿宋" w:hAnsi="仿宋" w:eastAsia="仿宋" w:cs="仿宋"/>
          <w:sz w:val="24"/>
          <w:highlight w:val="none"/>
        </w:rPr>
        <w:t>电子投标文件截止时间</w:t>
      </w:r>
      <w:r>
        <w:rPr>
          <w:rFonts w:hint="eastAsia" w:ascii="仿宋" w:hAnsi="仿宋" w:eastAsia="仿宋" w:cs="仿宋"/>
          <w:sz w:val="24"/>
          <w:szCs w:val="28"/>
          <w:highlight w:val="none"/>
        </w:rPr>
        <w:t>起90天。</w:t>
      </w:r>
    </w:p>
    <w:p>
      <w:pPr>
        <w:shd w:val="clear"/>
        <w:tabs>
          <w:tab w:val="left" w:pos="6300"/>
        </w:tabs>
        <w:snapToGrid w:val="0"/>
        <w:spacing w:line="500" w:lineRule="exact"/>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六、我方投标报价为闭口价。即在投标有效期和合同有效期内，该报价固定不变。</w:t>
      </w:r>
    </w:p>
    <w:p>
      <w:pPr>
        <w:shd w:val="clear"/>
        <w:tabs>
          <w:tab w:val="left" w:pos="6300"/>
        </w:tabs>
        <w:snapToGrid w:val="0"/>
        <w:spacing w:line="500" w:lineRule="exact"/>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七、如果我方中标，我方将履行招标文件中规定的各项要求以及我方投标文件的各项承诺，按《中华人民共和国民法典》《</w:t>
      </w:r>
      <w:r>
        <w:rPr>
          <w:rFonts w:hint="eastAsia" w:ascii="仿宋" w:hAnsi="仿宋" w:eastAsia="仿宋"/>
          <w:sz w:val="24"/>
          <w:szCs w:val="28"/>
          <w:highlight w:val="none"/>
          <w:lang w:eastAsia="zh-CN"/>
        </w:rPr>
        <w:t>垫江县</w:t>
      </w:r>
      <w:r>
        <w:rPr>
          <w:rFonts w:hint="eastAsia" w:ascii="仿宋" w:hAnsi="仿宋" w:eastAsia="仿宋"/>
          <w:sz w:val="24"/>
          <w:szCs w:val="28"/>
          <w:highlight w:val="none"/>
        </w:rPr>
        <w:t>属国有企业采购管理办法》及合同约定条款承担我方责任。</w:t>
      </w:r>
    </w:p>
    <w:p>
      <w:pPr>
        <w:shd w:val="clear"/>
        <w:tabs>
          <w:tab w:val="left" w:pos="6300"/>
        </w:tabs>
        <w:snapToGrid w:val="0"/>
        <w:spacing w:line="500" w:lineRule="exact"/>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八、我方未</w:t>
      </w:r>
      <w:r>
        <w:rPr>
          <w:rFonts w:ascii="仿宋" w:hAnsi="仿宋" w:eastAsia="仿宋"/>
          <w:sz w:val="24"/>
          <w:szCs w:val="24"/>
          <w:highlight w:val="none"/>
        </w:rPr>
        <w:t>为采购项目提供整体设计、规范编制或者项目管理、监理、检测等服务</w:t>
      </w:r>
      <w:r>
        <w:rPr>
          <w:rFonts w:hint="eastAsia" w:ascii="仿宋" w:hAnsi="仿宋" w:eastAsia="仿宋"/>
          <w:sz w:val="24"/>
          <w:szCs w:val="24"/>
          <w:highlight w:val="none"/>
        </w:rPr>
        <w:t>。</w:t>
      </w:r>
    </w:p>
    <w:p>
      <w:pPr>
        <w:shd w:val="clear"/>
        <w:tabs>
          <w:tab w:val="left" w:pos="6300"/>
        </w:tabs>
        <w:snapToGrid w:val="0"/>
        <w:spacing w:line="500" w:lineRule="exact"/>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九、我方理解，最低报价不是中标的唯一条件。</w:t>
      </w:r>
    </w:p>
    <w:p>
      <w:pPr>
        <w:shd w:val="clear"/>
        <w:tabs>
          <w:tab w:val="left" w:pos="6300"/>
        </w:tabs>
        <w:snapToGrid w:val="0"/>
        <w:spacing w:line="500" w:lineRule="exact"/>
        <w:ind w:firstLine="480" w:firstLineChars="200"/>
        <w:rPr>
          <w:rFonts w:hint="eastAsia" w:ascii="仿宋" w:hAnsi="仿宋" w:eastAsia="仿宋"/>
          <w:sz w:val="24"/>
          <w:szCs w:val="28"/>
          <w:highlight w:val="none"/>
        </w:rPr>
      </w:pPr>
    </w:p>
    <w:p>
      <w:pPr>
        <w:shd w:val="clear"/>
        <w:tabs>
          <w:tab w:val="left" w:pos="6300"/>
        </w:tabs>
        <w:snapToGrid w:val="0"/>
        <w:spacing w:line="500" w:lineRule="exact"/>
        <w:ind w:firstLine="570"/>
        <w:rPr>
          <w:rFonts w:hint="eastAsia" w:ascii="仿宋" w:hAnsi="仿宋" w:eastAsia="仿宋"/>
          <w:sz w:val="24"/>
          <w:szCs w:val="28"/>
          <w:highlight w:val="none"/>
        </w:rPr>
      </w:pPr>
    </w:p>
    <w:p>
      <w:pPr>
        <w:shd w:val="clear"/>
        <w:tabs>
          <w:tab w:val="left" w:pos="6300"/>
        </w:tabs>
        <w:snapToGrid w:val="0"/>
        <w:spacing w:line="500" w:lineRule="exact"/>
        <w:ind w:firstLine="5460" w:firstLineChars="2275"/>
        <w:rPr>
          <w:rFonts w:hint="eastAsia" w:ascii="仿宋" w:hAnsi="仿宋" w:eastAsia="仿宋"/>
          <w:sz w:val="24"/>
          <w:szCs w:val="28"/>
          <w:highlight w:val="none"/>
        </w:rPr>
      </w:pPr>
      <w:r>
        <w:rPr>
          <w:rFonts w:hint="eastAsia" w:ascii="仿宋" w:hAnsi="仿宋" w:eastAsia="仿宋"/>
          <w:sz w:val="24"/>
          <w:szCs w:val="28"/>
          <w:highlight w:val="none"/>
        </w:rPr>
        <w:t>（投标人公章）</w:t>
      </w:r>
    </w:p>
    <w:p>
      <w:pPr>
        <w:shd w:val="clear"/>
        <w:tabs>
          <w:tab w:val="left" w:pos="6300"/>
        </w:tabs>
        <w:snapToGrid w:val="0"/>
        <w:spacing w:line="500" w:lineRule="exact"/>
        <w:ind w:firstLine="570"/>
        <w:rPr>
          <w:rFonts w:hint="eastAsia" w:ascii="仿宋" w:hAnsi="仿宋" w:eastAsia="仿宋"/>
          <w:sz w:val="24"/>
          <w:szCs w:val="28"/>
          <w:highlight w:val="none"/>
        </w:rPr>
      </w:pPr>
    </w:p>
    <w:p>
      <w:pPr>
        <w:shd w:val="clear"/>
        <w:tabs>
          <w:tab w:val="left" w:pos="6300"/>
        </w:tabs>
        <w:snapToGrid w:val="0"/>
        <w:spacing w:line="500" w:lineRule="exact"/>
        <w:ind w:firstLine="5760" w:firstLineChars="2400"/>
        <w:rPr>
          <w:rFonts w:hint="eastAsia" w:ascii="仿宋" w:hAnsi="仿宋" w:eastAsia="仿宋"/>
          <w:szCs w:val="28"/>
          <w:highlight w:val="none"/>
        </w:rPr>
      </w:pPr>
      <w:r>
        <w:rPr>
          <w:rFonts w:hint="eastAsia" w:ascii="仿宋" w:hAnsi="仿宋" w:eastAsia="仿宋"/>
          <w:sz w:val="24"/>
          <w:szCs w:val="28"/>
          <w:highlight w:val="none"/>
        </w:rPr>
        <w:t>年    月   日</w:t>
      </w:r>
    </w:p>
    <w:p>
      <w:pPr>
        <w:shd w:val="clear"/>
        <w:tabs>
          <w:tab w:val="left" w:pos="6300"/>
        </w:tabs>
        <w:snapToGrid w:val="0"/>
        <w:spacing w:line="500" w:lineRule="exact"/>
        <w:ind w:firstLine="560" w:firstLineChars="200"/>
        <w:outlineLvl w:val="0"/>
        <w:rPr>
          <w:rFonts w:hint="eastAsia" w:ascii="仿宋" w:hAnsi="仿宋" w:eastAsia="仿宋" w:cs="仿宋"/>
          <w:szCs w:val="44"/>
          <w:highlight w:val="none"/>
        </w:rPr>
      </w:pPr>
    </w:p>
    <w:p>
      <w:pPr>
        <w:shd w:val="clear"/>
        <w:tabs>
          <w:tab w:val="left" w:pos="6300"/>
        </w:tabs>
        <w:snapToGrid w:val="0"/>
        <w:spacing w:line="500" w:lineRule="exact"/>
        <w:ind w:firstLine="560" w:firstLineChars="200"/>
        <w:outlineLvl w:val="0"/>
        <w:rPr>
          <w:rFonts w:hint="eastAsia" w:ascii="仿宋" w:hAnsi="仿宋" w:eastAsia="仿宋" w:cs="仿宋"/>
          <w:szCs w:val="44"/>
          <w:highlight w:val="none"/>
        </w:rPr>
      </w:pPr>
    </w:p>
    <w:p>
      <w:pPr>
        <w:shd w:val="clear"/>
        <w:tabs>
          <w:tab w:val="left" w:pos="6300"/>
        </w:tabs>
        <w:snapToGrid w:val="0"/>
        <w:spacing w:line="500" w:lineRule="exact"/>
        <w:ind w:firstLine="560" w:firstLineChars="200"/>
        <w:outlineLvl w:val="0"/>
        <w:rPr>
          <w:rFonts w:hint="eastAsia" w:ascii="仿宋" w:hAnsi="仿宋" w:eastAsia="仿宋" w:cs="仿宋"/>
          <w:szCs w:val="44"/>
          <w:highlight w:val="none"/>
        </w:rPr>
      </w:pPr>
    </w:p>
    <w:p>
      <w:pPr>
        <w:shd w:val="clear"/>
        <w:tabs>
          <w:tab w:val="left" w:pos="6300"/>
        </w:tabs>
        <w:snapToGrid w:val="0"/>
        <w:spacing w:line="500" w:lineRule="exact"/>
        <w:ind w:firstLine="560" w:firstLineChars="200"/>
        <w:outlineLvl w:val="0"/>
        <w:rPr>
          <w:rFonts w:hint="eastAsia" w:ascii="仿宋" w:hAnsi="仿宋" w:eastAsia="仿宋" w:cs="仿宋"/>
          <w:highlight w:val="none"/>
        </w:rPr>
      </w:pPr>
      <w:r>
        <w:rPr>
          <w:rFonts w:hint="eastAsia" w:ascii="仿宋" w:hAnsi="仿宋" w:eastAsia="仿宋" w:cs="仿宋"/>
          <w:highlight w:val="none"/>
        </w:rPr>
        <w:t>（二）商务条款差异表</w:t>
      </w:r>
    </w:p>
    <w:p>
      <w:pPr>
        <w:pStyle w:val="33"/>
        <w:shd w:val="clear"/>
        <w:tabs>
          <w:tab w:val="left" w:pos="6300"/>
        </w:tabs>
        <w:snapToGrid w:val="0"/>
        <w:spacing w:line="500" w:lineRule="exact"/>
        <w:ind w:firstLine="480" w:firstLineChars="200"/>
        <w:outlineLvl w:val="0"/>
        <w:rPr>
          <w:rFonts w:hint="eastAsia" w:ascii="仿宋" w:hAnsi="仿宋" w:eastAsia="仿宋" w:cs="仿宋"/>
          <w:sz w:val="24"/>
          <w:highlight w:val="none"/>
        </w:rPr>
      </w:pPr>
      <w:r>
        <w:rPr>
          <w:rFonts w:hint="eastAsia" w:ascii="仿宋" w:hAnsi="仿宋" w:eastAsia="仿宋" w:cs="仿宋"/>
          <w:sz w:val="24"/>
          <w:szCs w:val="28"/>
          <w:highlight w:val="none"/>
        </w:rPr>
        <w:t>招标项目名称</w:t>
      </w:r>
      <w:r>
        <w:rPr>
          <w:rFonts w:hint="eastAsia" w:ascii="仿宋" w:hAnsi="仿宋" w:eastAsia="仿宋" w:cs="仿宋"/>
          <w:sz w:val="24"/>
          <w:highlight w:val="none"/>
        </w:rPr>
        <w:t>：</w:t>
      </w:r>
    </w:p>
    <w:tbl>
      <w:tblPr>
        <w:tblStyle w:val="57"/>
        <w:tblW w:w="78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6" w:hRule="atLeast"/>
          <w:jc w:val="center"/>
        </w:trPr>
        <w:tc>
          <w:tcPr>
            <w:tcW w:w="1039"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2428"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招标商务要求</w:t>
            </w:r>
          </w:p>
        </w:tc>
        <w:tc>
          <w:tcPr>
            <w:tcW w:w="2520"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投标商务应答</w:t>
            </w:r>
          </w:p>
        </w:tc>
        <w:tc>
          <w:tcPr>
            <w:tcW w:w="1888"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2428"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2520"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1888"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2428"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2520"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1888"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2428"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2520"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1888"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2428"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2520"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1888"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2428"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2520"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1888"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2428"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2520"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1888"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2428"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2520"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1888"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2428"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2520"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1888"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2428"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2520"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1888"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2428"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2520"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1888"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2428"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2520"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1888"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2428"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2520"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1888"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2428"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2520"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c>
          <w:tcPr>
            <w:tcW w:w="1888" w:type="dxa"/>
            <w:noWrap w:val="0"/>
            <w:vAlign w:val="center"/>
          </w:tcPr>
          <w:p>
            <w:pPr>
              <w:shd w:val="clear"/>
              <w:tabs>
                <w:tab w:val="left" w:pos="6300"/>
              </w:tabs>
              <w:snapToGrid w:val="0"/>
              <w:spacing w:line="500" w:lineRule="exact"/>
              <w:jc w:val="center"/>
              <w:outlineLvl w:val="0"/>
              <w:rPr>
                <w:rFonts w:hint="eastAsia" w:ascii="仿宋" w:hAnsi="仿宋" w:eastAsia="仿宋" w:cs="仿宋"/>
                <w:sz w:val="21"/>
                <w:szCs w:val="21"/>
                <w:highlight w:val="none"/>
              </w:rPr>
            </w:pPr>
          </w:p>
        </w:tc>
      </w:tr>
    </w:tbl>
    <w:p>
      <w:pPr>
        <w:shd w:val="clear"/>
        <w:spacing w:line="500" w:lineRule="exact"/>
        <w:ind w:firstLine="600" w:firstLineChars="250"/>
        <w:rPr>
          <w:rFonts w:hint="eastAsia" w:ascii="仿宋" w:hAnsi="仿宋" w:eastAsia="仿宋" w:cs="仿宋"/>
          <w:sz w:val="24"/>
          <w:szCs w:val="28"/>
          <w:highlight w:val="none"/>
        </w:rPr>
      </w:pPr>
      <w:r>
        <w:rPr>
          <w:rFonts w:hint="eastAsia" w:ascii="仿宋" w:hAnsi="仿宋" w:eastAsia="仿宋" w:cs="仿宋"/>
          <w:sz w:val="24"/>
          <w:szCs w:val="28"/>
          <w:highlight w:val="none"/>
        </w:rPr>
        <w:t>投标人：                       法定代表人（或法定代表人授权代表）或自然人：</w:t>
      </w:r>
    </w:p>
    <w:p>
      <w:pPr>
        <w:shd w:val="clear"/>
        <w:spacing w:line="500" w:lineRule="exact"/>
        <w:rPr>
          <w:rFonts w:hint="eastAsia" w:ascii="仿宋" w:hAnsi="仿宋" w:eastAsia="仿宋" w:cs="仿宋"/>
          <w:sz w:val="24"/>
          <w:szCs w:val="28"/>
          <w:highlight w:val="none"/>
        </w:rPr>
      </w:pPr>
    </w:p>
    <w:p>
      <w:pPr>
        <w:shd w:val="clear"/>
        <w:spacing w:line="500" w:lineRule="exact"/>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    （投标人公章）                               （签字或盖章）</w:t>
      </w:r>
    </w:p>
    <w:p>
      <w:pPr>
        <w:shd w:val="clear"/>
        <w:tabs>
          <w:tab w:val="left" w:pos="6300"/>
        </w:tabs>
        <w:snapToGrid w:val="0"/>
        <w:spacing w:line="500" w:lineRule="exact"/>
        <w:ind w:firstLine="570"/>
        <w:rPr>
          <w:rFonts w:hint="eastAsia" w:ascii="仿宋" w:hAnsi="仿宋" w:eastAsia="仿宋" w:cs="仿宋"/>
          <w:sz w:val="24"/>
          <w:highlight w:val="none"/>
        </w:rPr>
      </w:pPr>
      <w:r>
        <w:rPr>
          <w:rFonts w:hint="eastAsia" w:ascii="仿宋" w:hAnsi="仿宋" w:eastAsia="仿宋" w:cs="仿宋"/>
          <w:sz w:val="24"/>
          <w:szCs w:val="28"/>
          <w:highlight w:val="none"/>
        </w:rPr>
        <w:t xml:space="preserve">                                            年     月     日</w:t>
      </w:r>
    </w:p>
    <w:p>
      <w:pPr>
        <w:shd w:val="clear"/>
        <w:tabs>
          <w:tab w:val="left" w:pos="6300"/>
        </w:tabs>
        <w:snapToGrid w:val="0"/>
        <w:spacing w:line="500" w:lineRule="exact"/>
        <w:ind w:firstLine="570"/>
        <w:rPr>
          <w:rFonts w:hint="eastAsia" w:ascii="仿宋" w:hAnsi="仿宋" w:eastAsia="仿宋" w:cs="仿宋"/>
          <w:sz w:val="24"/>
          <w:highlight w:val="none"/>
        </w:rPr>
      </w:pPr>
      <w:r>
        <w:rPr>
          <w:rFonts w:hint="eastAsia" w:ascii="仿宋" w:hAnsi="仿宋" w:eastAsia="仿宋" w:cs="仿宋"/>
          <w:sz w:val="24"/>
          <w:highlight w:val="none"/>
        </w:rPr>
        <w:t>注：</w:t>
      </w:r>
    </w:p>
    <w:p>
      <w:pPr>
        <w:shd w:val="clear"/>
        <w:tabs>
          <w:tab w:val="left" w:pos="6300"/>
        </w:tabs>
        <w:snapToGrid w:val="0"/>
        <w:spacing w:line="50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1.本表即为对本项目“第三篇 项目商务要求”中所列商务条款进行比较和响应；</w:t>
      </w:r>
    </w:p>
    <w:p>
      <w:pPr>
        <w:shd w:val="clear"/>
        <w:tabs>
          <w:tab w:val="left" w:pos="6300"/>
        </w:tabs>
        <w:snapToGrid w:val="0"/>
        <w:spacing w:line="50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2.该表必须按照招标文件要求逐条如实填写，根据投标情况在“差异说明”项填写正偏离或负偏离及原因，完全符合的填写“无差异”。</w:t>
      </w:r>
    </w:p>
    <w:p>
      <w:pPr>
        <w:shd w:val="clear"/>
        <w:tabs>
          <w:tab w:val="left" w:pos="6300"/>
        </w:tabs>
        <w:snapToGrid w:val="0"/>
        <w:spacing w:line="50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3.该表可扩展。</w:t>
      </w:r>
    </w:p>
    <w:p>
      <w:pPr>
        <w:shd w:val="clear"/>
        <w:tabs>
          <w:tab w:val="left" w:pos="6300"/>
        </w:tabs>
        <w:snapToGrid w:val="0"/>
        <w:spacing w:line="500" w:lineRule="exact"/>
        <w:ind w:firstLine="560" w:firstLineChars="200"/>
        <w:outlineLvl w:val="0"/>
        <w:rPr>
          <w:rFonts w:hint="eastAsia" w:ascii="仿宋" w:hAnsi="仿宋" w:eastAsia="仿宋" w:cs="仿宋"/>
          <w:highlight w:val="none"/>
        </w:rPr>
      </w:pPr>
      <w:r>
        <w:rPr>
          <w:rFonts w:hint="eastAsia" w:ascii="仿宋" w:hAnsi="仿宋" w:eastAsia="仿宋" w:cs="仿宋"/>
          <w:szCs w:val="28"/>
          <w:highlight w:val="none"/>
        </w:rPr>
        <w:br w:type="page"/>
      </w:r>
      <w:r>
        <w:rPr>
          <w:rFonts w:hint="eastAsia" w:ascii="仿宋" w:hAnsi="仿宋" w:eastAsia="仿宋" w:cs="仿宋"/>
          <w:highlight w:val="none"/>
        </w:rPr>
        <w:t>（三）其他商务资料</w:t>
      </w:r>
    </w:p>
    <w:p>
      <w:pPr>
        <w:shd w:val="clear"/>
        <w:tabs>
          <w:tab w:val="left" w:pos="6300"/>
        </w:tabs>
        <w:snapToGrid w:val="0"/>
        <w:spacing w:line="500" w:lineRule="exact"/>
        <w:ind w:firstLine="560" w:firstLineChars="200"/>
        <w:outlineLvl w:val="0"/>
        <w:rPr>
          <w:rFonts w:hint="eastAsia" w:ascii="仿宋" w:hAnsi="仿宋" w:eastAsia="仿宋" w:cs="仿宋"/>
          <w:sz w:val="24"/>
          <w:szCs w:val="24"/>
          <w:highlight w:val="none"/>
        </w:rPr>
      </w:pPr>
      <w:r>
        <w:rPr>
          <w:rFonts w:hint="eastAsia" w:ascii="仿宋" w:hAnsi="仿宋" w:eastAsia="仿宋" w:cs="仿宋"/>
          <w:highlight w:val="none"/>
        </w:rPr>
        <w:t>（自拟，按照第三篇、第四篇的要求拟定）</w:t>
      </w:r>
    </w:p>
    <w:p>
      <w:pPr>
        <w:shd w:val="clear"/>
        <w:tabs>
          <w:tab w:val="left" w:pos="6300"/>
        </w:tabs>
        <w:snapToGrid w:val="0"/>
        <w:spacing w:line="500" w:lineRule="exact"/>
        <w:ind w:firstLine="480" w:firstLineChars="200"/>
        <w:outlineLvl w:val="0"/>
        <w:rPr>
          <w:rFonts w:hint="eastAsia" w:ascii="仿宋" w:hAnsi="仿宋" w:eastAsia="仿宋" w:cs="仿宋"/>
          <w:sz w:val="24"/>
          <w:highlight w:val="none"/>
        </w:rPr>
      </w:pPr>
      <w:r>
        <w:rPr>
          <w:rFonts w:hint="eastAsia" w:ascii="仿宋" w:hAnsi="仿宋" w:eastAsia="仿宋" w:cs="仿宋"/>
          <w:sz w:val="24"/>
          <w:highlight w:val="none"/>
        </w:rPr>
        <w:t xml:space="preserve"> </w:t>
      </w:r>
    </w:p>
    <w:p>
      <w:pPr>
        <w:shd w:val="clear"/>
        <w:tabs>
          <w:tab w:val="left" w:pos="6300"/>
        </w:tabs>
        <w:snapToGrid w:val="0"/>
        <w:spacing w:line="500" w:lineRule="exact"/>
        <w:jc w:val="left"/>
        <w:rPr>
          <w:rFonts w:hint="eastAsia" w:ascii="仿宋" w:hAnsi="仿宋" w:eastAsia="仿宋" w:cs="仿宋"/>
          <w:highlight w:val="none"/>
        </w:rPr>
      </w:pPr>
    </w:p>
    <w:p>
      <w:pPr>
        <w:pStyle w:val="4"/>
        <w:pageBreakBefore/>
        <w:shd w:val="clear"/>
        <w:spacing w:line="500" w:lineRule="exact"/>
        <w:rPr>
          <w:rFonts w:hint="eastAsia" w:ascii="仿宋" w:hAnsi="仿宋" w:eastAsia="仿宋" w:cs="仿宋"/>
          <w:b/>
          <w:szCs w:val="28"/>
          <w:highlight w:val="none"/>
        </w:rPr>
      </w:pPr>
      <w:bookmarkStart w:id="99" w:name="_Toc492721038"/>
      <w:bookmarkStart w:id="100" w:name="_Toc429584885"/>
      <w:bookmarkStart w:id="101" w:name="_Toc22593"/>
      <w:r>
        <w:rPr>
          <w:rFonts w:hint="eastAsia" w:ascii="仿宋" w:hAnsi="仿宋" w:eastAsia="仿宋" w:cs="仿宋"/>
          <w:b/>
          <w:szCs w:val="28"/>
          <w:highlight w:val="none"/>
        </w:rPr>
        <w:t>五、资格文件</w:t>
      </w:r>
      <w:bookmarkEnd w:id="99"/>
      <w:bookmarkEnd w:id="100"/>
      <w:bookmarkEnd w:id="101"/>
    </w:p>
    <w:p>
      <w:pPr>
        <w:shd w:val="clear"/>
        <w:spacing w:line="4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（一）法人营业执照（副本）或事业单位法人证书（副本）或个体工商户营业执照或有效的自然人身份证明或社会团体法人登记证书复印件</w:t>
      </w:r>
    </w:p>
    <w:p>
      <w:pPr>
        <w:shd w:val="clear"/>
        <w:tabs>
          <w:tab w:val="left" w:pos="6300"/>
        </w:tabs>
        <w:snapToGrid w:val="0"/>
        <w:spacing w:line="50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说明：投标人按“多证合一”登记制度办理营业执照的，</w:t>
      </w:r>
      <w:r>
        <w:rPr>
          <w:rFonts w:hint="eastAsia" w:ascii="仿宋" w:hAnsi="仿宋" w:eastAsia="仿宋" w:cs="仿宋"/>
          <w:kern w:val="0"/>
          <w:sz w:val="24"/>
          <w:szCs w:val="24"/>
          <w:highlight w:val="none"/>
          <w:u w:val="single"/>
        </w:rPr>
        <w:t>税务登记证（副本）和社会保险登记证</w:t>
      </w:r>
      <w:r>
        <w:rPr>
          <w:rFonts w:hint="eastAsia" w:ascii="仿宋" w:hAnsi="仿宋" w:eastAsia="仿宋" w:cs="仿宋"/>
          <w:sz w:val="24"/>
          <w:szCs w:val="24"/>
          <w:highlight w:val="none"/>
          <w:u w:val="single"/>
        </w:rPr>
        <w:t>以投标人所提供的营业执照（副本）复印件为准。</w:t>
      </w:r>
    </w:p>
    <w:p>
      <w:pPr>
        <w:shd w:val="clear"/>
        <w:spacing w:line="400" w:lineRule="exact"/>
        <w:ind w:firstLine="480" w:firstLineChars="200"/>
        <w:rPr>
          <w:rFonts w:hint="eastAsia" w:ascii="仿宋" w:hAnsi="仿宋" w:eastAsia="仿宋" w:cs="仿宋"/>
          <w:sz w:val="24"/>
          <w:szCs w:val="28"/>
          <w:highlight w:val="none"/>
        </w:rPr>
      </w:pPr>
    </w:p>
    <w:p>
      <w:pPr>
        <w:shd w:val="clear"/>
        <w:tabs>
          <w:tab w:val="left" w:pos="6300"/>
        </w:tabs>
        <w:snapToGrid w:val="0"/>
        <w:spacing w:line="500" w:lineRule="exact"/>
        <w:ind w:firstLine="570"/>
        <w:rPr>
          <w:rFonts w:hint="eastAsia" w:ascii="仿宋" w:hAnsi="仿宋" w:eastAsia="仿宋" w:cs="仿宋"/>
          <w:highlight w:val="none"/>
        </w:rPr>
      </w:pPr>
    </w:p>
    <w:p>
      <w:pPr>
        <w:shd w:val="clear"/>
        <w:tabs>
          <w:tab w:val="left" w:pos="6300"/>
        </w:tabs>
        <w:snapToGrid w:val="0"/>
        <w:spacing w:line="500" w:lineRule="exact"/>
        <w:ind w:firstLine="570"/>
        <w:rPr>
          <w:rFonts w:hint="eastAsia" w:ascii="仿宋" w:hAnsi="仿宋" w:eastAsia="仿宋" w:cs="仿宋"/>
          <w:highlight w:val="none"/>
        </w:rPr>
      </w:pPr>
    </w:p>
    <w:p>
      <w:pPr>
        <w:shd w:val="clear"/>
        <w:tabs>
          <w:tab w:val="left" w:pos="6300"/>
        </w:tabs>
        <w:snapToGrid w:val="0"/>
        <w:spacing w:line="500" w:lineRule="exact"/>
        <w:ind w:firstLine="570"/>
        <w:rPr>
          <w:rFonts w:hint="eastAsia" w:ascii="仿宋" w:hAnsi="仿宋" w:eastAsia="仿宋" w:cs="仿宋"/>
          <w:highlight w:val="none"/>
        </w:rPr>
      </w:pPr>
    </w:p>
    <w:p>
      <w:pPr>
        <w:shd w:val="clear"/>
        <w:tabs>
          <w:tab w:val="left" w:pos="6300"/>
        </w:tabs>
        <w:snapToGrid w:val="0"/>
        <w:spacing w:line="500" w:lineRule="exact"/>
        <w:ind w:firstLine="570"/>
        <w:rPr>
          <w:rFonts w:hint="eastAsia" w:ascii="仿宋" w:hAnsi="仿宋" w:eastAsia="仿宋" w:cs="仿宋"/>
          <w:highlight w:val="none"/>
        </w:rPr>
      </w:pPr>
    </w:p>
    <w:p>
      <w:pPr>
        <w:shd w:val="clear"/>
        <w:tabs>
          <w:tab w:val="left" w:pos="6300"/>
        </w:tabs>
        <w:snapToGrid w:val="0"/>
        <w:spacing w:line="500" w:lineRule="exact"/>
        <w:jc w:val="left"/>
        <w:rPr>
          <w:rFonts w:hint="eastAsia" w:ascii="仿宋" w:hAnsi="仿宋" w:eastAsia="仿宋" w:cs="仿宋"/>
          <w:sz w:val="24"/>
          <w:highlight w:val="none"/>
        </w:rPr>
      </w:pPr>
    </w:p>
    <w:p>
      <w:pPr>
        <w:shd w:val="clear"/>
        <w:tabs>
          <w:tab w:val="left" w:pos="6300"/>
        </w:tabs>
        <w:snapToGrid w:val="0"/>
        <w:spacing w:line="500" w:lineRule="exact"/>
        <w:jc w:val="center"/>
        <w:rPr>
          <w:rFonts w:hint="eastAsia" w:ascii="仿宋" w:hAnsi="仿宋" w:eastAsia="仿宋" w:cs="仿宋"/>
          <w:highlight w:val="none"/>
        </w:rPr>
      </w:pPr>
    </w:p>
    <w:p>
      <w:pPr>
        <w:shd w:val="clear"/>
        <w:tabs>
          <w:tab w:val="left" w:pos="6300"/>
        </w:tabs>
        <w:snapToGrid w:val="0"/>
        <w:spacing w:line="500" w:lineRule="exact"/>
        <w:jc w:val="center"/>
        <w:rPr>
          <w:rFonts w:hint="eastAsia" w:ascii="仿宋" w:hAnsi="仿宋" w:eastAsia="仿宋" w:cs="仿宋"/>
          <w:highlight w:val="none"/>
        </w:rPr>
      </w:pPr>
    </w:p>
    <w:p>
      <w:pPr>
        <w:shd w:val="clear"/>
        <w:tabs>
          <w:tab w:val="left" w:pos="6300"/>
        </w:tabs>
        <w:snapToGrid w:val="0"/>
        <w:spacing w:line="500" w:lineRule="exact"/>
        <w:jc w:val="center"/>
        <w:rPr>
          <w:rFonts w:hint="eastAsia" w:ascii="仿宋" w:hAnsi="仿宋" w:eastAsia="仿宋" w:cs="仿宋"/>
          <w:highlight w:val="none"/>
        </w:rPr>
      </w:pPr>
    </w:p>
    <w:p>
      <w:pPr>
        <w:shd w:val="clear"/>
        <w:tabs>
          <w:tab w:val="left" w:pos="6300"/>
        </w:tabs>
        <w:snapToGrid w:val="0"/>
        <w:spacing w:line="500" w:lineRule="exact"/>
        <w:jc w:val="center"/>
        <w:rPr>
          <w:rFonts w:hint="eastAsia" w:ascii="仿宋" w:hAnsi="仿宋" w:eastAsia="仿宋" w:cs="仿宋"/>
          <w:highlight w:val="none"/>
        </w:rPr>
      </w:pPr>
    </w:p>
    <w:p>
      <w:pPr>
        <w:shd w:val="clear"/>
        <w:tabs>
          <w:tab w:val="left" w:pos="6300"/>
        </w:tabs>
        <w:snapToGrid w:val="0"/>
        <w:spacing w:line="500" w:lineRule="exact"/>
        <w:jc w:val="center"/>
        <w:rPr>
          <w:rFonts w:hint="eastAsia" w:ascii="仿宋" w:hAnsi="仿宋" w:eastAsia="仿宋" w:cs="仿宋"/>
          <w:highlight w:val="none"/>
        </w:rPr>
      </w:pPr>
    </w:p>
    <w:p>
      <w:pPr>
        <w:shd w:val="clear"/>
        <w:tabs>
          <w:tab w:val="left" w:pos="6300"/>
        </w:tabs>
        <w:snapToGrid w:val="0"/>
        <w:spacing w:line="500" w:lineRule="exact"/>
        <w:jc w:val="center"/>
        <w:rPr>
          <w:rFonts w:hint="eastAsia" w:ascii="仿宋" w:hAnsi="仿宋" w:eastAsia="仿宋" w:cs="仿宋"/>
          <w:highlight w:val="none"/>
        </w:rPr>
      </w:pPr>
    </w:p>
    <w:p>
      <w:pPr>
        <w:shd w:val="clear"/>
        <w:tabs>
          <w:tab w:val="left" w:pos="6300"/>
        </w:tabs>
        <w:snapToGrid w:val="0"/>
        <w:spacing w:line="500" w:lineRule="exact"/>
        <w:jc w:val="center"/>
        <w:rPr>
          <w:rFonts w:hint="eastAsia" w:ascii="仿宋" w:hAnsi="仿宋" w:eastAsia="仿宋" w:cs="仿宋"/>
          <w:highlight w:val="none"/>
        </w:rPr>
      </w:pPr>
    </w:p>
    <w:p>
      <w:pPr>
        <w:shd w:val="clear"/>
        <w:tabs>
          <w:tab w:val="left" w:pos="6300"/>
        </w:tabs>
        <w:snapToGrid w:val="0"/>
        <w:spacing w:line="500" w:lineRule="exact"/>
        <w:jc w:val="center"/>
        <w:rPr>
          <w:rFonts w:hint="eastAsia" w:ascii="仿宋" w:hAnsi="仿宋" w:eastAsia="仿宋" w:cs="仿宋"/>
          <w:highlight w:val="none"/>
        </w:rPr>
      </w:pPr>
    </w:p>
    <w:p>
      <w:pPr>
        <w:shd w:val="clear"/>
        <w:tabs>
          <w:tab w:val="left" w:pos="6300"/>
        </w:tabs>
        <w:snapToGrid w:val="0"/>
        <w:spacing w:line="500" w:lineRule="exact"/>
        <w:jc w:val="center"/>
        <w:rPr>
          <w:rFonts w:hint="eastAsia" w:ascii="仿宋" w:hAnsi="仿宋" w:eastAsia="仿宋" w:cs="仿宋"/>
          <w:highlight w:val="none"/>
        </w:rPr>
      </w:pPr>
    </w:p>
    <w:p>
      <w:pPr>
        <w:shd w:val="clear"/>
        <w:tabs>
          <w:tab w:val="left" w:pos="6300"/>
        </w:tabs>
        <w:snapToGrid w:val="0"/>
        <w:spacing w:line="500" w:lineRule="exact"/>
        <w:jc w:val="center"/>
        <w:rPr>
          <w:rFonts w:hint="eastAsia" w:ascii="仿宋" w:hAnsi="仿宋" w:eastAsia="仿宋" w:cs="仿宋"/>
          <w:highlight w:val="none"/>
        </w:rPr>
      </w:pPr>
    </w:p>
    <w:p>
      <w:pPr>
        <w:shd w:val="clear"/>
        <w:tabs>
          <w:tab w:val="left" w:pos="6300"/>
        </w:tabs>
        <w:snapToGrid w:val="0"/>
        <w:spacing w:line="500" w:lineRule="exact"/>
        <w:jc w:val="center"/>
        <w:rPr>
          <w:rFonts w:hint="eastAsia" w:ascii="仿宋" w:hAnsi="仿宋" w:eastAsia="仿宋" w:cs="仿宋"/>
          <w:highlight w:val="none"/>
        </w:rPr>
      </w:pPr>
    </w:p>
    <w:p>
      <w:pPr>
        <w:shd w:val="clear"/>
        <w:tabs>
          <w:tab w:val="left" w:pos="6300"/>
        </w:tabs>
        <w:snapToGrid w:val="0"/>
        <w:spacing w:line="500" w:lineRule="exact"/>
        <w:jc w:val="center"/>
        <w:rPr>
          <w:rFonts w:hint="eastAsia" w:ascii="仿宋" w:hAnsi="仿宋" w:eastAsia="仿宋" w:cs="仿宋"/>
          <w:highlight w:val="none"/>
        </w:rPr>
      </w:pPr>
    </w:p>
    <w:p>
      <w:pPr>
        <w:shd w:val="clear"/>
        <w:tabs>
          <w:tab w:val="left" w:pos="6300"/>
        </w:tabs>
        <w:snapToGrid w:val="0"/>
        <w:spacing w:line="500" w:lineRule="exact"/>
        <w:jc w:val="center"/>
        <w:rPr>
          <w:rFonts w:hint="eastAsia" w:ascii="仿宋" w:hAnsi="仿宋" w:eastAsia="仿宋" w:cs="仿宋"/>
          <w:highlight w:val="none"/>
        </w:rPr>
      </w:pPr>
    </w:p>
    <w:p>
      <w:pPr>
        <w:shd w:val="clear"/>
        <w:tabs>
          <w:tab w:val="left" w:pos="6300"/>
        </w:tabs>
        <w:snapToGrid w:val="0"/>
        <w:spacing w:line="500" w:lineRule="exact"/>
        <w:jc w:val="center"/>
        <w:rPr>
          <w:rFonts w:hint="eastAsia" w:ascii="仿宋" w:hAnsi="仿宋" w:eastAsia="仿宋" w:cs="仿宋"/>
          <w:highlight w:val="none"/>
        </w:rPr>
      </w:pPr>
    </w:p>
    <w:p>
      <w:pPr>
        <w:shd w:val="clear"/>
        <w:tabs>
          <w:tab w:val="left" w:pos="6300"/>
        </w:tabs>
        <w:snapToGrid w:val="0"/>
        <w:spacing w:line="500" w:lineRule="exact"/>
        <w:jc w:val="center"/>
        <w:rPr>
          <w:rFonts w:hint="eastAsia" w:ascii="仿宋" w:hAnsi="仿宋" w:eastAsia="仿宋" w:cs="仿宋"/>
          <w:highlight w:val="none"/>
        </w:rPr>
      </w:pPr>
    </w:p>
    <w:p>
      <w:pPr>
        <w:shd w:val="clear"/>
        <w:tabs>
          <w:tab w:val="left" w:pos="6300"/>
        </w:tabs>
        <w:snapToGrid w:val="0"/>
        <w:spacing w:line="500" w:lineRule="exact"/>
        <w:jc w:val="center"/>
        <w:rPr>
          <w:rFonts w:hint="eastAsia" w:ascii="仿宋" w:hAnsi="仿宋" w:eastAsia="仿宋" w:cs="仿宋"/>
          <w:highlight w:val="none"/>
        </w:rPr>
      </w:pPr>
    </w:p>
    <w:p>
      <w:pPr>
        <w:shd w:val="clear"/>
        <w:tabs>
          <w:tab w:val="left" w:pos="6300"/>
        </w:tabs>
        <w:snapToGrid w:val="0"/>
        <w:spacing w:line="500" w:lineRule="exact"/>
        <w:jc w:val="center"/>
        <w:rPr>
          <w:rFonts w:hint="eastAsia" w:ascii="仿宋" w:hAnsi="仿宋" w:eastAsia="仿宋" w:cs="仿宋"/>
          <w:highlight w:val="none"/>
        </w:rPr>
      </w:pPr>
    </w:p>
    <w:p>
      <w:pPr>
        <w:shd w:val="clear"/>
        <w:tabs>
          <w:tab w:val="left" w:pos="6300"/>
        </w:tabs>
        <w:snapToGrid w:val="0"/>
        <w:spacing w:line="500" w:lineRule="exact"/>
        <w:rPr>
          <w:rFonts w:hint="eastAsia" w:ascii="仿宋" w:hAnsi="仿宋" w:eastAsia="仿宋" w:cs="仿宋"/>
          <w:highlight w:val="none"/>
        </w:rPr>
      </w:pPr>
    </w:p>
    <w:p>
      <w:pPr>
        <w:shd w:val="clear"/>
        <w:spacing w:line="4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（二）法定代表人身份证明书（格式）</w:t>
      </w:r>
    </w:p>
    <w:p>
      <w:pPr>
        <w:shd w:val="clear"/>
        <w:tabs>
          <w:tab w:val="left" w:pos="6300"/>
        </w:tabs>
        <w:snapToGrid w:val="0"/>
        <w:spacing w:line="500" w:lineRule="exact"/>
        <w:ind w:firstLine="570"/>
        <w:rPr>
          <w:rFonts w:hint="eastAsia" w:ascii="仿宋" w:hAnsi="仿宋" w:eastAsia="仿宋" w:cs="仿宋"/>
          <w:sz w:val="24"/>
          <w:highlight w:val="none"/>
        </w:rPr>
      </w:pPr>
    </w:p>
    <w:p>
      <w:pPr>
        <w:shd w:val="clear"/>
        <w:tabs>
          <w:tab w:val="left" w:pos="6300"/>
        </w:tabs>
        <w:snapToGrid w:val="0"/>
        <w:spacing w:line="500" w:lineRule="exact"/>
        <w:ind w:firstLine="570"/>
        <w:rPr>
          <w:rFonts w:hint="eastAsia" w:ascii="仿宋" w:hAnsi="仿宋" w:eastAsia="仿宋" w:cs="仿宋"/>
          <w:sz w:val="24"/>
          <w:highlight w:val="none"/>
        </w:rPr>
      </w:pPr>
      <w:r>
        <w:rPr>
          <w:rFonts w:hint="eastAsia" w:ascii="仿宋" w:hAnsi="仿宋" w:eastAsia="仿宋" w:cs="仿宋"/>
          <w:sz w:val="24"/>
          <w:highlight w:val="none"/>
        </w:rPr>
        <w:t>招标项目名称：</w:t>
      </w:r>
      <w:r>
        <w:rPr>
          <w:rFonts w:hint="eastAsia" w:ascii="仿宋" w:hAnsi="仿宋" w:eastAsia="仿宋" w:cs="仿宋"/>
          <w:sz w:val="24"/>
          <w:highlight w:val="none"/>
          <w:u w:val="single"/>
        </w:rPr>
        <w:t xml:space="preserve">                                                </w:t>
      </w:r>
    </w:p>
    <w:p>
      <w:pPr>
        <w:shd w:val="clear"/>
        <w:tabs>
          <w:tab w:val="left" w:pos="6300"/>
        </w:tabs>
        <w:snapToGrid w:val="0"/>
        <w:spacing w:line="500" w:lineRule="exact"/>
        <w:ind w:firstLine="570"/>
        <w:rPr>
          <w:rFonts w:hint="eastAsia" w:ascii="仿宋" w:hAnsi="仿宋" w:eastAsia="仿宋" w:cs="仿宋"/>
          <w:sz w:val="24"/>
          <w:highlight w:val="none"/>
        </w:rPr>
      </w:pPr>
    </w:p>
    <w:p>
      <w:pPr>
        <w:shd w:val="clear"/>
        <w:tabs>
          <w:tab w:val="left" w:pos="6300"/>
        </w:tabs>
        <w:snapToGrid w:val="0"/>
        <w:spacing w:line="500" w:lineRule="exact"/>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（采购代理机构名称）：</w:t>
      </w:r>
    </w:p>
    <w:p>
      <w:pPr>
        <w:shd w:val="clear"/>
        <w:tabs>
          <w:tab w:val="left" w:pos="6300"/>
        </w:tabs>
        <w:snapToGrid w:val="0"/>
        <w:spacing w:line="500" w:lineRule="exact"/>
        <w:ind w:firstLine="570"/>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（法定代表人姓名）在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（投标人名称）任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（职务名称）职务，是（投标人名称）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的法定代表人。</w:t>
      </w:r>
    </w:p>
    <w:p>
      <w:pPr>
        <w:shd w:val="clear"/>
        <w:tabs>
          <w:tab w:val="left" w:pos="6300"/>
        </w:tabs>
        <w:snapToGrid w:val="0"/>
        <w:spacing w:line="500" w:lineRule="exact"/>
        <w:ind w:firstLine="570"/>
        <w:rPr>
          <w:rFonts w:hint="eastAsia" w:ascii="仿宋" w:hAnsi="仿宋" w:eastAsia="仿宋" w:cs="仿宋"/>
          <w:sz w:val="24"/>
          <w:highlight w:val="none"/>
        </w:rPr>
      </w:pPr>
    </w:p>
    <w:p>
      <w:pPr>
        <w:shd w:val="clear"/>
        <w:tabs>
          <w:tab w:val="left" w:pos="6300"/>
        </w:tabs>
        <w:snapToGrid w:val="0"/>
        <w:spacing w:line="500" w:lineRule="exact"/>
        <w:ind w:firstLine="570"/>
        <w:rPr>
          <w:rFonts w:hint="eastAsia" w:ascii="仿宋" w:hAnsi="仿宋" w:eastAsia="仿宋" w:cs="仿宋"/>
          <w:sz w:val="24"/>
          <w:highlight w:val="none"/>
        </w:rPr>
      </w:pPr>
      <w:r>
        <w:rPr>
          <w:rFonts w:hint="eastAsia" w:ascii="仿宋" w:hAnsi="仿宋" w:eastAsia="仿宋" w:cs="仿宋"/>
          <w:sz w:val="24"/>
          <w:highlight w:val="none"/>
        </w:rPr>
        <w:t>特此证明。</w:t>
      </w:r>
    </w:p>
    <w:p>
      <w:pPr>
        <w:shd w:val="clear"/>
        <w:tabs>
          <w:tab w:val="left" w:pos="6300"/>
        </w:tabs>
        <w:snapToGrid w:val="0"/>
        <w:spacing w:line="500" w:lineRule="exact"/>
        <w:ind w:firstLine="570"/>
        <w:rPr>
          <w:rFonts w:hint="eastAsia" w:ascii="仿宋" w:hAnsi="仿宋" w:eastAsia="仿宋" w:cs="仿宋"/>
          <w:sz w:val="24"/>
          <w:highlight w:val="none"/>
        </w:rPr>
      </w:pPr>
    </w:p>
    <w:p>
      <w:pPr>
        <w:shd w:val="clear"/>
        <w:tabs>
          <w:tab w:val="left" w:pos="6300"/>
        </w:tabs>
        <w:snapToGrid w:val="0"/>
        <w:spacing w:line="500" w:lineRule="exact"/>
        <w:ind w:firstLine="570"/>
        <w:rPr>
          <w:rFonts w:hint="eastAsia" w:ascii="仿宋" w:hAnsi="仿宋" w:eastAsia="仿宋" w:cs="仿宋"/>
          <w:sz w:val="24"/>
          <w:highlight w:val="none"/>
        </w:rPr>
      </w:pPr>
    </w:p>
    <w:p>
      <w:pPr>
        <w:shd w:val="clear"/>
        <w:tabs>
          <w:tab w:val="left" w:pos="6300"/>
        </w:tabs>
        <w:snapToGrid w:val="0"/>
        <w:spacing w:line="500" w:lineRule="exact"/>
        <w:ind w:firstLine="570"/>
        <w:rPr>
          <w:rFonts w:hint="eastAsia" w:ascii="仿宋" w:hAnsi="仿宋" w:eastAsia="仿宋" w:cs="仿宋"/>
          <w:sz w:val="24"/>
          <w:highlight w:val="none"/>
        </w:rPr>
      </w:pPr>
      <w:r>
        <w:rPr>
          <w:rFonts w:hint="eastAsia" w:ascii="仿宋" w:hAnsi="仿宋" w:eastAsia="仿宋" w:cs="仿宋"/>
          <w:sz w:val="24"/>
          <w:highlight w:val="none"/>
        </w:rPr>
        <w:t xml:space="preserve">                                             投标人：</w:t>
      </w:r>
    </w:p>
    <w:p>
      <w:pPr>
        <w:shd w:val="clear"/>
        <w:tabs>
          <w:tab w:val="left" w:pos="6300"/>
        </w:tabs>
        <w:snapToGrid w:val="0"/>
        <w:spacing w:line="500" w:lineRule="exact"/>
        <w:ind w:firstLine="5848" w:firstLineChars="2437"/>
        <w:rPr>
          <w:rFonts w:hint="eastAsia" w:ascii="仿宋" w:hAnsi="仿宋" w:eastAsia="仿宋" w:cs="仿宋"/>
          <w:sz w:val="24"/>
          <w:highlight w:val="none"/>
        </w:rPr>
      </w:pPr>
      <w:r>
        <w:rPr>
          <w:rFonts w:hint="eastAsia" w:ascii="仿宋" w:hAnsi="仿宋" w:eastAsia="仿宋" w:cs="仿宋"/>
          <w:sz w:val="24"/>
          <w:highlight w:val="none"/>
        </w:rPr>
        <w:t>（投标人公章）</w:t>
      </w:r>
    </w:p>
    <w:p>
      <w:pPr>
        <w:shd w:val="clear"/>
        <w:tabs>
          <w:tab w:val="left" w:pos="6300"/>
        </w:tabs>
        <w:snapToGrid w:val="0"/>
        <w:spacing w:line="500" w:lineRule="exact"/>
        <w:ind w:firstLine="570"/>
        <w:rPr>
          <w:rFonts w:hint="eastAsia" w:ascii="仿宋" w:hAnsi="仿宋" w:eastAsia="仿宋" w:cs="仿宋"/>
          <w:sz w:val="24"/>
          <w:highlight w:val="none"/>
        </w:rPr>
      </w:pPr>
    </w:p>
    <w:p>
      <w:pPr>
        <w:shd w:val="clear"/>
        <w:tabs>
          <w:tab w:val="left" w:pos="6300"/>
        </w:tabs>
        <w:snapToGrid w:val="0"/>
        <w:spacing w:line="500" w:lineRule="exact"/>
        <w:ind w:firstLine="570"/>
        <w:rPr>
          <w:rFonts w:hint="eastAsia" w:ascii="仿宋" w:hAnsi="仿宋" w:eastAsia="仿宋" w:cs="仿宋"/>
          <w:sz w:val="24"/>
          <w:highlight w:val="none"/>
        </w:rPr>
      </w:pPr>
      <w:r>
        <w:rPr>
          <w:rFonts w:hint="eastAsia" w:ascii="仿宋" w:hAnsi="仿宋" w:eastAsia="仿宋" w:cs="仿宋"/>
          <w:sz w:val="24"/>
          <w:highlight w:val="none"/>
        </w:rPr>
        <w:t xml:space="preserve">                                             年   月   日</w:t>
      </w:r>
    </w:p>
    <w:p>
      <w:pPr>
        <w:shd w:val="clear"/>
        <w:tabs>
          <w:tab w:val="left" w:pos="6300"/>
        </w:tabs>
        <w:snapToGrid w:val="0"/>
        <w:spacing w:line="500" w:lineRule="exact"/>
        <w:ind w:firstLine="570"/>
        <w:rPr>
          <w:rFonts w:hint="eastAsia" w:ascii="仿宋" w:hAnsi="仿宋" w:eastAsia="仿宋" w:cs="仿宋"/>
          <w:sz w:val="24"/>
          <w:highlight w:val="none"/>
        </w:rPr>
      </w:pPr>
      <w:r>
        <w:rPr>
          <w:rFonts w:hint="eastAsia" w:ascii="仿宋" w:hAnsi="仿宋" w:eastAsia="仿宋" w:cs="仿宋"/>
          <w:sz w:val="24"/>
          <w:highlight w:val="none"/>
        </w:rPr>
        <w:t>法定代表人电话：XXXXXXX      电子邮箱：XXXXXX@XXXXX（若授权他人办理并签署投标文件的可不填写）</w:t>
      </w:r>
    </w:p>
    <w:p>
      <w:pPr>
        <w:shd w:val="clear"/>
        <w:tabs>
          <w:tab w:val="left" w:pos="6300"/>
        </w:tabs>
        <w:snapToGrid w:val="0"/>
        <w:spacing w:line="500" w:lineRule="exact"/>
        <w:ind w:firstLine="570"/>
        <w:rPr>
          <w:rFonts w:hint="eastAsia" w:ascii="仿宋" w:hAnsi="仿宋" w:eastAsia="仿宋" w:cs="仿宋"/>
          <w:sz w:val="24"/>
          <w:highlight w:val="none"/>
        </w:rPr>
      </w:pPr>
      <w:r>
        <w:rPr>
          <w:rFonts w:hint="eastAsia" w:ascii="仿宋" w:hAnsi="仿宋" w:eastAsia="仿宋" w:cs="仿宋"/>
          <w:sz w:val="24"/>
          <w:highlight w:val="none"/>
        </w:rPr>
        <w:t>（附：法定代表人身份证正反面复印件）</w:t>
      </w:r>
    </w:p>
    <w:p>
      <w:pPr>
        <w:shd w:val="clear"/>
        <w:tabs>
          <w:tab w:val="left" w:pos="6300"/>
        </w:tabs>
        <w:snapToGrid w:val="0"/>
        <w:spacing w:line="500" w:lineRule="exact"/>
        <w:ind w:firstLine="570"/>
        <w:rPr>
          <w:rFonts w:hint="eastAsia" w:ascii="仿宋" w:hAnsi="仿宋" w:eastAsia="仿宋" w:cs="仿宋"/>
          <w:sz w:val="24"/>
          <w:highlight w:val="none"/>
        </w:rPr>
      </w:pPr>
    </w:p>
    <w:p>
      <w:pPr>
        <w:shd w:val="clear"/>
        <w:tabs>
          <w:tab w:val="left" w:pos="6300"/>
        </w:tabs>
        <w:snapToGrid w:val="0"/>
        <w:spacing w:line="500" w:lineRule="exact"/>
        <w:ind w:firstLine="570"/>
        <w:rPr>
          <w:rFonts w:hint="eastAsia" w:ascii="仿宋" w:hAnsi="仿宋" w:eastAsia="仿宋" w:cs="仿宋"/>
          <w:sz w:val="24"/>
          <w:highlight w:val="none"/>
        </w:rPr>
      </w:pPr>
    </w:p>
    <w:p>
      <w:pPr>
        <w:shd w:val="clear"/>
        <w:tabs>
          <w:tab w:val="left" w:pos="6300"/>
        </w:tabs>
        <w:snapToGrid w:val="0"/>
        <w:spacing w:line="500" w:lineRule="exact"/>
        <w:ind w:firstLine="570"/>
        <w:rPr>
          <w:rFonts w:hint="eastAsia" w:ascii="仿宋" w:hAnsi="仿宋" w:eastAsia="仿宋" w:cs="仿宋"/>
          <w:sz w:val="24"/>
          <w:highlight w:val="none"/>
        </w:rPr>
      </w:pPr>
    </w:p>
    <w:p>
      <w:pPr>
        <w:shd w:val="clear"/>
        <w:tabs>
          <w:tab w:val="left" w:pos="6300"/>
        </w:tabs>
        <w:snapToGrid w:val="0"/>
        <w:spacing w:line="500" w:lineRule="exact"/>
        <w:ind w:firstLine="570"/>
        <w:rPr>
          <w:rFonts w:hint="eastAsia" w:ascii="仿宋" w:hAnsi="仿宋" w:eastAsia="仿宋" w:cs="仿宋"/>
          <w:sz w:val="24"/>
          <w:highlight w:val="none"/>
        </w:rPr>
      </w:pPr>
    </w:p>
    <w:p>
      <w:pPr>
        <w:shd w:val="clear"/>
        <w:tabs>
          <w:tab w:val="left" w:pos="6300"/>
        </w:tabs>
        <w:snapToGrid w:val="0"/>
        <w:spacing w:line="500" w:lineRule="exact"/>
        <w:ind w:firstLine="570"/>
        <w:rPr>
          <w:rFonts w:hint="eastAsia" w:ascii="仿宋" w:hAnsi="仿宋" w:eastAsia="仿宋" w:cs="仿宋"/>
          <w:sz w:val="24"/>
          <w:highlight w:val="none"/>
        </w:rPr>
      </w:pPr>
    </w:p>
    <w:p>
      <w:pPr>
        <w:shd w:val="clear"/>
        <w:spacing w:line="400" w:lineRule="exact"/>
        <w:ind w:firstLine="560" w:firstLineChars="200"/>
        <w:rPr>
          <w:rFonts w:hint="eastAsia" w:ascii="仿宋" w:hAnsi="仿宋" w:eastAsia="仿宋" w:cs="仿宋"/>
          <w:sz w:val="24"/>
          <w:szCs w:val="28"/>
          <w:highlight w:val="none"/>
        </w:rPr>
      </w:pPr>
      <w:r>
        <w:rPr>
          <w:rFonts w:hint="eastAsia" w:ascii="仿宋" w:hAnsi="仿宋" w:eastAsia="仿宋" w:cs="仿宋"/>
          <w:highlight w:val="none"/>
        </w:rPr>
        <w:br w:type="column"/>
      </w:r>
      <w:r>
        <w:rPr>
          <w:rFonts w:hint="eastAsia" w:ascii="仿宋" w:hAnsi="仿宋" w:eastAsia="仿宋" w:cs="仿宋"/>
          <w:sz w:val="24"/>
          <w:szCs w:val="28"/>
          <w:highlight w:val="none"/>
        </w:rPr>
        <w:t>（三）法定代表人授权委托书（格式）</w:t>
      </w:r>
    </w:p>
    <w:p>
      <w:pPr>
        <w:shd w:val="clear"/>
        <w:tabs>
          <w:tab w:val="left" w:pos="6300"/>
        </w:tabs>
        <w:snapToGrid w:val="0"/>
        <w:spacing w:line="500" w:lineRule="exact"/>
        <w:ind w:firstLine="570"/>
        <w:rPr>
          <w:rFonts w:hint="eastAsia" w:ascii="仿宋" w:hAnsi="仿宋" w:eastAsia="仿宋" w:cs="仿宋"/>
          <w:sz w:val="24"/>
          <w:highlight w:val="none"/>
        </w:rPr>
      </w:pPr>
      <w:r>
        <w:rPr>
          <w:rFonts w:hint="eastAsia" w:ascii="仿宋" w:hAnsi="仿宋" w:eastAsia="仿宋" w:cs="仿宋"/>
          <w:sz w:val="24"/>
          <w:highlight w:val="none"/>
        </w:rPr>
        <w:t xml:space="preserve">    </w:t>
      </w:r>
    </w:p>
    <w:p>
      <w:pPr>
        <w:shd w:val="clear"/>
        <w:tabs>
          <w:tab w:val="left" w:pos="6300"/>
        </w:tabs>
        <w:snapToGrid w:val="0"/>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szCs w:val="28"/>
          <w:highlight w:val="none"/>
        </w:rPr>
        <w:t>招标项目名称</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p>
    <w:p>
      <w:pPr>
        <w:shd w:val="clear"/>
        <w:tabs>
          <w:tab w:val="left" w:pos="6300"/>
        </w:tabs>
        <w:snapToGrid w:val="0"/>
        <w:spacing w:line="500" w:lineRule="exact"/>
        <w:ind w:firstLine="570"/>
        <w:rPr>
          <w:rFonts w:hint="eastAsia" w:ascii="仿宋" w:hAnsi="仿宋" w:eastAsia="仿宋" w:cs="仿宋"/>
          <w:sz w:val="24"/>
          <w:highlight w:val="none"/>
        </w:rPr>
      </w:pPr>
    </w:p>
    <w:p>
      <w:pPr>
        <w:shd w:val="clear"/>
        <w:tabs>
          <w:tab w:val="left" w:pos="6300"/>
        </w:tabs>
        <w:snapToGrid w:val="0"/>
        <w:spacing w:line="500" w:lineRule="exact"/>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（采购代理机构名称）：</w:t>
      </w:r>
    </w:p>
    <w:p>
      <w:pPr>
        <w:shd w:val="clear"/>
        <w:tabs>
          <w:tab w:val="left" w:pos="6300"/>
        </w:tabs>
        <w:snapToGrid w:val="0"/>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（投标人法定代表人名称）是</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（投标人名称）的法定代表人，特授权</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（被授权人姓名及身份证代码）代表我单位全权办理上述项目的投标、谈判、签约等具体工作，并签署全部有关文件、协议及合同。</w:t>
      </w:r>
    </w:p>
    <w:p>
      <w:pPr>
        <w:shd w:val="clear"/>
        <w:tabs>
          <w:tab w:val="left" w:pos="6300"/>
        </w:tabs>
        <w:snapToGrid w:val="0"/>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我单位对被授权人的签署负全部责任。</w:t>
      </w:r>
    </w:p>
    <w:p>
      <w:pPr>
        <w:shd w:val="clear"/>
        <w:tabs>
          <w:tab w:val="left" w:pos="6300"/>
        </w:tabs>
        <w:snapToGrid w:val="0"/>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在撤消授权的书面通知以前，本授权书一直有效。被授权人在授权书有效期内签署的所有文件不因授权的撤消而失效。</w:t>
      </w:r>
    </w:p>
    <w:p>
      <w:pPr>
        <w:shd w:val="clear"/>
        <w:tabs>
          <w:tab w:val="left" w:pos="6300"/>
        </w:tabs>
        <w:snapToGrid w:val="0"/>
        <w:spacing w:line="500" w:lineRule="exact"/>
        <w:ind w:firstLine="570"/>
        <w:rPr>
          <w:rFonts w:hint="eastAsia" w:ascii="仿宋" w:hAnsi="仿宋" w:eastAsia="仿宋" w:cs="仿宋"/>
          <w:sz w:val="24"/>
          <w:highlight w:val="none"/>
        </w:rPr>
      </w:pPr>
    </w:p>
    <w:p>
      <w:pPr>
        <w:shd w:val="clear"/>
        <w:tabs>
          <w:tab w:val="left" w:pos="6300"/>
        </w:tabs>
        <w:snapToGrid w:val="0"/>
        <w:spacing w:line="500" w:lineRule="exact"/>
        <w:ind w:firstLine="570"/>
        <w:rPr>
          <w:rFonts w:hint="eastAsia" w:ascii="仿宋" w:hAnsi="仿宋" w:eastAsia="仿宋" w:cs="仿宋"/>
          <w:sz w:val="24"/>
          <w:highlight w:val="none"/>
        </w:rPr>
      </w:pPr>
    </w:p>
    <w:p>
      <w:pPr>
        <w:shd w:val="clear"/>
        <w:tabs>
          <w:tab w:val="left" w:pos="6300"/>
        </w:tabs>
        <w:snapToGrid w:val="0"/>
        <w:spacing w:line="500" w:lineRule="exact"/>
        <w:ind w:firstLine="570"/>
        <w:rPr>
          <w:rFonts w:hint="eastAsia" w:ascii="仿宋" w:hAnsi="仿宋" w:eastAsia="仿宋" w:cs="仿宋"/>
          <w:sz w:val="24"/>
          <w:highlight w:val="none"/>
        </w:rPr>
      </w:pPr>
      <w:r>
        <w:rPr>
          <w:rFonts w:hint="eastAsia" w:ascii="仿宋" w:hAnsi="仿宋" w:eastAsia="仿宋" w:cs="仿宋"/>
          <w:sz w:val="24"/>
          <w:highlight w:val="none"/>
        </w:rPr>
        <w:t>被授权人：                                 投标人法定代表人：</w:t>
      </w:r>
    </w:p>
    <w:p>
      <w:pPr>
        <w:shd w:val="clear"/>
        <w:tabs>
          <w:tab w:val="left" w:pos="6300"/>
        </w:tabs>
        <w:snapToGrid w:val="0"/>
        <w:spacing w:line="500" w:lineRule="exact"/>
        <w:ind w:firstLine="570"/>
        <w:rPr>
          <w:rFonts w:hint="eastAsia" w:ascii="仿宋" w:hAnsi="仿宋" w:eastAsia="仿宋" w:cs="仿宋"/>
          <w:sz w:val="24"/>
          <w:szCs w:val="28"/>
          <w:highlight w:val="none"/>
        </w:rPr>
      </w:pPr>
      <w:r>
        <w:rPr>
          <w:rFonts w:hint="eastAsia" w:ascii="仿宋" w:hAnsi="仿宋" w:eastAsia="仿宋" w:cs="仿宋"/>
          <w:sz w:val="24"/>
          <w:szCs w:val="28"/>
          <w:highlight w:val="none"/>
        </w:rPr>
        <w:t>（签署或盖章）                                （签署或盖章）</w:t>
      </w:r>
    </w:p>
    <w:p>
      <w:pPr>
        <w:shd w:val="clear"/>
        <w:tabs>
          <w:tab w:val="left" w:pos="6300"/>
        </w:tabs>
        <w:snapToGrid w:val="0"/>
        <w:spacing w:line="500" w:lineRule="exact"/>
        <w:ind w:firstLine="570"/>
        <w:rPr>
          <w:rFonts w:hint="eastAsia" w:ascii="仿宋" w:hAnsi="仿宋" w:eastAsia="仿宋" w:cs="仿宋"/>
          <w:sz w:val="24"/>
          <w:szCs w:val="28"/>
          <w:highlight w:val="none"/>
        </w:rPr>
      </w:pPr>
    </w:p>
    <w:p>
      <w:pPr>
        <w:shd w:val="clear"/>
        <w:tabs>
          <w:tab w:val="left" w:pos="6300"/>
        </w:tabs>
        <w:snapToGrid w:val="0"/>
        <w:spacing w:line="500" w:lineRule="exact"/>
        <w:ind w:firstLine="570"/>
        <w:rPr>
          <w:rFonts w:hint="eastAsia" w:ascii="仿宋" w:hAnsi="仿宋" w:eastAsia="仿宋" w:cs="仿宋"/>
          <w:sz w:val="24"/>
          <w:highlight w:val="none"/>
        </w:rPr>
      </w:pPr>
    </w:p>
    <w:p>
      <w:pPr>
        <w:shd w:val="clear"/>
        <w:tabs>
          <w:tab w:val="left" w:pos="6300"/>
        </w:tabs>
        <w:snapToGrid w:val="0"/>
        <w:spacing w:line="500" w:lineRule="exact"/>
        <w:ind w:firstLine="570"/>
        <w:rPr>
          <w:rFonts w:hint="eastAsia" w:ascii="仿宋" w:hAnsi="仿宋" w:eastAsia="仿宋" w:cs="仿宋"/>
          <w:sz w:val="24"/>
          <w:highlight w:val="none"/>
        </w:rPr>
      </w:pPr>
      <w:r>
        <w:rPr>
          <w:rFonts w:hint="eastAsia" w:ascii="仿宋" w:hAnsi="仿宋" w:eastAsia="仿宋" w:cs="仿宋"/>
          <w:sz w:val="24"/>
          <w:highlight w:val="none"/>
        </w:rPr>
        <w:t>（附：被授权人身份证正反面复印件）</w:t>
      </w:r>
    </w:p>
    <w:p>
      <w:pPr>
        <w:shd w:val="clear"/>
        <w:tabs>
          <w:tab w:val="left" w:pos="6300"/>
        </w:tabs>
        <w:snapToGrid w:val="0"/>
        <w:spacing w:line="500" w:lineRule="exact"/>
        <w:ind w:firstLine="570"/>
        <w:rPr>
          <w:rFonts w:hint="eastAsia" w:ascii="仿宋" w:hAnsi="仿宋" w:eastAsia="仿宋" w:cs="仿宋"/>
          <w:sz w:val="24"/>
          <w:highlight w:val="none"/>
        </w:rPr>
      </w:pPr>
      <w:r>
        <w:rPr>
          <w:rFonts w:hint="eastAsia" w:ascii="仿宋" w:hAnsi="仿宋" w:eastAsia="仿宋" w:cs="仿宋"/>
          <w:sz w:val="24"/>
          <w:highlight w:val="none"/>
        </w:rPr>
        <w:t xml:space="preserve">                                          </w:t>
      </w:r>
    </w:p>
    <w:p>
      <w:pPr>
        <w:shd w:val="clear"/>
        <w:tabs>
          <w:tab w:val="left" w:pos="6300"/>
        </w:tabs>
        <w:snapToGrid w:val="0"/>
        <w:spacing w:line="500" w:lineRule="exact"/>
        <w:ind w:firstLine="570"/>
        <w:rPr>
          <w:rFonts w:hint="eastAsia" w:ascii="仿宋" w:hAnsi="仿宋" w:eastAsia="仿宋" w:cs="仿宋"/>
          <w:sz w:val="24"/>
          <w:highlight w:val="none"/>
        </w:rPr>
      </w:pPr>
    </w:p>
    <w:p>
      <w:pPr>
        <w:shd w:val="clear"/>
        <w:tabs>
          <w:tab w:val="left" w:pos="6300"/>
        </w:tabs>
        <w:snapToGrid w:val="0"/>
        <w:spacing w:line="500" w:lineRule="exact"/>
        <w:ind w:right="480" w:firstLine="570"/>
        <w:jc w:val="right"/>
        <w:rPr>
          <w:rFonts w:hint="eastAsia" w:ascii="仿宋" w:hAnsi="仿宋" w:eastAsia="仿宋" w:cs="仿宋"/>
          <w:sz w:val="24"/>
          <w:highlight w:val="none"/>
        </w:rPr>
      </w:pPr>
      <w:r>
        <w:rPr>
          <w:rFonts w:hint="eastAsia" w:ascii="仿宋" w:hAnsi="仿宋" w:eastAsia="仿宋" w:cs="仿宋"/>
          <w:sz w:val="24"/>
          <w:highlight w:val="none"/>
        </w:rPr>
        <w:t>（投标人公章）</w:t>
      </w:r>
    </w:p>
    <w:p>
      <w:pPr>
        <w:shd w:val="clear"/>
        <w:tabs>
          <w:tab w:val="left" w:pos="6300"/>
        </w:tabs>
        <w:snapToGrid w:val="0"/>
        <w:spacing w:line="500" w:lineRule="exact"/>
        <w:ind w:right="480" w:firstLine="570"/>
        <w:jc w:val="right"/>
        <w:rPr>
          <w:rFonts w:hint="eastAsia" w:ascii="仿宋" w:hAnsi="仿宋" w:eastAsia="仿宋" w:cs="仿宋"/>
          <w:sz w:val="24"/>
          <w:highlight w:val="none"/>
        </w:rPr>
      </w:pPr>
      <w:r>
        <w:rPr>
          <w:rFonts w:hint="eastAsia" w:ascii="仿宋" w:hAnsi="仿宋" w:eastAsia="仿宋" w:cs="仿宋"/>
          <w:sz w:val="24"/>
          <w:highlight w:val="none"/>
        </w:rPr>
        <w:t>年   月   日</w:t>
      </w:r>
    </w:p>
    <w:p>
      <w:pPr>
        <w:shd w:val="clear"/>
        <w:tabs>
          <w:tab w:val="left" w:pos="6300"/>
        </w:tabs>
        <w:snapToGrid w:val="0"/>
        <w:spacing w:line="500" w:lineRule="exact"/>
        <w:ind w:right="720" w:firstLine="570"/>
        <w:jc w:val="right"/>
        <w:rPr>
          <w:rFonts w:hint="eastAsia" w:ascii="仿宋" w:hAnsi="仿宋" w:eastAsia="仿宋" w:cs="仿宋"/>
          <w:sz w:val="24"/>
          <w:highlight w:val="none"/>
        </w:rPr>
      </w:pPr>
    </w:p>
    <w:p>
      <w:pPr>
        <w:shd w:val="clear"/>
        <w:tabs>
          <w:tab w:val="left" w:pos="6300"/>
        </w:tabs>
        <w:snapToGrid w:val="0"/>
        <w:spacing w:line="500" w:lineRule="exact"/>
        <w:ind w:right="480" w:firstLine="570"/>
        <w:jc w:val="left"/>
        <w:rPr>
          <w:rFonts w:hint="eastAsia" w:ascii="仿宋" w:hAnsi="仿宋" w:eastAsia="仿宋" w:cs="仿宋"/>
          <w:sz w:val="24"/>
          <w:highlight w:val="none"/>
        </w:rPr>
      </w:pPr>
      <w:r>
        <w:rPr>
          <w:rFonts w:hint="eastAsia" w:ascii="仿宋" w:hAnsi="仿宋" w:eastAsia="仿宋" w:cs="仿宋"/>
          <w:sz w:val="24"/>
          <w:highlight w:val="none"/>
        </w:rPr>
        <w:t>被授权人电话：XXXXXXX     电子邮箱：XXXXXX@XXXXX（若法定代表人办理并签署投标文件的可不填写）</w:t>
      </w:r>
    </w:p>
    <w:p>
      <w:pPr>
        <w:shd w:val="clear"/>
        <w:tabs>
          <w:tab w:val="left" w:pos="6300"/>
        </w:tabs>
        <w:snapToGrid w:val="0"/>
        <w:spacing w:line="500" w:lineRule="exact"/>
        <w:ind w:right="480" w:firstLine="570"/>
        <w:jc w:val="left"/>
        <w:rPr>
          <w:rFonts w:hint="eastAsia" w:ascii="仿宋" w:hAnsi="仿宋" w:eastAsia="仿宋" w:cs="仿宋"/>
          <w:sz w:val="24"/>
          <w:highlight w:val="none"/>
        </w:rPr>
      </w:pPr>
      <w:r>
        <w:rPr>
          <w:rFonts w:hint="eastAsia" w:ascii="仿宋" w:hAnsi="仿宋" w:eastAsia="仿宋" w:cs="仿宋"/>
          <w:sz w:val="24"/>
          <w:highlight w:val="none"/>
        </w:rPr>
        <w:t>注：</w:t>
      </w:r>
    </w:p>
    <w:p>
      <w:pPr>
        <w:shd w:val="clear"/>
        <w:tabs>
          <w:tab w:val="left" w:pos="6300"/>
        </w:tabs>
        <w:snapToGrid w:val="0"/>
        <w:spacing w:line="500" w:lineRule="exact"/>
        <w:ind w:right="480" w:firstLine="570"/>
        <w:jc w:val="left"/>
        <w:rPr>
          <w:rFonts w:hint="eastAsia" w:ascii="仿宋" w:hAnsi="仿宋" w:eastAsia="仿宋" w:cs="仿宋"/>
          <w:sz w:val="24"/>
          <w:highlight w:val="none"/>
        </w:rPr>
      </w:pPr>
      <w:r>
        <w:rPr>
          <w:rFonts w:hint="eastAsia" w:ascii="仿宋" w:hAnsi="仿宋" w:eastAsia="仿宋" w:cs="仿宋"/>
          <w:sz w:val="24"/>
          <w:highlight w:val="none"/>
        </w:rPr>
        <w:t>1.若为法定代表人办理并签署投标文件的，不提供此文件。</w:t>
      </w:r>
    </w:p>
    <w:p>
      <w:pPr>
        <w:shd w:val="clear"/>
        <w:tabs>
          <w:tab w:val="left" w:pos="6300"/>
        </w:tabs>
        <w:snapToGrid w:val="0"/>
        <w:spacing w:line="500" w:lineRule="exact"/>
        <w:ind w:right="480" w:firstLine="570"/>
        <w:jc w:val="left"/>
        <w:rPr>
          <w:rFonts w:hint="eastAsia" w:ascii="仿宋" w:hAnsi="仿宋" w:eastAsia="仿宋" w:cs="仿宋"/>
          <w:sz w:val="24"/>
          <w:szCs w:val="28"/>
          <w:highlight w:val="none"/>
        </w:rPr>
      </w:pPr>
      <w:r>
        <w:rPr>
          <w:rFonts w:hint="eastAsia" w:ascii="仿宋" w:hAnsi="仿宋" w:eastAsia="仿宋" w:cs="仿宋"/>
          <w:sz w:val="24"/>
          <w:highlight w:val="none"/>
        </w:rPr>
        <w:t>2.若为联合体投标的，法定代表人授权委托书由联合体主办方</w:t>
      </w:r>
      <w:r>
        <w:rPr>
          <w:rFonts w:hint="eastAsia" w:ascii="仿宋" w:hAnsi="仿宋" w:eastAsia="仿宋" w:cs="仿宋"/>
          <w:kern w:val="0"/>
          <w:sz w:val="24"/>
          <w:szCs w:val="24"/>
          <w:highlight w:val="none"/>
        </w:rPr>
        <w:t>（主体）</w:t>
      </w:r>
      <w:r>
        <w:rPr>
          <w:rFonts w:hint="eastAsia" w:ascii="仿宋" w:hAnsi="仿宋" w:eastAsia="仿宋" w:cs="仿宋"/>
          <w:sz w:val="24"/>
          <w:highlight w:val="none"/>
        </w:rPr>
        <w:t>出具。</w:t>
      </w:r>
    </w:p>
    <w:p>
      <w:pPr>
        <w:shd w:val="clear"/>
        <w:tabs>
          <w:tab w:val="left" w:pos="6300"/>
        </w:tabs>
        <w:snapToGrid w:val="0"/>
        <w:spacing w:line="530" w:lineRule="exact"/>
        <w:jc w:val="center"/>
        <w:rPr>
          <w:rFonts w:hint="eastAsia" w:ascii="仿宋" w:hAnsi="仿宋" w:eastAsia="仿宋" w:cs="仿宋"/>
          <w:sz w:val="44"/>
          <w:highlight w:val="none"/>
        </w:rPr>
      </w:pPr>
      <w:r>
        <w:rPr>
          <w:rFonts w:hint="eastAsia" w:ascii="仿宋" w:hAnsi="仿宋" w:eastAsia="仿宋" w:cs="仿宋"/>
          <w:highlight w:val="none"/>
        </w:rPr>
        <w:br w:type="page"/>
      </w:r>
      <w:r>
        <w:rPr>
          <w:rFonts w:hint="eastAsia" w:ascii="仿宋" w:hAnsi="仿宋" w:eastAsia="仿宋" w:cs="仿宋"/>
          <w:highlight w:val="none"/>
        </w:rPr>
        <w:t>（四）</w:t>
      </w:r>
      <w:r>
        <w:rPr>
          <w:rFonts w:hint="eastAsia" w:ascii="仿宋" w:hAnsi="仿宋" w:eastAsia="仿宋" w:cs="仿宋"/>
          <w:szCs w:val="13"/>
          <w:highlight w:val="none"/>
        </w:rPr>
        <w:t>基本资格条件承诺函</w:t>
      </w:r>
    </w:p>
    <w:p>
      <w:pPr>
        <w:shd w:val="clear"/>
        <w:tabs>
          <w:tab w:val="left" w:pos="6300"/>
        </w:tabs>
        <w:snapToGrid w:val="0"/>
        <w:spacing w:line="530" w:lineRule="exact"/>
        <w:rPr>
          <w:rFonts w:hint="eastAsia" w:ascii="仿宋" w:hAnsi="仿宋" w:eastAsia="仿宋" w:cs="仿宋"/>
          <w:sz w:val="24"/>
          <w:highlight w:val="none"/>
        </w:rPr>
      </w:pPr>
    </w:p>
    <w:p>
      <w:pPr>
        <w:shd w:val="clear"/>
        <w:tabs>
          <w:tab w:val="left" w:pos="6300"/>
        </w:tabs>
        <w:snapToGrid w:val="0"/>
        <w:spacing w:line="500" w:lineRule="exact"/>
        <w:ind w:right="480" w:firstLine="570"/>
        <w:jc w:val="left"/>
        <w:rPr>
          <w:rFonts w:hint="eastAsia" w:ascii="仿宋" w:hAnsi="仿宋" w:eastAsia="仿宋" w:cs="仿宋"/>
          <w:sz w:val="24"/>
          <w:szCs w:val="22"/>
          <w:highlight w:val="none"/>
        </w:rPr>
      </w:pPr>
      <w:r>
        <w:rPr>
          <w:rFonts w:hint="eastAsia" w:ascii="仿宋" w:hAnsi="仿宋" w:eastAsia="仿宋" w:cs="仿宋"/>
          <w:sz w:val="24"/>
          <w:szCs w:val="22"/>
          <w:highlight w:val="none"/>
        </w:rPr>
        <w:t>致</w:t>
      </w:r>
      <w:r>
        <w:rPr>
          <w:rFonts w:hint="eastAsia" w:ascii="仿宋" w:hAnsi="仿宋" w:eastAsia="仿宋" w:cs="仿宋"/>
          <w:sz w:val="24"/>
          <w:szCs w:val="22"/>
          <w:highlight w:val="none"/>
          <w:u w:val="single"/>
        </w:rPr>
        <w:t xml:space="preserve">                   </w:t>
      </w:r>
      <w:r>
        <w:rPr>
          <w:rFonts w:hint="eastAsia" w:ascii="仿宋" w:hAnsi="仿宋" w:eastAsia="仿宋" w:cs="仿宋"/>
          <w:sz w:val="24"/>
          <w:szCs w:val="22"/>
          <w:highlight w:val="none"/>
        </w:rPr>
        <w:t>（采购代理机构名称）：</w:t>
      </w:r>
    </w:p>
    <w:p>
      <w:pPr>
        <w:shd w:val="clear"/>
        <w:tabs>
          <w:tab w:val="left" w:pos="6300"/>
        </w:tabs>
        <w:snapToGrid w:val="0"/>
        <w:spacing w:line="500" w:lineRule="exact"/>
        <w:ind w:right="480" w:firstLine="570"/>
        <w:jc w:val="left"/>
        <w:rPr>
          <w:rFonts w:hint="eastAsia" w:ascii="仿宋" w:hAnsi="仿宋" w:eastAsia="仿宋" w:cs="仿宋"/>
          <w:sz w:val="24"/>
          <w:szCs w:val="22"/>
          <w:highlight w:val="none"/>
        </w:rPr>
      </w:pPr>
      <w:r>
        <w:rPr>
          <w:rFonts w:hint="eastAsia" w:ascii="仿宋" w:hAnsi="仿宋" w:eastAsia="仿宋" w:cs="仿宋"/>
          <w:sz w:val="24"/>
          <w:szCs w:val="22"/>
          <w:highlight w:val="none"/>
          <w:u w:val="single"/>
        </w:rPr>
        <w:t xml:space="preserve">                     </w:t>
      </w:r>
      <w:r>
        <w:rPr>
          <w:rFonts w:hint="eastAsia" w:ascii="仿宋" w:hAnsi="仿宋" w:eastAsia="仿宋" w:cs="仿宋"/>
          <w:sz w:val="24"/>
          <w:szCs w:val="22"/>
          <w:highlight w:val="none"/>
        </w:rPr>
        <w:t>（投标人名称）郑重承诺：</w:t>
      </w:r>
    </w:p>
    <w:p>
      <w:pPr>
        <w:shd w:val="clear"/>
        <w:tabs>
          <w:tab w:val="left" w:pos="6300"/>
        </w:tabs>
        <w:snapToGrid w:val="0"/>
        <w:spacing w:line="500" w:lineRule="exact"/>
        <w:ind w:right="480" w:firstLine="570"/>
        <w:jc w:val="left"/>
        <w:rPr>
          <w:rFonts w:hint="eastAsia" w:ascii="仿宋" w:hAnsi="仿宋" w:eastAsia="仿宋" w:cs="仿宋"/>
          <w:sz w:val="24"/>
          <w:szCs w:val="22"/>
          <w:highlight w:val="none"/>
        </w:rPr>
      </w:pPr>
      <w:r>
        <w:rPr>
          <w:rFonts w:hint="eastAsia" w:ascii="仿宋" w:hAnsi="仿宋" w:eastAsia="仿宋" w:cs="仿宋"/>
          <w:sz w:val="24"/>
          <w:szCs w:val="22"/>
          <w:highlight w:val="none"/>
        </w:rPr>
        <w:t>1.我方具有良好的商业信誉和健全的财务会计制度，具有履行合同所必需的设备和专业技术能力，具</w:t>
      </w:r>
      <w:r>
        <w:rPr>
          <w:rFonts w:hint="eastAsia" w:ascii="仿宋" w:hAnsi="仿宋" w:eastAsia="仿宋" w:cs="仿宋"/>
          <w:sz w:val="24"/>
          <w:szCs w:val="22"/>
          <w:highlight w:val="none"/>
          <w:lang w:val="zh-CN"/>
        </w:rPr>
        <w:t>有依法缴纳税收和社会保障金的良好记录</w:t>
      </w:r>
      <w:r>
        <w:rPr>
          <w:rFonts w:hint="eastAsia" w:ascii="仿宋" w:hAnsi="仿宋" w:eastAsia="仿宋" w:cs="仿宋"/>
          <w:sz w:val="24"/>
          <w:szCs w:val="22"/>
          <w:highlight w:val="none"/>
        </w:rPr>
        <w:t>，参加本项目采购活动前三年内无重大违法活动记录。</w:t>
      </w:r>
    </w:p>
    <w:p>
      <w:pPr>
        <w:shd w:val="clear"/>
        <w:tabs>
          <w:tab w:val="left" w:pos="6300"/>
        </w:tabs>
        <w:snapToGrid w:val="0"/>
        <w:spacing w:line="500" w:lineRule="exact"/>
        <w:ind w:right="480" w:firstLine="570"/>
        <w:jc w:val="left"/>
        <w:rPr>
          <w:rFonts w:hint="eastAsia" w:ascii="仿宋" w:hAnsi="仿宋" w:eastAsia="仿宋" w:cs="仿宋"/>
          <w:sz w:val="24"/>
          <w:szCs w:val="22"/>
          <w:highlight w:val="none"/>
        </w:rPr>
      </w:pPr>
      <w:r>
        <w:rPr>
          <w:rFonts w:hint="eastAsia" w:ascii="仿宋" w:hAnsi="仿宋" w:eastAsia="仿宋" w:cs="仿宋"/>
          <w:sz w:val="24"/>
          <w:szCs w:val="22"/>
          <w:highlight w:val="none"/>
        </w:rPr>
        <w:t>2.我方未列入在信用中国网站（www.creditchina.gov.cn）“失信被执行人”、“重大税收违法案件当事人名单”中，也未列入中国政府采购网（www.ccgp.gov.cn）“政府采购严重违法失信行为记录名单”中。</w:t>
      </w:r>
    </w:p>
    <w:p>
      <w:pPr>
        <w:shd w:val="clear"/>
        <w:tabs>
          <w:tab w:val="left" w:pos="6300"/>
        </w:tabs>
        <w:snapToGrid w:val="0"/>
        <w:spacing w:line="500" w:lineRule="exact"/>
        <w:ind w:right="480" w:firstLine="570"/>
        <w:jc w:val="left"/>
        <w:rPr>
          <w:rFonts w:hint="eastAsia" w:ascii="仿宋" w:hAnsi="仿宋" w:eastAsia="仿宋" w:cs="仿宋"/>
          <w:sz w:val="24"/>
          <w:szCs w:val="22"/>
          <w:highlight w:val="none"/>
        </w:rPr>
      </w:pPr>
      <w:r>
        <w:rPr>
          <w:rFonts w:hint="eastAsia" w:ascii="仿宋" w:hAnsi="仿宋" w:eastAsia="仿宋" w:cs="仿宋"/>
          <w:sz w:val="24"/>
          <w:szCs w:val="22"/>
          <w:highlight w:val="none"/>
        </w:rPr>
        <w:t>3.我方在采购项目评审（评标）环节结束后，随时接受采购人、采购代理机构的检查验证，配合提供相关证明材料，证明符合投标人资格条件。</w:t>
      </w:r>
    </w:p>
    <w:p>
      <w:pPr>
        <w:shd w:val="clear"/>
        <w:tabs>
          <w:tab w:val="left" w:pos="6300"/>
        </w:tabs>
        <w:snapToGrid w:val="0"/>
        <w:spacing w:line="500" w:lineRule="exact"/>
        <w:ind w:right="480" w:firstLine="570"/>
        <w:jc w:val="left"/>
        <w:rPr>
          <w:rFonts w:hint="eastAsia" w:ascii="仿宋" w:hAnsi="仿宋" w:eastAsia="仿宋" w:cs="仿宋"/>
          <w:sz w:val="24"/>
          <w:szCs w:val="22"/>
          <w:highlight w:val="none"/>
        </w:rPr>
      </w:pPr>
      <w:r>
        <w:rPr>
          <w:rFonts w:hint="eastAsia" w:ascii="仿宋" w:hAnsi="仿宋" w:eastAsia="仿宋" w:cs="仿宋"/>
          <w:sz w:val="24"/>
          <w:szCs w:val="22"/>
          <w:highlight w:val="none"/>
        </w:rPr>
        <w:t>我方对以上承诺负全部法律责任。</w:t>
      </w:r>
    </w:p>
    <w:p>
      <w:pPr>
        <w:shd w:val="clear"/>
        <w:tabs>
          <w:tab w:val="left" w:pos="6300"/>
        </w:tabs>
        <w:snapToGrid w:val="0"/>
        <w:spacing w:line="500" w:lineRule="exact"/>
        <w:ind w:right="480" w:firstLine="570"/>
        <w:jc w:val="left"/>
        <w:rPr>
          <w:rFonts w:hint="eastAsia" w:ascii="仿宋" w:hAnsi="仿宋" w:eastAsia="仿宋" w:cs="仿宋"/>
          <w:sz w:val="24"/>
          <w:szCs w:val="22"/>
          <w:highlight w:val="none"/>
        </w:rPr>
      </w:pPr>
      <w:r>
        <w:rPr>
          <w:rFonts w:hint="eastAsia" w:ascii="仿宋" w:hAnsi="仿宋" w:eastAsia="仿宋" w:cs="仿宋"/>
          <w:sz w:val="24"/>
          <w:szCs w:val="22"/>
          <w:highlight w:val="none"/>
        </w:rPr>
        <w:t>特此承诺。</w:t>
      </w:r>
    </w:p>
    <w:p>
      <w:pPr>
        <w:shd w:val="clear"/>
        <w:tabs>
          <w:tab w:val="left" w:pos="6300"/>
        </w:tabs>
        <w:snapToGrid w:val="0"/>
        <w:spacing w:line="500" w:lineRule="exact"/>
        <w:ind w:right="480" w:firstLine="570"/>
        <w:jc w:val="right"/>
        <w:rPr>
          <w:rFonts w:hint="eastAsia" w:ascii="仿宋" w:hAnsi="仿宋" w:eastAsia="仿宋" w:cs="仿宋"/>
          <w:sz w:val="24"/>
          <w:szCs w:val="22"/>
          <w:highlight w:val="none"/>
        </w:rPr>
      </w:pPr>
    </w:p>
    <w:p>
      <w:pPr>
        <w:shd w:val="clear"/>
        <w:tabs>
          <w:tab w:val="left" w:pos="6300"/>
        </w:tabs>
        <w:snapToGrid w:val="0"/>
        <w:spacing w:line="500" w:lineRule="exact"/>
        <w:ind w:right="480" w:firstLine="570"/>
        <w:jc w:val="right"/>
        <w:rPr>
          <w:rFonts w:hint="eastAsia" w:ascii="仿宋" w:hAnsi="仿宋" w:eastAsia="仿宋" w:cs="仿宋"/>
          <w:sz w:val="24"/>
          <w:szCs w:val="22"/>
          <w:highlight w:val="none"/>
        </w:rPr>
      </w:pPr>
      <w:r>
        <w:rPr>
          <w:rFonts w:hint="eastAsia" w:ascii="仿宋" w:hAnsi="仿宋" w:eastAsia="仿宋" w:cs="仿宋"/>
          <w:sz w:val="24"/>
          <w:szCs w:val="22"/>
          <w:highlight w:val="none"/>
        </w:rPr>
        <w:t>（投标人公章）</w:t>
      </w:r>
    </w:p>
    <w:p>
      <w:pPr>
        <w:shd w:val="clear"/>
        <w:tabs>
          <w:tab w:val="left" w:pos="6300"/>
        </w:tabs>
        <w:snapToGrid w:val="0"/>
        <w:spacing w:line="500" w:lineRule="exact"/>
        <w:ind w:right="480" w:firstLine="570"/>
        <w:jc w:val="right"/>
        <w:rPr>
          <w:rFonts w:hint="eastAsia" w:ascii="仿宋" w:hAnsi="仿宋" w:eastAsia="仿宋" w:cs="仿宋"/>
          <w:sz w:val="24"/>
          <w:szCs w:val="22"/>
          <w:highlight w:val="none"/>
        </w:rPr>
      </w:pPr>
      <w:r>
        <w:rPr>
          <w:rFonts w:hint="eastAsia" w:ascii="仿宋" w:hAnsi="仿宋" w:eastAsia="仿宋" w:cs="仿宋"/>
          <w:sz w:val="24"/>
          <w:szCs w:val="22"/>
          <w:highlight w:val="none"/>
        </w:rPr>
        <w:t>年   月   日</w:t>
      </w:r>
    </w:p>
    <w:p>
      <w:pPr>
        <w:shd w:val="clear"/>
        <w:tabs>
          <w:tab w:val="left" w:pos="6300"/>
        </w:tabs>
        <w:snapToGrid w:val="0"/>
        <w:spacing w:line="500" w:lineRule="exact"/>
        <w:ind w:right="480" w:firstLine="570"/>
        <w:jc w:val="right"/>
        <w:rPr>
          <w:rFonts w:hint="eastAsia" w:ascii="仿宋" w:hAnsi="仿宋" w:eastAsia="仿宋" w:cs="仿宋"/>
          <w:sz w:val="24"/>
          <w:highlight w:val="none"/>
        </w:rPr>
      </w:pPr>
    </w:p>
    <w:p>
      <w:pPr>
        <w:shd w:val="clear"/>
        <w:snapToGrid w:val="0"/>
        <w:spacing w:line="440" w:lineRule="exact"/>
        <w:ind w:firstLine="480" w:firstLineChars="200"/>
        <w:rPr>
          <w:rFonts w:hint="eastAsia" w:ascii="仿宋" w:hAnsi="仿宋" w:eastAsia="仿宋" w:cs="仿宋"/>
          <w:sz w:val="24"/>
          <w:szCs w:val="24"/>
          <w:highlight w:val="none"/>
        </w:rPr>
      </w:pPr>
    </w:p>
    <w:p>
      <w:pPr>
        <w:shd w:val="clear"/>
        <w:spacing w:line="400" w:lineRule="exact"/>
        <w:rPr>
          <w:rFonts w:hint="eastAsia" w:ascii="仿宋" w:hAnsi="仿宋" w:eastAsia="仿宋" w:cs="仿宋"/>
          <w:highlight w:val="none"/>
        </w:rPr>
      </w:pPr>
    </w:p>
    <w:p>
      <w:pPr>
        <w:shd w:val="clear"/>
        <w:spacing w:line="400" w:lineRule="exact"/>
        <w:rPr>
          <w:rFonts w:hint="eastAsia" w:ascii="仿宋" w:hAnsi="仿宋" w:eastAsia="仿宋" w:cs="仿宋"/>
          <w:highlight w:val="none"/>
        </w:rPr>
      </w:pPr>
    </w:p>
    <w:p>
      <w:pPr>
        <w:shd w:val="clear"/>
        <w:spacing w:line="400" w:lineRule="exact"/>
        <w:rPr>
          <w:rFonts w:hint="eastAsia" w:ascii="仿宋" w:hAnsi="仿宋" w:eastAsia="仿宋" w:cs="仿宋"/>
          <w:highlight w:val="none"/>
        </w:rPr>
      </w:pPr>
    </w:p>
    <w:p>
      <w:pPr>
        <w:shd w:val="clear"/>
        <w:spacing w:line="400" w:lineRule="exact"/>
        <w:rPr>
          <w:rFonts w:hint="eastAsia" w:ascii="仿宋" w:hAnsi="仿宋" w:eastAsia="仿宋" w:cs="仿宋"/>
          <w:highlight w:val="none"/>
        </w:rPr>
      </w:pPr>
    </w:p>
    <w:p>
      <w:pPr>
        <w:shd w:val="clear"/>
        <w:spacing w:line="400" w:lineRule="exact"/>
        <w:rPr>
          <w:rFonts w:hint="eastAsia" w:ascii="仿宋" w:hAnsi="仿宋" w:eastAsia="仿宋" w:cs="仿宋"/>
          <w:highlight w:val="none"/>
        </w:rPr>
      </w:pPr>
    </w:p>
    <w:p>
      <w:pPr>
        <w:shd w:val="clear"/>
        <w:spacing w:line="400" w:lineRule="exact"/>
        <w:rPr>
          <w:rFonts w:hint="eastAsia" w:ascii="仿宋" w:hAnsi="仿宋" w:eastAsia="仿宋" w:cs="仿宋"/>
          <w:highlight w:val="none"/>
        </w:rPr>
      </w:pPr>
    </w:p>
    <w:p>
      <w:pPr>
        <w:shd w:val="clear"/>
        <w:spacing w:line="400" w:lineRule="exact"/>
        <w:rPr>
          <w:rFonts w:hint="eastAsia" w:ascii="仿宋" w:hAnsi="仿宋" w:eastAsia="仿宋" w:cs="仿宋"/>
          <w:highlight w:val="none"/>
        </w:rPr>
      </w:pPr>
    </w:p>
    <w:p>
      <w:pPr>
        <w:shd w:val="clear"/>
        <w:spacing w:line="400" w:lineRule="exact"/>
        <w:rPr>
          <w:rFonts w:hint="eastAsia" w:ascii="仿宋" w:hAnsi="仿宋" w:eastAsia="仿宋" w:cs="仿宋"/>
          <w:highlight w:val="none"/>
        </w:rPr>
      </w:pPr>
    </w:p>
    <w:p>
      <w:pPr>
        <w:shd w:val="clear"/>
        <w:spacing w:line="400" w:lineRule="exact"/>
        <w:rPr>
          <w:rFonts w:hint="eastAsia" w:ascii="仿宋" w:hAnsi="仿宋" w:eastAsia="仿宋" w:cs="仿宋"/>
          <w:highlight w:val="none"/>
        </w:rPr>
      </w:pPr>
    </w:p>
    <w:p>
      <w:pPr>
        <w:shd w:val="clear"/>
        <w:spacing w:line="400" w:lineRule="exact"/>
        <w:rPr>
          <w:rFonts w:hint="eastAsia" w:ascii="仿宋" w:hAnsi="仿宋" w:eastAsia="仿宋" w:cs="仿宋"/>
          <w:highlight w:val="none"/>
        </w:rPr>
      </w:pPr>
    </w:p>
    <w:p>
      <w:pPr>
        <w:shd w:val="clear"/>
        <w:spacing w:line="4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w:t>
      </w:r>
      <w:r>
        <w:rPr>
          <w:rFonts w:hint="eastAsia" w:ascii="仿宋" w:hAnsi="仿宋" w:eastAsia="仿宋" w:cs="仿宋"/>
          <w:sz w:val="24"/>
          <w:szCs w:val="28"/>
          <w:highlight w:val="none"/>
          <w:lang w:val="en-US" w:eastAsia="zh-CN"/>
        </w:rPr>
        <w:t>六</w:t>
      </w:r>
      <w:r>
        <w:rPr>
          <w:rFonts w:hint="eastAsia" w:ascii="仿宋" w:hAnsi="仿宋" w:eastAsia="仿宋" w:cs="仿宋"/>
          <w:sz w:val="24"/>
          <w:szCs w:val="28"/>
          <w:highlight w:val="none"/>
        </w:rPr>
        <w:t>）特定资格条件证书或证明文件</w:t>
      </w:r>
      <w:r>
        <w:rPr>
          <w:rFonts w:hint="eastAsia" w:ascii="宋体" w:hAnsi="宋体" w:cs="宋体"/>
          <w:sz w:val="24"/>
          <w:szCs w:val="24"/>
          <w:highlight w:val="none"/>
        </w:rPr>
        <w:t>（如有）</w:t>
      </w:r>
    </w:p>
    <w:p>
      <w:pPr>
        <w:shd w:val="clear"/>
        <w:spacing w:line="400" w:lineRule="exact"/>
        <w:ind w:firstLine="480" w:firstLineChars="200"/>
        <w:rPr>
          <w:rFonts w:hint="eastAsia" w:ascii="仿宋" w:hAnsi="仿宋" w:eastAsia="仿宋" w:cs="仿宋"/>
          <w:sz w:val="24"/>
          <w:szCs w:val="28"/>
          <w:highlight w:val="none"/>
        </w:rPr>
      </w:pPr>
    </w:p>
    <w:p>
      <w:pPr>
        <w:shd w:val="clear"/>
        <w:tabs>
          <w:tab w:val="left" w:pos="6300"/>
        </w:tabs>
        <w:snapToGrid w:val="0"/>
        <w:spacing w:line="500" w:lineRule="exact"/>
        <w:ind w:firstLine="570"/>
        <w:jc w:val="left"/>
        <w:rPr>
          <w:rFonts w:hint="eastAsia" w:ascii="仿宋" w:hAnsi="仿宋" w:eastAsia="仿宋" w:cs="仿宋"/>
          <w:sz w:val="24"/>
          <w:highlight w:val="none"/>
        </w:rPr>
      </w:pPr>
    </w:p>
    <w:p>
      <w:pPr>
        <w:shd w:val="clear"/>
        <w:tabs>
          <w:tab w:val="left" w:pos="6300"/>
        </w:tabs>
        <w:snapToGrid w:val="0"/>
        <w:spacing w:line="500" w:lineRule="exact"/>
        <w:ind w:firstLine="570"/>
        <w:jc w:val="left"/>
        <w:rPr>
          <w:rFonts w:hint="eastAsia" w:ascii="仿宋" w:hAnsi="仿宋" w:eastAsia="仿宋" w:cs="仿宋"/>
          <w:sz w:val="24"/>
          <w:highlight w:val="none"/>
        </w:rPr>
      </w:pPr>
    </w:p>
    <w:p>
      <w:pPr>
        <w:shd w:val="clear"/>
        <w:tabs>
          <w:tab w:val="left" w:pos="6300"/>
        </w:tabs>
        <w:snapToGrid w:val="0"/>
        <w:spacing w:line="500" w:lineRule="exact"/>
        <w:ind w:firstLine="570"/>
        <w:jc w:val="left"/>
        <w:rPr>
          <w:rFonts w:hint="eastAsia" w:ascii="仿宋" w:hAnsi="仿宋" w:eastAsia="仿宋" w:cs="仿宋"/>
          <w:sz w:val="24"/>
          <w:highlight w:val="none"/>
        </w:rPr>
      </w:pPr>
    </w:p>
    <w:p>
      <w:pPr>
        <w:shd w:val="clear"/>
        <w:tabs>
          <w:tab w:val="left" w:pos="6300"/>
        </w:tabs>
        <w:snapToGrid w:val="0"/>
        <w:spacing w:line="500" w:lineRule="exact"/>
        <w:ind w:firstLine="570"/>
        <w:jc w:val="left"/>
        <w:rPr>
          <w:rFonts w:hint="eastAsia" w:ascii="仿宋" w:hAnsi="仿宋" w:eastAsia="仿宋" w:cs="仿宋"/>
          <w:sz w:val="24"/>
          <w:highlight w:val="none"/>
        </w:rPr>
      </w:pPr>
    </w:p>
    <w:p>
      <w:pPr>
        <w:shd w:val="clear"/>
        <w:tabs>
          <w:tab w:val="left" w:pos="6300"/>
        </w:tabs>
        <w:snapToGrid w:val="0"/>
        <w:spacing w:line="500" w:lineRule="exact"/>
        <w:ind w:firstLine="570"/>
        <w:jc w:val="left"/>
        <w:rPr>
          <w:rFonts w:hint="eastAsia" w:ascii="仿宋" w:hAnsi="仿宋" w:eastAsia="仿宋" w:cs="仿宋"/>
          <w:sz w:val="24"/>
          <w:highlight w:val="none"/>
        </w:rPr>
      </w:pPr>
    </w:p>
    <w:p>
      <w:pPr>
        <w:shd w:val="clear"/>
        <w:tabs>
          <w:tab w:val="left" w:pos="6300"/>
        </w:tabs>
        <w:snapToGrid w:val="0"/>
        <w:spacing w:line="500" w:lineRule="exact"/>
        <w:ind w:firstLine="570"/>
        <w:jc w:val="left"/>
        <w:rPr>
          <w:rFonts w:hint="eastAsia" w:ascii="仿宋" w:hAnsi="仿宋" w:eastAsia="仿宋" w:cs="仿宋"/>
          <w:sz w:val="24"/>
          <w:highlight w:val="none"/>
        </w:rPr>
      </w:pPr>
    </w:p>
    <w:p>
      <w:pPr>
        <w:shd w:val="clear"/>
        <w:tabs>
          <w:tab w:val="left" w:pos="6300"/>
        </w:tabs>
        <w:snapToGrid w:val="0"/>
        <w:spacing w:line="500" w:lineRule="exact"/>
        <w:ind w:firstLine="570"/>
        <w:jc w:val="left"/>
        <w:rPr>
          <w:rFonts w:hint="eastAsia" w:ascii="仿宋" w:hAnsi="仿宋" w:eastAsia="仿宋" w:cs="仿宋"/>
          <w:sz w:val="24"/>
          <w:highlight w:val="none"/>
        </w:rPr>
      </w:pPr>
    </w:p>
    <w:p>
      <w:pPr>
        <w:shd w:val="clear"/>
        <w:tabs>
          <w:tab w:val="left" w:pos="6300"/>
        </w:tabs>
        <w:snapToGrid w:val="0"/>
        <w:spacing w:line="500" w:lineRule="exact"/>
        <w:ind w:firstLine="570"/>
        <w:jc w:val="left"/>
        <w:rPr>
          <w:rFonts w:hint="eastAsia" w:ascii="仿宋" w:hAnsi="仿宋" w:eastAsia="仿宋" w:cs="仿宋"/>
          <w:sz w:val="24"/>
          <w:highlight w:val="none"/>
        </w:rPr>
      </w:pPr>
    </w:p>
    <w:p>
      <w:pPr>
        <w:shd w:val="clear"/>
        <w:tabs>
          <w:tab w:val="left" w:pos="6300"/>
        </w:tabs>
        <w:snapToGrid w:val="0"/>
        <w:spacing w:line="500" w:lineRule="exact"/>
        <w:ind w:firstLine="570"/>
        <w:jc w:val="left"/>
        <w:rPr>
          <w:rFonts w:hint="eastAsia" w:ascii="仿宋" w:hAnsi="仿宋" w:eastAsia="仿宋" w:cs="仿宋"/>
          <w:sz w:val="24"/>
          <w:highlight w:val="none"/>
        </w:rPr>
      </w:pPr>
    </w:p>
    <w:p>
      <w:pPr>
        <w:shd w:val="clear"/>
        <w:tabs>
          <w:tab w:val="left" w:pos="6300"/>
        </w:tabs>
        <w:snapToGrid w:val="0"/>
        <w:spacing w:line="500" w:lineRule="exact"/>
        <w:ind w:firstLine="570"/>
        <w:jc w:val="left"/>
        <w:rPr>
          <w:rFonts w:hint="eastAsia" w:ascii="仿宋" w:hAnsi="仿宋" w:eastAsia="仿宋" w:cs="仿宋"/>
          <w:sz w:val="24"/>
          <w:highlight w:val="none"/>
        </w:rPr>
      </w:pPr>
    </w:p>
    <w:p>
      <w:pPr>
        <w:shd w:val="clear"/>
        <w:tabs>
          <w:tab w:val="left" w:pos="6300"/>
        </w:tabs>
        <w:snapToGrid w:val="0"/>
        <w:spacing w:line="500" w:lineRule="exact"/>
        <w:ind w:firstLine="570"/>
        <w:jc w:val="left"/>
        <w:rPr>
          <w:rFonts w:hint="eastAsia" w:ascii="仿宋" w:hAnsi="仿宋" w:eastAsia="仿宋" w:cs="仿宋"/>
          <w:sz w:val="24"/>
          <w:highlight w:val="none"/>
        </w:rPr>
      </w:pPr>
    </w:p>
    <w:p>
      <w:pPr>
        <w:shd w:val="clear"/>
        <w:tabs>
          <w:tab w:val="left" w:pos="6300"/>
        </w:tabs>
        <w:snapToGrid w:val="0"/>
        <w:spacing w:line="500" w:lineRule="exact"/>
        <w:ind w:firstLine="570"/>
        <w:jc w:val="left"/>
        <w:rPr>
          <w:rFonts w:hint="eastAsia" w:ascii="仿宋" w:hAnsi="仿宋" w:eastAsia="仿宋" w:cs="仿宋"/>
          <w:sz w:val="24"/>
          <w:highlight w:val="none"/>
        </w:rPr>
      </w:pPr>
    </w:p>
    <w:p>
      <w:pPr>
        <w:shd w:val="clear"/>
        <w:tabs>
          <w:tab w:val="left" w:pos="6300"/>
        </w:tabs>
        <w:snapToGrid w:val="0"/>
        <w:spacing w:line="500" w:lineRule="exact"/>
        <w:ind w:firstLine="570"/>
        <w:jc w:val="left"/>
        <w:rPr>
          <w:rFonts w:hint="eastAsia" w:ascii="仿宋" w:hAnsi="仿宋" w:eastAsia="仿宋" w:cs="仿宋"/>
          <w:sz w:val="24"/>
          <w:highlight w:val="none"/>
        </w:rPr>
      </w:pPr>
    </w:p>
    <w:p>
      <w:pPr>
        <w:shd w:val="clear"/>
        <w:tabs>
          <w:tab w:val="left" w:pos="6300"/>
        </w:tabs>
        <w:snapToGrid w:val="0"/>
        <w:spacing w:line="500" w:lineRule="exact"/>
        <w:ind w:firstLine="570"/>
        <w:jc w:val="left"/>
        <w:rPr>
          <w:rFonts w:hint="eastAsia" w:ascii="仿宋" w:hAnsi="仿宋" w:eastAsia="仿宋" w:cs="仿宋"/>
          <w:sz w:val="24"/>
          <w:highlight w:val="none"/>
        </w:rPr>
      </w:pPr>
    </w:p>
    <w:p>
      <w:pPr>
        <w:shd w:val="clear"/>
        <w:tabs>
          <w:tab w:val="left" w:pos="6300"/>
        </w:tabs>
        <w:snapToGrid w:val="0"/>
        <w:spacing w:line="500" w:lineRule="exact"/>
        <w:ind w:firstLine="570"/>
        <w:jc w:val="left"/>
        <w:rPr>
          <w:rFonts w:hint="eastAsia" w:ascii="仿宋" w:hAnsi="仿宋" w:eastAsia="仿宋" w:cs="仿宋"/>
          <w:sz w:val="24"/>
          <w:highlight w:val="none"/>
        </w:rPr>
      </w:pPr>
    </w:p>
    <w:p>
      <w:pPr>
        <w:shd w:val="clear"/>
        <w:tabs>
          <w:tab w:val="left" w:pos="6300"/>
        </w:tabs>
        <w:snapToGrid w:val="0"/>
        <w:spacing w:line="500" w:lineRule="exact"/>
        <w:ind w:firstLine="570"/>
        <w:jc w:val="left"/>
        <w:rPr>
          <w:rFonts w:hint="eastAsia" w:ascii="仿宋" w:hAnsi="仿宋" w:eastAsia="仿宋" w:cs="仿宋"/>
          <w:sz w:val="24"/>
          <w:highlight w:val="none"/>
        </w:rPr>
      </w:pPr>
    </w:p>
    <w:p>
      <w:pPr>
        <w:shd w:val="clear"/>
        <w:tabs>
          <w:tab w:val="left" w:pos="6300"/>
        </w:tabs>
        <w:snapToGrid w:val="0"/>
        <w:spacing w:line="500" w:lineRule="exact"/>
        <w:ind w:firstLine="570"/>
        <w:jc w:val="left"/>
        <w:rPr>
          <w:rFonts w:hint="eastAsia" w:ascii="仿宋" w:hAnsi="仿宋" w:eastAsia="仿宋" w:cs="仿宋"/>
          <w:sz w:val="24"/>
          <w:highlight w:val="none"/>
        </w:rPr>
      </w:pPr>
    </w:p>
    <w:p>
      <w:pPr>
        <w:shd w:val="clear"/>
        <w:tabs>
          <w:tab w:val="left" w:pos="6300"/>
        </w:tabs>
        <w:snapToGrid w:val="0"/>
        <w:spacing w:line="500" w:lineRule="exact"/>
        <w:ind w:firstLine="570"/>
        <w:jc w:val="left"/>
        <w:rPr>
          <w:rFonts w:hint="eastAsia" w:ascii="仿宋" w:hAnsi="仿宋" w:eastAsia="仿宋" w:cs="仿宋"/>
          <w:sz w:val="24"/>
          <w:highlight w:val="none"/>
        </w:rPr>
      </w:pPr>
    </w:p>
    <w:p>
      <w:pPr>
        <w:shd w:val="clear"/>
        <w:tabs>
          <w:tab w:val="left" w:pos="6300"/>
        </w:tabs>
        <w:snapToGrid w:val="0"/>
        <w:spacing w:line="500" w:lineRule="exact"/>
        <w:ind w:firstLine="570"/>
        <w:jc w:val="left"/>
        <w:rPr>
          <w:rFonts w:hint="eastAsia" w:ascii="仿宋" w:hAnsi="仿宋" w:eastAsia="仿宋" w:cs="仿宋"/>
          <w:sz w:val="24"/>
          <w:highlight w:val="none"/>
        </w:rPr>
      </w:pPr>
    </w:p>
    <w:p>
      <w:pPr>
        <w:shd w:val="clear"/>
        <w:tabs>
          <w:tab w:val="left" w:pos="6300"/>
        </w:tabs>
        <w:snapToGrid w:val="0"/>
        <w:spacing w:line="500" w:lineRule="exact"/>
        <w:ind w:firstLine="570"/>
        <w:jc w:val="left"/>
        <w:rPr>
          <w:rFonts w:hint="eastAsia" w:ascii="仿宋" w:hAnsi="仿宋" w:eastAsia="仿宋" w:cs="仿宋"/>
          <w:sz w:val="24"/>
          <w:highlight w:val="none"/>
        </w:rPr>
      </w:pPr>
    </w:p>
    <w:p>
      <w:pPr>
        <w:shd w:val="clear"/>
        <w:tabs>
          <w:tab w:val="left" w:pos="6300"/>
        </w:tabs>
        <w:snapToGrid w:val="0"/>
        <w:spacing w:line="500" w:lineRule="exact"/>
        <w:ind w:firstLine="570"/>
        <w:jc w:val="left"/>
        <w:rPr>
          <w:rFonts w:hint="eastAsia" w:ascii="仿宋" w:hAnsi="仿宋" w:eastAsia="仿宋" w:cs="仿宋"/>
          <w:sz w:val="24"/>
          <w:highlight w:val="none"/>
        </w:rPr>
      </w:pPr>
    </w:p>
    <w:p>
      <w:pPr>
        <w:shd w:val="clear"/>
        <w:tabs>
          <w:tab w:val="left" w:pos="6300"/>
        </w:tabs>
        <w:snapToGrid w:val="0"/>
        <w:spacing w:line="500" w:lineRule="exact"/>
        <w:ind w:firstLine="570"/>
        <w:jc w:val="left"/>
        <w:rPr>
          <w:rFonts w:hint="eastAsia" w:ascii="仿宋" w:hAnsi="仿宋" w:eastAsia="仿宋" w:cs="仿宋"/>
          <w:sz w:val="24"/>
          <w:highlight w:val="none"/>
        </w:rPr>
      </w:pPr>
    </w:p>
    <w:p>
      <w:pPr>
        <w:shd w:val="clear"/>
        <w:tabs>
          <w:tab w:val="left" w:pos="6300"/>
        </w:tabs>
        <w:snapToGrid w:val="0"/>
        <w:spacing w:line="500" w:lineRule="exact"/>
        <w:jc w:val="left"/>
        <w:rPr>
          <w:rFonts w:hint="eastAsia" w:ascii="仿宋" w:hAnsi="仿宋" w:eastAsia="仿宋" w:cs="仿宋"/>
          <w:sz w:val="24"/>
          <w:highlight w:val="none"/>
        </w:rPr>
      </w:pPr>
    </w:p>
    <w:p>
      <w:pPr>
        <w:shd w:val="clear"/>
        <w:tabs>
          <w:tab w:val="left" w:pos="6300"/>
        </w:tabs>
        <w:snapToGrid w:val="0"/>
        <w:spacing w:line="500" w:lineRule="exact"/>
        <w:jc w:val="center"/>
        <w:rPr>
          <w:rFonts w:hint="eastAsia" w:ascii="仿宋" w:hAnsi="仿宋" w:eastAsia="仿宋" w:cs="仿宋"/>
          <w:highlight w:val="none"/>
        </w:rPr>
      </w:pPr>
      <w:r>
        <w:rPr>
          <w:rFonts w:hint="eastAsia" w:ascii="仿宋" w:hAnsi="仿宋" w:eastAsia="仿宋" w:cs="仿宋"/>
          <w:highlight w:val="none"/>
        </w:rPr>
        <w:t>（结束）</w:t>
      </w:r>
    </w:p>
    <w:sectPr>
      <w:headerReference r:id="rId8" w:type="default"/>
      <w:footerReference r:id="rId9" w:type="default"/>
      <w:type w:val="nextColumn"/>
      <w:pgSz w:w="11907" w:h="16840"/>
      <w:pgMar w:top="1134" w:right="1283" w:bottom="1134" w:left="1304"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Futura Bk BT">
    <w:altName w:val="Segoe Print"/>
    <w:panose1 w:val="00000000000000000000"/>
    <w:charset w:val="00"/>
    <w:family w:val="swiss"/>
    <w:pitch w:val="default"/>
    <w:sig w:usb0="00000000" w:usb1="00000000" w:usb2="00000000" w:usb3="00000000" w:csb0="0000001B" w:csb1="00000000"/>
  </w:font>
  <w:font w:name="_x000B__x000C_">
    <w:altName w:val="Segoe Print"/>
    <w:panose1 w:val="00000000000000000000"/>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文鼎粗黑">
    <w:altName w:val="方正黑体_GBK"/>
    <w:panose1 w:val="020B0609010101010101"/>
    <w:charset w:val="86"/>
    <w:family w:val="modern"/>
    <w:pitch w:val="default"/>
    <w:sig w:usb0="00000000" w:usb1="00000000" w:usb2="00000010" w:usb3="00000000" w:csb0="00040000" w:csb1="00000000"/>
  </w:font>
  <w:font w:name="昆仑楷体">
    <w:altName w:val="方正楷体_GBK"/>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A5BD7834-D752-4356-880A-5B422D2BE45A}"/>
  </w:font>
  <w:font w:name="方正仿宋_GBK">
    <w:panose1 w:val="03000509000000000000"/>
    <w:charset w:val="86"/>
    <w:family w:val="auto"/>
    <w:pitch w:val="default"/>
    <w:sig w:usb0="00000001" w:usb1="080E0000" w:usb2="00000000" w:usb3="00000000" w:csb0="00040000" w:csb1="00000000"/>
    <w:embedRegular r:id="rId2" w:fontKey="{A1EE33DB-0038-492E-A521-15FD8FE98E13}"/>
  </w:font>
  <w:font w:name="方正黑体_GBK">
    <w:panose1 w:val="03000509000000000000"/>
    <w:charset w:val="86"/>
    <w:family w:val="auto"/>
    <w:pitch w:val="default"/>
    <w:sig w:usb0="00000001" w:usb1="080E0000" w:usb2="00000000" w:usb3="00000000" w:csb0="00040000" w:csb1="00000000"/>
    <w:embedRegular r:id="rId3" w:fontKey="{A9205478-ED6E-489E-AD75-A7E3B2E5FF40}"/>
  </w:font>
  <w:font w:name="方正楷体_GBK">
    <w:panose1 w:val="03000509000000000000"/>
    <w:charset w:val="86"/>
    <w:family w:val="auto"/>
    <w:pitch w:val="default"/>
    <w:sig w:usb0="00000001" w:usb1="080E0000" w:usb2="00000000" w:usb3="00000000" w:csb0="00040000" w:csb1="00000000"/>
    <w:embedRegular r:id="rId4" w:fontKey="{71B726EB-9925-4574-83A8-9D8650025F88}"/>
  </w:font>
  <w:font w:name="方正小标宋_GBK">
    <w:panose1 w:val="03000509000000000000"/>
    <w:charset w:val="86"/>
    <w:family w:val="script"/>
    <w:pitch w:val="default"/>
    <w:sig w:usb0="00000001" w:usb1="080E0000" w:usb2="00000000" w:usb3="00000000" w:csb0="00040000" w:csb1="00000000"/>
    <w:embedRegular r:id="rId5" w:fontKey="{24E33E32-AB64-406E-9DAD-4E2D9A388BC9}"/>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sz w:val="24"/>
      </w:rPr>
    </w:pPr>
    <w:r>
      <w:rPr>
        <w:sz w:val="24"/>
      </w:rPr>
      <w:fldChar w:fldCharType="begin"/>
    </w:r>
    <w:r>
      <w:rPr>
        <w:rStyle w:val="61"/>
        <w:sz w:val="24"/>
      </w:rPr>
      <w:instrText xml:space="preserve"> PAGE </w:instrText>
    </w:r>
    <w:r>
      <w:rPr>
        <w:sz w:val="24"/>
      </w:rPr>
      <w:fldChar w:fldCharType="separate"/>
    </w:r>
    <w:r>
      <w:rPr>
        <w:rStyle w:val="61"/>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1"/>
      </w:rPr>
    </w:pPr>
    <w:r>
      <w:fldChar w:fldCharType="begin"/>
    </w:r>
    <w:r>
      <w:rPr>
        <w:rStyle w:val="61"/>
      </w:rPr>
      <w:instrText xml:space="preserve">PAGE  </w:instrText>
    </w:r>
    <w:r>
      <w:fldChar w:fldCharType="separate"/>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rPr>
    </w:pPr>
    <w:r>
      <w:rPr>
        <w:sz w:val="24"/>
      </w:rPr>
      <w:fldChar w:fldCharType="begin"/>
    </w:r>
    <w:r>
      <w:rPr>
        <w:rStyle w:val="61"/>
        <w:sz w:val="24"/>
      </w:rPr>
      <w:instrText xml:space="preserve"> PAGE </w:instrText>
    </w:r>
    <w:r>
      <w:rPr>
        <w:sz w:val="24"/>
      </w:rPr>
      <w:fldChar w:fldCharType="separate"/>
    </w:r>
    <w:r>
      <w:rPr>
        <w:rStyle w:val="61"/>
        <w:sz w:val="24"/>
      </w:rPr>
      <w:t>- 44 -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left"/>
      <w:rPr>
        <w:rFonts w:hint="eastAsia" w:ascii="方正仿宋_GBK" w:eastAsia="方正仿宋_GBK"/>
        <w:sz w:val="21"/>
        <w:szCs w:val="24"/>
      </w:rPr>
    </w:pPr>
    <w:r>
      <w:rPr>
        <w:rFonts w:hint="eastAsia" w:ascii="方正仿宋_GBK" w:eastAsia="方正仿宋_GBK"/>
        <w:sz w:val="21"/>
        <w:szCs w:val="24"/>
        <w:lang w:eastAsia="zh-CN"/>
      </w:rPr>
      <w:t>垫江县公共资源交易中心</w:t>
    </w:r>
    <w:r>
      <w:rPr>
        <w:rFonts w:hint="eastAsia" w:ascii="方正仿宋_GBK" w:eastAsia="方正仿宋_GBK"/>
        <w:sz w:val="21"/>
        <w:szCs w:val="24"/>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76C91C"/>
    <w:multiLevelType w:val="singleLevel"/>
    <w:tmpl w:val="E776C91C"/>
    <w:lvl w:ilvl="0" w:tentative="0">
      <w:start w:val="2"/>
      <w:numFmt w:val="chineseCounting"/>
      <w:suff w:val="space"/>
      <w:lvlText w:val="第%1篇"/>
      <w:lvlJc w:val="left"/>
      <w:rPr>
        <w:rFonts w:hint="eastAsia"/>
      </w:rPr>
    </w:lvl>
  </w:abstractNum>
  <w:abstractNum w:abstractNumId="1">
    <w:nsid w:val="EBF6E1AC"/>
    <w:multiLevelType w:val="singleLevel"/>
    <w:tmpl w:val="EBF6E1AC"/>
    <w:lvl w:ilvl="0" w:tentative="0">
      <w:start w:val="1"/>
      <w:numFmt w:val="chineseCounting"/>
      <w:suff w:val="nothing"/>
      <w:lvlText w:val="%1、"/>
      <w:lvlJc w:val="left"/>
      <w:rPr>
        <w:rFonts w:hint="eastAsia"/>
      </w:rPr>
    </w:lvl>
  </w:abstractNum>
  <w:abstractNum w:abstractNumId="2">
    <w:nsid w:val="00000001"/>
    <w:multiLevelType w:val="multilevel"/>
    <w:tmpl w:val="00000001"/>
    <w:lvl w:ilvl="0" w:tentative="0">
      <w:start w:val="1"/>
      <w:numFmt w:val="bullet"/>
      <w:pStyle w:val="183"/>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3">
    <w:nsid w:val="00000003"/>
    <w:multiLevelType w:val="singleLevel"/>
    <w:tmpl w:val="00000003"/>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4"/>
    <w:multiLevelType w:val="multilevel"/>
    <w:tmpl w:val="00000004"/>
    <w:lvl w:ilvl="0" w:tentative="0">
      <w:start w:val="1"/>
      <w:numFmt w:val="decimal"/>
      <w:pStyle w:val="198"/>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5"/>
    <w:multiLevelType w:val="multilevel"/>
    <w:tmpl w:val="00000005"/>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8"/>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06"/>
    <w:multiLevelType w:val="singleLevel"/>
    <w:tmpl w:val="00000006"/>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7">
    <w:nsid w:val="00000007"/>
    <w:multiLevelType w:val="singleLevel"/>
    <w:tmpl w:val="00000007"/>
    <w:lvl w:ilvl="0" w:tentative="0">
      <w:start w:val="1"/>
      <w:numFmt w:val="decimal"/>
      <w:pStyle w:val="14"/>
      <w:lvlText w:val="%1."/>
      <w:lvlJc w:val="left"/>
      <w:pPr>
        <w:tabs>
          <w:tab w:val="left" w:pos="780"/>
        </w:tabs>
        <w:ind w:left="780" w:hanging="360"/>
      </w:pPr>
    </w:lvl>
  </w:abstractNum>
  <w:abstractNum w:abstractNumId="8">
    <w:nsid w:val="00000008"/>
    <w:multiLevelType w:val="multilevel"/>
    <w:tmpl w:val="00000008"/>
    <w:lvl w:ilvl="0" w:tentative="0">
      <w:start w:val="1"/>
      <w:numFmt w:val="decimal"/>
      <w:pStyle w:val="18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9"/>
    <w:multiLevelType w:val="multilevel"/>
    <w:tmpl w:val="00000009"/>
    <w:lvl w:ilvl="0" w:tentative="0">
      <w:start w:val="1"/>
      <w:numFmt w:val="chineseCountingThousand"/>
      <w:pStyle w:val="11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0A"/>
    <w:multiLevelType w:val="singleLevel"/>
    <w:tmpl w:val="0000000A"/>
    <w:lvl w:ilvl="0" w:tentative="0">
      <w:start w:val="1"/>
      <w:numFmt w:val="bullet"/>
      <w:pStyle w:val="123"/>
      <w:lvlText w:val=""/>
      <w:lvlJc w:val="left"/>
      <w:pPr>
        <w:tabs>
          <w:tab w:val="left" w:pos="360"/>
        </w:tabs>
        <w:ind w:left="360" w:hanging="360"/>
      </w:pPr>
      <w:rPr>
        <w:rFonts w:hint="default" w:ascii="Wingdings" w:hAnsi="Wingdings"/>
      </w:rPr>
    </w:lvl>
  </w:abstractNum>
  <w:abstractNum w:abstractNumId="11">
    <w:nsid w:val="0000000B"/>
    <w:multiLevelType w:val="multilevel"/>
    <w:tmpl w:val="0000000B"/>
    <w:lvl w:ilvl="0" w:tentative="0">
      <w:start w:val="8"/>
      <w:numFmt w:val="decimal"/>
      <w:pStyle w:val="135"/>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49"/>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0000000E"/>
    <w:multiLevelType w:val="multilevel"/>
    <w:tmpl w:val="0000000E"/>
    <w:lvl w:ilvl="0" w:tentative="0">
      <w:start w:val="1"/>
      <w:numFmt w:val="bullet"/>
      <w:pStyle w:val="19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00000010"/>
    <w:multiLevelType w:val="singleLevel"/>
    <w:tmpl w:val="00000010"/>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4">
    <w:nsid w:val="00000012"/>
    <w:multiLevelType w:val="multilevel"/>
    <w:tmpl w:val="00000012"/>
    <w:lvl w:ilvl="0" w:tentative="0">
      <w:start w:val="1"/>
      <w:numFmt w:val="bullet"/>
      <w:pStyle w:val="195"/>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15"/>
    <w:multiLevelType w:val="singleLevel"/>
    <w:tmpl w:val="00000015"/>
    <w:lvl w:ilvl="0" w:tentative="0">
      <w:start w:val="1"/>
      <w:numFmt w:val="decimal"/>
      <w:pStyle w:val="159"/>
      <w:lvlText w:val="%1)"/>
      <w:lvlJc w:val="left"/>
      <w:pPr>
        <w:tabs>
          <w:tab w:val="left" w:pos="425"/>
        </w:tabs>
        <w:ind w:left="425" w:hanging="425"/>
      </w:pPr>
      <w:rPr>
        <w:rFonts w:hint="eastAsia"/>
      </w:rPr>
    </w:lvl>
  </w:abstractNum>
  <w:abstractNum w:abstractNumId="16">
    <w:nsid w:val="0000001A"/>
    <w:multiLevelType w:val="multilevel"/>
    <w:tmpl w:val="0000001A"/>
    <w:lvl w:ilvl="0" w:tentative="0">
      <w:start w:val="1"/>
      <w:numFmt w:val="chineseCountingThousand"/>
      <w:pStyle w:val="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1E259C76"/>
    <w:multiLevelType w:val="singleLevel"/>
    <w:tmpl w:val="1E259C76"/>
    <w:lvl w:ilvl="0" w:tentative="0">
      <w:start w:val="3"/>
      <w:numFmt w:val="chineseCounting"/>
      <w:suff w:val="nothing"/>
      <w:lvlText w:val="%1、"/>
      <w:lvlJc w:val="left"/>
      <w:rPr>
        <w:rFonts w:hint="eastAsia"/>
      </w:rPr>
    </w:lvl>
  </w:abstractNum>
  <w:num w:numId="1">
    <w:abstractNumId w:val="16"/>
  </w:num>
  <w:num w:numId="2">
    <w:abstractNumId w:val="7"/>
  </w:num>
  <w:num w:numId="3">
    <w:abstractNumId w:val="6"/>
  </w:num>
  <w:num w:numId="4">
    <w:abstractNumId w:val="3"/>
  </w:num>
  <w:num w:numId="5">
    <w:abstractNumId w:val="13"/>
  </w:num>
  <w:num w:numId="6">
    <w:abstractNumId w:val="9"/>
  </w:num>
  <w:num w:numId="7">
    <w:abstractNumId w:val="10"/>
  </w:num>
  <w:num w:numId="8">
    <w:abstractNumId w:val="5"/>
  </w:num>
  <w:num w:numId="9">
    <w:abstractNumId w:val="11"/>
  </w:num>
  <w:num w:numId="10">
    <w:abstractNumId w:val="15"/>
  </w:num>
  <w:num w:numId="11">
    <w:abstractNumId w:val="2"/>
  </w:num>
  <w:num w:numId="12">
    <w:abstractNumId w:val="8"/>
  </w:num>
  <w:num w:numId="13">
    <w:abstractNumId w:val="12"/>
  </w:num>
  <w:num w:numId="14">
    <w:abstractNumId w:val="14"/>
  </w:num>
  <w:num w:numId="15">
    <w:abstractNumId w:val="4"/>
  </w:num>
  <w:num w:numId="16">
    <w:abstractNumId w:val="1"/>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0"/>
  <w:hyphenationZone w:val="360"/>
  <w:drawingGridHorizontalSpacing w:val="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NTU5MDc5ZGYzYWEzZjRkODkwNjQ3NTI1ODYzY2UifQ=="/>
    <w:docVar w:name="KSO_WPS_MARK_KEY" w:val="9e2609c4-d889-4e1d-8d58-aab4786933fd"/>
  </w:docVars>
  <w:rsids>
    <w:rsidRoot w:val="00172A27"/>
    <w:rsid w:val="00026E23"/>
    <w:rsid w:val="0005074D"/>
    <w:rsid w:val="000528BD"/>
    <w:rsid w:val="000562CB"/>
    <w:rsid w:val="0006009B"/>
    <w:rsid w:val="0006618D"/>
    <w:rsid w:val="000849AE"/>
    <w:rsid w:val="00092831"/>
    <w:rsid w:val="000938AA"/>
    <w:rsid w:val="000D218F"/>
    <w:rsid w:val="00103242"/>
    <w:rsid w:val="00126DCF"/>
    <w:rsid w:val="0014631D"/>
    <w:rsid w:val="00147F0F"/>
    <w:rsid w:val="00156BA9"/>
    <w:rsid w:val="001605F6"/>
    <w:rsid w:val="00184321"/>
    <w:rsid w:val="001A1841"/>
    <w:rsid w:val="001A5169"/>
    <w:rsid w:val="001C1AB8"/>
    <w:rsid w:val="0020159D"/>
    <w:rsid w:val="00207D3A"/>
    <w:rsid w:val="00226131"/>
    <w:rsid w:val="00254D32"/>
    <w:rsid w:val="00265E26"/>
    <w:rsid w:val="00277047"/>
    <w:rsid w:val="002B0935"/>
    <w:rsid w:val="002B6306"/>
    <w:rsid w:val="002F4B21"/>
    <w:rsid w:val="003469DF"/>
    <w:rsid w:val="00351E8C"/>
    <w:rsid w:val="00354E7B"/>
    <w:rsid w:val="00361D37"/>
    <w:rsid w:val="00365ED7"/>
    <w:rsid w:val="00383CC6"/>
    <w:rsid w:val="00395695"/>
    <w:rsid w:val="003A27C4"/>
    <w:rsid w:val="003A6B8F"/>
    <w:rsid w:val="003C53FB"/>
    <w:rsid w:val="003E2D0C"/>
    <w:rsid w:val="0040262A"/>
    <w:rsid w:val="00433D94"/>
    <w:rsid w:val="00442B34"/>
    <w:rsid w:val="00471224"/>
    <w:rsid w:val="00475C26"/>
    <w:rsid w:val="004849C9"/>
    <w:rsid w:val="00485294"/>
    <w:rsid w:val="00494143"/>
    <w:rsid w:val="0049440B"/>
    <w:rsid w:val="004A1CC9"/>
    <w:rsid w:val="004A21D1"/>
    <w:rsid w:val="004A2217"/>
    <w:rsid w:val="004B5791"/>
    <w:rsid w:val="004D5D0F"/>
    <w:rsid w:val="004E081C"/>
    <w:rsid w:val="004F4F6A"/>
    <w:rsid w:val="0051237B"/>
    <w:rsid w:val="00542C85"/>
    <w:rsid w:val="00545F1B"/>
    <w:rsid w:val="0054688C"/>
    <w:rsid w:val="005509CC"/>
    <w:rsid w:val="00567AF3"/>
    <w:rsid w:val="00582895"/>
    <w:rsid w:val="00590498"/>
    <w:rsid w:val="005B62E8"/>
    <w:rsid w:val="00602323"/>
    <w:rsid w:val="00606F5B"/>
    <w:rsid w:val="00632FB7"/>
    <w:rsid w:val="0064428B"/>
    <w:rsid w:val="0065002F"/>
    <w:rsid w:val="00650EB7"/>
    <w:rsid w:val="00667C2A"/>
    <w:rsid w:val="0067733C"/>
    <w:rsid w:val="006812AB"/>
    <w:rsid w:val="0069364A"/>
    <w:rsid w:val="00694A81"/>
    <w:rsid w:val="006A50B4"/>
    <w:rsid w:val="006C20F8"/>
    <w:rsid w:val="006D5D8A"/>
    <w:rsid w:val="006D71D0"/>
    <w:rsid w:val="006F3B63"/>
    <w:rsid w:val="006F486E"/>
    <w:rsid w:val="00702938"/>
    <w:rsid w:val="00737796"/>
    <w:rsid w:val="00743D5B"/>
    <w:rsid w:val="007652B9"/>
    <w:rsid w:val="007B0AC9"/>
    <w:rsid w:val="007B2FF0"/>
    <w:rsid w:val="007E01DD"/>
    <w:rsid w:val="007E0B75"/>
    <w:rsid w:val="008022AB"/>
    <w:rsid w:val="008156AD"/>
    <w:rsid w:val="008305E3"/>
    <w:rsid w:val="00854AFB"/>
    <w:rsid w:val="008836AD"/>
    <w:rsid w:val="008A4C80"/>
    <w:rsid w:val="008D2C33"/>
    <w:rsid w:val="008E3F0E"/>
    <w:rsid w:val="00912F79"/>
    <w:rsid w:val="00924FB8"/>
    <w:rsid w:val="009267A2"/>
    <w:rsid w:val="0093267B"/>
    <w:rsid w:val="009418AB"/>
    <w:rsid w:val="00946954"/>
    <w:rsid w:val="009602BF"/>
    <w:rsid w:val="00960537"/>
    <w:rsid w:val="00960E5D"/>
    <w:rsid w:val="0096241C"/>
    <w:rsid w:val="00984E5E"/>
    <w:rsid w:val="00987595"/>
    <w:rsid w:val="00997EEE"/>
    <w:rsid w:val="009A524A"/>
    <w:rsid w:val="009B5C1B"/>
    <w:rsid w:val="009E1D3C"/>
    <w:rsid w:val="009E2929"/>
    <w:rsid w:val="00A01715"/>
    <w:rsid w:val="00A13F8E"/>
    <w:rsid w:val="00A30044"/>
    <w:rsid w:val="00A370ED"/>
    <w:rsid w:val="00A53434"/>
    <w:rsid w:val="00A56983"/>
    <w:rsid w:val="00A83788"/>
    <w:rsid w:val="00A83DEA"/>
    <w:rsid w:val="00A846AD"/>
    <w:rsid w:val="00A85FCE"/>
    <w:rsid w:val="00AA67F5"/>
    <w:rsid w:val="00AF2CF6"/>
    <w:rsid w:val="00AF424B"/>
    <w:rsid w:val="00B13DA8"/>
    <w:rsid w:val="00B2649F"/>
    <w:rsid w:val="00B32CFD"/>
    <w:rsid w:val="00B4534A"/>
    <w:rsid w:val="00B6277A"/>
    <w:rsid w:val="00B82460"/>
    <w:rsid w:val="00B84AF3"/>
    <w:rsid w:val="00BA08E6"/>
    <w:rsid w:val="00BB5E3C"/>
    <w:rsid w:val="00BD4970"/>
    <w:rsid w:val="00BE45B4"/>
    <w:rsid w:val="00BF2568"/>
    <w:rsid w:val="00BF4ED8"/>
    <w:rsid w:val="00C02F35"/>
    <w:rsid w:val="00C21F90"/>
    <w:rsid w:val="00C31697"/>
    <w:rsid w:val="00C47AFF"/>
    <w:rsid w:val="00C6628B"/>
    <w:rsid w:val="00C71397"/>
    <w:rsid w:val="00CD465F"/>
    <w:rsid w:val="00CF0D1D"/>
    <w:rsid w:val="00D34EC4"/>
    <w:rsid w:val="00D52942"/>
    <w:rsid w:val="00D61AC6"/>
    <w:rsid w:val="00D673EF"/>
    <w:rsid w:val="00D73751"/>
    <w:rsid w:val="00D87442"/>
    <w:rsid w:val="00DA3D87"/>
    <w:rsid w:val="00DA505C"/>
    <w:rsid w:val="00DC0D49"/>
    <w:rsid w:val="00DD495C"/>
    <w:rsid w:val="00DE2BB6"/>
    <w:rsid w:val="00DE4301"/>
    <w:rsid w:val="00DE58C9"/>
    <w:rsid w:val="00DF07DA"/>
    <w:rsid w:val="00E102B5"/>
    <w:rsid w:val="00E1034A"/>
    <w:rsid w:val="00E21126"/>
    <w:rsid w:val="00E22CB6"/>
    <w:rsid w:val="00E37DF3"/>
    <w:rsid w:val="00E41A90"/>
    <w:rsid w:val="00E459A4"/>
    <w:rsid w:val="00E51317"/>
    <w:rsid w:val="00E6167B"/>
    <w:rsid w:val="00E64361"/>
    <w:rsid w:val="00EB5D0C"/>
    <w:rsid w:val="00ED3CEE"/>
    <w:rsid w:val="00ED76E5"/>
    <w:rsid w:val="00EE4496"/>
    <w:rsid w:val="00EE6E44"/>
    <w:rsid w:val="00EF569E"/>
    <w:rsid w:val="00F0489E"/>
    <w:rsid w:val="00F2238A"/>
    <w:rsid w:val="00F23C12"/>
    <w:rsid w:val="00F3432D"/>
    <w:rsid w:val="00F67ECF"/>
    <w:rsid w:val="00F71A4F"/>
    <w:rsid w:val="00F776F2"/>
    <w:rsid w:val="00F934D8"/>
    <w:rsid w:val="00FA4761"/>
    <w:rsid w:val="00FC4647"/>
    <w:rsid w:val="00FD449E"/>
    <w:rsid w:val="012042F5"/>
    <w:rsid w:val="015D423F"/>
    <w:rsid w:val="020613CA"/>
    <w:rsid w:val="02091039"/>
    <w:rsid w:val="02334100"/>
    <w:rsid w:val="02371240"/>
    <w:rsid w:val="03716061"/>
    <w:rsid w:val="038F541B"/>
    <w:rsid w:val="03AC31C8"/>
    <w:rsid w:val="0421145D"/>
    <w:rsid w:val="048B4FD7"/>
    <w:rsid w:val="04B74C29"/>
    <w:rsid w:val="04C9670A"/>
    <w:rsid w:val="04CC6409"/>
    <w:rsid w:val="050E253A"/>
    <w:rsid w:val="054B3DBD"/>
    <w:rsid w:val="05501534"/>
    <w:rsid w:val="0556575D"/>
    <w:rsid w:val="06976FD0"/>
    <w:rsid w:val="06BA27AF"/>
    <w:rsid w:val="06EB2968"/>
    <w:rsid w:val="077A7D78"/>
    <w:rsid w:val="07A31C9D"/>
    <w:rsid w:val="07C73F64"/>
    <w:rsid w:val="07F804C6"/>
    <w:rsid w:val="093920B1"/>
    <w:rsid w:val="09F04259"/>
    <w:rsid w:val="09FB1114"/>
    <w:rsid w:val="0ADC558D"/>
    <w:rsid w:val="0AE42C84"/>
    <w:rsid w:val="0AF1037F"/>
    <w:rsid w:val="0B1F6A1F"/>
    <w:rsid w:val="0B397E3E"/>
    <w:rsid w:val="0B8213C1"/>
    <w:rsid w:val="0C045DA4"/>
    <w:rsid w:val="0C143429"/>
    <w:rsid w:val="0C847117"/>
    <w:rsid w:val="0CE74FEB"/>
    <w:rsid w:val="0D2F53B3"/>
    <w:rsid w:val="0E0B2631"/>
    <w:rsid w:val="0E1C3D4F"/>
    <w:rsid w:val="0E340CB9"/>
    <w:rsid w:val="0E5E1D42"/>
    <w:rsid w:val="0E78353B"/>
    <w:rsid w:val="0EC117B9"/>
    <w:rsid w:val="0F552A2E"/>
    <w:rsid w:val="104F602B"/>
    <w:rsid w:val="10B36C33"/>
    <w:rsid w:val="10D64453"/>
    <w:rsid w:val="11082369"/>
    <w:rsid w:val="11600ED8"/>
    <w:rsid w:val="11C45EC6"/>
    <w:rsid w:val="11E15362"/>
    <w:rsid w:val="11F56D2B"/>
    <w:rsid w:val="1231625E"/>
    <w:rsid w:val="13334FFB"/>
    <w:rsid w:val="133F5561"/>
    <w:rsid w:val="134A67AA"/>
    <w:rsid w:val="13790FC6"/>
    <w:rsid w:val="137F28D1"/>
    <w:rsid w:val="13843362"/>
    <w:rsid w:val="13D013B1"/>
    <w:rsid w:val="13D42A08"/>
    <w:rsid w:val="142604FE"/>
    <w:rsid w:val="142851FC"/>
    <w:rsid w:val="143036E4"/>
    <w:rsid w:val="143F2545"/>
    <w:rsid w:val="14524396"/>
    <w:rsid w:val="14A66120"/>
    <w:rsid w:val="14B76B45"/>
    <w:rsid w:val="14BE009A"/>
    <w:rsid w:val="14C80263"/>
    <w:rsid w:val="14E1688E"/>
    <w:rsid w:val="14E31C89"/>
    <w:rsid w:val="150A4901"/>
    <w:rsid w:val="158E7957"/>
    <w:rsid w:val="15BA4260"/>
    <w:rsid w:val="15CF5EA2"/>
    <w:rsid w:val="1611311F"/>
    <w:rsid w:val="165A5414"/>
    <w:rsid w:val="165C2D58"/>
    <w:rsid w:val="16B346FD"/>
    <w:rsid w:val="17265AEA"/>
    <w:rsid w:val="17DE3E23"/>
    <w:rsid w:val="180E64B6"/>
    <w:rsid w:val="1844637C"/>
    <w:rsid w:val="184659B2"/>
    <w:rsid w:val="18700CC9"/>
    <w:rsid w:val="18974C55"/>
    <w:rsid w:val="18AD377B"/>
    <w:rsid w:val="191D68D5"/>
    <w:rsid w:val="194C6179"/>
    <w:rsid w:val="19726F19"/>
    <w:rsid w:val="1A0062D3"/>
    <w:rsid w:val="1A506BEA"/>
    <w:rsid w:val="1A7E4D26"/>
    <w:rsid w:val="1AFE6ECC"/>
    <w:rsid w:val="1B5D42A4"/>
    <w:rsid w:val="1B60171F"/>
    <w:rsid w:val="1B6C61B5"/>
    <w:rsid w:val="1BA24B7C"/>
    <w:rsid w:val="1BAA34B9"/>
    <w:rsid w:val="1C2E2CAE"/>
    <w:rsid w:val="1CB630D3"/>
    <w:rsid w:val="1D3F741D"/>
    <w:rsid w:val="1D511145"/>
    <w:rsid w:val="1D9C27B6"/>
    <w:rsid w:val="1DB541B2"/>
    <w:rsid w:val="1DBD1A17"/>
    <w:rsid w:val="1DCC69A3"/>
    <w:rsid w:val="1E483A23"/>
    <w:rsid w:val="1E911C6E"/>
    <w:rsid w:val="1EE6018D"/>
    <w:rsid w:val="1F155F39"/>
    <w:rsid w:val="1F4F41F4"/>
    <w:rsid w:val="20961007"/>
    <w:rsid w:val="20A16929"/>
    <w:rsid w:val="20DD272D"/>
    <w:rsid w:val="20F070A1"/>
    <w:rsid w:val="21444D42"/>
    <w:rsid w:val="21897CB1"/>
    <w:rsid w:val="21E35F0C"/>
    <w:rsid w:val="221F7E81"/>
    <w:rsid w:val="222C235B"/>
    <w:rsid w:val="224E2E14"/>
    <w:rsid w:val="22541E17"/>
    <w:rsid w:val="22577015"/>
    <w:rsid w:val="22A046C9"/>
    <w:rsid w:val="22B271E2"/>
    <w:rsid w:val="22E348AC"/>
    <w:rsid w:val="23503C67"/>
    <w:rsid w:val="23625866"/>
    <w:rsid w:val="236D704F"/>
    <w:rsid w:val="23A46B28"/>
    <w:rsid w:val="242471C8"/>
    <w:rsid w:val="244D2A55"/>
    <w:rsid w:val="248322AB"/>
    <w:rsid w:val="2492046F"/>
    <w:rsid w:val="24D45157"/>
    <w:rsid w:val="250B2F31"/>
    <w:rsid w:val="251C15DC"/>
    <w:rsid w:val="252F0ABB"/>
    <w:rsid w:val="256560E6"/>
    <w:rsid w:val="25CB2001"/>
    <w:rsid w:val="25E70922"/>
    <w:rsid w:val="261A18FE"/>
    <w:rsid w:val="26377227"/>
    <w:rsid w:val="265C777C"/>
    <w:rsid w:val="26CD2CA2"/>
    <w:rsid w:val="26D1527F"/>
    <w:rsid w:val="270A139B"/>
    <w:rsid w:val="27271C69"/>
    <w:rsid w:val="27381941"/>
    <w:rsid w:val="275D221F"/>
    <w:rsid w:val="276B096A"/>
    <w:rsid w:val="281351C1"/>
    <w:rsid w:val="28F41659"/>
    <w:rsid w:val="292F72B4"/>
    <w:rsid w:val="293B561A"/>
    <w:rsid w:val="2977309E"/>
    <w:rsid w:val="299925D1"/>
    <w:rsid w:val="29BB2216"/>
    <w:rsid w:val="29C85B30"/>
    <w:rsid w:val="2A006359"/>
    <w:rsid w:val="2AA57C26"/>
    <w:rsid w:val="2AF24895"/>
    <w:rsid w:val="2AF31ACA"/>
    <w:rsid w:val="2AFC661B"/>
    <w:rsid w:val="2B6827D1"/>
    <w:rsid w:val="2B9D0170"/>
    <w:rsid w:val="2BB94533"/>
    <w:rsid w:val="2BC90C1A"/>
    <w:rsid w:val="2C040D76"/>
    <w:rsid w:val="2C2D4B14"/>
    <w:rsid w:val="2C3B13EC"/>
    <w:rsid w:val="2C477D91"/>
    <w:rsid w:val="2C4A6780"/>
    <w:rsid w:val="2C9C3451"/>
    <w:rsid w:val="2D0E2097"/>
    <w:rsid w:val="2D7D6FC3"/>
    <w:rsid w:val="2DA1045E"/>
    <w:rsid w:val="2E163CD8"/>
    <w:rsid w:val="2E816349"/>
    <w:rsid w:val="2E930E17"/>
    <w:rsid w:val="2EB8779D"/>
    <w:rsid w:val="2EF31412"/>
    <w:rsid w:val="2F0F757D"/>
    <w:rsid w:val="2F7B33A2"/>
    <w:rsid w:val="2F925316"/>
    <w:rsid w:val="30E6008B"/>
    <w:rsid w:val="30F57DBC"/>
    <w:rsid w:val="311E0BBB"/>
    <w:rsid w:val="321F7FEC"/>
    <w:rsid w:val="32223C57"/>
    <w:rsid w:val="32463781"/>
    <w:rsid w:val="32B06D54"/>
    <w:rsid w:val="3302701B"/>
    <w:rsid w:val="335C6DED"/>
    <w:rsid w:val="33661445"/>
    <w:rsid w:val="339A10EE"/>
    <w:rsid w:val="33B03068"/>
    <w:rsid w:val="34057BB2"/>
    <w:rsid w:val="342C1F85"/>
    <w:rsid w:val="342F3235"/>
    <w:rsid w:val="345B7C92"/>
    <w:rsid w:val="34F05490"/>
    <w:rsid w:val="34F24BF6"/>
    <w:rsid w:val="351C6760"/>
    <w:rsid w:val="35D23EF6"/>
    <w:rsid w:val="35F93A18"/>
    <w:rsid w:val="361C7C90"/>
    <w:rsid w:val="36857E34"/>
    <w:rsid w:val="36977958"/>
    <w:rsid w:val="36BC5560"/>
    <w:rsid w:val="36EF2DF7"/>
    <w:rsid w:val="36EF52AD"/>
    <w:rsid w:val="373027FD"/>
    <w:rsid w:val="3747333B"/>
    <w:rsid w:val="37516A1D"/>
    <w:rsid w:val="37BA66F9"/>
    <w:rsid w:val="38501789"/>
    <w:rsid w:val="387055F1"/>
    <w:rsid w:val="38E9666A"/>
    <w:rsid w:val="38EC5F48"/>
    <w:rsid w:val="38F1355F"/>
    <w:rsid w:val="39453DF6"/>
    <w:rsid w:val="3A1058FE"/>
    <w:rsid w:val="3A4E59A4"/>
    <w:rsid w:val="3AC754AE"/>
    <w:rsid w:val="3BA41146"/>
    <w:rsid w:val="3BD57167"/>
    <w:rsid w:val="3BEE1FD7"/>
    <w:rsid w:val="3C6745D8"/>
    <w:rsid w:val="3CF07FE1"/>
    <w:rsid w:val="3D526C65"/>
    <w:rsid w:val="3D87623F"/>
    <w:rsid w:val="3DAA2619"/>
    <w:rsid w:val="3DE713D4"/>
    <w:rsid w:val="3E7C4C93"/>
    <w:rsid w:val="3EF44E0C"/>
    <w:rsid w:val="3F1E14C8"/>
    <w:rsid w:val="3FD71B41"/>
    <w:rsid w:val="411E6EBB"/>
    <w:rsid w:val="415C79E3"/>
    <w:rsid w:val="41A264AF"/>
    <w:rsid w:val="41A35435"/>
    <w:rsid w:val="426C58D8"/>
    <w:rsid w:val="428A638C"/>
    <w:rsid w:val="42C61EC3"/>
    <w:rsid w:val="42F75C15"/>
    <w:rsid w:val="434C77E3"/>
    <w:rsid w:val="44045264"/>
    <w:rsid w:val="440E2671"/>
    <w:rsid w:val="442A5B49"/>
    <w:rsid w:val="4489278B"/>
    <w:rsid w:val="45481DDC"/>
    <w:rsid w:val="459108D6"/>
    <w:rsid w:val="45B60710"/>
    <w:rsid w:val="45BE4F83"/>
    <w:rsid w:val="45CF2E79"/>
    <w:rsid w:val="45D27C15"/>
    <w:rsid w:val="46170428"/>
    <w:rsid w:val="46527DEE"/>
    <w:rsid w:val="46C60600"/>
    <w:rsid w:val="477535AD"/>
    <w:rsid w:val="479D0E0A"/>
    <w:rsid w:val="47B05F6F"/>
    <w:rsid w:val="48210196"/>
    <w:rsid w:val="485E2293"/>
    <w:rsid w:val="48B14243"/>
    <w:rsid w:val="48D93D7E"/>
    <w:rsid w:val="48F9117B"/>
    <w:rsid w:val="49BF6D61"/>
    <w:rsid w:val="49C10D2B"/>
    <w:rsid w:val="49F53F71"/>
    <w:rsid w:val="4A9C31BE"/>
    <w:rsid w:val="4AA60809"/>
    <w:rsid w:val="4AB46DB6"/>
    <w:rsid w:val="4AD625B4"/>
    <w:rsid w:val="4AEA549C"/>
    <w:rsid w:val="4B176112"/>
    <w:rsid w:val="4BAB29C4"/>
    <w:rsid w:val="4C235CCD"/>
    <w:rsid w:val="4CA56C92"/>
    <w:rsid w:val="4CB94A90"/>
    <w:rsid w:val="4CCF375F"/>
    <w:rsid w:val="4CD25D39"/>
    <w:rsid w:val="4D085040"/>
    <w:rsid w:val="4D223200"/>
    <w:rsid w:val="4DC753EA"/>
    <w:rsid w:val="4DF10BDE"/>
    <w:rsid w:val="4E151645"/>
    <w:rsid w:val="4E1D2C3C"/>
    <w:rsid w:val="4ED44099"/>
    <w:rsid w:val="4EFF012A"/>
    <w:rsid w:val="4F060DC1"/>
    <w:rsid w:val="4F1D6A04"/>
    <w:rsid w:val="4F5937DD"/>
    <w:rsid w:val="4F9A62A6"/>
    <w:rsid w:val="4FBC637E"/>
    <w:rsid w:val="501A3821"/>
    <w:rsid w:val="503313AD"/>
    <w:rsid w:val="504831C6"/>
    <w:rsid w:val="507774D1"/>
    <w:rsid w:val="50904E7E"/>
    <w:rsid w:val="50D30579"/>
    <w:rsid w:val="50F41265"/>
    <w:rsid w:val="516F0714"/>
    <w:rsid w:val="517B5C63"/>
    <w:rsid w:val="51B00408"/>
    <w:rsid w:val="51EA5E87"/>
    <w:rsid w:val="520B7D29"/>
    <w:rsid w:val="52835444"/>
    <w:rsid w:val="52AA6F11"/>
    <w:rsid w:val="541F03B0"/>
    <w:rsid w:val="54B25E40"/>
    <w:rsid w:val="54C77C44"/>
    <w:rsid w:val="54D560C7"/>
    <w:rsid w:val="5545504A"/>
    <w:rsid w:val="555D66B2"/>
    <w:rsid w:val="55F619BB"/>
    <w:rsid w:val="5642123B"/>
    <w:rsid w:val="56457473"/>
    <w:rsid w:val="564A7C7A"/>
    <w:rsid w:val="57007FE0"/>
    <w:rsid w:val="570B295D"/>
    <w:rsid w:val="574742E9"/>
    <w:rsid w:val="576733D9"/>
    <w:rsid w:val="57FE5F75"/>
    <w:rsid w:val="581775AE"/>
    <w:rsid w:val="58527FC0"/>
    <w:rsid w:val="5855720E"/>
    <w:rsid w:val="585F3652"/>
    <w:rsid w:val="58676F42"/>
    <w:rsid w:val="58AD21B8"/>
    <w:rsid w:val="5909597B"/>
    <w:rsid w:val="591946E0"/>
    <w:rsid w:val="59367040"/>
    <w:rsid w:val="596A7D11"/>
    <w:rsid w:val="599E1C7E"/>
    <w:rsid w:val="59F11CAF"/>
    <w:rsid w:val="5A747EBA"/>
    <w:rsid w:val="5A890202"/>
    <w:rsid w:val="5AC42B20"/>
    <w:rsid w:val="5AF05B0C"/>
    <w:rsid w:val="5B185E24"/>
    <w:rsid w:val="5B7827E1"/>
    <w:rsid w:val="5BA1603E"/>
    <w:rsid w:val="5BBD6A70"/>
    <w:rsid w:val="5C1F21E8"/>
    <w:rsid w:val="5C286EA3"/>
    <w:rsid w:val="5C383F59"/>
    <w:rsid w:val="5C9B1219"/>
    <w:rsid w:val="5CD821BC"/>
    <w:rsid w:val="5D181430"/>
    <w:rsid w:val="5D3D1EF2"/>
    <w:rsid w:val="5D6A7433"/>
    <w:rsid w:val="5D774498"/>
    <w:rsid w:val="5D9535FE"/>
    <w:rsid w:val="5DA94792"/>
    <w:rsid w:val="5DF64BD7"/>
    <w:rsid w:val="5DF66D9E"/>
    <w:rsid w:val="5E1923D2"/>
    <w:rsid w:val="5E2356B9"/>
    <w:rsid w:val="5E437B09"/>
    <w:rsid w:val="5EE4309A"/>
    <w:rsid w:val="5FAF6EC1"/>
    <w:rsid w:val="5FC5466E"/>
    <w:rsid w:val="5FD819E0"/>
    <w:rsid w:val="5FED5F7E"/>
    <w:rsid w:val="60050ED1"/>
    <w:rsid w:val="606A4298"/>
    <w:rsid w:val="60AF592A"/>
    <w:rsid w:val="60BE72C0"/>
    <w:rsid w:val="613A616F"/>
    <w:rsid w:val="61423818"/>
    <w:rsid w:val="61563F60"/>
    <w:rsid w:val="61BA6A63"/>
    <w:rsid w:val="62196820"/>
    <w:rsid w:val="625D436A"/>
    <w:rsid w:val="63125987"/>
    <w:rsid w:val="632919C3"/>
    <w:rsid w:val="636E728E"/>
    <w:rsid w:val="63716EC6"/>
    <w:rsid w:val="642733A0"/>
    <w:rsid w:val="646E6C60"/>
    <w:rsid w:val="64B1428F"/>
    <w:rsid w:val="64C0559C"/>
    <w:rsid w:val="65072247"/>
    <w:rsid w:val="65BE6CCF"/>
    <w:rsid w:val="65D11E9E"/>
    <w:rsid w:val="65D878BD"/>
    <w:rsid w:val="661B6BBA"/>
    <w:rsid w:val="66735454"/>
    <w:rsid w:val="674E7117"/>
    <w:rsid w:val="67B83316"/>
    <w:rsid w:val="67D40D5C"/>
    <w:rsid w:val="681B5CEA"/>
    <w:rsid w:val="68510959"/>
    <w:rsid w:val="68B3756B"/>
    <w:rsid w:val="690836A5"/>
    <w:rsid w:val="692F6287"/>
    <w:rsid w:val="69457A56"/>
    <w:rsid w:val="69792A6D"/>
    <w:rsid w:val="69BD6B47"/>
    <w:rsid w:val="6A674B7F"/>
    <w:rsid w:val="6A924AEF"/>
    <w:rsid w:val="6B5F2160"/>
    <w:rsid w:val="6B7F52B6"/>
    <w:rsid w:val="6BEA27A4"/>
    <w:rsid w:val="6C335B67"/>
    <w:rsid w:val="6CB57E24"/>
    <w:rsid w:val="6D7101EF"/>
    <w:rsid w:val="6D787DD8"/>
    <w:rsid w:val="6D9446E8"/>
    <w:rsid w:val="6E4606E6"/>
    <w:rsid w:val="6EAA6B87"/>
    <w:rsid w:val="6F0D2199"/>
    <w:rsid w:val="6F9C0E28"/>
    <w:rsid w:val="6FC54E6A"/>
    <w:rsid w:val="6FF5301F"/>
    <w:rsid w:val="700F6282"/>
    <w:rsid w:val="705129A6"/>
    <w:rsid w:val="705D0ADD"/>
    <w:rsid w:val="70A6197F"/>
    <w:rsid w:val="70F54A47"/>
    <w:rsid w:val="71170582"/>
    <w:rsid w:val="712562FD"/>
    <w:rsid w:val="714B29DF"/>
    <w:rsid w:val="7175492A"/>
    <w:rsid w:val="717E7688"/>
    <w:rsid w:val="71997D14"/>
    <w:rsid w:val="72384FAF"/>
    <w:rsid w:val="727D5888"/>
    <w:rsid w:val="72AE02DB"/>
    <w:rsid w:val="72C214EC"/>
    <w:rsid w:val="7390077F"/>
    <w:rsid w:val="73C86227"/>
    <w:rsid w:val="73E73802"/>
    <w:rsid w:val="74913AC3"/>
    <w:rsid w:val="75932E30"/>
    <w:rsid w:val="75B710B1"/>
    <w:rsid w:val="75C624BA"/>
    <w:rsid w:val="75D532E5"/>
    <w:rsid w:val="763B05A1"/>
    <w:rsid w:val="763E7E9A"/>
    <w:rsid w:val="767B7C77"/>
    <w:rsid w:val="76B92E5C"/>
    <w:rsid w:val="76FE35D6"/>
    <w:rsid w:val="7708063A"/>
    <w:rsid w:val="77636662"/>
    <w:rsid w:val="7796101F"/>
    <w:rsid w:val="77B76EEF"/>
    <w:rsid w:val="77CD33A4"/>
    <w:rsid w:val="77EB3293"/>
    <w:rsid w:val="781068F1"/>
    <w:rsid w:val="7851264A"/>
    <w:rsid w:val="78A21257"/>
    <w:rsid w:val="78E202E3"/>
    <w:rsid w:val="78EA28A1"/>
    <w:rsid w:val="79E104AA"/>
    <w:rsid w:val="7A083C89"/>
    <w:rsid w:val="7A266805"/>
    <w:rsid w:val="7A305CB2"/>
    <w:rsid w:val="7A6557D0"/>
    <w:rsid w:val="7A6E7932"/>
    <w:rsid w:val="7A9A4D7B"/>
    <w:rsid w:val="7AAB0D1D"/>
    <w:rsid w:val="7AD0662C"/>
    <w:rsid w:val="7AE2024A"/>
    <w:rsid w:val="7AEB72D9"/>
    <w:rsid w:val="7B165286"/>
    <w:rsid w:val="7B193C74"/>
    <w:rsid w:val="7B7C75E6"/>
    <w:rsid w:val="7BB7104D"/>
    <w:rsid w:val="7BD83C35"/>
    <w:rsid w:val="7BE941B9"/>
    <w:rsid w:val="7C16792F"/>
    <w:rsid w:val="7C1B0023"/>
    <w:rsid w:val="7C6F7FEF"/>
    <w:rsid w:val="7C8B0BA1"/>
    <w:rsid w:val="7CA12173"/>
    <w:rsid w:val="7CB23881"/>
    <w:rsid w:val="7D606769"/>
    <w:rsid w:val="7D92262E"/>
    <w:rsid w:val="7E4D1C62"/>
    <w:rsid w:val="7E8303CF"/>
    <w:rsid w:val="7E914EF8"/>
    <w:rsid w:val="7E9E47D2"/>
    <w:rsid w:val="7ED56104"/>
    <w:rsid w:val="7EF742CC"/>
    <w:rsid w:val="7F13238F"/>
    <w:rsid w:val="7F34107C"/>
    <w:rsid w:val="7F3E39D3"/>
    <w:rsid w:val="7F5B485B"/>
    <w:rsid w:val="7FAB65D2"/>
    <w:rsid w:val="7FDE373B"/>
    <w:rsid w:val="D7FF2569"/>
    <w:rsid w:val="E58E34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4">
    <w:name w:val="heading 2"/>
    <w:basedOn w:val="1"/>
    <w:next w:val="1"/>
    <w:link w:val="67"/>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6">
    <w:name w:val="heading 4"/>
    <w:basedOn w:val="1"/>
    <w:next w:val="1"/>
    <w:qFormat/>
    <w:uiPriority w:val="0"/>
    <w:pPr>
      <w:keepNext/>
      <w:keepLines/>
      <w:numPr>
        <w:ilvl w:val="0"/>
        <w:numId w:val="1"/>
      </w:numPr>
      <w:spacing w:before="560" w:beforeLines="0" w:after="290" w:afterLines="0" w:line="377"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9">
    <w:name w:val="Default Paragraph Font"/>
    <w:qFormat/>
    <w:uiPriority w:val="0"/>
  </w:style>
  <w:style w:type="table" w:default="1" w:styleId="5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spacing w:line="360" w:lineRule="auto"/>
    </w:pPr>
    <w:rPr>
      <w:sz w:val="24"/>
    </w:rPr>
  </w:style>
  <w:style w:type="paragraph" w:styleId="15">
    <w:name w:val="List Bullet 4"/>
    <w:basedOn w:val="1"/>
    <w:qFormat/>
    <w:uiPriority w:val="0"/>
    <w:pPr>
      <w:widowControl/>
      <w:numPr>
        <w:ilvl w:val="0"/>
        <w:numId w:val="3"/>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6">
    <w:name w:val="Normal Indent"/>
    <w:basedOn w:val="1"/>
    <w:next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beforeLines="0" w:beforeAutospacing="0"/>
    </w:pPr>
    <w:rPr>
      <w:rFonts w:ascii="Arial" w:hAnsi="Arial"/>
      <w:sz w:val="24"/>
    </w:rPr>
  </w:style>
  <w:style w:type="paragraph" w:styleId="20">
    <w:name w:val="annotation text"/>
    <w:basedOn w:val="1"/>
    <w:link w:val="68"/>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1">
    <w:name w:val="Body Text 3"/>
    <w:basedOn w:val="1"/>
    <w:qFormat/>
    <w:uiPriority w:val="0"/>
    <w:pPr>
      <w:adjustRightInd w:val="0"/>
      <w:snapToGrid w:val="0"/>
      <w:spacing w:after="120" w:afterLines="0" w:afterAutospacing="0" w:line="360" w:lineRule="auto"/>
    </w:pPr>
    <w:rPr>
      <w:sz w:val="16"/>
    </w:rPr>
  </w:style>
  <w:style w:type="paragraph" w:styleId="22">
    <w:name w:val="List Bullet 3"/>
    <w:basedOn w:val="1"/>
    <w:qFormat/>
    <w:uiPriority w:val="0"/>
    <w:pPr>
      <w:numPr>
        <w:ilvl w:val="0"/>
        <w:numId w:val="4"/>
      </w:numPr>
      <w:adjustRightInd w:val="0"/>
      <w:snapToGrid w:val="0"/>
      <w:spacing w:line="360" w:lineRule="auto"/>
    </w:pPr>
    <w:rPr>
      <w:sz w:val="24"/>
    </w:rPr>
  </w:style>
  <w:style w:type="paragraph" w:styleId="23">
    <w:name w:val="Body Text"/>
    <w:basedOn w:val="1"/>
    <w:next w:val="1"/>
    <w:qFormat/>
    <w:uiPriority w:val="0"/>
    <w:rPr>
      <w:rFonts w:ascii="仿宋_GB2312" w:eastAsia="仿宋_GB2312"/>
      <w:kern w:val="2"/>
      <w:sz w:val="32"/>
    </w:rPr>
  </w:style>
  <w:style w:type="paragraph" w:styleId="24">
    <w:name w:val="Body Text Indent"/>
    <w:basedOn w:val="1"/>
    <w:link w:val="69"/>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numPr>
        <w:ilvl w:val="0"/>
        <w:numId w:val="5"/>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0"/>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7">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tabs>
        <w:tab w:val="right" w:leader="dot" w:pos="8400"/>
      </w:tabs>
      <w:spacing w:line="440" w:lineRule="exact"/>
      <w:ind w:left="280" w:leftChars="100" w:rightChars="-91"/>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1">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4">
    <w:name w:val="annotation subject"/>
    <w:basedOn w:val="20"/>
    <w:next w:val="20"/>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5">
    <w:name w:val="Body Text First Indent"/>
    <w:basedOn w:val="23"/>
    <w:qFormat/>
    <w:uiPriority w:val="0"/>
    <w:pPr>
      <w:spacing w:line="360" w:lineRule="auto"/>
      <w:ind w:firstLine="420"/>
    </w:pPr>
    <w:rPr>
      <w:rFonts w:ascii="宋体" w:hAnsi="宋体"/>
      <w:sz w:val="24"/>
    </w:rPr>
  </w:style>
  <w:style w:type="paragraph" w:styleId="56">
    <w:name w:val="Body Text First Indent 2"/>
    <w:basedOn w:val="24"/>
    <w:qFormat/>
    <w:uiPriority w:val="0"/>
    <w:pPr>
      <w:spacing w:after="120" w:afterLines="0" w:afterAutospacing="0" w:line="240" w:lineRule="auto"/>
      <w:ind w:left="420" w:leftChars="200" w:firstLine="420" w:firstLineChars="200"/>
    </w:pPr>
    <w:rPr>
      <w:sz w:val="21"/>
    </w:rPr>
  </w:style>
  <w:style w:type="table" w:styleId="58">
    <w:name w:val="Table Grid"/>
    <w:basedOn w:val="5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0">
    <w:name w:val="Strong"/>
    <w:qFormat/>
    <w:uiPriority w:val="0"/>
    <w:rPr>
      <w:b/>
    </w:rPr>
  </w:style>
  <w:style w:type="character" w:styleId="61">
    <w:name w:val="page number"/>
    <w:basedOn w:val="59"/>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rPr>
  </w:style>
  <w:style w:type="character" w:styleId="66">
    <w:name w:val="footnote reference"/>
    <w:qFormat/>
    <w:uiPriority w:val="0"/>
    <w:rPr>
      <w:position w:val="6"/>
      <w:sz w:val="14"/>
      <w:vertAlign w:val="superscript"/>
    </w:rPr>
  </w:style>
  <w:style w:type="character" w:customStyle="1" w:styleId="67">
    <w:name w:val="标题 2 Char"/>
    <w:link w:val="4"/>
    <w:qFormat/>
    <w:uiPriority w:val="0"/>
    <w:rPr>
      <w:rFonts w:ascii="宋体" w:hAnsi="宋体"/>
      <w:kern w:val="2"/>
      <w:sz w:val="28"/>
    </w:rPr>
  </w:style>
  <w:style w:type="character" w:customStyle="1" w:styleId="68">
    <w:name w:val="批注文字 Char"/>
    <w:link w:val="20"/>
    <w:qFormat/>
    <w:uiPriority w:val="0"/>
    <w:rPr>
      <w:rFonts w:eastAsia="PMingLiU"/>
      <w:sz w:val="24"/>
      <w:lang w:eastAsia="zh-TW"/>
    </w:rPr>
  </w:style>
  <w:style w:type="character" w:customStyle="1" w:styleId="69">
    <w:name w:val="正文文本缩进 Char"/>
    <w:link w:val="24"/>
    <w:qFormat/>
    <w:uiPriority w:val="0"/>
    <w:rPr>
      <w:kern w:val="2"/>
      <w:sz w:val="44"/>
    </w:rPr>
  </w:style>
  <w:style w:type="character" w:customStyle="1" w:styleId="70">
    <w:name w:val="日期 Char"/>
    <w:link w:val="33"/>
    <w:qFormat/>
    <w:uiPriority w:val="0"/>
    <w:rPr>
      <w:kern w:val="2"/>
      <w:sz w:val="28"/>
    </w:rPr>
  </w:style>
  <w:style w:type="paragraph" w:customStyle="1" w:styleId="71">
    <w:name w:val="正文1"/>
    <w:basedOn w:val="1"/>
    <w:next w:val="1"/>
    <w:qFormat/>
    <w:uiPriority w:val="0"/>
    <w:pPr>
      <w:spacing w:line="300" w:lineRule="auto"/>
      <w:ind w:firstLine="200" w:firstLineChars="200"/>
    </w:pPr>
    <w:rPr>
      <w:sz w:val="24"/>
    </w:rPr>
  </w:style>
  <w:style w:type="character" w:customStyle="1" w:styleId="72">
    <w:name w:val="Table Text Char Char Char Char Char"/>
    <w:qFormat/>
    <w:uiPriority w:val="0"/>
    <w:rPr>
      <w:rFonts w:ascii="Arial" w:hAnsi="Arial"/>
      <w:kern w:val="2"/>
      <w:sz w:val="18"/>
      <w:lang w:val="en-US" w:eastAsia="zh-CN" w:bidi="ar-SA"/>
    </w:rPr>
  </w:style>
  <w:style w:type="character" w:customStyle="1" w:styleId="73">
    <w:name w:val=" Char Char2"/>
    <w:qFormat/>
    <w:uiPriority w:val="0"/>
    <w:rPr>
      <w:rFonts w:eastAsia="宋体"/>
      <w:kern w:val="2"/>
      <w:sz w:val="18"/>
      <w:lang w:val="en-US" w:eastAsia="zh-CN"/>
    </w:rPr>
  </w:style>
  <w:style w:type="character" w:customStyle="1" w:styleId="74">
    <w:name w:val="页码1"/>
    <w:qFormat/>
    <w:uiPriority w:val="0"/>
    <w:rPr>
      <w:lang w:val="zh-TW" w:eastAsia="zh-TW"/>
    </w:rPr>
  </w:style>
  <w:style w:type="character" w:customStyle="1" w:styleId="75">
    <w:name w:val="Table Text Char1 Char Char"/>
    <w:qFormat/>
    <w:uiPriority w:val="0"/>
    <w:rPr>
      <w:rFonts w:ascii="Arial" w:hAnsi="Arial"/>
      <w:kern w:val="2"/>
      <w:sz w:val="18"/>
      <w:lang w:val="en-US" w:eastAsia="zh-CN" w:bidi="ar-SA"/>
    </w:rPr>
  </w:style>
  <w:style w:type="character" w:customStyle="1" w:styleId="76">
    <w:name w:val=" Char Char7"/>
    <w:qFormat/>
    <w:uiPriority w:val="0"/>
    <w:rPr>
      <w:rFonts w:ascii="宋体" w:hAnsi="宋体" w:eastAsia="宋体"/>
      <w:kern w:val="2"/>
      <w:sz w:val="28"/>
    </w:rPr>
  </w:style>
  <w:style w:type="character" w:customStyle="1" w:styleId="77">
    <w:name w:val="Table Heading Char Char"/>
    <w:qFormat/>
    <w:uiPriority w:val="0"/>
    <w:rPr>
      <w:rFonts w:ascii="Arial" w:hAnsi="Arial" w:eastAsia="黑体"/>
      <w:kern w:val="2"/>
      <w:sz w:val="18"/>
      <w:lang w:val="en-US" w:eastAsia="zh-CN"/>
    </w:rPr>
  </w:style>
  <w:style w:type="character" w:customStyle="1" w:styleId="78">
    <w:name w:val="font11"/>
    <w:qFormat/>
    <w:uiPriority w:val="0"/>
    <w:rPr>
      <w:rFonts w:hint="eastAsia" w:ascii="宋体" w:hAnsi="宋体" w:eastAsia="宋体" w:cs="宋体"/>
      <w:b/>
      <w:color w:val="000000"/>
      <w:sz w:val="28"/>
      <w:szCs w:val="28"/>
      <w:u w:val="none"/>
    </w:rPr>
  </w:style>
  <w:style w:type="character" w:customStyle="1" w:styleId="79">
    <w:name w:val="正文 + 三号 Char"/>
    <w:qFormat/>
    <w:uiPriority w:val="0"/>
    <w:rPr>
      <w:rFonts w:eastAsia="宋体"/>
      <w:kern w:val="2"/>
      <w:sz w:val="21"/>
      <w:lang w:val="en-US" w:eastAsia="zh-CN"/>
    </w:rPr>
  </w:style>
  <w:style w:type="character" w:customStyle="1" w:styleId="80">
    <w:name w:val=" Char Char6"/>
    <w:qFormat/>
    <w:uiPriority w:val="0"/>
    <w:rPr>
      <w:rFonts w:ascii="仿宋_GB2312" w:eastAsia="仿宋_GB2312"/>
      <w:kern w:val="2"/>
      <w:sz w:val="32"/>
    </w:rPr>
  </w:style>
  <w:style w:type="character" w:customStyle="1" w:styleId="81">
    <w:name w:val="Body Copy Char Char"/>
    <w:link w:val="82"/>
    <w:qFormat/>
    <w:uiPriority w:val="0"/>
    <w:rPr>
      <w:rFonts w:ascii="Futura Bk BT" w:hAnsi="Futura Bk BT"/>
      <w:lang w:eastAsia="en-US"/>
    </w:rPr>
  </w:style>
  <w:style w:type="paragraph" w:customStyle="1" w:styleId="82">
    <w:name w:val="Body Copy"/>
    <w:basedOn w:val="1"/>
    <w:link w:val="81"/>
    <w:qFormat/>
    <w:uiPriority w:val="0"/>
    <w:pPr>
      <w:widowControl/>
      <w:tabs>
        <w:tab w:val="left" w:pos="240"/>
      </w:tabs>
      <w:autoSpaceDE w:val="0"/>
      <w:autoSpaceDN w:val="0"/>
      <w:adjustRightInd w:val="0"/>
      <w:spacing w:before="120" w:beforeLines="0" w:after="120" w:afterLines="0" w:line="264" w:lineRule="auto"/>
      <w:ind w:left="1440"/>
      <w:jc w:val="left"/>
      <w:textAlignment w:val="center"/>
    </w:pPr>
    <w:rPr>
      <w:rFonts w:ascii="Futura Bk BT" w:hAnsi="Futura Bk BT"/>
      <w:kern w:val="0"/>
      <w:sz w:val="20"/>
      <w:lang w:eastAsia="en-US"/>
    </w:rPr>
  </w:style>
  <w:style w:type="character" w:customStyle="1" w:styleId="83">
    <w:name w:val="样式 宋体"/>
    <w:qFormat/>
    <w:uiPriority w:val="0"/>
    <w:rPr>
      <w:rFonts w:ascii="宋体" w:hAnsi="宋体" w:eastAsia="宋体"/>
      <w:sz w:val="28"/>
    </w:rPr>
  </w:style>
  <w:style w:type="character" w:customStyle="1" w:styleId="84">
    <w:name w:val="top-det1"/>
    <w:qFormat/>
    <w:uiPriority w:val="0"/>
    <w:rPr>
      <w:b/>
      <w:color w:val="000000"/>
    </w:rPr>
  </w:style>
  <w:style w:type="character" w:customStyle="1" w:styleId="85">
    <w:name w:val="font1"/>
    <w:qFormat/>
    <w:uiPriority w:val="0"/>
    <w:rPr>
      <w:color w:val="000000"/>
      <w:sz w:val="18"/>
    </w:rPr>
  </w:style>
  <w:style w:type="character" w:customStyle="1" w:styleId="86">
    <w:name w:val="Table Text Char Char Char Char"/>
    <w:qFormat/>
    <w:uiPriority w:val="0"/>
    <w:rPr>
      <w:rFonts w:ascii="Arial" w:hAnsi="Arial"/>
      <w:kern w:val="2"/>
      <w:sz w:val="18"/>
      <w:lang w:val="en-US" w:eastAsia="zh-CN" w:bidi="ar-SA"/>
    </w:rPr>
  </w:style>
  <w:style w:type="character" w:customStyle="1" w:styleId="87">
    <w:name w:val=" Char Char4"/>
    <w:qFormat/>
    <w:uiPriority w:val="0"/>
    <w:rPr>
      <w:rFonts w:eastAsia="宋体"/>
      <w:b/>
      <w:kern w:val="2"/>
      <w:sz w:val="21"/>
      <w:lang w:val="en-US" w:eastAsia="zh-CN"/>
    </w:rPr>
  </w:style>
  <w:style w:type="character" w:customStyle="1" w:styleId="88">
    <w:name w:val="小 Char"/>
    <w:qFormat/>
    <w:uiPriority w:val="0"/>
    <w:rPr>
      <w:rFonts w:ascii="宋体" w:hAnsi="Courier New" w:eastAsia="宋体"/>
      <w:kern w:val="2"/>
      <w:sz w:val="21"/>
      <w:lang w:val="en-US" w:eastAsia="zh-CN" w:bidi="ar-SA"/>
    </w:rPr>
  </w:style>
  <w:style w:type="character" w:customStyle="1" w:styleId="89">
    <w:name w:val="未命名11"/>
    <w:qFormat/>
    <w:uiPriority w:val="0"/>
    <w:rPr>
      <w:color w:val="77FFFF"/>
      <w:sz w:val="24"/>
    </w:rPr>
  </w:style>
  <w:style w:type="character" w:customStyle="1" w:styleId="90">
    <w:name w:val="标书正文:  0.74 厘米 Char1"/>
    <w:qFormat/>
    <w:uiPriority w:val="0"/>
    <w:rPr>
      <w:rFonts w:eastAsia="宋体"/>
      <w:kern w:val="2"/>
      <w:sz w:val="24"/>
      <w:lang w:val="en-US" w:eastAsia="zh-CN"/>
    </w:rPr>
  </w:style>
  <w:style w:type="character" w:customStyle="1" w:styleId="91">
    <w:name w:val="content-white1"/>
    <w:qFormat/>
    <w:uiPriority w:val="0"/>
    <w:rPr>
      <w:rFonts w:ascii="_x000B__x000C_" w:hAnsi="_x000B__x000C_"/>
      <w:color w:val="auto"/>
      <w:sz w:val="18"/>
      <w:u w:val="none"/>
    </w:rPr>
  </w:style>
  <w:style w:type="character" w:customStyle="1" w:styleId="92">
    <w:name w:val="crowed11"/>
    <w:qFormat/>
    <w:uiPriority w:val="0"/>
    <w:rPr>
      <w:rFonts w:hint="default" w:ascii="_x000B__x000C_" w:hAnsi="_x000B__x000C_"/>
      <w:sz w:val="24"/>
    </w:rPr>
  </w:style>
  <w:style w:type="character" w:customStyle="1" w:styleId="93">
    <w:name w:val=" Char Char3"/>
    <w:qFormat/>
    <w:uiPriority w:val="0"/>
    <w:rPr>
      <w:rFonts w:eastAsia="宋体"/>
      <w:kern w:val="2"/>
      <w:sz w:val="18"/>
      <w:lang w:val="en-US" w:eastAsia="zh-CN"/>
    </w:rPr>
  </w:style>
  <w:style w:type="character" w:customStyle="1" w:styleId="94">
    <w:name w:val=" Char Char Char Char Char Char Char Char Char"/>
    <w:qFormat/>
    <w:uiPriority w:val="0"/>
    <w:rPr>
      <w:rFonts w:ascii="宋体" w:hAnsi="宋体" w:eastAsia="宋体"/>
      <w:kern w:val="2"/>
      <w:sz w:val="24"/>
      <w:lang w:val="en-US" w:eastAsia="zh-CN" w:bidi="ar-SA"/>
    </w:rPr>
  </w:style>
  <w:style w:type="character" w:customStyle="1" w:styleId="95">
    <w:name w:val="文字 Char Char"/>
    <w:link w:val="96"/>
    <w:qFormat/>
    <w:uiPriority w:val="0"/>
    <w:rPr>
      <w:rFonts w:ascii="宋体" w:eastAsia="宋体"/>
      <w:kern w:val="2"/>
      <w:sz w:val="28"/>
      <w:lang w:val="en-US" w:eastAsia="zh-CN" w:bidi="ar-SA"/>
    </w:rPr>
  </w:style>
  <w:style w:type="paragraph" w:customStyle="1" w:styleId="96">
    <w:name w:val="文字"/>
    <w:basedOn w:val="1"/>
    <w:link w:val="95"/>
    <w:qFormat/>
    <w:uiPriority w:val="0"/>
    <w:pPr>
      <w:tabs>
        <w:tab w:val="left" w:pos="8520"/>
      </w:tabs>
      <w:spacing w:line="312" w:lineRule="auto"/>
      <w:ind w:right="-210" w:firstLine="556"/>
    </w:pPr>
    <w:rPr>
      <w:rFonts w:ascii="宋体"/>
    </w:rPr>
  </w:style>
  <w:style w:type="character" w:customStyle="1" w:styleId="97">
    <w:name w:val="v151"/>
    <w:qFormat/>
    <w:uiPriority w:val="0"/>
    <w:rPr>
      <w:sz w:val="18"/>
    </w:rPr>
  </w:style>
  <w:style w:type="character" w:customStyle="1" w:styleId="98">
    <w:name w:val=" Char Char5"/>
    <w:qFormat/>
    <w:uiPriority w:val="0"/>
    <w:rPr>
      <w:rFonts w:ascii="Arial" w:hAnsi="Arial" w:eastAsia="宋体"/>
      <w:b/>
      <w:smallCaps/>
      <w:kern w:val="28"/>
      <w:sz w:val="36"/>
      <w:lang w:val="en-US" w:eastAsia="en-US"/>
    </w:rPr>
  </w:style>
  <w:style w:type="paragraph" w:customStyle="1" w:styleId="99">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00">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01">
    <w:name w:val=" Char Char 字元 字元 字元 Char Char Char Char"/>
    <w:basedOn w:val="1"/>
    <w:qFormat/>
    <w:uiPriority w:val="0"/>
    <w:pPr>
      <w:adjustRightInd w:val="0"/>
      <w:spacing w:line="360" w:lineRule="auto"/>
    </w:pPr>
    <w:rPr>
      <w:kern w:val="0"/>
      <w:sz w:val="24"/>
    </w:rPr>
  </w:style>
  <w:style w:type="paragraph" w:customStyle="1" w:styleId="102">
    <w:name w:val="表文字"/>
    <w:qFormat/>
    <w:uiPriority w:val="0"/>
    <w:rPr>
      <w:rFonts w:ascii="宋体" w:hAnsi="Times New Roman" w:eastAsia="宋体" w:cs="Times New Roman"/>
      <w:kern w:val="2"/>
      <w:lang w:val="en-US" w:eastAsia="zh-CN" w:bidi="ar-SA"/>
    </w:rPr>
  </w:style>
  <w:style w:type="paragraph" w:customStyle="1" w:styleId="103">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104">
    <w:name w:val="表格内文字"/>
    <w:basedOn w:val="31"/>
    <w:qFormat/>
    <w:uiPriority w:val="0"/>
    <w:pPr>
      <w:snapToGrid/>
      <w:spacing w:line="240" w:lineRule="auto"/>
    </w:pPr>
    <w:rPr>
      <w:color w:val="000000"/>
      <w:lang w:val="en-GB"/>
    </w:rPr>
  </w:style>
  <w:style w:type="paragraph" w:customStyle="1" w:styleId="105">
    <w:name w:val="表格文本"/>
    <w:qFormat/>
    <w:uiPriority w:val="0"/>
    <w:pPr>
      <w:tabs>
        <w:tab w:val="decimal" w:pos="0"/>
      </w:tabs>
    </w:pPr>
    <w:rPr>
      <w:rFonts w:ascii="Arial" w:hAnsi="Arial" w:eastAsia="宋体" w:cs="Times New Roman"/>
      <w:sz w:val="21"/>
      <w:lang w:val="en-US" w:eastAsia="zh-CN" w:bidi="ar-SA"/>
    </w:rPr>
  </w:style>
  <w:style w:type="paragraph" w:customStyle="1" w:styleId="106">
    <w:name w:val="编号正文"/>
    <w:basedOn w:val="99"/>
    <w:qFormat/>
    <w:uiPriority w:val="0"/>
    <w:pPr>
      <w:snapToGrid/>
      <w:spacing w:line="360" w:lineRule="auto"/>
      <w:ind w:left="1407" w:hanging="1047"/>
      <w:jc w:val="left"/>
    </w:pPr>
    <w:rPr>
      <w:rFonts w:eastAsia="仿宋_GB2312"/>
    </w:rPr>
  </w:style>
  <w:style w:type="paragraph" w:customStyle="1" w:styleId="107">
    <w:name w:val="标题3——2"/>
    <w:basedOn w:val="5"/>
    <w:next w:val="55"/>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8">
    <w:name w:val="正文 + 三号"/>
    <w:basedOn w:val="1"/>
    <w:qFormat/>
    <w:uiPriority w:val="0"/>
    <w:rPr>
      <w:rFonts w:eastAsia="宋体"/>
      <w:kern w:val="2"/>
      <w:sz w:val="21"/>
      <w:lang w:val="en-US" w:eastAsia="zh-CN"/>
    </w:rPr>
  </w:style>
  <w:style w:type="paragraph" w:customStyle="1" w:styleId="109">
    <w:name w:val="00"/>
    <w:basedOn w:val="1"/>
    <w:qFormat/>
    <w:uiPriority w:val="0"/>
    <w:pPr>
      <w:autoSpaceDE w:val="0"/>
      <w:autoSpaceDN w:val="0"/>
      <w:adjustRightInd w:val="0"/>
      <w:jc w:val="left"/>
    </w:pPr>
    <w:rPr>
      <w:rFonts w:ascii="黑体" w:eastAsia="黑体"/>
      <w:b/>
      <w:kern w:val="0"/>
      <w:sz w:val="20"/>
    </w:rPr>
  </w:style>
  <w:style w:type="paragraph" w:customStyle="1" w:styleId="110">
    <w:name w:val="Char"/>
    <w:basedOn w:val="1"/>
    <w:qFormat/>
    <w:uiPriority w:val="0"/>
    <w:pPr>
      <w:widowControl/>
      <w:spacing w:line="400" w:lineRule="exact"/>
      <w:jc w:val="center"/>
    </w:pPr>
    <w:rPr>
      <w:sz w:val="24"/>
    </w:rPr>
  </w:style>
  <w:style w:type="paragraph" w:customStyle="1" w:styleId="111">
    <w:name w:val="无间隔1"/>
    <w:basedOn w:val="1"/>
    <w:qFormat/>
    <w:uiPriority w:val="1"/>
    <w:pPr>
      <w:spacing w:line="400" w:lineRule="exact"/>
    </w:pPr>
    <w:rPr>
      <w:sz w:val="24"/>
    </w:rPr>
  </w:style>
  <w:style w:type="paragraph" w:customStyle="1" w:styleId="112">
    <w:name w:val="正文表格"/>
    <w:basedOn w:val="1"/>
    <w:qFormat/>
    <w:uiPriority w:val="0"/>
    <w:pPr>
      <w:adjustRightInd w:val="0"/>
      <w:spacing w:before="40" w:beforeLines="0" w:beforeAutospacing="0" w:after="40" w:afterLines="0" w:afterAutospacing="0"/>
    </w:pPr>
    <w:rPr>
      <w:sz w:val="24"/>
    </w:rPr>
  </w:style>
  <w:style w:type="paragraph" w:customStyle="1" w:styleId="113">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14">
    <w:name w:val="首行缩进 1"/>
    <w:basedOn w:val="1"/>
    <w:qFormat/>
    <w:uiPriority w:val="0"/>
    <w:pPr>
      <w:spacing w:after="120" w:afterLines="0" w:afterAutospacing="0" w:line="360" w:lineRule="auto"/>
      <w:ind w:firstLine="200" w:firstLineChars="200"/>
    </w:pPr>
    <w:rPr>
      <w:sz w:val="24"/>
    </w:rPr>
  </w:style>
  <w:style w:type="paragraph" w:customStyle="1" w:styleId="115">
    <w:name w:val="样式1xz"/>
    <w:basedOn w:val="1"/>
    <w:qFormat/>
    <w:uiPriority w:val="0"/>
    <w:pPr>
      <w:tabs>
        <w:tab w:val="left" w:pos="1050"/>
        <w:tab w:val="right" w:leader="dot" w:pos="8296"/>
      </w:tabs>
    </w:pPr>
    <w:rPr>
      <w:caps/>
      <w:spacing w:val="20"/>
      <w:sz w:val="24"/>
    </w:rPr>
  </w:style>
  <w:style w:type="paragraph" w:customStyle="1" w:styleId="116">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17">
    <w:name w:val="样式2"/>
    <w:basedOn w:val="6"/>
    <w:qFormat/>
    <w:uiPriority w:val="0"/>
    <w:pPr>
      <w:numPr>
        <w:ilvl w:val="0"/>
        <w:numId w:val="6"/>
      </w:numPr>
      <w:spacing w:line="400" w:lineRule="exact"/>
      <w:jc w:val="center"/>
      <w:outlineLvl w:val="0"/>
    </w:pPr>
    <w:rPr>
      <w:b w:val="0"/>
      <w:sz w:val="44"/>
    </w:rPr>
  </w:style>
  <w:style w:type="paragraph" w:customStyle="1" w:styleId="118">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19">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20">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1">
    <w:name w:val="标题2"/>
    <w:basedOn w:val="4"/>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22">
    <w:name w:val="Char1 Char Char Char"/>
    <w:basedOn w:val="1"/>
    <w:qFormat/>
    <w:uiPriority w:val="0"/>
    <w:rPr>
      <w:rFonts w:ascii="Tahoma" w:hAnsi="Tahoma"/>
      <w:sz w:val="21"/>
    </w:rPr>
  </w:style>
  <w:style w:type="paragraph" w:customStyle="1" w:styleId="123">
    <w:name w:val="表号"/>
    <w:basedOn w:val="1"/>
    <w:qFormat/>
    <w:uiPriority w:val="0"/>
    <w:pPr>
      <w:numPr>
        <w:ilvl w:val="0"/>
        <w:numId w:val="7"/>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24">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25">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6">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27">
    <w:name w:val="1"/>
    <w:basedOn w:val="1"/>
    <w:qFormat/>
    <w:uiPriority w:val="0"/>
    <w:rPr>
      <w:rFonts w:ascii="Tahoma" w:hAnsi="Tahoma"/>
      <w:sz w:val="24"/>
    </w:rPr>
  </w:style>
  <w:style w:type="paragraph" w:customStyle="1" w:styleId="128">
    <w:name w:val="章标题"/>
    <w:next w:val="1"/>
    <w:qFormat/>
    <w:uiPriority w:val="0"/>
    <w:pPr>
      <w:numPr>
        <w:ilvl w:val="1"/>
        <w:numId w:val="8"/>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29">
    <w:name w:val="表头样式"/>
    <w:basedOn w:val="1"/>
    <w:qFormat/>
    <w:uiPriority w:val="0"/>
    <w:pPr>
      <w:autoSpaceDE w:val="0"/>
      <w:autoSpaceDN w:val="0"/>
      <w:adjustRightInd w:val="0"/>
      <w:spacing w:line="360" w:lineRule="auto"/>
      <w:jc w:val="left"/>
    </w:pPr>
    <w:rPr>
      <w:b/>
      <w:kern w:val="0"/>
      <w:sz w:val="21"/>
    </w:rPr>
  </w:style>
  <w:style w:type="paragraph" w:customStyle="1" w:styleId="130">
    <w:name w:val="文章正文"/>
    <w:basedOn w:val="1"/>
    <w:qFormat/>
    <w:uiPriority w:val="0"/>
    <w:pPr>
      <w:ind w:firstLine="560" w:firstLineChars="200"/>
    </w:pPr>
    <w:rPr>
      <w:rFonts w:ascii="仿宋_GB2312" w:hAnsi="宋体" w:eastAsia="仿宋_GB2312"/>
      <w:color w:val="000000"/>
    </w:rPr>
  </w:style>
  <w:style w:type="paragraph" w:customStyle="1" w:styleId="131">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32">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33">
    <w:name w:val="标题无"/>
    <w:basedOn w:val="1"/>
    <w:qFormat/>
    <w:uiPriority w:val="0"/>
    <w:pPr>
      <w:spacing w:line="360" w:lineRule="auto"/>
    </w:pPr>
    <w:rPr>
      <w:sz w:val="24"/>
    </w:rPr>
  </w:style>
  <w:style w:type="paragraph" w:customStyle="1" w:styleId="134">
    <w:name w:val="Note"/>
    <w:basedOn w:val="1"/>
    <w:qFormat/>
    <w:uiPriority w:val="0"/>
    <w:pPr>
      <w:pBdr>
        <w:top w:val="single" w:color="auto" w:sz="12" w:space="3"/>
        <w:bottom w:val="single" w:color="auto" w:sz="12" w:space="3"/>
      </w:pBdr>
      <w:spacing w:line="360" w:lineRule="auto"/>
    </w:pPr>
    <w:rPr>
      <w:sz w:val="24"/>
    </w:rPr>
  </w:style>
  <w:style w:type="paragraph" w:customStyle="1" w:styleId="135">
    <w:name w:val=" Char Char Char Char Char"/>
    <w:basedOn w:val="1"/>
    <w:qFormat/>
    <w:uiPriority w:val="0"/>
    <w:pPr>
      <w:numPr>
        <w:ilvl w:val="0"/>
        <w:numId w:val="9"/>
      </w:numPr>
    </w:pPr>
    <w:rPr>
      <w:rFonts w:ascii="Tahoma" w:hAnsi="Tahoma"/>
      <w:sz w:val="24"/>
    </w:rPr>
  </w:style>
  <w:style w:type="paragraph" w:customStyle="1" w:styleId="136">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37">
    <w:name w:val="样式 行距: 1.5 倍行距1"/>
    <w:basedOn w:val="1"/>
    <w:qFormat/>
    <w:uiPriority w:val="0"/>
    <w:pPr>
      <w:snapToGrid w:val="0"/>
    </w:pPr>
    <w:rPr>
      <w:sz w:val="21"/>
    </w:rPr>
  </w:style>
  <w:style w:type="paragraph" w:customStyle="1" w:styleId="138">
    <w:name w:val="关键词"/>
    <w:basedOn w:val="1"/>
    <w:next w:val="1"/>
    <w:qFormat/>
    <w:uiPriority w:val="0"/>
    <w:pPr>
      <w:spacing w:line="360" w:lineRule="auto"/>
    </w:pPr>
    <w:rPr>
      <w:rFonts w:eastAsia="黑体"/>
      <w:sz w:val="20"/>
    </w:rPr>
  </w:style>
  <w:style w:type="paragraph" w:customStyle="1" w:styleId="139">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40">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141">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42">
    <w:name w:val="Title - Date"/>
    <w:basedOn w:val="53"/>
    <w:next w:val="1"/>
    <w:qFormat/>
    <w:uiPriority w:val="0"/>
    <w:pPr>
      <w:spacing w:before="240" w:beforeLines="0" w:beforeAutospacing="0" w:after="720" w:afterLines="0" w:afterAutospacing="0"/>
    </w:pPr>
    <w:rPr>
      <w:sz w:val="28"/>
    </w:rPr>
  </w:style>
  <w:style w:type="paragraph" w:customStyle="1" w:styleId="143">
    <w:name w:val="样式3"/>
    <w:basedOn w:val="3"/>
    <w:next w:val="3"/>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44">
    <w:name w:val=" Char"/>
    <w:basedOn w:val="1"/>
    <w:qFormat/>
    <w:uiPriority w:val="0"/>
    <w:pPr>
      <w:spacing w:line="240" w:lineRule="atLeast"/>
      <w:ind w:left="420" w:firstLine="420"/>
    </w:pPr>
    <w:rPr>
      <w:kern w:val="0"/>
      <w:sz w:val="21"/>
    </w:rPr>
  </w:style>
  <w:style w:type="paragraph" w:customStyle="1" w:styleId="145">
    <w:name w:val="图片文字"/>
    <w:basedOn w:val="1"/>
    <w:qFormat/>
    <w:uiPriority w:val="0"/>
    <w:pPr>
      <w:spacing w:line="240" w:lineRule="atLeast"/>
      <w:jc w:val="center"/>
    </w:pPr>
    <w:rPr>
      <w:sz w:val="21"/>
    </w:rPr>
  </w:style>
  <w:style w:type="paragraph" w:customStyle="1" w:styleId="14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47">
    <w:name w:val="正文格式 Char"/>
    <w:basedOn w:val="1"/>
    <w:qFormat/>
    <w:uiPriority w:val="0"/>
    <w:pPr>
      <w:widowControl/>
      <w:adjustRightInd w:val="0"/>
      <w:spacing w:line="440" w:lineRule="atLeast"/>
      <w:ind w:firstLine="510"/>
      <w:textAlignment w:val="baseline"/>
    </w:pPr>
    <w:rPr>
      <w:kern w:val="0"/>
      <w:sz w:val="24"/>
    </w:rPr>
  </w:style>
  <w:style w:type="paragraph" w:styleId="148">
    <w:name w:val="List Paragraph"/>
    <w:basedOn w:val="1"/>
    <w:qFormat/>
    <w:uiPriority w:val="0"/>
    <w:pPr>
      <w:ind w:firstLine="420" w:firstLineChars="200"/>
    </w:pPr>
    <w:rPr>
      <w:rFonts w:ascii="Calibri" w:hAnsi="Calibri" w:eastAsia="宋体" w:cs="Times New Roman"/>
      <w:sz w:val="21"/>
      <w:szCs w:val="22"/>
    </w:rPr>
  </w:style>
  <w:style w:type="paragraph" w:customStyle="1" w:styleId="149">
    <w:name w:val="Style Heading 3h3Heading 3 - oldLevel 3 HeadH3level_3PIM 3se..."/>
    <w:basedOn w:val="5"/>
    <w:qFormat/>
    <w:uiPriority w:val="0"/>
    <w:pPr>
      <w:numPr>
        <w:ilvl w:val="2"/>
        <w:numId w:val="9"/>
      </w:numPr>
      <w:jc w:val="both"/>
    </w:pPr>
    <w:rPr>
      <w:sz w:val="32"/>
    </w:rPr>
  </w:style>
  <w:style w:type="paragraph" w:customStyle="1" w:styleId="150">
    <w:name w:val="内容标题"/>
    <w:basedOn w:val="18"/>
    <w:qFormat/>
    <w:uiPriority w:val="0"/>
    <w:rPr>
      <w:rFonts w:ascii="Tahoma" w:hAnsi="Tahoma"/>
      <w:sz w:val="24"/>
    </w:rPr>
  </w:style>
  <w:style w:type="paragraph" w:customStyle="1" w:styleId="151">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52">
    <w:name w:val="1.正文"/>
    <w:basedOn w:val="1"/>
    <w:qFormat/>
    <w:uiPriority w:val="0"/>
    <w:pPr>
      <w:spacing w:line="360" w:lineRule="auto"/>
      <w:ind w:left="540" w:leftChars="225" w:firstLine="540" w:firstLineChars="225"/>
    </w:pPr>
    <w:rPr>
      <w:sz w:val="24"/>
    </w:rPr>
  </w:style>
  <w:style w:type="paragraph" w:customStyle="1" w:styleId="153">
    <w:name w:val="样式 宋体 五号 行距: 单倍行距"/>
    <w:basedOn w:val="1"/>
    <w:qFormat/>
    <w:uiPriority w:val="0"/>
    <w:pPr>
      <w:adjustRightInd w:val="0"/>
      <w:jc w:val="left"/>
    </w:pPr>
    <w:rPr>
      <w:rFonts w:ascii="宋体" w:hAnsi="宋体"/>
      <w:kern w:val="0"/>
      <w:sz w:val="21"/>
    </w:rPr>
  </w:style>
  <w:style w:type="paragraph" w:customStyle="1" w:styleId="154">
    <w:name w:val=" Char Char Char"/>
    <w:basedOn w:val="1"/>
    <w:qFormat/>
    <w:uiPriority w:val="0"/>
    <w:rPr>
      <w:rFonts w:ascii="Tahoma" w:hAnsi="Tahoma"/>
      <w:sz w:val="24"/>
    </w:rPr>
  </w:style>
  <w:style w:type="paragraph" w:customStyle="1" w:styleId="155">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56">
    <w:name w:val="可研正文"/>
    <w:basedOn w:val="23"/>
    <w:qFormat/>
    <w:uiPriority w:val="0"/>
    <w:pPr>
      <w:adjustRightInd w:val="0"/>
      <w:snapToGrid w:val="0"/>
      <w:spacing w:line="440" w:lineRule="exact"/>
      <w:ind w:firstLine="567"/>
    </w:pPr>
    <w:rPr>
      <w:sz w:val="28"/>
    </w:rPr>
  </w:style>
  <w:style w:type="paragraph" w:customStyle="1" w:styleId="157">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58">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59">
    <w:name w:val="操作步骤"/>
    <w:basedOn w:val="1"/>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60">
    <w:name w:val="样式 标题 1章标题Heading 0Section HeadPIM 1H1h11st levell11H1..."/>
    <w:basedOn w:val="3"/>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161">
    <w:name w:val="正文 A"/>
    <w:qFormat/>
    <w:uiPriority w:val="0"/>
    <w:pPr>
      <w:widowControl w:val="0"/>
      <w:jc w:val="both"/>
    </w:pPr>
    <w:rPr>
      <w:rFonts w:ascii="Times New Roman" w:hAnsi="Times New Roman" w:eastAsia="Times New Roman" w:cs="Times New Roman"/>
      <w:color w:val="000000"/>
      <w:kern w:val="2"/>
      <w:sz w:val="28"/>
      <w:szCs w:val="28"/>
      <w:u w:val="none" w:color="000000"/>
      <w:lang w:val="en-US" w:eastAsia="zh-CN" w:bidi="ar-SA"/>
    </w:rPr>
  </w:style>
  <w:style w:type="paragraph" w:customStyle="1" w:styleId="162">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63">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4">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65">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66">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67">
    <w:name w:val="首行缩进"/>
    <w:basedOn w:val="1"/>
    <w:qFormat/>
    <w:uiPriority w:val="0"/>
    <w:pPr>
      <w:spacing w:line="360" w:lineRule="auto"/>
      <w:ind w:firstLine="420" w:firstLineChars="200"/>
    </w:pPr>
    <w:rPr>
      <w:sz w:val="21"/>
    </w:rPr>
  </w:style>
  <w:style w:type="paragraph" w:customStyle="1" w:styleId="168">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 Char1"/>
    <w:basedOn w:val="1"/>
    <w:qFormat/>
    <w:uiPriority w:val="0"/>
    <w:rPr>
      <w:sz w:val="21"/>
    </w:rPr>
  </w:style>
  <w:style w:type="paragraph" w:customStyle="1" w:styleId="171">
    <w:name w:val=" Char1 Char Char Char"/>
    <w:basedOn w:val="1"/>
    <w:qFormat/>
    <w:uiPriority w:val="0"/>
    <w:rPr>
      <w:rFonts w:ascii="Tahoma" w:hAnsi="Tahoma"/>
      <w:sz w:val="24"/>
    </w:rPr>
  </w:style>
  <w:style w:type="paragraph" w:customStyle="1" w:styleId="172">
    <w:name w:val="样式 标题 6第五层条 + 三号 段前: 0.5 行"/>
    <w:basedOn w:val="8"/>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73">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74">
    <w:name w:val="二级列表"/>
    <w:basedOn w:val="175"/>
    <w:next w:val="175"/>
    <w:qFormat/>
    <w:uiPriority w:val="0"/>
    <w:pPr>
      <w:tabs>
        <w:tab w:val="left" w:pos="2120"/>
      </w:tabs>
      <w:ind w:firstLine="0" w:firstLineChars="0"/>
    </w:pPr>
    <w:rPr>
      <w:b/>
    </w:rPr>
  </w:style>
  <w:style w:type="paragraph" w:customStyle="1" w:styleId="175">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76">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77">
    <w:name w:val="_Style 176"/>
    <w:qFormat/>
    <w:uiPriority w:val="0"/>
    <w:rPr>
      <w:rFonts w:ascii="Times New Roman" w:hAnsi="Times New Roman" w:eastAsia="宋体" w:cs="Times New Roman"/>
      <w:kern w:val="2"/>
      <w:sz w:val="21"/>
      <w:lang w:val="en-US" w:eastAsia="zh-CN" w:bidi="ar-SA"/>
    </w:rPr>
  </w:style>
  <w:style w:type="paragraph" w:customStyle="1" w:styleId="178">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79">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80">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81">
    <w:name w:val="正文（首行不缩进）"/>
    <w:basedOn w:val="1"/>
    <w:qFormat/>
    <w:uiPriority w:val="0"/>
    <w:pPr>
      <w:autoSpaceDE w:val="0"/>
      <w:autoSpaceDN w:val="0"/>
      <w:adjustRightInd w:val="0"/>
      <w:spacing w:line="360" w:lineRule="auto"/>
      <w:jc w:val="left"/>
    </w:pPr>
    <w:rPr>
      <w:kern w:val="0"/>
      <w:sz w:val="21"/>
    </w:rPr>
  </w:style>
  <w:style w:type="paragraph" w:customStyle="1" w:styleId="182">
    <w:name w:val="摘要"/>
    <w:basedOn w:val="1"/>
    <w:next w:val="4"/>
    <w:qFormat/>
    <w:uiPriority w:val="0"/>
    <w:pPr>
      <w:spacing w:line="360" w:lineRule="auto"/>
    </w:pPr>
    <w:rPr>
      <w:rFonts w:eastAsia="黑体"/>
      <w:sz w:val="20"/>
    </w:rPr>
  </w:style>
  <w:style w:type="paragraph" w:customStyle="1" w:styleId="183">
    <w:name w:val="列表项目"/>
    <w:basedOn w:val="1"/>
    <w:qFormat/>
    <w:uiPriority w:val="0"/>
    <w:pPr>
      <w:numPr>
        <w:ilvl w:val="0"/>
        <w:numId w:val="11"/>
      </w:numPr>
      <w:tabs>
        <w:tab w:val="left" w:pos="420"/>
        <w:tab w:val="clear" w:pos="980"/>
      </w:tabs>
      <w:spacing w:line="288" w:lineRule="auto"/>
      <w:ind w:left="840" w:leftChars="200" w:hanging="420" w:hangingChars="200"/>
    </w:pPr>
    <w:rPr>
      <w:sz w:val="21"/>
    </w:rPr>
  </w:style>
  <w:style w:type="paragraph" w:customStyle="1" w:styleId="184">
    <w:name w:val="样式 标题 1 + 居中 段前: 6 磅 段后: 6 磅 行距: 1.5 倍行距"/>
    <w:basedOn w:val="3"/>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5">
    <w:name w:val="Char Char Char Char Char Char Char"/>
    <w:basedOn w:val="18"/>
    <w:qFormat/>
    <w:uiPriority w:val="0"/>
    <w:rPr>
      <w:rFonts w:ascii="宋体" w:hAnsi="Tahoma"/>
    </w:rPr>
  </w:style>
  <w:style w:type="paragraph" w:customStyle="1" w:styleId="18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8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89">
    <w:name w:val="样式 样式 首行缩进:  2 字符 + 首行缩进:  2 字符"/>
    <w:basedOn w:val="1"/>
    <w:qFormat/>
    <w:uiPriority w:val="0"/>
    <w:pPr>
      <w:numPr>
        <w:ilvl w:val="0"/>
        <w:numId w:val="12"/>
      </w:numPr>
      <w:tabs>
        <w:tab w:val="clear" w:pos="1230"/>
      </w:tabs>
      <w:spacing w:line="360" w:lineRule="auto"/>
      <w:ind w:firstLine="480" w:firstLineChars="200"/>
    </w:pPr>
    <w:rPr>
      <w:sz w:val="24"/>
    </w:rPr>
  </w:style>
  <w:style w:type="paragraph" w:customStyle="1" w:styleId="190">
    <w:name w:val="Title - Revision"/>
    <w:basedOn w:val="53"/>
    <w:qFormat/>
    <w:uiPriority w:val="0"/>
    <w:pPr>
      <w:spacing w:before="720" w:beforeLines="0" w:beforeAutospacing="0"/>
    </w:pPr>
  </w:style>
  <w:style w:type="paragraph" w:customStyle="1" w:styleId="191">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92">
    <w:name w:val="Item List"/>
    <w:qFormat/>
    <w:uiPriority w:val="0"/>
    <w:pPr>
      <w:numPr>
        <w:ilvl w:val="0"/>
        <w:numId w:val="13"/>
      </w:numPr>
      <w:spacing w:line="300" w:lineRule="auto"/>
      <w:jc w:val="both"/>
    </w:pPr>
    <w:rPr>
      <w:rFonts w:ascii="Arial" w:hAnsi="Arial" w:eastAsia="宋体" w:cs="Times New Roman"/>
      <w:sz w:val="21"/>
      <w:lang w:val="en-US" w:eastAsia="zh-CN" w:bidi="ar-SA"/>
    </w:rPr>
  </w:style>
  <w:style w:type="paragraph" w:customStyle="1" w:styleId="19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94">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95">
    <w:name w:val="样式 正文首行缩进 2 + 首行缩进:  2 字符"/>
    <w:basedOn w:val="1"/>
    <w:qFormat/>
    <w:uiPriority w:val="0"/>
    <w:pPr>
      <w:numPr>
        <w:ilvl w:val="0"/>
        <w:numId w:val="14"/>
      </w:numPr>
      <w:adjustRightInd w:val="0"/>
      <w:snapToGrid w:val="0"/>
      <w:spacing w:line="360" w:lineRule="auto"/>
    </w:pPr>
    <w:rPr>
      <w:rFonts w:ascii="Arial" w:hAnsi="Arial"/>
      <w:b/>
      <w:sz w:val="24"/>
    </w:rPr>
  </w:style>
  <w:style w:type="paragraph" w:customStyle="1" w:styleId="19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97">
    <w:name w:val="样式4"/>
    <w:basedOn w:val="6"/>
    <w:qFormat/>
    <w:uiPriority w:val="0"/>
    <w:pPr>
      <w:numPr>
        <w:ilvl w:val="0"/>
        <w:numId w:val="0"/>
      </w:numPr>
      <w:adjustRightInd w:val="0"/>
      <w:snapToGrid w:val="0"/>
      <w:spacing w:before="280" w:beforeLines="0" w:beforeAutospacing="0" w:line="372" w:lineRule="auto"/>
    </w:pPr>
  </w:style>
  <w:style w:type="paragraph" w:customStyle="1" w:styleId="198">
    <w:name w:val="Item Step in Table"/>
    <w:qFormat/>
    <w:uiPriority w:val="0"/>
    <w:pPr>
      <w:numPr>
        <w:ilvl w:val="0"/>
        <w:numId w:val="15"/>
      </w:numPr>
      <w:spacing w:before="40" w:after="40"/>
      <w:jc w:val="both"/>
    </w:pPr>
    <w:rPr>
      <w:rFonts w:ascii="Arial" w:hAnsi="Arial" w:eastAsia="宋体" w:cs="Times New Roman"/>
      <w:sz w:val="18"/>
      <w:lang w:val="en-US" w:eastAsia="zh-CN" w:bidi="ar-SA"/>
    </w:rPr>
  </w:style>
  <w:style w:type="paragraph" w:customStyle="1" w:styleId="199">
    <w:name w:val="默认段落字体 Para Char Char Char Char Char Char Char"/>
    <w:basedOn w:val="1"/>
    <w:qFormat/>
    <w:uiPriority w:val="0"/>
    <w:rPr>
      <w:rFonts w:ascii="Tahoma" w:hAnsi="Tahoma"/>
      <w:sz w:val="24"/>
    </w:rPr>
  </w:style>
  <w:style w:type="paragraph" w:customStyle="1" w:styleId="200">
    <w:name w:val="文本1"/>
    <w:basedOn w:val="1"/>
    <w:qFormat/>
    <w:uiPriority w:val="0"/>
    <w:pPr>
      <w:adjustRightInd w:val="0"/>
      <w:spacing w:line="312" w:lineRule="atLeast"/>
      <w:jc w:val="center"/>
      <w:textAlignment w:val="baseline"/>
    </w:pPr>
    <w:rPr>
      <w:kern w:val="0"/>
      <w:sz w:val="18"/>
    </w:rPr>
  </w:style>
  <w:style w:type="paragraph" w:customStyle="1" w:styleId="201">
    <w:name w:val="样式 首行缩进:  0.74 厘米"/>
    <w:basedOn w:val="1"/>
    <w:qFormat/>
    <w:uiPriority w:val="0"/>
    <w:pPr>
      <w:spacing w:line="360" w:lineRule="auto"/>
      <w:ind w:firstLine="420"/>
    </w:pPr>
    <w:rPr>
      <w:sz w:val="24"/>
    </w:rPr>
  </w:style>
  <w:style w:type="paragraph" w:customStyle="1" w:styleId="20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03">
    <w:name w:val="简单回函地址"/>
    <w:basedOn w:val="1"/>
    <w:qFormat/>
    <w:uiPriority w:val="0"/>
    <w:pPr>
      <w:adjustRightInd w:val="0"/>
      <w:snapToGrid w:val="0"/>
      <w:spacing w:line="360" w:lineRule="auto"/>
    </w:pPr>
    <w:rPr>
      <w:sz w:val="24"/>
    </w:rPr>
  </w:style>
  <w:style w:type="paragraph" w:customStyle="1" w:styleId="20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05">
    <w:name w:val="Table Contents"/>
    <w:basedOn w:val="23"/>
    <w:qFormat/>
    <w:uiPriority w:val="0"/>
    <w:pPr>
      <w:suppressAutoHyphens/>
      <w:jc w:val="left"/>
    </w:pPr>
    <w:rPr>
      <w:rFonts w:ascii="Times New Roman" w:eastAsia="Times New Roman"/>
      <w:kern w:val="0"/>
      <w:sz w:val="24"/>
    </w:rPr>
  </w:style>
  <w:style w:type="paragraph" w:customStyle="1" w:styleId="206">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7">
    <w:name w:val="bt"/>
    <w:basedOn w:val="1"/>
    <w:next w:val="23"/>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208">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0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0">
    <w:name w:val="表头文本"/>
    <w:qFormat/>
    <w:uiPriority w:val="0"/>
    <w:pPr>
      <w:jc w:val="center"/>
    </w:pPr>
    <w:rPr>
      <w:rFonts w:ascii="Arial" w:hAnsi="Arial" w:eastAsia="宋体" w:cs="Times New Roman"/>
      <w:b/>
      <w:sz w:val="21"/>
      <w:lang w:val="en-US" w:eastAsia="zh-CN" w:bidi="ar-SA"/>
    </w:rPr>
  </w:style>
  <w:style w:type="paragraph" w:customStyle="1" w:styleId="21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212">
    <w:name w:val="样式 正文缩进正文（首行缩进两字）表正文正文非缩进特点标题4段1 + 首行缩进:  2 字符"/>
    <w:basedOn w:val="16"/>
    <w:qFormat/>
    <w:uiPriority w:val="0"/>
    <w:pPr>
      <w:ind w:firstLine="480" w:firstLineChars="200"/>
    </w:pPr>
  </w:style>
  <w:style w:type="paragraph" w:customStyle="1" w:styleId="213">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4">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15">
    <w:name w:val="样式1"/>
    <w:basedOn w:val="6"/>
    <w:qFormat/>
    <w:uiPriority w:val="0"/>
    <w:pPr>
      <w:spacing w:before="500" w:beforeLines="0" w:after="260" w:afterLines="0" w:line="560" w:lineRule="atLeast"/>
    </w:pPr>
  </w:style>
  <w:style w:type="paragraph" w:customStyle="1" w:styleId="216">
    <w:name w:val="默认段落字体 Para Char Char Char Char Char Char Char Char Char1 Char Char Char Char"/>
    <w:basedOn w:val="1"/>
    <w:qFormat/>
    <w:uiPriority w:val="0"/>
    <w:rPr>
      <w:rFonts w:ascii="Tahoma" w:hAnsi="Tahoma"/>
      <w:sz w:val="24"/>
    </w:rPr>
  </w:style>
  <w:style w:type="paragraph" w:customStyle="1" w:styleId="217">
    <w:name w:val="p"/>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18">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19">
    <w:name w:val="_"/>
    <w:basedOn w:val="1"/>
    <w:qFormat/>
    <w:uiPriority w:val="0"/>
    <w:pPr>
      <w:adjustRightInd w:val="0"/>
      <w:spacing w:line="360" w:lineRule="auto"/>
      <w:ind w:left="480" w:firstLine="200" w:firstLineChars="200"/>
      <w:textAlignment w:val="baseline"/>
    </w:pPr>
    <w:rPr>
      <w:kern w:val="0"/>
      <w:sz w:val="24"/>
    </w:rPr>
  </w:style>
  <w:style w:type="paragraph" w:customStyle="1" w:styleId="220">
    <w:name w:val="Body Text Indent 2"/>
    <w:basedOn w:val="1"/>
    <w:qFormat/>
    <w:uiPriority w:val="0"/>
    <w:pPr>
      <w:adjustRightInd w:val="0"/>
      <w:spacing w:before="120" w:beforeLines="0" w:beforeAutospacing="0"/>
      <w:ind w:firstLine="420"/>
      <w:textAlignment w:val="baseline"/>
    </w:pPr>
    <w:rPr>
      <w:sz w:val="24"/>
    </w:rPr>
  </w:style>
  <w:style w:type="paragraph" w:customStyle="1" w:styleId="221">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2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19028</Words>
  <Characters>19882</Characters>
  <Lines>183</Lines>
  <Paragraphs>51</Paragraphs>
  <TotalTime>6</TotalTime>
  <ScaleCrop>false</ScaleCrop>
  <LinksUpToDate>false</LinksUpToDate>
  <CharactersWithSpaces>21700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2018-02-01T03:55:00Z</dcterms:created>
  <dc:creator>admin</dc:creator>
  <cp:lastModifiedBy>Administrator</cp:lastModifiedBy>
  <cp:lastPrinted>2025-03-27T02:35:00Z</cp:lastPrinted>
  <dcterms:modified xsi:type="dcterms:W3CDTF">2025-06-09T08:59:31Z</dcterms:modified>
  <dc:title>货物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584CD72C2F7F4751B1646FD6563F02A1_13</vt:lpwstr>
  </property>
  <property fmtid="{D5CDD505-2E9C-101B-9397-08002B2CF9AE}" pid="4" name="KSOTemplateDocerSaveRecord">
    <vt:lpwstr>eyJoZGlkIjoiZjI5NjYwZDNiMDA2MDA3NTNmOTdiODlkNDY4NWFiM2EiLCJ1c2VySWQiOiIzMTA4NjA3MjIifQ==</vt:lpwstr>
  </property>
</Properties>
</file>