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E3D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jc w:val="center"/>
        <w:rPr>
          <w:rFonts w:hint="default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0"/>
          <w:szCs w:val="40"/>
          <w:highlight w:val="none"/>
          <w:lang w:val="en-US" w:eastAsia="zh-CN"/>
        </w:rPr>
        <w:t>补遗文件</w:t>
      </w:r>
    </w:p>
    <w:p w14:paraId="78AD6A6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各潜比选申请人：</w:t>
      </w:r>
    </w:p>
    <w:p w14:paraId="1D8A14E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香林华府小区1栋1-3单元电梯换新项目补遗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通知如下：</w:t>
      </w:r>
    </w:p>
    <w:p w14:paraId="6DC38CC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1、原招标文件“第二章 比选申请人须知 比选申请人须知前附表中10.3质保期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：整机质保期5年，整机免费维保期5年（不含年检费）。质保期从重庆市特种设备检测研究院验收合格之日起，质保期内使用配件必须为原厂配件。修改为： 整机质保期5年，整机免费维保期2年（</w:t>
      </w:r>
      <w:bookmarkStart w:id="5" w:name="_GoBack"/>
      <w:bookmarkEnd w:id="5"/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不含年检费）。质保期从重庆市特种设备检测研究院验收合格之日起，质保期内使用配件必须为原厂配件。</w:t>
      </w:r>
    </w:p>
    <w:p w14:paraId="4168B33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2、原招标文件“</w:t>
      </w:r>
      <w:bookmarkStart w:id="0" w:name="_Toc493057869"/>
      <w:bookmarkStart w:id="1" w:name="_Toc2072_WPSOffice_Level1"/>
      <w:bookmarkStart w:id="2" w:name="_Toc22375"/>
      <w:bookmarkStart w:id="3" w:name="_Toc22217"/>
      <w:r>
        <w:rPr>
          <w:rFonts w:hint="eastAsia" w:ascii="宋体" w:hAnsi="宋体" w:eastAsia="宋体"/>
          <w:color w:val="auto"/>
          <w:kern w:val="0"/>
          <w:sz w:val="28"/>
          <w:szCs w:val="28"/>
        </w:rPr>
        <w:t>第三章 评选办法</w:t>
      </w:r>
      <w:bookmarkEnd w:id="0"/>
      <w:bookmarkEnd w:id="1"/>
      <w:bookmarkEnd w:id="2"/>
      <w:bookmarkEnd w:id="3"/>
      <w:r>
        <w:rPr>
          <w:rFonts w:hint="eastAsia" w:ascii="宋体" w:hAnsi="宋体" w:eastAsia="宋体"/>
          <w:color w:val="auto"/>
          <w:kern w:val="0"/>
          <w:sz w:val="28"/>
          <w:szCs w:val="28"/>
        </w:rPr>
        <w:t>（</w:t>
      </w:r>
      <w:r>
        <w:rPr>
          <w:rFonts w:hint="eastAsia" w:ascii="宋体" w:hAnsi="宋体" w:eastAsia="宋体"/>
          <w:color w:val="auto"/>
          <w:kern w:val="0"/>
          <w:sz w:val="28"/>
          <w:szCs w:val="28"/>
          <w:lang w:eastAsia="zh-CN"/>
        </w:rPr>
        <w:t>综合评标法</w:t>
      </w:r>
      <w:r>
        <w:rPr>
          <w:rFonts w:hint="eastAsia" w:ascii="宋体" w:hAnsi="宋体" w:eastAsia="宋体"/>
          <w:color w:val="auto"/>
          <w:kern w:val="0"/>
          <w:sz w:val="28"/>
          <w:szCs w:val="28"/>
        </w:rPr>
        <w:t>）</w:t>
      </w:r>
      <w:r>
        <w:rPr>
          <w:rFonts w:hint="eastAsia" w:ascii="宋体" w:hAnsi="宋体"/>
          <w:color w:val="auto"/>
          <w:kern w:val="0"/>
          <w:sz w:val="28"/>
          <w:szCs w:val="28"/>
          <w:lang w:val="en-US" w:eastAsia="zh-CN"/>
        </w:rPr>
        <w:t>三、评审标准”</w:t>
      </w:r>
    </w:p>
    <w:p w14:paraId="0E37C25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（一）评审因素</w:t>
      </w:r>
    </w:p>
    <w:tbl>
      <w:tblPr>
        <w:tblStyle w:val="2"/>
        <w:tblW w:w="49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08"/>
        <w:gridCol w:w="774"/>
        <w:gridCol w:w="5207"/>
        <w:gridCol w:w="1886"/>
      </w:tblGrid>
      <w:tr w14:paraId="1C30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40" w:type="dxa"/>
            <w:noWrap w:val="0"/>
            <w:vAlign w:val="center"/>
          </w:tcPr>
          <w:p w14:paraId="47937F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08" w:type="dxa"/>
            <w:noWrap w:val="0"/>
            <w:vAlign w:val="center"/>
          </w:tcPr>
          <w:p w14:paraId="7B3470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评分因素及权重</w:t>
            </w:r>
          </w:p>
        </w:tc>
        <w:tc>
          <w:tcPr>
            <w:tcW w:w="774" w:type="dxa"/>
            <w:noWrap w:val="0"/>
            <w:vAlign w:val="center"/>
          </w:tcPr>
          <w:p w14:paraId="0A81B6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5208" w:type="dxa"/>
            <w:noWrap w:val="0"/>
            <w:vAlign w:val="center"/>
          </w:tcPr>
          <w:p w14:paraId="3800022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1886" w:type="dxa"/>
            <w:noWrap w:val="0"/>
            <w:vAlign w:val="center"/>
          </w:tcPr>
          <w:p w14:paraId="667D82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说明</w:t>
            </w:r>
          </w:p>
        </w:tc>
      </w:tr>
      <w:tr w14:paraId="7420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0" w:type="dxa"/>
            <w:noWrap w:val="0"/>
            <w:vAlign w:val="center"/>
          </w:tcPr>
          <w:p w14:paraId="3640E0D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4CC4A1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投标报价</w:t>
            </w:r>
          </w:p>
          <w:p w14:paraId="1882B7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0B9FCF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分</w:t>
            </w:r>
          </w:p>
        </w:tc>
        <w:tc>
          <w:tcPr>
            <w:tcW w:w="5208" w:type="dxa"/>
            <w:noWrap w:val="0"/>
            <w:vAlign w:val="center"/>
          </w:tcPr>
          <w:p w14:paraId="08A2BB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所有通过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形式评审、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资格评审和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评审合格的投标人的投标报价的算术平均值为评审基准价。投标报价等于评审基准价的得满分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分。在此基础上，投标总报价与评审准基价相比，每增加1%扣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分，每减少1%扣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分，扣完为止。</w:t>
            </w:r>
          </w:p>
          <w:p w14:paraId="6F2B3E4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按插入法计算得分。</w:t>
            </w:r>
          </w:p>
          <w:p w14:paraId="17F35F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以上计算取小数点后两位，第三位四舍五入。</w:t>
            </w:r>
          </w:p>
          <w:p w14:paraId="4537E4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在评审基准价计算完成后（除计算错误外），在后续的评审中不得再对其做出调整。</w:t>
            </w:r>
          </w:p>
        </w:tc>
        <w:tc>
          <w:tcPr>
            <w:tcW w:w="1886" w:type="dxa"/>
            <w:noWrap w:val="0"/>
            <w:vAlign w:val="center"/>
          </w:tcPr>
          <w:p w14:paraId="6947916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left="-38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73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restart"/>
            <w:noWrap w:val="0"/>
            <w:vAlign w:val="center"/>
          </w:tcPr>
          <w:p w14:paraId="2C06F9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B5A5D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部分</w:t>
            </w:r>
          </w:p>
          <w:p w14:paraId="5A5758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4C848EC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15分</w:t>
            </w:r>
          </w:p>
        </w:tc>
        <w:tc>
          <w:tcPr>
            <w:tcW w:w="5208" w:type="dxa"/>
            <w:noWrap w:val="0"/>
            <w:vAlign w:val="center"/>
          </w:tcPr>
          <w:p w14:paraId="5E9BAB9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供应商应提供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2C39D7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供应商自行踏勘现场，结合现场条件特点，有针对性的编制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施工方案，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生产周期、运输包装、安装组织施工、质量控制、工期计划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  <w:p w14:paraId="54368CF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由评委会对其方案的优劣程度进行横向比较评分，优得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4-9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1-3分，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未提供得0分。</w:t>
            </w:r>
          </w:p>
        </w:tc>
        <w:tc>
          <w:tcPr>
            <w:tcW w:w="1886" w:type="dxa"/>
            <w:noWrap w:val="0"/>
            <w:vAlign w:val="center"/>
          </w:tcPr>
          <w:p w14:paraId="4FCA4A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提供安装施工方案，格式自拟。</w:t>
            </w:r>
          </w:p>
          <w:p w14:paraId="390EA2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评委评分取算术平均值为该投标人施工方案得分。</w:t>
            </w:r>
          </w:p>
        </w:tc>
      </w:tr>
      <w:tr w14:paraId="4E62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continue"/>
            <w:noWrap w:val="0"/>
            <w:vAlign w:val="center"/>
          </w:tcPr>
          <w:p w14:paraId="235990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A25599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ED194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6分</w:t>
            </w:r>
          </w:p>
        </w:tc>
        <w:tc>
          <w:tcPr>
            <w:tcW w:w="5208" w:type="dxa"/>
            <w:noWrap w:val="0"/>
            <w:vAlign w:val="center"/>
          </w:tcPr>
          <w:p w14:paraId="15532C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所投产品主机、控制柜、调速装置、控制装置、层门门锁、轿门门锁、限速器、安全钳、安全电路、上行超速保护装置、轿厢意外移动保护装置、缓冲器为原厂原品牌制造的，每项得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1886" w:type="dxa"/>
            <w:noWrap w:val="0"/>
            <w:vAlign w:val="center"/>
          </w:tcPr>
          <w:p w14:paraId="6CEEE1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需提供整机型式试验报告并加盖供应商公章</w:t>
            </w:r>
          </w:p>
        </w:tc>
      </w:tr>
      <w:tr w14:paraId="5F5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40" w:type="dxa"/>
            <w:vMerge w:val="continue"/>
            <w:noWrap w:val="0"/>
            <w:vAlign w:val="center"/>
          </w:tcPr>
          <w:p w14:paraId="6C4F81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C59AC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A7EA3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56D9EC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投标产品电梯光幕对光幕防护等级和光束数目进行横向对比，达到IP65且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分，达到IP6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其他不得分。</w:t>
            </w:r>
          </w:p>
        </w:tc>
        <w:tc>
          <w:tcPr>
            <w:tcW w:w="1886" w:type="dxa"/>
            <w:noWrap w:val="0"/>
            <w:vAlign w:val="center"/>
          </w:tcPr>
          <w:p w14:paraId="5A4F3E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4F58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40" w:type="dxa"/>
            <w:vMerge w:val="continue"/>
            <w:noWrap w:val="0"/>
            <w:vAlign w:val="center"/>
          </w:tcPr>
          <w:p w14:paraId="3CBD20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5DE77A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2C4B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5ADC11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所投产品门机防护等级为IP65及以上得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分,门机防护等级为IP54得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2C6038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7C09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Merge w:val="restart"/>
            <w:noWrap w:val="0"/>
            <w:vAlign w:val="center"/>
          </w:tcPr>
          <w:p w14:paraId="2BCD4D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EF872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商务部分</w:t>
            </w:r>
          </w:p>
          <w:p w14:paraId="6CF0AD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2673C9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  <w:tc>
          <w:tcPr>
            <w:tcW w:w="5208" w:type="dxa"/>
            <w:noWrap w:val="0"/>
            <w:vAlign w:val="center"/>
          </w:tcPr>
          <w:p w14:paraId="0C239B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售后服务方案</w:t>
            </w:r>
          </w:p>
          <w:p w14:paraId="52C2A35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根据项目具体实际情况，撰写制订售后服务方案（方案包括：售后服务团队介绍、售后服务专用工具、售后服务应急措施、售后服务承诺、售后服务日常工作等），加盖竞选人公章。</w:t>
            </w:r>
          </w:p>
          <w:p w14:paraId="5C7AA6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①方案真实完整、详细、可操作性强，工作内容、方法完善合理与本项目相适应，得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6-10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46BD99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②方案较完整、详细、可操作性一般，工作内容、方法较清晰合理与本项目相适应，得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3-5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30B53B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③方案基本完整、详细、可操作性弱，工作内容、方法基本清晰合理与本项目相适应，得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7ED5F3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④无方案，得0分。</w:t>
            </w:r>
          </w:p>
        </w:tc>
        <w:tc>
          <w:tcPr>
            <w:tcW w:w="1886" w:type="dxa"/>
            <w:noWrap w:val="0"/>
            <w:vAlign w:val="center"/>
          </w:tcPr>
          <w:p w14:paraId="106E3B7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投标人自拟售后服务方案。</w:t>
            </w:r>
          </w:p>
          <w:p w14:paraId="650CBB7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评委评分取算术平均值为该投标人售后服务方案得分。</w:t>
            </w:r>
          </w:p>
        </w:tc>
      </w:tr>
      <w:tr w14:paraId="661C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40" w:type="dxa"/>
            <w:vMerge w:val="continue"/>
            <w:tcBorders/>
            <w:noWrap w:val="0"/>
            <w:vAlign w:val="center"/>
          </w:tcPr>
          <w:p w14:paraId="1E9133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tcBorders/>
            <w:noWrap w:val="0"/>
            <w:vAlign w:val="center"/>
          </w:tcPr>
          <w:p w14:paraId="06D817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B1F60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5208" w:type="dxa"/>
            <w:noWrap w:val="0"/>
            <w:vAlign w:val="center"/>
          </w:tcPr>
          <w:p w14:paraId="6007474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所投品牌电梯制造商2022年度-2024年度主营业务收入≥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亿元得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分；主营业务收入≥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亿元＜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亿元得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分；主营业务收入≥100亿元＜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150得1分，其余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55B44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需提供2022年度-2024年度经会计师事务所或审计机构审计的有效财务审计报告，包括现金流量表、利润表、资产负债表的复印件加盖供应商公章。</w:t>
            </w:r>
          </w:p>
        </w:tc>
      </w:tr>
      <w:tr w14:paraId="7A6F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0" w:type="dxa"/>
            <w:vMerge w:val="continue"/>
            <w:tcBorders/>
            <w:noWrap w:val="0"/>
            <w:vAlign w:val="center"/>
          </w:tcPr>
          <w:p w14:paraId="12C68A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tcBorders/>
            <w:noWrap w:val="0"/>
            <w:vAlign w:val="center"/>
          </w:tcPr>
          <w:p w14:paraId="00DB02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8BDB2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5208" w:type="dxa"/>
            <w:noWrap w:val="0"/>
            <w:vAlign w:val="center"/>
          </w:tcPr>
          <w:p w14:paraId="7CC4783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电梯代理商纳税等级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近三年连续三年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为A级得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连续2年为A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其余不得分</w:t>
            </w:r>
          </w:p>
        </w:tc>
        <w:tc>
          <w:tcPr>
            <w:tcW w:w="1886" w:type="dxa"/>
            <w:noWrap w:val="0"/>
            <w:vAlign w:val="center"/>
          </w:tcPr>
          <w:p w14:paraId="36059F8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提供有效的证明材料，并加盖供应商公章。</w:t>
            </w:r>
          </w:p>
        </w:tc>
      </w:tr>
      <w:tr w14:paraId="2AE3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40" w:type="dxa"/>
            <w:vMerge w:val="continue"/>
            <w:tcBorders/>
            <w:noWrap w:val="0"/>
            <w:vAlign w:val="center"/>
          </w:tcPr>
          <w:p w14:paraId="270ADD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tcBorders/>
            <w:noWrap w:val="0"/>
            <w:vAlign w:val="center"/>
          </w:tcPr>
          <w:p w14:paraId="44B3C0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F9328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20488F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电梯代理商社保缴纳人数≥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0人＜人数≤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0D7EA5B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提供供应商近3个月的社保证明材料，并加盖供应商公章。</w:t>
            </w:r>
          </w:p>
        </w:tc>
      </w:tr>
      <w:tr w14:paraId="124F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40" w:type="dxa"/>
            <w:vMerge w:val="continue"/>
            <w:tcBorders/>
            <w:noWrap w:val="0"/>
            <w:vAlign w:val="center"/>
          </w:tcPr>
          <w:p w14:paraId="27D450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tcBorders/>
            <w:noWrap w:val="0"/>
            <w:vAlign w:val="center"/>
          </w:tcPr>
          <w:p w14:paraId="583356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E5526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8" w:type="dxa"/>
            <w:noWrap w:val="0"/>
            <w:vAlign w:val="center"/>
          </w:tcPr>
          <w:p w14:paraId="228615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特种设备操作人员人数≥20人得2分，20人＜人数≤10人的得1分，其余不得分。</w:t>
            </w:r>
          </w:p>
        </w:tc>
        <w:tc>
          <w:tcPr>
            <w:tcW w:w="1886" w:type="dxa"/>
            <w:noWrap w:val="0"/>
            <w:vAlign w:val="center"/>
          </w:tcPr>
          <w:p w14:paraId="03BB2A6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提供特种设备操作证及供应商为其缴纳社保证明材料，并加盖供应商公章。</w:t>
            </w:r>
          </w:p>
        </w:tc>
      </w:tr>
      <w:tr w14:paraId="2D22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40" w:type="dxa"/>
            <w:vMerge w:val="continue"/>
            <w:tcBorders/>
            <w:noWrap w:val="0"/>
            <w:vAlign w:val="center"/>
          </w:tcPr>
          <w:p w14:paraId="6E841E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tcBorders/>
            <w:noWrap w:val="0"/>
            <w:vAlign w:val="center"/>
          </w:tcPr>
          <w:p w14:paraId="1054F1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4010C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4分</w:t>
            </w:r>
          </w:p>
        </w:tc>
        <w:tc>
          <w:tcPr>
            <w:tcW w:w="5208" w:type="dxa"/>
            <w:noWrap w:val="0"/>
            <w:vAlign w:val="center"/>
          </w:tcPr>
          <w:p w14:paraId="211F8A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供应商提供自2024年1月1日至询比截止日期间的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100万及以上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电梯供货安装业绩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提供的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电梯业绩需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是此次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品牌及梯型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，提供1个的得1分，最高得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</w:t>
            </w:r>
          </w:p>
        </w:tc>
        <w:tc>
          <w:tcPr>
            <w:tcW w:w="1886" w:type="dxa"/>
            <w:noWrap w:val="0"/>
            <w:vAlign w:val="center"/>
          </w:tcPr>
          <w:p w14:paraId="097957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提供合同复印件并加盖供应商公章</w:t>
            </w:r>
          </w:p>
        </w:tc>
      </w:tr>
      <w:tr w14:paraId="4E4D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40" w:type="dxa"/>
            <w:vMerge w:val="continue"/>
            <w:tcBorders/>
            <w:noWrap w:val="0"/>
            <w:vAlign w:val="center"/>
          </w:tcPr>
          <w:p w14:paraId="6B416FD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tcBorders/>
            <w:noWrap w:val="0"/>
            <w:vAlign w:val="center"/>
          </w:tcPr>
          <w:p w14:paraId="5D24BEA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B0A230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1分</w:t>
            </w:r>
          </w:p>
        </w:tc>
        <w:tc>
          <w:tcPr>
            <w:tcW w:w="5208" w:type="dxa"/>
            <w:noWrap w:val="0"/>
            <w:vAlign w:val="center"/>
          </w:tcPr>
          <w:p w14:paraId="29A337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在满足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整机免费维保期5年（不含年检费）的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基础上，每增加1年免费维保时间得0.5分，最高得1分。</w:t>
            </w:r>
          </w:p>
        </w:tc>
        <w:tc>
          <w:tcPr>
            <w:tcW w:w="1886" w:type="dxa"/>
            <w:noWrap w:val="0"/>
            <w:vAlign w:val="center"/>
          </w:tcPr>
          <w:p w14:paraId="30E0FD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提供维保时间承诺函。</w:t>
            </w:r>
          </w:p>
        </w:tc>
      </w:tr>
    </w:tbl>
    <w:p w14:paraId="212809C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26E8AB4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修改为：</w:t>
      </w:r>
    </w:p>
    <w:p w14:paraId="56DBEFD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（一）评审因素</w:t>
      </w:r>
    </w:p>
    <w:tbl>
      <w:tblPr>
        <w:tblStyle w:val="2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08"/>
        <w:gridCol w:w="774"/>
        <w:gridCol w:w="5203"/>
        <w:gridCol w:w="1886"/>
      </w:tblGrid>
      <w:tr w14:paraId="337C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36" w:type="dxa"/>
            <w:noWrap w:val="0"/>
            <w:vAlign w:val="center"/>
          </w:tcPr>
          <w:p w14:paraId="5F6485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4" w:name="_Hlk142327729"/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08" w:type="dxa"/>
            <w:noWrap w:val="0"/>
            <w:vAlign w:val="center"/>
          </w:tcPr>
          <w:p w14:paraId="411DFF3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评分因素及权重</w:t>
            </w:r>
          </w:p>
        </w:tc>
        <w:tc>
          <w:tcPr>
            <w:tcW w:w="774" w:type="dxa"/>
            <w:noWrap w:val="0"/>
            <w:vAlign w:val="center"/>
          </w:tcPr>
          <w:p w14:paraId="069B87B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分值</w:t>
            </w:r>
          </w:p>
        </w:tc>
        <w:tc>
          <w:tcPr>
            <w:tcW w:w="5204" w:type="dxa"/>
            <w:noWrap w:val="0"/>
            <w:vAlign w:val="center"/>
          </w:tcPr>
          <w:p w14:paraId="5F35FC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1886" w:type="dxa"/>
            <w:noWrap w:val="0"/>
            <w:vAlign w:val="center"/>
          </w:tcPr>
          <w:p w14:paraId="201211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</w:rPr>
              <w:t>说明</w:t>
            </w:r>
          </w:p>
        </w:tc>
      </w:tr>
      <w:tr w14:paraId="0DC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36" w:type="dxa"/>
            <w:noWrap w:val="0"/>
            <w:vAlign w:val="center"/>
          </w:tcPr>
          <w:p w14:paraId="4FB28B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16BD1CC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投标报价</w:t>
            </w:r>
          </w:p>
          <w:p w14:paraId="7B982F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102E22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分</w:t>
            </w:r>
          </w:p>
        </w:tc>
        <w:tc>
          <w:tcPr>
            <w:tcW w:w="5204" w:type="dxa"/>
            <w:noWrap w:val="0"/>
            <w:vAlign w:val="center"/>
          </w:tcPr>
          <w:p w14:paraId="23A3D55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所有通过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形式评审、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资格评审和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评审合格的投标人的投标报价的算术平均值为评审基准价。投标报价等于评审基准价的得满分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分。在此基础上，投标总报价与评审准基价相比，每增加1%扣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分，每减少1%扣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分，扣完为止。</w:t>
            </w:r>
          </w:p>
          <w:p w14:paraId="10B8BA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按插入法计算得分。</w:t>
            </w:r>
          </w:p>
          <w:p w14:paraId="41C090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以上计算取小数点后两位，第三位四舍五入。</w:t>
            </w:r>
          </w:p>
          <w:p w14:paraId="2E5B60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在评审基准价计算完成后（除计算错误外），在后续的评审中不得再对其做出调整。</w:t>
            </w:r>
          </w:p>
        </w:tc>
        <w:tc>
          <w:tcPr>
            <w:tcW w:w="1886" w:type="dxa"/>
            <w:noWrap w:val="0"/>
            <w:vAlign w:val="center"/>
          </w:tcPr>
          <w:p w14:paraId="314143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left="-38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B8A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restart"/>
            <w:noWrap w:val="0"/>
            <w:vAlign w:val="center"/>
          </w:tcPr>
          <w:p w14:paraId="560C5E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54D6169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firstLine="2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部分</w:t>
            </w:r>
          </w:p>
          <w:p w14:paraId="5DE3DA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4F3FDA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15分</w:t>
            </w:r>
          </w:p>
        </w:tc>
        <w:tc>
          <w:tcPr>
            <w:tcW w:w="5204" w:type="dxa"/>
            <w:noWrap w:val="0"/>
            <w:vAlign w:val="center"/>
          </w:tcPr>
          <w:p w14:paraId="7B824C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供应商应提供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00A164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供应商自行踏勘现场，结合现场条件特点，有针对性的编制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电梯安装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施工方案，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生产周期、运输包装、安装组织施工、质量控制、工期计划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。</w:t>
            </w:r>
          </w:p>
          <w:p w14:paraId="439C881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由评委会对其方案的优劣程度进行横向比较评分，优得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10-15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4-9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分，一般得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1-3分，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未提供得0分。</w:t>
            </w:r>
          </w:p>
        </w:tc>
        <w:tc>
          <w:tcPr>
            <w:tcW w:w="1886" w:type="dxa"/>
            <w:noWrap w:val="0"/>
            <w:vAlign w:val="center"/>
          </w:tcPr>
          <w:p w14:paraId="067C81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供应商应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提供安装施工方案，格式自拟。</w:t>
            </w:r>
          </w:p>
          <w:p w14:paraId="541A6E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评委评分取算术平均值为该投标人施工方案得分。</w:t>
            </w:r>
          </w:p>
        </w:tc>
      </w:tr>
      <w:tr w14:paraId="1A4A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" w:type="dxa"/>
            <w:vMerge w:val="continue"/>
            <w:noWrap w:val="0"/>
            <w:vAlign w:val="center"/>
          </w:tcPr>
          <w:p w14:paraId="4CB9DB3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252731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A0533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6分</w:t>
            </w:r>
          </w:p>
        </w:tc>
        <w:tc>
          <w:tcPr>
            <w:tcW w:w="5204" w:type="dxa"/>
            <w:noWrap w:val="0"/>
            <w:vAlign w:val="center"/>
          </w:tcPr>
          <w:p w14:paraId="5BD8FFD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所投产品主机、控制柜、调速装置、控制装置、层门门锁、轿门门锁、限速器、安全钳、安全电路、上行超速保护装置、轿厢意外移动保护装置、缓冲器为原厂原品牌制造的，每项得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分，满分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分。</w:t>
            </w:r>
          </w:p>
        </w:tc>
        <w:tc>
          <w:tcPr>
            <w:tcW w:w="1886" w:type="dxa"/>
            <w:noWrap w:val="0"/>
            <w:vAlign w:val="center"/>
          </w:tcPr>
          <w:p w14:paraId="1B3FAD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需提供整机型式试验报告并加盖供应商公章</w:t>
            </w:r>
          </w:p>
        </w:tc>
      </w:tr>
      <w:tr w14:paraId="2282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36" w:type="dxa"/>
            <w:vMerge w:val="continue"/>
            <w:noWrap w:val="0"/>
            <w:vAlign w:val="center"/>
          </w:tcPr>
          <w:p w14:paraId="20933B7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62DA99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0155C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4E915B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投标产品电梯光幕对光幕防护等级和光束数目进行横向对比，达到IP65且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分，达到IP6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且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束光束得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其他不得分。</w:t>
            </w:r>
          </w:p>
        </w:tc>
        <w:tc>
          <w:tcPr>
            <w:tcW w:w="1886" w:type="dxa"/>
            <w:noWrap w:val="0"/>
            <w:vAlign w:val="center"/>
          </w:tcPr>
          <w:p w14:paraId="70A0765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59C6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836" w:type="dxa"/>
            <w:vMerge w:val="continue"/>
            <w:noWrap w:val="0"/>
            <w:vAlign w:val="center"/>
          </w:tcPr>
          <w:p w14:paraId="042198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02669C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09E52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2414B3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所投产品门机防护等级为IP65及以上得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分,门机防护等级为IP54得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324F4D4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需提供型式试验报告并加盖供应商公章</w:t>
            </w:r>
          </w:p>
        </w:tc>
      </w:tr>
      <w:tr w14:paraId="02E2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</w:trPr>
        <w:tc>
          <w:tcPr>
            <w:tcW w:w="836" w:type="dxa"/>
            <w:vMerge w:val="restart"/>
            <w:noWrap w:val="0"/>
            <w:vAlign w:val="center"/>
          </w:tcPr>
          <w:p w14:paraId="4ACFF6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08" w:type="dxa"/>
            <w:vMerge w:val="restart"/>
            <w:noWrap w:val="0"/>
            <w:vAlign w:val="center"/>
          </w:tcPr>
          <w:p w14:paraId="69BE00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商务部分</w:t>
            </w:r>
          </w:p>
          <w:p w14:paraId="3B6DECD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%）</w:t>
            </w:r>
          </w:p>
        </w:tc>
        <w:tc>
          <w:tcPr>
            <w:tcW w:w="774" w:type="dxa"/>
            <w:noWrap w:val="0"/>
            <w:vAlign w:val="center"/>
          </w:tcPr>
          <w:p w14:paraId="2B680BF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13分</w:t>
            </w:r>
          </w:p>
        </w:tc>
        <w:tc>
          <w:tcPr>
            <w:tcW w:w="5204" w:type="dxa"/>
            <w:noWrap w:val="0"/>
            <w:vAlign w:val="center"/>
          </w:tcPr>
          <w:p w14:paraId="1D3E0C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售后服务方案</w:t>
            </w:r>
          </w:p>
          <w:p w14:paraId="7DFD5D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根据项目具体实际情况，撰写制订售后服务方案（方案包括：售后服务团队介绍、售后服务专用工具、售后服务应急措施、售后服务承诺、售后服务日常工作等），加盖竞选人公章。</w:t>
            </w:r>
          </w:p>
          <w:p w14:paraId="14CE22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①方案真实完整、详细、可操作性强，工作内容、方法完善合理与本项目相适应，得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6-13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59A557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②方案较完整、详细、可操作性一般，工作内容、方法较清晰合理与本项目相适应，得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3-5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37F2636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③方案基本完整、详细、可操作性弱，工作内容、方法基本清晰合理与本项目相适应，得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</w:p>
          <w:p w14:paraId="66A623D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④无方案，得0分。</w:t>
            </w:r>
          </w:p>
        </w:tc>
        <w:tc>
          <w:tcPr>
            <w:tcW w:w="1886" w:type="dxa"/>
            <w:noWrap w:val="0"/>
            <w:vAlign w:val="center"/>
          </w:tcPr>
          <w:p w14:paraId="18489C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投标人自拟售后服务方案。</w:t>
            </w:r>
          </w:p>
          <w:p w14:paraId="0CB18E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评委评分取算术平均值为该投标人售后服务方案得分。</w:t>
            </w:r>
          </w:p>
        </w:tc>
      </w:tr>
      <w:tr w14:paraId="3067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36" w:type="dxa"/>
            <w:vMerge w:val="continue"/>
            <w:noWrap w:val="0"/>
            <w:vAlign w:val="center"/>
          </w:tcPr>
          <w:p w14:paraId="6F1DC6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77DC3E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5DC33E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3分</w:t>
            </w:r>
          </w:p>
        </w:tc>
        <w:tc>
          <w:tcPr>
            <w:tcW w:w="5204" w:type="dxa"/>
            <w:noWrap w:val="0"/>
            <w:vAlign w:val="center"/>
          </w:tcPr>
          <w:p w14:paraId="767BA97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电梯代理商纳税等级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近三年连续三年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为A级得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连续2年为A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A级得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其余不得分</w:t>
            </w:r>
          </w:p>
        </w:tc>
        <w:tc>
          <w:tcPr>
            <w:tcW w:w="1886" w:type="dxa"/>
            <w:noWrap w:val="0"/>
            <w:vAlign w:val="center"/>
          </w:tcPr>
          <w:p w14:paraId="2277A4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提供有效的证明材料，并加盖供应商公章。</w:t>
            </w:r>
          </w:p>
        </w:tc>
      </w:tr>
      <w:tr w14:paraId="423C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36" w:type="dxa"/>
            <w:vMerge w:val="continue"/>
            <w:noWrap w:val="0"/>
            <w:vAlign w:val="center"/>
          </w:tcPr>
          <w:p w14:paraId="6E5B4D9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1F6884A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79BCD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3A2C0D8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电梯代理商社保缴纳人数≥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0人＜人数≤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0人的得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其余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不得分。</w:t>
            </w:r>
          </w:p>
        </w:tc>
        <w:tc>
          <w:tcPr>
            <w:tcW w:w="1886" w:type="dxa"/>
            <w:noWrap w:val="0"/>
            <w:vAlign w:val="center"/>
          </w:tcPr>
          <w:p w14:paraId="74580AB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提供供应商近3个月的社保证明材料，并加盖供应商公章。</w:t>
            </w:r>
          </w:p>
        </w:tc>
      </w:tr>
      <w:tr w14:paraId="1265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36" w:type="dxa"/>
            <w:vMerge w:val="continue"/>
            <w:noWrap w:val="0"/>
            <w:vAlign w:val="center"/>
          </w:tcPr>
          <w:p w14:paraId="07618D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411A74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848E2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2分</w:t>
            </w:r>
          </w:p>
        </w:tc>
        <w:tc>
          <w:tcPr>
            <w:tcW w:w="5204" w:type="dxa"/>
            <w:noWrap w:val="0"/>
            <w:vAlign w:val="center"/>
          </w:tcPr>
          <w:p w14:paraId="5B2875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电梯代理商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特种设备操作人员人数≥20人得2分，20人＜人数≤10人的得1分，其余不得分。</w:t>
            </w:r>
          </w:p>
        </w:tc>
        <w:tc>
          <w:tcPr>
            <w:tcW w:w="1886" w:type="dxa"/>
            <w:noWrap w:val="0"/>
            <w:vAlign w:val="center"/>
          </w:tcPr>
          <w:p w14:paraId="5E941B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提供特种设备操作证及供应商为其缴纳社保证明材料，并加盖供应商公章。</w:t>
            </w:r>
          </w:p>
        </w:tc>
      </w:tr>
      <w:tr w14:paraId="5ED9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36" w:type="dxa"/>
            <w:vMerge w:val="continue"/>
            <w:noWrap w:val="0"/>
            <w:vAlign w:val="center"/>
          </w:tcPr>
          <w:p w14:paraId="6C45D6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626480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CB1B9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4分</w:t>
            </w:r>
          </w:p>
        </w:tc>
        <w:tc>
          <w:tcPr>
            <w:tcW w:w="5204" w:type="dxa"/>
            <w:noWrap w:val="0"/>
            <w:vAlign w:val="center"/>
          </w:tcPr>
          <w:p w14:paraId="79C2066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供应商提供自2024年1月1日至询比截止日期间的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100万及以上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电梯供货安装业绩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提供的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电梯业绩需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是此次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品牌及梯型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，提供1个的得1分，最高得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bidi="ar"/>
              </w:rPr>
              <w:t>分</w:t>
            </w:r>
          </w:p>
        </w:tc>
        <w:tc>
          <w:tcPr>
            <w:tcW w:w="1886" w:type="dxa"/>
            <w:noWrap w:val="0"/>
            <w:vAlign w:val="center"/>
          </w:tcPr>
          <w:p w14:paraId="1FDA08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提供合同复印件并加盖供应商公章</w:t>
            </w:r>
          </w:p>
        </w:tc>
      </w:tr>
      <w:tr w14:paraId="6D8C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36" w:type="dxa"/>
            <w:vMerge w:val="continue"/>
            <w:noWrap w:val="0"/>
            <w:vAlign w:val="center"/>
          </w:tcPr>
          <w:p w14:paraId="28235E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 w14:paraId="4E6997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BE4245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1分</w:t>
            </w:r>
          </w:p>
        </w:tc>
        <w:tc>
          <w:tcPr>
            <w:tcW w:w="5204" w:type="dxa"/>
            <w:noWrap w:val="0"/>
            <w:vAlign w:val="center"/>
          </w:tcPr>
          <w:p w14:paraId="479B46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在满足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整机质保期5年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基础上，每增加1年免费维保时间得0.5分，最高得1分。</w:t>
            </w:r>
          </w:p>
        </w:tc>
        <w:tc>
          <w:tcPr>
            <w:tcW w:w="1886" w:type="dxa"/>
            <w:noWrap w:val="0"/>
            <w:vAlign w:val="center"/>
          </w:tcPr>
          <w:p w14:paraId="36C24E2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提供维保时间承诺函。</w:t>
            </w:r>
          </w:p>
        </w:tc>
      </w:tr>
      <w:bookmarkEnd w:id="4"/>
    </w:tbl>
    <w:p w14:paraId="5B4A72D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B4D88"/>
    <w:rsid w:val="52D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2025-10-23T08:08:00Z</dcterms:created>
  <dc:creator>1</dc:creator>
  <cp:lastModifiedBy>1</cp:lastModifiedBy>
  <dcterms:modified xsi:type="dcterms:W3CDTF">2025-10-23T09:01:47Z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5A3A0E9E9C3A4FD5809EC2EFA554C24D_11</vt:lpwstr>
  </property>
  <property fmtid="{D5CDD505-2E9C-101B-9397-08002B2CF9AE}" pid="4" name="KSOTemplateDocerSaveRecord">
    <vt:lpwstr>eyJoZGlkIjoiMmY2MGM2ZTM5NDJiMWIwNjM4ZjVhYTA2OGEwMDZiY2EifQ==</vt:lpwstr>
  </property>
</Properties>
</file>