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A1BD2">
      <w:pPr>
        <w:ind w:firstLine="567"/>
        <w:jc w:val="center"/>
        <w:rPr>
          <w:rFonts w:hint="eastAsia" w:ascii="仿宋" w:hAnsi="仿宋" w:eastAsia="仿宋" w:cs="仿宋"/>
          <w:b/>
          <w:bCs/>
          <w:color w:val="auto"/>
          <w:sz w:val="144"/>
          <w:szCs w:val="52"/>
          <w:highlight w:val="none"/>
        </w:rPr>
      </w:pPr>
      <w:bookmarkStart w:id="0" w:name="_Toc7408"/>
      <w:bookmarkStart w:id="1" w:name="_Toc30988"/>
      <w:bookmarkStart w:id="2" w:name="_Toc30711"/>
      <w:bookmarkStart w:id="3" w:name="_Toc19609"/>
      <w:bookmarkStart w:id="4" w:name="_Toc31370"/>
      <w:bookmarkStart w:id="5" w:name="_Toc16779"/>
      <w:bookmarkStart w:id="6" w:name="_Toc31917"/>
      <w:bookmarkStart w:id="7" w:name="_Toc17591"/>
      <w:r>
        <w:rPr>
          <w:rFonts w:hint="eastAsia" w:ascii="仿宋" w:hAnsi="仿宋" w:eastAsia="仿宋" w:cs="仿宋"/>
          <w:b/>
          <w:bCs/>
          <w:color w:val="auto"/>
          <w:sz w:val="144"/>
          <w:szCs w:val="52"/>
          <w:highlight w:val="none"/>
        </w:rPr>
        <w:t>国企采购</w:t>
      </w:r>
    </w:p>
    <w:p w14:paraId="15BA1F7C">
      <w:pPr>
        <w:ind w:firstLine="567"/>
        <w:jc w:val="center"/>
        <w:rPr>
          <w:rFonts w:hint="eastAsia" w:ascii="仿宋" w:hAnsi="仿宋" w:eastAsia="仿宋" w:cs="仿宋"/>
          <w:b/>
          <w:bCs/>
          <w:color w:val="auto"/>
          <w:sz w:val="144"/>
          <w:szCs w:val="52"/>
          <w:highlight w:val="none"/>
        </w:rPr>
      </w:pPr>
      <w:r>
        <w:rPr>
          <w:rFonts w:hint="eastAsia" w:ascii="仿宋" w:hAnsi="仿宋" w:eastAsia="仿宋" w:cs="仿宋"/>
          <w:b/>
          <w:bCs/>
          <w:color w:val="auto"/>
          <w:sz w:val="144"/>
          <w:szCs w:val="52"/>
          <w:highlight w:val="none"/>
        </w:rPr>
        <w:t>竞采文件</w:t>
      </w:r>
    </w:p>
    <w:bookmarkEnd w:id="0"/>
    <w:bookmarkEnd w:id="1"/>
    <w:bookmarkEnd w:id="2"/>
    <w:bookmarkEnd w:id="3"/>
    <w:bookmarkEnd w:id="4"/>
    <w:bookmarkEnd w:id="5"/>
    <w:bookmarkEnd w:id="6"/>
    <w:bookmarkEnd w:id="7"/>
    <w:p w14:paraId="3E55C4C9">
      <w:pPr>
        <w:ind w:firstLine="567"/>
        <w:jc w:val="center"/>
        <w:rPr>
          <w:rFonts w:hint="eastAsia" w:ascii="仿宋" w:hAnsi="仿宋" w:eastAsia="仿宋" w:cs="仿宋"/>
          <w:b/>
          <w:bCs/>
          <w:color w:val="auto"/>
          <w:spacing w:val="80"/>
          <w:sz w:val="44"/>
          <w:szCs w:val="44"/>
          <w:highlight w:val="none"/>
        </w:rPr>
      </w:pPr>
      <w:r>
        <w:rPr>
          <w:rFonts w:hint="eastAsia" w:ascii="仿宋" w:hAnsi="仿宋" w:eastAsia="仿宋" w:cs="仿宋"/>
          <w:b/>
          <w:bCs/>
          <w:color w:val="auto"/>
          <w:sz w:val="72"/>
          <w:szCs w:val="44"/>
          <w:highlight w:val="none"/>
        </w:rPr>
        <w:t>（综合评分）</w:t>
      </w:r>
    </w:p>
    <w:p w14:paraId="23C6F3E0">
      <w:pPr>
        <w:ind w:firstLine="720" w:firstLineChars="200"/>
        <w:jc w:val="center"/>
        <w:rPr>
          <w:rFonts w:hint="eastAsia" w:ascii="仿宋" w:hAnsi="仿宋" w:eastAsia="仿宋" w:cs="仿宋"/>
          <w:color w:val="auto"/>
          <w:sz w:val="36"/>
          <w:szCs w:val="30"/>
          <w:highlight w:val="none"/>
          <w:lang w:val="en-US" w:eastAsia="zh-CN"/>
        </w:rPr>
      </w:pPr>
      <w:r>
        <w:rPr>
          <w:rFonts w:hint="eastAsia" w:ascii="仿宋" w:hAnsi="仿宋" w:eastAsia="仿宋" w:cs="仿宋"/>
          <w:color w:val="auto"/>
          <w:sz w:val="36"/>
          <w:szCs w:val="30"/>
          <w:highlight w:val="none"/>
          <w:lang w:val="en-US" w:eastAsia="zh-CN"/>
        </w:rPr>
        <w:t xml:space="preserve">项目编号：lfjt25C00146 </w:t>
      </w:r>
    </w:p>
    <w:p w14:paraId="235BC612">
      <w:pPr>
        <w:ind w:firstLine="720" w:firstLineChars="200"/>
        <w:jc w:val="left"/>
        <w:rPr>
          <w:rFonts w:hint="eastAsia" w:ascii="仿宋" w:hAnsi="仿宋" w:eastAsia="仿宋" w:cs="仿宋"/>
          <w:color w:val="auto"/>
          <w:sz w:val="36"/>
          <w:szCs w:val="30"/>
          <w:highlight w:val="none"/>
        </w:rPr>
      </w:pPr>
    </w:p>
    <w:p w14:paraId="78C09B35">
      <w:pPr>
        <w:ind w:firstLine="720" w:firstLineChars="200"/>
        <w:jc w:val="left"/>
        <w:rPr>
          <w:rFonts w:hint="eastAsia" w:ascii="仿宋" w:hAnsi="仿宋" w:eastAsia="仿宋" w:cs="仿宋"/>
          <w:color w:val="auto"/>
          <w:sz w:val="36"/>
          <w:szCs w:val="30"/>
          <w:highlight w:val="none"/>
        </w:rPr>
      </w:pPr>
    </w:p>
    <w:p w14:paraId="351AB2F0">
      <w:pPr>
        <w:ind w:firstLine="720" w:firstLineChars="200"/>
        <w:jc w:val="left"/>
        <w:rPr>
          <w:rFonts w:hint="eastAsia" w:ascii="仿宋" w:hAnsi="仿宋" w:eastAsia="仿宋" w:cs="仿宋"/>
          <w:color w:val="auto"/>
          <w:sz w:val="36"/>
          <w:szCs w:val="30"/>
          <w:highlight w:val="none"/>
        </w:rPr>
      </w:pPr>
    </w:p>
    <w:p w14:paraId="7072EC71">
      <w:pPr>
        <w:pStyle w:val="7"/>
        <w:jc w:val="center"/>
        <w:rPr>
          <w:rFonts w:hint="eastAsia" w:ascii="仿宋" w:hAnsi="仿宋" w:eastAsia="仿宋" w:cs="仿宋"/>
          <w:color w:val="auto"/>
          <w:sz w:val="36"/>
          <w:szCs w:val="30"/>
          <w:highlight w:val="none"/>
          <w:lang w:eastAsia="zh-CN"/>
        </w:rPr>
      </w:pPr>
      <w:bookmarkStart w:id="8" w:name="_Hlk111636989"/>
      <w:r>
        <w:rPr>
          <w:rFonts w:hint="eastAsia" w:ascii="仿宋" w:hAnsi="仿宋" w:eastAsia="仿宋" w:cs="仿宋"/>
          <w:color w:val="auto"/>
          <w:sz w:val="36"/>
          <w:szCs w:val="30"/>
          <w:highlight w:val="none"/>
        </w:rPr>
        <w:t>项目名称：</w:t>
      </w:r>
      <w:bookmarkEnd w:id="8"/>
      <w:r>
        <w:rPr>
          <w:rFonts w:hint="eastAsia" w:ascii="仿宋" w:hAnsi="仿宋" w:eastAsia="仿宋" w:cs="仿宋"/>
          <w:color w:val="auto"/>
          <w:sz w:val="36"/>
          <w:szCs w:val="30"/>
          <w:highlight w:val="none"/>
          <w:lang w:eastAsia="zh-CN"/>
        </w:rPr>
        <w:t>重庆知天而作农业科技研究院有限公司专项审计</w:t>
      </w:r>
    </w:p>
    <w:p w14:paraId="74479111">
      <w:pPr>
        <w:pStyle w:val="7"/>
        <w:jc w:val="center"/>
        <w:rPr>
          <w:rFonts w:hint="eastAsia" w:ascii="仿宋" w:hAnsi="仿宋" w:eastAsia="仿宋" w:cs="仿宋"/>
          <w:color w:val="auto"/>
          <w:sz w:val="36"/>
          <w:szCs w:val="30"/>
          <w:highlight w:val="none"/>
          <w:lang w:eastAsia="zh-CN"/>
        </w:rPr>
      </w:pPr>
      <w:r>
        <w:rPr>
          <w:rFonts w:hint="eastAsia" w:ascii="仿宋" w:hAnsi="仿宋" w:eastAsia="仿宋" w:cs="仿宋"/>
          <w:color w:val="auto"/>
          <w:sz w:val="36"/>
          <w:szCs w:val="30"/>
          <w:highlight w:val="none"/>
          <w:lang w:eastAsia="zh-CN"/>
        </w:rPr>
        <w:t>(第二次)</w:t>
      </w:r>
    </w:p>
    <w:p w14:paraId="789537CD">
      <w:pPr>
        <w:pStyle w:val="7"/>
        <w:ind w:firstLine="640"/>
        <w:rPr>
          <w:rFonts w:hint="eastAsia" w:ascii="仿宋" w:hAnsi="仿宋" w:eastAsia="仿宋" w:cs="仿宋"/>
          <w:color w:val="auto"/>
          <w:highlight w:val="none"/>
        </w:rPr>
      </w:pPr>
    </w:p>
    <w:p w14:paraId="30F83EFB">
      <w:pPr>
        <w:pStyle w:val="7"/>
        <w:ind w:firstLine="640"/>
        <w:rPr>
          <w:rFonts w:hint="eastAsia" w:ascii="仿宋" w:hAnsi="仿宋" w:eastAsia="仿宋" w:cs="仿宋"/>
          <w:color w:val="auto"/>
          <w:highlight w:val="none"/>
        </w:rPr>
      </w:pPr>
    </w:p>
    <w:p w14:paraId="72E15630">
      <w:pPr>
        <w:pStyle w:val="7"/>
        <w:ind w:firstLine="640"/>
        <w:rPr>
          <w:rFonts w:hint="eastAsia" w:ascii="仿宋" w:hAnsi="仿宋" w:eastAsia="仿宋" w:cs="仿宋"/>
          <w:color w:val="auto"/>
          <w:highlight w:val="none"/>
        </w:rPr>
      </w:pPr>
    </w:p>
    <w:p w14:paraId="53357226">
      <w:pPr>
        <w:pStyle w:val="7"/>
        <w:ind w:firstLine="640"/>
        <w:rPr>
          <w:rFonts w:hint="eastAsia" w:ascii="仿宋" w:hAnsi="仿宋" w:eastAsia="仿宋" w:cs="仿宋"/>
          <w:color w:val="auto"/>
          <w:highlight w:val="none"/>
        </w:rPr>
      </w:pPr>
    </w:p>
    <w:p w14:paraId="0887F96C">
      <w:pPr>
        <w:pStyle w:val="7"/>
        <w:ind w:firstLine="640"/>
        <w:rPr>
          <w:rFonts w:hint="eastAsia" w:ascii="仿宋" w:hAnsi="仿宋" w:eastAsia="仿宋" w:cs="仿宋"/>
          <w:color w:val="auto"/>
          <w:highlight w:val="none"/>
        </w:rPr>
      </w:pPr>
    </w:p>
    <w:p w14:paraId="0F8AB2C7">
      <w:pPr>
        <w:pStyle w:val="7"/>
        <w:ind w:firstLine="640"/>
        <w:rPr>
          <w:rFonts w:hint="eastAsia" w:ascii="仿宋" w:hAnsi="仿宋" w:eastAsia="仿宋" w:cs="仿宋"/>
          <w:color w:val="auto"/>
          <w:highlight w:val="none"/>
        </w:rPr>
      </w:pPr>
    </w:p>
    <w:p w14:paraId="56F94725">
      <w:pPr>
        <w:ind w:firstLine="720" w:firstLineChars="200"/>
        <w:jc w:val="left"/>
        <w:rPr>
          <w:rFonts w:hint="eastAsia" w:ascii="仿宋" w:hAnsi="仿宋" w:eastAsia="仿宋" w:cs="仿宋"/>
          <w:color w:val="auto"/>
          <w:sz w:val="36"/>
          <w:szCs w:val="30"/>
          <w:highlight w:val="none"/>
          <w:lang w:eastAsia="zh-CN"/>
        </w:rPr>
      </w:pPr>
      <w:r>
        <w:rPr>
          <w:rFonts w:hint="eastAsia" w:ascii="仿宋" w:hAnsi="仿宋" w:eastAsia="仿宋" w:cs="仿宋"/>
          <w:color w:val="auto"/>
          <w:sz w:val="36"/>
          <w:szCs w:val="30"/>
          <w:highlight w:val="none"/>
        </w:rPr>
        <w:t>采购人：</w:t>
      </w:r>
      <w:r>
        <w:rPr>
          <w:rFonts w:hint="eastAsia" w:ascii="仿宋" w:hAnsi="仿宋" w:eastAsia="仿宋" w:cs="仿宋"/>
          <w:color w:val="auto"/>
          <w:sz w:val="36"/>
          <w:szCs w:val="30"/>
          <w:highlight w:val="none"/>
          <w:lang w:eastAsia="zh-CN"/>
        </w:rPr>
        <w:t>重庆绿发资产经营管理有限公司</w:t>
      </w:r>
    </w:p>
    <w:p w14:paraId="342B41E4">
      <w:pPr>
        <w:ind w:firstLine="720" w:firstLineChars="200"/>
        <w:jc w:val="left"/>
        <w:rPr>
          <w:rFonts w:hint="eastAsia" w:ascii="仿宋" w:hAnsi="仿宋" w:eastAsia="仿宋" w:cs="仿宋"/>
          <w:color w:val="auto"/>
          <w:sz w:val="36"/>
          <w:szCs w:val="30"/>
          <w:highlight w:val="none"/>
          <w:lang w:eastAsia="zh-CN"/>
        </w:rPr>
      </w:pPr>
      <w:r>
        <w:rPr>
          <w:rFonts w:hint="eastAsia" w:ascii="仿宋" w:hAnsi="仿宋" w:eastAsia="仿宋" w:cs="仿宋"/>
          <w:color w:val="auto"/>
          <w:sz w:val="36"/>
          <w:szCs w:val="30"/>
          <w:highlight w:val="none"/>
        </w:rPr>
        <w:t>采购代理机构：</w:t>
      </w:r>
      <w:r>
        <w:rPr>
          <w:rFonts w:hint="eastAsia" w:ascii="仿宋" w:hAnsi="仿宋" w:eastAsia="仿宋" w:cs="仿宋"/>
          <w:color w:val="auto"/>
          <w:sz w:val="36"/>
          <w:szCs w:val="30"/>
          <w:highlight w:val="none"/>
          <w:lang w:eastAsia="zh-CN"/>
        </w:rPr>
        <w:t>重庆标友工程管理咨询有限公司</w:t>
      </w:r>
    </w:p>
    <w:p w14:paraId="7A8B8D6F">
      <w:pPr>
        <w:pStyle w:val="7"/>
        <w:ind w:firstLine="640"/>
        <w:rPr>
          <w:rFonts w:hint="eastAsia" w:ascii="仿宋" w:hAnsi="仿宋" w:eastAsia="仿宋" w:cs="仿宋"/>
          <w:color w:val="auto"/>
          <w:highlight w:val="none"/>
        </w:rPr>
      </w:pPr>
    </w:p>
    <w:p w14:paraId="56BDD1B6">
      <w:pPr>
        <w:pStyle w:val="7"/>
        <w:ind w:firstLine="640"/>
        <w:rPr>
          <w:rFonts w:hint="eastAsia" w:ascii="仿宋" w:hAnsi="仿宋" w:eastAsia="仿宋" w:cs="仿宋"/>
          <w:color w:val="auto"/>
          <w:highlight w:val="none"/>
        </w:rPr>
      </w:pPr>
    </w:p>
    <w:p w14:paraId="4B230CA8">
      <w:pPr>
        <w:pStyle w:val="7"/>
        <w:jc w:val="center"/>
        <w:rPr>
          <w:rFonts w:hint="eastAsia" w:ascii="仿宋" w:hAnsi="仿宋" w:eastAsia="仿宋" w:cs="仿宋"/>
          <w:color w:val="auto"/>
          <w:sz w:val="36"/>
          <w:szCs w:val="30"/>
          <w:highlight w:val="none"/>
        </w:rPr>
      </w:pPr>
      <w:r>
        <w:rPr>
          <w:rFonts w:hint="eastAsia" w:ascii="仿宋" w:hAnsi="仿宋" w:eastAsia="仿宋" w:cs="仿宋"/>
          <w:color w:val="auto"/>
          <w:sz w:val="36"/>
          <w:szCs w:val="30"/>
          <w:highlight w:val="none"/>
        </w:rPr>
        <w:t>二〇二五年</w:t>
      </w:r>
      <w:r>
        <w:rPr>
          <w:rFonts w:hint="eastAsia" w:ascii="仿宋" w:hAnsi="仿宋" w:eastAsia="仿宋" w:cs="仿宋"/>
          <w:color w:val="auto"/>
          <w:sz w:val="36"/>
          <w:szCs w:val="30"/>
          <w:highlight w:val="none"/>
          <w:lang w:val="en-US" w:eastAsia="zh-CN"/>
        </w:rPr>
        <w:t>七</w:t>
      </w:r>
      <w:r>
        <w:rPr>
          <w:rFonts w:hint="eastAsia" w:ascii="仿宋" w:hAnsi="仿宋" w:eastAsia="仿宋" w:cs="仿宋"/>
          <w:color w:val="auto"/>
          <w:sz w:val="36"/>
          <w:szCs w:val="30"/>
          <w:highlight w:val="none"/>
        </w:rPr>
        <w:t>月</w:t>
      </w:r>
    </w:p>
    <w:p w14:paraId="61DE40DB">
      <w:pPr>
        <w:pStyle w:val="7"/>
        <w:ind w:firstLine="640"/>
        <w:rPr>
          <w:rFonts w:hint="eastAsia" w:ascii="仿宋" w:hAnsi="仿宋" w:eastAsia="仿宋" w:cs="仿宋"/>
          <w:color w:val="auto"/>
          <w:highlight w:val="none"/>
        </w:rPr>
      </w:pPr>
    </w:p>
    <w:p w14:paraId="71875AB0">
      <w:pPr>
        <w:pStyle w:val="7"/>
        <w:ind w:firstLine="640"/>
        <w:rPr>
          <w:rFonts w:hint="eastAsia" w:ascii="仿宋" w:hAnsi="仿宋" w:eastAsia="仿宋" w:cs="仿宋"/>
          <w:color w:val="auto"/>
          <w:highlight w:val="none"/>
        </w:rPr>
      </w:pPr>
    </w:p>
    <w:p w14:paraId="6272DE9F">
      <w:pPr>
        <w:rPr>
          <w:rFonts w:hint="eastAsia" w:ascii="仿宋" w:hAnsi="仿宋" w:eastAsia="仿宋" w:cs="仿宋"/>
          <w:color w:val="auto"/>
          <w:highlight w:val="none"/>
        </w:rPr>
      </w:pPr>
      <w:r>
        <w:rPr>
          <w:rFonts w:hint="eastAsia" w:ascii="仿宋" w:hAnsi="仿宋" w:eastAsia="仿宋" w:cs="仿宋"/>
          <w:color w:val="auto"/>
          <w:highlight w:val="none"/>
        </w:rPr>
        <w:br w:type="page"/>
      </w:r>
    </w:p>
    <w:sdt>
      <w:sdtPr>
        <w:rPr>
          <w:rFonts w:hint="eastAsia" w:ascii="仿宋" w:hAnsi="仿宋" w:eastAsia="仿宋" w:cs="仿宋"/>
          <w:color w:val="auto"/>
          <w:sz w:val="21"/>
          <w:highlight w:val="none"/>
        </w:rPr>
        <w:id w:val="147465042"/>
        <w15:color w:val="DBDBDB"/>
        <w:docPartObj>
          <w:docPartGallery w:val="Table of Contents"/>
          <w:docPartUnique/>
        </w:docPartObj>
      </w:sdtPr>
      <w:sdtEndPr>
        <w:rPr>
          <w:rFonts w:hint="eastAsia" w:ascii="仿宋" w:hAnsi="仿宋" w:eastAsia="仿宋" w:cs="仿宋"/>
          <w:color w:val="auto"/>
          <w:sz w:val="28"/>
          <w:szCs w:val="28"/>
          <w:highlight w:val="none"/>
        </w:rPr>
      </w:sdtEndPr>
      <w:sdtContent>
        <w:p w14:paraId="6F9BF2AC">
          <w:pPr>
            <w:ind w:firstLine="420"/>
            <w:jc w:val="center"/>
            <w:rPr>
              <w:rFonts w:hint="eastAsia" w:ascii="仿宋" w:hAnsi="仿宋" w:eastAsia="仿宋" w:cs="仿宋"/>
              <w:color w:val="auto"/>
              <w:szCs w:val="28"/>
              <w:highlight w:val="none"/>
            </w:rPr>
          </w:pPr>
          <w:r>
            <w:rPr>
              <w:rFonts w:hint="eastAsia" w:ascii="仿宋" w:hAnsi="仿宋" w:eastAsia="仿宋" w:cs="仿宋"/>
              <w:color w:val="auto"/>
              <w:sz w:val="40"/>
              <w:szCs w:val="40"/>
              <w:highlight w:val="none"/>
            </w:rPr>
            <w:t>目录</w:t>
          </w:r>
        </w:p>
        <w:p w14:paraId="26CCCECB">
          <w:pPr>
            <w:pStyle w:val="15"/>
            <w:tabs>
              <w:tab w:val="right" w:leader="dot" w:pos="9402"/>
            </w:tabs>
            <w:ind w:firstLine="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"1-3"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"_Toc183783127"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第一篇  竞采邀请书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_Toc183783127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A2616CB">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"_Toc183783128"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一、竞采项目内容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_Toc183783128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2452371">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"_Toc183783129"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二、资金来源</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_Toc183783129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16D7AA4">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"_Toc183783130"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三、竞采资格条件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006E88E">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"_Toc183783131"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四、竞采有关说明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414568A">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"_Toc183783132"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五、联系方式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B48ECDC">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"_Toc183783133"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六、其它有关规定</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7B39029">
          <w:pPr>
            <w:pStyle w:val="15"/>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"_Toc183783134"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第二篇  项目服务需求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EAE3F5F">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"_Toc183783135"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一、招标项目一览表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DC20E7C">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"_Toc183783136"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二、招标项目服务需求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8B25EE5">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"_Toc183783137"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三、其他要求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DEF6BB5">
          <w:pPr>
            <w:pStyle w:val="15"/>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"_Toc183783138"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第三篇 项目商务需求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503C38B">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"_Toc183783139"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一、服务期、地点及验收方式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C71553A">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"_Toc183783140"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二、报价要求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2DF98F1">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"_Toc183783141"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三、付款方式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6FB2D97">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"_Toc183783142"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四、安全责任</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D10E41B">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"_Toc183783143"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五、其他商务要求内容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C0BA92A">
          <w:pPr>
            <w:pStyle w:val="15"/>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"_Toc183783144"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第四篇  竞采程序、评标办法、无效响应及采购终止</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- 8 -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665836D">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"_Toc183783145"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一、网上竞采程序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- 8 -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F6FDE44">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"_Toc183783146"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二、评审标准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- 9 -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1AE9F3C">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"_Toc183783147"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三、无效响应</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- 12 -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31F940B">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"_Toc183783148"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四、采购终止</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- 12 -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D7F3C44">
          <w:pPr>
            <w:pStyle w:val="15"/>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"_Toc183783149"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 xml:space="preserve">第五篇 </w:t>
          </w:r>
          <w:r>
            <w:rPr>
              <w:rStyle w:val="23"/>
              <w:rFonts w:hint="eastAsia" w:ascii="仿宋" w:hAnsi="仿宋" w:eastAsia="仿宋" w:cs="仿宋"/>
              <w:color w:val="auto"/>
              <w:highlight w:val="none"/>
              <w:lang w:val="en-US" w:eastAsia="zh-CN"/>
            </w:rPr>
            <w:t xml:space="preserve"> </w:t>
          </w:r>
          <w:r>
            <w:rPr>
              <w:rStyle w:val="23"/>
              <w:rFonts w:hint="eastAsia" w:ascii="仿宋" w:hAnsi="仿宋" w:eastAsia="仿宋" w:cs="仿宋"/>
              <w:color w:val="auto"/>
              <w:highlight w:val="none"/>
              <w:lang w:eastAsia="zh-CN"/>
            </w:rPr>
            <w:t>供应商</w:t>
          </w:r>
          <w:r>
            <w:rPr>
              <w:rStyle w:val="23"/>
              <w:rFonts w:hint="eastAsia" w:ascii="仿宋" w:hAnsi="仿宋" w:eastAsia="仿宋" w:cs="仿宋"/>
              <w:color w:val="auto"/>
              <w:highlight w:val="none"/>
            </w:rPr>
            <w:t>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537E779">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"_Toc183783150"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一、竞采费用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CB806F0">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"_Toc183783151"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二、竞采文件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AEF1A4D">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"_Toc183783152"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三、竞采要求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1D0D238">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"_Toc183783153"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五、成交通知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31D6471">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"_Toc183783154"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六、关于质疑和投诉</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9A32270">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"_Toc183783155"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七、采购代理服务费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26CF5EE">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"_Toc183783156"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八、签订合同</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923A419">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"_Toc183783157"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九、项目验收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75B177E">
          <w:pPr>
            <w:pStyle w:val="15"/>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"_Toc183783158"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第六篇  网上竞采合同（格式）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CA11065">
          <w:pPr>
            <w:pStyle w:val="15"/>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"_Toc183783159"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第七篇  响应文件编制要求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9FEC172">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"_Toc183783160"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一、经济部分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D4FE239">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"_Toc183783161"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二、服务部分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CA653D6">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"_Toc183783162"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三、商务文件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3EB1C40">
          <w:pPr>
            <w:pStyle w:val="17"/>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"_Toc183783163"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四、资格证明文件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- 29 -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CD298A7">
          <w:pPr>
            <w:pStyle w:val="17"/>
            <w:tabs>
              <w:tab w:val="right" w:leader="dot" w:pos="9402"/>
            </w:tabs>
            <w:ind w:left="560"/>
            <w:rPr>
              <w:rFonts w:hint="eastAsia" w:ascii="仿宋" w:hAnsi="仿宋" w:eastAsia="仿宋" w:cs="仿宋"/>
              <w:color w:val="auto"/>
              <w:szCs w:val="28"/>
              <w:highlight w:val="none"/>
            </w:rPr>
          </w:pPr>
          <w:r>
            <w:rPr>
              <w:rFonts w:hint="eastAsia" w:ascii="仿宋" w:hAnsi="仿宋" w:eastAsia="仿宋" w:cs="仿宋"/>
              <w:color w:val="auto"/>
              <w:szCs w:val="28"/>
              <w:highlight w:val="none"/>
            </w:rPr>
            <w:fldChar w:fldCharType="end"/>
          </w:r>
        </w:p>
      </w:sdtContent>
    </w:sdt>
    <w:p w14:paraId="46370D45">
      <w:pPr>
        <w:pStyle w:val="7"/>
        <w:ind w:firstLine="880"/>
        <w:jc w:val="center"/>
        <w:rPr>
          <w:rFonts w:hint="eastAsia" w:ascii="仿宋" w:hAnsi="仿宋" w:eastAsia="仿宋" w:cs="仿宋"/>
          <w:b/>
          <w:bCs/>
          <w:color w:val="auto"/>
          <w:spacing w:val="80"/>
          <w:sz w:val="44"/>
          <w:szCs w:val="44"/>
          <w:highlight w:val="none"/>
        </w:rPr>
      </w:pPr>
      <w:r>
        <w:rPr>
          <w:rFonts w:hint="eastAsia" w:ascii="仿宋" w:hAnsi="仿宋" w:eastAsia="仿宋" w:cs="仿宋"/>
          <w:color w:val="auto"/>
          <w:sz w:val="44"/>
          <w:szCs w:val="28"/>
          <w:highlight w:val="none"/>
        </w:rPr>
        <w:t xml:space="preserve">   </w:t>
      </w:r>
      <w:r>
        <w:rPr>
          <w:rFonts w:hint="eastAsia" w:ascii="仿宋" w:hAnsi="仿宋" w:eastAsia="仿宋" w:cs="仿宋"/>
          <w:color w:val="auto"/>
          <w:sz w:val="44"/>
          <w:szCs w:val="28"/>
          <w:highlight w:val="none"/>
        </w:rPr>
        <w:br w:type="page"/>
      </w:r>
    </w:p>
    <w:p w14:paraId="4904D84C">
      <w:pPr>
        <w:pStyle w:val="2"/>
        <w:spacing w:line="240" w:lineRule="auto"/>
        <w:ind w:firstLine="883"/>
        <w:jc w:val="center"/>
        <w:rPr>
          <w:rFonts w:hint="eastAsia" w:ascii="仿宋" w:hAnsi="仿宋" w:eastAsia="仿宋" w:cs="仿宋"/>
          <w:color w:val="auto"/>
          <w:highlight w:val="none"/>
        </w:rPr>
      </w:pPr>
      <w:bookmarkStart w:id="9" w:name="_Toc76462316"/>
      <w:bookmarkStart w:id="10" w:name="_Toc183783127"/>
      <w:bookmarkStart w:id="11" w:name="_Toc106030870"/>
      <w:bookmarkStart w:id="12" w:name="_Toc11641050"/>
      <w:bookmarkStart w:id="13" w:name="_Toc12789052"/>
      <w:r>
        <w:rPr>
          <w:rFonts w:hint="eastAsia" w:ascii="仿宋" w:hAnsi="仿宋" w:eastAsia="仿宋" w:cs="仿宋"/>
          <w:color w:val="auto"/>
          <w:highlight w:val="none"/>
        </w:rPr>
        <w:t>第一篇  竞采邀请书</w:t>
      </w:r>
      <w:bookmarkEnd w:id="9"/>
      <w:bookmarkEnd w:id="10"/>
      <w:bookmarkEnd w:id="11"/>
      <w:bookmarkEnd w:id="12"/>
      <w:bookmarkEnd w:id="13"/>
    </w:p>
    <w:p w14:paraId="1CD547BA">
      <w:pPr>
        <w:snapToGrid w:val="0"/>
        <w:ind w:firstLine="480" w:firstLineChars="200"/>
        <w:rPr>
          <w:rFonts w:hint="eastAsia" w:ascii="仿宋" w:hAnsi="仿宋" w:eastAsia="仿宋" w:cs="仿宋"/>
          <w:b/>
          <w:bCs/>
          <w:color w:val="auto"/>
          <w:spacing w:val="80"/>
          <w:sz w:val="44"/>
          <w:szCs w:val="44"/>
          <w:highlight w:val="none"/>
        </w:rPr>
      </w:pPr>
      <w:r>
        <w:rPr>
          <w:rFonts w:hint="eastAsia" w:ascii="仿宋" w:hAnsi="仿宋" w:eastAsia="仿宋" w:cs="仿宋"/>
          <w:color w:val="auto"/>
          <w:sz w:val="24"/>
          <w:szCs w:val="24"/>
          <w:highlight w:val="none"/>
          <w:u w:val="single"/>
          <w:lang w:eastAsia="zh-CN"/>
        </w:rPr>
        <w:t>重庆标友工程管理咨询有限公司</w:t>
      </w:r>
      <w:r>
        <w:rPr>
          <w:rFonts w:hint="eastAsia" w:ascii="仿宋" w:hAnsi="仿宋" w:eastAsia="仿宋" w:cs="仿宋"/>
          <w:color w:val="auto"/>
          <w:sz w:val="24"/>
          <w:szCs w:val="24"/>
          <w:highlight w:val="none"/>
        </w:rPr>
        <w:t>（以下简称：采购代理机构）受</w:t>
      </w:r>
      <w:r>
        <w:rPr>
          <w:rFonts w:hint="eastAsia" w:ascii="仿宋" w:hAnsi="仿宋" w:eastAsia="仿宋" w:cs="仿宋"/>
          <w:color w:val="auto"/>
          <w:sz w:val="24"/>
          <w:szCs w:val="24"/>
          <w:highlight w:val="none"/>
          <w:u w:val="single"/>
          <w:lang w:eastAsia="zh-CN"/>
        </w:rPr>
        <w:t>重庆绿发资产经营管理有限公司</w:t>
      </w:r>
      <w:r>
        <w:rPr>
          <w:rFonts w:hint="eastAsia" w:ascii="仿宋" w:hAnsi="仿宋" w:eastAsia="仿宋" w:cs="仿宋"/>
          <w:color w:val="auto"/>
          <w:sz w:val="24"/>
          <w:szCs w:val="24"/>
          <w:highlight w:val="none"/>
        </w:rPr>
        <w:t>（以下简称：采购人）的委托，对</w:t>
      </w:r>
      <w:r>
        <w:rPr>
          <w:rFonts w:hint="eastAsia" w:ascii="仿宋" w:hAnsi="仿宋" w:eastAsia="仿宋" w:cs="仿宋"/>
          <w:color w:val="auto"/>
          <w:sz w:val="24"/>
          <w:szCs w:val="24"/>
          <w:highlight w:val="none"/>
          <w:u w:val="single"/>
          <w:lang w:eastAsia="zh-CN"/>
        </w:rPr>
        <w:t>重庆知天而作农业科技研究院有限公司专项审计(第二次)</w:t>
      </w:r>
      <w:r>
        <w:rPr>
          <w:rFonts w:hint="eastAsia" w:ascii="仿宋" w:hAnsi="仿宋" w:eastAsia="仿宋" w:cs="仿宋"/>
          <w:color w:val="auto"/>
          <w:sz w:val="24"/>
          <w:szCs w:val="24"/>
          <w:highlight w:val="none"/>
        </w:rPr>
        <w:t>进行网上竞采采购。欢迎有资格的供应商前来参与网上竞采。</w:t>
      </w:r>
    </w:p>
    <w:p w14:paraId="3D2D6D7B">
      <w:pPr>
        <w:pStyle w:val="3"/>
        <w:spacing w:line="240" w:lineRule="auto"/>
        <w:ind w:firstLine="643"/>
        <w:rPr>
          <w:rFonts w:hint="eastAsia" w:ascii="仿宋" w:hAnsi="仿宋" w:eastAsia="仿宋" w:cs="仿宋"/>
          <w:color w:val="auto"/>
          <w:highlight w:val="none"/>
        </w:rPr>
      </w:pPr>
      <w:bookmarkStart w:id="14" w:name="_Toc3463"/>
      <w:bookmarkStart w:id="15" w:name="_Toc7625"/>
      <w:bookmarkStart w:id="16" w:name="_Toc18881"/>
      <w:bookmarkStart w:id="17" w:name="_Toc183783128"/>
      <w:bookmarkStart w:id="18" w:name="_Toc25458"/>
      <w:bookmarkStart w:id="19" w:name="_Toc317775175"/>
      <w:bookmarkStart w:id="20" w:name="_Toc313893526"/>
      <w:bookmarkStart w:id="21" w:name="_Toc26820"/>
      <w:bookmarkStart w:id="22" w:name="_Toc12808"/>
      <w:bookmarkStart w:id="23" w:name="_Toc18159"/>
      <w:r>
        <w:rPr>
          <w:rFonts w:hint="eastAsia" w:ascii="仿宋" w:hAnsi="仿宋" w:eastAsia="仿宋" w:cs="仿宋"/>
          <w:color w:val="auto"/>
          <w:highlight w:val="none"/>
        </w:rPr>
        <w:t>一、竞采项目内容</w:t>
      </w:r>
      <w:bookmarkEnd w:id="14"/>
      <w:bookmarkEnd w:id="15"/>
      <w:bookmarkEnd w:id="16"/>
      <w:bookmarkEnd w:id="17"/>
      <w:bookmarkEnd w:id="18"/>
      <w:bookmarkEnd w:id="19"/>
      <w:bookmarkEnd w:id="20"/>
      <w:bookmarkEnd w:id="21"/>
      <w:bookmarkEnd w:id="22"/>
      <w:bookmarkEnd w:id="23"/>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7"/>
        <w:gridCol w:w="1988"/>
        <w:gridCol w:w="1500"/>
        <w:gridCol w:w="2071"/>
      </w:tblGrid>
      <w:tr w14:paraId="7A52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9" w:type="pct"/>
            <w:tcBorders>
              <w:top w:val="single" w:color="auto" w:sz="4" w:space="0"/>
              <w:left w:val="single" w:color="auto" w:sz="4" w:space="0"/>
              <w:right w:val="single" w:color="auto" w:sz="4" w:space="0"/>
            </w:tcBorders>
            <w:vAlign w:val="center"/>
          </w:tcPr>
          <w:p w14:paraId="12CDE965">
            <w:pPr>
              <w:widowControl/>
              <w:ind w:firstLine="482"/>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项目名称</w:t>
            </w:r>
          </w:p>
        </w:tc>
        <w:tc>
          <w:tcPr>
            <w:tcW w:w="990" w:type="pct"/>
            <w:tcBorders>
              <w:top w:val="single" w:color="auto" w:sz="4" w:space="0"/>
              <w:left w:val="single" w:color="auto" w:sz="4" w:space="0"/>
              <w:right w:val="single" w:color="auto" w:sz="4" w:space="0"/>
            </w:tcBorders>
            <w:vAlign w:val="center"/>
          </w:tcPr>
          <w:p w14:paraId="34D5FB9B">
            <w:pPr>
              <w:widowControl/>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最高限价（元）</w:t>
            </w:r>
          </w:p>
        </w:tc>
        <w:tc>
          <w:tcPr>
            <w:tcW w:w="747" w:type="pct"/>
            <w:tcBorders>
              <w:top w:val="single" w:color="auto" w:sz="4" w:space="0"/>
              <w:left w:val="single" w:color="auto" w:sz="4" w:space="0"/>
              <w:right w:val="single" w:color="auto" w:sz="4" w:space="0"/>
            </w:tcBorders>
            <w:vAlign w:val="center"/>
          </w:tcPr>
          <w:p w14:paraId="10223883">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成交供应商数量（名）</w:t>
            </w:r>
          </w:p>
        </w:tc>
        <w:tc>
          <w:tcPr>
            <w:tcW w:w="1031" w:type="pct"/>
            <w:tcBorders>
              <w:top w:val="single" w:color="auto" w:sz="4" w:space="0"/>
              <w:left w:val="single" w:color="auto" w:sz="4" w:space="0"/>
              <w:right w:val="single" w:color="auto" w:sz="4" w:space="0"/>
            </w:tcBorders>
            <w:vAlign w:val="center"/>
          </w:tcPr>
          <w:p w14:paraId="0BDEB859">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14:paraId="545D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229" w:type="pct"/>
            <w:tcBorders>
              <w:top w:val="single" w:color="auto" w:sz="4" w:space="0"/>
              <w:left w:val="single" w:color="auto" w:sz="4" w:space="0"/>
              <w:right w:val="single" w:color="auto" w:sz="4" w:space="0"/>
            </w:tcBorders>
            <w:vAlign w:val="center"/>
          </w:tcPr>
          <w:p w14:paraId="56843CC4">
            <w:pPr>
              <w:widowControl/>
              <w:jc w:val="center"/>
              <w:rPr>
                <w:rFonts w:hint="eastAsia" w:ascii="仿宋" w:hAnsi="仿宋" w:eastAsia="仿宋" w:cs="仿宋"/>
                <w:color w:val="auto"/>
                <w:kern w:val="0"/>
                <w:sz w:val="24"/>
                <w:szCs w:val="24"/>
                <w:highlight w:val="none"/>
                <w:lang w:eastAsia="zh-CN"/>
              </w:rPr>
            </w:pPr>
            <w:bookmarkStart w:id="24" w:name="_Hlk344477914"/>
            <w:r>
              <w:rPr>
                <w:rFonts w:hint="eastAsia" w:ascii="仿宋" w:hAnsi="仿宋" w:eastAsia="仿宋" w:cs="仿宋"/>
                <w:color w:val="auto"/>
                <w:kern w:val="0"/>
                <w:sz w:val="24"/>
                <w:szCs w:val="24"/>
                <w:highlight w:val="none"/>
                <w:lang w:eastAsia="zh-CN"/>
              </w:rPr>
              <w:t>重庆知天而作农业科技研究院有限公司专项审计(第二次)</w:t>
            </w:r>
          </w:p>
        </w:tc>
        <w:tc>
          <w:tcPr>
            <w:tcW w:w="990" w:type="pct"/>
            <w:tcBorders>
              <w:top w:val="single" w:color="auto" w:sz="4" w:space="0"/>
              <w:left w:val="single" w:color="auto" w:sz="4" w:space="0"/>
              <w:right w:val="single" w:color="auto" w:sz="4" w:space="0"/>
            </w:tcBorders>
            <w:vAlign w:val="center"/>
          </w:tcPr>
          <w:p w14:paraId="2A1C0B7D">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17000.00</w:t>
            </w:r>
          </w:p>
        </w:tc>
        <w:tc>
          <w:tcPr>
            <w:tcW w:w="747" w:type="pct"/>
            <w:tcBorders>
              <w:top w:val="single" w:color="auto" w:sz="4" w:space="0"/>
              <w:left w:val="single" w:color="auto" w:sz="4" w:space="0"/>
              <w:right w:val="single" w:color="auto" w:sz="4" w:space="0"/>
            </w:tcBorders>
            <w:vAlign w:val="center"/>
          </w:tcPr>
          <w:p w14:paraId="10F17D8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031" w:type="pct"/>
            <w:tcBorders>
              <w:top w:val="single" w:color="auto" w:sz="4" w:space="0"/>
              <w:left w:val="single" w:color="auto" w:sz="4" w:space="0"/>
              <w:right w:val="single" w:color="auto" w:sz="4" w:space="0"/>
            </w:tcBorders>
            <w:vAlign w:val="center"/>
          </w:tcPr>
          <w:p w14:paraId="1B6A341C">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tc>
      </w:tr>
      <w:bookmarkEnd w:id="24"/>
    </w:tbl>
    <w:p w14:paraId="3024336A">
      <w:pPr>
        <w:pStyle w:val="3"/>
        <w:spacing w:line="240" w:lineRule="auto"/>
        <w:ind w:firstLine="643"/>
        <w:rPr>
          <w:rFonts w:hint="eastAsia" w:ascii="仿宋" w:hAnsi="仿宋" w:eastAsia="仿宋" w:cs="仿宋"/>
          <w:color w:val="auto"/>
          <w:highlight w:val="none"/>
        </w:rPr>
      </w:pPr>
      <w:bookmarkStart w:id="25" w:name="_Toc183783129"/>
      <w:bookmarkStart w:id="26" w:name="_Toc6462"/>
      <w:bookmarkStart w:id="27" w:name="_Toc1790"/>
      <w:bookmarkStart w:id="28" w:name="_Toc15576"/>
      <w:bookmarkStart w:id="29" w:name="_Toc15727"/>
      <w:bookmarkStart w:id="30" w:name="_Toc19437"/>
      <w:bookmarkStart w:id="31" w:name="_Toc25190"/>
      <w:bookmarkStart w:id="32" w:name="_Toc22399"/>
      <w:bookmarkStart w:id="33" w:name="_Toc373860293"/>
      <w:bookmarkStart w:id="34" w:name="_Toc317775178"/>
      <w:r>
        <w:rPr>
          <w:rFonts w:hint="eastAsia" w:ascii="仿宋" w:hAnsi="仿宋" w:eastAsia="仿宋" w:cs="仿宋"/>
          <w:color w:val="auto"/>
          <w:highlight w:val="none"/>
        </w:rPr>
        <w:t>二、资金来源</w:t>
      </w:r>
      <w:bookmarkEnd w:id="25"/>
    </w:p>
    <w:p w14:paraId="77D52E24">
      <w:pPr>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单位自筹资金，预算金额</w:t>
      </w:r>
      <w:r>
        <w:rPr>
          <w:rFonts w:hint="eastAsia" w:ascii="仿宋" w:hAnsi="仿宋" w:eastAsia="仿宋" w:cs="仿宋"/>
          <w:color w:val="auto"/>
          <w:sz w:val="24"/>
          <w:szCs w:val="24"/>
          <w:highlight w:val="none"/>
          <w:lang w:val="en-US" w:eastAsia="zh-CN"/>
        </w:rPr>
        <w:t>17000.00</w:t>
      </w:r>
      <w:r>
        <w:rPr>
          <w:rFonts w:hint="eastAsia" w:ascii="仿宋" w:hAnsi="仿宋" w:eastAsia="仿宋" w:cs="仿宋"/>
          <w:color w:val="auto"/>
          <w:sz w:val="24"/>
          <w:szCs w:val="24"/>
          <w:highlight w:val="none"/>
        </w:rPr>
        <w:t>元。</w:t>
      </w:r>
    </w:p>
    <w:p w14:paraId="4858039A">
      <w:pPr>
        <w:pStyle w:val="3"/>
        <w:spacing w:line="240" w:lineRule="auto"/>
        <w:ind w:firstLine="643"/>
        <w:rPr>
          <w:rFonts w:hint="eastAsia" w:ascii="仿宋" w:hAnsi="仿宋" w:eastAsia="仿宋" w:cs="仿宋"/>
          <w:color w:val="auto"/>
          <w:highlight w:val="none"/>
        </w:rPr>
      </w:pPr>
      <w:bookmarkStart w:id="35" w:name="_Toc183783130"/>
      <w:r>
        <w:rPr>
          <w:rFonts w:hint="eastAsia" w:ascii="仿宋" w:hAnsi="仿宋" w:eastAsia="仿宋" w:cs="仿宋"/>
          <w:color w:val="auto"/>
          <w:highlight w:val="none"/>
        </w:rPr>
        <w:t>三、</w:t>
      </w:r>
      <w:bookmarkEnd w:id="26"/>
      <w:bookmarkEnd w:id="27"/>
      <w:bookmarkEnd w:id="28"/>
      <w:bookmarkEnd w:id="29"/>
      <w:bookmarkEnd w:id="30"/>
      <w:bookmarkEnd w:id="31"/>
      <w:bookmarkEnd w:id="32"/>
      <w:r>
        <w:rPr>
          <w:rFonts w:hint="eastAsia" w:ascii="仿宋" w:hAnsi="仿宋" w:eastAsia="仿宋" w:cs="仿宋"/>
          <w:color w:val="auto"/>
          <w:highlight w:val="none"/>
        </w:rPr>
        <w:t>竞采资格条件</w:t>
      </w:r>
      <w:bookmarkEnd w:id="35"/>
    </w:p>
    <w:p w14:paraId="738F13C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（一）基本条件</w:t>
      </w:r>
    </w:p>
    <w:p w14:paraId="52F64AD3">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满足《中华人民共和国政府采购法》第二十二条规定；　</w:t>
      </w:r>
    </w:p>
    <w:p w14:paraId="4DA16DF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（二）特定资格条件</w:t>
      </w:r>
    </w:p>
    <w:bookmarkEnd w:id="33"/>
    <w:bookmarkEnd w:id="34"/>
    <w:p w14:paraId="7430E7C7">
      <w:pPr>
        <w:pStyle w:val="7"/>
        <w:ind w:firstLine="480" w:firstLineChars="200"/>
        <w:rPr>
          <w:rFonts w:hint="default" w:eastAsia="仿宋"/>
          <w:b/>
          <w:bCs/>
          <w:color w:val="auto"/>
          <w:highlight w:val="none"/>
          <w:lang w:val="en-US" w:eastAsia="zh-CN"/>
        </w:rPr>
      </w:pPr>
      <w:bookmarkStart w:id="36" w:name="_Toc183783131"/>
      <w:r>
        <w:rPr>
          <w:rFonts w:hint="eastAsia" w:ascii="仿宋" w:hAnsi="仿宋" w:eastAsia="仿宋" w:cs="仿宋"/>
          <w:color w:val="auto"/>
          <w:sz w:val="24"/>
          <w:szCs w:val="24"/>
          <w:highlight w:val="none"/>
          <w:lang w:val="en-US" w:eastAsia="zh-CN"/>
        </w:rPr>
        <w:t>无</w:t>
      </w:r>
      <w:r>
        <w:rPr>
          <w:rFonts w:hint="eastAsia" w:ascii="仿宋" w:hAnsi="仿宋" w:eastAsia="仿宋" w:cs="仿宋"/>
          <w:b/>
          <w:bCs/>
          <w:color w:val="auto"/>
          <w:sz w:val="24"/>
          <w:szCs w:val="24"/>
          <w:highlight w:val="none"/>
          <w:lang w:val="en-US" w:eastAsia="zh-CN"/>
        </w:rPr>
        <w:t>。</w:t>
      </w:r>
    </w:p>
    <w:p w14:paraId="4504C3D2">
      <w:pPr>
        <w:ind w:firstLine="643" w:firstLineChars="2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四、竞采有关说明</w:t>
      </w:r>
      <w:bookmarkEnd w:id="36"/>
    </w:p>
    <w:p w14:paraId="62D92B6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（一）供应商应通过行采家采购服务平台（www.gec123.com）登记加入“重庆市政府采购供应商库”。</w:t>
      </w:r>
    </w:p>
    <w:p w14:paraId="4061E4C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凡有意参加采购的供应商，请在“行采家（https://www.gec123.com/）”下载或到采购代理机构处领取本项目询价采购文件以及图纸、澄清等报价前公布的所有项目资料，无论供应商下载或领取与否，均视为已知晓所有实质性要求内容。</w:t>
      </w:r>
    </w:p>
    <w:p w14:paraId="243D185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（三）线上报价</w:t>
      </w:r>
    </w:p>
    <w:p w14:paraId="56DBFFE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1.线上报价时间：按本项目网上公告规定的报价截止时间为准。</w:t>
      </w:r>
    </w:p>
    <w:p w14:paraId="50F5E8A9">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2.线上报价要求：按本项目规定的时间在“行采家（https://www.gec123.com/）”进行网上报价。</w:t>
      </w:r>
    </w:p>
    <w:p w14:paraId="04EB72C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（四）供应商须在平台上报价并按要求上传响应文件，未按要求提供的为无效供应商。</w:t>
      </w:r>
    </w:p>
    <w:p w14:paraId="579E74BC">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74F13E9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1.供应商线上报价时须上传响应文件一份。</w:t>
      </w:r>
    </w:p>
    <w:p w14:paraId="65FB0F1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2.采购人将以平台的线上资料作为评判依据。</w:t>
      </w:r>
    </w:p>
    <w:p w14:paraId="6B7E659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3.供应商上传的响应文件应按照响应文件编制要求制作，规定签字、盖章的地方必须按规定签字、盖章，未按要求制作响应文件的作无效标处理。</w:t>
      </w:r>
    </w:p>
    <w:p w14:paraId="75422FA3">
      <w:pPr>
        <w:pStyle w:val="3"/>
        <w:spacing w:line="240" w:lineRule="auto"/>
        <w:ind w:firstLine="643"/>
        <w:rPr>
          <w:rFonts w:hint="eastAsia" w:ascii="仿宋" w:hAnsi="仿宋" w:eastAsia="仿宋" w:cs="仿宋"/>
          <w:color w:val="auto"/>
          <w:highlight w:val="none"/>
        </w:rPr>
      </w:pPr>
      <w:bookmarkStart w:id="37" w:name="_Toc183783132"/>
      <w:r>
        <w:rPr>
          <w:rFonts w:hint="eastAsia" w:ascii="仿宋" w:hAnsi="仿宋" w:eastAsia="仿宋" w:cs="仿宋"/>
          <w:color w:val="auto"/>
          <w:highlight w:val="none"/>
        </w:rPr>
        <w:t>五、</w:t>
      </w:r>
      <w:bookmarkStart w:id="38" w:name="_Toc3475"/>
      <w:bookmarkStart w:id="39" w:name="_Toc20778"/>
      <w:bookmarkStart w:id="40" w:name="_Toc9654"/>
      <w:bookmarkStart w:id="41" w:name="_Toc25886"/>
      <w:bookmarkStart w:id="42" w:name="_Toc27955"/>
      <w:bookmarkStart w:id="43" w:name="_Toc5085"/>
      <w:bookmarkStart w:id="44" w:name="_Toc11828"/>
      <w:bookmarkStart w:id="45" w:name="_Toc15478"/>
      <w:bookmarkStart w:id="46" w:name="_Toc14778"/>
      <w:bookmarkStart w:id="47" w:name="_Toc13969"/>
      <w:bookmarkStart w:id="48" w:name="_Toc31315"/>
      <w:bookmarkStart w:id="49" w:name="_Toc19730"/>
      <w:bookmarkStart w:id="50" w:name="_Toc9027"/>
      <w:bookmarkStart w:id="51" w:name="_Toc25516"/>
      <w:r>
        <w:rPr>
          <w:rFonts w:hint="eastAsia" w:ascii="仿宋" w:hAnsi="仿宋" w:eastAsia="仿宋" w:cs="仿宋"/>
          <w:color w:val="auto"/>
          <w:highlight w:val="none"/>
        </w:rPr>
        <w:t>联系方式</w:t>
      </w:r>
      <w:bookmarkEnd w:id="37"/>
      <w:bookmarkEnd w:id="38"/>
      <w:bookmarkEnd w:id="39"/>
      <w:bookmarkEnd w:id="40"/>
      <w:bookmarkEnd w:id="41"/>
      <w:bookmarkEnd w:id="42"/>
      <w:bookmarkEnd w:id="43"/>
      <w:bookmarkEnd w:id="44"/>
    </w:p>
    <w:p w14:paraId="072A6931">
      <w:pP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（一）采购人：</w:t>
      </w:r>
      <w:r>
        <w:rPr>
          <w:rFonts w:hint="eastAsia" w:ascii="仿宋" w:hAnsi="仿宋" w:eastAsia="仿宋" w:cs="仿宋"/>
          <w:color w:val="auto"/>
          <w:sz w:val="24"/>
          <w:szCs w:val="24"/>
          <w:highlight w:val="none"/>
          <w:lang w:eastAsia="zh-CN"/>
        </w:rPr>
        <w:t>重庆绿发资产经营管理有限公司</w:t>
      </w:r>
    </w:p>
    <w:p w14:paraId="1169E1BE">
      <w:pPr>
        <w:shd w:val="clea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联系人：余老师  </w:t>
      </w:r>
    </w:p>
    <w:p w14:paraId="349605A7">
      <w:pPr>
        <w:shd w:val="clea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电  话：18680837335</w:t>
      </w:r>
      <w:r>
        <w:rPr>
          <w:rFonts w:hint="eastAsia" w:ascii="仿宋" w:hAnsi="仿宋" w:eastAsia="仿宋" w:cs="仿宋"/>
          <w:color w:val="auto"/>
          <w:sz w:val="24"/>
          <w:szCs w:val="24"/>
          <w:highlight w:val="none"/>
          <w:lang w:val="en-US" w:eastAsia="zh-CN"/>
        </w:rPr>
        <w:t xml:space="preserve">  </w:t>
      </w:r>
    </w:p>
    <w:p w14:paraId="7A63A0B9">
      <w:pPr>
        <w:shd w:val="clea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  址：重庆市璧山区璧泉街道双星大道50号1幢</w:t>
      </w:r>
      <w:r>
        <w:rPr>
          <w:rFonts w:hint="eastAsia" w:ascii="仿宋" w:hAnsi="仿宋" w:eastAsia="仿宋" w:cs="仿宋"/>
          <w:color w:val="auto"/>
          <w:sz w:val="24"/>
          <w:szCs w:val="24"/>
          <w:highlight w:val="none"/>
          <w:lang w:val="en-US" w:eastAsia="zh-CN"/>
        </w:rPr>
        <w:t xml:space="preserve">  </w:t>
      </w:r>
    </w:p>
    <w:p w14:paraId="5B19C25E">
      <w:pP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（二）采购代理机构：</w:t>
      </w:r>
      <w:r>
        <w:rPr>
          <w:rFonts w:hint="eastAsia" w:ascii="仿宋" w:hAnsi="仿宋" w:eastAsia="仿宋" w:cs="仿宋"/>
          <w:color w:val="auto"/>
          <w:sz w:val="24"/>
          <w:szCs w:val="24"/>
          <w:highlight w:val="none"/>
          <w:lang w:eastAsia="zh-CN"/>
        </w:rPr>
        <w:t>重庆标友工程管理咨询有限公司</w:t>
      </w:r>
    </w:p>
    <w:p w14:paraId="06427AA0">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杨</w:t>
      </w:r>
      <w:r>
        <w:rPr>
          <w:rFonts w:hint="eastAsia" w:ascii="仿宋" w:hAnsi="仿宋" w:eastAsia="仿宋" w:cs="仿宋"/>
          <w:color w:val="auto"/>
          <w:sz w:val="24"/>
          <w:szCs w:val="24"/>
          <w:highlight w:val="none"/>
        </w:rPr>
        <w:t>老师</w:t>
      </w:r>
    </w:p>
    <w:p w14:paraId="3F6703DF">
      <w:pPr>
        <w:snapToGrid w:val="0"/>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15696551371</w:t>
      </w:r>
    </w:p>
    <w:p w14:paraId="6BFB828E">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址：重庆市渝北区龙溪街道新牌坊三路369号天和美舍1幢</w:t>
      </w:r>
    </w:p>
    <w:p w14:paraId="2ACC6551">
      <w:pPr>
        <w:pStyle w:val="3"/>
        <w:spacing w:line="240" w:lineRule="auto"/>
        <w:ind w:firstLine="643"/>
        <w:rPr>
          <w:rFonts w:hint="eastAsia" w:ascii="仿宋" w:hAnsi="仿宋" w:eastAsia="仿宋" w:cs="仿宋"/>
          <w:color w:val="auto"/>
          <w:highlight w:val="none"/>
        </w:rPr>
      </w:pPr>
      <w:bookmarkStart w:id="52" w:name="_Toc183783133"/>
      <w:r>
        <w:rPr>
          <w:rFonts w:hint="eastAsia" w:ascii="仿宋" w:hAnsi="仿宋" w:eastAsia="仿宋" w:cs="仿宋"/>
          <w:color w:val="auto"/>
          <w:highlight w:val="none"/>
        </w:rPr>
        <w:t>六、</w:t>
      </w:r>
      <w:bookmarkEnd w:id="45"/>
      <w:bookmarkEnd w:id="46"/>
      <w:bookmarkEnd w:id="47"/>
      <w:bookmarkEnd w:id="48"/>
      <w:bookmarkEnd w:id="49"/>
      <w:bookmarkEnd w:id="50"/>
      <w:bookmarkEnd w:id="51"/>
      <w:r>
        <w:rPr>
          <w:rFonts w:hint="eastAsia" w:ascii="仿宋" w:hAnsi="仿宋" w:eastAsia="仿宋" w:cs="仿宋"/>
          <w:color w:val="auto"/>
          <w:highlight w:val="none"/>
        </w:rPr>
        <w:t>其它有关规定</w:t>
      </w:r>
      <w:bookmarkEnd w:id="52"/>
    </w:p>
    <w:p w14:paraId="7E57A545">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（一）单位负责人为同一人或者存在直接控股、管理关系的不同供应商，不得参加同一合同项（分包）下的竞采活动，否则均为无效响应。</w:t>
      </w:r>
    </w:p>
    <w:p w14:paraId="036C47E6">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（二）为采购项目提供整体设计、规范编制或者项目管理、监理、检测等服务的供应商，不得再参加该采购项目的其他采购活动。</w:t>
      </w:r>
    </w:p>
    <w:p w14:paraId="6C0EF188">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（三）本项目的变更等文件（如果有）一律在“行采家（https://www.gec123.com/）”上发布，请各供应商注意下载；无论供应商下载与否，均视同供应商已知晓本项目澄清文件（如果有）的内容。</w:t>
      </w:r>
    </w:p>
    <w:p w14:paraId="1454EA57">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（四）超过响应文件截止时间递交的响应文件，恕不接收。</w:t>
      </w:r>
    </w:p>
    <w:p w14:paraId="18AECFDE">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（五）竞采费用：无论竞采结果如何，供应商参与本项目竞采的所有成本费用均应由供应商自行承担。</w:t>
      </w:r>
    </w:p>
    <w:p w14:paraId="05693D56">
      <w:pPr>
        <w:snapToGrid w:val="0"/>
        <w:ind w:firstLine="361" w:firstLineChars="15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（六）本项目不接受联合体参与竞采</w:t>
      </w:r>
      <w:r>
        <w:rPr>
          <w:rFonts w:hint="eastAsia" w:ascii="仿宋" w:hAnsi="仿宋" w:eastAsia="仿宋" w:cs="仿宋"/>
          <w:color w:val="auto"/>
          <w:sz w:val="24"/>
          <w:szCs w:val="24"/>
          <w:highlight w:val="none"/>
        </w:rPr>
        <w:t>。</w:t>
      </w:r>
    </w:p>
    <w:p w14:paraId="4435E3E5">
      <w:pP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云平台相关规则、规定的供应商，将拒绝其参与网上竞采活动。</w:t>
      </w:r>
      <w:bookmarkStart w:id="53" w:name="_Toc106030878"/>
      <w:bookmarkStart w:id="54" w:name="_Toc76462324"/>
    </w:p>
    <w:p w14:paraId="21544055">
      <w:pPr>
        <w:widowControl/>
        <w:jc w:val="left"/>
        <w:rPr>
          <w:rFonts w:hint="eastAsia" w:ascii="仿宋" w:hAnsi="仿宋" w:eastAsia="仿宋" w:cs="仿宋"/>
          <w:b/>
          <w:color w:val="auto"/>
          <w:kern w:val="44"/>
          <w:sz w:val="44"/>
          <w:highlight w:val="none"/>
        </w:rPr>
      </w:pPr>
      <w:r>
        <w:rPr>
          <w:rFonts w:hint="eastAsia" w:ascii="仿宋" w:hAnsi="仿宋" w:eastAsia="仿宋" w:cs="仿宋"/>
          <w:color w:val="auto"/>
          <w:highlight w:val="none"/>
        </w:rPr>
        <w:br w:type="page"/>
      </w:r>
    </w:p>
    <w:p w14:paraId="55ABAAE0">
      <w:pPr>
        <w:pStyle w:val="2"/>
        <w:spacing w:line="240" w:lineRule="auto"/>
        <w:ind w:firstLine="883"/>
        <w:jc w:val="center"/>
        <w:rPr>
          <w:rFonts w:hint="eastAsia" w:ascii="仿宋" w:hAnsi="仿宋" w:eastAsia="仿宋" w:cs="仿宋"/>
          <w:color w:val="auto"/>
          <w:highlight w:val="none"/>
        </w:rPr>
      </w:pPr>
      <w:bookmarkStart w:id="55" w:name="_Toc183783134"/>
      <w:r>
        <w:rPr>
          <w:rFonts w:hint="eastAsia" w:ascii="仿宋" w:hAnsi="仿宋" w:eastAsia="仿宋" w:cs="仿宋"/>
          <w:color w:val="auto"/>
          <w:highlight w:val="none"/>
        </w:rPr>
        <w:t>第二篇  项目</w:t>
      </w:r>
      <w:bookmarkEnd w:id="53"/>
      <w:bookmarkEnd w:id="54"/>
      <w:r>
        <w:rPr>
          <w:rFonts w:hint="eastAsia" w:ascii="仿宋" w:hAnsi="仿宋" w:eastAsia="仿宋" w:cs="仿宋"/>
          <w:color w:val="auto"/>
          <w:highlight w:val="none"/>
        </w:rPr>
        <w:t>服务需</w:t>
      </w:r>
      <w:bookmarkStart w:id="56" w:name="_Toc76462325"/>
      <w:bookmarkStart w:id="57" w:name="_Toc12789058"/>
      <w:r>
        <w:rPr>
          <w:rFonts w:hint="eastAsia" w:ascii="仿宋" w:hAnsi="仿宋" w:eastAsia="仿宋" w:cs="仿宋"/>
          <w:color w:val="auto"/>
          <w:highlight w:val="none"/>
        </w:rPr>
        <w:t>求</w:t>
      </w:r>
      <w:bookmarkEnd w:id="55"/>
    </w:p>
    <w:p w14:paraId="56257EF4">
      <w:pPr>
        <w:ind w:firstLine="482"/>
        <w:rPr>
          <w:rFonts w:hint="eastAsia" w:ascii="仿宋" w:hAnsi="仿宋" w:eastAsia="仿宋" w:cs="仿宋"/>
          <w:color w:val="auto"/>
          <w:highlight w:val="none"/>
        </w:rPr>
      </w:pPr>
      <w:r>
        <w:rPr>
          <w:rFonts w:hint="eastAsia" w:ascii="仿宋" w:hAnsi="仿宋" w:eastAsia="仿宋" w:cs="仿宋"/>
          <w:b/>
          <w:bCs/>
          <w:color w:val="auto"/>
          <w:sz w:val="24"/>
          <w:szCs w:val="24"/>
          <w:highlight w:val="none"/>
          <w:u w:val="single"/>
        </w:rPr>
        <w:t>本篇服务需求为符合性审查中的实质性要求，响应文件若不满足按无效投标处理。</w:t>
      </w:r>
    </w:p>
    <w:bookmarkEnd w:id="56"/>
    <w:p w14:paraId="3931D9B5">
      <w:pPr>
        <w:pStyle w:val="3"/>
        <w:numPr>
          <w:ilvl w:val="0"/>
          <w:numId w:val="1"/>
        </w:numPr>
        <w:spacing w:line="240" w:lineRule="auto"/>
        <w:ind w:firstLine="643"/>
        <w:rPr>
          <w:rFonts w:hint="eastAsia" w:ascii="仿宋" w:hAnsi="仿宋" w:eastAsia="仿宋" w:cs="仿宋"/>
          <w:color w:val="auto"/>
          <w:highlight w:val="none"/>
        </w:rPr>
      </w:pPr>
      <w:bookmarkStart w:id="58" w:name="_Toc183783135"/>
      <w:r>
        <w:rPr>
          <w:rFonts w:hint="eastAsia" w:ascii="仿宋" w:hAnsi="仿宋" w:eastAsia="仿宋" w:cs="仿宋"/>
          <w:color w:val="auto"/>
          <w:highlight w:val="none"/>
        </w:rPr>
        <w:t>招标项目一览表</w:t>
      </w:r>
      <w:bookmarkEnd w:id="58"/>
    </w:p>
    <w:tbl>
      <w:tblPr>
        <w:tblStyle w:val="20"/>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172"/>
        <w:gridCol w:w="1694"/>
        <w:gridCol w:w="798"/>
        <w:gridCol w:w="1666"/>
        <w:gridCol w:w="532"/>
      </w:tblGrid>
      <w:tr w14:paraId="28CC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6" w:type="dxa"/>
            <w:vAlign w:val="center"/>
          </w:tcPr>
          <w:p w14:paraId="4879CE5E">
            <w:pPr>
              <w:widowControl/>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序号</w:t>
            </w:r>
          </w:p>
        </w:tc>
        <w:tc>
          <w:tcPr>
            <w:tcW w:w="3172" w:type="dxa"/>
            <w:vAlign w:val="center"/>
          </w:tcPr>
          <w:p w14:paraId="03EECF48">
            <w:pPr>
              <w:widowControl/>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服务名称</w:t>
            </w:r>
          </w:p>
        </w:tc>
        <w:tc>
          <w:tcPr>
            <w:tcW w:w="1694" w:type="dxa"/>
            <w:vAlign w:val="center"/>
          </w:tcPr>
          <w:p w14:paraId="7B92BC8B">
            <w:pPr>
              <w:widowControl/>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服务范围、标准及</w:t>
            </w:r>
            <w:r>
              <w:rPr>
                <w:rFonts w:hint="eastAsia" w:ascii="仿宋" w:hAnsi="仿宋" w:eastAsia="仿宋" w:cs="仿宋"/>
                <w:b/>
                <w:bCs/>
                <w:color w:val="auto"/>
                <w:kern w:val="0"/>
                <w:sz w:val="24"/>
                <w:szCs w:val="24"/>
                <w:highlight w:val="none"/>
              </w:rPr>
              <w:t>要求</w:t>
            </w:r>
          </w:p>
        </w:tc>
        <w:tc>
          <w:tcPr>
            <w:tcW w:w="798" w:type="dxa"/>
            <w:vAlign w:val="center"/>
          </w:tcPr>
          <w:p w14:paraId="19029AC3">
            <w:pPr>
              <w:widowControl/>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数量</w:t>
            </w:r>
          </w:p>
        </w:tc>
        <w:tc>
          <w:tcPr>
            <w:tcW w:w="1666" w:type="dxa"/>
            <w:vAlign w:val="center"/>
          </w:tcPr>
          <w:p w14:paraId="13F7EEE1">
            <w:pPr>
              <w:widowControl/>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最高限价金额</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color w:val="auto"/>
                <w:sz w:val="24"/>
                <w:szCs w:val="24"/>
                <w:highlight w:val="none"/>
              </w:rPr>
              <w:t>元</w:t>
            </w:r>
            <w:r>
              <w:rPr>
                <w:rFonts w:hint="eastAsia" w:ascii="仿宋" w:hAnsi="仿宋" w:eastAsia="仿宋" w:cs="仿宋"/>
                <w:b/>
                <w:bCs/>
                <w:color w:val="auto"/>
                <w:sz w:val="24"/>
                <w:szCs w:val="24"/>
                <w:highlight w:val="none"/>
                <w:lang w:val="en-US" w:eastAsia="zh-CN"/>
              </w:rPr>
              <w:t>)</w:t>
            </w:r>
          </w:p>
        </w:tc>
        <w:tc>
          <w:tcPr>
            <w:tcW w:w="532" w:type="dxa"/>
            <w:vAlign w:val="center"/>
          </w:tcPr>
          <w:p w14:paraId="2993DE85">
            <w:pPr>
              <w:widowControl/>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1A61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6" w:type="dxa"/>
            <w:vAlign w:val="center"/>
          </w:tcPr>
          <w:p w14:paraId="415817FE">
            <w:pPr>
              <w:widowControl/>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3172" w:type="dxa"/>
            <w:vAlign w:val="center"/>
          </w:tcPr>
          <w:p w14:paraId="6B9D525F">
            <w:pPr>
              <w:widowControl/>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重庆知天而作农业科技研究院有限公司专项审计(第二次)</w:t>
            </w:r>
          </w:p>
        </w:tc>
        <w:tc>
          <w:tcPr>
            <w:tcW w:w="1694" w:type="dxa"/>
            <w:vAlign w:val="center"/>
          </w:tcPr>
          <w:p w14:paraId="0D6E0452">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rPr>
              <w:t>文件</w:t>
            </w:r>
          </w:p>
        </w:tc>
        <w:tc>
          <w:tcPr>
            <w:tcW w:w="798" w:type="dxa"/>
            <w:vAlign w:val="center"/>
          </w:tcPr>
          <w:p w14:paraId="68EB90E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66" w:type="dxa"/>
            <w:vAlign w:val="center"/>
          </w:tcPr>
          <w:p w14:paraId="3023B894">
            <w:pPr>
              <w:widowControl/>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17000.00</w:t>
            </w:r>
          </w:p>
        </w:tc>
        <w:tc>
          <w:tcPr>
            <w:tcW w:w="532" w:type="dxa"/>
            <w:vAlign w:val="center"/>
          </w:tcPr>
          <w:p w14:paraId="656CCF7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r>
    </w:tbl>
    <w:p w14:paraId="2BA85609">
      <w:pPr>
        <w:pStyle w:val="3"/>
        <w:spacing w:line="240" w:lineRule="auto"/>
        <w:rPr>
          <w:rFonts w:hint="default" w:ascii="仿宋" w:hAnsi="仿宋" w:eastAsia="仿宋" w:cs="仿宋"/>
          <w:color w:val="auto"/>
          <w:highlight w:val="none"/>
          <w:lang w:val="en-US" w:eastAsia="zh-CN"/>
        </w:rPr>
      </w:pPr>
      <w:bookmarkStart w:id="59" w:name="_Toc183783136"/>
      <w:bookmarkStart w:id="60" w:name="_Toc106030880"/>
      <w:r>
        <w:rPr>
          <w:rFonts w:hint="eastAsia" w:ascii="仿宋" w:hAnsi="仿宋" w:eastAsia="仿宋" w:cs="仿宋"/>
          <w:color w:val="auto"/>
          <w:highlight w:val="none"/>
        </w:rPr>
        <w:t>二、</w:t>
      </w:r>
      <w:bookmarkEnd w:id="59"/>
      <w:bookmarkEnd w:id="60"/>
      <w:r>
        <w:rPr>
          <w:rFonts w:hint="eastAsia" w:ascii="仿宋" w:hAnsi="仿宋" w:eastAsia="仿宋" w:cs="仿宋"/>
          <w:color w:val="auto"/>
          <w:highlight w:val="none"/>
          <w:lang w:val="en-US" w:eastAsia="zh-CN"/>
        </w:rPr>
        <w:t>采购内容</w:t>
      </w:r>
    </w:p>
    <w:p w14:paraId="5A3C6D3F">
      <w:pPr>
        <w:pStyle w:val="3"/>
        <w:spacing w:line="240" w:lineRule="auto"/>
        <w:ind w:firstLine="480" w:firstLineChars="200"/>
        <w:rPr>
          <w:rFonts w:hint="eastAsia" w:ascii="仿宋" w:hAnsi="仿宋" w:eastAsia="仿宋" w:cs="仿宋"/>
          <w:color w:val="auto"/>
          <w:highlight w:val="none"/>
        </w:rPr>
      </w:pPr>
      <w:bookmarkStart w:id="61" w:name="_Toc106030881"/>
      <w:bookmarkStart w:id="62" w:name="_Toc344475116"/>
      <w:bookmarkStart w:id="63" w:name="_Toc76462326"/>
      <w:bookmarkStart w:id="64" w:name="_Toc313536013"/>
      <w:bookmarkStart w:id="65" w:name="_Toc183783137"/>
      <w:r>
        <w:rPr>
          <w:rFonts w:hint="eastAsia" w:ascii="仿宋" w:hAnsi="仿宋" w:eastAsia="仿宋" w:cs="仿宋"/>
          <w:b w:val="0"/>
          <w:bCs/>
          <w:color w:val="auto"/>
          <w:sz w:val="24"/>
          <w:szCs w:val="24"/>
          <w:highlight w:val="none"/>
          <w:lang w:val="en-US" w:eastAsia="zh-CN"/>
        </w:rPr>
        <w:t>对重庆知天而作农业科技研究院有限公司截至2025年3月31日（暂定）进行专项审计。</w:t>
      </w:r>
      <w:r>
        <w:rPr>
          <w:rFonts w:hint="eastAsia" w:ascii="仿宋" w:hAnsi="仿宋" w:eastAsia="仿宋" w:cs="仿宋"/>
          <w:color w:val="auto"/>
          <w:highlight w:val="none"/>
        </w:rPr>
        <w:t>三、</w:t>
      </w:r>
      <w:bookmarkEnd w:id="61"/>
      <w:bookmarkEnd w:id="62"/>
      <w:bookmarkEnd w:id="63"/>
      <w:bookmarkEnd w:id="64"/>
      <w:r>
        <w:rPr>
          <w:rFonts w:hint="eastAsia" w:ascii="仿宋" w:hAnsi="仿宋" w:eastAsia="仿宋" w:cs="仿宋"/>
          <w:color w:val="auto"/>
          <w:highlight w:val="none"/>
        </w:rPr>
        <w:t>其他要求</w:t>
      </w:r>
      <w:bookmarkEnd w:id="65"/>
    </w:p>
    <w:p w14:paraId="2D25B30E">
      <w:pPr>
        <w:pStyle w:val="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rPr>
        <w:t>。</w:t>
      </w:r>
    </w:p>
    <w:p w14:paraId="172C777E">
      <w:pPr>
        <w:rPr>
          <w:rFonts w:hint="eastAsia" w:ascii="仿宋" w:hAnsi="仿宋" w:eastAsia="仿宋" w:cs="仿宋"/>
          <w:color w:val="auto"/>
          <w:sz w:val="24"/>
          <w:szCs w:val="24"/>
          <w:highlight w:val="none"/>
        </w:rPr>
      </w:pPr>
    </w:p>
    <w:p w14:paraId="02EEAAD1">
      <w:pPr>
        <w:pStyle w:val="7"/>
        <w:rPr>
          <w:rFonts w:hint="eastAsia" w:ascii="仿宋" w:hAnsi="仿宋" w:eastAsia="仿宋" w:cs="仿宋"/>
          <w:color w:val="auto"/>
          <w:sz w:val="24"/>
          <w:szCs w:val="24"/>
          <w:highlight w:val="none"/>
        </w:rPr>
      </w:pPr>
    </w:p>
    <w:p w14:paraId="32F4E398">
      <w:pPr>
        <w:rPr>
          <w:rFonts w:hint="eastAsia" w:ascii="仿宋" w:hAnsi="仿宋" w:eastAsia="仿宋" w:cs="仿宋"/>
          <w:color w:val="auto"/>
          <w:sz w:val="24"/>
          <w:szCs w:val="24"/>
          <w:highlight w:val="none"/>
        </w:rPr>
      </w:pPr>
    </w:p>
    <w:p w14:paraId="7BE4E018">
      <w:pPr>
        <w:pStyle w:val="7"/>
        <w:rPr>
          <w:rFonts w:hint="eastAsia" w:ascii="仿宋" w:hAnsi="仿宋" w:eastAsia="仿宋" w:cs="仿宋"/>
          <w:color w:val="auto"/>
          <w:sz w:val="24"/>
          <w:szCs w:val="24"/>
          <w:highlight w:val="none"/>
        </w:rPr>
      </w:pPr>
    </w:p>
    <w:p w14:paraId="461B8637">
      <w:pPr>
        <w:rPr>
          <w:rFonts w:hint="eastAsia" w:ascii="仿宋" w:hAnsi="仿宋" w:eastAsia="仿宋" w:cs="仿宋"/>
          <w:color w:val="auto"/>
          <w:highlight w:val="none"/>
        </w:rPr>
      </w:pPr>
    </w:p>
    <w:p w14:paraId="2C86BED7">
      <w:pPr>
        <w:rPr>
          <w:rFonts w:hint="eastAsia" w:ascii="仿宋" w:hAnsi="仿宋" w:eastAsia="仿宋" w:cs="仿宋"/>
          <w:color w:val="auto"/>
          <w:highlight w:val="none"/>
        </w:rPr>
      </w:pPr>
    </w:p>
    <w:p w14:paraId="60C075FB">
      <w:pPr>
        <w:rPr>
          <w:rFonts w:hint="eastAsia" w:ascii="仿宋" w:hAnsi="仿宋" w:eastAsia="仿宋" w:cs="仿宋"/>
          <w:color w:val="auto"/>
          <w:highlight w:val="none"/>
        </w:rPr>
      </w:pPr>
    </w:p>
    <w:p w14:paraId="5BBEAC16">
      <w:pPr>
        <w:rPr>
          <w:rFonts w:hint="eastAsia" w:ascii="仿宋" w:hAnsi="仿宋" w:eastAsia="仿宋" w:cs="仿宋"/>
          <w:color w:val="auto"/>
          <w:highlight w:val="none"/>
        </w:rPr>
      </w:pPr>
    </w:p>
    <w:p w14:paraId="49B502B0">
      <w:pPr>
        <w:rPr>
          <w:rFonts w:hint="eastAsia" w:ascii="仿宋" w:hAnsi="仿宋" w:eastAsia="仿宋" w:cs="仿宋"/>
          <w:color w:val="auto"/>
          <w:highlight w:val="none"/>
        </w:rPr>
      </w:pPr>
    </w:p>
    <w:p w14:paraId="4EB0D831">
      <w:pPr>
        <w:rPr>
          <w:rFonts w:hint="eastAsia" w:ascii="仿宋" w:hAnsi="仿宋" w:eastAsia="仿宋" w:cs="仿宋"/>
          <w:color w:val="auto"/>
          <w:highlight w:val="none"/>
        </w:rPr>
      </w:pPr>
    </w:p>
    <w:p w14:paraId="05FA470A">
      <w:pPr>
        <w:rPr>
          <w:rFonts w:hint="eastAsia" w:ascii="仿宋" w:hAnsi="仿宋" w:eastAsia="仿宋" w:cs="仿宋"/>
          <w:color w:val="auto"/>
          <w:highlight w:val="none"/>
        </w:rPr>
      </w:pPr>
    </w:p>
    <w:p w14:paraId="08EC1D7A">
      <w:pPr>
        <w:rPr>
          <w:rFonts w:hint="eastAsia" w:ascii="仿宋" w:hAnsi="仿宋" w:eastAsia="仿宋" w:cs="仿宋"/>
          <w:color w:val="auto"/>
          <w:highlight w:val="none"/>
        </w:rPr>
      </w:pPr>
    </w:p>
    <w:p w14:paraId="679ADBF5">
      <w:pPr>
        <w:rPr>
          <w:rFonts w:hint="eastAsia" w:ascii="仿宋" w:hAnsi="仿宋" w:eastAsia="仿宋" w:cs="仿宋"/>
          <w:color w:val="auto"/>
          <w:highlight w:val="none"/>
        </w:rPr>
      </w:pPr>
    </w:p>
    <w:p w14:paraId="600585F7">
      <w:pPr>
        <w:rPr>
          <w:rFonts w:hint="eastAsia" w:ascii="仿宋" w:hAnsi="仿宋" w:eastAsia="仿宋" w:cs="仿宋"/>
          <w:color w:val="auto"/>
          <w:highlight w:val="none"/>
        </w:rPr>
      </w:pPr>
    </w:p>
    <w:p w14:paraId="613C24A6">
      <w:pPr>
        <w:rPr>
          <w:rFonts w:hint="eastAsia" w:ascii="仿宋" w:hAnsi="仿宋" w:eastAsia="仿宋" w:cs="仿宋"/>
          <w:color w:val="auto"/>
          <w:highlight w:val="none"/>
        </w:rPr>
      </w:pPr>
    </w:p>
    <w:p w14:paraId="3862BFF7">
      <w:pPr>
        <w:rPr>
          <w:rFonts w:hint="eastAsia" w:ascii="仿宋" w:hAnsi="仿宋" w:eastAsia="仿宋" w:cs="仿宋"/>
          <w:color w:val="auto"/>
          <w:highlight w:val="none"/>
        </w:rPr>
      </w:pPr>
    </w:p>
    <w:p w14:paraId="0D66C665">
      <w:pPr>
        <w:rPr>
          <w:rFonts w:hint="eastAsia" w:ascii="仿宋" w:hAnsi="仿宋" w:eastAsia="仿宋" w:cs="仿宋"/>
          <w:color w:val="auto"/>
          <w:highlight w:val="none"/>
        </w:rPr>
      </w:pPr>
    </w:p>
    <w:p w14:paraId="7A4473A9">
      <w:pPr>
        <w:rPr>
          <w:rFonts w:hint="eastAsia" w:ascii="仿宋" w:hAnsi="仿宋" w:eastAsia="仿宋" w:cs="仿宋"/>
          <w:color w:val="auto"/>
          <w:highlight w:val="none"/>
        </w:rPr>
      </w:pPr>
    </w:p>
    <w:p w14:paraId="47189FBE">
      <w:pPr>
        <w:rPr>
          <w:rFonts w:hint="eastAsia" w:ascii="仿宋" w:hAnsi="仿宋" w:eastAsia="仿宋" w:cs="仿宋"/>
          <w:color w:val="auto"/>
          <w:highlight w:val="none"/>
        </w:rPr>
      </w:pPr>
    </w:p>
    <w:p w14:paraId="097AB8AF">
      <w:pPr>
        <w:rPr>
          <w:rFonts w:hint="eastAsia" w:ascii="仿宋" w:hAnsi="仿宋" w:eastAsia="仿宋" w:cs="仿宋"/>
          <w:color w:val="auto"/>
          <w:highlight w:val="none"/>
        </w:rPr>
      </w:pPr>
    </w:p>
    <w:p w14:paraId="0E529844">
      <w:pPr>
        <w:ind w:firstLine="480"/>
        <w:jc w:val="left"/>
        <w:rPr>
          <w:rFonts w:hint="eastAsia" w:ascii="仿宋" w:hAnsi="仿宋" w:eastAsia="仿宋" w:cs="仿宋"/>
          <w:color w:val="auto"/>
          <w:sz w:val="24"/>
          <w:szCs w:val="24"/>
          <w:highlight w:val="none"/>
        </w:rPr>
      </w:pPr>
    </w:p>
    <w:bookmarkEnd w:id="57"/>
    <w:p w14:paraId="38AF34BA">
      <w:pPr>
        <w:pStyle w:val="2"/>
        <w:numPr>
          <w:ilvl w:val="0"/>
          <w:numId w:val="2"/>
        </w:numPr>
        <w:spacing w:line="240" w:lineRule="auto"/>
        <w:ind w:firstLine="883"/>
        <w:jc w:val="center"/>
        <w:rPr>
          <w:rFonts w:hint="eastAsia" w:ascii="仿宋" w:hAnsi="仿宋" w:eastAsia="仿宋" w:cs="仿宋"/>
          <w:color w:val="auto"/>
          <w:highlight w:val="none"/>
        </w:rPr>
      </w:pPr>
      <w:bookmarkStart w:id="66" w:name="_Toc76462327"/>
      <w:bookmarkStart w:id="67" w:name="_Toc106030882"/>
      <w:bookmarkStart w:id="68" w:name="_Toc183783138"/>
      <w:r>
        <w:rPr>
          <w:rFonts w:hint="eastAsia" w:ascii="仿宋" w:hAnsi="仿宋" w:eastAsia="仿宋" w:cs="仿宋"/>
          <w:color w:val="auto"/>
          <w:highlight w:val="none"/>
        </w:rPr>
        <w:t>项目商务需求</w:t>
      </w:r>
      <w:bookmarkEnd w:id="66"/>
      <w:bookmarkEnd w:id="67"/>
      <w:bookmarkEnd w:id="68"/>
    </w:p>
    <w:p w14:paraId="34869338">
      <w:pPr>
        <w:ind w:firstLine="482"/>
        <w:rPr>
          <w:rFonts w:hint="eastAsia" w:ascii="仿宋" w:hAnsi="仿宋" w:eastAsia="仿宋" w:cs="仿宋"/>
          <w:color w:val="auto"/>
          <w:highlight w:val="none"/>
        </w:rPr>
      </w:pPr>
      <w:r>
        <w:rPr>
          <w:rFonts w:hint="eastAsia" w:ascii="仿宋" w:hAnsi="仿宋" w:eastAsia="仿宋" w:cs="仿宋"/>
          <w:b/>
          <w:bCs/>
          <w:color w:val="auto"/>
          <w:sz w:val="24"/>
          <w:szCs w:val="24"/>
          <w:highlight w:val="none"/>
          <w:u w:val="single"/>
        </w:rPr>
        <w:t>本篇商务需求为符合性审查中的实质性要求，响应文件若不满足按无效投标处理。</w:t>
      </w:r>
    </w:p>
    <w:p w14:paraId="29CAA868">
      <w:pPr>
        <w:pStyle w:val="3"/>
        <w:spacing w:line="240" w:lineRule="auto"/>
        <w:ind w:firstLine="643"/>
        <w:rPr>
          <w:rFonts w:hint="eastAsia" w:ascii="仿宋" w:hAnsi="仿宋" w:eastAsia="仿宋" w:cs="仿宋"/>
          <w:color w:val="auto"/>
          <w:highlight w:val="none"/>
        </w:rPr>
      </w:pPr>
      <w:bookmarkStart w:id="69" w:name="_Toc76462328"/>
      <w:bookmarkStart w:id="70" w:name="_Toc183783139"/>
      <w:bookmarkStart w:id="71" w:name="_Toc106030883"/>
      <w:bookmarkStart w:id="72" w:name="_Toc344475120"/>
      <w:r>
        <w:rPr>
          <w:rFonts w:hint="eastAsia" w:ascii="仿宋" w:hAnsi="仿宋" w:eastAsia="仿宋" w:cs="仿宋"/>
          <w:color w:val="auto"/>
          <w:highlight w:val="none"/>
        </w:rPr>
        <w:t>一、服务期、地点及验收方式</w:t>
      </w:r>
      <w:bookmarkEnd w:id="69"/>
      <w:bookmarkEnd w:id="70"/>
      <w:bookmarkEnd w:id="71"/>
      <w:bookmarkEnd w:id="72"/>
    </w:p>
    <w:p w14:paraId="5F42DDAC">
      <w:pPr>
        <w:ind w:firstLine="480"/>
        <w:rPr>
          <w:rFonts w:hint="eastAsia" w:ascii="仿宋" w:hAnsi="仿宋" w:eastAsia="仿宋" w:cs="仿宋"/>
          <w:color w:val="auto"/>
          <w:sz w:val="24"/>
          <w:szCs w:val="18"/>
          <w:highlight w:val="none"/>
        </w:rPr>
      </w:pPr>
      <w:bookmarkStart w:id="73" w:name="_Toc344475121"/>
      <w:bookmarkStart w:id="74" w:name="_Toc106030884"/>
      <w:bookmarkStart w:id="75" w:name="_Toc76462329"/>
      <w:r>
        <w:rPr>
          <w:rFonts w:hint="eastAsia" w:ascii="仿宋" w:hAnsi="仿宋" w:eastAsia="仿宋" w:cs="仿宋"/>
          <w:color w:val="auto"/>
          <w:sz w:val="24"/>
          <w:szCs w:val="18"/>
          <w:highlight w:val="none"/>
        </w:rPr>
        <w:t>（一）服务期：</w:t>
      </w:r>
      <w:bookmarkStart w:id="76" w:name="_Hlk187327333"/>
      <w:r>
        <w:rPr>
          <w:rFonts w:hint="eastAsia" w:ascii="仿宋" w:hAnsi="仿宋" w:eastAsia="仿宋" w:cs="仿宋"/>
          <w:color w:val="auto"/>
          <w:sz w:val="24"/>
          <w:szCs w:val="18"/>
          <w:highlight w:val="none"/>
        </w:rPr>
        <w:t>中标次日签订服务合同，并于</w:t>
      </w:r>
      <w:r>
        <w:rPr>
          <w:rFonts w:hint="eastAsia" w:ascii="仿宋" w:hAnsi="仿宋" w:eastAsia="仿宋" w:cs="仿宋"/>
          <w:color w:val="auto"/>
          <w:sz w:val="24"/>
          <w:szCs w:val="18"/>
          <w:highlight w:val="none"/>
          <w:lang w:val="en-US" w:eastAsia="zh-CN"/>
        </w:rPr>
        <w:t>1</w:t>
      </w:r>
      <w:r>
        <w:rPr>
          <w:rFonts w:hint="eastAsia" w:ascii="仿宋" w:hAnsi="仿宋" w:eastAsia="仿宋" w:cs="仿宋"/>
          <w:color w:val="auto"/>
          <w:sz w:val="24"/>
          <w:szCs w:val="18"/>
          <w:highlight w:val="none"/>
        </w:rPr>
        <w:t>0个工作日内出具正式报告。</w:t>
      </w:r>
      <w:bookmarkEnd w:id="76"/>
    </w:p>
    <w:p w14:paraId="70C8BB12">
      <w:pPr>
        <w:ind w:firstLine="48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（二）服务地点：采购人指定地点。</w:t>
      </w:r>
    </w:p>
    <w:p w14:paraId="099F4004">
      <w:pPr>
        <w:pStyle w:val="3"/>
        <w:spacing w:line="240" w:lineRule="auto"/>
        <w:ind w:firstLine="643"/>
        <w:rPr>
          <w:rFonts w:hint="eastAsia" w:ascii="仿宋" w:hAnsi="仿宋" w:eastAsia="仿宋" w:cs="仿宋"/>
          <w:color w:val="auto"/>
          <w:highlight w:val="none"/>
        </w:rPr>
      </w:pPr>
      <w:bookmarkStart w:id="77" w:name="_Toc183783140"/>
      <w:r>
        <w:rPr>
          <w:rFonts w:hint="eastAsia" w:ascii="仿宋" w:hAnsi="仿宋" w:eastAsia="仿宋" w:cs="仿宋"/>
          <w:color w:val="auto"/>
          <w:highlight w:val="none"/>
        </w:rPr>
        <w:t>二、</w:t>
      </w:r>
      <w:bookmarkEnd w:id="73"/>
      <w:r>
        <w:rPr>
          <w:rFonts w:hint="eastAsia" w:ascii="仿宋" w:hAnsi="仿宋" w:eastAsia="仿宋" w:cs="仿宋"/>
          <w:color w:val="auto"/>
          <w:highlight w:val="none"/>
        </w:rPr>
        <w:t>报价要求</w:t>
      </w:r>
      <w:bookmarkEnd w:id="74"/>
      <w:bookmarkEnd w:id="75"/>
      <w:bookmarkEnd w:id="77"/>
    </w:p>
    <w:p w14:paraId="45247D87">
      <w:pPr>
        <w:ind w:firstLine="480" w:firstLineChars="200"/>
        <w:jc w:val="left"/>
        <w:rPr>
          <w:rFonts w:hint="default" w:ascii="仿宋" w:hAnsi="仿宋" w:eastAsia="仿宋" w:cs="仿宋"/>
          <w:color w:val="auto"/>
          <w:sz w:val="24"/>
          <w:szCs w:val="18"/>
          <w:highlight w:val="none"/>
          <w:lang w:val="en-US" w:eastAsia="zh-CN"/>
        </w:rPr>
      </w:pPr>
      <w:r>
        <w:rPr>
          <w:rFonts w:hint="eastAsia" w:ascii="仿宋" w:hAnsi="仿宋" w:eastAsia="仿宋" w:cs="仿宋"/>
          <w:color w:val="auto"/>
          <w:sz w:val="24"/>
          <w:szCs w:val="18"/>
          <w:highlight w:val="none"/>
          <w:lang w:eastAsia="zh-CN"/>
        </w:rPr>
        <w:t>供应商按照总价报价，报价包括完成本项目所需的服务费、人工费及提供服务所需的设备或货物购买（制造）费、交通食宿费、培训费、保险费及各种应纳的税费。因成交供应商自身原因造成漏报、少报皆由其自行承担责任，采购人不再补偿。</w:t>
      </w:r>
    </w:p>
    <w:p w14:paraId="47010A5E">
      <w:pPr>
        <w:pStyle w:val="3"/>
        <w:spacing w:line="240" w:lineRule="auto"/>
        <w:ind w:firstLine="643"/>
        <w:rPr>
          <w:rFonts w:hint="eastAsia" w:ascii="仿宋" w:hAnsi="仿宋" w:eastAsia="仿宋" w:cs="仿宋"/>
          <w:color w:val="auto"/>
          <w:highlight w:val="none"/>
        </w:rPr>
      </w:pPr>
      <w:r>
        <w:rPr>
          <w:rFonts w:hint="eastAsia" w:ascii="仿宋" w:hAnsi="仿宋" w:eastAsia="仿宋" w:cs="仿宋"/>
          <w:b/>
          <w:color w:val="auto"/>
          <w:sz w:val="32"/>
          <w:highlight w:val="none"/>
        </w:rPr>
        <w:t>三、</w:t>
      </w:r>
      <w:bookmarkStart w:id="78" w:name="_Toc183783141"/>
      <w:r>
        <w:rPr>
          <w:rFonts w:hint="eastAsia" w:ascii="仿宋" w:hAnsi="仿宋" w:eastAsia="仿宋" w:cs="仿宋"/>
          <w:color w:val="auto"/>
          <w:highlight w:val="none"/>
        </w:rPr>
        <w:t>付款方式</w:t>
      </w:r>
      <w:bookmarkEnd w:id="78"/>
    </w:p>
    <w:p w14:paraId="313DD37E">
      <w:pPr>
        <w:ind w:firstLine="480" w:firstLineChars="200"/>
        <w:jc w:val="left"/>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lang w:val="en-US" w:eastAsia="zh-CN"/>
        </w:rPr>
        <w:t>供应商进场后支付至总合同金额的50%，供应商出具正式报告且验收合格，并开具总合同金额且合法的增值税专用发票后，支付至总合同金额的100%</w:t>
      </w:r>
      <w:r>
        <w:rPr>
          <w:rFonts w:hint="eastAsia" w:ascii="仿宋" w:hAnsi="仿宋" w:eastAsia="仿宋" w:cs="仿宋"/>
          <w:color w:val="auto"/>
          <w:sz w:val="24"/>
          <w:szCs w:val="18"/>
          <w:highlight w:val="none"/>
          <w:lang w:eastAsia="zh-CN"/>
        </w:rPr>
        <w:t>。</w:t>
      </w:r>
    </w:p>
    <w:p w14:paraId="20EC3C6C">
      <w:pPr>
        <w:pStyle w:val="3"/>
        <w:shd w:val="clear"/>
        <w:spacing w:line="240" w:lineRule="auto"/>
        <w:ind w:firstLine="643"/>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四、知识产权</w:t>
      </w:r>
    </w:p>
    <w:p w14:paraId="63321113">
      <w:pPr>
        <w:shd w:val="clear"/>
        <w:ind w:firstLine="480" w:firstLineChars="200"/>
        <w:jc w:val="left"/>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采购人在中华人民共和国境内使用供应商提供的货物及服务时免受第三方提出的侵犯其专利权或其它知识产权的起诉。如果第三方提出侵权指控，中标人应承担由此而引起的一切法律责任和费用。</w:t>
      </w:r>
    </w:p>
    <w:p w14:paraId="7E9AD369">
      <w:pPr>
        <w:pStyle w:val="3"/>
        <w:shd w:val="clear"/>
        <w:spacing w:line="240" w:lineRule="auto"/>
        <w:ind w:firstLine="643"/>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五</w:t>
      </w:r>
      <w:r>
        <w:rPr>
          <w:rFonts w:hint="eastAsia" w:ascii="仿宋" w:hAnsi="仿宋" w:eastAsia="仿宋" w:cs="仿宋"/>
          <w:color w:val="auto"/>
          <w:highlight w:val="none"/>
        </w:rPr>
        <w:t>、其他商务要求内容</w:t>
      </w:r>
    </w:p>
    <w:p w14:paraId="62AF1573">
      <w:pPr>
        <w:pStyle w:val="2"/>
        <w:spacing w:line="24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b w:val="0"/>
          <w:color w:val="auto"/>
          <w:kern w:val="2"/>
          <w:sz w:val="24"/>
          <w:szCs w:val="18"/>
          <w:highlight w:val="none"/>
          <w:lang w:val="en-US" w:eastAsia="zh-CN" w:bidi="ar-SA"/>
        </w:rPr>
        <w:t>其他未尽事宜由供需双方在合同中约定。</w:t>
      </w:r>
      <w:r>
        <w:rPr>
          <w:rFonts w:hint="eastAsia" w:ascii="仿宋" w:hAnsi="仿宋" w:eastAsia="仿宋" w:cs="仿宋"/>
          <w:color w:val="auto"/>
          <w:sz w:val="24"/>
          <w:szCs w:val="24"/>
          <w:highlight w:val="none"/>
        </w:rPr>
        <w:br w:type="page"/>
      </w:r>
      <w:bookmarkStart w:id="79" w:name="_Toc109836389"/>
      <w:bookmarkStart w:id="80" w:name="_Toc183783144"/>
      <w:r>
        <w:rPr>
          <w:rFonts w:hint="eastAsia" w:ascii="仿宋" w:hAnsi="仿宋" w:eastAsia="仿宋" w:cs="仿宋"/>
          <w:color w:val="auto"/>
          <w:sz w:val="40"/>
          <w:szCs w:val="18"/>
          <w:highlight w:val="none"/>
        </w:rPr>
        <w:t>第四篇  竞采程序、评标办法</w:t>
      </w:r>
      <w:bookmarkEnd w:id="79"/>
      <w:r>
        <w:rPr>
          <w:rFonts w:hint="eastAsia" w:ascii="仿宋" w:hAnsi="仿宋" w:eastAsia="仿宋" w:cs="仿宋"/>
          <w:color w:val="auto"/>
          <w:sz w:val="40"/>
          <w:szCs w:val="18"/>
          <w:highlight w:val="none"/>
        </w:rPr>
        <w:t>、无效响应及采购终止</w:t>
      </w:r>
      <w:bookmarkEnd w:id="80"/>
    </w:p>
    <w:p w14:paraId="71D6C48D">
      <w:pPr>
        <w:pStyle w:val="3"/>
        <w:spacing w:line="240" w:lineRule="auto"/>
        <w:ind w:firstLine="643"/>
        <w:rPr>
          <w:rFonts w:hint="eastAsia" w:ascii="仿宋" w:hAnsi="仿宋" w:eastAsia="仿宋" w:cs="仿宋"/>
          <w:color w:val="auto"/>
          <w:highlight w:val="none"/>
        </w:rPr>
      </w:pPr>
      <w:bookmarkStart w:id="81" w:name="_Toc10124"/>
      <w:bookmarkStart w:id="82" w:name="_Toc183783145"/>
      <w:r>
        <w:rPr>
          <w:rFonts w:hint="eastAsia" w:ascii="仿宋" w:hAnsi="仿宋" w:eastAsia="仿宋" w:cs="仿宋"/>
          <w:color w:val="auto"/>
          <w:highlight w:val="none"/>
        </w:rPr>
        <w:t>一、</w:t>
      </w:r>
      <w:bookmarkEnd w:id="81"/>
      <w:bookmarkStart w:id="83" w:name="_Toc75793518"/>
      <w:r>
        <w:rPr>
          <w:rFonts w:hint="eastAsia" w:ascii="仿宋" w:hAnsi="仿宋" w:eastAsia="仿宋" w:cs="仿宋"/>
          <w:color w:val="auto"/>
          <w:highlight w:val="none"/>
        </w:rPr>
        <w:t>网上竞采程序</w:t>
      </w:r>
      <w:bookmarkEnd w:id="82"/>
      <w:bookmarkEnd w:id="83"/>
    </w:p>
    <w:p w14:paraId="573F4504">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（一）报价截止后评审小组对各供应商的资格条件、响应文件的有效性、完整性和响应程度进行审查。各供应商只有在完全符合要求的前提下，才能参与正式评审。</w:t>
      </w:r>
    </w:p>
    <w:p w14:paraId="31478498">
      <w:pPr>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1.资格性检查。</w:t>
      </w:r>
      <w:r>
        <w:rPr>
          <w:rFonts w:hint="eastAsia" w:ascii="仿宋" w:hAnsi="仿宋" w:eastAsia="仿宋" w:cs="仿宋"/>
          <w:color w:val="auto"/>
          <w:sz w:val="24"/>
          <w:szCs w:val="24"/>
          <w:highlight w:val="none"/>
        </w:rPr>
        <w:t>依据法律法规和采购文件的规定，对响应文件中的资格证明等进行审查，以确定供应商是否具备资格。资格性检查资料表如下：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7354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1FB68267">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685" w:type="dxa"/>
            <w:gridSpan w:val="2"/>
            <w:vAlign w:val="center"/>
          </w:tcPr>
          <w:p w14:paraId="37B57253">
            <w:pPr>
              <w:ind w:firstLine="48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检查因素</w:t>
            </w:r>
          </w:p>
        </w:tc>
        <w:tc>
          <w:tcPr>
            <w:tcW w:w="5155" w:type="dxa"/>
            <w:vAlign w:val="center"/>
          </w:tcPr>
          <w:p w14:paraId="46EFA9E0">
            <w:pPr>
              <w:ind w:firstLine="48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检查内容</w:t>
            </w:r>
          </w:p>
        </w:tc>
      </w:tr>
      <w:tr w14:paraId="6517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194B8E1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09" w:type="dxa"/>
            <w:vMerge w:val="restart"/>
            <w:vAlign w:val="center"/>
          </w:tcPr>
          <w:p w14:paraId="0295E457">
            <w:pPr>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zh-CN"/>
              </w:rPr>
              <w:t>应符合的基本</w:t>
            </w:r>
            <w:r>
              <w:rPr>
                <w:rFonts w:hint="eastAsia" w:ascii="仿宋" w:hAnsi="仿宋" w:eastAsia="仿宋" w:cs="仿宋"/>
                <w:color w:val="auto"/>
                <w:sz w:val="24"/>
                <w:szCs w:val="24"/>
                <w:highlight w:val="none"/>
              </w:rPr>
              <w:t>资格</w:t>
            </w:r>
            <w:r>
              <w:rPr>
                <w:rFonts w:hint="eastAsia" w:ascii="仿宋" w:hAnsi="仿宋" w:eastAsia="仿宋" w:cs="仿宋"/>
                <w:color w:val="auto"/>
                <w:sz w:val="24"/>
                <w:szCs w:val="24"/>
                <w:highlight w:val="none"/>
                <w:lang w:val="zh-CN"/>
              </w:rPr>
              <w:t>条件</w:t>
            </w:r>
          </w:p>
        </w:tc>
        <w:tc>
          <w:tcPr>
            <w:tcW w:w="2976" w:type="dxa"/>
            <w:vAlign w:val="center"/>
          </w:tcPr>
          <w:p w14:paraId="4B659FF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5155" w:type="dxa"/>
            <w:vAlign w:val="center"/>
          </w:tcPr>
          <w:p w14:paraId="14B7AA9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供应商法人营业执照（副本）或事业单位法人证书（副本）； 供应商法定代表人身份证明和法定代表人授权代表委托书。</w:t>
            </w:r>
          </w:p>
        </w:tc>
      </w:tr>
      <w:tr w14:paraId="745C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C9549A8">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16379AB5">
            <w:pPr>
              <w:ind w:firstLine="480"/>
              <w:jc w:val="left"/>
              <w:rPr>
                <w:rFonts w:hint="eastAsia" w:ascii="仿宋" w:hAnsi="仿宋" w:eastAsia="仿宋" w:cs="仿宋"/>
                <w:color w:val="auto"/>
                <w:sz w:val="24"/>
                <w:szCs w:val="24"/>
                <w:highlight w:val="none"/>
                <w:lang w:val="zh-CN"/>
              </w:rPr>
            </w:pPr>
          </w:p>
        </w:tc>
        <w:tc>
          <w:tcPr>
            <w:tcW w:w="2976" w:type="dxa"/>
            <w:vAlign w:val="center"/>
          </w:tcPr>
          <w:p w14:paraId="6E36E213">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tc>
        <w:tc>
          <w:tcPr>
            <w:tcW w:w="5155" w:type="dxa"/>
            <w:vMerge w:val="restart"/>
            <w:vAlign w:val="center"/>
          </w:tcPr>
          <w:p w14:paraId="4A8BE85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供应商提供承诺函（见格式文件）</w:t>
            </w:r>
          </w:p>
        </w:tc>
      </w:tr>
      <w:tr w14:paraId="0D5D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10BDABB1">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57705FF8">
            <w:pPr>
              <w:ind w:firstLine="480"/>
              <w:jc w:val="left"/>
              <w:rPr>
                <w:rFonts w:hint="eastAsia" w:ascii="仿宋" w:hAnsi="仿宋" w:eastAsia="仿宋" w:cs="仿宋"/>
                <w:color w:val="auto"/>
                <w:sz w:val="24"/>
                <w:szCs w:val="24"/>
                <w:highlight w:val="none"/>
                <w:lang w:val="zh-CN"/>
              </w:rPr>
            </w:pPr>
          </w:p>
        </w:tc>
        <w:tc>
          <w:tcPr>
            <w:tcW w:w="2976" w:type="dxa"/>
            <w:vAlign w:val="center"/>
          </w:tcPr>
          <w:p w14:paraId="0D1E8F8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tc>
        <w:tc>
          <w:tcPr>
            <w:tcW w:w="5155" w:type="dxa"/>
            <w:vMerge w:val="continue"/>
            <w:vAlign w:val="center"/>
          </w:tcPr>
          <w:p w14:paraId="6875E19F">
            <w:pPr>
              <w:ind w:firstLine="480"/>
              <w:jc w:val="left"/>
              <w:rPr>
                <w:rFonts w:hint="eastAsia" w:ascii="仿宋" w:hAnsi="仿宋" w:eastAsia="仿宋" w:cs="仿宋"/>
                <w:color w:val="auto"/>
                <w:sz w:val="24"/>
                <w:szCs w:val="24"/>
                <w:highlight w:val="none"/>
              </w:rPr>
            </w:pPr>
          </w:p>
        </w:tc>
      </w:tr>
      <w:tr w14:paraId="4F9F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vAlign w:val="center"/>
          </w:tcPr>
          <w:p w14:paraId="57759D96">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562B6041">
            <w:pPr>
              <w:ind w:firstLine="480"/>
              <w:jc w:val="left"/>
              <w:rPr>
                <w:rFonts w:hint="eastAsia" w:ascii="仿宋" w:hAnsi="仿宋" w:eastAsia="仿宋" w:cs="仿宋"/>
                <w:color w:val="auto"/>
                <w:sz w:val="24"/>
                <w:szCs w:val="24"/>
                <w:highlight w:val="none"/>
                <w:lang w:val="zh-CN"/>
              </w:rPr>
            </w:pPr>
          </w:p>
        </w:tc>
        <w:tc>
          <w:tcPr>
            <w:tcW w:w="2976" w:type="dxa"/>
            <w:vAlign w:val="center"/>
          </w:tcPr>
          <w:p w14:paraId="5918728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（4）有依法缴纳税收和社会保障金的良好记录</w:t>
            </w:r>
          </w:p>
        </w:tc>
        <w:tc>
          <w:tcPr>
            <w:tcW w:w="5155" w:type="dxa"/>
            <w:vMerge w:val="continue"/>
            <w:vAlign w:val="center"/>
          </w:tcPr>
          <w:p w14:paraId="19EDB75A">
            <w:pPr>
              <w:ind w:firstLine="480"/>
              <w:jc w:val="left"/>
              <w:rPr>
                <w:rFonts w:hint="eastAsia" w:ascii="仿宋" w:hAnsi="仿宋" w:eastAsia="仿宋" w:cs="仿宋"/>
                <w:color w:val="auto"/>
                <w:sz w:val="24"/>
                <w:szCs w:val="24"/>
                <w:highlight w:val="none"/>
              </w:rPr>
            </w:pPr>
          </w:p>
        </w:tc>
      </w:tr>
      <w:tr w14:paraId="29C4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3BE9837C">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0865FA0D">
            <w:pPr>
              <w:ind w:firstLine="480"/>
              <w:jc w:val="left"/>
              <w:rPr>
                <w:rFonts w:hint="eastAsia" w:ascii="仿宋" w:hAnsi="仿宋" w:eastAsia="仿宋" w:cs="仿宋"/>
                <w:color w:val="auto"/>
                <w:sz w:val="24"/>
                <w:szCs w:val="24"/>
                <w:highlight w:val="none"/>
                <w:lang w:val="zh-CN"/>
              </w:rPr>
            </w:pPr>
          </w:p>
        </w:tc>
        <w:tc>
          <w:tcPr>
            <w:tcW w:w="2976" w:type="dxa"/>
            <w:vAlign w:val="center"/>
          </w:tcPr>
          <w:p w14:paraId="4B367B92">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（5）参加政府采购活动前三年内，在经营活动中没有重大违法记录</w:t>
            </w:r>
          </w:p>
        </w:tc>
        <w:tc>
          <w:tcPr>
            <w:tcW w:w="5155" w:type="dxa"/>
            <w:vAlign w:val="center"/>
          </w:tcPr>
          <w:p w14:paraId="528B68D0">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1.供应商提供书面声明（见格式文件）；</w:t>
            </w:r>
          </w:p>
          <w:p w14:paraId="5CFCA0FC">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4AC1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669885B8">
            <w:pPr>
              <w:ind w:firstLine="480"/>
              <w:jc w:val="left"/>
              <w:rPr>
                <w:rFonts w:hint="eastAsia" w:ascii="仿宋" w:hAnsi="仿宋" w:eastAsia="仿宋" w:cs="仿宋"/>
                <w:color w:val="auto"/>
                <w:sz w:val="24"/>
                <w:szCs w:val="24"/>
                <w:highlight w:val="none"/>
              </w:rPr>
            </w:pPr>
          </w:p>
        </w:tc>
        <w:tc>
          <w:tcPr>
            <w:tcW w:w="709" w:type="dxa"/>
            <w:vMerge w:val="continue"/>
            <w:vAlign w:val="center"/>
          </w:tcPr>
          <w:p w14:paraId="044ED0F1">
            <w:pPr>
              <w:ind w:firstLine="480"/>
              <w:jc w:val="left"/>
              <w:rPr>
                <w:rFonts w:hint="eastAsia" w:ascii="仿宋" w:hAnsi="仿宋" w:eastAsia="仿宋" w:cs="仿宋"/>
                <w:color w:val="auto"/>
                <w:sz w:val="24"/>
                <w:szCs w:val="24"/>
                <w:highlight w:val="none"/>
                <w:lang w:val="zh-CN"/>
              </w:rPr>
            </w:pPr>
          </w:p>
        </w:tc>
        <w:tc>
          <w:tcPr>
            <w:tcW w:w="2976" w:type="dxa"/>
            <w:vAlign w:val="center"/>
          </w:tcPr>
          <w:p w14:paraId="5EB2730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5155" w:type="dxa"/>
            <w:vAlign w:val="center"/>
          </w:tcPr>
          <w:p w14:paraId="7EF2FC2C">
            <w:pPr>
              <w:ind w:firstLine="480"/>
              <w:jc w:val="left"/>
              <w:rPr>
                <w:rFonts w:hint="eastAsia" w:ascii="仿宋" w:hAnsi="仿宋" w:eastAsia="仿宋" w:cs="仿宋"/>
                <w:color w:val="auto"/>
                <w:sz w:val="24"/>
                <w:szCs w:val="24"/>
                <w:highlight w:val="none"/>
              </w:rPr>
            </w:pPr>
          </w:p>
        </w:tc>
      </w:tr>
      <w:tr w14:paraId="3D77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vAlign w:val="center"/>
          </w:tcPr>
          <w:p w14:paraId="6FC6C97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685" w:type="dxa"/>
            <w:gridSpan w:val="2"/>
            <w:vAlign w:val="center"/>
          </w:tcPr>
          <w:p w14:paraId="382C1ED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特定资格条件</w:t>
            </w:r>
          </w:p>
        </w:tc>
        <w:tc>
          <w:tcPr>
            <w:tcW w:w="5155" w:type="dxa"/>
            <w:vAlign w:val="center"/>
          </w:tcPr>
          <w:p w14:paraId="0FA80FED">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按第一篇“三、供应商资格条件（二）本项目的特定资格要求”的要求提交</w:t>
            </w:r>
          </w:p>
        </w:tc>
      </w:tr>
    </w:tbl>
    <w:p w14:paraId="325640E5">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32046437">
      <w:pPr>
        <w:snapToGrid w:val="0"/>
        <w:ind w:firstLine="482" w:firstLineChars="20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2.符合性检查。</w:t>
      </w:r>
      <w:r>
        <w:rPr>
          <w:rFonts w:hint="eastAsia" w:ascii="仿宋" w:hAnsi="仿宋" w:eastAsia="仿宋" w:cs="仿宋"/>
          <w:color w:val="auto"/>
          <w:kern w:val="0"/>
          <w:sz w:val="24"/>
          <w:szCs w:val="24"/>
          <w:highlight w:val="none"/>
        </w:rPr>
        <w:t>依据网上竞采文件的规定，从响应文件的有效性、完整性和对网上竞采文件的响应程度进行审查，以确定是否对网上竞采文件的实质性要求作出响应。符合性检查资料表如下：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00"/>
        <w:gridCol w:w="1884"/>
        <w:gridCol w:w="5409"/>
      </w:tblGrid>
      <w:tr w14:paraId="06D9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35" w:type="dxa"/>
            <w:vAlign w:val="center"/>
          </w:tcPr>
          <w:p w14:paraId="6D854F58">
            <w:pP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384" w:type="dxa"/>
            <w:gridSpan w:val="2"/>
            <w:vAlign w:val="center"/>
          </w:tcPr>
          <w:p w14:paraId="2E41DA1B">
            <w:pPr>
              <w:ind w:firstLine="482"/>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w:t>
            </w:r>
            <w:r>
              <w:rPr>
                <w:rFonts w:hint="eastAsia" w:ascii="仿宋" w:hAnsi="仿宋" w:eastAsia="仿宋" w:cs="仿宋"/>
                <w:b/>
                <w:bCs/>
                <w:color w:val="auto"/>
                <w:sz w:val="24"/>
                <w:szCs w:val="24"/>
                <w:highlight w:val="none"/>
              </w:rPr>
              <w:t>因素</w:t>
            </w:r>
          </w:p>
        </w:tc>
        <w:tc>
          <w:tcPr>
            <w:tcW w:w="5409" w:type="dxa"/>
            <w:vAlign w:val="center"/>
          </w:tcPr>
          <w:p w14:paraId="2F591075">
            <w:pPr>
              <w:ind w:firstLine="48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评审标准</w:t>
            </w:r>
          </w:p>
        </w:tc>
      </w:tr>
      <w:tr w14:paraId="1833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35" w:type="dxa"/>
            <w:vMerge w:val="restart"/>
            <w:vAlign w:val="center"/>
          </w:tcPr>
          <w:p w14:paraId="51AFF6B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vMerge w:val="restart"/>
            <w:vAlign w:val="center"/>
          </w:tcPr>
          <w:p w14:paraId="66984E60">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有效性</w:t>
            </w:r>
            <w:r>
              <w:rPr>
                <w:rFonts w:hint="eastAsia" w:ascii="仿宋" w:hAnsi="仿宋" w:eastAsia="仿宋" w:cs="仿宋"/>
                <w:color w:val="auto"/>
                <w:kern w:val="0"/>
                <w:sz w:val="24"/>
                <w:szCs w:val="24"/>
                <w:highlight w:val="none"/>
              </w:rPr>
              <w:t>审查</w:t>
            </w:r>
          </w:p>
        </w:tc>
        <w:tc>
          <w:tcPr>
            <w:tcW w:w="1884" w:type="dxa"/>
            <w:vAlign w:val="center"/>
          </w:tcPr>
          <w:p w14:paraId="7C03A3CB">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响应文件签署</w:t>
            </w:r>
          </w:p>
        </w:tc>
        <w:tc>
          <w:tcPr>
            <w:tcW w:w="5409" w:type="dxa"/>
            <w:vAlign w:val="center"/>
          </w:tcPr>
          <w:p w14:paraId="32AFAAAB">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highlight w:val="none"/>
              </w:rPr>
              <w:t>响应文件</w:t>
            </w:r>
            <w:r>
              <w:rPr>
                <w:rFonts w:hint="eastAsia" w:ascii="仿宋" w:hAnsi="仿宋" w:eastAsia="仿宋" w:cs="仿宋"/>
                <w:color w:val="auto"/>
                <w:sz w:val="24"/>
                <w:szCs w:val="24"/>
                <w:highlight w:val="none"/>
              </w:rPr>
              <w:t>上法定代表人或其授权代表人的签字齐全。</w:t>
            </w:r>
          </w:p>
        </w:tc>
      </w:tr>
      <w:tr w14:paraId="240D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35" w:type="dxa"/>
            <w:vMerge w:val="continue"/>
            <w:vAlign w:val="center"/>
          </w:tcPr>
          <w:p w14:paraId="7DB03F25">
            <w:pPr>
              <w:ind w:firstLine="480"/>
              <w:jc w:val="center"/>
              <w:rPr>
                <w:rFonts w:hint="eastAsia" w:ascii="仿宋" w:hAnsi="仿宋" w:eastAsia="仿宋" w:cs="仿宋"/>
                <w:color w:val="auto"/>
                <w:kern w:val="0"/>
                <w:sz w:val="24"/>
                <w:szCs w:val="24"/>
                <w:highlight w:val="none"/>
              </w:rPr>
            </w:pPr>
          </w:p>
        </w:tc>
        <w:tc>
          <w:tcPr>
            <w:tcW w:w="1500" w:type="dxa"/>
            <w:vMerge w:val="continue"/>
            <w:vAlign w:val="center"/>
          </w:tcPr>
          <w:p w14:paraId="6D735B03">
            <w:pPr>
              <w:ind w:firstLine="480"/>
              <w:rPr>
                <w:rFonts w:hint="eastAsia" w:ascii="仿宋" w:hAnsi="仿宋" w:eastAsia="仿宋" w:cs="仿宋"/>
                <w:color w:val="auto"/>
                <w:kern w:val="0"/>
                <w:sz w:val="24"/>
                <w:szCs w:val="24"/>
                <w:highlight w:val="none"/>
              </w:rPr>
            </w:pPr>
          </w:p>
        </w:tc>
        <w:tc>
          <w:tcPr>
            <w:tcW w:w="1884" w:type="dxa"/>
            <w:vAlign w:val="center"/>
          </w:tcPr>
          <w:p w14:paraId="7D77639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5409" w:type="dxa"/>
            <w:vAlign w:val="center"/>
          </w:tcPr>
          <w:p w14:paraId="6833BE04">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法定代表人身份证明及授权委托书有效，符合网上竞采文件规定的格式，签字或盖章齐全。</w:t>
            </w:r>
          </w:p>
        </w:tc>
      </w:tr>
      <w:tr w14:paraId="3AD8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35" w:type="dxa"/>
            <w:vMerge w:val="continue"/>
            <w:vAlign w:val="center"/>
          </w:tcPr>
          <w:p w14:paraId="352F35B1">
            <w:pPr>
              <w:ind w:firstLine="480"/>
              <w:jc w:val="center"/>
              <w:rPr>
                <w:rFonts w:hint="eastAsia" w:ascii="仿宋" w:hAnsi="仿宋" w:eastAsia="仿宋" w:cs="仿宋"/>
                <w:color w:val="auto"/>
                <w:kern w:val="0"/>
                <w:sz w:val="24"/>
                <w:szCs w:val="24"/>
                <w:highlight w:val="none"/>
              </w:rPr>
            </w:pPr>
          </w:p>
        </w:tc>
        <w:tc>
          <w:tcPr>
            <w:tcW w:w="1500" w:type="dxa"/>
            <w:vMerge w:val="continue"/>
            <w:vAlign w:val="center"/>
          </w:tcPr>
          <w:p w14:paraId="6F2BA7BB">
            <w:pPr>
              <w:ind w:firstLine="480"/>
              <w:rPr>
                <w:rFonts w:hint="eastAsia" w:ascii="仿宋" w:hAnsi="仿宋" w:eastAsia="仿宋" w:cs="仿宋"/>
                <w:color w:val="auto"/>
                <w:kern w:val="0"/>
                <w:sz w:val="24"/>
                <w:szCs w:val="24"/>
                <w:highlight w:val="none"/>
              </w:rPr>
            </w:pPr>
          </w:p>
        </w:tc>
        <w:tc>
          <w:tcPr>
            <w:tcW w:w="1884" w:type="dxa"/>
            <w:vAlign w:val="center"/>
          </w:tcPr>
          <w:p w14:paraId="78CEA85E">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c>
          <w:tcPr>
            <w:tcW w:w="5409" w:type="dxa"/>
            <w:vAlign w:val="center"/>
          </w:tcPr>
          <w:p w14:paraId="2B1E0CAB">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每个</w:t>
            </w:r>
            <w:r>
              <w:rPr>
                <w:rFonts w:hint="eastAsia" w:ascii="仿宋" w:hAnsi="仿宋" w:eastAsia="仿宋" w:cs="仿宋"/>
                <w:color w:val="auto"/>
                <w:sz w:val="24"/>
                <w:szCs w:val="24"/>
                <w:highlight w:val="none"/>
              </w:rPr>
              <w:t>分包</w:t>
            </w:r>
            <w:r>
              <w:rPr>
                <w:rFonts w:hint="eastAsia" w:ascii="仿宋" w:hAnsi="仿宋" w:eastAsia="仿宋" w:cs="仿宋"/>
                <w:color w:val="auto"/>
                <w:sz w:val="24"/>
                <w:szCs w:val="24"/>
                <w:highlight w:val="none"/>
                <w:lang w:val="zh-CN"/>
              </w:rPr>
              <w:t>只能有一个</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r>
      <w:tr w14:paraId="2874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35" w:type="dxa"/>
            <w:vMerge w:val="continue"/>
            <w:vAlign w:val="center"/>
          </w:tcPr>
          <w:p w14:paraId="2B221537">
            <w:pPr>
              <w:ind w:firstLine="480"/>
              <w:jc w:val="center"/>
              <w:rPr>
                <w:rFonts w:hint="eastAsia" w:ascii="仿宋" w:hAnsi="仿宋" w:eastAsia="仿宋" w:cs="仿宋"/>
                <w:color w:val="auto"/>
                <w:kern w:val="0"/>
                <w:sz w:val="24"/>
                <w:szCs w:val="24"/>
                <w:highlight w:val="none"/>
              </w:rPr>
            </w:pPr>
          </w:p>
        </w:tc>
        <w:tc>
          <w:tcPr>
            <w:tcW w:w="1500" w:type="dxa"/>
            <w:vMerge w:val="continue"/>
            <w:vAlign w:val="center"/>
          </w:tcPr>
          <w:p w14:paraId="55949D65">
            <w:pPr>
              <w:ind w:firstLine="480"/>
              <w:rPr>
                <w:rFonts w:hint="eastAsia" w:ascii="仿宋" w:hAnsi="仿宋" w:eastAsia="仿宋" w:cs="仿宋"/>
                <w:color w:val="auto"/>
                <w:kern w:val="0"/>
                <w:sz w:val="24"/>
                <w:szCs w:val="24"/>
                <w:highlight w:val="none"/>
              </w:rPr>
            </w:pPr>
          </w:p>
        </w:tc>
        <w:tc>
          <w:tcPr>
            <w:tcW w:w="1884" w:type="dxa"/>
            <w:vAlign w:val="center"/>
          </w:tcPr>
          <w:p w14:paraId="4167114B">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w:t>
            </w:r>
          </w:p>
        </w:tc>
        <w:tc>
          <w:tcPr>
            <w:tcW w:w="5409" w:type="dxa"/>
            <w:vAlign w:val="center"/>
          </w:tcPr>
          <w:p w14:paraId="2A0F4FC7">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只能在采购预算范围内报价，</w:t>
            </w:r>
            <w:r>
              <w:rPr>
                <w:rFonts w:hint="eastAsia" w:ascii="仿宋" w:hAnsi="仿宋" w:eastAsia="仿宋" w:cs="仿宋"/>
                <w:color w:val="auto"/>
                <w:sz w:val="24"/>
                <w:szCs w:val="24"/>
                <w:highlight w:val="none"/>
              </w:rPr>
              <w:t>只能有一个有效报价，不得提交选择性报价。</w:t>
            </w:r>
          </w:p>
        </w:tc>
      </w:tr>
      <w:tr w14:paraId="16B5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0E67C71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00" w:type="dxa"/>
            <w:vAlign w:val="center"/>
          </w:tcPr>
          <w:p w14:paraId="3E4D9FA9">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完整性</w:t>
            </w:r>
            <w:r>
              <w:rPr>
                <w:rFonts w:hint="eastAsia" w:ascii="仿宋" w:hAnsi="仿宋" w:eastAsia="仿宋" w:cs="仿宋"/>
                <w:color w:val="auto"/>
                <w:kern w:val="0"/>
                <w:sz w:val="24"/>
                <w:szCs w:val="24"/>
                <w:highlight w:val="none"/>
              </w:rPr>
              <w:t>审查</w:t>
            </w:r>
          </w:p>
        </w:tc>
        <w:tc>
          <w:tcPr>
            <w:tcW w:w="1884" w:type="dxa"/>
            <w:vAlign w:val="center"/>
          </w:tcPr>
          <w:p w14:paraId="42F2FC39">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文件份数</w:t>
            </w:r>
          </w:p>
        </w:tc>
        <w:tc>
          <w:tcPr>
            <w:tcW w:w="5409" w:type="dxa"/>
            <w:vAlign w:val="center"/>
          </w:tcPr>
          <w:p w14:paraId="7EC2EAC6">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响应</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zh-CN"/>
              </w:rPr>
              <w:t>数量（含电子文档）符合网上竞采文件要求。</w:t>
            </w:r>
          </w:p>
        </w:tc>
      </w:tr>
      <w:tr w14:paraId="7A70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51C0ED4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00" w:type="dxa"/>
            <w:vAlign w:val="center"/>
          </w:tcPr>
          <w:p w14:paraId="715C0E97">
            <w:pP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kern w:val="0"/>
                <w:sz w:val="24"/>
                <w:szCs w:val="24"/>
                <w:highlight w:val="none"/>
              </w:rPr>
              <w:t>程度审查</w:t>
            </w:r>
          </w:p>
        </w:tc>
        <w:tc>
          <w:tcPr>
            <w:tcW w:w="1884" w:type="dxa"/>
            <w:vAlign w:val="center"/>
          </w:tcPr>
          <w:p w14:paraId="73A8A778">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5409" w:type="dxa"/>
            <w:vAlign w:val="center"/>
          </w:tcPr>
          <w:p w14:paraId="282DA719">
            <w:pP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对网上竞采文件第二篇、第三篇规定的内容作出实质性响应。</w:t>
            </w:r>
          </w:p>
        </w:tc>
      </w:tr>
    </w:tbl>
    <w:p w14:paraId="3D21A67B">
      <w:pPr>
        <w:snapToGrid w:val="0"/>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3.评选方法：综合评分法。</w:t>
      </w:r>
    </w:p>
    <w:p w14:paraId="4EFC886F">
      <w:pPr>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综合评分法，是指响应文件满足网上竞采文件全部实质性要求且按照评审因素的量化指标评审得分最高的供应商为成交候选供应商的评审方法。供应商总得分为价格、技术、商务等评定因素分别按照相应权重值计算分项得分后相加，满分为100分。按评审后得分由高到低的排列顺序推荐综合得分排名前三的供应商为本包（项目）中标候选人，排名第一的为第一中标候选人。得分相同的，按投标报价由低到高顺序排列。得分且投标报价相同的并列。</w:t>
      </w:r>
    </w:p>
    <w:p w14:paraId="490AFCAA">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58BE6A4">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31BF619">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（四）在网上竞采过程中网上竞采的任何一方不得向他人透露与网上竞采有关的服务资料、价格或其他信息。</w:t>
      </w:r>
    </w:p>
    <w:p w14:paraId="25B894A7">
      <w:pP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（五）供应商在网上竞采时作出的所有书面承诺须由法定代表人或其授权代表签字。</w:t>
      </w:r>
    </w:p>
    <w:p w14:paraId="352B7E4C">
      <w:pPr>
        <w:pStyle w:val="3"/>
        <w:spacing w:line="240" w:lineRule="auto"/>
        <w:ind w:firstLine="643"/>
        <w:rPr>
          <w:rFonts w:hint="eastAsia" w:ascii="仿宋" w:hAnsi="仿宋" w:eastAsia="仿宋" w:cs="仿宋"/>
          <w:color w:val="auto"/>
          <w:highlight w:val="none"/>
        </w:rPr>
      </w:pPr>
      <w:bookmarkStart w:id="84" w:name="_Toc183783146"/>
      <w:r>
        <w:rPr>
          <w:rFonts w:hint="eastAsia" w:ascii="仿宋" w:hAnsi="仿宋" w:eastAsia="仿宋" w:cs="仿宋"/>
          <w:color w:val="auto"/>
          <w:highlight w:val="none"/>
        </w:rPr>
        <w:t>二、评审标准</w:t>
      </w:r>
      <w:bookmarkEnd w:id="84"/>
    </w:p>
    <w:p w14:paraId="6098F9DB">
      <w:pPr>
        <w:pStyle w:val="7"/>
        <w:ind w:firstLine="640"/>
        <w:rPr>
          <w:rFonts w:hint="eastAsia" w:ascii="仿宋" w:hAnsi="仿宋" w:eastAsia="仿宋" w:cs="仿宋"/>
          <w:color w:val="auto"/>
          <w:highlight w:val="none"/>
        </w:rPr>
      </w:pPr>
      <w:bookmarkStart w:id="85" w:name="_Hlk27399823"/>
      <w:r>
        <w:rPr>
          <w:rFonts w:hint="eastAsia" w:ascii="仿宋" w:hAnsi="仿宋" w:eastAsia="仿宋" w:cs="仿宋"/>
          <w:color w:val="auto"/>
          <w:highlight w:val="none"/>
        </w:rPr>
        <w:t>（一）评审因素</w:t>
      </w:r>
    </w:p>
    <w:tbl>
      <w:tblPr>
        <w:tblStyle w:val="20"/>
        <w:tblW w:w="8682"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219"/>
        <w:gridCol w:w="951"/>
        <w:gridCol w:w="832"/>
        <w:gridCol w:w="3742"/>
        <w:gridCol w:w="1375"/>
      </w:tblGrid>
      <w:tr w14:paraId="61BE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299C3043">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219" w:type="dxa"/>
            <w:vAlign w:val="center"/>
          </w:tcPr>
          <w:p w14:paraId="2336B8A2">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评分因素</w:t>
            </w:r>
          </w:p>
          <w:p w14:paraId="3F3C0DF4">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及权重</w:t>
            </w:r>
          </w:p>
        </w:tc>
        <w:tc>
          <w:tcPr>
            <w:tcW w:w="951" w:type="dxa"/>
            <w:vAlign w:val="center"/>
          </w:tcPr>
          <w:p w14:paraId="1E1DD091">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分值</w:t>
            </w:r>
          </w:p>
        </w:tc>
        <w:tc>
          <w:tcPr>
            <w:tcW w:w="4574" w:type="dxa"/>
            <w:gridSpan w:val="2"/>
            <w:vAlign w:val="center"/>
          </w:tcPr>
          <w:p w14:paraId="59D91F15">
            <w:pP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tc>
        <w:tc>
          <w:tcPr>
            <w:tcW w:w="1375" w:type="dxa"/>
            <w:vAlign w:val="center"/>
          </w:tcPr>
          <w:p w14:paraId="7C908700">
            <w:pPr>
              <w:pStyle w:val="26"/>
              <w:spacing w:before="0" w:after="0"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说明</w:t>
            </w:r>
          </w:p>
        </w:tc>
      </w:tr>
      <w:tr w14:paraId="0EEC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0E708C1E">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219" w:type="dxa"/>
            <w:vAlign w:val="center"/>
          </w:tcPr>
          <w:p w14:paraId="1F8827D6">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竞采报价</w:t>
            </w:r>
          </w:p>
          <w:p w14:paraId="6CD254B6">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w:t>
            </w:r>
          </w:p>
        </w:tc>
        <w:tc>
          <w:tcPr>
            <w:tcW w:w="951" w:type="dxa"/>
            <w:vAlign w:val="center"/>
          </w:tcPr>
          <w:p w14:paraId="70C822C0">
            <w:pPr>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20分</w:t>
            </w:r>
          </w:p>
        </w:tc>
        <w:tc>
          <w:tcPr>
            <w:tcW w:w="4574" w:type="dxa"/>
            <w:gridSpan w:val="2"/>
            <w:vAlign w:val="center"/>
          </w:tcPr>
          <w:p w14:paraId="66AEC922">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满足资格性、符合性要求且</w:t>
            </w:r>
            <w:r>
              <w:rPr>
                <w:rFonts w:hint="eastAsia" w:ascii="仿宋" w:hAnsi="仿宋" w:eastAsia="仿宋" w:cs="仿宋"/>
                <w:color w:val="auto"/>
                <w:sz w:val="21"/>
                <w:szCs w:val="21"/>
                <w:highlight w:val="none"/>
                <w:lang w:val="en-US" w:eastAsia="zh-CN"/>
              </w:rPr>
              <w:t>报价</w:t>
            </w:r>
            <w:r>
              <w:rPr>
                <w:rFonts w:hint="eastAsia" w:ascii="仿宋" w:hAnsi="仿宋" w:eastAsia="仿宋" w:cs="仿宋"/>
                <w:color w:val="auto"/>
                <w:sz w:val="21"/>
                <w:szCs w:val="21"/>
                <w:highlight w:val="none"/>
              </w:rPr>
              <w:t>最低为竞采基准价，其价格分为满分。其他供应商的价格分统一按照下列公式计算：</w:t>
            </w:r>
          </w:p>
          <w:p w14:paraId="654EAC2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竞采报价得分=（竞采基准价/竞采</w:t>
            </w:r>
            <w:r>
              <w:rPr>
                <w:rFonts w:hint="eastAsia" w:ascii="仿宋" w:hAnsi="仿宋" w:eastAsia="仿宋" w:cs="仿宋"/>
                <w:color w:val="auto"/>
                <w:sz w:val="21"/>
                <w:szCs w:val="21"/>
                <w:highlight w:val="none"/>
                <w:lang w:val="en-US" w:eastAsia="zh-CN"/>
              </w:rPr>
              <w:t>报价</w:t>
            </w:r>
            <w:r>
              <w:rPr>
                <w:rFonts w:hint="eastAsia" w:ascii="仿宋" w:hAnsi="仿宋" w:eastAsia="仿宋" w:cs="仿宋"/>
                <w:color w:val="auto"/>
                <w:sz w:val="21"/>
                <w:szCs w:val="21"/>
                <w:highlight w:val="none"/>
              </w:rPr>
              <w:t>）×价格权值×100（按四舍五入法保留两位小数）</w:t>
            </w:r>
          </w:p>
        </w:tc>
        <w:tc>
          <w:tcPr>
            <w:tcW w:w="1375" w:type="dxa"/>
            <w:vAlign w:val="center"/>
          </w:tcPr>
          <w:p w14:paraId="76BE2889">
            <w:pPr>
              <w:ind w:left="-3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高于预算价为无效报价</w:t>
            </w:r>
          </w:p>
        </w:tc>
      </w:tr>
      <w:tr w14:paraId="52F3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563" w:type="dxa"/>
            <w:vMerge w:val="restart"/>
            <w:vAlign w:val="center"/>
          </w:tcPr>
          <w:p w14:paraId="729D4F9F">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219" w:type="dxa"/>
            <w:vMerge w:val="restart"/>
            <w:vAlign w:val="center"/>
          </w:tcPr>
          <w:p w14:paraId="50066B01">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服务部分</w:t>
            </w:r>
          </w:p>
          <w:p w14:paraId="12068065">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0%）</w:t>
            </w:r>
          </w:p>
        </w:tc>
        <w:tc>
          <w:tcPr>
            <w:tcW w:w="951" w:type="dxa"/>
            <w:vMerge w:val="restart"/>
            <w:vAlign w:val="center"/>
          </w:tcPr>
          <w:p w14:paraId="43829E5C">
            <w:pPr>
              <w:ind w:firstLine="28"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60分</w:t>
            </w:r>
          </w:p>
        </w:tc>
        <w:tc>
          <w:tcPr>
            <w:tcW w:w="832" w:type="dxa"/>
            <w:vAlign w:val="center"/>
          </w:tcPr>
          <w:p w14:paraId="4E0FB98D">
            <w:pPr>
              <w:wordWrap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整体服务方案</w:t>
            </w:r>
          </w:p>
          <w:p w14:paraId="46A8E544">
            <w:pPr>
              <w:wordWrap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20分</w:t>
            </w:r>
            <w:r>
              <w:rPr>
                <w:rFonts w:hint="eastAsia" w:ascii="仿宋" w:hAnsi="仿宋" w:eastAsia="仿宋" w:cs="仿宋"/>
                <w:color w:val="auto"/>
                <w:sz w:val="24"/>
                <w:szCs w:val="24"/>
                <w:highlight w:val="none"/>
                <w:lang w:eastAsia="zh-CN"/>
              </w:rPr>
              <w:t>）</w:t>
            </w:r>
          </w:p>
        </w:tc>
        <w:tc>
          <w:tcPr>
            <w:tcW w:w="3742" w:type="dxa"/>
            <w:vAlign w:val="center"/>
          </w:tcPr>
          <w:p w14:paraId="4CFF32BC">
            <w:pPr>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zh-CN"/>
              </w:rPr>
              <w:t>针对本</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zh-CN"/>
              </w:rPr>
              <w:t>工作内容提供</w:t>
            </w:r>
            <w:r>
              <w:rPr>
                <w:rFonts w:hint="eastAsia" w:ascii="仿宋" w:hAnsi="仿宋" w:eastAsia="仿宋" w:cs="仿宋"/>
                <w:b/>
                <w:bCs/>
                <w:color w:val="auto"/>
                <w:sz w:val="24"/>
                <w:szCs w:val="24"/>
                <w:highlight w:val="none"/>
                <w:lang w:val="zh-CN"/>
              </w:rPr>
              <w:t>“整体服务方案”</w:t>
            </w:r>
            <w:r>
              <w:rPr>
                <w:rFonts w:hint="eastAsia" w:ascii="仿宋" w:hAnsi="仿宋" w:eastAsia="仿宋" w:cs="仿宋"/>
                <w:color w:val="auto"/>
                <w:sz w:val="24"/>
                <w:szCs w:val="24"/>
                <w:highlight w:val="none"/>
                <w:lang w:val="zh-CN"/>
              </w:rPr>
              <w:t>，</w:t>
            </w:r>
            <w:r>
              <w:rPr>
                <w:rFonts w:hint="eastAsia" w:ascii="仿宋" w:hAnsi="仿宋" w:eastAsia="仿宋" w:cs="仿宋"/>
                <w:color w:val="auto"/>
                <w:kern w:val="0"/>
                <w:sz w:val="24"/>
                <w:szCs w:val="24"/>
                <w:highlight w:val="none"/>
              </w:rPr>
              <w:t>方案</w:t>
            </w:r>
            <w:r>
              <w:rPr>
                <w:rFonts w:hint="eastAsia" w:ascii="仿宋" w:hAnsi="仿宋" w:eastAsia="仿宋" w:cs="仿宋"/>
                <w:color w:val="auto"/>
                <w:sz w:val="24"/>
                <w:szCs w:val="24"/>
                <w:highlight w:val="none"/>
              </w:rPr>
              <w:t>内容包括但不限于：</w:t>
            </w:r>
            <w:r>
              <w:rPr>
                <w:rFonts w:hint="eastAsia" w:ascii="仿宋" w:hAnsi="仿宋" w:eastAsia="仿宋" w:cs="仿宋"/>
                <w:color w:val="auto"/>
                <w:kern w:val="0"/>
                <w:sz w:val="24"/>
                <w:szCs w:val="24"/>
                <w:highlight w:val="none"/>
              </w:rPr>
              <w:t>①审计人员安排、②审计流程、③项目的重难点等。</w:t>
            </w:r>
            <w:r>
              <w:rPr>
                <w:rFonts w:hint="eastAsia" w:ascii="仿宋" w:hAnsi="仿宋" w:eastAsia="仿宋" w:cs="仿宋"/>
                <w:color w:val="auto"/>
                <w:sz w:val="24"/>
                <w:szCs w:val="24"/>
                <w:highlight w:val="none"/>
                <w:lang w:val="zh-CN"/>
              </w:rPr>
              <w:t>可从方案的合理性、完整性、针对性及可操作性等方面进行评审。</w:t>
            </w:r>
          </w:p>
          <w:p w14:paraId="25997525">
            <w:pPr>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①</w:t>
            </w:r>
            <w:r>
              <w:rPr>
                <w:rFonts w:hint="eastAsia" w:ascii="仿宋" w:hAnsi="仿宋" w:eastAsia="仿宋" w:cs="仿宋"/>
                <w:b/>
                <w:bCs/>
                <w:color w:val="auto"/>
                <w:sz w:val="24"/>
                <w:szCs w:val="24"/>
                <w:highlight w:val="none"/>
                <w:lang w:val="zh-CN"/>
              </w:rPr>
              <w:t>整体服务方案</w:t>
            </w:r>
            <w:r>
              <w:rPr>
                <w:rFonts w:hint="eastAsia" w:ascii="仿宋" w:hAnsi="仿宋" w:eastAsia="仿宋" w:cs="仿宋"/>
                <w:color w:val="auto"/>
                <w:sz w:val="24"/>
                <w:szCs w:val="24"/>
                <w:highlight w:val="none"/>
                <w:lang w:val="zh-CN"/>
              </w:rPr>
              <w:t>优（方案合理、完整性、针对性及可操作性强）得</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zh-CN"/>
              </w:rPr>
              <w:t>分；</w:t>
            </w:r>
          </w:p>
          <w:p w14:paraId="78257794">
            <w:pPr>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②</w:t>
            </w:r>
            <w:r>
              <w:rPr>
                <w:rFonts w:hint="eastAsia" w:ascii="仿宋" w:hAnsi="仿宋" w:eastAsia="仿宋" w:cs="仿宋"/>
                <w:b/>
                <w:bCs/>
                <w:color w:val="auto"/>
                <w:sz w:val="24"/>
                <w:szCs w:val="24"/>
                <w:highlight w:val="none"/>
                <w:lang w:val="zh-CN"/>
              </w:rPr>
              <w:t>整体服务方案</w:t>
            </w:r>
            <w:r>
              <w:rPr>
                <w:rFonts w:hint="eastAsia" w:ascii="仿宋" w:hAnsi="仿宋" w:eastAsia="仿宋" w:cs="仿宋"/>
                <w:color w:val="auto"/>
                <w:sz w:val="24"/>
                <w:szCs w:val="24"/>
                <w:highlight w:val="none"/>
                <w:lang w:val="zh-CN"/>
              </w:rPr>
              <w:t>良（方案合理、完整性、针对性及可操作性较强）得</w:t>
            </w: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val="zh-CN"/>
              </w:rPr>
              <w:t>分；</w:t>
            </w:r>
          </w:p>
          <w:p w14:paraId="00F86D29">
            <w:pPr>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③</w:t>
            </w:r>
            <w:r>
              <w:rPr>
                <w:rFonts w:hint="eastAsia" w:ascii="仿宋" w:hAnsi="仿宋" w:eastAsia="仿宋" w:cs="仿宋"/>
                <w:b/>
                <w:bCs/>
                <w:color w:val="auto"/>
                <w:sz w:val="24"/>
                <w:szCs w:val="24"/>
                <w:highlight w:val="none"/>
                <w:lang w:val="zh-CN"/>
              </w:rPr>
              <w:t>整体服务方案</w:t>
            </w:r>
            <w:r>
              <w:rPr>
                <w:rFonts w:hint="eastAsia" w:ascii="仿宋" w:hAnsi="仿宋" w:eastAsia="仿宋" w:cs="仿宋"/>
                <w:color w:val="auto"/>
                <w:sz w:val="24"/>
                <w:szCs w:val="24"/>
                <w:highlight w:val="none"/>
                <w:lang w:val="zh-CN"/>
              </w:rPr>
              <w:t>一般（方案合理、完整性、针对性及可操作性一般）得</w:t>
            </w: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lang w:val="zh-CN"/>
              </w:rPr>
              <w:t>分；</w:t>
            </w:r>
          </w:p>
          <w:p w14:paraId="49B47479">
            <w:pPr>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④</w:t>
            </w:r>
            <w:r>
              <w:rPr>
                <w:rFonts w:hint="eastAsia" w:ascii="仿宋" w:hAnsi="仿宋" w:eastAsia="仿宋" w:cs="仿宋"/>
                <w:b/>
                <w:bCs/>
                <w:color w:val="auto"/>
                <w:sz w:val="24"/>
                <w:szCs w:val="24"/>
                <w:highlight w:val="none"/>
                <w:lang w:val="zh-CN"/>
              </w:rPr>
              <w:t>整体服务方案</w:t>
            </w:r>
            <w:r>
              <w:rPr>
                <w:rFonts w:hint="eastAsia" w:ascii="仿宋" w:hAnsi="仿宋" w:eastAsia="仿宋" w:cs="仿宋"/>
                <w:color w:val="auto"/>
                <w:sz w:val="24"/>
                <w:szCs w:val="24"/>
                <w:highlight w:val="none"/>
                <w:lang w:val="zh-CN"/>
              </w:rPr>
              <w:t>差（方案不合理、不完整、没有针对性及可操作性）得</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分；</w:t>
            </w:r>
          </w:p>
          <w:p w14:paraId="65849D5C">
            <w:pPr>
              <w:wordWrap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⑤</w:t>
            </w:r>
            <w:r>
              <w:rPr>
                <w:rFonts w:hint="eastAsia" w:ascii="仿宋" w:hAnsi="仿宋" w:eastAsia="仿宋" w:cs="仿宋"/>
                <w:b/>
                <w:bCs/>
                <w:color w:val="auto"/>
                <w:sz w:val="24"/>
                <w:szCs w:val="24"/>
                <w:highlight w:val="none"/>
                <w:lang w:val="zh-CN"/>
              </w:rPr>
              <w:t>整体服务方案</w:t>
            </w:r>
            <w:r>
              <w:rPr>
                <w:rFonts w:hint="eastAsia" w:ascii="仿宋" w:hAnsi="仿宋" w:eastAsia="仿宋" w:cs="仿宋"/>
                <w:color w:val="auto"/>
                <w:sz w:val="24"/>
                <w:szCs w:val="24"/>
                <w:highlight w:val="none"/>
                <w:lang w:val="zh-CN"/>
              </w:rPr>
              <w:t>未提供得0分。</w:t>
            </w:r>
          </w:p>
        </w:tc>
        <w:tc>
          <w:tcPr>
            <w:tcW w:w="1375" w:type="dxa"/>
            <w:vMerge w:val="restart"/>
            <w:vAlign w:val="center"/>
          </w:tcPr>
          <w:p w14:paraId="777EB05F">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供应商在响应文件中提供方案，格式自拟</w:t>
            </w:r>
          </w:p>
        </w:tc>
      </w:tr>
      <w:tr w14:paraId="6296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trPr>
        <w:tc>
          <w:tcPr>
            <w:tcW w:w="563" w:type="dxa"/>
            <w:vMerge w:val="continue"/>
            <w:vAlign w:val="center"/>
          </w:tcPr>
          <w:p w14:paraId="124E8AD3">
            <w:pPr>
              <w:rPr>
                <w:rFonts w:hint="eastAsia" w:ascii="仿宋" w:hAnsi="仿宋" w:eastAsia="仿宋" w:cs="仿宋"/>
                <w:color w:val="auto"/>
                <w:highlight w:val="none"/>
              </w:rPr>
            </w:pPr>
          </w:p>
        </w:tc>
        <w:tc>
          <w:tcPr>
            <w:tcW w:w="1219" w:type="dxa"/>
            <w:vMerge w:val="continue"/>
            <w:vAlign w:val="center"/>
          </w:tcPr>
          <w:p w14:paraId="7A6E6B7E">
            <w:pPr>
              <w:rPr>
                <w:rFonts w:hint="eastAsia" w:ascii="仿宋" w:hAnsi="仿宋" w:eastAsia="仿宋" w:cs="仿宋"/>
                <w:color w:val="auto"/>
                <w:highlight w:val="none"/>
              </w:rPr>
            </w:pPr>
          </w:p>
        </w:tc>
        <w:tc>
          <w:tcPr>
            <w:tcW w:w="951" w:type="dxa"/>
            <w:vMerge w:val="continue"/>
            <w:vAlign w:val="center"/>
          </w:tcPr>
          <w:p w14:paraId="6346C956">
            <w:pPr>
              <w:rPr>
                <w:rFonts w:hint="eastAsia" w:ascii="仿宋" w:hAnsi="仿宋" w:eastAsia="仿宋" w:cs="仿宋"/>
                <w:color w:val="auto"/>
                <w:highlight w:val="none"/>
              </w:rPr>
            </w:pPr>
          </w:p>
        </w:tc>
        <w:tc>
          <w:tcPr>
            <w:tcW w:w="832" w:type="dxa"/>
            <w:vAlign w:val="center"/>
          </w:tcPr>
          <w:p w14:paraId="7CC96EA3">
            <w:pPr>
              <w:wordWrap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进度计划方案</w:t>
            </w:r>
          </w:p>
          <w:p w14:paraId="0C7E871D">
            <w:pPr>
              <w:wordWrap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tc>
        <w:tc>
          <w:tcPr>
            <w:tcW w:w="3742" w:type="dxa"/>
            <w:vAlign w:val="center"/>
          </w:tcPr>
          <w:p w14:paraId="6892E5F6">
            <w:pPr>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zh-CN"/>
              </w:rPr>
              <w:t>针对本</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zh-CN"/>
              </w:rPr>
              <w:t>工作内容提供</w:t>
            </w:r>
            <w:r>
              <w:rPr>
                <w:rFonts w:hint="eastAsia" w:ascii="仿宋" w:hAnsi="仿宋" w:eastAsia="仿宋" w:cs="仿宋"/>
                <w:b/>
                <w:bCs/>
                <w:color w:val="auto"/>
                <w:sz w:val="24"/>
                <w:szCs w:val="24"/>
                <w:highlight w:val="none"/>
                <w:lang w:val="zh-CN"/>
              </w:rPr>
              <w:t>“进度计划方案”</w:t>
            </w:r>
            <w:r>
              <w:rPr>
                <w:rFonts w:hint="eastAsia" w:ascii="仿宋" w:hAnsi="仿宋" w:eastAsia="仿宋" w:cs="仿宋"/>
                <w:color w:val="auto"/>
                <w:sz w:val="24"/>
                <w:szCs w:val="24"/>
                <w:highlight w:val="none"/>
                <w:lang w:val="zh-CN"/>
              </w:rPr>
              <w:t>，</w:t>
            </w:r>
            <w:r>
              <w:rPr>
                <w:rFonts w:hint="eastAsia" w:ascii="仿宋" w:hAnsi="仿宋" w:eastAsia="仿宋" w:cs="仿宋"/>
                <w:color w:val="auto"/>
                <w:kern w:val="0"/>
                <w:sz w:val="24"/>
                <w:szCs w:val="24"/>
                <w:highlight w:val="none"/>
              </w:rPr>
              <w:t>方案</w:t>
            </w:r>
            <w:r>
              <w:rPr>
                <w:rFonts w:hint="eastAsia" w:ascii="仿宋" w:hAnsi="仿宋" w:eastAsia="仿宋" w:cs="仿宋"/>
                <w:color w:val="auto"/>
                <w:sz w:val="24"/>
                <w:szCs w:val="24"/>
                <w:highlight w:val="none"/>
              </w:rPr>
              <w:t>内容包括但不限于：</w:t>
            </w:r>
            <w:r>
              <w:rPr>
                <w:rFonts w:hint="eastAsia" w:ascii="仿宋" w:hAnsi="仿宋" w:eastAsia="仿宋" w:cs="仿宋"/>
                <w:color w:val="auto"/>
                <w:kern w:val="0"/>
                <w:sz w:val="24"/>
                <w:szCs w:val="24"/>
                <w:highlight w:val="none"/>
              </w:rPr>
              <w:t>①整体进度计划、②各时间节点安排等。</w:t>
            </w:r>
            <w:r>
              <w:rPr>
                <w:rFonts w:hint="eastAsia" w:ascii="仿宋" w:hAnsi="仿宋" w:eastAsia="仿宋" w:cs="仿宋"/>
                <w:color w:val="auto"/>
                <w:sz w:val="24"/>
                <w:szCs w:val="24"/>
                <w:highlight w:val="none"/>
                <w:lang w:val="zh-CN"/>
              </w:rPr>
              <w:t>可从方案的合理性、完整性、针对性及可操作性等方面进行评审。</w:t>
            </w:r>
          </w:p>
          <w:p w14:paraId="2EAFDB7C">
            <w:pPr>
              <w:numPr>
                <w:ilvl w:val="-1"/>
                <w:numId w:val="0"/>
              </w:numPr>
              <w:snapToGrid w:val="0"/>
              <w:ind w:left="0" w:firstLine="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①</w:t>
            </w:r>
            <w:r>
              <w:rPr>
                <w:rFonts w:hint="eastAsia" w:ascii="仿宋" w:hAnsi="仿宋" w:eastAsia="仿宋" w:cs="仿宋"/>
                <w:b/>
                <w:bCs/>
                <w:color w:val="auto"/>
                <w:sz w:val="24"/>
                <w:szCs w:val="24"/>
                <w:highlight w:val="none"/>
                <w:lang w:val="zh-CN"/>
              </w:rPr>
              <w:t>进度计划方案</w:t>
            </w:r>
            <w:r>
              <w:rPr>
                <w:rFonts w:hint="eastAsia" w:ascii="仿宋" w:hAnsi="仿宋" w:eastAsia="仿宋" w:cs="仿宋"/>
                <w:color w:val="auto"/>
                <w:sz w:val="24"/>
                <w:szCs w:val="24"/>
                <w:highlight w:val="none"/>
                <w:lang w:val="zh-CN"/>
              </w:rPr>
              <w:t>优（方案合理、完整性、针对性及可操作性强）得</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val="zh-CN"/>
              </w:rPr>
              <w:t>分；</w:t>
            </w:r>
          </w:p>
          <w:p w14:paraId="0F64DB4A">
            <w:pPr>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②</w:t>
            </w:r>
            <w:r>
              <w:rPr>
                <w:rFonts w:hint="eastAsia" w:ascii="仿宋" w:hAnsi="仿宋" w:eastAsia="仿宋" w:cs="仿宋"/>
                <w:b/>
                <w:bCs/>
                <w:color w:val="auto"/>
                <w:sz w:val="24"/>
                <w:szCs w:val="24"/>
                <w:highlight w:val="none"/>
                <w:lang w:val="zh-CN"/>
              </w:rPr>
              <w:t>进度计划方案</w:t>
            </w:r>
            <w:r>
              <w:rPr>
                <w:rFonts w:hint="eastAsia" w:ascii="仿宋" w:hAnsi="仿宋" w:eastAsia="仿宋" w:cs="仿宋"/>
                <w:color w:val="auto"/>
                <w:sz w:val="24"/>
                <w:szCs w:val="24"/>
                <w:highlight w:val="none"/>
                <w:lang w:val="zh-CN"/>
              </w:rPr>
              <w:t>良（方案合理、完整性、针对性及可操作性较强）得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val="zh-CN"/>
              </w:rPr>
              <w:t>分；</w:t>
            </w:r>
          </w:p>
          <w:p w14:paraId="67E3DE3E">
            <w:pPr>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③</w:t>
            </w:r>
            <w:r>
              <w:rPr>
                <w:rFonts w:hint="eastAsia" w:ascii="仿宋" w:hAnsi="仿宋" w:eastAsia="仿宋" w:cs="仿宋"/>
                <w:b/>
                <w:bCs/>
                <w:color w:val="auto"/>
                <w:sz w:val="24"/>
                <w:szCs w:val="24"/>
                <w:highlight w:val="none"/>
                <w:lang w:val="zh-CN"/>
              </w:rPr>
              <w:t>进度计划方案</w:t>
            </w:r>
            <w:r>
              <w:rPr>
                <w:rFonts w:hint="eastAsia" w:ascii="仿宋" w:hAnsi="仿宋" w:eastAsia="仿宋" w:cs="仿宋"/>
                <w:color w:val="auto"/>
                <w:sz w:val="24"/>
                <w:szCs w:val="24"/>
                <w:highlight w:val="none"/>
                <w:lang w:val="zh-CN"/>
              </w:rPr>
              <w:t>一般（方案合理、完整性、针对性及可操作性一般）得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val="zh-CN"/>
              </w:rPr>
              <w:t>分；</w:t>
            </w:r>
          </w:p>
          <w:p w14:paraId="7EEF43EE">
            <w:pPr>
              <w:snapToGrid w:val="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④</w:t>
            </w:r>
            <w:r>
              <w:rPr>
                <w:rFonts w:hint="eastAsia" w:ascii="仿宋" w:hAnsi="仿宋" w:eastAsia="仿宋" w:cs="仿宋"/>
                <w:b/>
                <w:bCs/>
                <w:color w:val="auto"/>
                <w:sz w:val="24"/>
                <w:szCs w:val="24"/>
                <w:highlight w:val="none"/>
                <w:lang w:val="zh-CN"/>
              </w:rPr>
              <w:t>进度计划方案</w:t>
            </w:r>
            <w:r>
              <w:rPr>
                <w:rFonts w:hint="eastAsia" w:ascii="仿宋" w:hAnsi="仿宋" w:eastAsia="仿宋" w:cs="仿宋"/>
                <w:color w:val="auto"/>
                <w:sz w:val="24"/>
                <w:szCs w:val="24"/>
                <w:highlight w:val="none"/>
                <w:lang w:val="zh-CN"/>
              </w:rPr>
              <w:t>差（方案不合理、不完整、没有针对性及可操作性）得</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分；</w:t>
            </w:r>
          </w:p>
          <w:p w14:paraId="5DC9F55E">
            <w:pPr>
              <w:wordWrap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⑤</w:t>
            </w:r>
            <w:r>
              <w:rPr>
                <w:rFonts w:hint="eastAsia" w:ascii="仿宋" w:hAnsi="仿宋" w:eastAsia="仿宋" w:cs="仿宋"/>
                <w:b/>
                <w:bCs/>
                <w:color w:val="auto"/>
                <w:sz w:val="24"/>
                <w:szCs w:val="24"/>
                <w:highlight w:val="none"/>
                <w:lang w:val="zh-CN"/>
              </w:rPr>
              <w:t>进度计划方案</w:t>
            </w:r>
            <w:r>
              <w:rPr>
                <w:rFonts w:hint="eastAsia" w:ascii="仿宋" w:hAnsi="仿宋" w:eastAsia="仿宋" w:cs="仿宋"/>
                <w:color w:val="auto"/>
                <w:sz w:val="24"/>
                <w:szCs w:val="24"/>
                <w:highlight w:val="none"/>
                <w:lang w:val="zh-CN"/>
              </w:rPr>
              <w:t>未提供得0分。</w:t>
            </w:r>
          </w:p>
        </w:tc>
        <w:tc>
          <w:tcPr>
            <w:tcW w:w="1375" w:type="dxa"/>
            <w:vMerge w:val="continue"/>
            <w:vAlign w:val="center"/>
          </w:tcPr>
          <w:p w14:paraId="60175F75">
            <w:pPr>
              <w:rPr>
                <w:rFonts w:hint="eastAsia" w:ascii="仿宋" w:hAnsi="仿宋" w:eastAsia="仿宋" w:cs="仿宋"/>
                <w:color w:val="auto"/>
                <w:highlight w:val="none"/>
              </w:rPr>
            </w:pPr>
          </w:p>
        </w:tc>
      </w:tr>
      <w:tr w14:paraId="7594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563" w:type="dxa"/>
            <w:vMerge w:val="continue"/>
            <w:vAlign w:val="center"/>
          </w:tcPr>
          <w:p w14:paraId="7B4615CD">
            <w:pPr>
              <w:rPr>
                <w:color w:val="auto"/>
                <w:highlight w:val="none"/>
              </w:rPr>
            </w:pPr>
          </w:p>
        </w:tc>
        <w:tc>
          <w:tcPr>
            <w:tcW w:w="1219" w:type="dxa"/>
            <w:vMerge w:val="continue"/>
            <w:vAlign w:val="center"/>
          </w:tcPr>
          <w:p w14:paraId="44016705">
            <w:pPr>
              <w:rPr>
                <w:color w:val="auto"/>
                <w:highlight w:val="none"/>
              </w:rPr>
            </w:pPr>
          </w:p>
        </w:tc>
        <w:tc>
          <w:tcPr>
            <w:tcW w:w="951" w:type="dxa"/>
            <w:vMerge w:val="continue"/>
            <w:vAlign w:val="center"/>
          </w:tcPr>
          <w:p w14:paraId="66015CD3">
            <w:pPr>
              <w:rPr>
                <w:color w:val="auto"/>
                <w:highlight w:val="none"/>
              </w:rPr>
            </w:pPr>
          </w:p>
        </w:tc>
        <w:tc>
          <w:tcPr>
            <w:tcW w:w="832" w:type="dxa"/>
            <w:vAlign w:val="center"/>
          </w:tcPr>
          <w:p w14:paraId="54209DEF">
            <w:pPr>
              <w:wordWrap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质量控制方案</w:t>
            </w:r>
          </w:p>
          <w:p w14:paraId="6BD7693E">
            <w:pPr>
              <w:wordWrap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tc>
        <w:tc>
          <w:tcPr>
            <w:tcW w:w="3742" w:type="dxa"/>
            <w:vAlign w:val="center"/>
          </w:tcPr>
          <w:p w14:paraId="1F2BC9BE">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供应商针对本项目工作内容提供“</w:t>
            </w:r>
            <w:r>
              <w:rPr>
                <w:rFonts w:hint="eastAsia" w:ascii="仿宋" w:hAnsi="仿宋" w:eastAsia="仿宋" w:cs="仿宋"/>
                <w:b/>
                <w:bCs/>
                <w:color w:val="auto"/>
                <w:sz w:val="24"/>
                <w:szCs w:val="24"/>
                <w:highlight w:val="none"/>
              </w:rPr>
              <w:t>质量控制方案</w:t>
            </w:r>
            <w:r>
              <w:rPr>
                <w:rFonts w:hint="eastAsia" w:ascii="仿宋" w:hAnsi="仿宋" w:eastAsia="仿宋" w:cs="仿宋"/>
                <w:color w:val="auto"/>
                <w:sz w:val="24"/>
                <w:szCs w:val="24"/>
                <w:highlight w:val="none"/>
              </w:rPr>
              <w:t>”，方案内容包括但不限于：①质量控制计划、②质量管理考核体系及措施等。可从方案的合理性、完整性、针对性及可操作性等方面进行评审。</w:t>
            </w:r>
          </w:p>
          <w:p w14:paraId="7AFAB742">
            <w:pPr>
              <w:numPr>
                <w:ilvl w:val="-1"/>
                <w:numId w:val="0"/>
              </w:numPr>
              <w:snapToGrid w:val="0"/>
              <w:ind w:left="0"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①</w:t>
            </w:r>
            <w:r>
              <w:rPr>
                <w:rFonts w:hint="eastAsia" w:ascii="仿宋" w:hAnsi="仿宋" w:eastAsia="仿宋" w:cs="仿宋"/>
                <w:b/>
                <w:bCs/>
                <w:color w:val="auto"/>
                <w:sz w:val="24"/>
                <w:szCs w:val="24"/>
                <w:highlight w:val="none"/>
              </w:rPr>
              <w:t>质量控制方案</w:t>
            </w:r>
            <w:r>
              <w:rPr>
                <w:rFonts w:hint="eastAsia" w:ascii="仿宋" w:hAnsi="仿宋" w:eastAsia="仿宋" w:cs="仿宋"/>
                <w:color w:val="auto"/>
                <w:sz w:val="24"/>
                <w:szCs w:val="24"/>
                <w:highlight w:val="none"/>
              </w:rPr>
              <w:t>优（方案合理、完整性、针对性及可操作性强）得</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p w14:paraId="66E517C0">
            <w:pPr>
              <w:numPr>
                <w:ilvl w:val="-1"/>
                <w:numId w:val="0"/>
              </w:numPr>
              <w:snapToGrid w:val="0"/>
              <w:ind w:left="0"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②</w:t>
            </w:r>
            <w:r>
              <w:rPr>
                <w:rFonts w:hint="eastAsia" w:ascii="仿宋" w:hAnsi="仿宋" w:eastAsia="仿宋" w:cs="仿宋"/>
                <w:b/>
                <w:bCs/>
                <w:color w:val="auto"/>
                <w:sz w:val="24"/>
                <w:szCs w:val="24"/>
                <w:highlight w:val="none"/>
              </w:rPr>
              <w:t>质量控制方案</w:t>
            </w:r>
            <w:r>
              <w:rPr>
                <w:rFonts w:hint="eastAsia" w:ascii="仿宋" w:hAnsi="仿宋" w:eastAsia="仿宋" w:cs="仿宋"/>
                <w:color w:val="auto"/>
                <w:sz w:val="24"/>
                <w:szCs w:val="24"/>
                <w:highlight w:val="none"/>
              </w:rPr>
              <w:t>良（方案合理、完整性、针对性及可操作性较强）得1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14:paraId="22EDE273">
            <w:pPr>
              <w:numPr>
                <w:ilvl w:val="-1"/>
                <w:numId w:val="0"/>
              </w:numPr>
              <w:snapToGrid w:val="0"/>
              <w:ind w:left="0"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③</w:t>
            </w:r>
            <w:r>
              <w:rPr>
                <w:rFonts w:hint="eastAsia" w:ascii="仿宋" w:hAnsi="仿宋" w:eastAsia="仿宋" w:cs="仿宋"/>
                <w:b/>
                <w:bCs/>
                <w:color w:val="auto"/>
                <w:sz w:val="24"/>
                <w:szCs w:val="24"/>
                <w:highlight w:val="none"/>
              </w:rPr>
              <w:t>质量控制方案</w:t>
            </w:r>
            <w:r>
              <w:rPr>
                <w:rFonts w:hint="eastAsia" w:ascii="仿宋" w:hAnsi="仿宋" w:eastAsia="仿宋" w:cs="仿宋"/>
                <w:color w:val="auto"/>
                <w:sz w:val="24"/>
                <w:szCs w:val="24"/>
                <w:highlight w:val="none"/>
              </w:rPr>
              <w:t>一般（方案合理、完整性、针对性及可操作性一般）得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p w14:paraId="4D930054">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w:t>
            </w:r>
            <w:r>
              <w:rPr>
                <w:rFonts w:hint="eastAsia" w:ascii="仿宋" w:hAnsi="仿宋" w:eastAsia="仿宋" w:cs="仿宋"/>
                <w:b/>
                <w:bCs/>
                <w:color w:val="auto"/>
                <w:sz w:val="24"/>
                <w:szCs w:val="24"/>
                <w:highlight w:val="none"/>
              </w:rPr>
              <w:t>质量控制方案</w:t>
            </w:r>
            <w:r>
              <w:rPr>
                <w:rFonts w:hint="eastAsia" w:ascii="仿宋" w:hAnsi="仿宋" w:eastAsia="仿宋" w:cs="仿宋"/>
                <w:color w:val="auto"/>
                <w:sz w:val="24"/>
                <w:szCs w:val="24"/>
                <w:highlight w:val="none"/>
              </w:rPr>
              <w:t>差（方案不合理、不完整、没有针对性及可操作性）得5分；</w:t>
            </w:r>
          </w:p>
          <w:p w14:paraId="597CE6D7">
            <w:pPr>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⑤</w:t>
            </w:r>
            <w:r>
              <w:rPr>
                <w:rFonts w:hint="eastAsia" w:ascii="仿宋" w:hAnsi="仿宋" w:eastAsia="仿宋" w:cs="仿宋"/>
                <w:b/>
                <w:bCs/>
                <w:color w:val="auto"/>
                <w:sz w:val="24"/>
                <w:szCs w:val="24"/>
                <w:highlight w:val="none"/>
              </w:rPr>
              <w:t>质量控制方案</w:t>
            </w:r>
            <w:r>
              <w:rPr>
                <w:rFonts w:hint="eastAsia" w:ascii="仿宋" w:hAnsi="仿宋" w:eastAsia="仿宋" w:cs="仿宋"/>
                <w:color w:val="auto"/>
                <w:sz w:val="24"/>
                <w:szCs w:val="24"/>
                <w:highlight w:val="none"/>
              </w:rPr>
              <w:t>未提供得0分</w:t>
            </w:r>
          </w:p>
        </w:tc>
        <w:tc>
          <w:tcPr>
            <w:tcW w:w="1375" w:type="dxa"/>
            <w:vMerge w:val="continue"/>
            <w:vAlign w:val="center"/>
          </w:tcPr>
          <w:p w14:paraId="72F8B05F">
            <w:pPr>
              <w:rPr>
                <w:rFonts w:hint="eastAsia" w:ascii="仿宋" w:hAnsi="仿宋" w:eastAsia="仿宋" w:cs="仿宋"/>
                <w:color w:val="auto"/>
                <w:sz w:val="21"/>
                <w:szCs w:val="21"/>
                <w:highlight w:val="none"/>
                <w:lang w:val="en-US" w:eastAsia="zh-CN"/>
              </w:rPr>
            </w:pPr>
          </w:p>
        </w:tc>
      </w:tr>
      <w:tr w14:paraId="23B4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63" w:type="dxa"/>
            <w:vAlign w:val="center"/>
          </w:tcPr>
          <w:p w14:paraId="5BCC081C">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219" w:type="dxa"/>
            <w:vAlign w:val="center"/>
          </w:tcPr>
          <w:p w14:paraId="5344743C">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商务部分</w:t>
            </w:r>
          </w:p>
          <w:p w14:paraId="460101E8">
            <w:pP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0%）</w:t>
            </w:r>
          </w:p>
        </w:tc>
        <w:tc>
          <w:tcPr>
            <w:tcW w:w="951" w:type="dxa"/>
            <w:vAlign w:val="center"/>
          </w:tcPr>
          <w:p w14:paraId="00DBE1AD">
            <w:pPr>
              <w:widowControl/>
              <w:ind w:firstLine="28"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0"/>
                <w:szCs w:val="20"/>
                <w:highlight w:val="none"/>
                <w:lang w:val="en-US" w:eastAsia="zh-CN" w:bidi="ar"/>
              </w:rPr>
              <w:t>供应商</w:t>
            </w:r>
            <w:r>
              <w:rPr>
                <w:rFonts w:ascii="仿宋" w:hAnsi="仿宋" w:eastAsia="仿宋" w:cs="仿宋"/>
                <w:color w:val="auto"/>
                <w:kern w:val="0"/>
                <w:sz w:val="20"/>
                <w:szCs w:val="20"/>
                <w:highlight w:val="none"/>
                <w:lang w:val="en-US" w:eastAsia="zh-CN" w:bidi="ar"/>
              </w:rPr>
              <w:t>业</w:t>
            </w:r>
            <w:r>
              <w:rPr>
                <w:rFonts w:hint="eastAsia" w:ascii="仿宋" w:hAnsi="仿宋" w:eastAsia="仿宋" w:cs="仿宋"/>
                <w:color w:val="auto"/>
                <w:kern w:val="0"/>
                <w:sz w:val="20"/>
                <w:szCs w:val="20"/>
                <w:highlight w:val="none"/>
                <w:lang w:val="en-US" w:eastAsia="zh-CN" w:bidi="ar"/>
              </w:rPr>
              <w:t>绩（20 分）</w:t>
            </w:r>
          </w:p>
        </w:tc>
        <w:tc>
          <w:tcPr>
            <w:tcW w:w="4574" w:type="dxa"/>
            <w:gridSpan w:val="2"/>
            <w:vAlign w:val="center"/>
          </w:tcPr>
          <w:p w14:paraId="28B6D68A">
            <w:pPr>
              <w:keepNext w:val="0"/>
              <w:keepLines w:val="0"/>
              <w:widowControl/>
              <w:suppressLineNumbers w:val="0"/>
              <w:ind w:firstLine="28"/>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0"/>
                <w:szCs w:val="20"/>
                <w:highlight w:val="none"/>
                <w:lang w:val="en-US" w:eastAsia="zh-CN" w:bidi="ar"/>
              </w:rPr>
              <w:t>供应商</w:t>
            </w:r>
            <w:r>
              <w:rPr>
                <w:rFonts w:ascii="仿宋" w:hAnsi="仿宋" w:eastAsia="仿宋" w:cs="仿宋"/>
                <w:color w:val="auto"/>
                <w:kern w:val="0"/>
                <w:sz w:val="20"/>
                <w:szCs w:val="20"/>
                <w:highlight w:val="none"/>
                <w:lang w:val="en-US" w:eastAsia="zh-CN" w:bidi="ar"/>
              </w:rPr>
              <w:t>自</w:t>
            </w:r>
            <w:r>
              <w:rPr>
                <w:rFonts w:hint="eastAsia" w:ascii="仿宋" w:hAnsi="仿宋" w:eastAsia="仿宋" w:cs="仿宋"/>
                <w:color w:val="auto"/>
                <w:kern w:val="0"/>
                <w:sz w:val="20"/>
                <w:szCs w:val="20"/>
                <w:highlight w:val="none"/>
                <w:lang w:val="en-US" w:eastAsia="zh-CN" w:bidi="ar"/>
              </w:rPr>
              <w:t>2022年1月1日至今，每提供过一个审计服务业绩的得5分，得分不超过20分</w:t>
            </w:r>
          </w:p>
        </w:tc>
        <w:tc>
          <w:tcPr>
            <w:tcW w:w="1375" w:type="dxa"/>
            <w:vAlign w:val="center"/>
          </w:tcPr>
          <w:p w14:paraId="03AA7101">
            <w:pPr>
              <w:widowControl/>
              <w:ind w:firstLine="0" w:firstLineChars="0"/>
              <w:jc w:val="left"/>
              <w:rPr>
                <w:rFonts w:hint="eastAsia" w:ascii="仿宋" w:hAnsi="仿宋" w:eastAsia="仿宋" w:cs="仿宋"/>
                <w:color w:val="auto"/>
                <w:sz w:val="21"/>
                <w:szCs w:val="21"/>
                <w:highlight w:val="none"/>
                <w:lang w:val="en-US" w:eastAsia="zh-CN"/>
              </w:rPr>
            </w:pPr>
            <w:r>
              <w:rPr>
                <w:rFonts w:ascii="仿宋" w:hAnsi="仿宋" w:eastAsia="仿宋" w:cs="仿宋"/>
                <w:color w:val="auto"/>
                <w:kern w:val="0"/>
                <w:sz w:val="20"/>
                <w:szCs w:val="20"/>
                <w:highlight w:val="none"/>
                <w:lang w:val="en-US" w:eastAsia="zh-CN" w:bidi="ar"/>
              </w:rPr>
              <w:t>提供合同复印件</w:t>
            </w:r>
            <w:r>
              <w:rPr>
                <w:rFonts w:hint="eastAsia" w:ascii="仿宋" w:hAnsi="仿宋" w:eastAsia="仿宋" w:cs="仿宋"/>
                <w:color w:val="auto"/>
                <w:kern w:val="0"/>
                <w:sz w:val="20"/>
                <w:szCs w:val="20"/>
                <w:highlight w:val="none"/>
                <w:lang w:val="en-US" w:eastAsia="zh-CN" w:bidi="ar"/>
              </w:rPr>
              <w:t>并加盖供应商公章。</w:t>
            </w:r>
          </w:p>
        </w:tc>
      </w:tr>
    </w:tbl>
    <w:p w14:paraId="74C3C581">
      <w:pPr>
        <w:rPr>
          <w:rFonts w:hint="eastAsia" w:ascii="仿宋" w:hAnsi="仿宋" w:eastAsia="仿宋" w:cs="仿宋"/>
          <w:color w:val="auto"/>
          <w:highlight w:val="none"/>
        </w:rPr>
      </w:pPr>
    </w:p>
    <w:bookmarkEnd w:id="85"/>
    <w:p w14:paraId="58AB485E">
      <w:pPr>
        <w:pStyle w:val="3"/>
        <w:spacing w:line="240" w:lineRule="auto"/>
        <w:ind w:firstLine="643"/>
        <w:rPr>
          <w:rFonts w:hint="eastAsia" w:ascii="仿宋" w:hAnsi="仿宋" w:eastAsia="仿宋" w:cs="仿宋"/>
          <w:color w:val="auto"/>
          <w:highlight w:val="none"/>
        </w:rPr>
      </w:pPr>
      <w:bookmarkStart w:id="86" w:name="_Toc183783147"/>
      <w:bookmarkStart w:id="87" w:name="_Toc76462337"/>
      <w:bookmarkStart w:id="88" w:name="_Toc102227313"/>
      <w:bookmarkStart w:id="89" w:name="_Toc106030892"/>
      <w:r>
        <w:rPr>
          <w:rFonts w:hint="eastAsia" w:ascii="仿宋" w:hAnsi="仿宋" w:eastAsia="仿宋" w:cs="仿宋"/>
          <w:color w:val="auto"/>
          <w:highlight w:val="none"/>
        </w:rPr>
        <w:t>三、无效响应</w:t>
      </w:r>
      <w:bookmarkEnd w:id="86"/>
    </w:p>
    <w:p w14:paraId="3E0434FC">
      <w:pPr>
        <w:snapToGrid w:val="0"/>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供应商发生以下条款情况之一者，视为无效报价：</w:t>
      </w:r>
    </w:p>
    <w:p w14:paraId="42718488">
      <w:pPr>
        <w:pStyle w:val="12"/>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（一）供应商不符合规定的资格条件的；</w:t>
      </w:r>
    </w:p>
    <w:p w14:paraId="17F63F35">
      <w:pPr>
        <w:pStyle w:val="12"/>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（二）供应商未通过实质性响应审查的；</w:t>
      </w:r>
    </w:p>
    <w:p w14:paraId="5CE39A03">
      <w:pPr>
        <w:pStyle w:val="12"/>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（三）供应商所提交的响应文件未按“第七篇响应文件格式要求”要求签署或盖章的；</w:t>
      </w:r>
    </w:p>
    <w:p w14:paraId="2298430D">
      <w:pPr>
        <w:pStyle w:val="12"/>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（四）供应商的报价超过采购预算或最高限价的；</w:t>
      </w:r>
    </w:p>
    <w:p w14:paraId="46511B05">
      <w:pPr>
        <w:pStyle w:val="12"/>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（五）单位负责人为同一人或者存在直接控股、管理关系的不同供应商，参加同一合同项（包）报价的；</w:t>
      </w:r>
    </w:p>
    <w:p w14:paraId="30866BBB">
      <w:pPr>
        <w:pStyle w:val="12"/>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（六）为采购项目提供整体设计、规范编制或者项目管理、监理、检测等服务的供应商再参加该采购项目的其他采购活动的；</w:t>
      </w:r>
    </w:p>
    <w:p w14:paraId="2FDFA167">
      <w:pPr>
        <w:pStyle w:val="12"/>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（七）法律、法规和竞采邀请书规定的其他无效情形。</w:t>
      </w:r>
    </w:p>
    <w:p w14:paraId="313FB64C">
      <w:pPr>
        <w:pStyle w:val="3"/>
        <w:spacing w:line="240" w:lineRule="auto"/>
        <w:ind w:firstLine="643"/>
        <w:rPr>
          <w:rFonts w:hint="eastAsia" w:ascii="仿宋" w:hAnsi="仿宋" w:eastAsia="仿宋" w:cs="仿宋"/>
          <w:color w:val="auto"/>
          <w:highlight w:val="none"/>
        </w:rPr>
      </w:pPr>
      <w:bookmarkStart w:id="90" w:name="_Toc106030398"/>
      <w:bookmarkStart w:id="91" w:name="_Toc23533"/>
      <w:bookmarkStart w:id="92" w:name="_Toc4422"/>
      <w:bookmarkStart w:id="93" w:name="_Toc25549"/>
      <w:bookmarkStart w:id="94" w:name="_Toc20005"/>
      <w:bookmarkStart w:id="95" w:name="_Toc6204"/>
      <w:bookmarkStart w:id="96" w:name="_Toc7802"/>
      <w:bookmarkStart w:id="97" w:name="_Toc75793522"/>
      <w:bookmarkStart w:id="98" w:name="_Toc6956"/>
      <w:bookmarkStart w:id="99" w:name="_Toc11293"/>
      <w:bookmarkStart w:id="100" w:name="_Toc25960"/>
      <w:bookmarkStart w:id="101" w:name="_Toc21946"/>
      <w:bookmarkStart w:id="102" w:name="_Toc6719"/>
      <w:bookmarkStart w:id="103" w:name="_Toc14355"/>
      <w:bookmarkStart w:id="104" w:name="_Toc30605"/>
      <w:bookmarkStart w:id="105" w:name="_Toc27133"/>
      <w:bookmarkStart w:id="106" w:name="_Toc183783148"/>
      <w:r>
        <w:rPr>
          <w:rFonts w:hint="eastAsia" w:ascii="仿宋" w:hAnsi="仿宋" w:eastAsia="仿宋" w:cs="仿宋"/>
          <w:color w:val="auto"/>
          <w:highlight w:val="none"/>
        </w:rPr>
        <w:t>四、</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highlight w:val="none"/>
        </w:rPr>
        <w:t>采购终止</w:t>
      </w:r>
      <w:bookmarkEnd w:id="106"/>
    </w:p>
    <w:p w14:paraId="74415F31">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出现下列情形之一的，采购人或者采购代理机构应当终止采购活动，发布项目终止公告并说明原因，重新开展采购活动：</w:t>
      </w:r>
    </w:p>
    <w:p w14:paraId="0AEDD5F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（一）因情况变化，不再符合规定的采购方式适用情形的；</w:t>
      </w:r>
    </w:p>
    <w:p w14:paraId="6136EFB3">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（二）出现影响采购公正的违法、违规行为的；</w:t>
      </w:r>
    </w:p>
    <w:p w14:paraId="139686F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（三）在采购过程中符合竞采要求的供应商不足3家的。</w:t>
      </w:r>
    </w:p>
    <w:p w14:paraId="0487B826">
      <w:pPr>
        <w:snapToGrid w:val="0"/>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（四）项目出现其他实质性影响，可能导致项目无法正常开展的情形。</w:t>
      </w:r>
    </w:p>
    <w:p w14:paraId="2B437FF5">
      <w:pPr>
        <w:widowControl/>
        <w:ind w:firstLine="723"/>
        <w:jc w:val="left"/>
        <w:rPr>
          <w:rFonts w:hint="eastAsia" w:ascii="仿宋" w:hAnsi="仿宋" w:eastAsia="仿宋" w:cs="仿宋"/>
          <w:b/>
          <w:bCs/>
          <w:color w:val="auto"/>
          <w:kern w:val="0"/>
          <w:sz w:val="36"/>
          <w:szCs w:val="36"/>
          <w:highlight w:val="none"/>
        </w:rPr>
      </w:pPr>
      <w:r>
        <w:rPr>
          <w:rFonts w:hint="eastAsia" w:ascii="仿宋" w:hAnsi="仿宋" w:eastAsia="仿宋" w:cs="仿宋"/>
          <w:b/>
          <w:bCs/>
          <w:color w:val="auto"/>
          <w:sz w:val="36"/>
          <w:szCs w:val="36"/>
          <w:highlight w:val="none"/>
        </w:rPr>
        <w:br w:type="page"/>
      </w:r>
    </w:p>
    <w:p w14:paraId="2C1E4470">
      <w:pPr>
        <w:pStyle w:val="2"/>
        <w:spacing w:line="240" w:lineRule="auto"/>
        <w:ind w:firstLine="883"/>
        <w:jc w:val="center"/>
        <w:rPr>
          <w:rFonts w:hint="eastAsia" w:ascii="仿宋" w:hAnsi="仿宋" w:eastAsia="仿宋" w:cs="仿宋"/>
          <w:color w:val="auto"/>
          <w:highlight w:val="none"/>
        </w:rPr>
      </w:pPr>
      <w:bookmarkStart w:id="107" w:name="_Toc183783149"/>
      <w:r>
        <w:rPr>
          <w:rFonts w:hint="eastAsia" w:ascii="仿宋" w:hAnsi="仿宋" w:eastAsia="仿宋" w:cs="仿宋"/>
          <w:color w:val="auto"/>
          <w:highlight w:val="none"/>
        </w:rPr>
        <w:t xml:space="preserve">第五篇 </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须知</w:t>
      </w:r>
      <w:bookmarkEnd w:id="87"/>
      <w:bookmarkEnd w:id="88"/>
      <w:bookmarkEnd w:id="89"/>
      <w:bookmarkEnd w:id="107"/>
    </w:p>
    <w:p w14:paraId="203451A9">
      <w:pPr>
        <w:pStyle w:val="3"/>
        <w:spacing w:line="240" w:lineRule="auto"/>
        <w:ind w:firstLine="643"/>
        <w:rPr>
          <w:rFonts w:hint="eastAsia" w:ascii="仿宋" w:hAnsi="仿宋" w:eastAsia="仿宋" w:cs="仿宋"/>
          <w:color w:val="auto"/>
          <w:highlight w:val="none"/>
        </w:rPr>
      </w:pPr>
      <w:bookmarkStart w:id="108" w:name="_Toc106030893"/>
      <w:bookmarkStart w:id="109" w:name="_Toc76462338"/>
      <w:bookmarkStart w:id="110" w:name="_Toc342913389"/>
      <w:bookmarkStart w:id="111" w:name="_Toc183783150"/>
      <w:r>
        <w:rPr>
          <w:rFonts w:hint="eastAsia" w:ascii="仿宋" w:hAnsi="仿宋" w:eastAsia="仿宋" w:cs="仿宋"/>
          <w:color w:val="auto"/>
          <w:highlight w:val="none"/>
        </w:rPr>
        <w:t>一、竞采费用</w:t>
      </w:r>
      <w:bookmarkEnd w:id="108"/>
      <w:bookmarkEnd w:id="109"/>
      <w:bookmarkEnd w:id="110"/>
      <w:bookmarkEnd w:id="111"/>
    </w:p>
    <w:p w14:paraId="122D7320">
      <w:pPr>
        <w:pStyle w:val="27"/>
        <w:rPr>
          <w:rFonts w:hint="eastAsia" w:ascii="仿宋" w:hAnsi="仿宋" w:eastAsia="仿宋" w:cs="仿宋"/>
          <w:color w:val="auto"/>
          <w:highlight w:val="none"/>
        </w:rPr>
      </w:pPr>
      <w:r>
        <w:rPr>
          <w:rFonts w:hint="eastAsia" w:ascii="仿宋" w:hAnsi="仿宋" w:eastAsia="仿宋" w:cs="仿宋"/>
          <w:color w:val="auto"/>
          <w:highlight w:val="none"/>
        </w:rPr>
        <w:t>参与竞采的供应商应承担其编制响应文件与递交响应文件所涉及的一切费用，不论竞采结果如何，采购人和采购代理机构在任何情况下无义务也无责任承担这些费用。</w:t>
      </w:r>
    </w:p>
    <w:p w14:paraId="74A644F9">
      <w:pPr>
        <w:pStyle w:val="3"/>
        <w:spacing w:line="240" w:lineRule="auto"/>
        <w:ind w:firstLine="643"/>
        <w:rPr>
          <w:rFonts w:hint="eastAsia" w:ascii="仿宋" w:hAnsi="仿宋" w:eastAsia="仿宋" w:cs="仿宋"/>
          <w:color w:val="auto"/>
          <w:highlight w:val="none"/>
        </w:rPr>
      </w:pPr>
      <w:bookmarkStart w:id="112" w:name="_Toc76462339"/>
      <w:bookmarkStart w:id="113" w:name="_Toc342913391"/>
      <w:bookmarkStart w:id="114" w:name="_Toc106030894"/>
      <w:bookmarkStart w:id="115" w:name="_Toc183783151"/>
      <w:r>
        <w:rPr>
          <w:rFonts w:hint="eastAsia" w:ascii="仿宋" w:hAnsi="仿宋" w:eastAsia="仿宋" w:cs="仿宋"/>
          <w:color w:val="auto"/>
          <w:highlight w:val="none"/>
        </w:rPr>
        <w:t>二、竞采文件</w:t>
      </w:r>
      <w:bookmarkEnd w:id="112"/>
      <w:bookmarkEnd w:id="113"/>
      <w:bookmarkEnd w:id="114"/>
      <w:bookmarkEnd w:id="115"/>
    </w:p>
    <w:p w14:paraId="29B1070F">
      <w:pPr>
        <w:pStyle w:val="27"/>
        <w:rPr>
          <w:rFonts w:hint="eastAsia" w:ascii="仿宋" w:hAnsi="仿宋" w:eastAsia="仿宋" w:cs="仿宋"/>
          <w:color w:val="auto"/>
          <w:highlight w:val="none"/>
        </w:rPr>
      </w:pPr>
      <w:r>
        <w:rPr>
          <w:rFonts w:hint="eastAsia" w:ascii="仿宋" w:hAnsi="仿宋" w:eastAsia="仿宋" w:cs="仿宋"/>
          <w:color w:val="auto"/>
          <w:highlight w:val="none"/>
        </w:rPr>
        <w:t>（一）竞采文件由采购邀请书、项目技术（质量）需求、供应商须知、项目商务需求、竞采程序及评审标准、政府采购合同、响应文件编制要求七部分组成。</w:t>
      </w:r>
    </w:p>
    <w:p w14:paraId="07689502">
      <w:pPr>
        <w:pStyle w:val="27"/>
        <w:rPr>
          <w:rFonts w:hint="eastAsia" w:ascii="仿宋" w:hAnsi="仿宋" w:eastAsia="仿宋" w:cs="仿宋"/>
          <w:color w:val="auto"/>
          <w:highlight w:val="none"/>
        </w:rPr>
      </w:pPr>
      <w:r>
        <w:rPr>
          <w:rFonts w:hint="eastAsia" w:ascii="仿宋" w:hAnsi="仿宋" w:eastAsia="仿宋" w:cs="仿宋"/>
          <w:color w:val="auto"/>
          <w:highlight w:val="none"/>
        </w:rPr>
        <w:t>（二）采购人（或采购代理机构）所作的一切有效的书面通知、修改及补充，都是竞采文件不可分割的部分。</w:t>
      </w:r>
    </w:p>
    <w:p w14:paraId="522916F0">
      <w:pPr>
        <w:pStyle w:val="27"/>
        <w:rPr>
          <w:rFonts w:hint="eastAsia" w:ascii="仿宋" w:hAnsi="仿宋" w:eastAsia="仿宋" w:cs="仿宋"/>
          <w:color w:val="auto"/>
          <w:highlight w:val="none"/>
        </w:rPr>
      </w:pPr>
      <w:r>
        <w:rPr>
          <w:rFonts w:hint="eastAsia" w:ascii="仿宋" w:hAnsi="仿宋" w:eastAsia="仿宋" w:cs="仿宋"/>
          <w:color w:val="auto"/>
          <w:highlight w:val="none"/>
        </w:rPr>
        <w:t>（三）竞采文件的解释</w:t>
      </w:r>
    </w:p>
    <w:p w14:paraId="0D61CB49">
      <w:pPr>
        <w:pStyle w:val="27"/>
        <w:rPr>
          <w:rFonts w:hint="eastAsia" w:ascii="仿宋" w:hAnsi="仿宋" w:eastAsia="仿宋" w:cs="仿宋"/>
          <w:color w:val="auto"/>
          <w:highlight w:val="none"/>
        </w:rPr>
      </w:pPr>
      <w:r>
        <w:rPr>
          <w:rFonts w:hint="eastAsia" w:ascii="仿宋" w:hAnsi="仿宋" w:eastAsia="仿宋" w:cs="仿宋"/>
          <w:color w:val="auto"/>
          <w:highlight w:val="none"/>
        </w:rPr>
        <w:t>供应商如对竞采文件有疑问，必须以书面形式在提交响应文件截止时间2个工作日前向采购人（或采购代理机构）要求澄清，采购人（或采购代理机构）可视具体情况做出处理或答复。如供应商未提出疑问，视为完全理解并同意本竞采文件。一经进入评审程序，即视为供应商已详细阅读全部文件资料，完全理解竞采文件所有条款内容并同意放弃对这方面有不明白及误解的权利。</w:t>
      </w:r>
      <w:bookmarkStart w:id="116" w:name="_Toc318166429"/>
      <w:bookmarkStart w:id="117" w:name="_Toc318159780"/>
      <w:bookmarkStart w:id="118" w:name="_Toc318159349"/>
      <w:bookmarkStart w:id="119" w:name="_Toc318159160"/>
    </w:p>
    <w:p w14:paraId="7BC057AE">
      <w:pPr>
        <w:pStyle w:val="27"/>
        <w:rPr>
          <w:rFonts w:hint="eastAsia" w:ascii="仿宋" w:hAnsi="仿宋" w:eastAsia="仿宋" w:cs="仿宋"/>
          <w:color w:val="auto"/>
          <w:highlight w:val="none"/>
        </w:rPr>
      </w:pPr>
      <w:r>
        <w:rPr>
          <w:rFonts w:hint="eastAsia" w:ascii="仿宋" w:hAnsi="仿宋" w:eastAsia="仿宋" w:cs="仿宋"/>
          <w:color w:val="auto"/>
          <w:highlight w:val="none"/>
        </w:rPr>
        <w:t>（四）评审的依据为竞采文件和响应文件（含有效的书面承诺）。评审小组判断响应文件对竞采文件的响应，仅基于响应文件本身而不靠外部证据。</w:t>
      </w:r>
    </w:p>
    <w:bookmarkEnd w:id="116"/>
    <w:bookmarkEnd w:id="117"/>
    <w:bookmarkEnd w:id="118"/>
    <w:bookmarkEnd w:id="119"/>
    <w:p w14:paraId="1CF095D7">
      <w:pPr>
        <w:pStyle w:val="3"/>
        <w:spacing w:line="240" w:lineRule="auto"/>
        <w:ind w:firstLine="643"/>
        <w:rPr>
          <w:rFonts w:hint="eastAsia" w:ascii="仿宋" w:hAnsi="仿宋" w:eastAsia="仿宋" w:cs="仿宋"/>
          <w:color w:val="auto"/>
          <w:highlight w:val="none"/>
        </w:rPr>
      </w:pPr>
      <w:bookmarkStart w:id="120" w:name="_Toc183783152"/>
      <w:bookmarkStart w:id="121" w:name="_Toc342913392"/>
      <w:bookmarkStart w:id="122" w:name="_Toc179714297"/>
      <w:bookmarkStart w:id="123" w:name="_Toc76462340"/>
      <w:bookmarkStart w:id="124" w:name="_Toc106030895"/>
      <w:bookmarkStart w:id="125" w:name="_Toc102227318"/>
      <w:r>
        <w:rPr>
          <w:rFonts w:hint="eastAsia" w:ascii="仿宋" w:hAnsi="仿宋" w:eastAsia="仿宋" w:cs="仿宋"/>
          <w:color w:val="auto"/>
          <w:highlight w:val="none"/>
        </w:rPr>
        <w:t>三、竞采要求</w:t>
      </w:r>
      <w:bookmarkEnd w:id="120"/>
      <w:bookmarkEnd w:id="121"/>
      <w:bookmarkEnd w:id="122"/>
      <w:bookmarkEnd w:id="123"/>
      <w:bookmarkEnd w:id="124"/>
      <w:bookmarkEnd w:id="125"/>
    </w:p>
    <w:p w14:paraId="54B114AC">
      <w:pPr>
        <w:pStyle w:val="27"/>
        <w:rPr>
          <w:rFonts w:hint="eastAsia" w:ascii="仿宋" w:hAnsi="仿宋" w:eastAsia="仿宋" w:cs="仿宋"/>
          <w:color w:val="auto"/>
          <w:highlight w:val="none"/>
        </w:rPr>
      </w:pPr>
      <w:r>
        <w:rPr>
          <w:rFonts w:hint="eastAsia" w:ascii="仿宋" w:hAnsi="仿宋" w:eastAsia="仿宋" w:cs="仿宋"/>
          <w:color w:val="auto"/>
          <w:highlight w:val="none"/>
        </w:rPr>
        <w:t>（一）响应文件</w:t>
      </w:r>
    </w:p>
    <w:p w14:paraId="2872F3D6">
      <w:pPr>
        <w:pStyle w:val="27"/>
        <w:rPr>
          <w:rFonts w:hint="eastAsia" w:ascii="仿宋" w:hAnsi="仿宋" w:eastAsia="仿宋" w:cs="仿宋"/>
          <w:color w:val="auto"/>
          <w:highlight w:val="none"/>
        </w:rPr>
      </w:pPr>
      <w:r>
        <w:rPr>
          <w:rFonts w:hint="eastAsia" w:ascii="仿宋" w:hAnsi="仿宋" w:eastAsia="仿宋" w:cs="仿宋"/>
          <w:color w:val="auto"/>
          <w:highlight w:val="none"/>
        </w:rPr>
        <w:t>1.供应商应当按照竞采文件的要求编制响应文件，并对竞采文件提出的要求和条件作出实质性响应。</w:t>
      </w:r>
    </w:p>
    <w:p w14:paraId="5D011B0D">
      <w:pPr>
        <w:pStyle w:val="27"/>
        <w:rPr>
          <w:rFonts w:hint="eastAsia" w:ascii="仿宋" w:hAnsi="仿宋" w:eastAsia="仿宋" w:cs="仿宋"/>
          <w:color w:val="auto"/>
          <w:highlight w:val="none"/>
        </w:rPr>
      </w:pPr>
      <w:r>
        <w:rPr>
          <w:rFonts w:hint="eastAsia" w:ascii="仿宋" w:hAnsi="仿宋" w:eastAsia="仿宋" w:cs="仿宋"/>
          <w:color w:val="auto"/>
          <w:highlight w:val="none"/>
        </w:rPr>
        <w:t>2.响应文件组成</w:t>
      </w:r>
    </w:p>
    <w:p w14:paraId="0E77B86A">
      <w:pPr>
        <w:pStyle w:val="27"/>
        <w:rPr>
          <w:rFonts w:hint="eastAsia" w:ascii="仿宋" w:hAnsi="仿宋" w:eastAsia="仿宋" w:cs="仿宋"/>
          <w:color w:val="auto"/>
          <w:highlight w:val="none"/>
        </w:rPr>
      </w:pPr>
      <w:r>
        <w:rPr>
          <w:rFonts w:hint="eastAsia" w:ascii="仿宋" w:hAnsi="仿宋" w:eastAsia="仿宋" w:cs="仿宋"/>
          <w:color w:val="auto"/>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1EA6332">
      <w:pPr>
        <w:pStyle w:val="27"/>
        <w:rPr>
          <w:rFonts w:hint="eastAsia" w:ascii="仿宋" w:hAnsi="仿宋" w:eastAsia="仿宋" w:cs="仿宋"/>
          <w:color w:val="auto"/>
          <w:highlight w:val="none"/>
        </w:rPr>
      </w:pPr>
      <w:r>
        <w:rPr>
          <w:rFonts w:hint="eastAsia" w:ascii="仿宋" w:hAnsi="仿宋" w:eastAsia="仿宋" w:cs="仿宋"/>
          <w:color w:val="auto"/>
          <w:highlight w:val="none"/>
        </w:rPr>
        <w:t>（二）竞采有效期：响应文件及有关承诺文件有效期为提交响应文件截止时间起90天。</w:t>
      </w:r>
    </w:p>
    <w:p w14:paraId="37EC40D8">
      <w:pPr>
        <w:pStyle w:val="27"/>
        <w:rPr>
          <w:rFonts w:hint="eastAsia" w:ascii="仿宋" w:hAnsi="仿宋" w:eastAsia="仿宋" w:cs="仿宋"/>
          <w:color w:val="auto"/>
          <w:highlight w:val="none"/>
        </w:rPr>
      </w:pPr>
      <w:r>
        <w:rPr>
          <w:rFonts w:hint="eastAsia" w:ascii="仿宋" w:hAnsi="仿宋" w:eastAsia="仿宋" w:cs="仿宋"/>
          <w:color w:val="auto"/>
          <w:highlight w:val="none"/>
        </w:rPr>
        <w:t>（三）修正错误</w:t>
      </w:r>
    </w:p>
    <w:p w14:paraId="7D806379">
      <w:pPr>
        <w:pStyle w:val="27"/>
        <w:rPr>
          <w:rFonts w:hint="eastAsia" w:ascii="仿宋" w:hAnsi="仿宋" w:eastAsia="仿宋" w:cs="仿宋"/>
          <w:color w:val="auto"/>
          <w:highlight w:val="none"/>
        </w:rPr>
      </w:pPr>
      <w:r>
        <w:rPr>
          <w:rFonts w:hint="eastAsia" w:ascii="仿宋" w:hAnsi="仿宋" w:eastAsia="仿宋" w:cs="仿宋"/>
          <w:color w:val="auto"/>
          <w:highlight w:val="none"/>
        </w:rPr>
        <w:t>1.若供应商所递交的响应文件或最后报价中的价格出现大写金额和小写金额不一致的错误，以</w:t>
      </w:r>
      <w:r>
        <w:rPr>
          <w:rFonts w:hint="eastAsia" w:ascii="仿宋" w:hAnsi="仿宋" w:eastAsia="仿宋" w:cs="仿宋"/>
          <w:b/>
          <w:bCs/>
          <w:color w:val="auto"/>
          <w:highlight w:val="none"/>
          <w:u w:val="single"/>
        </w:rPr>
        <w:t>大写金额修正为准</w:t>
      </w:r>
      <w:r>
        <w:rPr>
          <w:rFonts w:hint="eastAsia" w:ascii="仿宋" w:hAnsi="仿宋" w:eastAsia="仿宋" w:cs="仿宋"/>
          <w:color w:val="auto"/>
          <w:highlight w:val="none"/>
        </w:rPr>
        <w:t>。</w:t>
      </w:r>
    </w:p>
    <w:p w14:paraId="41752453">
      <w:pPr>
        <w:pStyle w:val="27"/>
        <w:rPr>
          <w:rFonts w:hint="eastAsia" w:ascii="仿宋" w:hAnsi="仿宋" w:eastAsia="仿宋" w:cs="仿宋"/>
          <w:color w:val="auto"/>
          <w:highlight w:val="none"/>
        </w:rPr>
      </w:pPr>
      <w:r>
        <w:rPr>
          <w:rFonts w:hint="eastAsia" w:ascii="仿宋" w:hAnsi="仿宋" w:eastAsia="仿宋" w:cs="仿宋"/>
          <w:color w:val="auto"/>
          <w:highlight w:val="none"/>
        </w:rPr>
        <w:t>2.竞采小组按上述修正错误的原则及方法修正供应商的报价，供应商同意并签字确认后，修正后的报价对供应商具有约束作用。如果供应商不接受修正后的价格，将失去成为成交供应商的资格。</w:t>
      </w:r>
    </w:p>
    <w:p w14:paraId="45FF584C">
      <w:pPr>
        <w:pStyle w:val="27"/>
        <w:rPr>
          <w:rFonts w:hint="eastAsia" w:ascii="仿宋" w:hAnsi="仿宋" w:eastAsia="仿宋" w:cs="仿宋"/>
          <w:color w:val="auto"/>
          <w:highlight w:val="none"/>
        </w:rPr>
      </w:pPr>
      <w:r>
        <w:rPr>
          <w:rFonts w:hint="eastAsia" w:ascii="仿宋" w:hAnsi="仿宋" w:eastAsia="仿宋" w:cs="仿宋"/>
          <w:color w:val="auto"/>
          <w:highlight w:val="none"/>
        </w:rPr>
        <w:t>（四）提交响应文件的份数和签署</w:t>
      </w:r>
    </w:p>
    <w:p w14:paraId="6FEB34C5">
      <w:pPr>
        <w:pStyle w:val="27"/>
        <w:rPr>
          <w:rFonts w:hint="eastAsia" w:ascii="仿宋" w:hAnsi="仿宋" w:eastAsia="仿宋" w:cs="仿宋"/>
          <w:color w:val="auto"/>
          <w:highlight w:val="none"/>
        </w:rPr>
      </w:pPr>
      <w:r>
        <w:rPr>
          <w:rFonts w:hint="eastAsia" w:ascii="仿宋" w:hAnsi="仿宋" w:eastAsia="仿宋" w:cs="仿宋"/>
          <w:color w:val="auto"/>
          <w:highlight w:val="none"/>
        </w:rPr>
        <w:t>1.响应文件电子文档一份。</w:t>
      </w:r>
    </w:p>
    <w:p w14:paraId="2D546F9D">
      <w:pPr>
        <w:pStyle w:val="27"/>
        <w:rPr>
          <w:rFonts w:hint="eastAsia" w:ascii="仿宋" w:hAnsi="仿宋" w:eastAsia="仿宋" w:cs="仿宋"/>
          <w:color w:val="auto"/>
          <w:highlight w:val="none"/>
        </w:rPr>
      </w:pPr>
      <w:r>
        <w:rPr>
          <w:rFonts w:hint="eastAsia" w:ascii="仿宋" w:hAnsi="仿宋" w:eastAsia="仿宋" w:cs="仿宋"/>
          <w:color w:val="auto"/>
          <w:highlight w:val="none"/>
        </w:rPr>
        <w:t>2.响应文件按竞采文件“第七篇响应文件编制要求”要求签署或盖章。</w:t>
      </w:r>
    </w:p>
    <w:p w14:paraId="1B4AB23A">
      <w:pPr>
        <w:pStyle w:val="27"/>
        <w:rPr>
          <w:rFonts w:hint="eastAsia" w:ascii="仿宋" w:hAnsi="仿宋" w:eastAsia="仿宋" w:cs="仿宋"/>
          <w:color w:val="auto"/>
          <w:highlight w:val="none"/>
        </w:rPr>
      </w:pPr>
      <w:r>
        <w:rPr>
          <w:rFonts w:hint="eastAsia" w:ascii="仿宋" w:hAnsi="仿宋" w:eastAsia="仿宋" w:cs="仿宋"/>
          <w:color w:val="auto"/>
          <w:highlight w:val="none"/>
        </w:rPr>
        <w:t>（五）响应文件的递交</w:t>
      </w:r>
    </w:p>
    <w:p w14:paraId="1BA42CE5">
      <w:pPr>
        <w:pStyle w:val="27"/>
        <w:rPr>
          <w:rFonts w:hint="eastAsia" w:ascii="仿宋" w:hAnsi="仿宋" w:eastAsia="仿宋" w:cs="仿宋"/>
          <w:color w:val="auto"/>
          <w:highlight w:val="none"/>
        </w:rPr>
      </w:pPr>
      <w:r>
        <w:rPr>
          <w:rFonts w:hint="eastAsia" w:ascii="仿宋" w:hAnsi="仿宋" w:eastAsia="仿宋" w:cs="仿宋"/>
          <w:color w:val="auto"/>
          <w:highlight w:val="none"/>
        </w:rPr>
        <w:t>响应文件的电子文档应在有效报名时间段内，通过竞采系统在线提交。</w:t>
      </w:r>
    </w:p>
    <w:p w14:paraId="045B0E29">
      <w:pPr>
        <w:pStyle w:val="27"/>
        <w:rPr>
          <w:rFonts w:hint="eastAsia" w:ascii="仿宋" w:hAnsi="仿宋" w:eastAsia="仿宋" w:cs="仿宋"/>
          <w:color w:val="auto"/>
          <w:highlight w:val="none"/>
        </w:rPr>
      </w:pPr>
      <w:r>
        <w:rPr>
          <w:rFonts w:hint="eastAsia" w:ascii="仿宋" w:hAnsi="仿宋" w:eastAsia="仿宋" w:cs="仿宋"/>
          <w:color w:val="auto"/>
          <w:highlight w:val="none"/>
        </w:rPr>
        <w:t>（竞采项目实行在线报名、在线评审，非必需，原则上供应商不参与线下评审环节。）</w:t>
      </w:r>
    </w:p>
    <w:p w14:paraId="343ADA84">
      <w:pPr>
        <w:pStyle w:val="27"/>
        <w:rPr>
          <w:rFonts w:hint="eastAsia" w:ascii="仿宋" w:hAnsi="仿宋" w:eastAsia="仿宋" w:cs="仿宋"/>
          <w:color w:val="auto"/>
          <w:highlight w:val="none"/>
        </w:rPr>
      </w:pPr>
      <w:bookmarkStart w:id="126" w:name="_Toc106030896"/>
      <w:bookmarkStart w:id="127" w:name="_Toc76462341"/>
      <w:r>
        <w:rPr>
          <w:rFonts w:hint="eastAsia" w:ascii="仿宋" w:hAnsi="仿宋" w:eastAsia="仿宋" w:cs="仿宋"/>
          <w:color w:val="auto"/>
          <w:highlight w:val="none"/>
        </w:rPr>
        <w:t>四、成交供应商的确认和变更</w:t>
      </w:r>
      <w:bookmarkEnd w:id="126"/>
      <w:bookmarkEnd w:id="127"/>
    </w:p>
    <w:p w14:paraId="50DDC674">
      <w:pPr>
        <w:pStyle w:val="27"/>
        <w:rPr>
          <w:rFonts w:hint="eastAsia" w:ascii="仿宋" w:hAnsi="仿宋" w:eastAsia="仿宋" w:cs="仿宋"/>
          <w:color w:val="auto"/>
          <w:highlight w:val="none"/>
        </w:rPr>
      </w:pPr>
      <w:r>
        <w:rPr>
          <w:rFonts w:hint="eastAsia" w:ascii="仿宋" w:hAnsi="仿宋" w:eastAsia="仿宋" w:cs="仿宋"/>
          <w:color w:val="auto"/>
          <w:highlight w:val="none"/>
        </w:rPr>
        <w:t>（一）成交供应商的确认</w:t>
      </w:r>
    </w:p>
    <w:p w14:paraId="67133B70">
      <w:pPr>
        <w:pStyle w:val="27"/>
        <w:rPr>
          <w:rFonts w:hint="eastAsia" w:ascii="仿宋" w:hAnsi="仿宋" w:eastAsia="仿宋" w:cs="仿宋"/>
          <w:color w:val="auto"/>
          <w:highlight w:val="none"/>
        </w:rPr>
      </w:pPr>
      <w:r>
        <w:rPr>
          <w:rFonts w:hint="eastAsia" w:ascii="仿宋" w:hAnsi="仿宋" w:eastAsia="仿宋" w:cs="仿宋"/>
          <w:color w:val="auto"/>
          <w:highlight w:val="none"/>
        </w:rPr>
        <w:t>采购人应当在5个工作日内，从评审报告提出的成交候选供应商中，按照排序由高到低的原则确定成交供应商，也可以授权竞采小组直接确定成交供应商。</w:t>
      </w:r>
    </w:p>
    <w:p w14:paraId="67DC15B8">
      <w:pPr>
        <w:pStyle w:val="27"/>
        <w:rPr>
          <w:rFonts w:hint="eastAsia" w:ascii="仿宋" w:hAnsi="仿宋" w:eastAsia="仿宋" w:cs="仿宋"/>
          <w:color w:val="auto"/>
          <w:highlight w:val="none"/>
        </w:rPr>
      </w:pPr>
      <w:r>
        <w:rPr>
          <w:rFonts w:hint="eastAsia" w:ascii="仿宋" w:hAnsi="仿宋" w:eastAsia="仿宋" w:cs="仿宋"/>
          <w:color w:val="auto"/>
          <w:highlight w:val="none"/>
        </w:rPr>
        <w:t>（二）成交供应商的变更</w:t>
      </w:r>
    </w:p>
    <w:p w14:paraId="013A327A">
      <w:pPr>
        <w:pStyle w:val="27"/>
        <w:rPr>
          <w:rFonts w:hint="eastAsia" w:ascii="仿宋" w:hAnsi="仿宋" w:eastAsia="仿宋" w:cs="仿宋"/>
          <w:color w:val="auto"/>
          <w:highlight w:val="none"/>
        </w:rPr>
      </w:pPr>
      <w:r>
        <w:rPr>
          <w:rFonts w:hint="eastAsia" w:ascii="仿宋" w:hAnsi="仿宋" w:eastAsia="仿宋" w:cs="仿宋"/>
          <w:color w:val="auto"/>
          <w:highlight w:val="none"/>
        </w:rPr>
        <w:t>成交供应商拒绝与采购人签订合同的，采购人可以按照评标报告推荐的成交候选供应商顺序，确定排名下一位的候选人为成交供应商，也可以重新开展竞采活动。</w:t>
      </w:r>
    </w:p>
    <w:p w14:paraId="30AF24C0">
      <w:pPr>
        <w:pStyle w:val="3"/>
        <w:spacing w:line="240" w:lineRule="auto"/>
        <w:ind w:firstLine="643"/>
        <w:rPr>
          <w:rFonts w:hint="eastAsia" w:ascii="仿宋" w:hAnsi="仿宋" w:eastAsia="仿宋" w:cs="仿宋"/>
          <w:color w:val="auto"/>
          <w:highlight w:val="none"/>
        </w:rPr>
      </w:pPr>
      <w:bookmarkStart w:id="128" w:name="_Toc102227321"/>
      <w:bookmarkStart w:id="129" w:name="_Toc106030897"/>
      <w:bookmarkStart w:id="130" w:name="_Toc183783153"/>
      <w:bookmarkStart w:id="131" w:name="_Toc342913395"/>
      <w:bookmarkStart w:id="132" w:name="_Toc76462342"/>
      <w:r>
        <w:rPr>
          <w:rFonts w:hint="eastAsia" w:ascii="仿宋" w:hAnsi="仿宋" w:eastAsia="仿宋" w:cs="仿宋"/>
          <w:color w:val="auto"/>
          <w:highlight w:val="none"/>
        </w:rPr>
        <w:t>五、成交通知</w:t>
      </w:r>
      <w:bookmarkEnd w:id="128"/>
      <w:bookmarkEnd w:id="129"/>
      <w:bookmarkEnd w:id="130"/>
      <w:bookmarkEnd w:id="131"/>
      <w:bookmarkEnd w:id="132"/>
    </w:p>
    <w:p w14:paraId="4A219698">
      <w:pPr>
        <w:pStyle w:val="27"/>
        <w:rPr>
          <w:rFonts w:hint="eastAsia" w:ascii="仿宋" w:hAnsi="仿宋" w:eastAsia="仿宋" w:cs="仿宋"/>
          <w:color w:val="auto"/>
          <w:highlight w:val="none"/>
        </w:rPr>
      </w:pPr>
      <w:r>
        <w:rPr>
          <w:rFonts w:hint="eastAsia" w:ascii="仿宋" w:hAnsi="仿宋" w:eastAsia="仿宋" w:cs="仿宋"/>
          <w:color w:val="auto"/>
          <w:highlight w:val="none"/>
        </w:rPr>
        <w:t>（一）成交供应商确定后，采购人/代理机构将在</w:t>
      </w:r>
      <w:r>
        <w:rPr>
          <w:rFonts w:hint="eastAsia" w:ascii="仿宋" w:hAnsi="仿宋" w:eastAsia="仿宋" w:cs="仿宋"/>
          <w:color w:val="auto"/>
          <w:szCs w:val="24"/>
          <w:highlight w:val="none"/>
        </w:rPr>
        <w:t>（https://www.gec123.com/）行采家</w:t>
      </w:r>
      <w:r>
        <w:rPr>
          <w:rFonts w:hint="eastAsia" w:ascii="仿宋" w:hAnsi="仿宋" w:eastAsia="仿宋" w:cs="仿宋"/>
          <w:color w:val="auto"/>
          <w:highlight w:val="none"/>
        </w:rPr>
        <w:t>上发布成交结果公告。</w:t>
      </w:r>
    </w:p>
    <w:p w14:paraId="059B1715">
      <w:pPr>
        <w:pStyle w:val="27"/>
        <w:rPr>
          <w:rFonts w:hint="eastAsia" w:ascii="仿宋" w:hAnsi="仿宋" w:eastAsia="仿宋" w:cs="仿宋"/>
          <w:color w:val="auto"/>
          <w:highlight w:val="none"/>
        </w:rPr>
      </w:pPr>
      <w:r>
        <w:rPr>
          <w:rFonts w:hint="eastAsia" w:ascii="仿宋" w:hAnsi="仿宋" w:eastAsia="仿宋" w:cs="仿宋"/>
          <w:color w:val="auto"/>
          <w:highlight w:val="none"/>
        </w:rPr>
        <w:t>（二）结果公告发出同时，采购人/代理机构将以书面形式发出《成交通知书》。《成交通知书》一经发出即发生法律效力。</w:t>
      </w:r>
    </w:p>
    <w:p w14:paraId="29D131EF">
      <w:pPr>
        <w:pStyle w:val="27"/>
        <w:rPr>
          <w:rFonts w:hint="eastAsia" w:ascii="仿宋" w:hAnsi="仿宋" w:eastAsia="仿宋" w:cs="仿宋"/>
          <w:color w:val="auto"/>
          <w:highlight w:val="none"/>
        </w:rPr>
      </w:pPr>
      <w:r>
        <w:rPr>
          <w:rFonts w:hint="eastAsia" w:ascii="仿宋" w:hAnsi="仿宋" w:eastAsia="仿宋" w:cs="仿宋"/>
          <w:color w:val="auto"/>
          <w:highlight w:val="none"/>
        </w:rPr>
        <w:t>（三）《成交通知书》作为签订合同的依据。</w:t>
      </w:r>
    </w:p>
    <w:p w14:paraId="5975653B">
      <w:pPr>
        <w:pStyle w:val="3"/>
        <w:spacing w:line="240" w:lineRule="auto"/>
        <w:ind w:firstLine="643"/>
        <w:rPr>
          <w:rFonts w:hint="eastAsia" w:ascii="仿宋" w:hAnsi="仿宋" w:eastAsia="仿宋" w:cs="仿宋"/>
          <w:color w:val="auto"/>
          <w:highlight w:val="none"/>
        </w:rPr>
      </w:pPr>
      <w:bookmarkStart w:id="133" w:name="_Toc106030898"/>
      <w:bookmarkStart w:id="134" w:name="_Toc76462343"/>
      <w:bookmarkStart w:id="135" w:name="_Toc183783154"/>
      <w:r>
        <w:rPr>
          <w:rFonts w:hint="eastAsia" w:ascii="仿宋" w:hAnsi="仿宋" w:eastAsia="仿宋" w:cs="仿宋"/>
          <w:color w:val="auto"/>
          <w:highlight w:val="none"/>
        </w:rPr>
        <w:t>六、关于质疑和投诉</w:t>
      </w:r>
      <w:bookmarkEnd w:id="133"/>
      <w:bookmarkEnd w:id="134"/>
      <w:bookmarkEnd w:id="135"/>
    </w:p>
    <w:p w14:paraId="07B9663F">
      <w:pPr>
        <w:pStyle w:val="27"/>
        <w:rPr>
          <w:rFonts w:hint="eastAsia" w:ascii="仿宋" w:hAnsi="仿宋" w:eastAsia="仿宋" w:cs="仿宋"/>
          <w:color w:val="auto"/>
          <w:highlight w:val="none"/>
        </w:rPr>
      </w:pPr>
      <w:r>
        <w:rPr>
          <w:rFonts w:hint="eastAsia" w:ascii="仿宋" w:hAnsi="仿宋" w:eastAsia="仿宋" w:cs="仿宋"/>
          <w:color w:val="auto"/>
          <w:highlight w:val="none"/>
        </w:rPr>
        <w:t>（一）质疑</w:t>
      </w:r>
    </w:p>
    <w:p w14:paraId="6E94423F">
      <w:pPr>
        <w:pStyle w:val="27"/>
        <w:rPr>
          <w:rFonts w:hint="eastAsia" w:ascii="仿宋" w:hAnsi="仿宋" w:eastAsia="仿宋" w:cs="仿宋"/>
          <w:color w:val="auto"/>
          <w:highlight w:val="none"/>
        </w:rPr>
      </w:pPr>
      <w:r>
        <w:rPr>
          <w:rFonts w:hint="eastAsia" w:ascii="仿宋" w:hAnsi="仿宋" w:eastAsia="仿宋" w:cs="仿宋"/>
          <w:color w:val="auto"/>
          <w:highlight w:val="none"/>
        </w:rPr>
        <w:t>供应商认为采购文件、采购过程和成交结果使自己的权益收到伤害的，可向采购人或采购代理机构以书面形式提出质疑。</w:t>
      </w:r>
    </w:p>
    <w:p w14:paraId="48BE500A">
      <w:pPr>
        <w:pStyle w:val="27"/>
        <w:rPr>
          <w:rFonts w:hint="eastAsia" w:ascii="仿宋" w:hAnsi="仿宋" w:eastAsia="仿宋" w:cs="仿宋"/>
          <w:color w:val="auto"/>
          <w:highlight w:val="none"/>
        </w:rPr>
      </w:pPr>
      <w:r>
        <w:rPr>
          <w:rFonts w:hint="eastAsia" w:ascii="仿宋" w:hAnsi="仿宋" w:eastAsia="仿宋" w:cs="仿宋"/>
          <w:color w:val="auto"/>
          <w:highlight w:val="none"/>
        </w:rPr>
        <w:t xml:space="preserve">提出质疑的应当是参与所质疑项目采购活动的供应商。 </w:t>
      </w:r>
    </w:p>
    <w:p w14:paraId="481171DD">
      <w:pPr>
        <w:pStyle w:val="27"/>
        <w:rPr>
          <w:rFonts w:hint="eastAsia" w:ascii="仿宋" w:hAnsi="仿宋" w:eastAsia="仿宋" w:cs="仿宋"/>
          <w:color w:val="auto"/>
          <w:highlight w:val="none"/>
        </w:rPr>
      </w:pPr>
      <w:r>
        <w:rPr>
          <w:rFonts w:hint="eastAsia" w:ascii="仿宋" w:hAnsi="仿宋" w:eastAsia="仿宋" w:cs="仿宋"/>
          <w:color w:val="auto"/>
          <w:highlight w:val="none"/>
        </w:rPr>
        <w:t>1.质疑时限、内容</w:t>
      </w:r>
    </w:p>
    <w:p w14:paraId="604A0A25">
      <w:pPr>
        <w:pStyle w:val="27"/>
        <w:rPr>
          <w:rFonts w:hint="eastAsia" w:ascii="仿宋" w:hAnsi="仿宋" w:eastAsia="仿宋" w:cs="仿宋"/>
          <w:color w:val="auto"/>
          <w:highlight w:val="none"/>
        </w:rPr>
      </w:pPr>
      <w:r>
        <w:rPr>
          <w:rFonts w:hint="eastAsia" w:ascii="仿宋" w:hAnsi="仿宋" w:eastAsia="仿宋" w:cs="仿宋"/>
          <w:color w:val="auto"/>
          <w:highlight w:val="none"/>
        </w:rPr>
        <w:t>供应商认为采购文件、采购过程、成交结果使自己的权益受到损害的，可以在知道或者应知其权益受到损害之日起2个工作日内，以书面形式向采购人、采购代理机构提出质疑。</w:t>
      </w:r>
    </w:p>
    <w:p w14:paraId="137405A3">
      <w:pPr>
        <w:pStyle w:val="27"/>
        <w:rPr>
          <w:rFonts w:hint="eastAsia" w:ascii="仿宋" w:hAnsi="仿宋" w:eastAsia="仿宋" w:cs="仿宋"/>
          <w:color w:val="auto"/>
          <w:highlight w:val="none"/>
        </w:rPr>
      </w:pPr>
      <w:r>
        <w:rPr>
          <w:rFonts w:hint="eastAsia" w:ascii="仿宋" w:hAnsi="仿宋" w:eastAsia="仿宋" w:cs="仿宋"/>
          <w:color w:val="auto"/>
          <w:highlight w:val="none"/>
        </w:rPr>
        <w:t>1.2供应商提出质疑应当提交质疑函和必要的证明材料，质疑函应当包括下列内容：</w:t>
      </w:r>
    </w:p>
    <w:p w14:paraId="6508E9AC">
      <w:pPr>
        <w:pStyle w:val="27"/>
        <w:rPr>
          <w:rFonts w:hint="eastAsia" w:ascii="仿宋" w:hAnsi="仿宋" w:eastAsia="仿宋" w:cs="仿宋"/>
          <w:color w:val="auto"/>
          <w:highlight w:val="none"/>
        </w:rPr>
      </w:pPr>
      <w:r>
        <w:rPr>
          <w:rFonts w:hint="eastAsia" w:ascii="仿宋" w:hAnsi="仿宋" w:eastAsia="仿宋" w:cs="仿宋"/>
          <w:color w:val="auto"/>
          <w:highlight w:val="none"/>
        </w:rPr>
        <w:t>1.2.1供应商的名称、地址、联系人及联系电话；</w:t>
      </w:r>
    </w:p>
    <w:p w14:paraId="21F952D0">
      <w:pPr>
        <w:pStyle w:val="27"/>
        <w:rPr>
          <w:rFonts w:hint="eastAsia" w:ascii="仿宋" w:hAnsi="仿宋" w:eastAsia="仿宋" w:cs="仿宋"/>
          <w:color w:val="auto"/>
          <w:highlight w:val="none"/>
        </w:rPr>
      </w:pPr>
      <w:r>
        <w:rPr>
          <w:rFonts w:hint="eastAsia" w:ascii="仿宋" w:hAnsi="仿宋" w:eastAsia="仿宋" w:cs="仿宋"/>
          <w:color w:val="auto"/>
          <w:highlight w:val="none"/>
        </w:rPr>
        <w:t>1.2.2质疑项目的名称、采购编号；</w:t>
      </w:r>
    </w:p>
    <w:p w14:paraId="74EABB8B">
      <w:pPr>
        <w:pStyle w:val="27"/>
        <w:rPr>
          <w:rFonts w:hint="eastAsia" w:ascii="仿宋" w:hAnsi="仿宋" w:eastAsia="仿宋" w:cs="仿宋"/>
          <w:color w:val="auto"/>
          <w:highlight w:val="none"/>
        </w:rPr>
      </w:pPr>
      <w:r>
        <w:rPr>
          <w:rFonts w:hint="eastAsia" w:ascii="仿宋" w:hAnsi="仿宋" w:eastAsia="仿宋" w:cs="仿宋"/>
          <w:color w:val="auto"/>
          <w:highlight w:val="none"/>
        </w:rPr>
        <w:t>1.2.3具体、明确的质疑事项和与质疑事项相关的请求；</w:t>
      </w:r>
    </w:p>
    <w:p w14:paraId="6C29B65C">
      <w:pPr>
        <w:pStyle w:val="27"/>
        <w:rPr>
          <w:rFonts w:hint="eastAsia" w:ascii="仿宋" w:hAnsi="仿宋" w:eastAsia="仿宋" w:cs="仿宋"/>
          <w:color w:val="auto"/>
          <w:highlight w:val="none"/>
        </w:rPr>
      </w:pPr>
      <w:r>
        <w:rPr>
          <w:rFonts w:hint="eastAsia" w:ascii="仿宋" w:hAnsi="仿宋" w:eastAsia="仿宋" w:cs="仿宋"/>
          <w:color w:val="auto"/>
          <w:highlight w:val="none"/>
        </w:rPr>
        <w:t>1.2.4事实依据；</w:t>
      </w:r>
    </w:p>
    <w:p w14:paraId="1745D2CC">
      <w:pPr>
        <w:pStyle w:val="27"/>
        <w:rPr>
          <w:rFonts w:hint="eastAsia" w:ascii="仿宋" w:hAnsi="仿宋" w:eastAsia="仿宋" w:cs="仿宋"/>
          <w:color w:val="auto"/>
          <w:highlight w:val="none"/>
        </w:rPr>
      </w:pPr>
      <w:r>
        <w:rPr>
          <w:rFonts w:hint="eastAsia" w:ascii="仿宋" w:hAnsi="仿宋" w:eastAsia="仿宋" w:cs="仿宋"/>
          <w:color w:val="auto"/>
          <w:highlight w:val="none"/>
        </w:rPr>
        <w:t>1.2.5必要的法律依据；</w:t>
      </w:r>
    </w:p>
    <w:p w14:paraId="6CB49AD2">
      <w:pPr>
        <w:pStyle w:val="27"/>
        <w:rPr>
          <w:rFonts w:hint="eastAsia" w:ascii="仿宋" w:hAnsi="仿宋" w:eastAsia="仿宋" w:cs="仿宋"/>
          <w:color w:val="auto"/>
          <w:highlight w:val="none"/>
        </w:rPr>
      </w:pPr>
      <w:r>
        <w:rPr>
          <w:rFonts w:hint="eastAsia" w:ascii="仿宋" w:hAnsi="仿宋" w:eastAsia="仿宋" w:cs="仿宋"/>
          <w:color w:val="auto"/>
          <w:highlight w:val="none"/>
        </w:rPr>
        <w:t>1.2.6提出质疑的日期；</w:t>
      </w:r>
    </w:p>
    <w:p w14:paraId="67A46BC3">
      <w:pPr>
        <w:pStyle w:val="27"/>
        <w:rPr>
          <w:rFonts w:hint="eastAsia" w:ascii="仿宋" w:hAnsi="仿宋" w:eastAsia="仿宋" w:cs="仿宋"/>
          <w:color w:val="auto"/>
          <w:highlight w:val="none"/>
        </w:rPr>
      </w:pPr>
      <w:r>
        <w:rPr>
          <w:rFonts w:hint="eastAsia" w:ascii="仿宋" w:hAnsi="仿宋" w:eastAsia="仿宋" w:cs="仿宋"/>
          <w:color w:val="auto"/>
          <w:highlight w:val="none"/>
        </w:rPr>
        <w:t>1.2.7营业执照（或事业单位法人证书，或个体工商户营业执照或有效的自然人身份证明）复印件；</w:t>
      </w:r>
    </w:p>
    <w:p w14:paraId="29C71340">
      <w:pPr>
        <w:pStyle w:val="27"/>
        <w:rPr>
          <w:rFonts w:hint="eastAsia" w:ascii="仿宋" w:hAnsi="仿宋" w:eastAsia="仿宋" w:cs="仿宋"/>
          <w:color w:val="auto"/>
          <w:highlight w:val="none"/>
        </w:rPr>
      </w:pPr>
      <w:r>
        <w:rPr>
          <w:rFonts w:hint="eastAsia" w:ascii="仿宋" w:hAnsi="仿宋" w:eastAsia="仿宋" w:cs="仿宋"/>
          <w:color w:val="auto"/>
          <w:highlight w:val="none"/>
        </w:rPr>
        <w:t>1.2.8法定代表人授权委托书原件、法定代表人身份证复印件和其授权代表的身份证复印件（供应商为自然人的提供自然人身份证复印件）；</w:t>
      </w:r>
    </w:p>
    <w:p w14:paraId="553A37F2">
      <w:pPr>
        <w:pStyle w:val="27"/>
        <w:rPr>
          <w:rFonts w:hint="eastAsia" w:ascii="仿宋" w:hAnsi="仿宋" w:eastAsia="仿宋" w:cs="仿宋"/>
          <w:color w:val="auto"/>
          <w:highlight w:val="none"/>
        </w:rPr>
      </w:pPr>
      <w:r>
        <w:rPr>
          <w:rFonts w:hint="eastAsia" w:ascii="仿宋" w:hAnsi="仿宋" w:eastAsia="仿宋" w:cs="仿宋"/>
          <w:color w:val="auto"/>
          <w:highlight w:val="none"/>
        </w:rPr>
        <w:t>1.3供应商为自然人的，质疑函应当由本人签字；供应商为法人或者其他组织的，质疑函应当由法定代表人、主要负责人，或者其授权代表签字或者盖章，并加盖公章。</w:t>
      </w:r>
    </w:p>
    <w:p w14:paraId="35811382">
      <w:pPr>
        <w:pStyle w:val="27"/>
        <w:rPr>
          <w:rFonts w:hint="eastAsia" w:ascii="仿宋" w:hAnsi="仿宋" w:eastAsia="仿宋" w:cs="仿宋"/>
          <w:color w:val="auto"/>
          <w:highlight w:val="none"/>
        </w:rPr>
      </w:pPr>
      <w:r>
        <w:rPr>
          <w:rFonts w:hint="eastAsia" w:ascii="仿宋" w:hAnsi="仿宋" w:eastAsia="仿宋" w:cs="仿宋"/>
          <w:color w:val="auto"/>
          <w:highlight w:val="none"/>
        </w:rPr>
        <w:t>2.质疑答复</w:t>
      </w:r>
    </w:p>
    <w:p w14:paraId="33D63ED7">
      <w:pPr>
        <w:pStyle w:val="27"/>
        <w:rPr>
          <w:rFonts w:hint="eastAsia" w:ascii="仿宋" w:hAnsi="仿宋" w:eastAsia="仿宋" w:cs="仿宋"/>
          <w:color w:val="auto"/>
          <w:highlight w:val="none"/>
        </w:rPr>
      </w:pPr>
      <w:r>
        <w:rPr>
          <w:rFonts w:hint="eastAsia" w:ascii="仿宋" w:hAnsi="仿宋" w:eastAsia="仿宋" w:cs="仿宋"/>
          <w:color w:val="auto"/>
          <w:highlight w:val="none"/>
        </w:rPr>
        <w:t>采购人、采购代理机构应当在收到供应商的书面质疑后2个工作日内作出答复，并以书面形式通知质疑供应商和其他有关供应商。</w:t>
      </w:r>
    </w:p>
    <w:p w14:paraId="3D358510">
      <w:pPr>
        <w:pStyle w:val="27"/>
        <w:rPr>
          <w:rFonts w:hint="eastAsia" w:ascii="仿宋" w:hAnsi="仿宋" w:eastAsia="仿宋" w:cs="仿宋"/>
          <w:color w:val="auto"/>
          <w:highlight w:val="none"/>
        </w:rPr>
      </w:pPr>
      <w:r>
        <w:rPr>
          <w:rFonts w:hint="eastAsia" w:ascii="仿宋" w:hAnsi="仿宋" w:eastAsia="仿宋" w:cs="仿宋"/>
          <w:color w:val="auto"/>
          <w:highlight w:val="none"/>
        </w:rPr>
        <w:t>3.其他</w:t>
      </w:r>
    </w:p>
    <w:p w14:paraId="493E912D">
      <w:pPr>
        <w:pStyle w:val="27"/>
        <w:rPr>
          <w:rFonts w:hint="eastAsia" w:ascii="仿宋" w:hAnsi="仿宋" w:eastAsia="仿宋" w:cs="仿宋"/>
          <w:color w:val="auto"/>
          <w:highlight w:val="none"/>
        </w:rPr>
      </w:pPr>
      <w:r>
        <w:rPr>
          <w:rFonts w:hint="eastAsia" w:ascii="仿宋" w:hAnsi="仿宋" w:eastAsia="仿宋" w:cs="仿宋"/>
          <w:color w:val="auto"/>
          <w:highlight w:val="none"/>
        </w:rPr>
        <w:t>（如有）</w:t>
      </w:r>
    </w:p>
    <w:p w14:paraId="00544770">
      <w:pPr>
        <w:pStyle w:val="27"/>
        <w:rPr>
          <w:rFonts w:hint="eastAsia" w:ascii="仿宋" w:hAnsi="仿宋" w:eastAsia="仿宋" w:cs="仿宋"/>
          <w:color w:val="auto"/>
          <w:highlight w:val="none"/>
        </w:rPr>
      </w:pPr>
      <w:r>
        <w:rPr>
          <w:rFonts w:hint="eastAsia" w:ascii="仿宋" w:hAnsi="仿宋" w:eastAsia="仿宋" w:cs="仿宋"/>
          <w:color w:val="auto"/>
          <w:highlight w:val="none"/>
        </w:rPr>
        <w:t>（二）投诉</w:t>
      </w:r>
    </w:p>
    <w:p w14:paraId="3C45503B">
      <w:pPr>
        <w:pStyle w:val="27"/>
        <w:rPr>
          <w:rFonts w:hint="eastAsia" w:ascii="仿宋" w:hAnsi="仿宋" w:eastAsia="仿宋" w:cs="仿宋"/>
          <w:color w:val="auto"/>
          <w:highlight w:val="none"/>
        </w:rPr>
      </w:pPr>
      <w:r>
        <w:rPr>
          <w:rFonts w:hint="eastAsia" w:ascii="仿宋" w:hAnsi="仿宋" w:eastAsia="仿宋" w:cs="仿宋"/>
          <w:color w:val="auto"/>
          <w:highlight w:val="none"/>
        </w:rPr>
        <w:t>1.供应商对采购人、采购代理机构的答复不满意，或者采购人、采购代理机构未在规定时间内作出答复的，可以在答复期满后2个工作日内向璧山国资中心提起投诉。</w:t>
      </w:r>
    </w:p>
    <w:p w14:paraId="4A23B848">
      <w:pPr>
        <w:pStyle w:val="27"/>
        <w:rPr>
          <w:rFonts w:hint="eastAsia" w:ascii="仿宋" w:hAnsi="仿宋" w:eastAsia="仿宋" w:cs="仿宋"/>
          <w:color w:val="auto"/>
          <w:highlight w:val="none"/>
        </w:rPr>
      </w:pPr>
      <w:r>
        <w:rPr>
          <w:rFonts w:hint="eastAsia" w:ascii="仿宋" w:hAnsi="仿宋" w:eastAsia="仿宋" w:cs="仿宋"/>
          <w:color w:val="auto"/>
          <w:highlight w:val="none"/>
        </w:rPr>
        <w:t>2.在确定受理投诉后，璧山国资中心7个工作日内（需要检验、检测、鉴定、专家评审以及需要投诉人补正材料的，所需时间不计算在投诉处理期限内）对投诉事项做出处理决定。</w:t>
      </w:r>
    </w:p>
    <w:p w14:paraId="57618A01">
      <w:pPr>
        <w:pStyle w:val="3"/>
        <w:spacing w:line="240" w:lineRule="auto"/>
        <w:ind w:firstLine="643"/>
        <w:rPr>
          <w:rFonts w:hint="eastAsia" w:ascii="仿宋" w:hAnsi="仿宋" w:eastAsia="仿宋" w:cs="仿宋"/>
          <w:color w:val="auto"/>
          <w:highlight w:val="none"/>
        </w:rPr>
      </w:pPr>
      <w:bookmarkStart w:id="136" w:name="_Toc76462344"/>
      <w:bookmarkStart w:id="137" w:name="_Toc106030899"/>
      <w:bookmarkStart w:id="138" w:name="_Toc183783155"/>
      <w:r>
        <w:rPr>
          <w:rFonts w:hint="eastAsia" w:ascii="仿宋" w:hAnsi="仿宋" w:eastAsia="仿宋" w:cs="仿宋"/>
          <w:color w:val="auto"/>
          <w:highlight w:val="none"/>
        </w:rPr>
        <w:t>七、采购代理服务费</w:t>
      </w:r>
      <w:bookmarkEnd w:id="136"/>
      <w:bookmarkEnd w:id="137"/>
      <w:bookmarkEnd w:id="138"/>
    </w:p>
    <w:p w14:paraId="75242B88">
      <w:pPr>
        <w:pStyle w:val="27"/>
        <w:rPr>
          <w:rFonts w:hint="eastAsia" w:ascii="仿宋" w:hAnsi="仿宋" w:eastAsia="仿宋" w:cs="仿宋"/>
          <w:color w:val="auto"/>
          <w:highlight w:val="none"/>
        </w:rPr>
      </w:pPr>
      <w:bookmarkStart w:id="139" w:name="OLE_LINK8"/>
      <w:bookmarkStart w:id="140" w:name="OLE_LINK7"/>
      <w:r>
        <w:rPr>
          <w:rFonts w:hint="eastAsia" w:ascii="仿宋" w:hAnsi="仿宋" w:eastAsia="仿宋" w:cs="仿宋"/>
          <w:color w:val="auto"/>
          <w:highlight w:val="none"/>
        </w:rPr>
        <w:t>（一）供应商中标后向采购代理机构缴纳采购代理服务费，本次采购代理服务费</w:t>
      </w:r>
      <w:bookmarkEnd w:id="139"/>
      <w:bookmarkEnd w:id="140"/>
      <w:r>
        <w:rPr>
          <w:rFonts w:hint="eastAsia" w:ascii="仿宋" w:hAnsi="仿宋" w:eastAsia="仿宋" w:cs="仿宋"/>
          <w:color w:val="auto"/>
          <w:highlight w:val="none"/>
        </w:rPr>
        <w:t>为</w:t>
      </w:r>
      <w:r>
        <w:rPr>
          <w:rFonts w:hint="eastAsia" w:ascii="仿宋" w:hAnsi="仿宋" w:eastAsia="仿宋" w:cs="仿宋"/>
          <w:color w:val="auto"/>
          <w:highlight w:val="none"/>
          <w:lang w:val="en-US" w:eastAsia="zh-CN"/>
        </w:rPr>
        <w:t>2000</w:t>
      </w:r>
      <w:r>
        <w:rPr>
          <w:rFonts w:hint="eastAsia" w:ascii="仿宋" w:hAnsi="仿宋" w:eastAsia="仿宋" w:cs="仿宋"/>
          <w:color w:val="auto"/>
          <w:highlight w:val="none"/>
        </w:rPr>
        <w:t>元。</w:t>
      </w:r>
    </w:p>
    <w:p w14:paraId="34E6ACFD">
      <w:pPr>
        <w:pStyle w:val="27"/>
        <w:rPr>
          <w:rFonts w:hint="eastAsia" w:ascii="仿宋" w:hAnsi="仿宋" w:eastAsia="仿宋" w:cs="仿宋"/>
          <w:color w:val="auto"/>
          <w:highlight w:val="none"/>
        </w:rPr>
      </w:pPr>
      <w:r>
        <w:rPr>
          <w:rFonts w:hint="eastAsia" w:ascii="仿宋" w:hAnsi="仿宋" w:eastAsia="仿宋" w:cs="仿宋"/>
          <w:color w:val="auto"/>
          <w:highlight w:val="none"/>
        </w:rPr>
        <w:t>采购代理服务费指定收款账户信息：</w:t>
      </w:r>
    </w:p>
    <w:p w14:paraId="108728D3">
      <w:pPr>
        <w:pStyle w:val="27"/>
        <w:rPr>
          <w:rFonts w:hint="eastAsia" w:ascii="仿宋" w:hAnsi="仿宋" w:eastAsia="仿宋" w:cs="仿宋"/>
          <w:color w:val="auto"/>
          <w:highlight w:val="none"/>
          <w:lang w:eastAsia="zh-CN"/>
        </w:rPr>
      </w:pPr>
      <w:r>
        <w:rPr>
          <w:rFonts w:hint="eastAsia" w:ascii="仿宋" w:hAnsi="仿宋" w:eastAsia="仿宋" w:cs="仿宋"/>
          <w:color w:val="auto"/>
          <w:highlight w:val="none"/>
        </w:rPr>
        <w:t>户名：</w:t>
      </w:r>
      <w:r>
        <w:rPr>
          <w:rFonts w:hint="eastAsia" w:ascii="仿宋" w:hAnsi="仿宋" w:eastAsia="仿宋" w:cs="仿宋"/>
          <w:color w:val="auto"/>
          <w:highlight w:val="none"/>
          <w:lang w:eastAsia="zh-CN"/>
        </w:rPr>
        <w:t>重庆标友工程管理咨询有限公司</w:t>
      </w:r>
    </w:p>
    <w:p w14:paraId="2C35E1FF">
      <w:pPr>
        <w:pStyle w:val="27"/>
        <w:rPr>
          <w:rFonts w:hint="eastAsia" w:ascii="仿宋" w:hAnsi="仿宋" w:eastAsia="仿宋" w:cs="仿宋"/>
          <w:color w:val="auto"/>
          <w:highlight w:val="none"/>
        </w:rPr>
      </w:pPr>
      <w:r>
        <w:rPr>
          <w:rFonts w:hint="eastAsia" w:ascii="仿宋" w:hAnsi="仿宋" w:eastAsia="仿宋" w:cs="仿宋"/>
          <w:color w:val="auto"/>
          <w:highlight w:val="none"/>
        </w:rPr>
        <w:t>开户银行：交通银行股份有限公司重庆大坪支行</w:t>
      </w:r>
    </w:p>
    <w:p w14:paraId="53F83F20">
      <w:pPr>
        <w:pStyle w:val="27"/>
        <w:rPr>
          <w:rFonts w:hint="eastAsia" w:ascii="仿宋" w:hAnsi="仿宋" w:eastAsia="仿宋" w:cs="仿宋"/>
          <w:color w:val="auto"/>
          <w:highlight w:val="none"/>
        </w:rPr>
      </w:pPr>
      <w:r>
        <w:rPr>
          <w:rFonts w:hint="eastAsia" w:ascii="仿宋" w:hAnsi="仿宋" w:eastAsia="仿宋" w:cs="仿宋"/>
          <w:color w:val="auto"/>
          <w:highlight w:val="none"/>
        </w:rPr>
        <w:t>开户账号：500500106013001748296</w:t>
      </w:r>
    </w:p>
    <w:p w14:paraId="759A84A4">
      <w:pPr>
        <w:pStyle w:val="3"/>
        <w:spacing w:line="240" w:lineRule="auto"/>
        <w:ind w:firstLine="643"/>
        <w:rPr>
          <w:rFonts w:hint="eastAsia" w:ascii="仿宋" w:hAnsi="仿宋" w:eastAsia="仿宋" w:cs="仿宋"/>
          <w:color w:val="auto"/>
          <w:highlight w:val="none"/>
        </w:rPr>
      </w:pPr>
      <w:bookmarkStart w:id="141" w:name="_Toc102227322"/>
      <w:bookmarkStart w:id="142" w:name="_Toc106030901"/>
      <w:bookmarkStart w:id="143" w:name="_Toc342913396"/>
      <w:bookmarkStart w:id="144" w:name="_Toc183783156"/>
      <w:bookmarkStart w:id="145" w:name="_Toc76462346"/>
      <w:r>
        <w:rPr>
          <w:rFonts w:hint="eastAsia" w:ascii="仿宋" w:hAnsi="仿宋" w:eastAsia="仿宋" w:cs="仿宋"/>
          <w:color w:val="auto"/>
          <w:highlight w:val="none"/>
        </w:rPr>
        <w:t>八、签订</w:t>
      </w:r>
      <w:bookmarkEnd w:id="141"/>
      <w:r>
        <w:rPr>
          <w:rFonts w:hint="eastAsia" w:ascii="仿宋" w:hAnsi="仿宋" w:eastAsia="仿宋" w:cs="仿宋"/>
          <w:color w:val="auto"/>
          <w:highlight w:val="none"/>
        </w:rPr>
        <w:t>合同</w:t>
      </w:r>
      <w:bookmarkEnd w:id="142"/>
      <w:bookmarkEnd w:id="143"/>
      <w:bookmarkEnd w:id="144"/>
      <w:bookmarkEnd w:id="145"/>
    </w:p>
    <w:p w14:paraId="43DF757F">
      <w:pPr>
        <w:pStyle w:val="27"/>
        <w:rPr>
          <w:rFonts w:hint="eastAsia" w:ascii="仿宋" w:hAnsi="仿宋" w:eastAsia="仿宋" w:cs="仿宋"/>
          <w:color w:val="auto"/>
          <w:highlight w:val="none"/>
        </w:rPr>
      </w:pPr>
      <w:r>
        <w:rPr>
          <w:rFonts w:hint="eastAsia" w:ascii="仿宋" w:hAnsi="仿宋" w:eastAsia="仿宋" w:cs="仿宋"/>
          <w:color w:val="auto"/>
          <w:highlight w:val="none"/>
        </w:rPr>
        <w:t>（一）采购人原则上应在结果公告发出之日起</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个工作日内和成交供应商签订采购合同，无正当理由不得拒绝或拖延合同签订。所签订的合同不得对竞采文件和供应商的响应文件作实质性修改。其他未尽事宜由采购人和成交供应商在采购合同中详细约定。</w:t>
      </w:r>
    </w:p>
    <w:p w14:paraId="6EAB74F5">
      <w:pPr>
        <w:pStyle w:val="27"/>
        <w:rPr>
          <w:rFonts w:hint="eastAsia" w:ascii="仿宋" w:hAnsi="仿宋" w:eastAsia="仿宋" w:cs="仿宋"/>
          <w:color w:val="auto"/>
          <w:highlight w:val="none"/>
        </w:rPr>
      </w:pPr>
      <w:r>
        <w:rPr>
          <w:rFonts w:hint="eastAsia" w:ascii="仿宋" w:hAnsi="仿宋" w:eastAsia="仿宋" w:cs="仿宋"/>
          <w:color w:val="auto"/>
          <w:highlight w:val="none"/>
        </w:rPr>
        <w:t>（二）竞采文件、供应商的响应文件及澄清文件等，均为签订采购合同的依据。</w:t>
      </w:r>
    </w:p>
    <w:p w14:paraId="42B2C374">
      <w:pPr>
        <w:pStyle w:val="27"/>
        <w:rPr>
          <w:rFonts w:hint="eastAsia" w:ascii="仿宋" w:hAnsi="仿宋" w:eastAsia="仿宋" w:cs="仿宋"/>
          <w:color w:val="auto"/>
          <w:highlight w:val="none"/>
        </w:rPr>
      </w:pPr>
      <w:r>
        <w:rPr>
          <w:rFonts w:hint="eastAsia" w:ascii="仿宋" w:hAnsi="仿宋" w:eastAsia="仿宋" w:cs="仿宋"/>
          <w:color w:val="auto"/>
          <w:highlight w:val="none"/>
        </w:rPr>
        <w:t>（三）合同生效条款由供需双方约定，法律、行政法规规定应当办理批准、登记等手续后生效的合同，依照其规定。</w:t>
      </w:r>
    </w:p>
    <w:p w14:paraId="5F011B12">
      <w:pPr>
        <w:pStyle w:val="27"/>
        <w:rPr>
          <w:rFonts w:hint="eastAsia" w:ascii="仿宋" w:hAnsi="仿宋" w:eastAsia="仿宋" w:cs="仿宋"/>
          <w:color w:val="auto"/>
          <w:highlight w:val="none"/>
        </w:rPr>
      </w:pPr>
      <w:r>
        <w:rPr>
          <w:rFonts w:hint="eastAsia" w:ascii="仿宋" w:hAnsi="仿宋" w:eastAsia="仿宋" w:cs="仿宋"/>
          <w:color w:val="auto"/>
          <w:highlight w:val="none"/>
        </w:rPr>
        <w:t>（四）合同原则上应按照《璧山区国企采购合同》签订，相关单位要求适用合同通用格式版本的，应按其要求另行签订其他合同。</w:t>
      </w:r>
    </w:p>
    <w:p w14:paraId="48786AE3">
      <w:pPr>
        <w:pStyle w:val="3"/>
        <w:spacing w:line="240" w:lineRule="auto"/>
        <w:ind w:firstLine="643"/>
        <w:rPr>
          <w:rFonts w:hint="eastAsia" w:ascii="仿宋" w:hAnsi="仿宋" w:eastAsia="仿宋" w:cs="仿宋"/>
          <w:color w:val="auto"/>
          <w:highlight w:val="none"/>
        </w:rPr>
      </w:pPr>
      <w:bookmarkStart w:id="146" w:name="_Toc183783157"/>
      <w:bookmarkStart w:id="147" w:name="_Toc106030902"/>
      <w:r>
        <w:rPr>
          <w:rFonts w:hint="eastAsia" w:ascii="仿宋" w:hAnsi="仿宋" w:eastAsia="仿宋" w:cs="仿宋"/>
          <w:color w:val="auto"/>
          <w:highlight w:val="none"/>
        </w:rPr>
        <w:t>九、项目验收</w:t>
      </w:r>
      <w:bookmarkEnd w:id="146"/>
      <w:bookmarkEnd w:id="147"/>
    </w:p>
    <w:p w14:paraId="37B10D72">
      <w:pPr>
        <w:pStyle w:val="27"/>
        <w:rPr>
          <w:rFonts w:hint="eastAsia" w:ascii="仿宋" w:hAnsi="仿宋" w:eastAsia="仿宋" w:cs="仿宋"/>
          <w:color w:val="auto"/>
          <w:highlight w:val="none"/>
        </w:rPr>
      </w:pPr>
      <w:r>
        <w:rPr>
          <w:rFonts w:hint="eastAsia" w:ascii="仿宋" w:hAnsi="仿宋" w:eastAsia="仿宋" w:cs="仿宋"/>
          <w:color w:val="auto"/>
          <w:highlight w:val="none"/>
        </w:rPr>
        <w:t>合同执行完毕，采购人或采购代理机构原则上应在5个工作日内组织履约情况验收，不得无故拖延或附加额外条件。</w:t>
      </w:r>
    </w:p>
    <w:p w14:paraId="51D0F66E">
      <w:pPr>
        <w:pStyle w:val="27"/>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DA01B6D">
      <w:pPr>
        <w:pStyle w:val="2"/>
        <w:spacing w:line="240" w:lineRule="auto"/>
        <w:ind w:firstLine="883"/>
        <w:jc w:val="center"/>
        <w:rPr>
          <w:rFonts w:hint="eastAsia" w:ascii="仿宋" w:hAnsi="仿宋" w:eastAsia="仿宋" w:cs="仿宋"/>
          <w:color w:val="auto"/>
          <w:highlight w:val="none"/>
          <w:lang w:eastAsia="zh-CN"/>
        </w:rPr>
      </w:pPr>
      <w:bookmarkStart w:id="148" w:name="_Toc183783158"/>
      <w:bookmarkStart w:id="149" w:name="_Toc109836391"/>
      <w:r>
        <w:rPr>
          <w:rFonts w:hint="eastAsia" w:ascii="仿宋" w:hAnsi="仿宋" w:eastAsia="仿宋" w:cs="仿宋"/>
          <w:color w:val="auto"/>
          <w:highlight w:val="none"/>
        </w:rPr>
        <w:t xml:space="preserve">第六篇  </w:t>
      </w:r>
      <w:bookmarkEnd w:id="148"/>
      <w:bookmarkEnd w:id="149"/>
      <w:r>
        <w:rPr>
          <w:rFonts w:hint="eastAsia" w:ascii="仿宋" w:hAnsi="仿宋" w:eastAsia="仿宋" w:cs="仿宋"/>
          <w:color w:val="auto"/>
          <w:highlight w:val="none"/>
        </w:rPr>
        <w:t>合同</w:t>
      </w:r>
      <w:r>
        <w:rPr>
          <w:rFonts w:hint="eastAsia" w:ascii="仿宋" w:hAnsi="仿宋" w:eastAsia="仿宋" w:cs="仿宋"/>
          <w:color w:val="auto"/>
          <w:highlight w:val="none"/>
          <w:lang w:eastAsia="zh-CN"/>
        </w:rPr>
        <w:t>（</w:t>
      </w:r>
      <w:r>
        <w:rPr>
          <w:rFonts w:hint="eastAsia" w:ascii="仿宋" w:hAnsi="仿宋" w:eastAsia="仿宋" w:cs="仿宋"/>
          <w:b/>
          <w:color w:val="auto"/>
          <w:sz w:val="44"/>
          <w:highlight w:val="none"/>
          <w:lang w:val="en-US" w:eastAsia="zh-CN"/>
        </w:rPr>
        <w:t>模版</w:t>
      </w:r>
      <w:r>
        <w:rPr>
          <w:rFonts w:hint="eastAsia" w:ascii="仿宋" w:hAnsi="仿宋" w:eastAsia="仿宋" w:cs="仿宋"/>
          <w:color w:val="auto"/>
          <w:highlight w:val="none"/>
          <w:lang w:eastAsia="zh-CN"/>
        </w:rPr>
        <w:t>）</w:t>
      </w:r>
    </w:p>
    <w:p w14:paraId="31D4D42C">
      <w:pPr>
        <w:jc w:val="center"/>
        <w:rPr>
          <w:rFonts w:hint="eastAsia" w:ascii="仿宋" w:hAnsi="仿宋" w:eastAsia="仿宋" w:cs="仿宋"/>
          <w:b/>
          <w:bCs/>
          <w:sz w:val="44"/>
          <w:szCs w:val="44"/>
          <w:highlight w:val="none"/>
          <w:lang w:eastAsia="zh-CN"/>
        </w:rPr>
      </w:pPr>
      <w:bookmarkStart w:id="150" w:name="_Toc183783159"/>
      <w:bookmarkStart w:id="151" w:name="_Toc10837"/>
      <w:r>
        <w:rPr>
          <w:rFonts w:hint="eastAsia" w:ascii="仿宋" w:hAnsi="仿宋" w:eastAsia="仿宋" w:cs="仿宋"/>
          <w:b/>
          <w:bCs/>
          <w:sz w:val="44"/>
          <w:szCs w:val="44"/>
          <w:highlight w:val="none"/>
          <w:lang w:eastAsia="zh-CN"/>
        </w:rPr>
        <w:t>重庆知天而作农业科技研究院有限公司专项审计(第二次)</w:t>
      </w:r>
    </w:p>
    <w:p w14:paraId="46F1034C">
      <w:pPr>
        <w:jc w:val="center"/>
        <w:rPr>
          <w:rFonts w:hint="eastAsia" w:ascii="仿宋" w:hAnsi="仿宋" w:eastAsia="仿宋" w:cs="仿宋"/>
          <w:b/>
          <w:bCs/>
          <w:sz w:val="44"/>
          <w:szCs w:val="44"/>
          <w:highlight w:val="none"/>
        </w:rPr>
      </w:pPr>
      <w:r>
        <w:rPr>
          <w:rFonts w:hint="eastAsia" w:ascii="仿宋" w:hAnsi="仿宋" w:eastAsia="仿宋" w:cs="仿宋"/>
          <w:b/>
          <w:bCs/>
          <w:sz w:val="44"/>
          <w:szCs w:val="44"/>
          <w:highlight w:val="none"/>
        </w:rPr>
        <w:t>业务约定书</w:t>
      </w:r>
    </w:p>
    <w:p w14:paraId="764D8B9A">
      <w:pPr>
        <w:rPr>
          <w:rFonts w:hint="eastAsia" w:ascii="仿宋" w:hAnsi="仿宋" w:eastAsia="仿宋" w:cs="仿宋"/>
          <w:sz w:val="24"/>
          <w:szCs w:val="24"/>
          <w:highlight w:val="none"/>
        </w:rPr>
      </w:pPr>
    </w:p>
    <w:p w14:paraId="14DC2B2F">
      <w:pPr>
        <w:rPr>
          <w:rFonts w:hint="eastAsia" w:ascii="仿宋" w:hAnsi="仿宋" w:eastAsia="仿宋" w:cs="仿宋"/>
          <w:sz w:val="24"/>
          <w:szCs w:val="24"/>
          <w:highlight w:val="none"/>
        </w:rPr>
      </w:pPr>
      <w:r>
        <w:rPr>
          <w:rFonts w:hint="eastAsia" w:ascii="仿宋" w:hAnsi="仿宋" w:eastAsia="仿宋" w:cs="仿宋"/>
          <w:sz w:val="24"/>
          <w:szCs w:val="24"/>
          <w:highlight w:val="none"/>
        </w:rPr>
        <w:t>甲方: 重庆绿发资产经营管理有限公司</w:t>
      </w:r>
    </w:p>
    <w:p w14:paraId="51B7B39C">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乙方: </w:t>
      </w:r>
    </w:p>
    <w:p w14:paraId="245E8EFD">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兹由甲方委托乙方对重庆知天而作农业科技研究院有限公司截至202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月3</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日的资产、负债、权益情况（不含经营期间的收支利润情况）进行专项审计，经双方协商，达成以下约定：</w:t>
      </w:r>
    </w:p>
    <w:p w14:paraId="2CA1A3CB">
      <w:pPr>
        <w:rPr>
          <w:rFonts w:hint="eastAsia" w:ascii="仿宋" w:hAnsi="仿宋" w:eastAsia="仿宋" w:cs="仿宋"/>
          <w:sz w:val="24"/>
          <w:szCs w:val="24"/>
          <w:highlight w:val="none"/>
        </w:rPr>
      </w:pPr>
      <w:r>
        <w:rPr>
          <w:rFonts w:hint="eastAsia" w:ascii="仿宋" w:hAnsi="仿宋" w:eastAsia="仿宋" w:cs="仿宋"/>
          <w:sz w:val="24"/>
          <w:szCs w:val="24"/>
          <w:highlight w:val="none"/>
        </w:rPr>
        <w:t>一、业务范围与审计目标</w:t>
      </w:r>
    </w:p>
    <w:p w14:paraId="295915D4">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1.乙方接受甲方委托，对重庆知天而作农业科技研究院有限公司截至202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月3</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日的资产、负债、权益情况（不含经营期间的收支利润情况）进行专项审计。</w:t>
      </w:r>
    </w:p>
    <w:p w14:paraId="27C5848D">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2.乙方通过执行审计工作，对重庆知天而作农业科技研究院有限公司资产、负债、权益情况（不含经营期间的收支利润情况）发表审计意见。</w:t>
      </w:r>
    </w:p>
    <w:p w14:paraId="222A9EE7">
      <w:pPr>
        <w:rPr>
          <w:rFonts w:hint="eastAsia" w:ascii="仿宋" w:hAnsi="仿宋" w:eastAsia="仿宋" w:cs="仿宋"/>
          <w:sz w:val="24"/>
          <w:szCs w:val="24"/>
          <w:highlight w:val="none"/>
        </w:rPr>
      </w:pPr>
      <w:r>
        <w:rPr>
          <w:rFonts w:hint="eastAsia" w:ascii="仿宋" w:hAnsi="仿宋" w:eastAsia="仿宋" w:cs="仿宋"/>
          <w:sz w:val="24"/>
          <w:szCs w:val="24"/>
          <w:highlight w:val="none"/>
        </w:rPr>
        <w:t>二、甲方的责任与义务</w:t>
      </w:r>
    </w:p>
    <w:p w14:paraId="046D43B9">
      <w:pPr>
        <w:rPr>
          <w:rFonts w:hint="eastAsia" w:ascii="仿宋" w:hAnsi="仿宋" w:eastAsia="仿宋" w:cs="仿宋"/>
          <w:sz w:val="24"/>
          <w:szCs w:val="24"/>
          <w:highlight w:val="none"/>
        </w:rPr>
      </w:pPr>
      <w:r>
        <w:rPr>
          <w:rFonts w:hint="eastAsia" w:ascii="仿宋" w:hAnsi="仿宋" w:eastAsia="仿宋" w:cs="仿宋"/>
          <w:sz w:val="24"/>
          <w:szCs w:val="24"/>
          <w:highlight w:val="none"/>
        </w:rPr>
        <w:t> （一）甲方的责任</w:t>
      </w:r>
    </w:p>
    <w:p w14:paraId="4E2C0593">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根据《中华人民共和国会计法》及《企业财务会计报告条例》，重庆知天而作农业科技研究院有限公司及负责人有责任保证会计资料的真实性和完整性。因此，重庆知天而作农业科技研究院有限公司管理层有责任妥善保存和提供会计记录（包括但不限于会计凭证、会计账簿及其他会计资料），这些记录必须真实、完整地反映重庆知天而作农业科技研究院有限公司的财务状况、经营成果和现金流量。如实进行资产登记并编制财务会计报表。 </w:t>
      </w:r>
    </w:p>
    <w:p w14:paraId="58DA08C8">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2.向注册会计师提供真实、合法、完整的会计资料和相关文件。</w:t>
      </w:r>
    </w:p>
    <w:p w14:paraId="5C24B348">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（二）甲方的义务</w:t>
      </w:r>
    </w:p>
    <w:p w14:paraId="68BA2F21">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1.及时为乙方的资产清查工作提供其所必要的会计资料和其他有关资料，以及对某些会计事项作出书面的陈述或说明。</w:t>
      </w:r>
    </w:p>
    <w:p w14:paraId="46428E90">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2.为乙方派出的有关工作人员提供必要的工作条件及合作，具体事项将由乙方的资产</w:t>
      </w:r>
      <w:r>
        <w:rPr>
          <w:rFonts w:hint="eastAsia" w:ascii="仿宋" w:hAnsi="仿宋" w:eastAsia="仿宋" w:cs="仿宋"/>
          <w:sz w:val="24"/>
          <w:szCs w:val="24"/>
          <w:highlight w:val="none"/>
          <w:lang w:val="en-US" w:eastAsia="zh-CN"/>
        </w:rPr>
        <w:t>清</w:t>
      </w:r>
      <w:r>
        <w:rPr>
          <w:rFonts w:hint="eastAsia" w:ascii="仿宋" w:hAnsi="仿宋" w:eastAsia="仿宋" w:cs="仿宋"/>
          <w:sz w:val="24"/>
          <w:szCs w:val="24"/>
          <w:highlight w:val="none"/>
        </w:rPr>
        <w:t>查工作人员于工作开始前提提供清单。</w:t>
      </w:r>
    </w:p>
    <w:p w14:paraId="334A1F07">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3.乙方认为需要发函向有关单位询证时，应提供协助并承担必要的费用。 </w:t>
      </w:r>
    </w:p>
    <w:p w14:paraId="5BA2E9CF">
      <w:pPr>
        <w:rPr>
          <w:rFonts w:hint="eastAsia" w:ascii="仿宋" w:hAnsi="仿宋" w:eastAsia="仿宋" w:cs="仿宋"/>
          <w:sz w:val="24"/>
          <w:szCs w:val="24"/>
          <w:highlight w:val="none"/>
        </w:rPr>
      </w:pPr>
      <w:r>
        <w:rPr>
          <w:rFonts w:hint="eastAsia" w:ascii="仿宋" w:hAnsi="仿宋" w:eastAsia="仿宋" w:cs="仿宋"/>
          <w:sz w:val="24"/>
          <w:szCs w:val="24"/>
          <w:highlight w:val="none"/>
        </w:rPr>
        <w:t>三、乙方的责任和义务 </w:t>
      </w:r>
    </w:p>
    <w:p w14:paraId="797D02BF">
      <w:pPr>
        <w:rPr>
          <w:rFonts w:hint="eastAsia" w:ascii="仿宋" w:hAnsi="仿宋" w:eastAsia="仿宋" w:cs="仿宋"/>
          <w:sz w:val="24"/>
          <w:szCs w:val="24"/>
          <w:highlight w:val="none"/>
        </w:rPr>
      </w:pPr>
      <w:r>
        <w:rPr>
          <w:rFonts w:hint="eastAsia" w:ascii="仿宋" w:hAnsi="仿宋" w:eastAsia="仿宋" w:cs="仿宋"/>
          <w:sz w:val="24"/>
          <w:szCs w:val="24"/>
          <w:highlight w:val="none"/>
        </w:rPr>
        <w:t>（一）乙方的责任 </w:t>
      </w:r>
    </w:p>
    <w:p w14:paraId="50E3DED1">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1.乙方的责任是对重庆知天而作农业科技研究院有限公司截止202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月3</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日的资产、负债、权益情况进行审计。</w:t>
      </w:r>
    </w:p>
    <w:p w14:paraId="78C24893">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由于资产清查单位内部控制制度固有的局限性和其它客观因素制约（包含历史遗留问题），难免存在资产清查在某些重要的方面反映失实，而注册会计师有可能在资产清查中未予发现的情况，因此，乙方的资产清查责任并不能替代、减轻或免除资产清查单位的部分责任。 </w:t>
      </w:r>
    </w:p>
    <w:p w14:paraId="02535148">
      <w:pPr>
        <w:rPr>
          <w:rFonts w:hint="eastAsia" w:ascii="仿宋" w:hAnsi="仿宋" w:eastAsia="仿宋" w:cs="仿宋"/>
          <w:sz w:val="24"/>
          <w:szCs w:val="24"/>
          <w:highlight w:val="none"/>
        </w:rPr>
      </w:pPr>
      <w:r>
        <w:rPr>
          <w:rFonts w:hint="eastAsia" w:ascii="仿宋" w:hAnsi="仿宋" w:eastAsia="仿宋" w:cs="仿宋"/>
          <w:sz w:val="24"/>
          <w:szCs w:val="24"/>
          <w:highlight w:val="none"/>
        </w:rPr>
        <w:t>（二）乙方的义务 </w:t>
      </w:r>
    </w:p>
    <w:p w14:paraId="7A7942DC">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1.按照规定的时间</w:t>
      </w:r>
      <w:r>
        <w:rPr>
          <w:rFonts w:hint="eastAsia" w:ascii="仿宋" w:hAnsi="仿宋" w:eastAsia="仿宋" w:cs="仿宋"/>
          <w:spacing w:val="0"/>
          <w:sz w:val="24"/>
          <w:szCs w:val="24"/>
          <w:highlight w:val="none"/>
          <w:lang w:val="en-US" w:eastAsia="zh-CN"/>
        </w:rPr>
        <w:t>(</w:t>
      </w:r>
      <w:r>
        <w:rPr>
          <w:rFonts w:hint="eastAsia" w:ascii="仿宋" w:hAnsi="仿宋" w:eastAsia="仿宋" w:cs="仿宋"/>
          <w:spacing w:val="0"/>
          <w:sz w:val="24"/>
          <w:szCs w:val="24"/>
          <w:highlight w:val="none"/>
          <w:lang w:eastAsia="en-US"/>
        </w:rPr>
        <w:t>中标次日签订服务合同，并于</w:t>
      </w:r>
      <w:r>
        <w:rPr>
          <w:rFonts w:hint="eastAsia" w:ascii="仿宋" w:hAnsi="仿宋" w:eastAsia="仿宋" w:cs="仿宋"/>
          <w:spacing w:val="0"/>
          <w:sz w:val="24"/>
          <w:szCs w:val="24"/>
          <w:highlight w:val="none"/>
          <w:lang w:val="en-US" w:eastAsia="zh-CN"/>
        </w:rPr>
        <w:t>10个工作</w:t>
      </w:r>
      <w:r>
        <w:rPr>
          <w:rFonts w:hint="eastAsia" w:ascii="仿宋" w:hAnsi="仿宋" w:eastAsia="仿宋" w:cs="仿宋"/>
          <w:spacing w:val="0"/>
          <w:sz w:val="24"/>
          <w:szCs w:val="24"/>
          <w:highlight w:val="none"/>
          <w:lang w:eastAsia="en-US"/>
        </w:rPr>
        <w:t>日内出具正式报告</w:t>
      </w:r>
      <w:r>
        <w:rPr>
          <w:rFonts w:hint="eastAsia" w:ascii="仿宋" w:hAnsi="仿宋" w:eastAsia="仿宋" w:cs="仿宋"/>
          <w:spacing w:val="0"/>
          <w:sz w:val="24"/>
          <w:szCs w:val="24"/>
          <w:highlight w:val="none"/>
          <w:lang w:val="en-US" w:eastAsia="zh-CN"/>
        </w:rPr>
        <w:t>)</w:t>
      </w:r>
      <w:r>
        <w:rPr>
          <w:rFonts w:hint="eastAsia" w:ascii="仿宋" w:hAnsi="仿宋" w:eastAsia="仿宋" w:cs="仿宋"/>
          <w:sz w:val="24"/>
          <w:szCs w:val="24"/>
          <w:highlight w:val="none"/>
        </w:rPr>
        <w:t>完成审计工作，出具专项审计报告。通过执行专项审计工作，对清查出的各项资产损益、资金挂账的准确性、可靠性发表专项审计意见，并出具专项审计报告。 </w:t>
      </w:r>
    </w:p>
    <w:p w14:paraId="40DFB306">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2.在执行资产</w:t>
      </w:r>
      <w:r>
        <w:rPr>
          <w:rFonts w:hint="eastAsia" w:ascii="仿宋" w:hAnsi="仿宋" w:eastAsia="仿宋" w:cs="仿宋"/>
          <w:sz w:val="24"/>
          <w:szCs w:val="24"/>
          <w:highlight w:val="none"/>
          <w:lang w:val="en-US" w:eastAsia="zh-CN"/>
        </w:rPr>
        <w:t>清</w:t>
      </w:r>
      <w:r>
        <w:rPr>
          <w:rFonts w:hint="eastAsia" w:ascii="仿宋" w:hAnsi="仿宋" w:eastAsia="仿宋" w:cs="仿宋"/>
          <w:sz w:val="24"/>
          <w:szCs w:val="24"/>
          <w:highlight w:val="none"/>
        </w:rPr>
        <w:t>查的过程中保证对讨论、签订、执行本协议过程中所获悉的属于甲方</w:t>
      </w:r>
      <w:r>
        <w:rPr>
          <w:rFonts w:hint="eastAsia" w:ascii="仿宋" w:hAnsi="仿宋" w:eastAsia="仿宋" w:cs="仿宋"/>
          <w:sz w:val="24"/>
          <w:szCs w:val="24"/>
          <w:highlight w:val="none"/>
          <w:lang w:val="en-US" w:eastAsia="zh-CN"/>
        </w:rPr>
        <w:t>及</w:t>
      </w:r>
      <w:r>
        <w:rPr>
          <w:rFonts w:hint="eastAsia" w:ascii="仿宋" w:hAnsi="仿宋" w:eastAsia="仿宋" w:cs="仿宋"/>
          <w:sz w:val="24"/>
          <w:szCs w:val="24"/>
          <w:highlight w:val="none"/>
        </w:rPr>
        <w:t>重庆知天而作农业科技研究院有限公司的且无法自公开渠道获得的文件及资料（包括内部文件、内部公函、财务信息、技术信息、电话信息及其他不便于向社会公示的信息）予以保密。未经该资料和文件的原提供方同意，乙方不得向任何第三方泄露该资料的全部或部分内容，保密期限按照《中华人民共和国保守国家秘密法》之规定执行。 </w:t>
      </w:r>
    </w:p>
    <w:p w14:paraId="5355E7A6">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3.乙方在审计执行过程中如需查阅重庆知天而作农业科技研究院有限公司相关涉密资料的，乙方事先指定项目负责联络人与甲方联系。查阅地点仅限于甲方</w:t>
      </w:r>
      <w:r>
        <w:rPr>
          <w:rFonts w:hint="eastAsia" w:ascii="仿宋" w:hAnsi="仿宋" w:eastAsia="仿宋" w:cs="仿宋"/>
          <w:sz w:val="24"/>
          <w:szCs w:val="24"/>
          <w:highlight w:val="none"/>
          <w:lang w:val="en-US" w:eastAsia="zh-CN"/>
        </w:rPr>
        <w:t>及</w:t>
      </w:r>
      <w:r>
        <w:rPr>
          <w:rFonts w:hint="eastAsia" w:ascii="仿宋" w:hAnsi="仿宋" w:eastAsia="仿宋" w:cs="仿宋"/>
          <w:sz w:val="24"/>
          <w:szCs w:val="24"/>
          <w:highlight w:val="none"/>
        </w:rPr>
        <w:t>重庆知天而作农业科技研究院有限公司办公场所，如需打印、摄像等有可能将甲方</w:t>
      </w:r>
      <w:r>
        <w:rPr>
          <w:rFonts w:hint="eastAsia" w:ascii="仿宋" w:hAnsi="仿宋" w:eastAsia="仿宋" w:cs="仿宋"/>
          <w:sz w:val="24"/>
          <w:szCs w:val="24"/>
          <w:highlight w:val="none"/>
          <w:lang w:val="en-US" w:eastAsia="zh-CN"/>
        </w:rPr>
        <w:t>及</w:t>
      </w:r>
      <w:r>
        <w:rPr>
          <w:rFonts w:hint="eastAsia" w:ascii="仿宋" w:hAnsi="仿宋" w:eastAsia="仿宋" w:cs="仿宋"/>
          <w:sz w:val="24"/>
          <w:szCs w:val="24"/>
          <w:highlight w:val="none"/>
        </w:rPr>
        <w:t>重庆知天而作农业科技研究院有限公司资料外泄的方式必须经甲方</w:t>
      </w:r>
      <w:r>
        <w:rPr>
          <w:rFonts w:hint="eastAsia" w:ascii="仿宋" w:hAnsi="仿宋" w:eastAsia="仿宋" w:cs="仿宋"/>
          <w:sz w:val="24"/>
          <w:szCs w:val="24"/>
          <w:highlight w:val="none"/>
          <w:lang w:val="en-US" w:eastAsia="zh-CN"/>
        </w:rPr>
        <w:t>及</w:t>
      </w:r>
      <w:r>
        <w:rPr>
          <w:rFonts w:hint="eastAsia" w:ascii="仿宋" w:hAnsi="仿宋" w:eastAsia="仿宋" w:cs="仿宋"/>
          <w:sz w:val="24"/>
          <w:szCs w:val="24"/>
          <w:highlight w:val="none"/>
        </w:rPr>
        <w:t>重庆知天而作农业科技研究院有限公司批准。乙方对整个委托项目负有保密责任，此保密责任按照《中华人民共和国保守国家秘密法》之规定执行。 </w:t>
      </w:r>
    </w:p>
    <w:p w14:paraId="47A7F57E">
      <w:pPr>
        <w:rPr>
          <w:rFonts w:hint="eastAsia" w:ascii="仿宋" w:hAnsi="仿宋" w:eastAsia="仿宋" w:cs="仿宋"/>
          <w:sz w:val="24"/>
          <w:szCs w:val="24"/>
          <w:highlight w:val="none"/>
        </w:rPr>
      </w:pPr>
      <w:r>
        <w:rPr>
          <w:rFonts w:hint="eastAsia" w:ascii="仿宋" w:hAnsi="仿宋" w:eastAsia="仿宋" w:cs="仿宋"/>
          <w:sz w:val="24"/>
          <w:szCs w:val="24"/>
          <w:highlight w:val="none"/>
        </w:rPr>
        <w:t>四、审计收费 </w:t>
      </w:r>
    </w:p>
    <w:p w14:paraId="22D002D1">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1.本次审计服务的收费是以乙方各级别工作人员在本次工作中所耗费的时间为基础计算的。乙方预计本次审计服务的费用总额为人民币</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元（大写人民币：</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元整）</w:t>
      </w:r>
      <w:r>
        <w:rPr>
          <w:rFonts w:hint="eastAsia" w:ascii="仿宋" w:hAnsi="仿宋" w:eastAsia="仿宋" w:cs="仿宋"/>
          <w:sz w:val="24"/>
          <w:szCs w:val="24"/>
          <w:highlight w:val="none"/>
          <w:lang w:val="en-US" w:eastAsia="zh-CN"/>
        </w:rPr>
        <w:t>包干价含税</w:t>
      </w:r>
      <w:r>
        <w:rPr>
          <w:rFonts w:hint="eastAsia" w:ascii="仿宋" w:hAnsi="仿宋" w:eastAsia="仿宋" w:cs="仿宋"/>
          <w:sz w:val="24"/>
          <w:szCs w:val="24"/>
          <w:highlight w:val="none"/>
        </w:rPr>
        <w:t>。 </w:t>
      </w:r>
    </w:p>
    <w:p w14:paraId="160F52E7">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    2.甲方应于</w:t>
      </w:r>
      <w:r>
        <w:rPr>
          <w:rFonts w:hint="eastAsia" w:ascii="仿宋" w:hAnsi="仿宋" w:eastAsia="仿宋" w:cs="仿宋"/>
          <w:sz w:val="24"/>
          <w:szCs w:val="24"/>
          <w:highlight w:val="none"/>
          <w:lang w:val="en-US" w:eastAsia="zh-CN"/>
        </w:rPr>
        <w:t>乙方进场审计</w:t>
      </w:r>
      <w:r>
        <w:rPr>
          <w:rFonts w:hint="eastAsia" w:ascii="仿宋" w:hAnsi="仿宋" w:eastAsia="仿宋" w:cs="仿宋"/>
          <w:sz w:val="24"/>
          <w:szCs w:val="24"/>
          <w:highlight w:val="none"/>
        </w:rPr>
        <w:t>之日起预付</w:t>
      </w:r>
      <w:r>
        <w:rPr>
          <w:rFonts w:hint="eastAsia" w:ascii="仿宋" w:hAnsi="仿宋" w:eastAsia="仿宋" w:cs="仿宋"/>
          <w:sz w:val="24"/>
          <w:szCs w:val="24"/>
          <w:highlight w:val="none"/>
          <w:lang w:val="en-US" w:eastAsia="zh-CN"/>
        </w:rPr>
        <w:t xml:space="preserve">   % </w:t>
      </w:r>
      <w:r>
        <w:rPr>
          <w:rFonts w:hint="eastAsia" w:ascii="仿宋" w:hAnsi="仿宋" w:eastAsia="仿宋" w:cs="仿宋"/>
          <w:sz w:val="24"/>
          <w:szCs w:val="24"/>
          <w:highlight w:val="none"/>
        </w:rPr>
        <w:t>的审计费用，其余款项于乙方收到审计报告及发票后</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个工作日内进行支付。</w:t>
      </w:r>
      <w:r>
        <w:rPr>
          <w:rFonts w:hint="eastAsia" w:ascii="仿宋" w:hAnsi="仿宋" w:eastAsia="仿宋" w:cs="仿宋"/>
          <w:sz w:val="24"/>
          <w:szCs w:val="24"/>
          <w:highlight w:val="none"/>
          <w:lang w:val="en-US" w:eastAsia="zh-CN"/>
        </w:rPr>
        <w:t>甲方每次支付前乙方应先向甲方开具等额、有效的增值税专用发票，否则甲方付款期限顺延且不承担逾期支付责任。</w:t>
      </w:r>
    </w:p>
    <w:p w14:paraId="2390F8C6">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3.如果由于无法预见的</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原因，致使乙方从事本约定书所涉及的审计服务时间时间较本约定书签订时预计的时间有明显的增加或减少时，甲乙双方应通过协商，相应的调整审计费用。</w:t>
      </w:r>
    </w:p>
    <w:p w14:paraId="5DBD4C8E">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4.由于无法预见的</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原因，致使乙方人员抵达甲方工作现场后，本约定书所涉及的审计服务中止，甲方不得要求退还预付的审计费用；如上述情况发生于乙方人员完成现场审计工作，并离开甲方的工作场所之后，甲方应另行向乙方支付人民币50%的补偿费，该补偿费应于甲方收到乙方的收款通知之日起</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日内支付。</w:t>
      </w:r>
    </w:p>
    <w:p w14:paraId="332DF7C1">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bookmarkStart w:id="205" w:name="_GoBack"/>
      <w:bookmarkEnd w:id="205"/>
      <w:r>
        <w:rPr>
          <w:rFonts w:hint="eastAsia" w:ascii="仿宋" w:hAnsi="仿宋" w:eastAsia="仿宋" w:cs="仿宋"/>
          <w:sz w:val="24"/>
          <w:szCs w:val="24"/>
          <w:highlight w:val="none"/>
        </w:rPr>
        <w:t>五、审计报告和审计报告的使用</w:t>
      </w:r>
    </w:p>
    <w:p w14:paraId="6818E588">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1.乙方按照《中国注册会计师审计准则》要求出具专项审计报告。</w:t>
      </w:r>
    </w:p>
    <w:p w14:paraId="735DD32D">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2.乙方向甲方致送专项审计报告一式三份。</w:t>
      </w:r>
    </w:p>
    <w:p w14:paraId="55422F4C">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3.按照本约定书约定乙方出具的清</w:t>
      </w:r>
      <w:r>
        <w:rPr>
          <w:rFonts w:hint="eastAsia" w:ascii="仿宋" w:hAnsi="仿宋" w:eastAsia="仿宋" w:cs="仿宋"/>
          <w:sz w:val="24"/>
          <w:szCs w:val="24"/>
          <w:highlight w:val="none"/>
          <w:lang w:val="en-US" w:eastAsia="zh-CN"/>
        </w:rPr>
        <w:t>査</w:t>
      </w:r>
      <w:r>
        <w:rPr>
          <w:rFonts w:hint="eastAsia" w:ascii="仿宋" w:hAnsi="仿宋" w:eastAsia="仿宋" w:cs="仿宋"/>
          <w:sz w:val="24"/>
          <w:szCs w:val="24"/>
          <w:highlight w:val="none"/>
        </w:rPr>
        <w:t>审计报告仅供甲方了解重庆知天而作农业科技研究院有限公司截至202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年3月31日账面资产、负债及权益情况，并以此作为</w:t>
      </w:r>
      <w:r>
        <w:rPr>
          <w:rFonts w:hint="eastAsia" w:ascii="仿宋" w:hAnsi="仿宋" w:eastAsia="仿宋" w:cs="仿宋"/>
          <w:sz w:val="24"/>
          <w:szCs w:val="24"/>
          <w:highlight w:val="none"/>
          <w:lang w:val="en-US" w:eastAsia="zh-CN"/>
        </w:rPr>
        <w:t>股权转让</w:t>
      </w:r>
      <w:r>
        <w:rPr>
          <w:rFonts w:hint="eastAsia" w:ascii="仿宋" w:hAnsi="仿宋" w:eastAsia="仿宋" w:cs="仿宋"/>
          <w:sz w:val="24"/>
          <w:szCs w:val="24"/>
          <w:highlight w:val="none"/>
        </w:rPr>
        <w:t>的参考依据，不得用于其他任何目的，不得对外公开。</w:t>
      </w:r>
    </w:p>
    <w:p w14:paraId="48AFF1C1">
      <w:pPr>
        <w:rPr>
          <w:rFonts w:hint="eastAsia" w:ascii="仿宋" w:hAnsi="仿宋" w:eastAsia="仿宋" w:cs="仿宋"/>
          <w:sz w:val="24"/>
          <w:szCs w:val="24"/>
          <w:highlight w:val="none"/>
        </w:rPr>
      </w:pPr>
      <w:r>
        <w:rPr>
          <w:rFonts w:hint="eastAsia" w:ascii="仿宋" w:hAnsi="仿宋" w:eastAsia="仿宋" w:cs="仿宋"/>
          <w:sz w:val="24"/>
          <w:szCs w:val="24"/>
          <w:highlight w:val="none"/>
        </w:rPr>
        <w:t>六、本约定书的有效时间 </w:t>
      </w:r>
    </w:p>
    <w:p w14:paraId="6925AF94">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本约定书签署之日起生效，并在双方履行完毕本约定书约定的所有义务后终止。 </w:t>
      </w:r>
    </w:p>
    <w:p w14:paraId="510431C4">
      <w:pPr>
        <w:rPr>
          <w:rFonts w:hint="eastAsia" w:ascii="仿宋" w:hAnsi="仿宋" w:eastAsia="仿宋" w:cs="仿宋"/>
          <w:sz w:val="24"/>
          <w:szCs w:val="24"/>
          <w:highlight w:val="none"/>
        </w:rPr>
      </w:pPr>
      <w:r>
        <w:rPr>
          <w:rFonts w:hint="eastAsia" w:ascii="仿宋" w:hAnsi="仿宋" w:eastAsia="仿宋" w:cs="仿宋"/>
          <w:sz w:val="24"/>
          <w:szCs w:val="24"/>
          <w:highlight w:val="none"/>
        </w:rPr>
        <w:t>七、约定事项的变更</w:t>
      </w:r>
    </w:p>
    <w:p w14:paraId="0B17F602">
      <w:pPr>
        <w:rPr>
          <w:rFonts w:hint="eastAsia" w:ascii="仿宋" w:hAnsi="仿宋" w:eastAsia="仿宋" w:cs="仿宋"/>
          <w:sz w:val="24"/>
          <w:szCs w:val="24"/>
          <w:highlight w:val="none"/>
        </w:rPr>
      </w:pPr>
      <w:r>
        <w:rPr>
          <w:rFonts w:hint="eastAsia" w:ascii="仿宋" w:hAnsi="仿宋" w:eastAsia="仿宋" w:cs="仿宋"/>
          <w:sz w:val="24"/>
          <w:szCs w:val="24"/>
          <w:highlight w:val="none"/>
        </w:rPr>
        <w:t>   如果出现不可预见的情况，影响审计工作的如期完成，或需要提前出具专项审计报告，甲、乙双方均可要求变更约定事项，但应及时通知对方，并由双方协商解决。 </w:t>
      </w:r>
    </w:p>
    <w:p w14:paraId="6DADE522">
      <w:pPr>
        <w:rPr>
          <w:rFonts w:hint="eastAsia" w:ascii="仿宋" w:hAnsi="仿宋" w:eastAsia="仿宋" w:cs="仿宋"/>
          <w:sz w:val="24"/>
          <w:szCs w:val="24"/>
          <w:highlight w:val="none"/>
        </w:rPr>
      </w:pPr>
      <w:r>
        <w:rPr>
          <w:rFonts w:hint="eastAsia" w:ascii="仿宋" w:hAnsi="仿宋" w:eastAsia="仿宋" w:cs="仿宋"/>
          <w:sz w:val="24"/>
          <w:szCs w:val="24"/>
          <w:highlight w:val="none"/>
        </w:rPr>
        <w:t>八、终止条款</w:t>
      </w:r>
    </w:p>
    <w:p w14:paraId="0166DA6E">
      <w:pPr>
        <w:rPr>
          <w:rFonts w:hint="eastAsia" w:ascii="仿宋" w:hAnsi="仿宋" w:eastAsia="仿宋" w:cs="仿宋"/>
          <w:sz w:val="24"/>
          <w:szCs w:val="24"/>
          <w:highlight w:val="none"/>
        </w:rPr>
      </w:pPr>
      <w:r>
        <w:rPr>
          <w:rFonts w:hint="eastAsia" w:ascii="仿宋" w:hAnsi="仿宋" w:eastAsia="仿宋" w:cs="仿宋"/>
          <w:sz w:val="24"/>
          <w:szCs w:val="24"/>
          <w:highlight w:val="none"/>
        </w:rPr>
        <w:t>   1.如果根据乙方的职业道德及其它有关专业职责、适用的法律法规或其他任何法定的要求，乙方认为已不适宜继续为甲方提供本约定书约定的审计服务，乙方可以采取向甲方提出合理通知的方式终止履行本约定书。</w:t>
      </w:r>
    </w:p>
    <w:p w14:paraId="352F8C31">
      <w:pPr>
        <w:rPr>
          <w:rFonts w:hint="eastAsia" w:ascii="仿宋" w:hAnsi="仿宋" w:eastAsia="仿宋" w:cs="仿宋"/>
          <w:sz w:val="24"/>
          <w:szCs w:val="24"/>
          <w:highlight w:val="none"/>
        </w:rPr>
      </w:pPr>
      <w:r>
        <w:rPr>
          <w:rFonts w:hint="eastAsia" w:ascii="仿宋" w:hAnsi="仿宋" w:eastAsia="仿宋" w:cs="仿宋"/>
          <w:sz w:val="24"/>
          <w:szCs w:val="24"/>
          <w:highlight w:val="none"/>
        </w:rPr>
        <w:t>   2.本约定书终止的情况下，乙方有权就其于终止之日前对约定的审计服务项目所做的工作收取合理的费用。</w:t>
      </w:r>
    </w:p>
    <w:p w14:paraId="07A5E3DA">
      <w:pPr>
        <w:rPr>
          <w:rFonts w:hint="eastAsia" w:ascii="仿宋" w:hAnsi="仿宋" w:eastAsia="仿宋" w:cs="仿宋"/>
          <w:sz w:val="24"/>
          <w:szCs w:val="24"/>
          <w:highlight w:val="none"/>
        </w:rPr>
      </w:pPr>
      <w:r>
        <w:rPr>
          <w:rFonts w:hint="eastAsia" w:ascii="仿宋" w:hAnsi="仿宋" w:eastAsia="仿宋" w:cs="仿宋"/>
          <w:sz w:val="24"/>
          <w:szCs w:val="24"/>
          <w:highlight w:val="none"/>
        </w:rPr>
        <w:t>九、违约责任</w:t>
      </w:r>
    </w:p>
    <w:p w14:paraId="49971579">
      <w:pPr>
        <w:rPr>
          <w:rFonts w:hint="eastAsia" w:ascii="仿宋" w:hAnsi="仿宋" w:eastAsia="仿宋" w:cs="仿宋"/>
          <w:sz w:val="24"/>
          <w:szCs w:val="24"/>
          <w:highlight w:val="none"/>
        </w:rPr>
      </w:pPr>
      <w:r>
        <w:rPr>
          <w:rFonts w:hint="eastAsia" w:ascii="仿宋" w:hAnsi="仿宋" w:eastAsia="仿宋" w:cs="仿宋"/>
          <w:sz w:val="24"/>
          <w:szCs w:val="24"/>
          <w:highlight w:val="none"/>
        </w:rPr>
        <w:t> 甲、乙双方按照《中华人民共和国民法典》（合同编）的规定承担违约责任。</w:t>
      </w:r>
    </w:p>
    <w:p w14:paraId="163DC015">
      <w:pPr>
        <w:rPr>
          <w:rFonts w:hint="eastAsia" w:ascii="仿宋" w:hAnsi="仿宋" w:eastAsia="仿宋" w:cs="仿宋"/>
          <w:sz w:val="24"/>
          <w:szCs w:val="24"/>
          <w:highlight w:val="none"/>
        </w:rPr>
      </w:pPr>
      <w:r>
        <w:rPr>
          <w:rFonts w:hint="eastAsia" w:ascii="仿宋" w:hAnsi="仿宋" w:eastAsia="仿宋" w:cs="仿宋"/>
          <w:sz w:val="24"/>
          <w:szCs w:val="24"/>
          <w:highlight w:val="none"/>
        </w:rPr>
        <w:t>十、适用法律和争议解决</w:t>
      </w:r>
    </w:p>
    <w:p w14:paraId="6CF2045A">
      <w:pPr>
        <w:rPr>
          <w:rFonts w:hint="eastAsia" w:ascii="仿宋" w:hAnsi="仿宋" w:eastAsia="仿宋" w:cs="仿宋"/>
          <w:sz w:val="24"/>
          <w:szCs w:val="24"/>
          <w:highlight w:val="none"/>
        </w:rPr>
      </w:pPr>
      <w:r>
        <w:rPr>
          <w:rFonts w:hint="eastAsia" w:ascii="仿宋" w:hAnsi="仿宋" w:eastAsia="仿宋" w:cs="仿宋"/>
          <w:sz w:val="24"/>
          <w:szCs w:val="24"/>
          <w:highlight w:val="none"/>
        </w:rPr>
        <w:t>  本约定书的所有方面均适用中华人民共和国法律进行解释并受其约束。本约定书履行地为乙方出具审计报告所在地，因本约定书引起的或与本约定书有关的任何纠纷和争议（包括关于本约定书条款的存在、效力或终止，或无效之后果），双方协商确定采取以下第（1） 种方式予以解决：</w:t>
      </w:r>
    </w:p>
    <w:p w14:paraId="6F93440C">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（1）向</w:t>
      </w:r>
      <w:r>
        <w:rPr>
          <w:rFonts w:hint="eastAsia" w:ascii="仿宋" w:hAnsi="仿宋" w:eastAsia="仿宋" w:cs="仿宋"/>
          <w:sz w:val="24"/>
          <w:szCs w:val="24"/>
          <w:highlight w:val="none"/>
          <w:lang w:val="en-US" w:eastAsia="zh-CN"/>
        </w:rPr>
        <w:t>甲方所在地</w:t>
      </w:r>
      <w:r>
        <w:rPr>
          <w:rFonts w:hint="eastAsia" w:ascii="仿宋" w:hAnsi="仿宋" w:eastAsia="仿宋" w:cs="仿宋"/>
          <w:sz w:val="24"/>
          <w:szCs w:val="24"/>
          <w:highlight w:val="none"/>
        </w:rPr>
        <w:t>有管辖权的人民法院提起诉讼；</w:t>
      </w:r>
    </w:p>
    <w:p w14:paraId="4FE370B5">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（2）提交重庆市仲裁委员会仲裁。 </w:t>
      </w:r>
    </w:p>
    <w:p w14:paraId="3A73BF03">
      <w:pPr>
        <w:rPr>
          <w:rFonts w:hint="eastAsia" w:ascii="仿宋" w:hAnsi="仿宋" w:eastAsia="仿宋" w:cs="仿宋"/>
          <w:sz w:val="24"/>
          <w:szCs w:val="24"/>
          <w:highlight w:val="none"/>
        </w:rPr>
      </w:pPr>
      <w:r>
        <w:rPr>
          <w:rFonts w:hint="eastAsia" w:ascii="仿宋" w:hAnsi="仿宋" w:eastAsia="仿宋" w:cs="仿宋"/>
          <w:sz w:val="24"/>
          <w:szCs w:val="24"/>
          <w:highlight w:val="none"/>
        </w:rPr>
        <w:t>十一、双方对其他有关事项的约定</w:t>
      </w:r>
    </w:p>
    <w:p w14:paraId="73B70D12">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（1）在与甲方协商的基础上，接受甲方委托对个别经济事项出具经济鉴证证明，收费由甲、乙方双方另行协商。</w:t>
      </w:r>
    </w:p>
    <w:p w14:paraId="6F44F823">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（2）本约定书一式四份，甲、乙双方各执两份，具有同等法律效力。 本约定书自</w:t>
      </w:r>
      <w:r>
        <w:rPr>
          <w:rFonts w:hint="eastAsia" w:ascii="仿宋" w:hAnsi="仿宋" w:eastAsia="仿宋" w:cs="仿宋"/>
          <w:sz w:val="24"/>
          <w:szCs w:val="24"/>
          <w:highlight w:val="none"/>
          <w:lang w:val="en-US" w:eastAsia="zh-CN"/>
        </w:rPr>
        <w:t>双</w:t>
      </w:r>
      <w:r>
        <w:rPr>
          <w:rFonts w:hint="eastAsia" w:ascii="仿宋" w:hAnsi="仿宋" w:eastAsia="仿宋" w:cs="仿宋"/>
          <w:sz w:val="24"/>
          <w:szCs w:val="24"/>
          <w:highlight w:val="none"/>
        </w:rPr>
        <w:t>方法定代表人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负责人</w:t>
      </w:r>
      <w:r>
        <w:rPr>
          <w:rFonts w:hint="eastAsia" w:ascii="仿宋" w:hAnsi="仿宋" w:eastAsia="仿宋" w:cs="仿宋"/>
          <w:sz w:val="24"/>
          <w:szCs w:val="24"/>
          <w:highlight w:val="none"/>
        </w:rPr>
        <w:t>或授权代表签字并加盖公章后生效。</w:t>
      </w:r>
    </w:p>
    <w:p w14:paraId="513F95A2">
      <w:pPr>
        <w:rPr>
          <w:rFonts w:hint="eastAsia" w:ascii="仿宋" w:hAnsi="仿宋" w:eastAsia="仿宋" w:cs="仿宋"/>
          <w:sz w:val="24"/>
          <w:szCs w:val="24"/>
          <w:highlight w:val="none"/>
        </w:rPr>
      </w:pPr>
    </w:p>
    <w:p w14:paraId="5A86EBA7">
      <w:pPr>
        <w:ind w:left="6300" w:hanging="7200" w:hangingChars="30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甲方（盖章）：重庆绿发资产经营管理有限公司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乙方（盖章）：</w:t>
      </w:r>
      <w:r>
        <w:rPr>
          <w:rFonts w:hint="eastAsia" w:ascii="仿宋" w:hAnsi="仿宋" w:eastAsia="仿宋" w:cs="仿宋"/>
          <w:sz w:val="24"/>
          <w:szCs w:val="24"/>
          <w:highlight w:val="none"/>
          <w:lang w:val="en-US" w:eastAsia="zh-CN"/>
        </w:rPr>
        <w:t xml:space="preserve">                  </w:t>
      </w:r>
    </w:p>
    <w:p w14:paraId="769A54F3">
      <w:pPr>
        <w:rPr>
          <w:rFonts w:hint="eastAsia" w:ascii="仿宋" w:hAnsi="仿宋" w:eastAsia="仿宋" w:cs="仿宋"/>
          <w:sz w:val="24"/>
          <w:szCs w:val="24"/>
          <w:highlight w:val="none"/>
        </w:rPr>
      </w:pPr>
    </w:p>
    <w:p w14:paraId="43AD8F74">
      <w:pPr>
        <w:rPr>
          <w:rFonts w:hint="eastAsia" w:ascii="仿宋" w:hAnsi="仿宋" w:eastAsia="仿宋" w:cs="仿宋"/>
          <w:sz w:val="24"/>
          <w:szCs w:val="24"/>
          <w:highlight w:val="none"/>
        </w:rPr>
      </w:pPr>
      <w:r>
        <w:rPr>
          <w:rFonts w:hint="eastAsia" w:ascii="仿宋" w:hAnsi="仿宋" w:eastAsia="仿宋" w:cs="仿宋"/>
          <w:sz w:val="24"/>
          <w:szCs w:val="24"/>
          <w:highlight w:val="none"/>
        </w:rPr>
        <w:t>签约人：                                      签约人：</w:t>
      </w:r>
    </w:p>
    <w:p w14:paraId="72E55C26">
      <w:pPr>
        <w:rPr>
          <w:rFonts w:hint="eastAsia" w:ascii="仿宋" w:hAnsi="仿宋" w:eastAsia="仿宋" w:cs="仿宋"/>
          <w:sz w:val="24"/>
          <w:szCs w:val="24"/>
          <w:highlight w:val="none"/>
        </w:rPr>
      </w:pPr>
    </w:p>
    <w:p w14:paraId="7A5E7ED0">
      <w:pPr>
        <w:rPr>
          <w:rFonts w:hint="eastAsia" w:ascii="仿宋" w:hAnsi="仿宋" w:eastAsia="仿宋" w:cs="仿宋"/>
          <w:sz w:val="24"/>
          <w:szCs w:val="24"/>
          <w:highlight w:val="none"/>
        </w:rPr>
      </w:pPr>
      <w:r>
        <w:rPr>
          <w:rFonts w:hint="eastAsia" w:ascii="仿宋" w:hAnsi="仿宋" w:eastAsia="仿宋" w:cs="仿宋"/>
          <w:sz w:val="24"/>
          <w:szCs w:val="24"/>
          <w:highlight w:val="none"/>
        </w:rPr>
        <w:t>日期： 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  月   日                       日期：202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 xml:space="preserve">年  月  日    </w:t>
      </w:r>
    </w:p>
    <w:p w14:paraId="790318FE">
      <w:pPr>
        <w:spacing w:line="500" w:lineRule="exact"/>
        <w:rPr>
          <w:rFonts w:hint="eastAsia" w:ascii="仿宋" w:hAnsi="仿宋" w:eastAsia="仿宋" w:cs="仿宋"/>
          <w:sz w:val="24"/>
          <w:szCs w:val="24"/>
          <w:highlight w:val="none"/>
        </w:rPr>
      </w:pPr>
    </w:p>
    <w:p w14:paraId="22A978F3">
      <w:pPr>
        <w:rPr>
          <w:rFonts w:hint="eastAsia" w:ascii="仿宋" w:hAnsi="仿宋" w:eastAsia="仿宋" w:cs="仿宋"/>
          <w:sz w:val="24"/>
          <w:szCs w:val="24"/>
          <w:highlight w:val="none"/>
        </w:rPr>
      </w:pPr>
    </w:p>
    <w:p w14:paraId="1C7D1999">
      <w:pPr>
        <w:widowControl/>
        <w:jc w:val="left"/>
        <w:rPr>
          <w:rFonts w:hint="eastAsia" w:ascii="仿宋" w:hAnsi="仿宋" w:eastAsia="仿宋" w:cs="仿宋"/>
          <w:b/>
          <w:color w:val="auto"/>
          <w:kern w:val="44"/>
          <w:sz w:val="44"/>
          <w:highlight w:val="none"/>
        </w:rPr>
      </w:pPr>
      <w:r>
        <w:rPr>
          <w:rFonts w:hint="eastAsia" w:ascii="仿宋" w:hAnsi="仿宋" w:eastAsia="仿宋" w:cs="仿宋"/>
          <w:color w:val="auto"/>
          <w:highlight w:val="none"/>
        </w:rPr>
        <w:br w:type="page"/>
      </w:r>
    </w:p>
    <w:p w14:paraId="47975080">
      <w:pPr>
        <w:pStyle w:val="2"/>
        <w:spacing w:line="240" w:lineRule="auto"/>
        <w:ind w:firstLine="883"/>
        <w:jc w:val="center"/>
        <w:rPr>
          <w:rFonts w:hint="eastAsia" w:ascii="仿宋" w:hAnsi="仿宋" w:eastAsia="仿宋" w:cs="仿宋"/>
          <w:color w:val="auto"/>
          <w:highlight w:val="none"/>
        </w:rPr>
      </w:pPr>
      <w:r>
        <w:rPr>
          <w:rFonts w:hint="eastAsia" w:ascii="仿宋" w:hAnsi="仿宋" w:eastAsia="仿宋" w:cs="仿宋"/>
          <w:color w:val="auto"/>
          <w:highlight w:val="none"/>
        </w:rPr>
        <w:t>第七篇  响应文件编制要求</w:t>
      </w:r>
      <w:bookmarkEnd w:id="150"/>
      <w:bookmarkEnd w:id="151"/>
    </w:p>
    <w:p w14:paraId="12F81738">
      <w:pP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一、经济部分</w:t>
      </w:r>
    </w:p>
    <w:p w14:paraId="529F7537">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（一）报价函</w:t>
      </w:r>
    </w:p>
    <w:p w14:paraId="7A45FA41">
      <w:pP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二、服务部分</w:t>
      </w:r>
    </w:p>
    <w:p w14:paraId="699E9030">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8"/>
          <w:highlight w:val="none"/>
        </w:rPr>
        <w:t>服务要求应答</w:t>
      </w:r>
    </w:p>
    <w:p w14:paraId="5CCFD66C">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8"/>
          <w:highlight w:val="none"/>
        </w:rPr>
        <w:t>服务响应偏离表</w:t>
      </w:r>
    </w:p>
    <w:p w14:paraId="2C61E3B3">
      <w:pP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三、商务文件</w:t>
      </w:r>
    </w:p>
    <w:p w14:paraId="42691B2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（一）服务要求响应情况：服务时间、服务地点、质量保证、售后服务条款等。</w:t>
      </w:r>
    </w:p>
    <w:p w14:paraId="55445C52">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）商务响应偏离表</w:t>
      </w:r>
    </w:p>
    <w:p w14:paraId="3A96A0D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）其它优惠承诺</w:t>
      </w:r>
    </w:p>
    <w:p w14:paraId="3FA6076A">
      <w:pP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四、资格证明文件</w:t>
      </w:r>
    </w:p>
    <w:p w14:paraId="5F775223">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14:paraId="7F96E061">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（二）法定代表人身份证明书（格式）</w:t>
      </w:r>
    </w:p>
    <w:p w14:paraId="5A2AD702">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（三）法定代表人授权委托书（格式）</w:t>
      </w:r>
    </w:p>
    <w:p w14:paraId="3887459D">
      <w:pP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（四）基本资格条件承诺函（格式）</w:t>
      </w:r>
    </w:p>
    <w:p w14:paraId="34290EB2">
      <w:pPr>
        <w:snapToGrid w:val="0"/>
        <w:ind w:firstLine="480" w:firstLineChars="200"/>
        <w:rPr>
          <w:rFonts w:hint="eastAsia" w:ascii="仿宋" w:hAnsi="仿宋" w:eastAsia="仿宋" w:cs="仿宋"/>
          <w:color w:val="auto"/>
          <w:sz w:val="24"/>
          <w:szCs w:val="24"/>
          <w:highlight w:val="none"/>
        </w:rPr>
        <w:sectPr>
          <w:footerReference r:id="rId3" w:type="default"/>
          <w:pgSz w:w="11907" w:h="16840"/>
          <w:pgMar w:top="1134" w:right="1023" w:bottom="1134" w:left="1064" w:header="851" w:footer="992" w:gutter="0"/>
          <w:pgNumType w:fmt="numberInDash"/>
          <w:cols w:space="720" w:num="1"/>
          <w:docGrid w:linePitch="380" w:charSpace="-5735"/>
        </w:sectPr>
      </w:pPr>
      <w:r>
        <w:rPr>
          <w:rFonts w:hint="eastAsia" w:ascii="仿宋" w:hAnsi="仿宋" w:eastAsia="仿宋" w:cs="仿宋"/>
          <w:color w:val="auto"/>
          <w:sz w:val="24"/>
          <w:szCs w:val="24"/>
          <w:highlight w:val="none"/>
        </w:rPr>
        <w:t>（五）特定资格条件证书或证明</w:t>
      </w:r>
    </w:p>
    <w:p w14:paraId="2DDA4131">
      <w:pPr>
        <w:pStyle w:val="3"/>
        <w:spacing w:line="240" w:lineRule="auto"/>
        <w:ind w:firstLine="643"/>
        <w:rPr>
          <w:rFonts w:hint="eastAsia" w:ascii="仿宋" w:hAnsi="仿宋" w:eastAsia="仿宋" w:cs="仿宋"/>
          <w:color w:val="auto"/>
          <w:highlight w:val="none"/>
        </w:rPr>
      </w:pPr>
      <w:bookmarkStart w:id="152" w:name="_Toc183783160"/>
      <w:r>
        <w:rPr>
          <w:rFonts w:hint="eastAsia" w:ascii="仿宋" w:hAnsi="仿宋" w:eastAsia="仿宋" w:cs="仿宋"/>
          <w:color w:val="auto"/>
          <w:highlight w:val="none"/>
        </w:rPr>
        <w:t>一、经济部分</w:t>
      </w:r>
      <w:bookmarkEnd w:id="152"/>
    </w:p>
    <w:p w14:paraId="2903C7C0">
      <w:pPr>
        <w:ind w:firstLine="480"/>
        <w:rPr>
          <w:rFonts w:hint="eastAsia" w:ascii="仿宋" w:hAnsi="仿宋" w:eastAsia="仿宋" w:cs="仿宋"/>
          <w:bCs/>
          <w:color w:val="auto"/>
          <w:szCs w:val="24"/>
          <w:highlight w:val="none"/>
        </w:rPr>
      </w:pPr>
      <w:r>
        <w:rPr>
          <w:rFonts w:hint="eastAsia" w:ascii="仿宋" w:hAnsi="仿宋" w:eastAsia="仿宋" w:cs="仿宋"/>
          <w:color w:val="auto"/>
          <w:sz w:val="24"/>
          <w:szCs w:val="18"/>
          <w:highlight w:val="none"/>
        </w:rPr>
        <w:t>（一）报价函</w:t>
      </w:r>
    </w:p>
    <w:p w14:paraId="0C213616">
      <w:pPr>
        <w:tabs>
          <w:tab w:val="left" w:pos="6300"/>
        </w:tabs>
        <w:snapToGrid w:val="0"/>
        <w:ind w:left="14" w:leftChars="5" w:firstLine="611" w:firstLineChars="19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报价函</w:t>
      </w:r>
    </w:p>
    <w:p w14:paraId="712498E5">
      <w:pPr>
        <w:tabs>
          <w:tab w:val="left" w:pos="6300"/>
        </w:tabs>
        <w:snapToGrid w:val="0"/>
        <w:ind w:left="14" w:leftChars="5" w:firstLine="611" w:firstLineChars="191"/>
        <w:jc w:val="center"/>
        <w:rPr>
          <w:rFonts w:hint="eastAsia" w:ascii="仿宋" w:hAnsi="仿宋" w:eastAsia="仿宋" w:cs="仿宋"/>
          <w:color w:val="auto"/>
          <w:sz w:val="32"/>
          <w:szCs w:val="32"/>
          <w:highlight w:val="none"/>
        </w:rPr>
      </w:pPr>
    </w:p>
    <w:p w14:paraId="240A7E28">
      <w:pP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（代理机构名称）</w:t>
      </w:r>
      <w:r>
        <w:rPr>
          <w:rFonts w:hint="eastAsia" w:ascii="仿宋" w:hAnsi="仿宋" w:eastAsia="仿宋" w:cs="仿宋"/>
          <w:color w:val="auto"/>
          <w:sz w:val="24"/>
          <w:szCs w:val="24"/>
          <w:highlight w:val="none"/>
        </w:rPr>
        <w:t>：</w:t>
      </w:r>
    </w:p>
    <w:p w14:paraId="41968CD6">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我方收到____________________________（项目名称）的竞采采购文件，经详细研究，决定参加该项目的竞采。</w:t>
      </w:r>
    </w:p>
    <w:p w14:paraId="47A5D272">
      <w:pPr>
        <w:numPr>
          <w:ilvl w:val="0"/>
          <w:numId w:val="3"/>
        </w:numPr>
        <w:tabs>
          <w:tab w:val="left" w:pos="6300"/>
        </w:tabs>
        <w:snapToGrid w:val="0"/>
        <w:ind w:left="476" w:leftChars="17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愿意按照竞采采购文件中的一切要求，提供本项目的技术服务，</w:t>
      </w:r>
      <w:r>
        <w:rPr>
          <w:rFonts w:hint="eastAsia" w:ascii="仿宋" w:hAnsi="仿宋" w:eastAsia="仿宋" w:cs="仿宋"/>
          <w:color w:val="auto"/>
          <w:sz w:val="24"/>
          <w:szCs w:val="24"/>
          <w:highlight w:val="none"/>
          <w:lang w:val="en-US" w:eastAsia="zh-CN"/>
        </w:rPr>
        <w:t>投标总</w:t>
      </w:r>
      <w:r>
        <w:rPr>
          <w:rFonts w:hint="eastAsia" w:ascii="仿宋" w:hAnsi="仿宋" w:eastAsia="仿宋" w:cs="仿宋"/>
          <w:color w:val="auto"/>
          <w:sz w:val="24"/>
          <w:szCs w:val="24"/>
          <w:highlight w:val="none"/>
        </w:rPr>
        <w:t>报价为</w:t>
      </w:r>
      <w:r>
        <w:rPr>
          <w:rFonts w:hint="eastAsia" w:ascii="仿宋" w:hAnsi="仿宋" w:eastAsia="仿宋" w:cs="仿宋"/>
          <w:color w:val="auto"/>
          <w:sz w:val="24"/>
          <w:szCs w:val="24"/>
          <w:highlight w:val="none"/>
          <w:lang w:val="en-US" w:eastAsia="zh-CN"/>
        </w:rPr>
        <w:t>人民币</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en-US" w:eastAsia="zh-CN"/>
        </w:rPr>
        <w:t>元（大写：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p>
    <w:p w14:paraId="3F873E0D">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2、我方现提交的响应文件为：响应文件电子文档壹份。</w:t>
      </w:r>
    </w:p>
    <w:p w14:paraId="42643C02">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3、我方承诺：本次竞采的有效期为90天。</w:t>
      </w:r>
    </w:p>
    <w:p w14:paraId="1A5EF6EA">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4、我方完全理解和接受贵方竞采采购文件的一切规定和要求及评审办法。</w:t>
      </w:r>
    </w:p>
    <w:p w14:paraId="48332ED9">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5、在整个竞采采购过程中，我方若有违规行为，接受按照重庆市政府采购云平台规定给予惩罚。</w:t>
      </w:r>
    </w:p>
    <w:p w14:paraId="6E990B61">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6、我方若中选，将按照竞采结果签订合同，并且严格履行合同义务。本承诺函将成为合同不可分割的一部分，与合同具有同等的法律效力。</w:t>
      </w:r>
    </w:p>
    <w:p w14:paraId="00566C32">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7、我方理解，最低报价不是成交的唯一条件。</w:t>
      </w:r>
    </w:p>
    <w:p w14:paraId="0E8179A2">
      <w:pPr>
        <w:tabs>
          <w:tab w:val="left" w:pos="6300"/>
        </w:tabs>
        <w:snapToGrid w:val="0"/>
        <w:spacing w:line="360" w:lineRule="auto"/>
        <w:ind w:firstLine="570"/>
        <w:rPr>
          <w:rFonts w:hint="eastAsia" w:ascii="仿宋" w:hAnsi="仿宋" w:eastAsia="仿宋" w:cs="仿宋"/>
          <w:color w:val="auto"/>
          <w:sz w:val="24"/>
          <w:szCs w:val="24"/>
          <w:highlight w:val="none"/>
        </w:rPr>
      </w:pPr>
    </w:p>
    <w:p w14:paraId="1823E990">
      <w:pPr>
        <w:tabs>
          <w:tab w:val="left" w:pos="6300"/>
        </w:tabs>
        <w:snapToGrid w:val="0"/>
        <w:spacing w:line="360" w:lineRule="auto"/>
        <w:ind w:firstLine="570"/>
        <w:rPr>
          <w:rFonts w:hint="eastAsia" w:ascii="仿宋" w:hAnsi="仿宋" w:eastAsia="仿宋" w:cs="仿宋"/>
          <w:color w:val="auto"/>
          <w:sz w:val="24"/>
          <w:szCs w:val="24"/>
          <w:highlight w:val="none"/>
        </w:rPr>
      </w:pPr>
    </w:p>
    <w:p w14:paraId="34C3F384">
      <w:pPr>
        <w:tabs>
          <w:tab w:val="left" w:pos="6300"/>
        </w:tabs>
        <w:snapToGrid w:val="0"/>
        <w:spacing w:line="360" w:lineRule="auto"/>
        <w:ind w:firstLine="570"/>
        <w:rPr>
          <w:rFonts w:hint="eastAsia" w:ascii="仿宋" w:hAnsi="仿宋" w:eastAsia="仿宋" w:cs="仿宋"/>
          <w:color w:val="auto"/>
          <w:sz w:val="24"/>
          <w:szCs w:val="24"/>
          <w:highlight w:val="none"/>
        </w:rPr>
      </w:pPr>
    </w:p>
    <w:p w14:paraId="5C61CF72">
      <w:pPr>
        <w:tabs>
          <w:tab w:val="left" w:pos="6300"/>
        </w:tabs>
        <w:snapToGrid w:val="0"/>
        <w:spacing w:line="360" w:lineRule="auto"/>
        <w:ind w:firstLine="570"/>
        <w:rPr>
          <w:rFonts w:hint="eastAsia" w:ascii="仿宋" w:hAnsi="仿宋" w:eastAsia="仿宋" w:cs="仿宋"/>
          <w:color w:val="auto"/>
          <w:sz w:val="24"/>
          <w:szCs w:val="24"/>
          <w:highlight w:val="none"/>
        </w:rPr>
      </w:pPr>
    </w:p>
    <w:p w14:paraId="2F60392F">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供应商名称（公章）：</w:t>
      </w:r>
    </w:p>
    <w:p w14:paraId="197E81B7">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67182EED">
      <w:pPr>
        <w:pStyle w:val="7"/>
        <w:rPr>
          <w:rFonts w:hint="eastAsia" w:ascii="仿宋" w:hAnsi="仿宋" w:eastAsia="仿宋" w:cs="仿宋"/>
          <w:color w:val="auto"/>
          <w:sz w:val="24"/>
          <w:szCs w:val="24"/>
          <w:highlight w:val="none"/>
        </w:rPr>
      </w:pPr>
    </w:p>
    <w:p w14:paraId="0DBE98B8">
      <w:pPr>
        <w:rPr>
          <w:rFonts w:hint="eastAsia" w:ascii="仿宋" w:hAnsi="仿宋" w:eastAsia="仿宋" w:cs="仿宋"/>
          <w:color w:val="auto"/>
          <w:sz w:val="24"/>
          <w:szCs w:val="24"/>
          <w:highlight w:val="none"/>
        </w:rPr>
      </w:pPr>
    </w:p>
    <w:p w14:paraId="7CDED5D8">
      <w:pPr>
        <w:pStyle w:val="7"/>
        <w:rPr>
          <w:rFonts w:hint="eastAsia" w:ascii="仿宋" w:hAnsi="仿宋" w:eastAsia="仿宋" w:cs="仿宋"/>
          <w:color w:val="auto"/>
          <w:sz w:val="24"/>
          <w:szCs w:val="24"/>
          <w:highlight w:val="none"/>
        </w:rPr>
      </w:pPr>
    </w:p>
    <w:p w14:paraId="6A5FE4C0">
      <w:pPr>
        <w:rPr>
          <w:rFonts w:hint="eastAsia" w:ascii="仿宋" w:hAnsi="仿宋" w:eastAsia="仿宋" w:cs="仿宋"/>
          <w:color w:val="auto"/>
          <w:sz w:val="24"/>
          <w:szCs w:val="24"/>
          <w:highlight w:val="none"/>
        </w:rPr>
      </w:pPr>
    </w:p>
    <w:p w14:paraId="3FF28D94">
      <w:pPr>
        <w:pStyle w:val="7"/>
        <w:rPr>
          <w:rFonts w:hint="eastAsia" w:ascii="仿宋" w:hAnsi="仿宋" w:eastAsia="仿宋" w:cs="仿宋"/>
          <w:color w:val="auto"/>
          <w:sz w:val="24"/>
          <w:szCs w:val="24"/>
          <w:highlight w:val="none"/>
        </w:rPr>
      </w:pPr>
    </w:p>
    <w:p w14:paraId="26E01BFF">
      <w:pPr>
        <w:rPr>
          <w:rFonts w:hint="eastAsia" w:ascii="仿宋" w:hAnsi="仿宋" w:eastAsia="仿宋" w:cs="仿宋"/>
          <w:color w:val="auto"/>
          <w:sz w:val="24"/>
          <w:szCs w:val="24"/>
          <w:highlight w:val="none"/>
        </w:rPr>
      </w:pPr>
    </w:p>
    <w:p w14:paraId="54D2C43A">
      <w:pPr>
        <w:pStyle w:val="7"/>
        <w:rPr>
          <w:rFonts w:hint="eastAsia" w:ascii="仿宋" w:hAnsi="仿宋" w:eastAsia="仿宋" w:cs="仿宋"/>
          <w:color w:val="auto"/>
          <w:sz w:val="24"/>
          <w:szCs w:val="24"/>
          <w:highlight w:val="none"/>
        </w:rPr>
      </w:pPr>
    </w:p>
    <w:p w14:paraId="4681FDEB">
      <w:pPr>
        <w:rPr>
          <w:rFonts w:hint="eastAsia" w:ascii="仿宋" w:hAnsi="仿宋" w:eastAsia="仿宋" w:cs="仿宋"/>
          <w:color w:val="auto"/>
          <w:sz w:val="24"/>
          <w:szCs w:val="24"/>
          <w:highlight w:val="none"/>
        </w:rPr>
      </w:pPr>
    </w:p>
    <w:p w14:paraId="792E5867">
      <w:pPr>
        <w:pStyle w:val="7"/>
        <w:rPr>
          <w:rFonts w:hint="eastAsia" w:ascii="仿宋" w:hAnsi="仿宋" w:eastAsia="仿宋" w:cs="仿宋"/>
          <w:color w:val="auto"/>
          <w:sz w:val="24"/>
          <w:szCs w:val="24"/>
          <w:highlight w:val="none"/>
        </w:rPr>
      </w:pPr>
    </w:p>
    <w:p w14:paraId="06DB4D18">
      <w:pPr>
        <w:rPr>
          <w:rFonts w:hint="eastAsia" w:ascii="仿宋" w:hAnsi="仿宋" w:eastAsia="仿宋" w:cs="仿宋"/>
          <w:color w:val="auto"/>
          <w:sz w:val="24"/>
          <w:szCs w:val="24"/>
          <w:highlight w:val="none"/>
        </w:rPr>
      </w:pPr>
    </w:p>
    <w:p w14:paraId="0EC48AA0">
      <w:pPr>
        <w:pStyle w:val="7"/>
        <w:rPr>
          <w:rFonts w:hint="eastAsia" w:ascii="仿宋" w:hAnsi="仿宋" w:eastAsia="仿宋" w:cs="仿宋"/>
          <w:color w:val="auto"/>
          <w:sz w:val="24"/>
          <w:szCs w:val="24"/>
          <w:highlight w:val="none"/>
        </w:rPr>
      </w:pPr>
    </w:p>
    <w:p w14:paraId="54DEC4A2">
      <w:pPr>
        <w:rPr>
          <w:rFonts w:hint="eastAsia" w:ascii="仿宋" w:hAnsi="仿宋" w:eastAsia="仿宋" w:cs="仿宋"/>
          <w:color w:val="auto"/>
          <w:sz w:val="24"/>
          <w:szCs w:val="24"/>
          <w:highlight w:val="none"/>
        </w:rPr>
      </w:pPr>
    </w:p>
    <w:p w14:paraId="54D84581">
      <w:pPr>
        <w:pStyle w:val="7"/>
        <w:rPr>
          <w:rFonts w:hint="eastAsia" w:ascii="仿宋" w:hAnsi="仿宋" w:eastAsia="仿宋" w:cs="仿宋"/>
          <w:color w:val="auto"/>
          <w:sz w:val="24"/>
          <w:szCs w:val="24"/>
          <w:highlight w:val="none"/>
        </w:rPr>
      </w:pPr>
    </w:p>
    <w:p w14:paraId="705B0987">
      <w:pPr>
        <w:tabs>
          <w:tab w:val="left" w:pos="6300"/>
        </w:tabs>
        <w:snapToGrid w:val="0"/>
        <w:ind w:firstLine="480"/>
        <w:rPr>
          <w:rFonts w:hint="eastAsia" w:ascii="仿宋" w:hAnsi="仿宋" w:eastAsia="仿宋" w:cs="仿宋"/>
          <w:color w:val="auto"/>
          <w:sz w:val="24"/>
          <w:szCs w:val="24"/>
          <w:highlight w:val="none"/>
        </w:rPr>
      </w:pPr>
    </w:p>
    <w:p w14:paraId="6F896FD5">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197DE6FB">
      <w:pPr>
        <w:snapToGrid w:val="0"/>
        <w:ind w:firstLine="480" w:firstLineChars="200"/>
        <w:rPr>
          <w:rFonts w:hint="eastAsia" w:ascii="仿宋" w:hAnsi="仿宋" w:eastAsia="仿宋" w:cs="仿宋"/>
          <w:color w:val="auto"/>
          <w:sz w:val="24"/>
          <w:szCs w:val="24"/>
          <w:highlight w:val="none"/>
        </w:rPr>
        <w:sectPr>
          <w:footerReference r:id="rId4"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color w:val="auto"/>
          <w:sz w:val="24"/>
          <w:szCs w:val="24"/>
          <w:highlight w:val="none"/>
        </w:rPr>
        <w:t xml:space="preserve">                                                  </w:t>
      </w:r>
    </w:p>
    <w:p w14:paraId="4B71521B">
      <w:pPr>
        <w:pStyle w:val="3"/>
        <w:spacing w:line="240" w:lineRule="auto"/>
        <w:ind w:firstLine="643"/>
        <w:rPr>
          <w:rFonts w:hint="eastAsia" w:ascii="仿宋" w:hAnsi="仿宋" w:eastAsia="仿宋" w:cs="仿宋"/>
          <w:color w:val="auto"/>
          <w:highlight w:val="none"/>
        </w:rPr>
      </w:pPr>
      <w:bookmarkStart w:id="153" w:name="_Toc486585241"/>
      <w:bookmarkStart w:id="154" w:name="_Toc486608278"/>
      <w:bookmarkStart w:id="155" w:name="_Toc9090"/>
      <w:bookmarkStart w:id="156" w:name="_Toc487204798"/>
      <w:bookmarkStart w:id="157" w:name="_Toc183783161"/>
      <w:bookmarkStart w:id="158" w:name="_Toc3192"/>
      <w:r>
        <w:rPr>
          <w:rFonts w:hint="eastAsia" w:ascii="仿宋" w:hAnsi="仿宋" w:eastAsia="仿宋" w:cs="仿宋"/>
          <w:color w:val="auto"/>
          <w:highlight w:val="none"/>
        </w:rPr>
        <w:t>二、服务部分</w:t>
      </w:r>
      <w:bookmarkEnd w:id="153"/>
      <w:bookmarkEnd w:id="154"/>
      <w:bookmarkEnd w:id="155"/>
      <w:bookmarkEnd w:id="156"/>
      <w:bookmarkEnd w:id="157"/>
      <w:bookmarkEnd w:id="158"/>
    </w:p>
    <w:p w14:paraId="5567A8C1">
      <w:pPr>
        <w:snapToGrid w:val="0"/>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（一）服务要求应答</w:t>
      </w:r>
    </w:p>
    <w:p w14:paraId="04C1D0E1">
      <w:pPr>
        <w:rPr>
          <w:rFonts w:hint="eastAsia" w:ascii="仿宋" w:hAnsi="仿宋" w:eastAsia="仿宋" w:cs="仿宋"/>
          <w:color w:val="auto"/>
          <w:szCs w:val="24"/>
          <w:highlight w:val="none"/>
        </w:rPr>
      </w:pPr>
    </w:p>
    <w:p w14:paraId="1A76F645">
      <w:pPr>
        <w:ind w:firstLine="48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（二）服务响应偏离表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4A03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60D28730">
            <w:pPr>
              <w:ind w:firstLine="420"/>
              <w:jc w:val="center"/>
              <w:rPr>
                <w:rFonts w:hint="eastAsia" w:ascii="仿宋" w:hAnsi="仿宋" w:eastAsia="仿宋" w:cs="仿宋"/>
                <w:bCs/>
                <w:color w:val="auto"/>
                <w:szCs w:val="21"/>
                <w:highlight w:val="none"/>
              </w:rPr>
            </w:pPr>
            <w:r>
              <w:rPr>
                <w:rFonts w:hint="eastAsia" w:ascii="仿宋" w:hAnsi="仿宋" w:eastAsia="仿宋" w:cs="仿宋"/>
                <w:bCs/>
                <w:color w:val="auto"/>
                <w:sz w:val="21"/>
                <w:szCs w:val="21"/>
                <w:highlight w:val="none"/>
              </w:rPr>
              <w:t>序号</w:t>
            </w:r>
          </w:p>
        </w:tc>
        <w:tc>
          <w:tcPr>
            <w:tcW w:w="1542" w:type="pct"/>
            <w:vAlign w:val="center"/>
          </w:tcPr>
          <w:p w14:paraId="07991947">
            <w:pPr>
              <w:ind w:firstLine="42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招标要求</w:t>
            </w:r>
          </w:p>
        </w:tc>
        <w:tc>
          <w:tcPr>
            <w:tcW w:w="1600" w:type="pct"/>
            <w:vAlign w:val="center"/>
          </w:tcPr>
          <w:p w14:paraId="176B6E4B">
            <w:pPr>
              <w:ind w:firstLine="42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投标应答</w:t>
            </w:r>
          </w:p>
        </w:tc>
        <w:tc>
          <w:tcPr>
            <w:tcW w:w="1199" w:type="pct"/>
            <w:vAlign w:val="center"/>
          </w:tcPr>
          <w:p w14:paraId="0F730140">
            <w:pPr>
              <w:ind w:firstLine="42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差异说明</w:t>
            </w:r>
          </w:p>
        </w:tc>
      </w:tr>
      <w:tr w14:paraId="0650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9C7B66D">
            <w:pPr>
              <w:tabs>
                <w:tab w:val="left" w:pos="6300"/>
              </w:tabs>
              <w:snapToGrid w:val="0"/>
              <w:ind w:firstLine="420"/>
              <w:jc w:val="center"/>
              <w:rPr>
                <w:rFonts w:hint="eastAsia" w:ascii="仿宋" w:hAnsi="仿宋" w:eastAsia="仿宋" w:cs="仿宋"/>
                <w:bCs/>
                <w:color w:val="auto"/>
                <w:sz w:val="21"/>
                <w:szCs w:val="21"/>
                <w:highlight w:val="none"/>
              </w:rPr>
            </w:pPr>
          </w:p>
        </w:tc>
        <w:tc>
          <w:tcPr>
            <w:tcW w:w="1542" w:type="pct"/>
            <w:vAlign w:val="center"/>
          </w:tcPr>
          <w:p w14:paraId="4DAE2CFE">
            <w:pPr>
              <w:ind w:firstLine="420"/>
              <w:jc w:val="center"/>
              <w:rPr>
                <w:rFonts w:hint="eastAsia" w:ascii="仿宋" w:hAnsi="仿宋" w:eastAsia="仿宋" w:cs="仿宋"/>
                <w:bCs/>
                <w:color w:val="auto"/>
                <w:sz w:val="21"/>
                <w:szCs w:val="21"/>
                <w:highlight w:val="none"/>
              </w:rPr>
            </w:pPr>
          </w:p>
        </w:tc>
        <w:tc>
          <w:tcPr>
            <w:tcW w:w="1600" w:type="pct"/>
            <w:vAlign w:val="center"/>
          </w:tcPr>
          <w:p w14:paraId="2E00EB5C">
            <w:pPr>
              <w:ind w:firstLine="420"/>
              <w:jc w:val="center"/>
              <w:rPr>
                <w:rFonts w:hint="eastAsia" w:ascii="仿宋" w:hAnsi="仿宋" w:eastAsia="仿宋" w:cs="仿宋"/>
                <w:bCs/>
                <w:color w:val="auto"/>
                <w:sz w:val="21"/>
                <w:szCs w:val="21"/>
                <w:highlight w:val="none"/>
              </w:rPr>
            </w:pPr>
          </w:p>
        </w:tc>
        <w:tc>
          <w:tcPr>
            <w:tcW w:w="1199" w:type="pct"/>
            <w:vAlign w:val="center"/>
          </w:tcPr>
          <w:p w14:paraId="7451EF27">
            <w:pPr>
              <w:ind w:firstLine="420"/>
              <w:jc w:val="center"/>
              <w:rPr>
                <w:rFonts w:hint="eastAsia" w:ascii="仿宋" w:hAnsi="仿宋" w:eastAsia="仿宋" w:cs="仿宋"/>
                <w:bCs/>
                <w:color w:val="auto"/>
                <w:sz w:val="21"/>
                <w:szCs w:val="21"/>
                <w:highlight w:val="none"/>
              </w:rPr>
            </w:pPr>
          </w:p>
        </w:tc>
      </w:tr>
      <w:tr w14:paraId="2770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CBD506F">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65C39B12">
            <w:pPr>
              <w:ind w:firstLine="420"/>
              <w:jc w:val="center"/>
              <w:rPr>
                <w:rFonts w:hint="eastAsia" w:ascii="仿宋" w:hAnsi="仿宋" w:eastAsia="仿宋" w:cs="仿宋"/>
                <w:color w:val="auto"/>
                <w:sz w:val="21"/>
                <w:szCs w:val="21"/>
                <w:highlight w:val="none"/>
              </w:rPr>
            </w:pPr>
          </w:p>
        </w:tc>
        <w:tc>
          <w:tcPr>
            <w:tcW w:w="1600" w:type="pct"/>
            <w:vAlign w:val="center"/>
          </w:tcPr>
          <w:p w14:paraId="1C20FF32">
            <w:pPr>
              <w:ind w:firstLine="420"/>
              <w:jc w:val="center"/>
              <w:rPr>
                <w:rFonts w:hint="eastAsia" w:ascii="仿宋" w:hAnsi="仿宋" w:eastAsia="仿宋" w:cs="仿宋"/>
                <w:color w:val="auto"/>
                <w:sz w:val="21"/>
                <w:szCs w:val="21"/>
                <w:highlight w:val="none"/>
              </w:rPr>
            </w:pPr>
          </w:p>
        </w:tc>
        <w:tc>
          <w:tcPr>
            <w:tcW w:w="1199" w:type="pct"/>
            <w:vAlign w:val="center"/>
          </w:tcPr>
          <w:p w14:paraId="38EAEC18">
            <w:pPr>
              <w:ind w:firstLine="420"/>
              <w:jc w:val="center"/>
              <w:rPr>
                <w:rFonts w:hint="eastAsia" w:ascii="仿宋" w:hAnsi="仿宋" w:eastAsia="仿宋" w:cs="仿宋"/>
                <w:color w:val="auto"/>
                <w:sz w:val="21"/>
                <w:szCs w:val="21"/>
                <w:highlight w:val="none"/>
              </w:rPr>
            </w:pPr>
          </w:p>
        </w:tc>
      </w:tr>
      <w:tr w14:paraId="2D19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3A60D6C">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645D9244">
            <w:pPr>
              <w:ind w:firstLine="420"/>
              <w:jc w:val="center"/>
              <w:rPr>
                <w:rFonts w:hint="eastAsia" w:ascii="仿宋" w:hAnsi="仿宋" w:eastAsia="仿宋" w:cs="仿宋"/>
                <w:color w:val="auto"/>
                <w:sz w:val="21"/>
                <w:szCs w:val="21"/>
                <w:highlight w:val="none"/>
              </w:rPr>
            </w:pPr>
          </w:p>
        </w:tc>
        <w:tc>
          <w:tcPr>
            <w:tcW w:w="1600" w:type="pct"/>
            <w:vAlign w:val="center"/>
          </w:tcPr>
          <w:p w14:paraId="74C13715">
            <w:pPr>
              <w:ind w:firstLine="420"/>
              <w:jc w:val="center"/>
              <w:rPr>
                <w:rFonts w:hint="eastAsia" w:ascii="仿宋" w:hAnsi="仿宋" w:eastAsia="仿宋" w:cs="仿宋"/>
                <w:color w:val="auto"/>
                <w:sz w:val="21"/>
                <w:szCs w:val="21"/>
                <w:highlight w:val="none"/>
              </w:rPr>
            </w:pPr>
          </w:p>
        </w:tc>
        <w:tc>
          <w:tcPr>
            <w:tcW w:w="1199" w:type="pct"/>
            <w:vAlign w:val="center"/>
          </w:tcPr>
          <w:p w14:paraId="336B0E8D">
            <w:pPr>
              <w:ind w:firstLine="420"/>
              <w:jc w:val="center"/>
              <w:rPr>
                <w:rFonts w:hint="eastAsia" w:ascii="仿宋" w:hAnsi="仿宋" w:eastAsia="仿宋" w:cs="仿宋"/>
                <w:color w:val="auto"/>
                <w:sz w:val="21"/>
                <w:szCs w:val="21"/>
                <w:highlight w:val="none"/>
              </w:rPr>
            </w:pPr>
          </w:p>
        </w:tc>
      </w:tr>
      <w:tr w14:paraId="7F3E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8FF87A9">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5E04402D">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641ED9C2">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0E94D866">
            <w:pPr>
              <w:tabs>
                <w:tab w:val="left" w:pos="6300"/>
              </w:tabs>
              <w:snapToGrid w:val="0"/>
              <w:ind w:firstLine="420"/>
              <w:jc w:val="center"/>
              <w:rPr>
                <w:rFonts w:hint="eastAsia" w:ascii="仿宋" w:hAnsi="仿宋" w:eastAsia="仿宋" w:cs="仿宋"/>
                <w:color w:val="auto"/>
                <w:sz w:val="21"/>
                <w:szCs w:val="21"/>
                <w:highlight w:val="none"/>
              </w:rPr>
            </w:pPr>
          </w:p>
        </w:tc>
      </w:tr>
      <w:tr w14:paraId="08C4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87F88CC">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6FAFC8B5">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5B3B659">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1A675212">
            <w:pPr>
              <w:tabs>
                <w:tab w:val="left" w:pos="6300"/>
              </w:tabs>
              <w:snapToGrid w:val="0"/>
              <w:ind w:firstLine="420"/>
              <w:jc w:val="center"/>
              <w:rPr>
                <w:rFonts w:hint="eastAsia" w:ascii="仿宋" w:hAnsi="仿宋" w:eastAsia="仿宋" w:cs="仿宋"/>
                <w:color w:val="auto"/>
                <w:sz w:val="21"/>
                <w:szCs w:val="21"/>
                <w:highlight w:val="none"/>
              </w:rPr>
            </w:pPr>
          </w:p>
        </w:tc>
      </w:tr>
      <w:tr w14:paraId="5C80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AC8EBBC">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39086D01">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134A93CF">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2F153AE0">
            <w:pPr>
              <w:tabs>
                <w:tab w:val="left" w:pos="6300"/>
              </w:tabs>
              <w:snapToGrid w:val="0"/>
              <w:ind w:firstLine="420"/>
              <w:jc w:val="center"/>
              <w:rPr>
                <w:rFonts w:hint="eastAsia" w:ascii="仿宋" w:hAnsi="仿宋" w:eastAsia="仿宋" w:cs="仿宋"/>
                <w:color w:val="auto"/>
                <w:sz w:val="21"/>
                <w:szCs w:val="21"/>
                <w:highlight w:val="none"/>
              </w:rPr>
            </w:pPr>
          </w:p>
        </w:tc>
      </w:tr>
      <w:tr w14:paraId="45ED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6B84B04">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2722BB96">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7A8328E1">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14C43335">
            <w:pPr>
              <w:tabs>
                <w:tab w:val="left" w:pos="6300"/>
              </w:tabs>
              <w:snapToGrid w:val="0"/>
              <w:ind w:firstLine="420"/>
              <w:jc w:val="center"/>
              <w:rPr>
                <w:rFonts w:hint="eastAsia" w:ascii="仿宋" w:hAnsi="仿宋" w:eastAsia="仿宋" w:cs="仿宋"/>
                <w:color w:val="auto"/>
                <w:sz w:val="21"/>
                <w:szCs w:val="21"/>
                <w:highlight w:val="none"/>
              </w:rPr>
            </w:pPr>
          </w:p>
        </w:tc>
      </w:tr>
      <w:tr w14:paraId="77C4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62F3C8E">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4D32EABA">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3563C4ED">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4F868C64">
            <w:pPr>
              <w:tabs>
                <w:tab w:val="left" w:pos="6300"/>
              </w:tabs>
              <w:snapToGrid w:val="0"/>
              <w:ind w:firstLine="420"/>
              <w:jc w:val="center"/>
              <w:rPr>
                <w:rFonts w:hint="eastAsia" w:ascii="仿宋" w:hAnsi="仿宋" w:eastAsia="仿宋" w:cs="仿宋"/>
                <w:color w:val="auto"/>
                <w:sz w:val="21"/>
                <w:szCs w:val="21"/>
                <w:highlight w:val="none"/>
              </w:rPr>
            </w:pPr>
          </w:p>
        </w:tc>
      </w:tr>
      <w:tr w14:paraId="4787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1F0B667">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1A92665C">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7D6DA232">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71F46301">
            <w:pPr>
              <w:tabs>
                <w:tab w:val="left" w:pos="6300"/>
              </w:tabs>
              <w:snapToGrid w:val="0"/>
              <w:ind w:firstLine="420"/>
              <w:jc w:val="center"/>
              <w:rPr>
                <w:rFonts w:hint="eastAsia" w:ascii="仿宋" w:hAnsi="仿宋" w:eastAsia="仿宋" w:cs="仿宋"/>
                <w:color w:val="auto"/>
                <w:sz w:val="21"/>
                <w:szCs w:val="21"/>
                <w:highlight w:val="none"/>
              </w:rPr>
            </w:pPr>
          </w:p>
        </w:tc>
      </w:tr>
      <w:tr w14:paraId="39DE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31EF11A">
            <w:pP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75142BFD">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21E875EF">
            <w:pP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6E011063">
            <w:pPr>
              <w:tabs>
                <w:tab w:val="left" w:pos="6300"/>
              </w:tabs>
              <w:snapToGrid w:val="0"/>
              <w:ind w:firstLine="420"/>
              <w:jc w:val="center"/>
              <w:rPr>
                <w:rFonts w:hint="eastAsia" w:ascii="仿宋" w:hAnsi="仿宋" w:eastAsia="仿宋" w:cs="仿宋"/>
                <w:color w:val="auto"/>
                <w:sz w:val="21"/>
                <w:szCs w:val="21"/>
                <w:highlight w:val="none"/>
              </w:rPr>
            </w:pPr>
          </w:p>
        </w:tc>
      </w:tr>
    </w:tbl>
    <w:p w14:paraId="2BB3C74D">
      <w:pPr>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                      法定代表人（或法定代表人授权代表）或自然人：</w:t>
      </w:r>
    </w:p>
    <w:p w14:paraId="2AF19BDB">
      <w:pPr>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p>
    <w:p w14:paraId="11F4F3F5">
      <w:pPr>
        <w:ind w:firstLine="720" w:firstLineChars="3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公章）                               （签署或盖章）</w:t>
      </w:r>
    </w:p>
    <w:p w14:paraId="7D3FB7D8">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107CE25E">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2204DE3B">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1.本表即为对本项目“第二篇  项目服务需求”中所列条款进行比较和响应；</w:t>
      </w:r>
    </w:p>
    <w:p w14:paraId="2FCE4C1C">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2.本表可扩展；</w:t>
      </w:r>
    </w:p>
    <w:p w14:paraId="184A9D60">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3.可附相关技术（质量）支撑材料。（格式自定）</w:t>
      </w:r>
    </w:p>
    <w:p w14:paraId="44AAF1C1">
      <w:pPr>
        <w:snapToGrid w:val="0"/>
        <w:ind w:firstLine="560" w:firstLineChars="200"/>
        <w:rPr>
          <w:rFonts w:hint="eastAsia" w:ascii="仿宋" w:hAnsi="仿宋" w:eastAsia="仿宋" w:cs="仿宋"/>
          <w:color w:val="auto"/>
          <w:sz w:val="24"/>
          <w:szCs w:val="28"/>
          <w:highlight w:val="none"/>
        </w:rPr>
      </w:pPr>
      <w:r>
        <w:rPr>
          <w:rFonts w:hint="eastAsia" w:ascii="仿宋" w:hAnsi="仿宋" w:eastAsia="仿宋" w:cs="仿宋"/>
          <w:color w:val="auto"/>
          <w:szCs w:val="24"/>
          <w:highlight w:val="none"/>
        </w:rPr>
        <w:br w:type="page"/>
      </w:r>
    </w:p>
    <w:p w14:paraId="6D095EDD">
      <w:pPr>
        <w:pStyle w:val="3"/>
        <w:spacing w:line="240" w:lineRule="auto"/>
        <w:ind w:firstLine="643"/>
        <w:rPr>
          <w:rFonts w:hint="eastAsia" w:ascii="仿宋" w:hAnsi="仿宋" w:eastAsia="仿宋" w:cs="仿宋"/>
          <w:color w:val="auto"/>
          <w:highlight w:val="none"/>
        </w:rPr>
      </w:pPr>
      <w:bookmarkStart w:id="159" w:name="_Toc8958"/>
      <w:bookmarkStart w:id="160" w:name="_Toc7069"/>
      <w:bookmarkStart w:id="161" w:name="_Toc6786"/>
      <w:bookmarkStart w:id="162" w:name="_Toc32670"/>
      <w:bookmarkStart w:id="163" w:name="_Toc30496"/>
      <w:bookmarkStart w:id="164" w:name="_Toc10372"/>
      <w:bookmarkStart w:id="165" w:name="_Toc22113"/>
      <w:bookmarkStart w:id="166" w:name="_Toc75793542"/>
      <w:bookmarkStart w:id="167" w:name="_Toc492721039"/>
      <w:bookmarkStart w:id="168" w:name="_Toc23523"/>
      <w:bookmarkStart w:id="169" w:name="_Toc17290"/>
      <w:bookmarkStart w:id="170" w:name="_Toc5573"/>
      <w:bookmarkStart w:id="171" w:name="_Toc28242"/>
      <w:bookmarkStart w:id="172" w:name="_Toc106030419"/>
      <w:bookmarkStart w:id="173" w:name="_Toc493178791"/>
      <w:bookmarkStart w:id="174" w:name="_Toc4362"/>
      <w:bookmarkStart w:id="175" w:name="_Toc183783162"/>
      <w:bookmarkStart w:id="176" w:name="_Toc26494"/>
      <w:bookmarkStart w:id="177" w:name="_Toc14954"/>
      <w:r>
        <w:rPr>
          <w:rFonts w:hint="eastAsia" w:ascii="仿宋" w:hAnsi="仿宋" w:eastAsia="仿宋" w:cs="仿宋"/>
          <w:color w:val="auto"/>
          <w:highlight w:val="none"/>
        </w:rPr>
        <w:t>三、商务文件</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1B894337">
      <w:pPr>
        <w:ind w:firstLine="440"/>
        <w:rPr>
          <w:rFonts w:hint="eastAsia" w:ascii="仿宋" w:hAnsi="仿宋" w:eastAsia="仿宋" w:cs="仿宋"/>
          <w:color w:val="auto"/>
          <w:sz w:val="22"/>
          <w:szCs w:val="16"/>
          <w:highlight w:val="none"/>
        </w:rPr>
      </w:pPr>
      <w:r>
        <w:rPr>
          <w:rFonts w:hint="eastAsia" w:ascii="仿宋" w:hAnsi="仿宋" w:eastAsia="仿宋" w:cs="仿宋"/>
          <w:color w:val="auto"/>
          <w:sz w:val="22"/>
          <w:szCs w:val="16"/>
          <w:highlight w:val="none"/>
        </w:rPr>
        <w:t>（一）服务要求响应情况</w:t>
      </w:r>
    </w:p>
    <w:p w14:paraId="7BE4636D">
      <w:pPr>
        <w:ind w:firstLine="482"/>
        <w:rPr>
          <w:rFonts w:hint="eastAsia" w:ascii="仿宋" w:hAnsi="仿宋" w:eastAsia="仿宋" w:cs="仿宋"/>
          <w:b/>
          <w:color w:val="auto"/>
          <w:szCs w:val="28"/>
          <w:highlight w:val="none"/>
        </w:rPr>
      </w:pPr>
    </w:p>
    <w:p w14:paraId="03C7539F">
      <w:pPr>
        <w:ind w:firstLine="440"/>
        <w:rPr>
          <w:rFonts w:hint="eastAsia" w:ascii="仿宋" w:hAnsi="仿宋" w:eastAsia="仿宋" w:cs="仿宋"/>
          <w:color w:val="auto"/>
          <w:sz w:val="22"/>
          <w:szCs w:val="16"/>
          <w:highlight w:val="none"/>
        </w:rPr>
      </w:pPr>
      <w:r>
        <w:rPr>
          <w:rFonts w:hint="eastAsia" w:ascii="仿宋" w:hAnsi="仿宋" w:eastAsia="仿宋" w:cs="仿宋"/>
          <w:color w:val="auto"/>
          <w:sz w:val="22"/>
          <w:szCs w:val="16"/>
          <w:highlight w:val="none"/>
        </w:rPr>
        <w:t>（二）商务响应偏离表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4338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10DFBA87">
            <w:pPr>
              <w:ind w:firstLine="440"/>
              <w:jc w:val="center"/>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序号</w:t>
            </w:r>
          </w:p>
        </w:tc>
        <w:tc>
          <w:tcPr>
            <w:tcW w:w="1541" w:type="pct"/>
            <w:vAlign w:val="center"/>
          </w:tcPr>
          <w:p w14:paraId="7203969F">
            <w:pPr>
              <w:ind w:firstLine="44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招标商务</w:t>
            </w:r>
            <w:r>
              <w:rPr>
                <w:rFonts w:hint="eastAsia" w:ascii="仿宋" w:hAnsi="仿宋" w:eastAsia="仿宋" w:cs="仿宋"/>
                <w:bCs/>
                <w:color w:val="auto"/>
                <w:sz w:val="22"/>
                <w:szCs w:val="22"/>
                <w:highlight w:val="none"/>
              </w:rPr>
              <w:t>要求</w:t>
            </w:r>
          </w:p>
        </w:tc>
        <w:tc>
          <w:tcPr>
            <w:tcW w:w="1600" w:type="pct"/>
            <w:vAlign w:val="center"/>
          </w:tcPr>
          <w:p w14:paraId="0EB639D7">
            <w:pPr>
              <w:ind w:firstLine="44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投标商务应答</w:t>
            </w:r>
          </w:p>
        </w:tc>
        <w:tc>
          <w:tcPr>
            <w:tcW w:w="1198" w:type="pct"/>
            <w:vAlign w:val="center"/>
          </w:tcPr>
          <w:p w14:paraId="7FD5AC1E">
            <w:pPr>
              <w:ind w:firstLine="44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差异</w:t>
            </w:r>
            <w:r>
              <w:rPr>
                <w:rFonts w:hint="eastAsia" w:ascii="仿宋" w:hAnsi="仿宋" w:eastAsia="仿宋" w:cs="仿宋"/>
                <w:bCs/>
                <w:color w:val="auto"/>
                <w:sz w:val="22"/>
                <w:szCs w:val="22"/>
                <w:highlight w:val="none"/>
              </w:rPr>
              <w:t>说明</w:t>
            </w:r>
          </w:p>
        </w:tc>
      </w:tr>
      <w:tr w14:paraId="4A9A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AA45605">
            <w:pPr>
              <w:ind w:firstLine="440"/>
              <w:rPr>
                <w:rFonts w:hint="eastAsia" w:ascii="仿宋" w:hAnsi="仿宋" w:eastAsia="仿宋" w:cs="仿宋"/>
                <w:color w:val="auto"/>
                <w:sz w:val="22"/>
                <w:szCs w:val="22"/>
                <w:highlight w:val="none"/>
              </w:rPr>
            </w:pPr>
          </w:p>
        </w:tc>
        <w:tc>
          <w:tcPr>
            <w:tcW w:w="1541" w:type="pct"/>
            <w:vAlign w:val="center"/>
          </w:tcPr>
          <w:p w14:paraId="0D8505BD">
            <w:pPr>
              <w:ind w:firstLine="440"/>
              <w:rPr>
                <w:rFonts w:hint="eastAsia" w:ascii="仿宋" w:hAnsi="仿宋" w:eastAsia="仿宋" w:cs="仿宋"/>
                <w:color w:val="auto"/>
                <w:sz w:val="22"/>
                <w:szCs w:val="22"/>
                <w:highlight w:val="none"/>
              </w:rPr>
            </w:pPr>
          </w:p>
        </w:tc>
        <w:tc>
          <w:tcPr>
            <w:tcW w:w="1600" w:type="pct"/>
            <w:vAlign w:val="center"/>
          </w:tcPr>
          <w:p w14:paraId="4339EA51">
            <w:pPr>
              <w:ind w:firstLine="440"/>
              <w:jc w:val="center"/>
              <w:rPr>
                <w:rFonts w:hint="eastAsia" w:ascii="仿宋" w:hAnsi="仿宋" w:eastAsia="仿宋" w:cs="仿宋"/>
                <w:color w:val="auto"/>
                <w:sz w:val="22"/>
                <w:szCs w:val="22"/>
                <w:highlight w:val="none"/>
              </w:rPr>
            </w:pPr>
          </w:p>
        </w:tc>
        <w:tc>
          <w:tcPr>
            <w:tcW w:w="1198" w:type="pct"/>
            <w:vAlign w:val="center"/>
          </w:tcPr>
          <w:p w14:paraId="1FDF0A48">
            <w:pPr>
              <w:ind w:firstLine="440"/>
              <w:rPr>
                <w:rFonts w:hint="eastAsia" w:ascii="仿宋" w:hAnsi="仿宋" w:eastAsia="仿宋" w:cs="仿宋"/>
                <w:color w:val="auto"/>
                <w:sz w:val="22"/>
                <w:szCs w:val="22"/>
                <w:highlight w:val="none"/>
              </w:rPr>
            </w:pPr>
          </w:p>
        </w:tc>
      </w:tr>
      <w:tr w14:paraId="733F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88AFB32">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26D365BD">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16F2BC75">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7934A234">
            <w:pPr>
              <w:tabs>
                <w:tab w:val="left" w:pos="6300"/>
              </w:tabs>
              <w:snapToGrid w:val="0"/>
              <w:ind w:firstLine="420"/>
              <w:jc w:val="center"/>
              <w:rPr>
                <w:rFonts w:hint="eastAsia" w:ascii="仿宋" w:hAnsi="仿宋" w:eastAsia="仿宋" w:cs="仿宋"/>
                <w:color w:val="auto"/>
                <w:sz w:val="21"/>
                <w:szCs w:val="21"/>
                <w:highlight w:val="none"/>
              </w:rPr>
            </w:pPr>
          </w:p>
        </w:tc>
      </w:tr>
      <w:tr w14:paraId="2382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80165AE">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18A6A28C">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BB6A2A2">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388A0F85">
            <w:pPr>
              <w:tabs>
                <w:tab w:val="left" w:pos="6300"/>
              </w:tabs>
              <w:snapToGrid w:val="0"/>
              <w:ind w:firstLine="420"/>
              <w:jc w:val="center"/>
              <w:rPr>
                <w:rFonts w:hint="eastAsia" w:ascii="仿宋" w:hAnsi="仿宋" w:eastAsia="仿宋" w:cs="仿宋"/>
                <w:color w:val="auto"/>
                <w:sz w:val="21"/>
                <w:szCs w:val="21"/>
                <w:highlight w:val="none"/>
              </w:rPr>
            </w:pPr>
          </w:p>
        </w:tc>
      </w:tr>
      <w:tr w14:paraId="3F79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7C50C73">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3D7B816D">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62110C8">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7D8DAEDB">
            <w:pPr>
              <w:tabs>
                <w:tab w:val="left" w:pos="6300"/>
              </w:tabs>
              <w:snapToGrid w:val="0"/>
              <w:ind w:firstLine="420"/>
              <w:jc w:val="center"/>
              <w:rPr>
                <w:rFonts w:hint="eastAsia" w:ascii="仿宋" w:hAnsi="仿宋" w:eastAsia="仿宋" w:cs="仿宋"/>
                <w:color w:val="auto"/>
                <w:sz w:val="21"/>
                <w:szCs w:val="21"/>
                <w:highlight w:val="none"/>
              </w:rPr>
            </w:pPr>
          </w:p>
        </w:tc>
      </w:tr>
      <w:tr w14:paraId="7DAD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624259F">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73C43168">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8A84B28">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7B58186A">
            <w:pPr>
              <w:tabs>
                <w:tab w:val="left" w:pos="6300"/>
              </w:tabs>
              <w:snapToGrid w:val="0"/>
              <w:ind w:firstLine="420"/>
              <w:jc w:val="center"/>
              <w:rPr>
                <w:rFonts w:hint="eastAsia" w:ascii="仿宋" w:hAnsi="仿宋" w:eastAsia="仿宋" w:cs="仿宋"/>
                <w:color w:val="auto"/>
                <w:sz w:val="21"/>
                <w:szCs w:val="21"/>
                <w:highlight w:val="none"/>
              </w:rPr>
            </w:pPr>
          </w:p>
        </w:tc>
      </w:tr>
      <w:tr w14:paraId="613A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9FAD3F0">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76A14B5E">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24D5434C">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24836EB0">
            <w:pPr>
              <w:tabs>
                <w:tab w:val="left" w:pos="6300"/>
              </w:tabs>
              <w:snapToGrid w:val="0"/>
              <w:ind w:firstLine="420"/>
              <w:jc w:val="center"/>
              <w:rPr>
                <w:rFonts w:hint="eastAsia" w:ascii="仿宋" w:hAnsi="仿宋" w:eastAsia="仿宋" w:cs="仿宋"/>
                <w:color w:val="auto"/>
                <w:sz w:val="21"/>
                <w:szCs w:val="21"/>
                <w:highlight w:val="none"/>
              </w:rPr>
            </w:pPr>
          </w:p>
        </w:tc>
      </w:tr>
      <w:tr w14:paraId="182E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BE98947">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194413A8">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63B2C39C">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5C071E9F">
            <w:pPr>
              <w:tabs>
                <w:tab w:val="left" w:pos="6300"/>
              </w:tabs>
              <w:snapToGrid w:val="0"/>
              <w:ind w:firstLine="420"/>
              <w:jc w:val="center"/>
              <w:rPr>
                <w:rFonts w:hint="eastAsia" w:ascii="仿宋" w:hAnsi="仿宋" w:eastAsia="仿宋" w:cs="仿宋"/>
                <w:color w:val="auto"/>
                <w:sz w:val="21"/>
                <w:szCs w:val="21"/>
                <w:highlight w:val="none"/>
              </w:rPr>
            </w:pPr>
          </w:p>
        </w:tc>
      </w:tr>
      <w:tr w14:paraId="0702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12E6698">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7C22BEA4">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5BF88938">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68B51C0F">
            <w:pPr>
              <w:tabs>
                <w:tab w:val="left" w:pos="6300"/>
              </w:tabs>
              <w:snapToGrid w:val="0"/>
              <w:ind w:firstLine="420"/>
              <w:jc w:val="center"/>
              <w:rPr>
                <w:rFonts w:hint="eastAsia" w:ascii="仿宋" w:hAnsi="仿宋" w:eastAsia="仿宋" w:cs="仿宋"/>
                <w:color w:val="auto"/>
                <w:sz w:val="21"/>
                <w:szCs w:val="21"/>
                <w:highlight w:val="none"/>
              </w:rPr>
            </w:pPr>
          </w:p>
        </w:tc>
      </w:tr>
      <w:tr w14:paraId="326A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DB01379">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66E806D6">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6E5B1F93">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38D73075">
            <w:pPr>
              <w:tabs>
                <w:tab w:val="left" w:pos="6300"/>
              </w:tabs>
              <w:snapToGrid w:val="0"/>
              <w:ind w:firstLine="420"/>
              <w:jc w:val="center"/>
              <w:rPr>
                <w:rFonts w:hint="eastAsia" w:ascii="仿宋" w:hAnsi="仿宋" w:eastAsia="仿宋" w:cs="仿宋"/>
                <w:color w:val="auto"/>
                <w:sz w:val="21"/>
                <w:szCs w:val="21"/>
                <w:highlight w:val="none"/>
              </w:rPr>
            </w:pPr>
          </w:p>
        </w:tc>
      </w:tr>
      <w:tr w14:paraId="3180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39EF379">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43EF45A5">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D4F98DE">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01A852E5">
            <w:pPr>
              <w:tabs>
                <w:tab w:val="left" w:pos="6300"/>
              </w:tabs>
              <w:snapToGrid w:val="0"/>
              <w:ind w:firstLine="420"/>
              <w:jc w:val="center"/>
              <w:rPr>
                <w:rFonts w:hint="eastAsia" w:ascii="仿宋" w:hAnsi="仿宋" w:eastAsia="仿宋" w:cs="仿宋"/>
                <w:color w:val="auto"/>
                <w:sz w:val="21"/>
                <w:szCs w:val="21"/>
                <w:highlight w:val="none"/>
              </w:rPr>
            </w:pPr>
          </w:p>
        </w:tc>
      </w:tr>
      <w:tr w14:paraId="15B4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5E9E345">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68C095CF">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3F401026">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17B85581">
            <w:pPr>
              <w:tabs>
                <w:tab w:val="left" w:pos="6300"/>
              </w:tabs>
              <w:snapToGrid w:val="0"/>
              <w:ind w:firstLine="420"/>
              <w:jc w:val="center"/>
              <w:rPr>
                <w:rFonts w:hint="eastAsia" w:ascii="仿宋" w:hAnsi="仿宋" w:eastAsia="仿宋" w:cs="仿宋"/>
                <w:color w:val="auto"/>
                <w:sz w:val="21"/>
                <w:szCs w:val="21"/>
                <w:highlight w:val="none"/>
              </w:rPr>
            </w:pPr>
          </w:p>
        </w:tc>
      </w:tr>
      <w:tr w14:paraId="735D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7CA6764">
            <w:pP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0AED3D33">
            <w:pP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A518726">
            <w:pP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34BA8A6E">
            <w:pPr>
              <w:tabs>
                <w:tab w:val="left" w:pos="6300"/>
              </w:tabs>
              <w:snapToGrid w:val="0"/>
              <w:ind w:firstLine="420"/>
              <w:jc w:val="center"/>
              <w:rPr>
                <w:rFonts w:hint="eastAsia" w:ascii="仿宋" w:hAnsi="仿宋" w:eastAsia="仿宋" w:cs="仿宋"/>
                <w:color w:val="auto"/>
                <w:sz w:val="21"/>
                <w:szCs w:val="21"/>
                <w:highlight w:val="none"/>
              </w:rPr>
            </w:pPr>
          </w:p>
        </w:tc>
      </w:tr>
    </w:tbl>
    <w:p w14:paraId="64D2393F">
      <w:pPr>
        <w:ind w:firstLine="600" w:firstLineChars="250"/>
        <w:rPr>
          <w:rFonts w:hint="eastAsia" w:ascii="仿宋" w:hAnsi="仿宋" w:eastAsia="仿宋" w:cs="仿宋"/>
          <w:color w:val="auto"/>
          <w:sz w:val="24"/>
          <w:szCs w:val="28"/>
          <w:highlight w:val="none"/>
        </w:rPr>
      </w:pPr>
    </w:p>
    <w:p w14:paraId="6FEB03EB">
      <w:pPr>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                     法定代表人（或法定代表人授权代表）或自然人：</w:t>
      </w:r>
    </w:p>
    <w:p w14:paraId="26024D00">
      <w:pPr>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公章）                               （签署或盖章）</w:t>
      </w:r>
    </w:p>
    <w:p w14:paraId="4150D1F1">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5492D554">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200EDBFF">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1.本表即为对本项目“第三篇 项目商务需求”中所列条款进行比较和响应；</w:t>
      </w:r>
    </w:p>
    <w:p w14:paraId="751A8F5D">
      <w:pPr>
        <w:tabs>
          <w:tab w:val="left" w:pos="6300"/>
        </w:tabs>
        <w:snapToGrid w:val="0"/>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2.本表可扩展。</w:t>
      </w:r>
    </w:p>
    <w:p w14:paraId="16FAD8CD">
      <w:pPr>
        <w:tabs>
          <w:tab w:val="left" w:pos="6300"/>
        </w:tabs>
        <w:snapToGrid w:val="0"/>
        <w:ind w:firstLine="480"/>
        <w:rPr>
          <w:rFonts w:hint="eastAsia" w:ascii="仿宋" w:hAnsi="仿宋" w:eastAsia="仿宋" w:cs="仿宋"/>
          <w:color w:val="auto"/>
          <w:sz w:val="24"/>
          <w:szCs w:val="24"/>
          <w:highlight w:val="none"/>
        </w:rPr>
      </w:pPr>
    </w:p>
    <w:p w14:paraId="305BE73F">
      <w:pPr>
        <w:tabs>
          <w:tab w:val="left" w:pos="6300"/>
        </w:tabs>
        <w:snapToGrid w:val="0"/>
        <w:ind w:firstLine="560" w:firstLineChars="200"/>
        <w:rPr>
          <w:rFonts w:hint="eastAsia" w:ascii="仿宋" w:hAnsi="仿宋" w:eastAsia="仿宋" w:cs="仿宋"/>
          <w:color w:val="auto"/>
          <w:sz w:val="24"/>
          <w:szCs w:val="28"/>
          <w:highlight w:val="none"/>
        </w:rPr>
      </w:pPr>
      <w:r>
        <w:rPr>
          <w:rFonts w:hint="eastAsia" w:ascii="仿宋" w:hAnsi="仿宋" w:eastAsia="仿宋" w:cs="仿宋"/>
          <w:color w:val="auto"/>
          <w:szCs w:val="28"/>
          <w:highlight w:val="none"/>
        </w:rPr>
        <w:br w:type="page"/>
      </w:r>
      <w:r>
        <w:rPr>
          <w:rFonts w:hint="eastAsia" w:ascii="仿宋" w:hAnsi="仿宋" w:eastAsia="仿宋" w:cs="仿宋"/>
          <w:color w:val="auto"/>
          <w:sz w:val="24"/>
          <w:szCs w:val="28"/>
          <w:highlight w:val="none"/>
        </w:rPr>
        <w:t>（三）其它优惠承诺</w:t>
      </w:r>
    </w:p>
    <w:p w14:paraId="50C32D42">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6AAC20DB">
      <w:pPr>
        <w:pStyle w:val="3"/>
        <w:spacing w:line="240" w:lineRule="auto"/>
        <w:ind w:firstLine="643"/>
        <w:rPr>
          <w:rFonts w:hint="eastAsia" w:ascii="仿宋" w:hAnsi="仿宋" w:eastAsia="仿宋" w:cs="仿宋"/>
          <w:color w:val="auto"/>
          <w:highlight w:val="none"/>
        </w:rPr>
      </w:pPr>
      <w:bookmarkStart w:id="178" w:name="_Toc30818"/>
      <w:bookmarkStart w:id="179" w:name="_Toc6108"/>
      <w:bookmarkStart w:id="180" w:name="_Toc28432"/>
      <w:bookmarkStart w:id="181" w:name="_Toc4000"/>
      <w:bookmarkStart w:id="182" w:name="_Toc13249"/>
      <w:bookmarkStart w:id="183" w:name="_Toc26381"/>
      <w:bookmarkStart w:id="184" w:name="_Toc21121"/>
      <w:bookmarkStart w:id="185" w:name="_Toc492721038"/>
      <w:bookmarkStart w:id="186" w:name="_Toc493178793"/>
      <w:bookmarkStart w:id="187" w:name="_Toc11324"/>
      <w:bookmarkStart w:id="188" w:name="_Toc17829"/>
      <w:bookmarkStart w:id="189" w:name="_Toc17848"/>
      <w:bookmarkStart w:id="190" w:name="_Toc23187"/>
      <w:bookmarkStart w:id="191" w:name="_Toc16577"/>
      <w:bookmarkStart w:id="192" w:name="_Toc106030421"/>
      <w:bookmarkStart w:id="193" w:name="_Toc12509"/>
      <w:bookmarkStart w:id="194" w:name="_Toc183783163"/>
      <w:bookmarkStart w:id="195" w:name="_Toc75793544"/>
      <w:r>
        <w:rPr>
          <w:rFonts w:hint="eastAsia" w:ascii="仿宋" w:hAnsi="仿宋" w:eastAsia="仿宋" w:cs="仿宋"/>
          <w:color w:val="auto"/>
          <w:highlight w:val="none"/>
        </w:rPr>
        <w:t>四、资格证明文件</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68755044">
      <w:pPr>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（一）法人营业执照（副本）或事业单位法人证书（副本）或个体工商户营业执照或有效的自然人身份证明或社会团体法人登记证书复印件</w:t>
      </w:r>
    </w:p>
    <w:p w14:paraId="77953151">
      <w:pPr>
        <w:tabs>
          <w:tab w:val="left" w:pos="6300"/>
        </w:tabs>
        <w:snapToGrid w:val="0"/>
        <w:ind w:firstLine="480"/>
        <w:rPr>
          <w:rFonts w:hint="eastAsia" w:ascii="仿宋" w:hAnsi="仿宋" w:eastAsia="仿宋" w:cs="仿宋"/>
          <w:color w:val="auto"/>
          <w:highlight w:val="none"/>
        </w:rPr>
      </w:pPr>
    </w:p>
    <w:p w14:paraId="3191F0DB">
      <w:pPr>
        <w:tabs>
          <w:tab w:val="left" w:pos="6300"/>
        </w:tabs>
        <w:snapToGrid w:val="0"/>
        <w:ind w:firstLine="480"/>
        <w:rPr>
          <w:rFonts w:hint="eastAsia" w:ascii="仿宋" w:hAnsi="仿宋" w:eastAsia="仿宋" w:cs="仿宋"/>
          <w:color w:val="auto"/>
          <w:highlight w:val="none"/>
        </w:rPr>
      </w:pPr>
    </w:p>
    <w:p w14:paraId="46D1C1EC">
      <w:pPr>
        <w:tabs>
          <w:tab w:val="left" w:pos="6300"/>
        </w:tabs>
        <w:snapToGrid w:val="0"/>
        <w:ind w:firstLine="480"/>
        <w:rPr>
          <w:rFonts w:hint="eastAsia" w:ascii="仿宋" w:hAnsi="仿宋" w:eastAsia="仿宋" w:cs="仿宋"/>
          <w:color w:val="auto"/>
          <w:highlight w:val="none"/>
        </w:rPr>
      </w:pPr>
    </w:p>
    <w:p w14:paraId="780955B2">
      <w:pPr>
        <w:tabs>
          <w:tab w:val="left" w:pos="6300"/>
        </w:tabs>
        <w:snapToGrid w:val="0"/>
        <w:ind w:firstLine="480"/>
        <w:rPr>
          <w:rFonts w:hint="eastAsia" w:ascii="仿宋" w:hAnsi="仿宋" w:eastAsia="仿宋" w:cs="仿宋"/>
          <w:color w:val="auto"/>
          <w:highlight w:val="none"/>
        </w:rPr>
      </w:pPr>
    </w:p>
    <w:p w14:paraId="19297B23">
      <w:pPr>
        <w:tabs>
          <w:tab w:val="left" w:pos="6300"/>
        </w:tabs>
        <w:snapToGrid w:val="0"/>
        <w:ind w:firstLine="480"/>
        <w:rPr>
          <w:rFonts w:hint="eastAsia" w:ascii="仿宋" w:hAnsi="仿宋" w:eastAsia="仿宋" w:cs="仿宋"/>
          <w:color w:val="auto"/>
          <w:highlight w:val="none"/>
        </w:rPr>
      </w:pPr>
    </w:p>
    <w:p w14:paraId="6765AFB9">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24"/>
          <w:highlight w:val="none"/>
        </w:rPr>
        <w:t>（二）法定代表人身份证明书（格式）</w:t>
      </w:r>
    </w:p>
    <w:p w14:paraId="43134D62">
      <w:pPr>
        <w:tabs>
          <w:tab w:val="left" w:pos="6300"/>
        </w:tabs>
        <w:snapToGrid w:val="0"/>
        <w:ind w:firstLine="480"/>
        <w:rPr>
          <w:rFonts w:hint="eastAsia" w:ascii="仿宋" w:hAnsi="仿宋" w:eastAsia="仿宋" w:cs="仿宋"/>
          <w:color w:val="auto"/>
          <w:sz w:val="24"/>
          <w:highlight w:val="none"/>
        </w:rPr>
      </w:pPr>
    </w:p>
    <w:p w14:paraId="568C8822">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84F70E4">
      <w:pPr>
        <w:tabs>
          <w:tab w:val="left" w:pos="6300"/>
        </w:tabs>
        <w:snapToGrid w:val="0"/>
        <w:ind w:firstLine="480"/>
        <w:rPr>
          <w:rFonts w:hint="eastAsia" w:ascii="仿宋" w:hAnsi="仿宋" w:eastAsia="仿宋" w:cs="仿宋"/>
          <w:color w:val="auto"/>
          <w:sz w:val="24"/>
          <w:highlight w:val="none"/>
        </w:rPr>
      </w:pPr>
    </w:p>
    <w:p w14:paraId="4AAAD449">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w:t>
      </w:r>
    </w:p>
    <w:p w14:paraId="169EDF38">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（性别）在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（职务名称）职务，是（</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的法定代表人。</w:t>
      </w:r>
    </w:p>
    <w:p w14:paraId="67E633FE">
      <w:pPr>
        <w:tabs>
          <w:tab w:val="left" w:pos="6300"/>
        </w:tabs>
        <w:snapToGrid w:val="0"/>
        <w:ind w:firstLine="480"/>
        <w:rPr>
          <w:rFonts w:hint="eastAsia" w:ascii="仿宋" w:hAnsi="仿宋" w:eastAsia="仿宋" w:cs="仿宋"/>
          <w:color w:val="auto"/>
          <w:sz w:val="24"/>
          <w:highlight w:val="none"/>
        </w:rPr>
      </w:pPr>
    </w:p>
    <w:p w14:paraId="05659083">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2465A105">
      <w:pPr>
        <w:tabs>
          <w:tab w:val="left" w:pos="6300"/>
        </w:tabs>
        <w:snapToGrid w:val="0"/>
        <w:ind w:firstLine="480"/>
        <w:rPr>
          <w:rFonts w:hint="eastAsia" w:ascii="仿宋" w:hAnsi="仿宋" w:eastAsia="仿宋" w:cs="仿宋"/>
          <w:color w:val="auto"/>
          <w:sz w:val="24"/>
          <w:highlight w:val="none"/>
        </w:rPr>
      </w:pPr>
    </w:p>
    <w:p w14:paraId="69DF15D4">
      <w:pPr>
        <w:tabs>
          <w:tab w:val="left" w:pos="6300"/>
        </w:tabs>
        <w:snapToGrid w:val="0"/>
        <w:ind w:firstLine="480"/>
        <w:rPr>
          <w:rFonts w:hint="eastAsia" w:ascii="仿宋" w:hAnsi="仿宋" w:eastAsia="仿宋" w:cs="仿宋"/>
          <w:color w:val="auto"/>
          <w:sz w:val="24"/>
          <w:highlight w:val="none"/>
        </w:rPr>
      </w:pPr>
    </w:p>
    <w:p w14:paraId="2E555E21">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w:t>
      </w:r>
    </w:p>
    <w:p w14:paraId="1C08D1FC">
      <w:pPr>
        <w:tabs>
          <w:tab w:val="left" w:pos="6300"/>
        </w:tabs>
        <w:snapToGrid w:val="0"/>
        <w:ind w:firstLine="5848" w:firstLineChars="2437"/>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公章）</w:t>
      </w:r>
    </w:p>
    <w:p w14:paraId="196C7AA7">
      <w:pPr>
        <w:tabs>
          <w:tab w:val="left" w:pos="6300"/>
        </w:tabs>
        <w:snapToGrid w:val="0"/>
        <w:ind w:firstLine="480"/>
        <w:rPr>
          <w:rFonts w:hint="eastAsia" w:ascii="仿宋" w:hAnsi="仿宋" w:eastAsia="仿宋" w:cs="仿宋"/>
          <w:color w:val="auto"/>
          <w:sz w:val="24"/>
          <w:highlight w:val="none"/>
        </w:rPr>
      </w:pPr>
    </w:p>
    <w:p w14:paraId="71AA24CB">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27526E91">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法定代表人电话：XXXXXXX      电子邮箱：XXXXXX@XXXXX（若授权他人办理并签署投标文件的可不填写）</w:t>
      </w:r>
    </w:p>
    <w:p w14:paraId="20687D08">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（附：法定代表人身份证正反面复印件）</w:t>
      </w:r>
    </w:p>
    <w:p w14:paraId="639152E7">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4CCEF9F8">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（三）法定代表人授权委托书（格式）</w:t>
      </w:r>
    </w:p>
    <w:p w14:paraId="59D37BA4">
      <w:pPr>
        <w:tabs>
          <w:tab w:val="left" w:pos="6300"/>
        </w:tabs>
        <w:snapToGrid w:val="0"/>
        <w:ind w:firstLine="480"/>
        <w:jc w:val="center"/>
        <w:rPr>
          <w:rFonts w:hint="eastAsia" w:ascii="仿宋" w:hAnsi="仿宋" w:eastAsia="仿宋" w:cs="仿宋"/>
          <w:color w:val="auto"/>
          <w:sz w:val="24"/>
          <w:szCs w:val="24"/>
          <w:highlight w:val="none"/>
        </w:rPr>
      </w:pPr>
    </w:p>
    <w:p w14:paraId="213B1A06">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73620AAE">
      <w:pPr>
        <w:tabs>
          <w:tab w:val="left" w:pos="6300"/>
        </w:tabs>
        <w:snapToGrid w:val="0"/>
        <w:ind w:firstLine="480" w:firstLineChars="200"/>
        <w:rPr>
          <w:rFonts w:hint="eastAsia" w:ascii="仿宋" w:hAnsi="仿宋" w:eastAsia="仿宋" w:cs="仿宋"/>
          <w:color w:val="auto"/>
          <w:sz w:val="24"/>
          <w:szCs w:val="24"/>
          <w:highlight w:val="none"/>
        </w:rPr>
      </w:pPr>
    </w:p>
    <w:p w14:paraId="44A18421">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highlight w:val="none"/>
        </w:rPr>
        <w:t>（采购代理机构名称）：</w:t>
      </w:r>
    </w:p>
    <w:p w14:paraId="312F5B47">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法定代表人名称）是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名称）的法定代表人，特授权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（被授权人姓名及身份证代码）代表我单位全权办理上述项目的投标、谈判、签约等具体工作，并签署全部有关文件、协议及合同。</w:t>
      </w:r>
    </w:p>
    <w:p w14:paraId="00CD831F">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我单位对被授权人的签署负全部责任。</w:t>
      </w:r>
    </w:p>
    <w:p w14:paraId="672BE4F2">
      <w:pP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在撤销授权的书面通知以前，本授权书一直有效。被授权人在授权书有效期内签署的所有文件不因授权的撤销而失效。</w:t>
      </w:r>
    </w:p>
    <w:p w14:paraId="19FB09F5">
      <w:pPr>
        <w:tabs>
          <w:tab w:val="left" w:pos="6300"/>
        </w:tabs>
        <w:snapToGrid w:val="0"/>
        <w:ind w:firstLine="480"/>
        <w:rPr>
          <w:rFonts w:hint="eastAsia" w:ascii="仿宋" w:hAnsi="仿宋" w:eastAsia="仿宋" w:cs="仿宋"/>
          <w:color w:val="auto"/>
          <w:sz w:val="24"/>
          <w:szCs w:val="24"/>
          <w:highlight w:val="none"/>
        </w:rPr>
      </w:pPr>
    </w:p>
    <w:p w14:paraId="4EB9CC7A">
      <w:pPr>
        <w:tabs>
          <w:tab w:val="left" w:pos="6300"/>
        </w:tabs>
        <w:snapToGrid w:val="0"/>
        <w:ind w:firstLine="480"/>
        <w:rPr>
          <w:rFonts w:hint="eastAsia" w:ascii="仿宋" w:hAnsi="仿宋" w:eastAsia="仿宋" w:cs="仿宋"/>
          <w:color w:val="auto"/>
          <w:sz w:val="24"/>
          <w:szCs w:val="24"/>
          <w:highlight w:val="none"/>
        </w:rPr>
      </w:pPr>
    </w:p>
    <w:p w14:paraId="48E6414E">
      <w:pPr>
        <w:tabs>
          <w:tab w:val="left" w:pos="6300"/>
        </w:tabs>
        <w:snapToGrid w:val="0"/>
        <w:ind w:firstLine="480"/>
        <w:rPr>
          <w:rFonts w:hint="eastAsia" w:ascii="仿宋" w:hAnsi="仿宋" w:eastAsia="仿宋" w:cs="仿宋"/>
          <w:color w:val="auto"/>
          <w:sz w:val="24"/>
          <w:szCs w:val="24"/>
          <w:highlight w:val="none"/>
        </w:rPr>
      </w:pPr>
      <w:bookmarkStart w:id="196" w:name="_Hlk517194860"/>
      <w:r>
        <w:rPr>
          <w:rFonts w:hint="eastAsia" w:ascii="仿宋" w:hAnsi="仿宋" w:eastAsia="仿宋" w:cs="仿宋"/>
          <w:color w:val="auto"/>
          <w:sz w:val="24"/>
          <w:szCs w:val="24"/>
          <w:highlight w:val="none"/>
        </w:rPr>
        <w:t xml:space="preserve">被授权人：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法定代表人：</w:t>
      </w:r>
    </w:p>
    <w:p w14:paraId="44643722">
      <w:pPr>
        <w:tabs>
          <w:tab w:val="left" w:pos="6300"/>
        </w:tabs>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（签署或盖章）              （签署或盖章）</w:t>
      </w:r>
    </w:p>
    <w:bookmarkEnd w:id="196"/>
    <w:p w14:paraId="53A3FF79">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58CA2EB">
      <w:pP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（附：被授权人身份证正反面复印件）</w:t>
      </w:r>
    </w:p>
    <w:p w14:paraId="0F52E2AC">
      <w:pPr>
        <w:tabs>
          <w:tab w:val="left" w:pos="6300"/>
        </w:tabs>
        <w:snapToGrid w:val="0"/>
        <w:ind w:firstLine="480"/>
        <w:rPr>
          <w:rFonts w:hint="eastAsia" w:ascii="仿宋" w:hAnsi="仿宋" w:eastAsia="仿宋" w:cs="仿宋"/>
          <w:color w:val="auto"/>
          <w:sz w:val="24"/>
          <w:szCs w:val="24"/>
          <w:highlight w:val="none"/>
        </w:rPr>
      </w:pPr>
    </w:p>
    <w:p w14:paraId="79CE9707">
      <w:pPr>
        <w:tabs>
          <w:tab w:val="left" w:pos="6300"/>
        </w:tabs>
        <w:snapToGrid w:val="0"/>
        <w:ind w:firstLine="480"/>
        <w:rPr>
          <w:rFonts w:hint="eastAsia" w:ascii="仿宋" w:hAnsi="仿宋" w:eastAsia="仿宋" w:cs="仿宋"/>
          <w:color w:val="auto"/>
          <w:sz w:val="24"/>
          <w:szCs w:val="24"/>
          <w:highlight w:val="none"/>
        </w:rPr>
      </w:pPr>
    </w:p>
    <w:p w14:paraId="0584F0BE">
      <w:pPr>
        <w:tabs>
          <w:tab w:val="left" w:pos="5670"/>
        </w:tabs>
        <w:snapToGrid w:val="0"/>
        <w:ind w:firstLine="5760" w:firstLineChars="2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p>
    <w:p w14:paraId="58144C9D">
      <w:pPr>
        <w:tabs>
          <w:tab w:val="left" w:pos="6300"/>
        </w:tabs>
        <w:snapToGrid w:val="0"/>
        <w:ind w:right="600"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1DCC079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被授权人电话：        电子邮箱：     （若法定代表人办理并签署投标文件的可不填写）</w:t>
      </w:r>
    </w:p>
    <w:p w14:paraId="374BFC8E">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p>
    <w:p w14:paraId="6ED1120B">
      <w:pPr>
        <w:ind w:firstLine="480" w:firstLineChars="200"/>
        <w:jc w:val="left"/>
        <w:rPr>
          <w:rFonts w:hint="eastAsia" w:ascii="仿宋" w:hAnsi="仿宋" w:eastAsia="仿宋" w:cs="仿宋"/>
          <w:color w:val="auto"/>
          <w:sz w:val="24"/>
          <w:szCs w:val="24"/>
          <w:highlight w:val="none"/>
        </w:rPr>
      </w:pPr>
      <w:bookmarkStart w:id="197" w:name="_Toc31225"/>
      <w:bookmarkStart w:id="198" w:name="_Toc25283"/>
      <w:bookmarkStart w:id="199" w:name="_Toc4003"/>
      <w:bookmarkStart w:id="200" w:name="_Toc26496"/>
      <w:bookmarkStart w:id="201" w:name="_Toc10358"/>
      <w:bookmarkStart w:id="202" w:name="_Toc26813"/>
      <w:bookmarkStart w:id="203" w:name="_Toc10914"/>
      <w:bookmarkStart w:id="204" w:name="_Toc27402"/>
      <w:r>
        <w:rPr>
          <w:rFonts w:hint="eastAsia" w:ascii="仿宋" w:hAnsi="仿宋" w:eastAsia="仿宋" w:cs="仿宋"/>
          <w:color w:val="auto"/>
          <w:sz w:val="24"/>
          <w:szCs w:val="24"/>
          <w:highlight w:val="none"/>
        </w:rPr>
        <w:t>1．若为法定代表人办理并签署投标文件的，不提供此文件。</w:t>
      </w:r>
      <w:bookmarkEnd w:id="197"/>
      <w:bookmarkEnd w:id="198"/>
      <w:bookmarkEnd w:id="199"/>
      <w:bookmarkEnd w:id="200"/>
      <w:bookmarkEnd w:id="201"/>
      <w:bookmarkEnd w:id="202"/>
      <w:bookmarkEnd w:id="203"/>
      <w:bookmarkEnd w:id="204"/>
    </w:p>
    <w:p w14:paraId="65AE160C">
      <w:pPr>
        <w:tabs>
          <w:tab w:val="left" w:pos="6300"/>
        </w:tabs>
        <w:snapToGrid w:val="0"/>
        <w:ind w:firstLine="480"/>
        <w:rPr>
          <w:rFonts w:hint="eastAsia" w:ascii="仿宋" w:hAnsi="仿宋" w:eastAsia="仿宋" w:cs="仿宋"/>
          <w:color w:val="auto"/>
          <w:sz w:val="24"/>
          <w:highlight w:val="none"/>
        </w:rPr>
      </w:pPr>
    </w:p>
    <w:p w14:paraId="6290B37B">
      <w:pP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column"/>
      </w:r>
      <w:r>
        <w:rPr>
          <w:rFonts w:hint="eastAsia" w:ascii="仿宋" w:hAnsi="仿宋" w:eastAsia="仿宋" w:cs="仿宋"/>
          <w:color w:val="auto"/>
          <w:sz w:val="24"/>
          <w:highlight w:val="none"/>
        </w:rPr>
        <w:t>（四）基本资格条件承诺函</w:t>
      </w:r>
    </w:p>
    <w:p w14:paraId="64426FD1">
      <w:pPr>
        <w:jc w:val="center"/>
        <w:rPr>
          <w:rFonts w:hint="eastAsia" w:ascii="仿宋" w:hAnsi="仿宋" w:eastAsia="仿宋" w:cs="仿宋"/>
          <w:color w:val="auto"/>
          <w:highlight w:val="none"/>
        </w:rPr>
      </w:pPr>
      <w:r>
        <w:rPr>
          <w:rFonts w:hint="eastAsia" w:ascii="仿宋" w:hAnsi="仿宋" w:eastAsia="仿宋" w:cs="仿宋"/>
          <w:color w:val="auto"/>
          <w:highlight w:val="none"/>
        </w:rPr>
        <w:t>基本资格条件承诺函</w:t>
      </w:r>
    </w:p>
    <w:p w14:paraId="63C8819C">
      <w:pPr>
        <w:tabs>
          <w:tab w:val="left" w:pos="6300"/>
        </w:tabs>
        <w:snapToGrid w:val="0"/>
        <w:ind w:firstLine="480"/>
        <w:rPr>
          <w:rFonts w:hint="eastAsia" w:ascii="仿宋" w:hAnsi="仿宋" w:eastAsia="仿宋" w:cs="仿宋"/>
          <w:color w:val="auto"/>
          <w:sz w:val="24"/>
          <w:highlight w:val="none"/>
        </w:rPr>
      </w:pPr>
    </w:p>
    <w:p w14:paraId="1E2131F7">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w:t>
      </w:r>
    </w:p>
    <w:p w14:paraId="7A86809B">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名称）郑重承诺：</w:t>
      </w:r>
    </w:p>
    <w:p w14:paraId="1500BD23">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1.我方具有良好的商业信誉和健全的财务会计制度，具有履行合同所必需的设备和专业技术能力，具</w:t>
      </w:r>
      <w:r>
        <w:rPr>
          <w:rFonts w:hint="eastAsia" w:ascii="仿宋" w:hAnsi="仿宋" w:eastAsia="仿宋" w:cs="仿宋"/>
          <w:color w:val="auto"/>
          <w:sz w:val="24"/>
          <w:highlight w:val="none"/>
          <w:lang w:val="zh-CN"/>
        </w:rPr>
        <w:t>有依法缴纳税收和社会保障金的良好记录</w:t>
      </w:r>
      <w:r>
        <w:rPr>
          <w:rFonts w:hint="eastAsia" w:ascii="仿宋" w:hAnsi="仿宋" w:eastAsia="仿宋" w:cs="仿宋"/>
          <w:color w:val="auto"/>
          <w:sz w:val="24"/>
          <w:highlight w:val="none"/>
        </w:rPr>
        <w:t>，参加本项目采购活动前三年内无重大违法活动记录。</w:t>
      </w:r>
    </w:p>
    <w:p w14:paraId="5864A0E2">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277CEEA5">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3.我方在采购项目评审（评标）环节结束后，随时接受采购人、采购代理机构的检查验证，配合提供相关证明材料，证明符合《中华人民共和国政府采购法》规定的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基本资格条件。</w:t>
      </w:r>
    </w:p>
    <w:p w14:paraId="7EDC0309">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我方对以上承诺负全部法律责任。</w:t>
      </w:r>
    </w:p>
    <w:p w14:paraId="596D5AF7">
      <w:pP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5347A8BF">
      <w:pPr>
        <w:tabs>
          <w:tab w:val="left" w:pos="6300"/>
        </w:tabs>
        <w:snapToGrid w:val="0"/>
        <w:ind w:firstLine="480" w:firstLineChars="200"/>
        <w:rPr>
          <w:rFonts w:hint="eastAsia" w:ascii="仿宋" w:hAnsi="仿宋" w:eastAsia="仿宋" w:cs="仿宋"/>
          <w:color w:val="auto"/>
          <w:sz w:val="24"/>
          <w:highlight w:val="none"/>
        </w:rPr>
      </w:pPr>
    </w:p>
    <w:p w14:paraId="7F217A41">
      <w:pPr>
        <w:tabs>
          <w:tab w:val="left" w:pos="6300"/>
        </w:tabs>
        <w:snapToGrid w:val="0"/>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公章）</w:t>
      </w:r>
    </w:p>
    <w:p w14:paraId="425C0BC5">
      <w:pPr>
        <w:tabs>
          <w:tab w:val="left" w:pos="6300"/>
        </w:tabs>
        <w:snapToGrid w:val="0"/>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603C5DA8">
      <w:pPr>
        <w:snapToGrid w:val="0"/>
        <w:ind w:firstLine="480" w:firstLineChars="200"/>
        <w:rPr>
          <w:rFonts w:hint="eastAsia" w:ascii="仿宋" w:hAnsi="仿宋" w:eastAsia="仿宋" w:cs="仿宋"/>
          <w:color w:val="auto"/>
          <w:sz w:val="24"/>
          <w:szCs w:val="24"/>
          <w:highlight w:val="none"/>
        </w:rPr>
      </w:pPr>
    </w:p>
    <w:p w14:paraId="06E1CEC0">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4730645">
      <w:pPr>
        <w:tabs>
          <w:tab w:val="left" w:pos="6300"/>
        </w:tabs>
        <w:snapToGrid w:val="0"/>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（五）特定资格条件证书或证明文件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p>
    <w:p w14:paraId="5BC464E6">
      <w:pPr>
        <w:tabs>
          <w:tab w:val="left" w:pos="6300"/>
        </w:tabs>
        <w:snapToGrid w:val="0"/>
        <w:ind w:firstLine="480"/>
        <w:jc w:val="left"/>
        <w:rPr>
          <w:rFonts w:hint="eastAsia" w:ascii="仿宋" w:hAnsi="仿宋" w:eastAsia="仿宋" w:cs="仿宋"/>
          <w:color w:val="auto"/>
          <w:sz w:val="24"/>
          <w:highlight w:val="none"/>
        </w:rPr>
      </w:pPr>
    </w:p>
    <w:p w14:paraId="185FB19C">
      <w:pPr>
        <w:tabs>
          <w:tab w:val="left" w:pos="6300"/>
        </w:tabs>
        <w:snapToGrid w:val="0"/>
        <w:ind w:firstLine="480"/>
        <w:jc w:val="left"/>
        <w:rPr>
          <w:rFonts w:hint="eastAsia" w:ascii="仿宋" w:hAnsi="仿宋" w:eastAsia="仿宋" w:cs="仿宋"/>
          <w:color w:val="auto"/>
          <w:sz w:val="24"/>
          <w:highlight w:val="none"/>
        </w:rPr>
      </w:pPr>
    </w:p>
    <w:p w14:paraId="2A2D7049">
      <w:pPr>
        <w:tabs>
          <w:tab w:val="left" w:pos="6300"/>
        </w:tabs>
        <w:snapToGrid w:val="0"/>
        <w:ind w:firstLine="480"/>
        <w:jc w:val="left"/>
        <w:rPr>
          <w:rFonts w:hint="eastAsia" w:ascii="仿宋" w:hAnsi="仿宋" w:eastAsia="仿宋" w:cs="仿宋"/>
          <w:color w:val="auto"/>
          <w:sz w:val="24"/>
          <w:highlight w:val="none"/>
        </w:rPr>
      </w:pPr>
    </w:p>
    <w:p w14:paraId="2C39665B">
      <w:pPr>
        <w:tabs>
          <w:tab w:val="left" w:pos="6300"/>
        </w:tabs>
        <w:snapToGrid w:val="0"/>
        <w:ind w:firstLine="480"/>
        <w:jc w:val="left"/>
        <w:rPr>
          <w:rFonts w:hint="eastAsia" w:ascii="仿宋" w:hAnsi="仿宋" w:eastAsia="仿宋" w:cs="仿宋"/>
          <w:color w:val="auto"/>
          <w:sz w:val="24"/>
          <w:highlight w:val="none"/>
        </w:rPr>
      </w:pPr>
    </w:p>
    <w:p w14:paraId="31186FA0">
      <w:pPr>
        <w:tabs>
          <w:tab w:val="left" w:pos="6300"/>
        </w:tabs>
        <w:snapToGrid w:val="0"/>
        <w:ind w:firstLine="480"/>
        <w:jc w:val="left"/>
        <w:rPr>
          <w:rFonts w:hint="eastAsia" w:ascii="仿宋" w:hAnsi="仿宋" w:eastAsia="仿宋" w:cs="仿宋"/>
          <w:color w:val="auto"/>
          <w:sz w:val="24"/>
          <w:highlight w:val="none"/>
        </w:rPr>
      </w:pPr>
    </w:p>
    <w:p w14:paraId="117F1A4E">
      <w:pPr>
        <w:tabs>
          <w:tab w:val="left" w:pos="6300"/>
        </w:tabs>
        <w:snapToGrid w:val="0"/>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（结束）</w:t>
      </w:r>
    </w:p>
    <w:p w14:paraId="5420D942">
      <w:pPr>
        <w:tabs>
          <w:tab w:val="left" w:pos="6300"/>
        </w:tabs>
        <w:snapToGrid w:val="0"/>
        <w:ind w:firstLine="480"/>
        <w:jc w:val="left"/>
        <w:rPr>
          <w:rFonts w:hint="eastAsia" w:ascii="仿宋" w:hAnsi="仿宋" w:eastAsia="仿宋" w:cs="仿宋"/>
          <w:color w:val="auto"/>
          <w:sz w:val="24"/>
          <w:highlight w:val="none"/>
        </w:rPr>
      </w:pPr>
    </w:p>
    <w:p w14:paraId="0B3B984A">
      <w:pPr>
        <w:tabs>
          <w:tab w:val="left" w:pos="6300"/>
        </w:tabs>
        <w:snapToGrid w:val="0"/>
        <w:ind w:firstLine="480"/>
        <w:jc w:val="left"/>
        <w:rPr>
          <w:rFonts w:hint="eastAsia" w:ascii="仿宋" w:hAnsi="仿宋" w:eastAsia="仿宋" w:cs="仿宋"/>
          <w:color w:val="auto"/>
          <w:sz w:val="24"/>
          <w:highlight w:val="none"/>
        </w:rPr>
      </w:pPr>
    </w:p>
    <w:p w14:paraId="084E0429">
      <w:pPr>
        <w:tabs>
          <w:tab w:val="left" w:pos="6300"/>
        </w:tabs>
        <w:snapToGrid w:val="0"/>
        <w:ind w:firstLine="480"/>
        <w:jc w:val="left"/>
        <w:rPr>
          <w:rFonts w:hint="eastAsia" w:ascii="仿宋" w:hAnsi="仿宋" w:eastAsia="仿宋" w:cs="仿宋"/>
          <w:color w:val="auto"/>
          <w:sz w:val="24"/>
          <w:highlight w:val="none"/>
        </w:rPr>
      </w:pPr>
    </w:p>
    <w:p w14:paraId="340251FE">
      <w:pPr>
        <w:tabs>
          <w:tab w:val="left" w:pos="6300"/>
        </w:tabs>
        <w:snapToGrid w:val="0"/>
        <w:ind w:firstLine="480"/>
        <w:jc w:val="left"/>
        <w:rPr>
          <w:rFonts w:hint="eastAsia" w:ascii="仿宋" w:hAnsi="仿宋" w:eastAsia="仿宋" w:cs="仿宋"/>
          <w:color w:val="auto"/>
          <w:sz w:val="24"/>
          <w:highlight w:val="none"/>
        </w:rPr>
      </w:pPr>
    </w:p>
    <w:p w14:paraId="5810407C">
      <w:pPr>
        <w:tabs>
          <w:tab w:val="left" w:pos="6300"/>
        </w:tabs>
        <w:snapToGrid w:val="0"/>
        <w:ind w:firstLine="480"/>
        <w:jc w:val="left"/>
        <w:rPr>
          <w:rFonts w:hint="eastAsia" w:ascii="仿宋" w:hAnsi="仿宋" w:eastAsia="仿宋" w:cs="仿宋"/>
          <w:color w:val="auto"/>
          <w:sz w:val="24"/>
          <w:highlight w:val="none"/>
        </w:rPr>
      </w:pPr>
    </w:p>
    <w:p w14:paraId="0286AC44">
      <w:pPr>
        <w:tabs>
          <w:tab w:val="left" w:pos="6300"/>
        </w:tabs>
        <w:snapToGrid w:val="0"/>
        <w:ind w:firstLine="480"/>
        <w:jc w:val="left"/>
        <w:rPr>
          <w:rFonts w:hint="eastAsia" w:ascii="仿宋" w:hAnsi="仿宋" w:eastAsia="仿宋" w:cs="仿宋"/>
          <w:color w:val="auto"/>
          <w:sz w:val="24"/>
          <w:highlight w:val="none"/>
        </w:rPr>
      </w:pPr>
    </w:p>
    <w:p w14:paraId="038B70AB">
      <w:pPr>
        <w:tabs>
          <w:tab w:val="left" w:pos="6300"/>
        </w:tabs>
        <w:snapToGrid w:val="0"/>
        <w:ind w:firstLine="480"/>
        <w:jc w:val="left"/>
        <w:rPr>
          <w:rFonts w:hint="eastAsia" w:ascii="仿宋" w:hAnsi="仿宋" w:eastAsia="仿宋" w:cs="仿宋"/>
          <w:color w:val="auto"/>
          <w:sz w:val="24"/>
          <w:highlight w:val="none"/>
        </w:rPr>
      </w:pPr>
    </w:p>
    <w:p w14:paraId="176DF9F0">
      <w:pPr>
        <w:tabs>
          <w:tab w:val="left" w:pos="6300"/>
        </w:tabs>
        <w:snapToGrid w:val="0"/>
        <w:ind w:firstLine="480"/>
        <w:jc w:val="left"/>
        <w:rPr>
          <w:rFonts w:hint="eastAsia" w:ascii="仿宋" w:hAnsi="仿宋" w:eastAsia="仿宋" w:cs="仿宋"/>
          <w:color w:val="auto"/>
          <w:sz w:val="24"/>
          <w:highlight w:val="none"/>
        </w:rPr>
      </w:pPr>
    </w:p>
    <w:p w14:paraId="291EB5D3">
      <w:pPr>
        <w:tabs>
          <w:tab w:val="left" w:pos="6300"/>
        </w:tabs>
        <w:snapToGrid w:val="0"/>
        <w:jc w:val="left"/>
        <w:rPr>
          <w:rFonts w:hint="eastAsia" w:ascii="仿宋" w:hAnsi="仿宋" w:eastAsia="仿宋" w:cs="仿宋"/>
          <w:color w:val="auto"/>
          <w:sz w:val="24"/>
          <w:highlight w:val="none"/>
        </w:rPr>
      </w:pPr>
    </w:p>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Gulim">
    <w:altName w:val="Malgun Gothic"/>
    <w:panose1 w:val="020B0600000101010101"/>
    <w:charset w:val="81"/>
    <w:family w:val="swiss"/>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19D9E">
    <w:pPr>
      <w:pStyle w:val="13"/>
      <w:ind w:firstLine="422"/>
      <w:jc w:val="center"/>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012925">
                          <w:pPr>
                            <w:pStyle w:val="13"/>
                          </w:pPr>
                          <w:r>
                            <w:fldChar w:fldCharType="begin"/>
                          </w:r>
                          <w:r>
                            <w:instrText xml:space="preserve"> PAGE  \* MERGEFORMAT </w:instrText>
                          </w:r>
                          <w:r>
                            <w:fldChar w:fldCharType="separate"/>
                          </w:r>
                          <w:r>
                            <w:t>- 16 -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19012925">
                    <w:pPr>
                      <w:pStyle w:val="13"/>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965E7">
    <w:pPr>
      <w:pStyle w:val="13"/>
      <w:ind w:firstLine="36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FBF11">
                          <w:pPr>
                            <w:pStyle w:val="13"/>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f2KHGi4CAABTBAAADgAAAAAAAAABACAAAAAgAQAAZHJzL2Uyb0RvYy54bWxQSwUGAAAA&#10;AAYABgBZAQAAwAUAAAAA&#10;">
              <v:fill on="f" focussize="0,0"/>
              <v:stroke on="f" weight="0.5pt"/>
              <v:imagedata o:title=""/>
              <o:lock v:ext="edit" aspectratio="f"/>
              <v:textbox inset="0mm,0mm,0mm,0mm" style="mso-fit-shape-to-text:t;">
                <w:txbxContent>
                  <w:p w14:paraId="3D0FBF11">
                    <w:pPr>
                      <w:pStyle w:val="13"/>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1E48F">
    <w:pPr>
      <w:pStyle w:val="13"/>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0F786EB5">
                          <w:pPr>
                            <w:pStyle w:val="1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0F786EB5">
                    <w:pPr>
                      <w:pStyle w:val="1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7507B">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662896"/>
    <w:multiLevelType w:val="singleLevel"/>
    <w:tmpl w:val="E9662896"/>
    <w:lvl w:ilvl="0" w:tentative="0">
      <w:start w:val="1"/>
      <w:numFmt w:val="decimal"/>
      <w:suff w:val="nothing"/>
      <w:lvlText w:val="%1、"/>
      <w:lvlJc w:val="left"/>
    </w:lvl>
  </w:abstractNum>
  <w:abstractNum w:abstractNumId="1">
    <w:nsid w:val="77ABF0D0"/>
    <w:multiLevelType w:val="singleLevel"/>
    <w:tmpl w:val="77ABF0D0"/>
    <w:lvl w:ilvl="0" w:tentative="0">
      <w:start w:val="1"/>
      <w:numFmt w:val="chineseCounting"/>
      <w:suff w:val="nothing"/>
      <w:lvlText w:val="%1、"/>
      <w:lvlJc w:val="left"/>
      <w:rPr>
        <w:rFonts w:hint="eastAsia"/>
      </w:rPr>
    </w:lvl>
  </w:abstractNum>
  <w:abstractNum w:abstractNumId="2">
    <w:nsid w:val="7D764751"/>
    <w:multiLevelType w:val="singleLevel"/>
    <w:tmpl w:val="7D764751"/>
    <w:lvl w:ilvl="0" w:tentative="0">
      <w:start w:val="3"/>
      <w:numFmt w:val="chineseCounting"/>
      <w:suff w:val="space"/>
      <w:lvlText w:val="第%1篇"/>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iNGUyNTkzN2JmZWY3ZGNiZjA5YmE1MGM1OTIwM2EifQ=="/>
  </w:docVars>
  <w:rsids>
    <w:rsidRoot w:val="4DEF5E83"/>
    <w:rsid w:val="0003329A"/>
    <w:rsid w:val="000351F5"/>
    <w:rsid w:val="00040D43"/>
    <w:rsid w:val="00044494"/>
    <w:rsid w:val="00060B4A"/>
    <w:rsid w:val="0006406A"/>
    <w:rsid w:val="00091BED"/>
    <w:rsid w:val="000B2A3D"/>
    <w:rsid w:val="000F008F"/>
    <w:rsid w:val="000F6268"/>
    <w:rsid w:val="0011596B"/>
    <w:rsid w:val="001172C9"/>
    <w:rsid w:val="001255A8"/>
    <w:rsid w:val="00144741"/>
    <w:rsid w:val="00190ED5"/>
    <w:rsid w:val="001960DE"/>
    <w:rsid w:val="001A012C"/>
    <w:rsid w:val="001A23C7"/>
    <w:rsid w:val="001A6C1A"/>
    <w:rsid w:val="001B67DD"/>
    <w:rsid w:val="001F0ECD"/>
    <w:rsid w:val="001F39AF"/>
    <w:rsid w:val="002117E9"/>
    <w:rsid w:val="002653FC"/>
    <w:rsid w:val="00266182"/>
    <w:rsid w:val="002728BA"/>
    <w:rsid w:val="002A0829"/>
    <w:rsid w:val="002B71A4"/>
    <w:rsid w:val="002C2D8E"/>
    <w:rsid w:val="002E4203"/>
    <w:rsid w:val="00300C1D"/>
    <w:rsid w:val="00313F21"/>
    <w:rsid w:val="003229F9"/>
    <w:rsid w:val="00373D29"/>
    <w:rsid w:val="00385457"/>
    <w:rsid w:val="00386A67"/>
    <w:rsid w:val="00386AF7"/>
    <w:rsid w:val="003C4373"/>
    <w:rsid w:val="003D1678"/>
    <w:rsid w:val="003D72A5"/>
    <w:rsid w:val="003D758D"/>
    <w:rsid w:val="004162B9"/>
    <w:rsid w:val="004263AE"/>
    <w:rsid w:val="0047123F"/>
    <w:rsid w:val="004955B3"/>
    <w:rsid w:val="004A08B7"/>
    <w:rsid w:val="004A47A5"/>
    <w:rsid w:val="004B68AC"/>
    <w:rsid w:val="004E094B"/>
    <w:rsid w:val="004E0C27"/>
    <w:rsid w:val="004E6683"/>
    <w:rsid w:val="004F4F90"/>
    <w:rsid w:val="004F5A0F"/>
    <w:rsid w:val="0052157A"/>
    <w:rsid w:val="00525483"/>
    <w:rsid w:val="00551838"/>
    <w:rsid w:val="00554349"/>
    <w:rsid w:val="005643B3"/>
    <w:rsid w:val="005665D2"/>
    <w:rsid w:val="00587F23"/>
    <w:rsid w:val="005C4F4E"/>
    <w:rsid w:val="005E76E9"/>
    <w:rsid w:val="005F038B"/>
    <w:rsid w:val="005F5AED"/>
    <w:rsid w:val="00624EA5"/>
    <w:rsid w:val="00634590"/>
    <w:rsid w:val="006377C1"/>
    <w:rsid w:val="00642350"/>
    <w:rsid w:val="0065667C"/>
    <w:rsid w:val="006722B8"/>
    <w:rsid w:val="00684D24"/>
    <w:rsid w:val="006B6399"/>
    <w:rsid w:val="006D2F09"/>
    <w:rsid w:val="006E1374"/>
    <w:rsid w:val="00715EB3"/>
    <w:rsid w:val="00717D99"/>
    <w:rsid w:val="00727077"/>
    <w:rsid w:val="00732380"/>
    <w:rsid w:val="0074794A"/>
    <w:rsid w:val="00760B1D"/>
    <w:rsid w:val="0076667C"/>
    <w:rsid w:val="00781B2F"/>
    <w:rsid w:val="00796B8A"/>
    <w:rsid w:val="007A4050"/>
    <w:rsid w:val="007A481E"/>
    <w:rsid w:val="007A605B"/>
    <w:rsid w:val="007B5373"/>
    <w:rsid w:val="007C6825"/>
    <w:rsid w:val="007D4E90"/>
    <w:rsid w:val="008150E5"/>
    <w:rsid w:val="0083718B"/>
    <w:rsid w:val="00844285"/>
    <w:rsid w:val="008502BA"/>
    <w:rsid w:val="00855BC6"/>
    <w:rsid w:val="008602C6"/>
    <w:rsid w:val="0087082E"/>
    <w:rsid w:val="00875BFD"/>
    <w:rsid w:val="008A65C4"/>
    <w:rsid w:val="008C7377"/>
    <w:rsid w:val="008E005D"/>
    <w:rsid w:val="008E5E57"/>
    <w:rsid w:val="00903458"/>
    <w:rsid w:val="009137CC"/>
    <w:rsid w:val="00926A85"/>
    <w:rsid w:val="00947A16"/>
    <w:rsid w:val="009621C3"/>
    <w:rsid w:val="00984D6C"/>
    <w:rsid w:val="00990827"/>
    <w:rsid w:val="009B3460"/>
    <w:rsid w:val="009C0EE9"/>
    <w:rsid w:val="009C19F2"/>
    <w:rsid w:val="009C39A1"/>
    <w:rsid w:val="009D6F85"/>
    <w:rsid w:val="009D73C2"/>
    <w:rsid w:val="009E17CD"/>
    <w:rsid w:val="00A00658"/>
    <w:rsid w:val="00A14B2E"/>
    <w:rsid w:val="00A2059A"/>
    <w:rsid w:val="00A414B8"/>
    <w:rsid w:val="00A46228"/>
    <w:rsid w:val="00A6633E"/>
    <w:rsid w:val="00AA1B06"/>
    <w:rsid w:val="00AA1C7E"/>
    <w:rsid w:val="00AA2A97"/>
    <w:rsid w:val="00AA72A9"/>
    <w:rsid w:val="00AB08F4"/>
    <w:rsid w:val="00AB0EE4"/>
    <w:rsid w:val="00AC0187"/>
    <w:rsid w:val="00AC3144"/>
    <w:rsid w:val="00AD558A"/>
    <w:rsid w:val="00B00B47"/>
    <w:rsid w:val="00B06297"/>
    <w:rsid w:val="00B258B3"/>
    <w:rsid w:val="00B31F3F"/>
    <w:rsid w:val="00B35773"/>
    <w:rsid w:val="00B534C2"/>
    <w:rsid w:val="00B6602F"/>
    <w:rsid w:val="00B73330"/>
    <w:rsid w:val="00B837FF"/>
    <w:rsid w:val="00B919A5"/>
    <w:rsid w:val="00BE683F"/>
    <w:rsid w:val="00BF40EF"/>
    <w:rsid w:val="00C209F9"/>
    <w:rsid w:val="00C76ED6"/>
    <w:rsid w:val="00CC3589"/>
    <w:rsid w:val="00CD6F8D"/>
    <w:rsid w:val="00D008CE"/>
    <w:rsid w:val="00D07940"/>
    <w:rsid w:val="00D37B4C"/>
    <w:rsid w:val="00D54920"/>
    <w:rsid w:val="00D63828"/>
    <w:rsid w:val="00DA1366"/>
    <w:rsid w:val="00DE644D"/>
    <w:rsid w:val="00DF047C"/>
    <w:rsid w:val="00DF0A25"/>
    <w:rsid w:val="00DF10AD"/>
    <w:rsid w:val="00DF1E46"/>
    <w:rsid w:val="00E0647C"/>
    <w:rsid w:val="00E119C5"/>
    <w:rsid w:val="00E16445"/>
    <w:rsid w:val="00E17CDD"/>
    <w:rsid w:val="00E300F4"/>
    <w:rsid w:val="00E30F02"/>
    <w:rsid w:val="00E47434"/>
    <w:rsid w:val="00E631B0"/>
    <w:rsid w:val="00E70824"/>
    <w:rsid w:val="00E7173D"/>
    <w:rsid w:val="00EA2284"/>
    <w:rsid w:val="00EA39B6"/>
    <w:rsid w:val="00EA3EE7"/>
    <w:rsid w:val="00EB01A4"/>
    <w:rsid w:val="00EB3EB5"/>
    <w:rsid w:val="00EB478E"/>
    <w:rsid w:val="00EB4F4B"/>
    <w:rsid w:val="00EC3E8B"/>
    <w:rsid w:val="00ED4FCC"/>
    <w:rsid w:val="00EE2EF4"/>
    <w:rsid w:val="00F07EA2"/>
    <w:rsid w:val="00F10508"/>
    <w:rsid w:val="00F216DC"/>
    <w:rsid w:val="00F318F4"/>
    <w:rsid w:val="00F67EFD"/>
    <w:rsid w:val="00F8598F"/>
    <w:rsid w:val="00F93DF8"/>
    <w:rsid w:val="00F941FA"/>
    <w:rsid w:val="00FA4452"/>
    <w:rsid w:val="00FA72E3"/>
    <w:rsid w:val="00FA78DE"/>
    <w:rsid w:val="00FB33CC"/>
    <w:rsid w:val="00FC1F73"/>
    <w:rsid w:val="00FC2C6C"/>
    <w:rsid w:val="00FD7029"/>
    <w:rsid w:val="00FE23CE"/>
    <w:rsid w:val="00FF177E"/>
    <w:rsid w:val="010131A7"/>
    <w:rsid w:val="010B22B0"/>
    <w:rsid w:val="01207B0A"/>
    <w:rsid w:val="01453A14"/>
    <w:rsid w:val="01522069"/>
    <w:rsid w:val="01782C45"/>
    <w:rsid w:val="018D0F17"/>
    <w:rsid w:val="021138F7"/>
    <w:rsid w:val="023A4BFB"/>
    <w:rsid w:val="02532161"/>
    <w:rsid w:val="027F4D04"/>
    <w:rsid w:val="02825F48"/>
    <w:rsid w:val="02C72207"/>
    <w:rsid w:val="02CF7A3A"/>
    <w:rsid w:val="02E334E5"/>
    <w:rsid w:val="02F474A0"/>
    <w:rsid w:val="02F96864"/>
    <w:rsid w:val="03092820"/>
    <w:rsid w:val="03127926"/>
    <w:rsid w:val="03393105"/>
    <w:rsid w:val="037E30D1"/>
    <w:rsid w:val="03A70F25"/>
    <w:rsid w:val="03AC20C9"/>
    <w:rsid w:val="03FF434E"/>
    <w:rsid w:val="042E69E2"/>
    <w:rsid w:val="04975000"/>
    <w:rsid w:val="04EA6DAD"/>
    <w:rsid w:val="05047743"/>
    <w:rsid w:val="055A55B4"/>
    <w:rsid w:val="056E4905"/>
    <w:rsid w:val="057332A8"/>
    <w:rsid w:val="05AE345A"/>
    <w:rsid w:val="064A5629"/>
    <w:rsid w:val="06565D7C"/>
    <w:rsid w:val="06A40784"/>
    <w:rsid w:val="06B238FA"/>
    <w:rsid w:val="06E15F8D"/>
    <w:rsid w:val="070752C8"/>
    <w:rsid w:val="07846919"/>
    <w:rsid w:val="07862691"/>
    <w:rsid w:val="078A03D3"/>
    <w:rsid w:val="079C56BF"/>
    <w:rsid w:val="07DD49A7"/>
    <w:rsid w:val="07ED2710"/>
    <w:rsid w:val="07EE6482"/>
    <w:rsid w:val="07F67816"/>
    <w:rsid w:val="081303C8"/>
    <w:rsid w:val="085A5FF7"/>
    <w:rsid w:val="09420839"/>
    <w:rsid w:val="09616F12"/>
    <w:rsid w:val="09CC2259"/>
    <w:rsid w:val="09DE12E6"/>
    <w:rsid w:val="09EA6F07"/>
    <w:rsid w:val="0A9652E1"/>
    <w:rsid w:val="0AB94B2B"/>
    <w:rsid w:val="0AD11E75"/>
    <w:rsid w:val="0AE0030A"/>
    <w:rsid w:val="0AFB5144"/>
    <w:rsid w:val="0B116715"/>
    <w:rsid w:val="0B7F3FC7"/>
    <w:rsid w:val="0BD51E39"/>
    <w:rsid w:val="0BF91683"/>
    <w:rsid w:val="0C3B1C9C"/>
    <w:rsid w:val="0C434FF4"/>
    <w:rsid w:val="0D1F5B01"/>
    <w:rsid w:val="0D8C6527"/>
    <w:rsid w:val="0D9E3B2D"/>
    <w:rsid w:val="0E4C540B"/>
    <w:rsid w:val="0EC248F6"/>
    <w:rsid w:val="0F052A35"/>
    <w:rsid w:val="0F234C69"/>
    <w:rsid w:val="0F307AB2"/>
    <w:rsid w:val="0F6E2388"/>
    <w:rsid w:val="0FD50659"/>
    <w:rsid w:val="0FEF4DD2"/>
    <w:rsid w:val="102B7629"/>
    <w:rsid w:val="106877E7"/>
    <w:rsid w:val="106F1535"/>
    <w:rsid w:val="10A87B1C"/>
    <w:rsid w:val="10BB784F"/>
    <w:rsid w:val="1109680C"/>
    <w:rsid w:val="116544B1"/>
    <w:rsid w:val="11691059"/>
    <w:rsid w:val="119F2CCD"/>
    <w:rsid w:val="11A007F3"/>
    <w:rsid w:val="11DF131B"/>
    <w:rsid w:val="11E701D0"/>
    <w:rsid w:val="121A2353"/>
    <w:rsid w:val="12280F14"/>
    <w:rsid w:val="12445768"/>
    <w:rsid w:val="12802AFE"/>
    <w:rsid w:val="129E11D6"/>
    <w:rsid w:val="130C25E4"/>
    <w:rsid w:val="132B5121"/>
    <w:rsid w:val="13540CE3"/>
    <w:rsid w:val="13DC1FB6"/>
    <w:rsid w:val="13EB3FA7"/>
    <w:rsid w:val="14530483"/>
    <w:rsid w:val="147F0B94"/>
    <w:rsid w:val="148461AA"/>
    <w:rsid w:val="14AE0CDA"/>
    <w:rsid w:val="14BC5BE5"/>
    <w:rsid w:val="14E82BDD"/>
    <w:rsid w:val="14E84241"/>
    <w:rsid w:val="152139F9"/>
    <w:rsid w:val="15344EF4"/>
    <w:rsid w:val="1546345F"/>
    <w:rsid w:val="154C622F"/>
    <w:rsid w:val="15770AE8"/>
    <w:rsid w:val="162D4D4B"/>
    <w:rsid w:val="168626AD"/>
    <w:rsid w:val="171639BF"/>
    <w:rsid w:val="176302F9"/>
    <w:rsid w:val="17650515"/>
    <w:rsid w:val="17C84600"/>
    <w:rsid w:val="17E21B65"/>
    <w:rsid w:val="1807337A"/>
    <w:rsid w:val="183A54FD"/>
    <w:rsid w:val="18626802"/>
    <w:rsid w:val="18E84F59"/>
    <w:rsid w:val="18FC0A05"/>
    <w:rsid w:val="194859F8"/>
    <w:rsid w:val="1957287E"/>
    <w:rsid w:val="19A846E9"/>
    <w:rsid w:val="19B65058"/>
    <w:rsid w:val="19E75211"/>
    <w:rsid w:val="1A5A3C35"/>
    <w:rsid w:val="1A774C9C"/>
    <w:rsid w:val="1AE73242"/>
    <w:rsid w:val="1AE87493"/>
    <w:rsid w:val="1B701236"/>
    <w:rsid w:val="1BB6167F"/>
    <w:rsid w:val="1BC7354C"/>
    <w:rsid w:val="1BF81957"/>
    <w:rsid w:val="1C3261F4"/>
    <w:rsid w:val="1C4865E5"/>
    <w:rsid w:val="1C4C57FF"/>
    <w:rsid w:val="1C69015F"/>
    <w:rsid w:val="1C8925AF"/>
    <w:rsid w:val="1C8B4B07"/>
    <w:rsid w:val="1C93342E"/>
    <w:rsid w:val="1CAC44F0"/>
    <w:rsid w:val="1CCC06EE"/>
    <w:rsid w:val="1CCD2D5C"/>
    <w:rsid w:val="1CD048C1"/>
    <w:rsid w:val="1CD37CCF"/>
    <w:rsid w:val="1D0E0D07"/>
    <w:rsid w:val="1D350989"/>
    <w:rsid w:val="1D7C0366"/>
    <w:rsid w:val="1D862F93"/>
    <w:rsid w:val="1D925B8A"/>
    <w:rsid w:val="1E0A3BC4"/>
    <w:rsid w:val="1E2A7DC2"/>
    <w:rsid w:val="1E2B7565"/>
    <w:rsid w:val="1E5135A1"/>
    <w:rsid w:val="1E537319"/>
    <w:rsid w:val="1E6828C2"/>
    <w:rsid w:val="1EA47B74"/>
    <w:rsid w:val="1EDA17E8"/>
    <w:rsid w:val="1F2D7B6A"/>
    <w:rsid w:val="1F460C2C"/>
    <w:rsid w:val="1F505606"/>
    <w:rsid w:val="1F7405B1"/>
    <w:rsid w:val="1FBE6A14"/>
    <w:rsid w:val="202E28ED"/>
    <w:rsid w:val="20390790"/>
    <w:rsid w:val="203B62B7"/>
    <w:rsid w:val="209B4FA7"/>
    <w:rsid w:val="214E201A"/>
    <w:rsid w:val="215D5D90"/>
    <w:rsid w:val="21785657"/>
    <w:rsid w:val="219D08AB"/>
    <w:rsid w:val="21C916A0"/>
    <w:rsid w:val="220152DE"/>
    <w:rsid w:val="225856E4"/>
    <w:rsid w:val="23272B22"/>
    <w:rsid w:val="232C638A"/>
    <w:rsid w:val="236723EA"/>
    <w:rsid w:val="23B02B18"/>
    <w:rsid w:val="24343749"/>
    <w:rsid w:val="2451716B"/>
    <w:rsid w:val="246868E6"/>
    <w:rsid w:val="24AA7567"/>
    <w:rsid w:val="24B44889"/>
    <w:rsid w:val="25290DD3"/>
    <w:rsid w:val="252E63EA"/>
    <w:rsid w:val="253046F8"/>
    <w:rsid w:val="25421E95"/>
    <w:rsid w:val="2551032A"/>
    <w:rsid w:val="258242A3"/>
    <w:rsid w:val="25893620"/>
    <w:rsid w:val="259358AB"/>
    <w:rsid w:val="25C44658"/>
    <w:rsid w:val="25CA6354"/>
    <w:rsid w:val="25E94F63"/>
    <w:rsid w:val="261A4BC0"/>
    <w:rsid w:val="268838D8"/>
    <w:rsid w:val="26AA7CF2"/>
    <w:rsid w:val="26B446CD"/>
    <w:rsid w:val="26D60AE7"/>
    <w:rsid w:val="26ED5E31"/>
    <w:rsid w:val="26F47310"/>
    <w:rsid w:val="26FD2518"/>
    <w:rsid w:val="27337CE7"/>
    <w:rsid w:val="27483067"/>
    <w:rsid w:val="27677991"/>
    <w:rsid w:val="277246F6"/>
    <w:rsid w:val="27767BD4"/>
    <w:rsid w:val="27B5050A"/>
    <w:rsid w:val="27BF5BC8"/>
    <w:rsid w:val="28697739"/>
    <w:rsid w:val="286F5B1F"/>
    <w:rsid w:val="28846321"/>
    <w:rsid w:val="288E0F4E"/>
    <w:rsid w:val="28A236DD"/>
    <w:rsid w:val="28DF032D"/>
    <w:rsid w:val="28FE60D3"/>
    <w:rsid w:val="29177195"/>
    <w:rsid w:val="295757E3"/>
    <w:rsid w:val="296323DA"/>
    <w:rsid w:val="29A70519"/>
    <w:rsid w:val="29A7676B"/>
    <w:rsid w:val="2A047719"/>
    <w:rsid w:val="2A1A0CEB"/>
    <w:rsid w:val="2A554419"/>
    <w:rsid w:val="2A8645D2"/>
    <w:rsid w:val="2A8D3BB3"/>
    <w:rsid w:val="2A9F5694"/>
    <w:rsid w:val="2AA131BA"/>
    <w:rsid w:val="2ADC0696"/>
    <w:rsid w:val="2AEF03C9"/>
    <w:rsid w:val="2B5B780D"/>
    <w:rsid w:val="2BB94533"/>
    <w:rsid w:val="2BEA4DF9"/>
    <w:rsid w:val="2C212804"/>
    <w:rsid w:val="2C666469"/>
    <w:rsid w:val="2C903500"/>
    <w:rsid w:val="2CF47F19"/>
    <w:rsid w:val="2CFE2B46"/>
    <w:rsid w:val="2D0F6B01"/>
    <w:rsid w:val="2D340315"/>
    <w:rsid w:val="2D71156A"/>
    <w:rsid w:val="2D811081"/>
    <w:rsid w:val="2D987795"/>
    <w:rsid w:val="2D9E7E85"/>
    <w:rsid w:val="2DBF0527"/>
    <w:rsid w:val="2E112405"/>
    <w:rsid w:val="2E206AEC"/>
    <w:rsid w:val="2E864BA1"/>
    <w:rsid w:val="2EC93486"/>
    <w:rsid w:val="2F065CE2"/>
    <w:rsid w:val="2F6E343A"/>
    <w:rsid w:val="2FA33530"/>
    <w:rsid w:val="30281C88"/>
    <w:rsid w:val="30403475"/>
    <w:rsid w:val="30470360"/>
    <w:rsid w:val="30542A7D"/>
    <w:rsid w:val="30907F59"/>
    <w:rsid w:val="30CB71E3"/>
    <w:rsid w:val="30CE0A81"/>
    <w:rsid w:val="30E16A06"/>
    <w:rsid w:val="310426F5"/>
    <w:rsid w:val="31815AF3"/>
    <w:rsid w:val="31A517E2"/>
    <w:rsid w:val="31D04385"/>
    <w:rsid w:val="3268462F"/>
    <w:rsid w:val="32803FFD"/>
    <w:rsid w:val="328F34B6"/>
    <w:rsid w:val="32B011BC"/>
    <w:rsid w:val="32E4458C"/>
    <w:rsid w:val="330D3AE3"/>
    <w:rsid w:val="332F1B24"/>
    <w:rsid w:val="334868C9"/>
    <w:rsid w:val="33955886"/>
    <w:rsid w:val="33A2238B"/>
    <w:rsid w:val="33DC1707"/>
    <w:rsid w:val="34750E92"/>
    <w:rsid w:val="348C0A37"/>
    <w:rsid w:val="34A00986"/>
    <w:rsid w:val="34CE5636"/>
    <w:rsid w:val="34E83FCE"/>
    <w:rsid w:val="35170C48"/>
    <w:rsid w:val="351A50CE"/>
    <w:rsid w:val="35306E54"/>
    <w:rsid w:val="3547648D"/>
    <w:rsid w:val="355E6877"/>
    <w:rsid w:val="356544C7"/>
    <w:rsid w:val="3586192A"/>
    <w:rsid w:val="35987B8D"/>
    <w:rsid w:val="359F0C3E"/>
    <w:rsid w:val="35A95619"/>
    <w:rsid w:val="35B46497"/>
    <w:rsid w:val="35DC154A"/>
    <w:rsid w:val="36280C33"/>
    <w:rsid w:val="36444420"/>
    <w:rsid w:val="364A6DFC"/>
    <w:rsid w:val="36763B54"/>
    <w:rsid w:val="37074CED"/>
    <w:rsid w:val="373D24BC"/>
    <w:rsid w:val="37441A9D"/>
    <w:rsid w:val="3789228D"/>
    <w:rsid w:val="379C2703"/>
    <w:rsid w:val="37B409D1"/>
    <w:rsid w:val="37E42519"/>
    <w:rsid w:val="37FD732F"/>
    <w:rsid w:val="384653A1"/>
    <w:rsid w:val="386B4E07"/>
    <w:rsid w:val="388C36FB"/>
    <w:rsid w:val="38BE762D"/>
    <w:rsid w:val="38F372D7"/>
    <w:rsid w:val="390019F4"/>
    <w:rsid w:val="390908A8"/>
    <w:rsid w:val="391D25A6"/>
    <w:rsid w:val="39704576"/>
    <w:rsid w:val="3979525D"/>
    <w:rsid w:val="3986639D"/>
    <w:rsid w:val="39A24859"/>
    <w:rsid w:val="39D91E06"/>
    <w:rsid w:val="39E96DD6"/>
    <w:rsid w:val="3A276B75"/>
    <w:rsid w:val="3A5F274A"/>
    <w:rsid w:val="3AAF3477"/>
    <w:rsid w:val="3AB160D5"/>
    <w:rsid w:val="3B81506E"/>
    <w:rsid w:val="3B954675"/>
    <w:rsid w:val="3BDD7DCA"/>
    <w:rsid w:val="3BE850ED"/>
    <w:rsid w:val="3CA935B6"/>
    <w:rsid w:val="3CC72F54"/>
    <w:rsid w:val="3CCD6091"/>
    <w:rsid w:val="3D6E2D89"/>
    <w:rsid w:val="3D753879"/>
    <w:rsid w:val="3D7D2A20"/>
    <w:rsid w:val="3D9B1CEB"/>
    <w:rsid w:val="3DAE01F1"/>
    <w:rsid w:val="3DBE08A9"/>
    <w:rsid w:val="3DFD4754"/>
    <w:rsid w:val="3E241CE0"/>
    <w:rsid w:val="3E8B1D5F"/>
    <w:rsid w:val="3E9A0C6C"/>
    <w:rsid w:val="3EF0645B"/>
    <w:rsid w:val="3F4940F4"/>
    <w:rsid w:val="3F9115F7"/>
    <w:rsid w:val="3F9B4224"/>
    <w:rsid w:val="3FB026E8"/>
    <w:rsid w:val="3FB35A12"/>
    <w:rsid w:val="3FBB48C6"/>
    <w:rsid w:val="3FD339BE"/>
    <w:rsid w:val="3FEC4A80"/>
    <w:rsid w:val="40526FD9"/>
    <w:rsid w:val="41684B4C"/>
    <w:rsid w:val="416B0395"/>
    <w:rsid w:val="419F6289"/>
    <w:rsid w:val="41A35612"/>
    <w:rsid w:val="41FD2F74"/>
    <w:rsid w:val="42010CB6"/>
    <w:rsid w:val="42EA799C"/>
    <w:rsid w:val="42F205FF"/>
    <w:rsid w:val="42FC4EA8"/>
    <w:rsid w:val="43664B49"/>
    <w:rsid w:val="43FA7557"/>
    <w:rsid w:val="441B5933"/>
    <w:rsid w:val="442E1B0B"/>
    <w:rsid w:val="45154A79"/>
    <w:rsid w:val="453018B3"/>
    <w:rsid w:val="45603F46"/>
    <w:rsid w:val="457E43CC"/>
    <w:rsid w:val="45980BF0"/>
    <w:rsid w:val="45997458"/>
    <w:rsid w:val="45C049E4"/>
    <w:rsid w:val="45D71D2E"/>
    <w:rsid w:val="46040D75"/>
    <w:rsid w:val="460F14C8"/>
    <w:rsid w:val="46731A57"/>
    <w:rsid w:val="468C0D6B"/>
    <w:rsid w:val="468C2B19"/>
    <w:rsid w:val="46963997"/>
    <w:rsid w:val="46B3312C"/>
    <w:rsid w:val="46BC1650"/>
    <w:rsid w:val="46F04E55"/>
    <w:rsid w:val="47281E8B"/>
    <w:rsid w:val="472E3BD0"/>
    <w:rsid w:val="47482EE3"/>
    <w:rsid w:val="47A367A5"/>
    <w:rsid w:val="47D91D8D"/>
    <w:rsid w:val="48055C08"/>
    <w:rsid w:val="48710218"/>
    <w:rsid w:val="49027FE8"/>
    <w:rsid w:val="49402E27"/>
    <w:rsid w:val="49902920"/>
    <w:rsid w:val="49973CAE"/>
    <w:rsid w:val="49CA74E0"/>
    <w:rsid w:val="49CD147E"/>
    <w:rsid w:val="49E13FA6"/>
    <w:rsid w:val="49E369F5"/>
    <w:rsid w:val="49F70BF1"/>
    <w:rsid w:val="4A38723F"/>
    <w:rsid w:val="4A802994"/>
    <w:rsid w:val="4B056479"/>
    <w:rsid w:val="4B215F25"/>
    <w:rsid w:val="4B2D688D"/>
    <w:rsid w:val="4B594059"/>
    <w:rsid w:val="4B92297F"/>
    <w:rsid w:val="4B9C37FE"/>
    <w:rsid w:val="4BCA6B34"/>
    <w:rsid w:val="4C26756B"/>
    <w:rsid w:val="4C770C39"/>
    <w:rsid w:val="4C8C608C"/>
    <w:rsid w:val="4D0104F9"/>
    <w:rsid w:val="4D0F047A"/>
    <w:rsid w:val="4D461C73"/>
    <w:rsid w:val="4D714816"/>
    <w:rsid w:val="4D9D385D"/>
    <w:rsid w:val="4DB424A5"/>
    <w:rsid w:val="4DEF5E83"/>
    <w:rsid w:val="4E676345"/>
    <w:rsid w:val="4E712D20"/>
    <w:rsid w:val="4E9E4ABB"/>
    <w:rsid w:val="4ECE0172"/>
    <w:rsid w:val="4F0516BA"/>
    <w:rsid w:val="4F1277F7"/>
    <w:rsid w:val="4F3B2EF4"/>
    <w:rsid w:val="4F563CC4"/>
    <w:rsid w:val="4F977F9F"/>
    <w:rsid w:val="4FB8672C"/>
    <w:rsid w:val="4FD322A6"/>
    <w:rsid w:val="4FD33566"/>
    <w:rsid w:val="4FE45692"/>
    <w:rsid w:val="503D071F"/>
    <w:rsid w:val="504852D5"/>
    <w:rsid w:val="504B30B2"/>
    <w:rsid w:val="504F52E3"/>
    <w:rsid w:val="50690566"/>
    <w:rsid w:val="50720FD1"/>
    <w:rsid w:val="50884351"/>
    <w:rsid w:val="509E1DC6"/>
    <w:rsid w:val="50AA42C7"/>
    <w:rsid w:val="50AD025B"/>
    <w:rsid w:val="50D60D7C"/>
    <w:rsid w:val="513F5357"/>
    <w:rsid w:val="5186459D"/>
    <w:rsid w:val="518F170F"/>
    <w:rsid w:val="51C75820"/>
    <w:rsid w:val="51D57A6A"/>
    <w:rsid w:val="51D84E64"/>
    <w:rsid w:val="52391DA6"/>
    <w:rsid w:val="525C5004"/>
    <w:rsid w:val="5290573F"/>
    <w:rsid w:val="52C5188C"/>
    <w:rsid w:val="52CF6267"/>
    <w:rsid w:val="52EE43DB"/>
    <w:rsid w:val="52FD2E8D"/>
    <w:rsid w:val="530E05BC"/>
    <w:rsid w:val="535A7887"/>
    <w:rsid w:val="5373753A"/>
    <w:rsid w:val="53BC2C8F"/>
    <w:rsid w:val="53BF4C42"/>
    <w:rsid w:val="53CD66E0"/>
    <w:rsid w:val="53F57F4F"/>
    <w:rsid w:val="53FE4420"/>
    <w:rsid w:val="545A24A8"/>
    <w:rsid w:val="5486504B"/>
    <w:rsid w:val="54B971CF"/>
    <w:rsid w:val="54D2203E"/>
    <w:rsid w:val="55047725"/>
    <w:rsid w:val="55051DA8"/>
    <w:rsid w:val="550F5041"/>
    <w:rsid w:val="551D59AF"/>
    <w:rsid w:val="551F4386"/>
    <w:rsid w:val="557773FB"/>
    <w:rsid w:val="55821CB6"/>
    <w:rsid w:val="55CB16B9"/>
    <w:rsid w:val="563A60ED"/>
    <w:rsid w:val="563F54B2"/>
    <w:rsid w:val="565432B3"/>
    <w:rsid w:val="56576C9F"/>
    <w:rsid w:val="566B44F9"/>
    <w:rsid w:val="569A4DDE"/>
    <w:rsid w:val="56A54175"/>
    <w:rsid w:val="570858F2"/>
    <w:rsid w:val="57471324"/>
    <w:rsid w:val="575C2093"/>
    <w:rsid w:val="57AA2DFF"/>
    <w:rsid w:val="57AF2B0B"/>
    <w:rsid w:val="57C230D5"/>
    <w:rsid w:val="57DC0F5F"/>
    <w:rsid w:val="583B614D"/>
    <w:rsid w:val="585C67EF"/>
    <w:rsid w:val="586631C9"/>
    <w:rsid w:val="588C08D1"/>
    <w:rsid w:val="58A43CF2"/>
    <w:rsid w:val="58AB7E44"/>
    <w:rsid w:val="58B32187"/>
    <w:rsid w:val="592866D1"/>
    <w:rsid w:val="598C6238"/>
    <w:rsid w:val="59AC5554"/>
    <w:rsid w:val="59B9269D"/>
    <w:rsid w:val="59F023FC"/>
    <w:rsid w:val="59F91D02"/>
    <w:rsid w:val="5A094754"/>
    <w:rsid w:val="5A105AE3"/>
    <w:rsid w:val="5A180D4E"/>
    <w:rsid w:val="5A4E2167"/>
    <w:rsid w:val="5A7B6CD4"/>
    <w:rsid w:val="5AB67D0C"/>
    <w:rsid w:val="5AC8016B"/>
    <w:rsid w:val="5AF01470"/>
    <w:rsid w:val="5B025E57"/>
    <w:rsid w:val="5B231846"/>
    <w:rsid w:val="5B7A6F8C"/>
    <w:rsid w:val="5B7C2D04"/>
    <w:rsid w:val="5B8F3C7E"/>
    <w:rsid w:val="5BAD55B3"/>
    <w:rsid w:val="5BDB7A2A"/>
    <w:rsid w:val="5BE30FD5"/>
    <w:rsid w:val="5BE32D83"/>
    <w:rsid w:val="5BE63730"/>
    <w:rsid w:val="5C5251DF"/>
    <w:rsid w:val="5C534E4A"/>
    <w:rsid w:val="5C902F0B"/>
    <w:rsid w:val="5CE9261B"/>
    <w:rsid w:val="5D0D6309"/>
    <w:rsid w:val="5D66733F"/>
    <w:rsid w:val="5DAB78D0"/>
    <w:rsid w:val="5DBB5D65"/>
    <w:rsid w:val="5DCF1811"/>
    <w:rsid w:val="5DDE7CA6"/>
    <w:rsid w:val="5DFE04B3"/>
    <w:rsid w:val="5E09755D"/>
    <w:rsid w:val="5E203E1A"/>
    <w:rsid w:val="5E5D506F"/>
    <w:rsid w:val="5E671A49"/>
    <w:rsid w:val="5EA22A81"/>
    <w:rsid w:val="5EEA61D6"/>
    <w:rsid w:val="5F335DCF"/>
    <w:rsid w:val="5F4D50E3"/>
    <w:rsid w:val="5FC30F01"/>
    <w:rsid w:val="5FC66C44"/>
    <w:rsid w:val="5FCB425A"/>
    <w:rsid w:val="5FE536D5"/>
    <w:rsid w:val="60327E35"/>
    <w:rsid w:val="606A3A73"/>
    <w:rsid w:val="612C6F7A"/>
    <w:rsid w:val="614F3918"/>
    <w:rsid w:val="61515E49"/>
    <w:rsid w:val="616E30EF"/>
    <w:rsid w:val="61880654"/>
    <w:rsid w:val="61B6665A"/>
    <w:rsid w:val="61E635CD"/>
    <w:rsid w:val="61EB473F"/>
    <w:rsid w:val="6232470C"/>
    <w:rsid w:val="624327CD"/>
    <w:rsid w:val="62E77208"/>
    <w:rsid w:val="62EA2C49"/>
    <w:rsid w:val="634C56B2"/>
    <w:rsid w:val="636E49DC"/>
    <w:rsid w:val="63957059"/>
    <w:rsid w:val="64177A6E"/>
    <w:rsid w:val="642018F9"/>
    <w:rsid w:val="64596B4E"/>
    <w:rsid w:val="648F5856"/>
    <w:rsid w:val="64D4770D"/>
    <w:rsid w:val="64DD4813"/>
    <w:rsid w:val="64E21E2A"/>
    <w:rsid w:val="64E75692"/>
    <w:rsid w:val="654E5711"/>
    <w:rsid w:val="65962C14"/>
    <w:rsid w:val="65B23EF2"/>
    <w:rsid w:val="65EE47FE"/>
    <w:rsid w:val="65F06D2C"/>
    <w:rsid w:val="6609788A"/>
    <w:rsid w:val="661A55F3"/>
    <w:rsid w:val="661B7F24"/>
    <w:rsid w:val="665723A3"/>
    <w:rsid w:val="666F3B91"/>
    <w:rsid w:val="66A60C9C"/>
    <w:rsid w:val="66BB2590"/>
    <w:rsid w:val="66C54162"/>
    <w:rsid w:val="66E203D8"/>
    <w:rsid w:val="671B7922"/>
    <w:rsid w:val="67577EB7"/>
    <w:rsid w:val="677F153E"/>
    <w:rsid w:val="68091DC3"/>
    <w:rsid w:val="68262975"/>
    <w:rsid w:val="689C6793"/>
    <w:rsid w:val="68BE670A"/>
    <w:rsid w:val="68BF2482"/>
    <w:rsid w:val="690946BA"/>
    <w:rsid w:val="692844CB"/>
    <w:rsid w:val="699F7D3A"/>
    <w:rsid w:val="69DD52B6"/>
    <w:rsid w:val="6A170931"/>
    <w:rsid w:val="6A617C95"/>
    <w:rsid w:val="6AA81420"/>
    <w:rsid w:val="6AB623DF"/>
    <w:rsid w:val="6ACE4BFE"/>
    <w:rsid w:val="6AD40467"/>
    <w:rsid w:val="6AE04B74"/>
    <w:rsid w:val="6AF01C56"/>
    <w:rsid w:val="6B2B3DFF"/>
    <w:rsid w:val="6B451364"/>
    <w:rsid w:val="6B4D0219"/>
    <w:rsid w:val="6B6C069F"/>
    <w:rsid w:val="6BAE0CB8"/>
    <w:rsid w:val="6BAF4A30"/>
    <w:rsid w:val="6BD61FBC"/>
    <w:rsid w:val="6C6D0B73"/>
    <w:rsid w:val="6C710B23"/>
    <w:rsid w:val="6CAB51F7"/>
    <w:rsid w:val="6CBD4F2A"/>
    <w:rsid w:val="6CBF0CA2"/>
    <w:rsid w:val="6CC462B9"/>
    <w:rsid w:val="6D38471B"/>
    <w:rsid w:val="6D4573FA"/>
    <w:rsid w:val="6DB8307B"/>
    <w:rsid w:val="6DC76061"/>
    <w:rsid w:val="6DD54C21"/>
    <w:rsid w:val="6E1E4550"/>
    <w:rsid w:val="6E1F5E9D"/>
    <w:rsid w:val="6E3336F6"/>
    <w:rsid w:val="6E557B10"/>
    <w:rsid w:val="6E5F1847"/>
    <w:rsid w:val="6EA14120"/>
    <w:rsid w:val="6F0357BE"/>
    <w:rsid w:val="6F0626E6"/>
    <w:rsid w:val="6F443096"/>
    <w:rsid w:val="6F5778B8"/>
    <w:rsid w:val="6F926B42"/>
    <w:rsid w:val="6F93401E"/>
    <w:rsid w:val="6FA83C70"/>
    <w:rsid w:val="702E23C7"/>
    <w:rsid w:val="70B2124A"/>
    <w:rsid w:val="70D21129"/>
    <w:rsid w:val="70DD5B9B"/>
    <w:rsid w:val="70E51287"/>
    <w:rsid w:val="70FD7FEB"/>
    <w:rsid w:val="71184E25"/>
    <w:rsid w:val="71685DAD"/>
    <w:rsid w:val="71C64881"/>
    <w:rsid w:val="721929A1"/>
    <w:rsid w:val="72275320"/>
    <w:rsid w:val="72A72905"/>
    <w:rsid w:val="72D37256"/>
    <w:rsid w:val="72F571CC"/>
    <w:rsid w:val="74185868"/>
    <w:rsid w:val="74406B6D"/>
    <w:rsid w:val="74BD640F"/>
    <w:rsid w:val="74BE7A92"/>
    <w:rsid w:val="74FF07D6"/>
    <w:rsid w:val="74FF4332"/>
    <w:rsid w:val="750202C6"/>
    <w:rsid w:val="75287D2D"/>
    <w:rsid w:val="75363ACC"/>
    <w:rsid w:val="75530B22"/>
    <w:rsid w:val="759E1D9D"/>
    <w:rsid w:val="75F05AFC"/>
    <w:rsid w:val="75F7317D"/>
    <w:rsid w:val="76625752"/>
    <w:rsid w:val="76D75FBA"/>
    <w:rsid w:val="76DF08BF"/>
    <w:rsid w:val="76F87D58"/>
    <w:rsid w:val="777110D9"/>
    <w:rsid w:val="777F7CC7"/>
    <w:rsid w:val="77CF26E1"/>
    <w:rsid w:val="77D53B2E"/>
    <w:rsid w:val="77ED2B68"/>
    <w:rsid w:val="78414C61"/>
    <w:rsid w:val="785B5D23"/>
    <w:rsid w:val="791553F6"/>
    <w:rsid w:val="79334EF2"/>
    <w:rsid w:val="796B468C"/>
    <w:rsid w:val="797B41A3"/>
    <w:rsid w:val="799B1910"/>
    <w:rsid w:val="79BF0534"/>
    <w:rsid w:val="7A373298"/>
    <w:rsid w:val="7A41363F"/>
    <w:rsid w:val="7A456C8B"/>
    <w:rsid w:val="7A542AC5"/>
    <w:rsid w:val="7A58671F"/>
    <w:rsid w:val="7A9C6DC1"/>
    <w:rsid w:val="7AC2652D"/>
    <w:rsid w:val="7AC31DEF"/>
    <w:rsid w:val="7AFC1B2D"/>
    <w:rsid w:val="7B160627"/>
    <w:rsid w:val="7B4E1B6F"/>
    <w:rsid w:val="7B4E58F5"/>
    <w:rsid w:val="7B5628D6"/>
    <w:rsid w:val="7BB816DF"/>
    <w:rsid w:val="7BF30969"/>
    <w:rsid w:val="7C025669"/>
    <w:rsid w:val="7C331A1A"/>
    <w:rsid w:val="7C374CF9"/>
    <w:rsid w:val="7C3C6BAC"/>
    <w:rsid w:val="7C4C02E1"/>
    <w:rsid w:val="7C7D2A53"/>
    <w:rsid w:val="7CAA7279"/>
    <w:rsid w:val="7CAD17BD"/>
    <w:rsid w:val="7CDB0441"/>
    <w:rsid w:val="7CE0713F"/>
    <w:rsid w:val="7D4D5E56"/>
    <w:rsid w:val="7D6F401F"/>
    <w:rsid w:val="7D7635FF"/>
    <w:rsid w:val="7D7D2BE0"/>
    <w:rsid w:val="7DD00F61"/>
    <w:rsid w:val="7E040C0B"/>
    <w:rsid w:val="7E0714B7"/>
    <w:rsid w:val="7E501EBB"/>
    <w:rsid w:val="7E553215"/>
    <w:rsid w:val="7EE534A5"/>
    <w:rsid w:val="7EFF0489"/>
    <w:rsid w:val="7F3B240A"/>
    <w:rsid w:val="7F98785D"/>
    <w:rsid w:val="7F9B153D"/>
    <w:rsid w:val="7FA21106"/>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32"/>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3"/>
    <w:next w:val="1"/>
    <w:autoRedefine/>
    <w:qFormat/>
    <w:uiPriority w:val="0"/>
    <w:pPr>
      <w:keepNext/>
      <w:keepLines/>
      <w:spacing w:before="260" w:after="260" w:line="413" w:lineRule="auto"/>
      <w:outlineLvl w:val="2"/>
    </w:pPr>
    <w:rPr>
      <w:sz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pPr>
  </w:style>
  <w:style w:type="paragraph" w:styleId="6">
    <w:name w:val="annotation text"/>
    <w:basedOn w:val="1"/>
    <w:qFormat/>
    <w:uiPriority w:val="0"/>
    <w:pPr>
      <w:jc w:val="left"/>
    </w:pPr>
  </w:style>
  <w:style w:type="paragraph" w:styleId="7">
    <w:name w:val="Body Text"/>
    <w:basedOn w:val="1"/>
    <w:next w:val="1"/>
    <w:autoRedefine/>
    <w:qFormat/>
    <w:uiPriority w:val="0"/>
    <w:rPr>
      <w:rFonts w:ascii="仿宋_GB2312" w:eastAsia="仿宋_GB2312"/>
      <w:sz w:val="32"/>
    </w:rPr>
  </w:style>
  <w:style w:type="paragraph" w:styleId="8">
    <w:name w:val="Body Text Indent"/>
    <w:basedOn w:val="1"/>
    <w:autoRedefine/>
    <w:qFormat/>
    <w:uiPriority w:val="0"/>
    <w:pPr>
      <w:spacing w:line="700" w:lineRule="exact"/>
      <w:ind w:left="960"/>
    </w:pPr>
    <w:rPr>
      <w:sz w:val="44"/>
    </w:rPr>
  </w:style>
  <w:style w:type="paragraph" w:styleId="9">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10">
    <w:name w:val="toc 3"/>
    <w:basedOn w:val="1"/>
    <w:next w:val="1"/>
    <w:qFormat/>
    <w:uiPriority w:val="0"/>
    <w:pPr>
      <w:ind w:left="840" w:leftChars="400"/>
    </w:pPr>
  </w:style>
  <w:style w:type="paragraph" w:styleId="11">
    <w:name w:val="Date"/>
    <w:basedOn w:val="1"/>
    <w:next w:val="1"/>
    <w:autoRedefine/>
    <w:qFormat/>
    <w:uiPriority w:val="0"/>
  </w:style>
  <w:style w:type="paragraph" w:styleId="12">
    <w:name w:val="Body Text Indent 2"/>
    <w:basedOn w:val="1"/>
    <w:autoRedefine/>
    <w:qFormat/>
    <w:uiPriority w:val="0"/>
    <w:pPr>
      <w:snapToGrid w:val="0"/>
      <w:spacing w:line="560" w:lineRule="atLeast"/>
      <w:ind w:firstLine="540"/>
    </w:pPr>
  </w:style>
  <w:style w:type="paragraph" w:styleId="13">
    <w:name w:val="footer"/>
    <w:basedOn w:val="1"/>
    <w:link w:val="34"/>
    <w:autoRedefine/>
    <w:qFormat/>
    <w:uiPriority w:val="99"/>
    <w:pPr>
      <w:tabs>
        <w:tab w:val="center" w:pos="4153"/>
        <w:tab w:val="right" w:pos="8306"/>
      </w:tabs>
      <w:snapToGrid w:val="0"/>
      <w:jc w:val="left"/>
    </w:pPr>
    <w:rPr>
      <w:sz w:val="18"/>
    </w:rPr>
  </w:style>
  <w:style w:type="paragraph" w:styleId="14">
    <w:name w:val="header"/>
    <w:basedOn w:val="1"/>
    <w:autoRedefine/>
    <w:qFormat/>
    <w:uiPriority w:val="0"/>
    <w:pPr>
      <w:pBdr>
        <w:bottom w:val="none" w:color="auto" w:sz="0" w:space="1"/>
      </w:pBdr>
      <w:tabs>
        <w:tab w:val="center" w:pos="4153"/>
        <w:tab w:val="right" w:pos="8306"/>
      </w:tabs>
      <w:snapToGrid w:val="0"/>
      <w:ind w:firstLine="420"/>
      <w:jc w:val="center"/>
    </w:pPr>
    <w:rPr>
      <w:sz w:val="18"/>
    </w:rPr>
  </w:style>
  <w:style w:type="paragraph" w:styleId="15">
    <w:name w:val="toc 1"/>
    <w:basedOn w:val="1"/>
    <w:next w:val="1"/>
    <w:autoRedefine/>
    <w:qFormat/>
    <w:uiPriority w:val="39"/>
    <w:pPr>
      <w:spacing w:line="180" w:lineRule="auto"/>
      <w:jc w:val="center"/>
    </w:pPr>
    <w:rPr>
      <w:sz w:val="30"/>
    </w:rPr>
  </w:style>
  <w:style w:type="paragraph" w:styleId="16">
    <w:name w:val="List"/>
    <w:basedOn w:val="1"/>
    <w:autoRedefine/>
    <w:semiHidden/>
    <w:qFormat/>
    <w:uiPriority w:val="0"/>
    <w:pPr>
      <w:ind w:left="200" w:hanging="200" w:hangingChars="200"/>
    </w:pPr>
  </w:style>
  <w:style w:type="paragraph" w:styleId="17">
    <w:name w:val="toc 2"/>
    <w:basedOn w:val="1"/>
    <w:next w:val="1"/>
    <w:qFormat/>
    <w:uiPriority w:val="39"/>
    <w:pPr>
      <w:ind w:left="420" w:leftChars="200"/>
    </w:p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9">
    <w:name w:val="Body Text First Indent"/>
    <w:basedOn w:val="7"/>
    <w:qFormat/>
    <w:uiPriority w:val="0"/>
    <w:pPr>
      <w:widowControl w:val="0"/>
      <w:spacing w:line="360" w:lineRule="auto"/>
      <w:ind w:firstLine="420"/>
    </w:pPr>
    <w:rPr>
      <w:sz w:val="24"/>
      <w:szCs w:val="24"/>
      <w:lang w:eastAsia="zh-CN"/>
    </w:rPr>
  </w:style>
  <w:style w:type="character" w:styleId="22">
    <w:name w:val="page number"/>
    <w:basedOn w:val="21"/>
    <w:autoRedefine/>
    <w:qFormat/>
    <w:uiPriority w:val="0"/>
  </w:style>
  <w:style w:type="character" w:styleId="23">
    <w:name w:val="Hyperlink"/>
    <w:basedOn w:val="21"/>
    <w:autoRedefine/>
    <w:qFormat/>
    <w:uiPriority w:val="99"/>
    <w:rPr>
      <w:color w:val="0000FF"/>
      <w:u w:val="single"/>
    </w:rPr>
  </w:style>
  <w:style w:type="paragraph" w:customStyle="1" w:styleId="24">
    <w:name w:val="索引 51"/>
    <w:basedOn w:val="1"/>
    <w:next w:val="1"/>
    <w:qFormat/>
    <w:uiPriority w:val="0"/>
    <w:pPr>
      <w:ind w:left="1680"/>
    </w:pPr>
  </w:style>
  <w:style w:type="paragraph" w:customStyle="1" w:styleId="2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6">
    <w:name w:val="图例"/>
    <w:basedOn w:val="1"/>
    <w:autoRedefine/>
    <w:qFormat/>
    <w:uiPriority w:val="0"/>
    <w:pPr>
      <w:spacing w:before="120" w:after="120" w:line="360" w:lineRule="auto"/>
      <w:jc w:val="center"/>
    </w:pPr>
    <w:rPr>
      <w:rFonts w:eastAsia="仿宋_GB2312"/>
      <w:b/>
      <w:sz w:val="24"/>
    </w:rPr>
  </w:style>
  <w:style w:type="paragraph" w:customStyle="1" w:styleId="27">
    <w:name w:val="电建正文"/>
    <w:basedOn w:val="28"/>
    <w:autoRedefine/>
    <w:qFormat/>
    <w:uiPriority w:val="0"/>
    <w:pPr>
      <w:tabs>
        <w:tab w:val="left" w:pos="720"/>
      </w:tabs>
      <w:ind w:firstLine="480" w:firstLineChars="200"/>
    </w:pPr>
    <w:rPr>
      <w:rFonts w:ascii="方正仿宋_GBK" w:hAnsi="方正仿宋_GBK" w:eastAsia="方正仿宋_GBK" w:cs="方正仿宋_GBK"/>
      <w:sz w:val="24"/>
      <w:szCs w:val="28"/>
    </w:rPr>
  </w:style>
  <w:style w:type="paragraph" w:customStyle="1" w:styleId="28">
    <w:name w:val="List First"/>
    <w:basedOn w:val="16"/>
    <w:next w:val="16"/>
    <w:autoRedefine/>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1">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2">
    <w:name w:val="标题 2 字符"/>
    <w:link w:val="3"/>
    <w:qFormat/>
    <w:uiPriority w:val="0"/>
    <w:rPr>
      <w:rFonts w:ascii="Arial" w:hAnsi="Arial" w:eastAsia="黑体"/>
      <w:b/>
      <w:kern w:val="2"/>
      <w:sz w:val="32"/>
    </w:rPr>
  </w:style>
  <w:style w:type="character" w:customStyle="1" w:styleId="33">
    <w:name w:val="Unresolved Mention"/>
    <w:basedOn w:val="21"/>
    <w:semiHidden/>
    <w:unhideWhenUsed/>
    <w:qFormat/>
    <w:uiPriority w:val="99"/>
    <w:rPr>
      <w:color w:val="605E5C"/>
      <w:shd w:val="clear" w:color="auto" w:fill="E1DFDD"/>
    </w:rPr>
  </w:style>
  <w:style w:type="character" w:customStyle="1" w:styleId="34">
    <w:name w:val="页脚 字符"/>
    <w:link w:val="13"/>
    <w:qFormat/>
    <w:uiPriority w:val="99"/>
    <w:rPr>
      <w:kern w:val="2"/>
      <w:sz w:val="18"/>
    </w:rPr>
  </w:style>
  <w:style w:type="character" w:customStyle="1" w:styleId="35">
    <w:name w:val="页眉或页脚 (2)_"/>
    <w:basedOn w:val="21"/>
    <w:link w:val="36"/>
    <w:qFormat/>
    <w:uiPriority w:val="0"/>
    <w:rPr>
      <w:rFonts w:eastAsia="Times New Roman"/>
      <w:shd w:val="clear" w:color="auto" w:fill="FFFFFF"/>
      <w:lang w:val="zh-CN" w:bidi="zh-CN"/>
    </w:rPr>
  </w:style>
  <w:style w:type="paragraph" w:customStyle="1" w:styleId="36">
    <w:name w:val="页眉或页脚 (2)"/>
    <w:basedOn w:val="1"/>
    <w:link w:val="35"/>
    <w:qFormat/>
    <w:uiPriority w:val="0"/>
    <w:pPr>
      <w:shd w:val="clear" w:color="auto" w:fill="FFFFFF"/>
      <w:jc w:val="left"/>
    </w:pPr>
    <w:rPr>
      <w:rFonts w:eastAsia="Times New Roman"/>
      <w:kern w:val="0"/>
      <w:sz w:val="20"/>
      <w:lang w:val="zh-CN" w:bidi="zh-CN"/>
    </w:rPr>
  </w:style>
  <w:style w:type="character" w:customStyle="1" w:styleId="37">
    <w:name w:val="正文文本_"/>
    <w:basedOn w:val="21"/>
    <w:link w:val="38"/>
    <w:qFormat/>
    <w:uiPriority w:val="0"/>
    <w:rPr>
      <w:rFonts w:ascii="MingLiU" w:hAnsi="MingLiU" w:eastAsia="MingLiU" w:cs="MingLiU"/>
      <w:sz w:val="22"/>
      <w:szCs w:val="22"/>
      <w:shd w:val="clear" w:color="auto" w:fill="FFFFFF"/>
      <w:lang w:val="zh-CN" w:bidi="zh-CN"/>
    </w:rPr>
  </w:style>
  <w:style w:type="paragraph" w:customStyle="1" w:styleId="38">
    <w:name w:val="正文文本1"/>
    <w:basedOn w:val="1"/>
    <w:link w:val="37"/>
    <w:qFormat/>
    <w:uiPriority w:val="0"/>
    <w:pPr>
      <w:shd w:val="clear" w:color="auto" w:fill="FFFFFF"/>
      <w:spacing w:line="430" w:lineRule="auto"/>
      <w:ind w:firstLine="400"/>
      <w:jc w:val="left"/>
    </w:pPr>
    <w:rPr>
      <w:rFonts w:ascii="MingLiU" w:hAnsi="MingLiU" w:eastAsia="MingLiU" w:cs="MingLiU"/>
      <w:kern w:val="0"/>
      <w:sz w:val="22"/>
      <w:szCs w:val="22"/>
      <w:lang w:val="zh-CN" w:bidi="zh-CN"/>
    </w:rPr>
  </w:style>
  <w:style w:type="character" w:customStyle="1" w:styleId="39">
    <w:name w:val="标题 #1_"/>
    <w:basedOn w:val="21"/>
    <w:link w:val="40"/>
    <w:qFormat/>
    <w:uiPriority w:val="0"/>
    <w:rPr>
      <w:rFonts w:ascii="MingLiU" w:hAnsi="MingLiU" w:eastAsia="MingLiU" w:cs="MingLiU"/>
      <w:sz w:val="28"/>
      <w:szCs w:val="28"/>
      <w:shd w:val="clear" w:color="auto" w:fill="FFFFFF"/>
      <w:lang w:val="zh-CN" w:bidi="zh-CN"/>
    </w:rPr>
  </w:style>
  <w:style w:type="paragraph" w:customStyle="1" w:styleId="40">
    <w:name w:val="标题 #1"/>
    <w:basedOn w:val="1"/>
    <w:link w:val="39"/>
    <w:qFormat/>
    <w:uiPriority w:val="0"/>
    <w:pPr>
      <w:shd w:val="clear" w:color="auto" w:fill="FFFFFF"/>
      <w:spacing w:after="200"/>
      <w:jc w:val="center"/>
      <w:outlineLvl w:val="0"/>
    </w:pPr>
    <w:rPr>
      <w:rFonts w:ascii="MingLiU" w:hAnsi="MingLiU" w:eastAsia="MingLiU" w:cs="MingLiU"/>
      <w:kern w:val="0"/>
      <w:szCs w:val="28"/>
      <w:lang w:val="zh-CN" w:bidi="zh-CN"/>
    </w:rPr>
  </w:style>
  <w:style w:type="character" w:customStyle="1" w:styleId="41">
    <w:name w:val="正文文本 (2)_"/>
    <w:basedOn w:val="21"/>
    <w:link w:val="42"/>
    <w:qFormat/>
    <w:uiPriority w:val="0"/>
    <w:rPr>
      <w:rFonts w:ascii="Gulim" w:hAnsi="Gulim" w:eastAsia="Gulim" w:cs="Gulim"/>
      <w:shd w:val="clear" w:color="auto" w:fill="FFFFFF"/>
      <w:lang w:val="zh-CN" w:bidi="zh-CN"/>
    </w:rPr>
  </w:style>
  <w:style w:type="paragraph" w:customStyle="1" w:styleId="42">
    <w:name w:val="正文文本 (2)"/>
    <w:basedOn w:val="1"/>
    <w:link w:val="41"/>
    <w:qFormat/>
    <w:uiPriority w:val="0"/>
    <w:pPr>
      <w:shd w:val="clear" w:color="auto" w:fill="FFFFFF"/>
      <w:spacing w:after="180"/>
      <w:ind w:firstLine="220"/>
      <w:jc w:val="left"/>
    </w:pPr>
    <w:rPr>
      <w:rFonts w:ascii="Gulim" w:hAnsi="Gulim" w:eastAsia="Gulim" w:cs="Gulim"/>
      <w:kern w:val="0"/>
      <w:sz w:val="20"/>
      <w:lang w:val="zh-CN" w:bidi="zh-CN"/>
    </w:rPr>
  </w:style>
  <w:style w:type="character" w:customStyle="1" w:styleId="43">
    <w:name w:val="其他_"/>
    <w:basedOn w:val="21"/>
    <w:link w:val="44"/>
    <w:qFormat/>
    <w:uiPriority w:val="0"/>
    <w:rPr>
      <w:rFonts w:ascii="MingLiU" w:hAnsi="MingLiU" w:eastAsia="MingLiU" w:cs="MingLiU"/>
      <w:sz w:val="22"/>
      <w:szCs w:val="22"/>
      <w:shd w:val="clear" w:color="auto" w:fill="FFFFFF"/>
      <w:lang w:val="zh-CN" w:bidi="zh-CN"/>
    </w:rPr>
  </w:style>
  <w:style w:type="paragraph" w:customStyle="1" w:styleId="44">
    <w:name w:val="其他"/>
    <w:basedOn w:val="1"/>
    <w:link w:val="43"/>
    <w:qFormat/>
    <w:uiPriority w:val="0"/>
    <w:pPr>
      <w:shd w:val="clear" w:color="auto" w:fill="FFFFFF"/>
      <w:spacing w:line="430" w:lineRule="auto"/>
      <w:ind w:firstLine="400"/>
      <w:jc w:val="left"/>
    </w:pPr>
    <w:rPr>
      <w:rFonts w:ascii="MingLiU" w:hAnsi="MingLiU" w:eastAsia="MingLiU" w:cs="MingLiU"/>
      <w:kern w:val="0"/>
      <w:sz w:val="22"/>
      <w:szCs w:val="22"/>
      <w:lang w:val="zh-CN" w:bidi="zh-CN"/>
    </w:rPr>
  </w:style>
  <w:style w:type="paragraph" w:styleId="45">
    <w:name w:val="List Paragraph"/>
    <w:basedOn w:val="1"/>
    <w:qFormat/>
    <w:uiPriority w:val="99"/>
    <w:pPr>
      <w:ind w:firstLine="420" w:firstLineChars="200"/>
    </w:pPr>
  </w:style>
  <w:style w:type="paragraph" w:customStyle="1" w:styleId="46">
    <w:name w:val="DTZ normal"/>
    <w:basedOn w:val="1"/>
    <w:qFormat/>
    <w:uiPriority w:val="0"/>
    <w:pPr>
      <w:widowControl/>
      <w:spacing w:after="260" w:line="260" w:lineRule="exact"/>
      <w:jc w:val="left"/>
    </w:pPr>
    <w:rPr>
      <w:rFonts w:ascii="Arial" w:hAnsi="Arial"/>
      <w:kern w:val="0"/>
      <w:sz w:val="2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9830</Words>
  <Characters>10210</Characters>
  <Lines>143</Lines>
  <Paragraphs>40</Paragraphs>
  <TotalTime>4</TotalTime>
  <ScaleCrop>false</ScaleCrop>
  <LinksUpToDate>false</LinksUpToDate>
  <CharactersWithSpaces>10570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2025-01-22T07:58:00Z</dcterms:created>
  <dc:creator>Administrator</dc:creator>
  <cp:lastModifiedBy>叶飞舞</cp:lastModifiedBy>
  <cp:lastPrinted>2024-11-21T08:25:00Z</cp:lastPrinted>
  <dcterms:modified xsi:type="dcterms:W3CDTF">2025-07-07T13:04:13Z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881613C7BDB64341844D6B594E0BBFAB_13</vt:lpwstr>
  </property>
  <property fmtid="{D5CDD505-2E9C-101B-9397-08002B2CF9AE}" pid="4" name="KSOTemplateDocerSaveRecord">
    <vt:lpwstr>eyJoZGlkIjoiMTA3ZDY3YzY2ZWQ4ZGM2MWRhY2M5ODkwNGFkZWU0NTciLCJ1c2VySWQiOiIzOTY5MDA3OTEifQ==</vt:lpwstr>
  </property>
</Properties>
</file>