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DA28F">
      <w:pPr>
        <w:jc w:val="left"/>
        <w:rPr>
          <w:rFonts w:ascii="宋体" w:hAnsi="宋体" w:cs="宋体"/>
        </w:rPr>
      </w:pPr>
    </w:p>
    <w:p w14:paraId="26F961B9">
      <w:pPr>
        <w:jc w:val="left"/>
        <w:rPr>
          <w:rFonts w:ascii="宋体" w:hAnsi="宋体" w:cs="宋体"/>
        </w:rPr>
      </w:pPr>
    </w:p>
    <w:p w14:paraId="48FC7E36">
      <w:pPr>
        <w:spacing w:line="1600" w:lineRule="exact"/>
        <w:outlineLvl w:val="0"/>
        <w:rPr>
          <w:rFonts w:ascii="宋体" w:hAnsi="宋体" w:cs="宋体"/>
          <w:sz w:val="130"/>
          <w:szCs w:val="130"/>
        </w:rPr>
      </w:pPr>
    </w:p>
    <w:p w14:paraId="6C2D806A">
      <w:pPr>
        <w:spacing w:line="1600" w:lineRule="exact"/>
        <w:jc w:val="center"/>
        <w:outlineLvl w:val="0"/>
        <w:rPr>
          <w:rFonts w:ascii="宋体" w:hAnsi="宋体" w:cs="宋体"/>
          <w:sz w:val="130"/>
          <w:szCs w:val="130"/>
        </w:rPr>
      </w:pPr>
      <w:bookmarkStart w:id="0" w:name="_Toc29704"/>
      <w:r>
        <w:rPr>
          <w:rFonts w:hint="eastAsia" w:ascii="宋体" w:hAnsi="宋体" w:cs="宋体"/>
          <w:sz w:val="130"/>
          <w:szCs w:val="130"/>
        </w:rPr>
        <w:t>竞争性磋商文件</w:t>
      </w:r>
      <w:bookmarkEnd w:id="0"/>
    </w:p>
    <w:p w14:paraId="3BBB4E6F">
      <w:pPr>
        <w:spacing w:line="700" w:lineRule="exact"/>
        <w:jc w:val="center"/>
        <w:rPr>
          <w:rFonts w:ascii="宋体" w:hAnsi="宋体" w:cs="宋体"/>
          <w:sz w:val="72"/>
          <w:szCs w:val="72"/>
        </w:rPr>
      </w:pPr>
    </w:p>
    <w:p w14:paraId="3FF29A02">
      <w:pPr>
        <w:spacing w:line="700" w:lineRule="exact"/>
        <w:jc w:val="center"/>
        <w:rPr>
          <w:rFonts w:ascii="宋体" w:hAnsi="宋体" w:cs="宋体"/>
          <w:sz w:val="32"/>
        </w:rPr>
      </w:pPr>
    </w:p>
    <w:p w14:paraId="5FD22561">
      <w:pPr>
        <w:pStyle w:val="5"/>
        <w:numPr>
          <w:ilvl w:val="2"/>
          <w:numId w:val="0"/>
        </w:numPr>
        <w:ind w:left="680"/>
        <w:rPr>
          <w:rFonts w:ascii="宋体" w:hAnsi="宋体" w:eastAsia="宋体" w:cs="宋体"/>
        </w:rPr>
      </w:pPr>
    </w:p>
    <w:p w14:paraId="36B74B24">
      <w:pPr>
        <w:rPr>
          <w:rFonts w:ascii="宋体" w:hAnsi="宋体" w:cs="宋体"/>
        </w:rPr>
      </w:pPr>
    </w:p>
    <w:p w14:paraId="35717701">
      <w:pPr>
        <w:spacing w:line="700" w:lineRule="exact"/>
        <w:jc w:val="center"/>
        <w:rPr>
          <w:rFonts w:ascii="宋体" w:hAnsi="宋体" w:cs="宋体"/>
          <w:sz w:val="32"/>
        </w:rPr>
      </w:pPr>
    </w:p>
    <w:p w14:paraId="7AE246A7">
      <w:pPr>
        <w:spacing w:line="360" w:lineRule="auto"/>
        <w:ind w:firstLine="2520" w:firstLineChars="700"/>
        <w:outlineLvl w:val="0"/>
        <w:rPr>
          <w:rFonts w:ascii="宋体" w:hAnsi="宋体" w:cs="宋体"/>
          <w:sz w:val="36"/>
          <w:szCs w:val="36"/>
        </w:rPr>
      </w:pPr>
      <w:bookmarkStart w:id="1" w:name="_Toc23617"/>
      <w:r>
        <w:rPr>
          <w:rFonts w:hint="eastAsia" w:ascii="宋体" w:hAnsi="宋体" w:cs="宋体"/>
          <w:sz w:val="36"/>
          <w:szCs w:val="36"/>
        </w:rPr>
        <w:t>项  目  号：</w:t>
      </w:r>
      <w:bookmarkEnd w:id="1"/>
      <w:r>
        <w:rPr>
          <w:rFonts w:hint="eastAsia" w:ascii="宋体" w:hAnsi="宋体" w:cs="宋体"/>
          <w:sz w:val="36"/>
          <w:szCs w:val="36"/>
        </w:rPr>
        <w:t>JNZX-25C0701</w:t>
      </w:r>
    </w:p>
    <w:p w14:paraId="2F815F30">
      <w:pPr>
        <w:spacing w:line="360" w:lineRule="auto"/>
        <w:outlineLvl w:val="0"/>
        <w:rPr>
          <w:rFonts w:ascii="宋体" w:hAnsi="宋体" w:cs="宋体"/>
          <w:sz w:val="36"/>
          <w:szCs w:val="36"/>
        </w:rPr>
      </w:pPr>
      <w:bookmarkStart w:id="2" w:name="_Toc12603"/>
      <w:r>
        <w:rPr>
          <w:rFonts w:hint="eastAsia" w:ascii="宋体" w:hAnsi="宋体" w:cs="宋体"/>
          <w:sz w:val="36"/>
          <w:szCs w:val="36"/>
        </w:rPr>
        <w:t>磋商项目名称：</w:t>
      </w:r>
      <w:bookmarkEnd w:id="2"/>
      <w:r>
        <w:rPr>
          <w:rFonts w:hint="eastAsia" w:ascii="宋体" w:hAnsi="宋体" w:cs="宋体"/>
          <w:sz w:val="36"/>
          <w:szCs w:val="36"/>
        </w:rPr>
        <w:t>南岸区15分钟高品质生活服务圈实施专项规划</w:t>
      </w:r>
    </w:p>
    <w:p w14:paraId="19C58B89">
      <w:pPr>
        <w:pStyle w:val="34"/>
        <w:rPr>
          <w:rFonts w:ascii="宋体" w:hAnsi="宋体" w:cs="宋体"/>
        </w:rPr>
      </w:pPr>
    </w:p>
    <w:p w14:paraId="276F145E">
      <w:pPr>
        <w:spacing w:line="700" w:lineRule="exact"/>
        <w:rPr>
          <w:rFonts w:ascii="宋体" w:hAnsi="宋体" w:cs="宋体"/>
          <w:b/>
          <w:sz w:val="36"/>
          <w:szCs w:val="36"/>
        </w:rPr>
      </w:pPr>
    </w:p>
    <w:p w14:paraId="07CFD4A6">
      <w:pPr>
        <w:spacing w:line="700" w:lineRule="exact"/>
        <w:rPr>
          <w:rFonts w:ascii="宋体" w:hAnsi="宋体" w:cs="宋体"/>
          <w:b/>
          <w:sz w:val="36"/>
          <w:szCs w:val="36"/>
        </w:rPr>
      </w:pPr>
    </w:p>
    <w:p w14:paraId="3E623F8F">
      <w:pPr>
        <w:spacing w:line="700" w:lineRule="exact"/>
        <w:rPr>
          <w:rFonts w:ascii="宋体" w:hAnsi="宋体" w:cs="宋体"/>
          <w:b/>
          <w:sz w:val="36"/>
          <w:szCs w:val="36"/>
        </w:rPr>
      </w:pPr>
    </w:p>
    <w:p w14:paraId="0304C1D2">
      <w:pPr>
        <w:rPr>
          <w:rFonts w:ascii="宋体" w:hAnsi="宋体" w:cs="宋体"/>
        </w:rPr>
      </w:pPr>
    </w:p>
    <w:p w14:paraId="3D03E553">
      <w:pPr>
        <w:spacing w:line="360" w:lineRule="auto"/>
        <w:ind w:firstLine="1800" w:firstLineChars="500"/>
        <w:outlineLvl w:val="0"/>
        <w:rPr>
          <w:rFonts w:ascii="宋体" w:hAnsi="宋体" w:cs="宋体"/>
          <w:sz w:val="36"/>
          <w:szCs w:val="36"/>
        </w:rPr>
      </w:pPr>
      <w:bookmarkStart w:id="3" w:name="_Toc13197"/>
      <w:r>
        <w:rPr>
          <w:rFonts w:hint="eastAsia" w:ascii="宋体" w:hAnsi="宋体" w:cs="宋体"/>
          <w:sz w:val="36"/>
          <w:szCs w:val="36"/>
        </w:rPr>
        <w:t>采购人：</w:t>
      </w:r>
      <w:bookmarkEnd w:id="3"/>
      <w:bookmarkStart w:id="4" w:name="_Toc27204"/>
      <w:r>
        <w:rPr>
          <w:rFonts w:hint="eastAsia" w:ascii="宋体" w:hAnsi="宋体" w:cs="宋体"/>
          <w:sz w:val="36"/>
          <w:szCs w:val="36"/>
        </w:rPr>
        <w:t>重庆市南岸区规划和自然资源局</w:t>
      </w:r>
    </w:p>
    <w:p w14:paraId="68271227">
      <w:pPr>
        <w:spacing w:line="360" w:lineRule="auto"/>
        <w:ind w:firstLine="1440" w:firstLineChars="400"/>
        <w:outlineLvl w:val="0"/>
        <w:rPr>
          <w:rFonts w:ascii="宋体" w:hAnsi="宋体" w:cs="宋体"/>
          <w:sz w:val="36"/>
          <w:szCs w:val="36"/>
        </w:rPr>
      </w:pPr>
      <w:r>
        <w:rPr>
          <w:rFonts w:hint="eastAsia" w:ascii="宋体" w:hAnsi="宋体" w:cs="宋体"/>
          <w:sz w:val="36"/>
          <w:szCs w:val="36"/>
        </w:rPr>
        <w:t>采购代理机构：</w:t>
      </w:r>
      <w:bookmarkEnd w:id="4"/>
      <w:r>
        <w:rPr>
          <w:rFonts w:hint="eastAsia" w:ascii="宋体" w:hAnsi="宋体" w:cs="宋体"/>
          <w:sz w:val="36"/>
          <w:szCs w:val="36"/>
        </w:rPr>
        <w:t>重庆竣能工程咨询有限公司</w:t>
      </w:r>
    </w:p>
    <w:p w14:paraId="122DF6DC">
      <w:pPr>
        <w:spacing w:line="360" w:lineRule="auto"/>
        <w:jc w:val="center"/>
        <w:outlineLvl w:val="0"/>
        <w:rPr>
          <w:rFonts w:ascii="宋体" w:hAnsi="宋体" w:cs="宋体"/>
          <w:sz w:val="48"/>
          <w:szCs w:val="32"/>
        </w:rPr>
      </w:pPr>
      <w:r>
        <w:rPr>
          <w:rFonts w:hint="eastAsia" w:ascii="宋体" w:hAnsi="宋体" w:cs="宋体"/>
          <w:sz w:val="36"/>
          <w:szCs w:val="36"/>
        </w:rPr>
        <w:t>二〇二五年七月</w:t>
      </w:r>
    </w:p>
    <w:p w14:paraId="1989D228">
      <w:pPr>
        <w:spacing w:line="720" w:lineRule="exact"/>
        <w:jc w:val="center"/>
        <w:outlineLvl w:val="0"/>
        <w:rPr>
          <w:rFonts w:ascii="宋体" w:hAnsi="宋体" w:cs="宋体"/>
          <w:sz w:val="48"/>
          <w:szCs w:val="32"/>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14:paraId="46C2681D">
      <w:pPr>
        <w:spacing w:line="480" w:lineRule="exact"/>
        <w:jc w:val="center"/>
        <w:outlineLvl w:val="0"/>
        <w:rPr>
          <w:rFonts w:ascii="宋体" w:hAnsi="宋体" w:cs="宋体"/>
          <w:sz w:val="44"/>
          <w:szCs w:val="28"/>
        </w:rPr>
      </w:pPr>
      <w:bookmarkStart w:id="5" w:name="_Toc12825"/>
      <w:r>
        <w:rPr>
          <w:rFonts w:hint="eastAsia" w:ascii="宋体" w:hAnsi="宋体" w:cs="宋体"/>
          <w:sz w:val="44"/>
          <w:szCs w:val="28"/>
        </w:rPr>
        <w:t>目   录</w:t>
      </w:r>
    </w:p>
    <w:p w14:paraId="391AF2B1">
      <w:pPr>
        <w:pStyle w:val="24"/>
        <w:tabs>
          <w:tab w:val="right" w:leader="dot" w:pos="9412"/>
        </w:tabs>
        <w:ind w:left="560"/>
      </w:pPr>
      <w:r>
        <w:rPr>
          <w:rFonts w:hint="eastAsia" w:ascii="宋体" w:hAnsi="宋体" w:cs="宋体"/>
          <w:sz w:val="21"/>
          <w:szCs w:val="21"/>
        </w:rPr>
        <w:fldChar w:fldCharType="begin"/>
      </w:r>
      <w:r>
        <w:rPr>
          <w:rFonts w:hint="eastAsia" w:ascii="宋体" w:hAnsi="宋体" w:cs="宋体"/>
          <w:sz w:val="21"/>
          <w:szCs w:val="21"/>
        </w:rPr>
        <w:instrText xml:space="preserve"> TOC \o "1-3" \h \z </w:instrText>
      </w:r>
      <w:r>
        <w:rPr>
          <w:rFonts w:hint="eastAsia" w:ascii="宋体" w:hAnsi="宋体" w:cs="宋体"/>
          <w:sz w:val="21"/>
          <w:szCs w:val="21"/>
        </w:rPr>
        <w:fldChar w:fldCharType="separate"/>
      </w:r>
      <w:r>
        <w:fldChar w:fldCharType="begin"/>
      </w:r>
      <w:r>
        <w:instrText xml:space="preserve"> HYPERLINK \l "_Toc11576" </w:instrText>
      </w:r>
      <w:r>
        <w:fldChar w:fldCharType="separate"/>
      </w:r>
      <w:r>
        <w:rPr>
          <w:rFonts w:hint="eastAsia" w:ascii="宋体" w:hAnsi="宋体" w:cs="宋体"/>
          <w:szCs w:val="30"/>
        </w:rPr>
        <w:t>第一篇  采购邀请书</w:t>
      </w:r>
      <w:r>
        <w:tab/>
      </w:r>
      <w:r>
        <w:fldChar w:fldCharType="begin"/>
      </w:r>
      <w:r>
        <w:instrText xml:space="preserve"> PAGEREF _Toc11576 \h </w:instrText>
      </w:r>
      <w:r>
        <w:fldChar w:fldCharType="separate"/>
      </w:r>
      <w:r>
        <w:t>- 3 -</w:t>
      </w:r>
      <w:r>
        <w:fldChar w:fldCharType="end"/>
      </w:r>
      <w:r>
        <w:fldChar w:fldCharType="end"/>
      </w:r>
    </w:p>
    <w:p w14:paraId="367F2520">
      <w:pPr>
        <w:pStyle w:val="24"/>
        <w:tabs>
          <w:tab w:val="right" w:leader="dot" w:pos="9412"/>
        </w:tabs>
        <w:ind w:left="560"/>
      </w:pPr>
      <w:r>
        <w:fldChar w:fldCharType="begin"/>
      </w:r>
      <w:r>
        <w:instrText xml:space="preserve"> HYPERLINK \l "_Toc24216" </w:instrText>
      </w:r>
      <w:r>
        <w:fldChar w:fldCharType="separate"/>
      </w:r>
      <w:r>
        <w:rPr>
          <w:rFonts w:hint="eastAsia" w:ascii="宋体" w:hAnsi="宋体" w:cs="宋体"/>
        </w:rPr>
        <w:t>一、竞争性磋商内容</w:t>
      </w:r>
      <w:r>
        <w:tab/>
      </w:r>
      <w:r>
        <w:fldChar w:fldCharType="begin"/>
      </w:r>
      <w:r>
        <w:instrText xml:space="preserve"> PAGEREF _Toc24216 \h </w:instrText>
      </w:r>
      <w:r>
        <w:fldChar w:fldCharType="separate"/>
      </w:r>
      <w:r>
        <w:t>- 3 -</w:t>
      </w:r>
      <w:r>
        <w:fldChar w:fldCharType="end"/>
      </w:r>
      <w:r>
        <w:fldChar w:fldCharType="end"/>
      </w:r>
    </w:p>
    <w:p w14:paraId="0C4DD5F5">
      <w:pPr>
        <w:pStyle w:val="24"/>
        <w:tabs>
          <w:tab w:val="right" w:leader="dot" w:pos="9412"/>
        </w:tabs>
        <w:ind w:left="560"/>
      </w:pPr>
      <w:r>
        <w:fldChar w:fldCharType="begin"/>
      </w:r>
      <w:r>
        <w:instrText xml:space="preserve"> HYPERLINK \l "_Toc21169" </w:instrText>
      </w:r>
      <w:r>
        <w:fldChar w:fldCharType="separate"/>
      </w:r>
      <w:r>
        <w:rPr>
          <w:rFonts w:hint="eastAsia" w:ascii="宋体" w:hAnsi="宋体" w:cs="宋体"/>
        </w:rPr>
        <w:t>二、资金来源</w:t>
      </w:r>
      <w:r>
        <w:tab/>
      </w:r>
      <w:r>
        <w:fldChar w:fldCharType="begin"/>
      </w:r>
      <w:r>
        <w:instrText xml:space="preserve"> PAGEREF _Toc21169 \h </w:instrText>
      </w:r>
      <w:r>
        <w:fldChar w:fldCharType="separate"/>
      </w:r>
      <w:r>
        <w:t>- 3 -</w:t>
      </w:r>
      <w:r>
        <w:fldChar w:fldCharType="end"/>
      </w:r>
      <w:r>
        <w:fldChar w:fldCharType="end"/>
      </w:r>
    </w:p>
    <w:p w14:paraId="7AE0A400">
      <w:pPr>
        <w:pStyle w:val="24"/>
        <w:tabs>
          <w:tab w:val="right" w:leader="dot" w:pos="9412"/>
        </w:tabs>
        <w:ind w:left="560"/>
      </w:pPr>
      <w:r>
        <w:fldChar w:fldCharType="begin"/>
      </w:r>
      <w:r>
        <w:instrText xml:space="preserve"> HYPERLINK \l "_Toc32553" </w:instrText>
      </w:r>
      <w:r>
        <w:fldChar w:fldCharType="separate"/>
      </w:r>
      <w:r>
        <w:rPr>
          <w:rFonts w:hint="eastAsia" w:ascii="宋体" w:hAnsi="宋体" w:cs="宋体"/>
        </w:rPr>
        <w:t>三、供应商资格条件</w:t>
      </w:r>
      <w:r>
        <w:tab/>
      </w:r>
      <w:r>
        <w:fldChar w:fldCharType="begin"/>
      </w:r>
      <w:r>
        <w:instrText xml:space="preserve"> PAGEREF _Toc32553 \h </w:instrText>
      </w:r>
      <w:r>
        <w:fldChar w:fldCharType="separate"/>
      </w:r>
      <w:r>
        <w:t>- 3 -</w:t>
      </w:r>
      <w:r>
        <w:fldChar w:fldCharType="end"/>
      </w:r>
      <w:r>
        <w:fldChar w:fldCharType="end"/>
      </w:r>
    </w:p>
    <w:p w14:paraId="67B7B17C">
      <w:pPr>
        <w:pStyle w:val="24"/>
        <w:tabs>
          <w:tab w:val="right" w:leader="dot" w:pos="9412"/>
        </w:tabs>
        <w:ind w:left="560"/>
      </w:pPr>
      <w:r>
        <w:fldChar w:fldCharType="begin"/>
      </w:r>
      <w:r>
        <w:instrText xml:space="preserve"> HYPERLINK \l "_Toc15144" </w:instrText>
      </w:r>
      <w:r>
        <w:fldChar w:fldCharType="separate"/>
      </w:r>
      <w:r>
        <w:rPr>
          <w:rFonts w:hint="eastAsia" w:ascii="宋体" w:hAnsi="宋体" w:cs="宋体"/>
        </w:rPr>
        <w:t>四、磋商有关说明</w:t>
      </w:r>
      <w:r>
        <w:tab/>
      </w:r>
      <w:r>
        <w:fldChar w:fldCharType="begin"/>
      </w:r>
      <w:r>
        <w:instrText xml:space="preserve"> PAGEREF _Toc15144 \h </w:instrText>
      </w:r>
      <w:r>
        <w:fldChar w:fldCharType="separate"/>
      </w:r>
      <w:r>
        <w:t>- 3 -</w:t>
      </w:r>
      <w:r>
        <w:fldChar w:fldCharType="end"/>
      </w:r>
      <w:r>
        <w:fldChar w:fldCharType="end"/>
      </w:r>
    </w:p>
    <w:p w14:paraId="1CA33557">
      <w:pPr>
        <w:pStyle w:val="24"/>
        <w:tabs>
          <w:tab w:val="right" w:leader="dot" w:pos="9412"/>
        </w:tabs>
        <w:ind w:left="560"/>
      </w:pPr>
      <w:r>
        <w:fldChar w:fldCharType="begin"/>
      </w:r>
      <w:r>
        <w:instrText xml:space="preserve"> HYPERLINK \l "_Toc28647" </w:instrText>
      </w:r>
      <w:r>
        <w:fldChar w:fldCharType="separate"/>
      </w:r>
      <w:r>
        <w:rPr>
          <w:rFonts w:hint="eastAsia" w:ascii="宋体" w:hAnsi="宋体" w:cs="宋体"/>
        </w:rPr>
        <w:t>五、采购项目需落实的政府采购政策</w:t>
      </w:r>
      <w:r>
        <w:tab/>
      </w:r>
      <w:r>
        <w:fldChar w:fldCharType="begin"/>
      </w:r>
      <w:r>
        <w:instrText xml:space="preserve"> PAGEREF _Toc28647 \h </w:instrText>
      </w:r>
      <w:r>
        <w:fldChar w:fldCharType="separate"/>
      </w:r>
      <w:r>
        <w:t>- 4 -</w:t>
      </w:r>
      <w:r>
        <w:fldChar w:fldCharType="end"/>
      </w:r>
      <w:r>
        <w:fldChar w:fldCharType="end"/>
      </w:r>
    </w:p>
    <w:p w14:paraId="51F4A3AC">
      <w:pPr>
        <w:pStyle w:val="24"/>
        <w:tabs>
          <w:tab w:val="right" w:leader="dot" w:pos="9412"/>
        </w:tabs>
        <w:ind w:left="560"/>
      </w:pPr>
      <w:r>
        <w:fldChar w:fldCharType="begin"/>
      </w:r>
      <w:r>
        <w:instrText xml:space="preserve"> HYPERLINK \l "_Toc20644" </w:instrText>
      </w:r>
      <w:r>
        <w:fldChar w:fldCharType="separate"/>
      </w:r>
      <w:r>
        <w:rPr>
          <w:rFonts w:hint="eastAsia" w:ascii="宋体" w:hAnsi="宋体" w:cs="宋体"/>
        </w:rPr>
        <w:t>六、其它有关规定</w:t>
      </w:r>
      <w:r>
        <w:tab/>
      </w:r>
      <w:r>
        <w:fldChar w:fldCharType="begin"/>
      </w:r>
      <w:r>
        <w:instrText xml:space="preserve"> PAGEREF _Toc20644 \h </w:instrText>
      </w:r>
      <w:r>
        <w:fldChar w:fldCharType="separate"/>
      </w:r>
      <w:r>
        <w:t>- 4 -</w:t>
      </w:r>
      <w:r>
        <w:fldChar w:fldCharType="end"/>
      </w:r>
      <w:r>
        <w:fldChar w:fldCharType="end"/>
      </w:r>
    </w:p>
    <w:p w14:paraId="34F6CEE7">
      <w:pPr>
        <w:pStyle w:val="24"/>
        <w:tabs>
          <w:tab w:val="right" w:leader="dot" w:pos="9412"/>
        </w:tabs>
        <w:ind w:left="560"/>
      </w:pPr>
      <w:r>
        <w:fldChar w:fldCharType="begin"/>
      </w:r>
      <w:r>
        <w:instrText xml:space="preserve"> HYPERLINK \l "_Toc17904" </w:instrText>
      </w:r>
      <w:r>
        <w:fldChar w:fldCharType="separate"/>
      </w:r>
      <w:r>
        <w:rPr>
          <w:rFonts w:hint="eastAsia" w:ascii="宋体" w:hAnsi="宋体" w:cs="宋体"/>
        </w:rPr>
        <w:t>七、联系方式</w:t>
      </w:r>
      <w:r>
        <w:tab/>
      </w:r>
      <w:r>
        <w:fldChar w:fldCharType="begin"/>
      </w:r>
      <w:r>
        <w:instrText xml:space="preserve"> PAGEREF _Toc17904 \h </w:instrText>
      </w:r>
      <w:r>
        <w:fldChar w:fldCharType="separate"/>
      </w:r>
      <w:r>
        <w:t>- 4 -</w:t>
      </w:r>
      <w:r>
        <w:fldChar w:fldCharType="end"/>
      </w:r>
      <w:r>
        <w:fldChar w:fldCharType="end"/>
      </w:r>
    </w:p>
    <w:p w14:paraId="7DC9E9E8">
      <w:pPr>
        <w:pStyle w:val="24"/>
        <w:tabs>
          <w:tab w:val="right" w:leader="dot" w:pos="9412"/>
        </w:tabs>
        <w:ind w:left="560"/>
      </w:pPr>
      <w:r>
        <w:fldChar w:fldCharType="begin"/>
      </w:r>
      <w:r>
        <w:instrText xml:space="preserve"> HYPERLINK \l "_Toc8760" </w:instrText>
      </w:r>
      <w:r>
        <w:fldChar w:fldCharType="separate"/>
      </w:r>
      <w:r>
        <w:rPr>
          <w:rFonts w:hint="eastAsia" w:ascii="宋体" w:hAnsi="宋体" w:cs="宋体"/>
          <w:szCs w:val="30"/>
        </w:rPr>
        <w:t>第二篇  项目服务需求</w:t>
      </w:r>
      <w:r>
        <w:tab/>
      </w:r>
      <w:r>
        <w:fldChar w:fldCharType="begin"/>
      </w:r>
      <w:r>
        <w:instrText xml:space="preserve"> PAGEREF _Toc8760 \h </w:instrText>
      </w:r>
      <w:r>
        <w:fldChar w:fldCharType="separate"/>
      </w:r>
      <w:r>
        <w:t>- 6 -</w:t>
      </w:r>
      <w:r>
        <w:fldChar w:fldCharType="end"/>
      </w:r>
      <w:r>
        <w:fldChar w:fldCharType="end"/>
      </w:r>
    </w:p>
    <w:p w14:paraId="136012ED">
      <w:pPr>
        <w:pStyle w:val="24"/>
        <w:tabs>
          <w:tab w:val="right" w:leader="dot" w:pos="9412"/>
        </w:tabs>
        <w:ind w:left="560"/>
      </w:pPr>
      <w:r>
        <w:fldChar w:fldCharType="begin"/>
      </w:r>
      <w:r>
        <w:instrText xml:space="preserve"> HYPERLINK \l "_Toc4296" </w:instrText>
      </w:r>
      <w:r>
        <w:fldChar w:fldCharType="separate"/>
      </w:r>
      <w:r>
        <w:rPr>
          <w:rFonts w:hint="eastAsia" w:ascii="宋体" w:hAnsi="宋体" w:cs="宋体"/>
        </w:rPr>
        <w:t>一、项目一览表</w:t>
      </w:r>
      <w:r>
        <w:tab/>
      </w:r>
      <w:r>
        <w:fldChar w:fldCharType="begin"/>
      </w:r>
      <w:r>
        <w:instrText xml:space="preserve"> PAGEREF _Toc4296 \h </w:instrText>
      </w:r>
      <w:r>
        <w:fldChar w:fldCharType="separate"/>
      </w:r>
      <w:r>
        <w:t>- 6 -</w:t>
      </w:r>
      <w:r>
        <w:fldChar w:fldCharType="end"/>
      </w:r>
      <w:r>
        <w:fldChar w:fldCharType="end"/>
      </w:r>
    </w:p>
    <w:p w14:paraId="3EBBA0AC">
      <w:pPr>
        <w:pStyle w:val="24"/>
        <w:tabs>
          <w:tab w:val="right" w:leader="dot" w:pos="9412"/>
        </w:tabs>
        <w:ind w:left="560"/>
      </w:pPr>
      <w:r>
        <w:fldChar w:fldCharType="begin"/>
      </w:r>
      <w:r>
        <w:instrText xml:space="preserve"> HYPERLINK \l "_Toc21264" </w:instrText>
      </w:r>
      <w:r>
        <w:fldChar w:fldCharType="separate"/>
      </w:r>
      <w:r>
        <w:rPr>
          <w:rFonts w:hint="eastAsia" w:ascii="宋体" w:hAnsi="宋体" w:cs="宋体"/>
        </w:rPr>
        <w:t>二、技术标准</w:t>
      </w:r>
      <w:r>
        <w:tab/>
      </w:r>
      <w:r>
        <w:fldChar w:fldCharType="begin"/>
      </w:r>
      <w:r>
        <w:instrText xml:space="preserve"> PAGEREF _Toc21264 \h </w:instrText>
      </w:r>
      <w:r>
        <w:fldChar w:fldCharType="separate"/>
      </w:r>
      <w:r>
        <w:t>- 6 -</w:t>
      </w:r>
      <w:r>
        <w:fldChar w:fldCharType="end"/>
      </w:r>
      <w:r>
        <w:fldChar w:fldCharType="end"/>
      </w:r>
    </w:p>
    <w:p w14:paraId="0FCF237A">
      <w:pPr>
        <w:pStyle w:val="24"/>
        <w:tabs>
          <w:tab w:val="right" w:leader="dot" w:pos="9412"/>
        </w:tabs>
        <w:ind w:left="560"/>
      </w:pPr>
      <w:r>
        <w:fldChar w:fldCharType="begin"/>
      </w:r>
      <w:r>
        <w:instrText xml:space="preserve"> HYPERLINK \l "_Toc22977" </w:instrText>
      </w:r>
      <w:r>
        <w:fldChar w:fldCharType="separate"/>
      </w:r>
      <w:r>
        <w:rPr>
          <w:rFonts w:hint="eastAsia" w:ascii="宋体" w:hAnsi="宋体" w:cs="宋体"/>
          <w:szCs w:val="30"/>
        </w:rPr>
        <w:t>第三篇  项目商务需求</w:t>
      </w:r>
      <w:r>
        <w:tab/>
      </w:r>
      <w:r>
        <w:fldChar w:fldCharType="begin"/>
      </w:r>
      <w:r>
        <w:instrText xml:space="preserve"> PAGEREF _Toc22977 \h </w:instrText>
      </w:r>
      <w:r>
        <w:fldChar w:fldCharType="separate"/>
      </w:r>
      <w:r>
        <w:t>- 7 -</w:t>
      </w:r>
      <w:r>
        <w:fldChar w:fldCharType="end"/>
      </w:r>
      <w:r>
        <w:fldChar w:fldCharType="end"/>
      </w:r>
    </w:p>
    <w:p w14:paraId="53B66605">
      <w:pPr>
        <w:pStyle w:val="24"/>
        <w:tabs>
          <w:tab w:val="right" w:leader="dot" w:pos="9412"/>
        </w:tabs>
        <w:ind w:left="560"/>
      </w:pPr>
      <w:r>
        <w:fldChar w:fldCharType="begin"/>
      </w:r>
      <w:r>
        <w:instrText xml:space="preserve"> HYPERLINK \l "_Toc14015" </w:instrText>
      </w:r>
      <w:r>
        <w:fldChar w:fldCharType="separate"/>
      </w:r>
      <w:r>
        <w:rPr>
          <w:rFonts w:hint="eastAsia" w:ascii="宋体" w:hAnsi="宋体" w:cs="宋体"/>
          <w:szCs w:val="24"/>
        </w:rPr>
        <w:t>一、</w:t>
      </w:r>
      <w:r>
        <w:rPr>
          <w:rFonts w:hint="eastAsia" w:ascii="宋体" w:hAnsi="宋体" w:cs="宋体"/>
        </w:rPr>
        <w:t>服务期、服务地点、验收方式</w:t>
      </w:r>
      <w:r>
        <w:tab/>
      </w:r>
      <w:r>
        <w:fldChar w:fldCharType="begin"/>
      </w:r>
      <w:r>
        <w:instrText xml:space="preserve"> PAGEREF _Toc14015 \h </w:instrText>
      </w:r>
      <w:r>
        <w:fldChar w:fldCharType="separate"/>
      </w:r>
      <w:r>
        <w:t>- 7 -</w:t>
      </w:r>
      <w:r>
        <w:fldChar w:fldCharType="end"/>
      </w:r>
      <w:r>
        <w:fldChar w:fldCharType="end"/>
      </w:r>
    </w:p>
    <w:p w14:paraId="02329A75">
      <w:pPr>
        <w:pStyle w:val="24"/>
        <w:tabs>
          <w:tab w:val="right" w:leader="dot" w:pos="9412"/>
        </w:tabs>
        <w:ind w:left="560"/>
      </w:pPr>
      <w:r>
        <w:fldChar w:fldCharType="begin"/>
      </w:r>
      <w:r>
        <w:instrText xml:space="preserve"> HYPERLINK \l "_Toc32645" </w:instrText>
      </w:r>
      <w:r>
        <w:fldChar w:fldCharType="separate"/>
      </w:r>
      <w:r>
        <w:rPr>
          <w:rFonts w:hint="eastAsia" w:ascii="宋体" w:hAnsi="宋体" w:cs="宋体"/>
          <w:szCs w:val="24"/>
        </w:rPr>
        <w:t>二、报价要求</w:t>
      </w:r>
      <w:r>
        <w:tab/>
      </w:r>
      <w:r>
        <w:fldChar w:fldCharType="begin"/>
      </w:r>
      <w:r>
        <w:instrText xml:space="preserve"> PAGEREF _Toc32645 \h </w:instrText>
      </w:r>
      <w:r>
        <w:fldChar w:fldCharType="separate"/>
      </w:r>
      <w:r>
        <w:t>- 7 -</w:t>
      </w:r>
      <w:r>
        <w:fldChar w:fldCharType="end"/>
      </w:r>
      <w:r>
        <w:fldChar w:fldCharType="end"/>
      </w:r>
    </w:p>
    <w:p w14:paraId="73A9B9AD">
      <w:pPr>
        <w:pStyle w:val="24"/>
        <w:tabs>
          <w:tab w:val="right" w:leader="dot" w:pos="9412"/>
        </w:tabs>
        <w:ind w:left="560"/>
      </w:pPr>
      <w:r>
        <w:fldChar w:fldCharType="begin"/>
      </w:r>
      <w:r>
        <w:instrText xml:space="preserve"> HYPERLINK \l "_Toc11555" </w:instrText>
      </w:r>
      <w:r>
        <w:fldChar w:fldCharType="separate"/>
      </w:r>
      <w:r>
        <w:rPr>
          <w:rFonts w:hint="eastAsia" w:ascii="宋体" w:hAnsi="宋体" w:cs="宋体"/>
          <w:szCs w:val="24"/>
        </w:rPr>
        <w:t>三、付款方式</w:t>
      </w:r>
      <w:r>
        <w:tab/>
      </w:r>
      <w:r>
        <w:fldChar w:fldCharType="begin"/>
      </w:r>
      <w:r>
        <w:instrText xml:space="preserve"> PAGEREF _Toc11555 \h </w:instrText>
      </w:r>
      <w:r>
        <w:fldChar w:fldCharType="separate"/>
      </w:r>
      <w:r>
        <w:t>- 7 -</w:t>
      </w:r>
      <w:r>
        <w:fldChar w:fldCharType="end"/>
      </w:r>
      <w:r>
        <w:fldChar w:fldCharType="end"/>
      </w:r>
    </w:p>
    <w:p w14:paraId="7E80B03E">
      <w:pPr>
        <w:pStyle w:val="24"/>
        <w:tabs>
          <w:tab w:val="right" w:leader="dot" w:pos="9412"/>
        </w:tabs>
        <w:ind w:left="560"/>
      </w:pPr>
      <w:r>
        <w:fldChar w:fldCharType="begin"/>
      </w:r>
      <w:r>
        <w:instrText xml:space="preserve"> HYPERLINK \l "_Toc22251" </w:instrText>
      </w:r>
      <w:r>
        <w:fldChar w:fldCharType="separate"/>
      </w:r>
      <w:r>
        <w:rPr>
          <w:rFonts w:hint="eastAsia" w:ascii="宋体" w:hAnsi="宋体" w:cs="宋体"/>
          <w:szCs w:val="24"/>
        </w:rPr>
        <w:t>四、售后服务及质量保</w:t>
      </w:r>
      <w:r>
        <w:tab/>
      </w:r>
      <w:r>
        <w:fldChar w:fldCharType="begin"/>
      </w:r>
      <w:r>
        <w:instrText xml:space="preserve"> PAGEREF _Toc22251 \h </w:instrText>
      </w:r>
      <w:r>
        <w:fldChar w:fldCharType="separate"/>
      </w:r>
      <w:r>
        <w:t>- 7 -</w:t>
      </w:r>
      <w:r>
        <w:fldChar w:fldCharType="end"/>
      </w:r>
      <w:r>
        <w:fldChar w:fldCharType="end"/>
      </w:r>
    </w:p>
    <w:p w14:paraId="18141134">
      <w:pPr>
        <w:pStyle w:val="24"/>
        <w:tabs>
          <w:tab w:val="right" w:leader="dot" w:pos="9412"/>
        </w:tabs>
        <w:ind w:left="560"/>
      </w:pPr>
      <w:r>
        <w:fldChar w:fldCharType="begin"/>
      </w:r>
      <w:r>
        <w:instrText xml:space="preserve"> HYPERLINK \l "_Toc8801" </w:instrText>
      </w:r>
      <w:r>
        <w:fldChar w:fldCharType="separate"/>
      </w:r>
      <w:r>
        <w:rPr>
          <w:rFonts w:hint="eastAsia" w:ascii="宋体" w:hAnsi="宋体" w:cs="宋体"/>
          <w:szCs w:val="24"/>
        </w:rPr>
        <w:t>五、知识产权</w:t>
      </w:r>
      <w:r>
        <w:tab/>
      </w:r>
      <w:r>
        <w:fldChar w:fldCharType="begin"/>
      </w:r>
      <w:r>
        <w:instrText xml:space="preserve"> PAGEREF _Toc8801 \h </w:instrText>
      </w:r>
      <w:r>
        <w:fldChar w:fldCharType="separate"/>
      </w:r>
      <w:r>
        <w:t>- 8 -</w:t>
      </w:r>
      <w:r>
        <w:fldChar w:fldCharType="end"/>
      </w:r>
      <w:r>
        <w:fldChar w:fldCharType="end"/>
      </w:r>
    </w:p>
    <w:p w14:paraId="7DA0C75B">
      <w:pPr>
        <w:pStyle w:val="24"/>
        <w:tabs>
          <w:tab w:val="right" w:leader="dot" w:pos="9412"/>
        </w:tabs>
        <w:ind w:left="560"/>
      </w:pPr>
      <w:r>
        <w:fldChar w:fldCharType="begin"/>
      </w:r>
      <w:r>
        <w:instrText xml:space="preserve"> HYPERLINK \l "_Toc897" </w:instrText>
      </w:r>
      <w:r>
        <w:fldChar w:fldCharType="separate"/>
      </w:r>
      <w:r>
        <w:rPr>
          <w:rFonts w:hint="eastAsia" w:ascii="宋体" w:hAnsi="宋体" w:cs="宋体"/>
          <w:szCs w:val="24"/>
        </w:rPr>
        <w:t>六、其他</w:t>
      </w:r>
      <w:r>
        <w:tab/>
      </w:r>
      <w:r>
        <w:fldChar w:fldCharType="begin"/>
      </w:r>
      <w:r>
        <w:instrText xml:space="preserve"> PAGEREF _Toc897 \h </w:instrText>
      </w:r>
      <w:r>
        <w:fldChar w:fldCharType="separate"/>
      </w:r>
      <w:r>
        <w:t>- 8 -</w:t>
      </w:r>
      <w:r>
        <w:fldChar w:fldCharType="end"/>
      </w:r>
      <w:r>
        <w:fldChar w:fldCharType="end"/>
      </w:r>
    </w:p>
    <w:p w14:paraId="15B3D0CD">
      <w:pPr>
        <w:pStyle w:val="24"/>
        <w:tabs>
          <w:tab w:val="right" w:leader="dot" w:pos="9412"/>
        </w:tabs>
        <w:ind w:left="560"/>
      </w:pPr>
      <w:r>
        <w:fldChar w:fldCharType="begin"/>
      </w:r>
      <w:r>
        <w:instrText xml:space="preserve"> HYPERLINK \l "_Toc31686" </w:instrText>
      </w:r>
      <w:r>
        <w:fldChar w:fldCharType="separate"/>
      </w:r>
      <w:r>
        <w:rPr>
          <w:rFonts w:hint="eastAsia" w:ascii="宋体" w:hAnsi="宋体" w:cs="宋体"/>
          <w:szCs w:val="30"/>
        </w:rPr>
        <w:t>第四篇  磋商程序及方法、评审标准、无效响应和</w:t>
      </w:r>
      <w:r>
        <w:rPr>
          <w:rFonts w:hint="eastAsia" w:ascii="宋体" w:hAnsi="宋体" w:cs="宋体"/>
          <w:szCs w:val="36"/>
        </w:rPr>
        <w:t>采购终止</w:t>
      </w:r>
      <w:r>
        <w:tab/>
      </w:r>
      <w:r>
        <w:fldChar w:fldCharType="begin"/>
      </w:r>
      <w:r>
        <w:instrText xml:space="preserve"> PAGEREF _Toc31686 \h </w:instrText>
      </w:r>
      <w:r>
        <w:fldChar w:fldCharType="separate"/>
      </w:r>
      <w:r>
        <w:t>- 9 -</w:t>
      </w:r>
      <w:r>
        <w:fldChar w:fldCharType="end"/>
      </w:r>
      <w:r>
        <w:fldChar w:fldCharType="end"/>
      </w:r>
    </w:p>
    <w:p w14:paraId="52A414CC">
      <w:pPr>
        <w:pStyle w:val="24"/>
        <w:tabs>
          <w:tab w:val="right" w:leader="dot" w:pos="9412"/>
        </w:tabs>
        <w:ind w:left="560"/>
      </w:pPr>
      <w:r>
        <w:fldChar w:fldCharType="begin"/>
      </w:r>
      <w:r>
        <w:instrText xml:space="preserve"> HYPERLINK \l "_Toc19834" </w:instrText>
      </w:r>
      <w:r>
        <w:fldChar w:fldCharType="separate"/>
      </w:r>
      <w:r>
        <w:rPr>
          <w:rFonts w:hint="eastAsia" w:ascii="宋体" w:hAnsi="宋体" w:cs="宋体"/>
        </w:rPr>
        <w:t>一、磋商程序及方法</w:t>
      </w:r>
      <w:r>
        <w:tab/>
      </w:r>
      <w:r>
        <w:fldChar w:fldCharType="begin"/>
      </w:r>
      <w:r>
        <w:instrText xml:space="preserve"> PAGEREF _Toc19834 \h </w:instrText>
      </w:r>
      <w:r>
        <w:fldChar w:fldCharType="separate"/>
      </w:r>
      <w:r>
        <w:t>- 9 -</w:t>
      </w:r>
      <w:r>
        <w:fldChar w:fldCharType="end"/>
      </w:r>
      <w:r>
        <w:fldChar w:fldCharType="end"/>
      </w:r>
    </w:p>
    <w:p w14:paraId="000AF89A">
      <w:pPr>
        <w:pStyle w:val="24"/>
        <w:tabs>
          <w:tab w:val="right" w:leader="dot" w:pos="9412"/>
        </w:tabs>
        <w:ind w:left="560"/>
      </w:pPr>
      <w:r>
        <w:fldChar w:fldCharType="begin"/>
      </w:r>
      <w:r>
        <w:instrText xml:space="preserve"> HYPERLINK \l "_Toc16518" </w:instrText>
      </w:r>
      <w:r>
        <w:fldChar w:fldCharType="separate"/>
      </w:r>
      <w:r>
        <w:rPr>
          <w:rFonts w:hint="eastAsia" w:ascii="宋体" w:hAnsi="宋体" w:cs="宋体"/>
        </w:rPr>
        <w:t>二、评审标准</w:t>
      </w:r>
      <w:r>
        <w:tab/>
      </w:r>
      <w:r>
        <w:fldChar w:fldCharType="begin"/>
      </w:r>
      <w:r>
        <w:instrText xml:space="preserve"> PAGEREF _Toc16518 \h </w:instrText>
      </w:r>
      <w:r>
        <w:fldChar w:fldCharType="separate"/>
      </w:r>
      <w:r>
        <w:t>- 11 -</w:t>
      </w:r>
      <w:r>
        <w:fldChar w:fldCharType="end"/>
      </w:r>
      <w:r>
        <w:fldChar w:fldCharType="end"/>
      </w:r>
    </w:p>
    <w:p w14:paraId="353E64E5">
      <w:pPr>
        <w:pStyle w:val="24"/>
        <w:tabs>
          <w:tab w:val="right" w:leader="dot" w:pos="9412"/>
        </w:tabs>
        <w:ind w:left="560"/>
      </w:pPr>
      <w:r>
        <w:fldChar w:fldCharType="begin"/>
      </w:r>
      <w:r>
        <w:instrText xml:space="preserve"> HYPERLINK \l "_Toc10199" </w:instrText>
      </w:r>
      <w:r>
        <w:fldChar w:fldCharType="separate"/>
      </w:r>
      <w:r>
        <w:rPr>
          <w:rFonts w:hint="eastAsia" w:ascii="宋体" w:hAnsi="宋体" w:cs="宋体"/>
        </w:rPr>
        <w:t>三、无效响应</w:t>
      </w:r>
      <w:r>
        <w:tab/>
      </w:r>
      <w:r>
        <w:fldChar w:fldCharType="begin"/>
      </w:r>
      <w:r>
        <w:instrText xml:space="preserve"> PAGEREF _Toc10199 \h </w:instrText>
      </w:r>
      <w:r>
        <w:fldChar w:fldCharType="separate"/>
      </w:r>
      <w:r>
        <w:t>- 13 -</w:t>
      </w:r>
      <w:r>
        <w:fldChar w:fldCharType="end"/>
      </w:r>
      <w:r>
        <w:fldChar w:fldCharType="end"/>
      </w:r>
    </w:p>
    <w:p w14:paraId="332D93E3">
      <w:pPr>
        <w:pStyle w:val="24"/>
        <w:tabs>
          <w:tab w:val="right" w:leader="dot" w:pos="9412"/>
        </w:tabs>
        <w:ind w:left="560"/>
      </w:pPr>
      <w:r>
        <w:fldChar w:fldCharType="begin"/>
      </w:r>
      <w:r>
        <w:instrText xml:space="preserve"> HYPERLINK \l "_Toc1466" </w:instrText>
      </w:r>
      <w:r>
        <w:fldChar w:fldCharType="separate"/>
      </w:r>
      <w:r>
        <w:rPr>
          <w:rFonts w:hint="eastAsia" w:ascii="宋体" w:hAnsi="宋体" w:cs="宋体"/>
        </w:rPr>
        <w:t>四、采购终止</w:t>
      </w:r>
      <w:r>
        <w:tab/>
      </w:r>
      <w:r>
        <w:fldChar w:fldCharType="begin"/>
      </w:r>
      <w:r>
        <w:instrText xml:space="preserve"> PAGEREF _Toc1466 \h </w:instrText>
      </w:r>
      <w:r>
        <w:fldChar w:fldCharType="separate"/>
      </w:r>
      <w:r>
        <w:t>- 13 -</w:t>
      </w:r>
      <w:r>
        <w:fldChar w:fldCharType="end"/>
      </w:r>
      <w:r>
        <w:fldChar w:fldCharType="end"/>
      </w:r>
    </w:p>
    <w:p w14:paraId="515C6AAE">
      <w:pPr>
        <w:pStyle w:val="24"/>
        <w:tabs>
          <w:tab w:val="right" w:leader="dot" w:pos="9412"/>
        </w:tabs>
        <w:ind w:left="560"/>
      </w:pPr>
      <w:r>
        <w:fldChar w:fldCharType="begin"/>
      </w:r>
      <w:r>
        <w:instrText xml:space="preserve"> HYPERLINK \l "_Toc28929" </w:instrText>
      </w:r>
      <w:r>
        <w:fldChar w:fldCharType="separate"/>
      </w:r>
      <w:r>
        <w:rPr>
          <w:rFonts w:hint="eastAsia" w:ascii="宋体" w:hAnsi="宋体" w:cs="宋体"/>
          <w:szCs w:val="30"/>
        </w:rPr>
        <w:t>第五篇  供应商须知</w:t>
      </w:r>
      <w:r>
        <w:tab/>
      </w:r>
      <w:r>
        <w:fldChar w:fldCharType="begin"/>
      </w:r>
      <w:r>
        <w:instrText xml:space="preserve"> PAGEREF _Toc28929 \h </w:instrText>
      </w:r>
      <w:r>
        <w:fldChar w:fldCharType="separate"/>
      </w:r>
      <w:r>
        <w:t>- 15 -</w:t>
      </w:r>
      <w:r>
        <w:fldChar w:fldCharType="end"/>
      </w:r>
      <w:r>
        <w:fldChar w:fldCharType="end"/>
      </w:r>
    </w:p>
    <w:p w14:paraId="36ED3B09">
      <w:pPr>
        <w:pStyle w:val="24"/>
        <w:tabs>
          <w:tab w:val="right" w:leader="dot" w:pos="9412"/>
        </w:tabs>
        <w:ind w:left="560"/>
      </w:pPr>
      <w:r>
        <w:fldChar w:fldCharType="begin"/>
      </w:r>
      <w:r>
        <w:instrText xml:space="preserve"> HYPERLINK \l "_Toc7946" </w:instrText>
      </w:r>
      <w:r>
        <w:fldChar w:fldCharType="separate"/>
      </w:r>
      <w:r>
        <w:rPr>
          <w:rFonts w:hint="eastAsia" w:ascii="宋体" w:hAnsi="宋体" w:cs="宋体"/>
        </w:rPr>
        <w:t>一、磋商费用</w:t>
      </w:r>
      <w:r>
        <w:tab/>
      </w:r>
      <w:r>
        <w:fldChar w:fldCharType="begin"/>
      </w:r>
      <w:r>
        <w:instrText xml:space="preserve"> PAGEREF _Toc7946 \h </w:instrText>
      </w:r>
      <w:r>
        <w:fldChar w:fldCharType="separate"/>
      </w:r>
      <w:r>
        <w:t>- 15 -</w:t>
      </w:r>
      <w:r>
        <w:fldChar w:fldCharType="end"/>
      </w:r>
      <w:r>
        <w:fldChar w:fldCharType="end"/>
      </w:r>
    </w:p>
    <w:p w14:paraId="1DDB20C4">
      <w:pPr>
        <w:pStyle w:val="24"/>
        <w:tabs>
          <w:tab w:val="right" w:leader="dot" w:pos="9412"/>
        </w:tabs>
        <w:ind w:left="560"/>
      </w:pPr>
      <w:r>
        <w:fldChar w:fldCharType="begin"/>
      </w:r>
      <w:r>
        <w:instrText xml:space="preserve"> HYPERLINK \l "_Toc2366" </w:instrText>
      </w:r>
      <w:r>
        <w:fldChar w:fldCharType="separate"/>
      </w:r>
      <w:r>
        <w:rPr>
          <w:rFonts w:hint="eastAsia" w:ascii="宋体" w:hAnsi="宋体" w:cs="宋体"/>
        </w:rPr>
        <w:t>二、竞争性磋商文件</w:t>
      </w:r>
      <w:r>
        <w:tab/>
      </w:r>
      <w:r>
        <w:fldChar w:fldCharType="begin"/>
      </w:r>
      <w:r>
        <w:instrText xml:space="preserve"> PAGEREF _Toc2366 \h </w:instrText>
      </w:r>
      <w:r>
        <w:fldChar w:fldCharType="separate"/>
      </w:r>
      <w:r>
        <w:t>- 15 -</w:t>
      </w:r>
      <w:r>
        <w:fldChar w:fldCharType="end"/>
      </w:r>
      <w:r>
        <w:fldChar w:fldCharType="end"/>
      </w:r>
    </w:p>
    <w:p w14:paraId="06D4DB9E">
      <w:pPr>
        <w:pStyle w:val="24"/>
        <w:tabs>
          <w:tab w:val="right" w:leader="dot" w:pos="9412"/>
        </w:tabs>
        <w:ind w:left="560"/>
      </w:pPr>
      <w:r>
        <w:fldChar w:fldCharType="begin"/>
      </w:r>
      <w:r>
        <w:instrText xml:space="preserve"> HYPERLINK \l "_Toc25062" </w:instrText>
      </w:r>
      <w:r>
        <w:fldChar w:fldCharType="separate"/>
      </w:r>
      <w:r>
        <w:rPr>
          <w:rFonts w:hint="eastAsia" w:ascii="宋体" w:hAnsi="宋体" w:cs="宋体"/>
        </w:rPr>
        <w:t>三、磋商要求</w:t>
      </w:r>
      <w:r>
        <w:tab/>
      </w:r>
      <w:r>
        <w:fldChar w:fldCharType="begin"/>
      </w:r>
      <w:r>
        <w:instrText xml:space="preserve"> PAGEREF _Toc25062 \h </w:instrText>
      </w:r>
      <w:r>
        <w:fldChar w:fldCharType="separate"/>
      </w:r>
      <w:r>
        <w:t>- 15 -</w:t>
      </w:r>
      <w:r>
        <w:fldChar w:fldCharType="end"/>
      </w:r>
      <w:r>
        <w:fldChar w:fldCharType="end"/>
      </w:r>
    </w:p>
    <w:p w14:paraId="132335D2">
      <w:pPr>
        <w:pStyle w:val="24"/>
        <w:tabs>
          <w:tab w:val="right" w:leader="dot" w:pos="9412"/>
        </w:tabs>
        <w:ind w:left="560"/>
      </w:pPr>
      <w:r>
        <w:fldChar w:fldCharType="begin"/>
      </w:r>
      <w:r>
        <w:instrText xml:space="preserve"> HYPERLINK \l "_Toc30103" </w:instrText>
      </w:r>
      <w:r>
        <w:fldChar w:fldCharType="separate"/>
      </w:r>
      <w:r>
        <w:rPr>
          <w:rFonts w:hint="eastAsia" w:ascii="宋体" w:hAnsi="宋体" w:cs="宋体"/>
        </w:rPr>
        <w:t>四、成交供应商的确认和变更</w:t>
      </w:r>
      <w:r>
        <w:tab/>
      </w:r>
      <w:r>
        <w:fldChar w:fldCharType="begin"/>
      </w:r>
      <w:r>
        <w:instrText xml:space="preserve"> PAGEREF _Toc30103 \h </w:instrText>
      </w:r>
      <w:r>
        <w:fldChar w:fldCharType="separate"/>
      </w:r>
      <w:r>
        <w:t>- 16 -</w:t>
      </w:r>
      <w:r>
        <w:fldChar w:fldCharType="end"/>
      </w:r>
      <w:r>
        <w:fldChar w:fldCharType="end"/>
      </w:r>
    </w:p>
    <w:p w14:paraId="4A822106">
      <w:pPr>
        <w:pStyle w:val="24"/>
        <w:tabs>
          <w:tab w:val="right" w:leader="dot" w:pos="9412"/>
        </w:tabs>
        <w:ind w:left="560"/>
      </w:pPr>
      <w:r>
        <w:fldChar w:fldCharType="begin"/>
      </w:r>
      <w:r>
        <w:instrText xml:space="preserve"> HYPERLINK \l "_Toc30519" </w:instrText>
      </w:r>
      <w:r>
        <w:fldChar w:fldCharType="separate"/>
      </w:r>
      <w:r>
        <w:rPr>
          <w:rFonts w:hint="eastAsia" w:ascii="宋体" w:hAnsi="宋体" w:cs="宋体"/>
        </w:rPr>
        <w:t>五、成交通知</w:t>
      </w:r>
      <w:r>
        <w:tab/>
      </w:r>
      <w:r>
        <w:fldChar w:fldCharType="begin"/>
      </w:r>
      <w:r>
        <w:instrText xml:space="preserve"> PAGEREF _Toc30519 \h </w:instrText>
      </w:r>
      <w:r>
        <w:fldChar w:fldCharType="separate"/>
      </w:r>
      <w:r>
        <w:t>- 16 -</w:t>
      </w:r>
      <w:r>
        <w:fldChar w:fldCharType="end"/>
      </w:r>
      <w:r>
        <w:fldChar w:fldCharType="end"/>
      </w:r>
    </w:p>
    <w:p w14:paraId="6D1092E9">
      <w:pPr>
        <w:pStyle w:val="24"/>
        <w:tabs>
          <w:tab w:val="right" w:leader="dot" w:pos="9412"/>
        </w:tabs>
        <w:ind w:left="560"/>
      </w:pPr>
      <w:r>
        <w:fldChar w:fldCharType="begin"/>
      </w:r>
      <w:r>
        <w:instrText xml:space="preserve"> HYPERLINK \l "_Toc15152" </w:instrText>
      </w:r>
      <w:r>
        <w:fldChar w:fldCharType="separate"/>
      </w:r>
      <w:r>
        <w:rPr>
          <w:rFonts w:hint="eastAsia" w:ascii="宋体" w:hAnsi="宋体" w:cs="宋体"/>
        </w:rPr>
        <w:t>六、关于质疑和投诉</w:t>
      </w:r>
      <w:r>
        <w:tab/>
      </w:r>
      <w:r>
        <w:fldChar w:fldCharType="begin"/>
      </w:r>
      <w:r>
        <w:instrText xml:space="preserve"> PAGEREF _Toc15152 \h </w:instrText>
      </w:r>
      <w:r>
        <w:fldChar w:fldCharType="separate"/>
      </w:r>
      <w:r>
        <w:t>- 16 -</w:t>
      </w:r>
      <w:r>
        <w:fldChar w:fldCharType="end"/>
      </w:r>
      <w:r>
        <w:fldChar w:fldCharType="end"/>
      </w:r>
    </w:p>
    <w:p w14:paraId="400CEF32">
      <w:pPr>
        <w:pStyle w:val="24"/>
        <w:tabs>
          <w:tab w:val="right" w:leader="dot" w:pos="9412"/>
        </w:tabs>
        <w:ind w:left="560"/>
      </w:pPr>
      <w:r>
        <w:fldChar w:fldCharType="begin"/>
      </w:r>
      <w:r>
        <w:instrText xml:space="preserve"> HYPERLINK \l "_Toc22511" </w:instrText>
      </w:r>
      <w:r>
        <w:fldChar w:fldCharType="separate"/>
      </w:r>
      <w:r>
        <w:rPr>
          <w:rFonts w:hint="eastAsia" w:ascii="宋体" w:hAnsi="宋体" w:cs="宋体"/>
        </w:rPr>
        <w:t>七、采购代理服务费</w:t>
      </w:r>
      <w:r>
        <w:tab/>
      </w:r>
      <w:r>
        <w:fldChar w:fldCharType="begin"/>
      </w:r>
      <w:r>
        <w:instrText xml:space="preserve"> PAGEREF _Toc22511 \h </w:instrText>
      </w:r>
      <w:r>
        <w:fldChar w:fldCharType="separate"/>
      </w:r>
      <w:r>
        <w:t>- 18 -</w:t>
      </w:r>
      <w:r>
        <w:fldChar w:fldCharType="end"/>
      </w:r>
      <w:r>
        <w:fldChar w:fldCharType="end"/>
      </w:r>
    </w:p>
    <w:p w14:paraId="43F7E9D1">
      <w:pPr>
        <w:pStyle w:val="24"/>
        <w:tabs>
          <w:tab w:val="right" w:leader="dot" w:pos="9412"/>
        </w:tabs>
        <w:ind w:left="560"/>
      </w:pPr>
      <w:r>
        <w:fldChar w:fldCharType="begin"/>
      </w:r>
      <w:r>
        <w:instrText xml:space="preserve"> HYPERLINK \l "_Toc15904" </w:instrText>
      </w:r>
      <w:r>
        <w:fldChar w:fldCharType="separate"/>
      </w:r>
      <w:r>
        <w:rPr>
          <w:rFonts w:hint="eastAsia" w:ascii="宋体" w:hAnsi="宋体" w:cs="宋体"/>
        </w:rPr>
        <w:t>八、签订合同</w:t>
      </w:r>
      <w:r>
        <w:tab/>
      </w:r>
      <w:r>
        <w:fldChar w:fldCharType="begin"/>
      </w:r>
      <w:r>
        <w:instrText xml:space="preserve"> PAGEREF _Toc15904 \h </w:instrText>
      </w:r>
      <w:r>
        <w:fldChar w:fldCharType="separate"/>
      </w:r>
      <w:r>
        <w:t>- 18 -</w:t>
      </w:r>
      <w:r>
        <w:fldChar w:fldCharType="end"/>
      </w:r>
      <w:r>
        <w:fldChar w:fldCharType="end"/>
      </w:r>
    </w:p>
    <w:p w14:paraId="30B218CD">
      <w:pPr>
        <w:pStyle w:val="24"/>
        <w:tabs>
          <w:tab w:val="right" w:leader="dot" w:pos="9412"/>
        </w:tabs>
        <w:ind w:left="560"/>
      </w:pPr>
      <w:r>
        <w:fldChar w:fldCharType="begin"/>
      </w:r>
      <w:r>
        <w:instrText xml:space="preserve"> HYPERLINK \l "_Toc13040" </w:instrText>
      </w:r>
      <w:r>
        <w:fldChar w:fldCharType="separate"/>
      </w:r>
      <w:r>
        <w:rPr>
          <w:rFonts w:hint="eastAsia" w:ascii="宋体" w:hAnsi="宋体" w:cs="宋体"/>
          <w:szCs w:val="30"/>
        </w:rPr>
        <w:t>第六篇  采购合同</w:t>
      </w:r>
      <w:r>
        <w:tab/>
      </w:r>
      <w:r>
        <w:fldChar w:fldCharType="begin"/>
      </w:r>
      <w:r>
        <w:instrText xml:space="preserve"> PAGEREF _Toc13040 \h </w:instrText>
      </w:r>
      <w:r>
        <w:fldChar w:fldCharType="separate"/>
      </w:r>
      <w:r>
        <w:t>- 19 -</w:t>
      </w:r>
      <w:r>
        <w:fldChar w:fldCharType="end"/>
      </w:r>
      <w:r>
        <w:fldChar w:fldCharType="end"/>
      </w:r>
    </w:p>
    <w:p w14:paraId="3DB99139">
      <w:pPr>
        <w:pStyle w:val="24"/>
        <w:tabs>
          <w:tab w:val="right" w:leader="dot" w:pos="9412"/>
        </w:tabs>
        <w:ind w:left="560"/>
      </w:pPr>
      <w:r>
        <w:fldChar w:fldCharType="begin"/>
      </w:r>
      <w:r>
        <w:instrText xml:space="preserve"> HYPERLINK \l "_Toc2123" </w:instrText>
      </w:r>
      <w:r>
        <w:fldChar w:fldCharType="separate"/>
      </w:r>
      <w:r>
        <w:rPr>
          <w:rFonts w:hint="eastAsia" w:ascii="宋体" w:hAnsi="宋体" w:cs="宋体"/>
        </w:rPr>
        <w:t>一、合同主要条款</w:t>
      </w:r>
      <w:r>
        <w:tab/>
      </w:r>
      <w:r>
        <w:fldChar w:fldCharType="begin"/>
      </w:r>
      <w:r>
        <w:instrText xml:space="preserve"> PAGEREF _Toc2123 \h </w:instrText>
      </w:r>
      <w:r>
        <w:fldChar w:fldCharType="separate"/>
      </w:r>
      <w:r>
        <w:t>- 19 -</w:t>
      </w:r>
      <w:r>
        <w:fldChar w:fldCharType="end"/>
      </w:r>
      <w:r>
        <w:fldChar w:fldCharType="end"/>
      </w:r>
    </w:p>
    <w:p w14:paraId="6BF1247C">
      <w:pPr>
        <w:pStyle w:val="24"/>
        <w:tabs>
          <w:tab w:val="right" w:leader="dot" w:pos="9412"/>
        </w:tabs>
        <w:ind w:left="560"/>
      </w:pPr>
      <w:r>
        <w:fldChar w:fldCharType="begin"/>
      </w:r>
      <w:r>
        <w:instrText xml:space="preserve"> HYPERLINK \l "_Toc12042" </w:instrText>
      </w:r>
      <w:r>
        <w:fldChar w:fldCharType="separate"/>
      </w:r>
      <w:r>
        <w:rPr>
          <w:rFonts w:hint="eastAsia" w:ascii="宋体" w:hAnsi="宋体" w:cs="宋体"/>
          <w:szCs w:val="30"/>
        </w:rPr>
        <w:t>第七篇  响应文件编制要求</w:t>
      </w:r>
      <w:r>
        <w:tab/>
      </w:r>
      <w:r>
        <w:fldChar w:fldCharType="begin"/>
      </w:r>
      <w:r>
        <w:instrText xml:space="preserve"> PAGEREF _Toc12042 \h </w:instrText>
      </w:r>
      <w:r>
        <w:fldChar w:fldCharType="separate"/>
      </w:r>
      <w:r>
        <w:t>- 24 -</w:t>
      </w:r>
      <w:r>
        <w:fldChar w:fldCharType="end"/>
      </w:r>
      <w:r>
        <w:fldChar w:fldCharType="end"/>
      </w:r>
    </w:p>
    <w:p w14:paraId="1E63B168">
      <w:pPr>
        <w:pStyle w:val="24"/>
        <w:tabs>
          <w:tab w:val="right" w:leader="dot" w:pos="9412"/>
        </w:tabs>
        <w:ind w:left="560"/>
      </w:pPr>
      <w:r>
        <w:fldChar w:fldCharType="begin"/>
      </w:r>
      <w:r>
        <w:instrText xml:space="preserve"> HYPERLINK \l "_Toc16334" </w:instrText>
      </w:r>
      <w:r>
        <w:fldChar w:fldCharType="separate"/>
      </w:r>
      <w:r>
        <w:rPr>
          <w:rFonts w:hint="eastAsia" w:ascii="宋体" w:hAnsi="宋体" w:cs="宋体"/>
        </w:rPr>
        <w:t>一、经济部分</w:t>
      </w:r>
      <w:r>
        <w:tab/>
      </w:r>
      <w:r>
        <w:fldChar w:fldCharType="begin"/>
      </w:r>
      <w:r>
        <w:instrText xml:space="preserve"> PAGEREF _Toc16334 \h </w:instrText>
      </w:r>
      <w:r>
        <w:fldChar w:fldCharType="separate"/>
      </w:r>
      <w:r>
        <w:t>- 25 -</w:t>
      </w:r>
      <w:r>
        <w:fldChar w:fldCharType="end"/>
      </w:r>
      <w:r>
        <w:fldChar w:fldCharType="end"/>
      </w:r>
    </w:p>
    <w:p w14:paraId="153351DB">
      <w:pPr>
        <w:pStyle w:val="24"/>
        <w:tabs>
          <w:tab w:val="right" w:leader="dot" w:pos="9412"/>
        </w:tabs>
        <w:ind w:left="560"/>
      </w:pPr>
      <w:r>
        <w:fldChar w:fldCharType="begin"/>
      </w:r>
      <w:r>
        <w:instrText xml:space="preserve"> HYPERLINK \l "_Toc21038" </w:instrText>
      </w:r>
      <w:r>
        <w:fldChar w:fldCharType="separate"/>
      </w:r>
      <w:r>
        <w:rPr>
          <w:rFonts w:hint="eastAsia" w:ascii="宋体" w:hAnsi="宋体" w:cs="宋体"/>
        </w:rPr>
        <w:t>二、服务部分</w:t>
      </w:r>
      <w:r>
        <w:tab/>
      </w:r>
      <w:r>
        <w:fldChar w:fldCharType="begin"/>
      </w:r>
      <w:r>
        <w:instrText xml:space="preserve"> PAGEREF _Toc21038 \h </w:instrText>
      </w:r>
      <w:r>
        <w:fldChar w:fldCharType="separate"/>
      </w:r>
      <w:r>
        <w:t>- 27 -</w:t>
      </w:r>
      <w:r>
        <w:fldChar w:fldCharType="end"/>
      </w:r>
      <w:r>
        <w:fldChar w:fldCharType="end"/>
      </w:r>
    </w:p>
    <w:p w14:paraId="71B4A280">
      <w:pPr>
        <w:pStyle w:val="24"/>
        <w:tabs>
          <w:tab w:val="right" w:leader="dot" w:pos="9412"/>
        </w:tabs>
        <w:ind w:left="560"/>
      </w:pPr>
      <w:r>
        <w:fldChar w:fldCharType="begin"/>
      </w:r>
      <w:r>
        <w:instrText xml:space="preserve"> HYPERLINK \l "_Toc4599" </w:instrText>
      </w:r>
      <w:r>
        <w:fldChar w:fldCharType="separate"/>
      </w:r>
      <w:r>
        <w:rPr>
          <w:rFonts w:hint="eastAsia" w:ascii="宋体" w:hAnsi="宋体" w:cs="宋体"/>
        </w:rPr>
        <w:t>三、商务部分</w:t>
      </w:r>
      <w:r>
        <w:tab/>
      </w:r>
      <w:r>
        <w:fldChar w:fldCharType="begin"/>
      </w:r>
      <w:r>
        <w:instrText xml:space="preserve"> PAGEREF _Toc4599 \h </w:instrText>
      </w:r>
      <w:r>
        <w:fldChar w:fldCharType="separate"/>
      </w:r>
      <w:r>
        <w:t>- 29 -</w:t>
      </w:r>
      <w:r>
        <w:fldChar w:fldCharType="end"/>
      </w:r>
      <w:r>
        <w:fldChar w:fldCharType="end"/>
      </w:r>
    </w:p>
    <w:p w14:paraId="052F1FA6">
      <w:pPr>
        <w:pStyle w:val="24"/>
        <w:tabs>
          <w:tab w:val="right" w:leader="dot" w:pos="9412"/>
        </w:tabs>
        <w:ind w:left="560"/>
      </w:pPr>
      <w:r>
        <w:fldChar w:fldCharType="begin"/>
      </w:r>
      <w:r>
        <w:instrText xml:space="preserve"> HYPERLINK \l "_Toc24334" </w:instrText>
      </w:r>
      <w:r>
        <w:fldChar w:fldCharType="separate"/>
      </w:r>
      <w:r>
        <w:rPr>
          <w:rFonts w:hint="eastAsia" w:ascii="宋体" w:hAnsi="宋体" w:cs="宋体"/>
        </w:rPr>
        <w:t>四、资格条件</w:t>
      </w:r>
      <w:r>
        <w:tab/>
      </w:r>
      <w:r>
        <w:fldChar w:fldCharType="begin"/>
      </w:r>
      <w:r>
        <w:instrText xml:space="preserve"> PAGEREF _Toc24334 \h </w:instrText>
      </w:r>
      <w:r>
        <w:fldChar w:fldCharType="separate"/>
      </w:r>
      <w:r>
        <w:t>- 31 -</w:t>
      </w:r>
      <w:r>
        <w:fldChar w:fldCharType="end"/>
      </w:r>
      <w:r>
        <w:fldChar w:fldCharType="end"/>
      </w:r>
    </w:p>
    <w:p w14:paraId="62A23B21">
      <w:pPr>
        <w:pStyle w:val="24"/>
        <w:tabs>
          <w:tab w:val="right" w:leader="dot" w:pos="9412"/>
        </w:tabs>
        <w:ind w:left="560"/>
      </w:pPr>
      <w:r>
        <w:fldChar w:fldCharType="begin"/>
      </w:r>
      <w:r>
        <w:instrText xml:space="preserve"> HYPERLINK \l "_Toc16103" </w:instrText>
      </w:r>
      <w:r>
        <w:fldChar w:fldCharType="separate"/>
      </w:r>
      <w:r>
        <w:rPr>
          <w:rFonts w:hint="eastAsia" w:ascii="宋体" w:hAnsi="宋体" w:cs="宋体"/>
        </w:rPr>
        <w:t>五、其他资料</w:t>
      </w:r>
      <w:r>
        <w:tab/>
      </w:r>
      <w:r>
        <w:fldChar w:fldCharType="begin"/>
      </w:r>
      <w:r>
        <w:instrText xml:space="preserve"> PAGEREF _Toc16103 \h </w:instrText>
      </w:r>
      <w:r>
        <w:fldChar w:fldCharType="separate"/>
      </w:r>
      <w:r>
        <w:t>- 36 -</w:t>
      </w:r>
      <w:r>
        <w:fldChar w:fldCharType="end"/>
      </w:r>
      <w:r>
        <w:fldChar w:fldCharType="end"/>
      </w:r>
    </w:p>
    <w:p w14:paraId="34D0DC85">
      <w:pPr>
        <w:pStyle w:val="24"/>
        <w:tabs>
          <w:tab w:val="right" w:leader="dot" w:pos="9402"/>
        </w:tabs>
        <w:spacing w:line="480" w:lineRule="exact"/>
        <w:ind w:left="560"/>
        <w:jc w:val="center"/>
        <w:rPr>
          <w:rFonts w:ascii="宋体" w:hAnsi="宋体" w:cs="宋体"/>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szCs w:val="21"/>
        </w:rPr>
        <w:fldChar w:fldCharType="end"/>
      </w:r>
      <w:bookmarkEnd w:id="5"/>
    </w:p>
    <w:p w14:paraId="02367D11">
      <w:pPr>
        <w:pStyle w:val="4"/>
        <w:numPr>
          <w:ilvl w:val="1"/>
          <w:numId w:val="0"/>
        </w:numPr>
        <w:spacing w:line="360" w:lineRule="auto"/>
        <w:jc w:val="center"/>
        <w:rPr>
          <w:rFonts w:ascii="宋体" w:hAnsi="宋体" w:eastAsia="宋体" w:cs="宋体"/>
          <w:szCs w:val="30"/>
        </w:rPr>
      </w:pPr>
      <w:bookmarkStart w:id="6" w:name="_Toc12789052"/>
      <w:bookmarkStart w:id="7" w:name="_Toc4932"/>
      <w:bookmarkStart w:id="8" w:name="_Toc76462316"/>
      <w:bookmarkStart w:id="9" w:name="_Toc106030870"/>
      <w:bookmarkStart w:id="10" w:name="_Toc11576"/>
      <w:bookmarkStart w:id="11" w:name="_Toc181"/>
      <w:bookmarkStart w:id="12" w:name="_Toc11641050"/>
      <w:bookmarkStart w:id="13" w:name="_Toc9852"/>
      <w:bookmarkStart w:id="14" w:name="_Toc4184"/>
      <w:r>
        <w:rPr>
          <w:rFonts w:hint="eastAsia" w:ascii="宋体" w:hAnsi="宋体" w:eastAsia="宋体" w:cs="宋体"/>
          <w:sz w:val="36"/>
          <w:szCs w:val="30"/>
        </w:rPr>
        <w:t>第一篇  采购邀请书</w:t>
      </w:r>
      <w:bookmarkEnd w:id="6"/>
      <w:bookmarkEnd w:id="7"/>
      <w:bookmarkEnd w:id="8"/>
      <w:bookmarkEnd w:id="9"/>
      <w:bookmarkEnd w:id="10"/>
      <w:bookmarkEnd w:id="11"/>
      <w:bookmarkEnd w:id="12"/>
      <w:bookmarkEnd w:id="13"/>
      <w:bookmarkEnd w:id="14"/>
    </w:p>
    <w:p w14:paraId="5219F0A3">
      <w:pPr>
        <w:spacing w:line="400" w:lineRule="exact"/>
        <w:ind w:firstLine="480" w:firstLineChars="200"/>
        <w:rPr>
          <w:rFonts w:ascii="宋体" w:hAnsi="宋体" w:cs="宋体"/>
          <w:sz w:val="24"/>
          <w:szCs w:val="24"/>
        </w:rPr>
      </w:pPr>
      <w:r>
        <w:rPr>
          <w:rFonts w:hint="eastAsia" w:ascii="宋体" w:hAnsi="宋体" w:cs="宋体"/>
          <w:sz w:val="24"/>
          <w:szCs w:val="24"/>
        </w:rPr>
        <w:t>重庆竣能工程咨询有限公司（以下简称：采购代理机构）接受重庆市南岸区规划和自然资源局（以下简称：采购人）的委托，对南岸区15分钟高品质生活服务圈实施专项规划进行竞争性磋商采购。欢迎有资格的供应商前来参与磋商。</w:t>
      </w:r>
    </w:p>
    <w:p w14:paraId="109ACC1B">
      <w:pPr>
        <w:pStyle w:val="4"/>
        <w:numPr>
          <w:ilvl w:val="1"/>
          <w:numId w:val="0"/>
        </w:numPr>
        <w:adjustRightInd w:val="0"/>
        <w:snapToGrid w:val="0"/>
        <w:spacing w:line="400" w:lineRule="exact"/>
        <w:rPr>
          <w:rFonts w:ascii="宋体" w:hAnsi="宋体" w:eastAsia="宋体" w:cs="宋体"/>
          <w:b/>
          <w:bCs w:val="0"/>
          <w:sz w:val="24"/>
        </w:rPr>
      </w:pPr>
      <w:bookmarkStart w:id="15" w:name="_Toc313893526"/>
      <w:bookmarkStart w:id="16" w:name="_Toc24216"/>
      <w:bookmarkStart w:id="17" w:name="_Toc20549"/>
      <w:bookmarkStart w:id="18" w:name="_Toc22832"/>
      <w:bookmarkStart w:id="19" w:name="_Toc76462317"/>
      <w:bookmarkStart w:id="20" w:name="_Toc317775175"/>
      <w:bookmarkStart w:id="21" w:name="_Toc9379"/>
      <w:bookmarkStart w:id="22" w:name="_Toc106030871"/>
      <w:bookmarkStart w:id="23" w:name="_Toc27081"/>
      <w:r>
        <w:rPr>
          <w:rFonts w:hint="eastAsia" w:ascii="宋体" w:hAnsi="宋体" w:eastAsia="宋体" w:cs="宋体"/>
          <w:b/>
          <w:bCs w:val="0"/>
          <w:sz w:val="24"/>
        </w:rPr>
        <w:t>一、竞争性磋商内容</w:t>
      </w:r>
      <w:bookmarkEnd w:id="15"/>
      <w:bookmarkEnd w:id="16"/>
      <w:bookmarkEnd w:id="17"/>
      <w:bookmarkEnd w:id="18"/>
      <w:bookmarkEnd w:id="19"/>
      <w:bookmarkEnd w:id="20"/>
      <w:bookmarkEnd w:id="21"/>
      <w:bookmarkEnd w:id="22"/>
      <w:bookmarkEnd w:id="23"/>
    </w:p>
    <w:tbl>
      <w:tblPr>
        <w:tblStyle w:val="29"/>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3"/>
        <w:gridCol w:w="1288"/>
        <w:gridCol w:w="1575"/>
        <w:gridCol w:w="2675"/>
      </w:tblGrid>
      <w:tr w14:paraId="733E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353" w:type="dxa"/>
            <w:tcBorders>
              <w:top w:val="single" w:color="auto" w:sz="4" w:space="0"/>
              <w:left w:val="single" w:color="auto" w:sz="4" w:space="0"/>
              <w:right w:val="single" w:color="auto" w:sz="4" w:space="0"/>
            </w:tcBorders>
            <w:vAlign w:val="center"/>
          </w:tcPr>
          <w:p w14:paraId="1FAD97E1">
            <w:pPr>
              <w:widowControl/>
              <w:jc w:val="center"/>
              <w:rPr>
                <w:rFonts w:ascii="宋体" w:hAnsi="宋体" w:cs="宋体"/>
                <w:b/>
                <w:bCs/>
                <w:kern w:val="0"/>
                <w:sz w:val="24"/>
                <w:szCs w:val="24"/>
              </w:rPr>
            </w:pPr>
            <w:r>
              <w:rPr>
                <w:rFonts w:hint="eastAsia" w:ascii="宋体" w:hAnsi="宋体" w:cs="宋体"/>
                <w:b/>
                <w:bCs/>
                <w:kern w:val="0"/>
                <w:sz w:val="24"/>
                <w:szCs w:val="24"/>
              </w:rPr>
              <w:t>磋商项目名称</w:t>
            </w:r>
          </w:p>
        </w:tc>
        <w:tc>
          <w:tcPr>
            <w:tcW w:w="1288" w:type="dxa"/>
            <w:tcBorders>
              <w:top w:val="single" w:color="auto" w:sz="4" w:space="0"/>
              <w:left w:val="single" w:color="auto" w:sz="4" w:space="0"/>
              <w:right w:val="single" w:color="auto" w:sz="4" w:space="0"/>
            </w:tcBorders>
            <w:vAlign w:val="center"/>
          </w:tcPr>
          <w:p w14:paraId="2B40C6C7">
            <w:pPr>
              <w:jc w:val="center"/>
              <w:rPr>
                <w:rFonts w:ascii="宋体" w:hAnsi="宋体" w:cs="宋体"/>
                <w:b/>
                <w:bCs/>
                <w:kern w:val="0"/>
                <w:sz w:val="24"/>
                <w:szCs w:val="24"/>
              </w:rPr>
            </w:pPr>
            <w:r>
              <w:rPr>
                <w:rFonts w:hint="eastAsia" w:ascii="宋体" w:hAnsi="宋体" w:cs="宋体"/>
                <w:b/>
                <w:bCs/>
                <w:kern w:val="0"/>
                <w:sz w:val="24"/>
                <w:szCs w:val="24"/>
              </w:rPr>
              <w:t>最高限价</w:t>
            </w:r>
          </w:p>
          <w:p w14:paraId="0F6CDE5E">
            <w:pPr>
              <w:jc w:val="center"/>
              <w:rPr>
                <w:rFonts w:ascii="宋体" w:hAnsi="宋体" w:cs="宋体"/>
                <w:b/>
                <w:bCs/>
                <w:kern w:val="0"/>
                <w:sz w:val="24"/>
                <w:szCs w:val="24"/>
              </w:rPr>
            </w:pPr>
            <w:r>
              <w:rPr>
                <w:rFonts w:hint="eastAsia" w:ascii="宋体" w:hAnsi="宋体" w:cs="宋体"/>
                <w:b/>
                <w:bCs/>
                <w:kern w:val="0"/>
                <w:sz w:val="24"/>
                <w:szCs w:val="24"/>
              </w:rPr>
              <w:t>（万元）</w:t>
            </w:r>
          </w:p>
        </w:tc>
        <w:tc>
          <w:tcPr>
            <w:tcW w:w="1575" w:type="dxa"/>
            <w:tcBorders>
              <w:top w:val="single" w:color="auto" w:sz="4" w:space="0"/>
              <w:left w:val="single" w:color="auto" w:sz="4" w:space="0"/>
              <w:right w:val="single" w:color="auto" w:sz="4" w:space="0"/>
            </w:tcBorders>
            <w:vAlign w:val="center"/>
          </w:tcPr>
          <w:p w14:paraId="2406C200">
            <w:pPr>
              <w:jc w:val="center"/>
              <w:rPr>
                <w:rFonts w:ascii="宋体" w:hAnsi="宋体" w:cs="宋体"/>
                <w:b/>
                <w:bCs/>
                <w:kern w:val="0"/>
                <w:sz w:val="24"/>
                <w:szCs w:val="24"/>
              </w:rPr>
            </w:pPr>
            <w:r>
              <w:rPr>
                <w:rFonts w:hint="eastAsia" w:ascii="宋体" w:hAnsi="宋体" w:cs="宋体"/>
                <w:b/>
                <w:bCs/>
                <w:kern w:val="0"/>
                <w:sz w:val="24"/>
                <w:szCs w:val="24"/>
              </w:rPr>
              <w:t>成交供应商数量（名）</w:t>
            </w:r>
          </w:p>
        </w:tc>
        <w:tc>
          <w:tcPr>
            <w:tcW w:w="2675" w:type="dxa"/>
            <w:tcBorders>
              <w:top w:val="single" w:color="auto" w:sz="4" w:space="0"/>
              <w:left w:val="single" w:color="auto" w:sz="4" w:space="0"/>
              <w:right w:val="single" w:color="auto" w:sz="4" w:space="0"/>
            </w:tcBorders>
            <w:vAlign w:val="center"/>
          </w:tcPr>
          <w:p w14:paraId="75A4E150">
            <w:pPr>
              <w:jc w:val="center"/>
              <w:rPr>
                <w:rFonts w:ascii="宋体" w:hAnsi="宋体" w:cs="宋体"/>
                <w:b/>
                <w:bCs/>
                <w:kern w:val="0"/>
                <w:sz w:val="24"/>
                <w:szCs w:val="24"/>
              </w:rPr>
            </w:pPr>
            <w:r>
              <w:rPr>
                <w:rFonts w:hint="eastAsia" w:ascii="宋体" w:hAnsi="宋体" w:cs="宋体"/>
                <w:b/>
                <w:bCs/>
                <w:kern w:val="0"/>
                <w:sz w:val="24"/>
                <w:szCs w:val="24"/>
              </w:rPr>
              <w:t>采购标的对应的中小企业划分标准所属行业</w:t>
            </w:r>
          </w:p>
        </w:tc>
      </w:tr>
      <w:tr w14:paraId="1DED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14:paraId="36170F85">
            <w:pPr>
              <w:widowControl/>
              <w:jc w:val="center"/>
              <w:rPr>
                <w:rFonts w:ascii="宋体" w:hAnsi="宋体" w:cs="宋体"/>
                <w:kern w:val="0"/>
                <w:sz w:val="24"/>
                <w:szCs w:val="24"/>
              </w:rPr>
            </w:pPr>
            <w:bookmarkStart w:id="24" w:name="_Hlk344477914"/>
            <w:r>
              <w:rPr>
                <w:rFonts w:hint="eastAsia" w:ascii="宋体" w:hAnsi="宋体" w:cs="宋体"/>
                <w:sz w:val="24"/>
                <w:szCs w:val="24"/>
              </w:rPr>
              <w:t xml:space="preserve"> 南岸区15分钟高品质生活服务圈实施专项规划</w:t>
            </w:r>
          </w:p>
        </w:tc>
        <w:tc>
          <w:tcPr>
            <w:tcW w:w="1288" w:type="dxa"/>
            <w:tcBorders>
              <w:top w:val="single" w:color="auto" w:sz="4" w:space="0"/>
              <w:left w:val="single" w:color="auto" w:sz="4" w:space="0"/>
              <w:bottom w:val="single" w:color="auto" w:sz="4" w:space="0"/>
              <w:right w:val="single" w:color="auto" w:sz="4" w:space="0"/>
            </w:tcBorders>
            <w:vAlign w:val="center"/>
          </w:tcPr>
          <w:p w14:paraId="3B70EBD0">
            <w:pPr>
              <w:jc w:val="center"/>
              <w:rPr>
                <w:rFonts w:ascii="宋体" w:hAnsi="宋体" w:cs="宋体"/>
                <w:sz w:val="24"/>
                <w:szCs w:val="24"/>
              </w:rPr>
            </w:pPr>
            <w:r>
              <w:rPr>
                <w:rFonts w:hint="eastAsia" w:ascii="宋体" w:hAnsi="宋体" w:cs="宋体"/>
                <w:kern w:val="0"/>
                <w:sz w:val="24"/>
                <w:szCs w:val="24"/>
              </w:rPr>
              <w:t>20</w:t>
            </w:r>
          </w:p>
        </w:tc>
        <w:tc>
          <w:tcPr>
            <w:tcW w:w="1575" w:type="dxa"/>
            <w:tcBorders>
              <w:top w:val="single" w:color="auto" w:sz="4" w:space="0"/>
              <w:left w:val="single" w:color="auto" w:sz="4" w:space="0"/>
              <w:bottom w:val="single" w:color="auto" w:sz="4" w:space="0"/>
              <w:right w:val="single" w:color="auto" w:sz="4" w:space="0"/>
            </w:tcBorders>
            <w:vAlign w:val="center"/>
          </w:tcPr>
          <w:p w14:paraId="4FBF88A9">
            <w:pPr>
              <w:jc w:val="center"/>
              <w:rPr>
                <w:rFonts w:ascii="宋体" w:hAnsi="宋体" w:cs="宋体"/>
                <w:kern w:val="0"/>
                <w:sz w:val="24"/>
                <w:szCs w:val="24"/>
              </w:rPr>
            </w:pPr>
            <w:r>
              <w:rPr>
                <w:rFonts w:hint="eastAsia" w:ascii="宋体" w:hAnsi="宋体" w:cs="宋体"/>
                <w:kern w:val="0"/>
                <w:sz w:val="24"/>
                <w:szCs w:val="24"/>
              </w:rPr>
              <w:t>1</w:t>
            </w:r>
          </w:p>
        </w:tc>
        <w:tc>
          <w:tcPr>
            <w:tcW w:w="2675" w:type="dxa"/>
            <w:tcBorders>
              <w:top w:val="single" w:color="auto" w:sz="4" w:space="0"/>
              <w:left w:val="single" w:color="auto" w:sz="4" w:space="0"/>
              <w:bottom w:val="single" w:color="auto" w:sz="4" w:space="0"/>
              <w:right w:val="single" w:color="auto" w:sz="4" w:space="0"/>
            </w:tcBorders>
            <w:vAlign w:val="center"/>
          </w:tcPr>
          <w:p w14:paraId="7E9071A0">
            <w:pPr>
              <w:jc w:val="center"/>
              <w:rPr>
                <w:rFonts w:ascii="宋体" w:hAnsi="宋体" w:cs="宋体"/>
                <w:kern w:val="0"/>
                <w:sz w:val="24"/>
                <w:szCs w:val="24"/>
              </w:rPr>
            </w:pPr>
            <w:r>
              <w:rPr>
                <w:rFonts w:hint="eastAsia" w:ascii="宋体" w:hAnsi="宋体" w:cs="宋体"/>
                <w:kern w:val="0"/>
                <w:sz w:val="24"/>
                <w:szCs w:val="24"/>
              </w:rPr>
              <w:t>其他未列明行业</w:t>
            </w:r>
          </w:p>
        </w:tc>
      </w:tr>
      <w:bookmarkEnd w:id="24"/>
    </w:tbl>
    <w:p w14:paraId="36EC569D">
      <w:pPr>
        <w:pStyle w:val="4"/>
        <w:numPr>
          <w:ilvl w:val="1"/>
          <w:numId w:val="0"/>
        </w:numPr>
        <w:adjustRightInd w:val="0"/>
        <w:snapToGrid w:val="0"/>
        <w:spacing w:line="400" w:lineRule="exact"/>
        <w:rPr>
          <w:rFonts w:ascii="宋体" w:hAnsi="宋体" w:eastAsia="宋体" w:cs="宋体"/>
          <w:b/>
          <w:bCs w:val="0"/>
          <w:sz w:val="24"/>
        </w:rPr>
      </w:pPr>
      <w:bookmarkStart w:id="25" w:name="_Toc21169"/>
      <w:bookmarkStart w:id="26" w:name="_Toc29253"/>
      <w:bookmarkStart w:id="27" w:name="_Toc10459"/>
      <w:bookmarkStart w:id="28" w:name="_Toc21041"/>
      <w:bookmarkStart w:id="29" w:name="_Toc106030873"/>
      <w:bookmarkStart w:id="30" w:name="_Toc76462319"/>
      <w:bookmarkStart w:id="31" w:name="_Toc21123"/>
      <w:bookmarkStart w:id="32" w:name="_Toc373860293"/>
      <w:bookmarkStart w:id="33" w:name="_Toc317775178"/>
      <w:r>
        <w:rPr>
          <w:rFonts w:hint="eastAsia" w:ascii="宋体" w:hAnsi="宋体" w:eastAsia="宋体" w:cs="宋体"/>
          <w:b/>
          <w:bCs w:val="0"/>
          <w:sz w:val="24"/>
        </w:rPr>
        <w:t>二、资金来源</w:t>
      </w:r>
      <w:bookmarkEnd w:id="25"/>
    </w:p>
    <w:p w14:paraId="7C8035A9">
      <w:pPr>
        <w:spacing w:line="400" w:lineRule="exact"/>
        <w:ind w:firstLine="480" w:firstLineChars="200"/>
        <w:rPr>
          <w:rFonts w:ascii="宋体" w:hAnsi="宋体" w:cs="宋体"/>
          <w:sz w:val="24"/>
          <w:szCs w:val="24"/>
        </w:rPr>
      </w:pPr>
      <w:r>
        <w:rPr>
          <w:rFonts w:hint="eastAsia" w:ascii="宋体" w:hAnsi="宋体" w:cs="宋体"/>
          <w:sz w:val="24"/>
          <w:szCs w:val="24"/>
        </w:rPr>
        <w:t>财政资金，预算金额20万元。</w:t>
      </w:r>
    </w:p>
    <w:p w14:paraId="41314613">
      <w:pPr>
        <w:pStyle w:val="4"/>
        <w:numPr>
          <w:ilvl w:val="1"/>
          <w:numId w:val="0"/>
        </w:numPr>
        <w:adjustRightInd w:val="0"/>
        <w:snapToGrid w:val="0"/>
        <w:spacing w:line="400" w:lineRule="exact"/>
        <w:rPr>
          <w:rFonts w:ascii="宋体" w:hAnsi="宋体" w:eastAsia="宋体" w:cs="宋体"/>
          <w:b/>
          <w:bCs w:val="0"/>
          <w:sz w:val="24"/>
        </w:rPr>
      </w:pPr>
      <w:bookmarkStart w:id="34" w:name="_Toc32553"/>
      <w:r>
        <w:rPr>
          <w:rFonts w:hint="eastAsia" w:ascii="宋体" w:hAnsi="宋体" w:eastAsia="宋体" w:cs="宋体"/>
          <w:b/>
          <w:bCs w:val="0"/>
          <w:sz w:val="24"/>
        </w:rPr>
        <w:t>三、供应商资格条件</w:t>
      </w:r>
      <w:bookmarkEnd w:id="26"/>
      <w:bookmarkEnd w:id="27"/>
      <w:bookmarkEnd w:id="28"/>
      <w:bookmarkEnd w:id="29"/>
      <w:bookmarkEnd w:id="30"/>
      <w:bookmarkEnd w:id="31"/>
      <w:bookmarkEnd w:id="34"/>
    </w:p>
    <w:p w14:paraId="4E7C2F69">
      <w:pPr>
        <w:spacing w:line="400" w:lineRule="exact"/>
        <w:ind w:firstLine="480" w:firstLineChars="200"/>
        <w:rPr>
          <w:rFonts w:ascii="宋体" w:hAnsi="宋体" w:cs="宋体"/>
          <w:sz w:val="24"/>
          <w:szCs w:val="24"/>
        </w:rPr>
      </w:pPr>
      <w:r>
        <w:rPr>
          <w:rFonts w:hint="eastAsia" w:ascii="宋体" w:hAnsi="宋体" w:cs="宋体"/>
          <w:sz w:val="24"/>
          <w:szCs w:val="24"/>
        </w:rPr>
        <w:t>（一）满足《中华人民共和国政府采购法》第二十二条规定。</w:t>
      </w:r>
    </w:p>
    <w:p w14:paraId="53A5140C">
      <w:pPr>
        <w:spacing w:line="400" w:lineRule="exact"/>
        <w:ind w:firstLine="480" w:firstLineChars="200"/>
        <w:rPr>
          <w:rFonts w:ascii="宋体" w:hAnsi="宋体" w:cs="宋体"/>
          <w:sz w:val="24"/>
          <w:szCs w:val="24"/>
        </w:rPr>
      </w:pPr>
      <w:r>
        <w:rPr>
          <w:rFonts w:hint="eastAsia" w:ascii="宋体" w:hAnsi="宋体" w:cs="宋体"/>
          <w:sz w:val="24"/>
          <w:szCs w:val="24"/>
        </w:rPr>
        <w:t>（二）落实政府采购政策需满足的资格要求：无。</w:t>
      </w:r>
    </w:p>
    <w:p w14:paraId="2F936C1A">
      <w:pPr>
        <w:spacing w:line="400" w:lineRule="exact"/>
        <w:ind w:firstLine="480" w:firstLineChars="200"/>
        <w:rPr>
          <w:rFonts w:ascii="宋体" w:hAnsi="宋体" w:cs="宋体"/>
          <w:sz w:val="24"/>
          <w:szCs w:val="24"/>
        </w:rPr>
      </w:pPr>
      <w:r>
        <w:rPr>
          <w:rFonts w:hint="eastAsia" w:ascii="宋体" w:hAnsi="宋体" w:cs="宋体"/>
          <w:sz w:val="24"/>
          <w:szCs w:val="24"/>
        </w:rPr>
        <w:t>（三）本项目的特定资格要求：无。</w:t>
      </w:r>
    </w:p>
    <w:p w14:paraId="6C7433E1">
      <w:pPr>
        <w:pStyle w:val="4"/>
        <w:numPr>
          <w:ilvl w:val="1"/>
          <w:numId w:val="0"/>
        </w:numPr>
        <w:adjustRightInd w:val="0"/>
        <w:snapToGrid w:val="0"/>
        <w:spacing w:line="400" w:lineRule="exact"/>
        <w:rPr>
          <w:rFonts w:ascii="宋体" w:hAnsi="宋体" w:eastAsia="宋体" w:cs="宋体"/>
          <w:b/>
          <w:bCs w:val="0"/>
          <w:sz w:val="24"/>
        </w:rPr>
      </w:pPr>
      <w:bookmarkStart w:id="35" w:name="_Toc15144"/>
      <w:bookmarkStart w:id="36" w:name="_Toc26353"/>
      <w:bookmarkStart w:id="37" w:name="_Toc13709"/>
      <w:bookmarkStart w:id="38" w:name="_Toc76462320"/>
      <w:bookmarkStart w:id="39" w:name="_Toc106030874"/>
      <w:bookmarkStart w:id="40" w:name="_Toc1125"/>
      <w:bookmarkStart w:id="41" w:name="_Toc20997"/>
      <w:r>
        <w:rPr>
          <w:rFonts w:hint="eastAsia" w:ascii="宋体" w:hAnsi="宋体" w:eastAsia="宋体" w:cs="宋体"/>
          <w:b/>
          <w:bCs w:val="0"/>
          <w:sz w:val="24"/>
        </w:rPr>
        <w:t>四、磋商有关说明</w:t>
      </w:r>
      <w:bookmarkEnd w:id="32"/>
      <w:bookmarkEnd w:id="35"/>
      <w:bookmarkEnd w:id="36"/>
      <w:bookmarkEnd w:id="37"/>
      <w:bookmarkEnd w:id="38"/>
      <w:bookmarkEnd w:id="39"/>
      <w:bookmarkEnd w:id="40"/>
      <w:bookmarkEnd w:id="41"/>
    </w:p>
    <w:p w14:paraId="32D56E05">
      <w:pPr>
        <w:spacing w:line="400" w:lineRule="exact"/>
        <w:ind w:firstLine="480" w:firstLineChars="200"/>
        <w:rPr>
          <w:rFonts w:ascii="宋体" w:hAnsi="宋体" w:cs="宋体"/>
          <w:sz w:val="24"/>
          <w:szCs w:val="24"/>
        </w:rPr>
      </w:pPr>
      <w:r>
        <w:rPr>
          <w:rFonts w:hint="eastAsia" w:ascii="宋体" w:hAnsi="宋体" w:cs="宋体"/>
          <w:sz w:val="24"/>
          <w:szCs w:val="24"/>
        </w:rPr>
        <w:t xml:space="preserve">（一）请有意参加本项目的供应商按要求进行注册，通过“行采家”（ </w:t>
      </w:r>
      <w:r>
        <w:rPr>
          <w:sz w:val="24"/>
          <w:szCs w:val="24"/>
        </w:rPr>
        <w:fldChar w:fldCharType="begin"/>
      </w:r>
      <w:r>
        <w:rPr>
          <w:sz w:val="24"/>
          <w:szCs w:val="24"/>
        </w:rPr>
        <w:instrText xml:space="preserve"> HYPERLINK "https://www.gec123.com/），登记加入" </w:instrText>
      </w:r>
      <w:r>
        <w:rPr>
          <w:sz w:val="24"/>
          <w:szCs w:val="24"/>
        </w:rPr>
        <w:fldChar w:fldCharType="separate"/>
      </w:r>
      <w:r>
        <w:rPr>
          <w:rFonts w:hint="eastAsia" w:ascii="宋体" w:hAnsi="宋体" w:cs="宋体"/>
          <w:sz w:val="24"/>
          <w:szCs w:val="24"/>
        </w:rPr>
        <w:t>https://www.gec123.com/），登记加入“行采家供应商库”。</w:t>
      </w:r>
      <w:r>
        <w:rPr>
          <w:rFonts w:hint="eastAsia" w:ascii="宋体" w:hAnsi="宋体" w:cs="宋体"/>
          <w:sz w:val="24"/>
          <w:szCs w:val="24"/>
        </w:rPr>
        <w:fldChar w:fldCharType="end"/>
      </w:r>
    </w:p>
    <w:p w14:paraId="602ED722">
      <w:pPr>
        <w:spacing w:line="400" w:lineRule="exact"/>
        <w:ind w:firstLine="480" w:firstLineChars="200"/>
        <w:rPr>
          <w:rFonts w:ascii="宋体" w:hAnsi="宋体" w:cs="宋体"/>
          <w:sz w:val="24"/>
          <w:szCs w:val="24"/>
        </w:rPr>
      </w:pPr>
      <w:r>
        <w:rPr>
          <w:rFonts w:hint="eastAsia" w:ascii="宋体" w:hAnsi="宋体" w:cs="宋体"/>
          <w:sz w:val="24"/>
          <w:szCs w:val="24"/>
        </w:rPr>
        <w:t>（二）凡有意参加磋商的供应商，请在“行采家”（ https://www.gec123.com/）网上下载本项目竞争性磋商文件以及图纸、澄清等磋商前公布的所有项目资料，无论供应商下载与否，均视为已知晓所有磋商实质性要求内容。</w:t>
      </w:r>
    </w:p>
    <w:p w14:paraId="1720DE87">
      <w:pPr>
        <w:spacing w:line="400" w:lineRule="exact"/>
        <w:ind w:firstLine="480" w:firstLineChars="200"/>
        <w:rPr>
          <w:rFonts w:ascii="宋体" w:hAnsi="宋体" w:cs="宋体"/>
          <w:sz w:val="24"/>
          <w:szCs w:val="24"/>
        </w:rPr>
      </w:pPr>
      <w:r>
        <w:rPr>
          <w:rFonts w:hint="eastAsia" w:ascii="宋体" w:hAnsi="宋体" w:cs="宋体"/>
          <w:sz w:val="24"/>
          <w:szCs w:val="24"/>
        </w:rPr>
        <w:t>（三）竞争性磋商公告期限：自采购公告发布之日起三个工作日。</w:t>
      </w:r>
    </w:p>
    <w:p w14:paraId="7F577B2C">
      <w:pPr>
        <w:spacing w:line="400" w:lineRule="exact"/>
        <w:ind w:firstLine="480" w:firstLineChars="200"/>
        <w:rPr>
          <w:rFonts w:ascii="宋体" w:hAnsi="宋体" w:cs="宋体"/>
          <w:sz w:val="24"/>
          <w:szCs w:val="24"/>
        </w:rPr>
      </w:pPr>
      <w:r>
        <w:rPr>
          <w:rFonts w:hint="eastAsia" w:ascii="宋体" w:hAnsi="宋体" w:cs="宋体"/>
          <w:sz w:val="24"/>
          <w:szCs w:val="24"/>
        </w:rPr>
        <w:t xml:space="preserve">（四）竞争性磋商文件发售期限： </w:t>
      </w:r>
    </w:p>
    <w:p w14:paraId="2271D8E9">
      <w:pPr>
        <w:spacing w:line="400" w:lineRule="exact"/>
        <w:ind w:firstLine="480" w:firstLineChars="200"/>
        <w:rPr>
          <w:rFonts w:ascii="宋体" w:hAnsi="宋体" w:cs="宋体"/>
          <w:sz w:val="24"/>
          <w:szCs w:val="24"/>
          <w:highlight w:val="none"/>
        </w:rPr>
      </w:pPr>
      <w:r>
        <w:rPr>
          <w:rFonts w:hint="eastAsia" w:ascii="宋体" w:hAnsi="宋体" w:cs="宋体"/>
          <w:sz w:val="24"/>
          <w:szCs w:val="24"/>
        </w:rPr>
        <w:t>1.竞争性磋商文件发售期：</w:t>
      </w:r>
      <w:r>
        <w:rPr>
          <w:rFonts w:hint="eastAsia" w:ascii="宋体" w:hAnsi="宋体" w:cs="宋体"/>
          <w:sz w:val="24"/>
          <w:szCs w:val="24"/>
          <w:highlight w:val="none"/>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3</w:t>
      </w:r>
      <w:r>
        <w:rPr>
          <w:rFonts w:hint="eastAsia" w:ascii="宋体" w:hAnsi="宋体" w:cs="宋体"/>
          <w:sz w:val="24"/>
          <w:szCs w:val="24"/>
          <w:highlight w:val="none"/>
        </w:rPr>
        <w:t>日至2025年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rPr>
        <w:t>日17:30。</w:t>
      </w:r>
    </w:p>
    <w:p w14:paraId="5BFDE62E">
      <w:pPr>
        <w:spacing w:line="400" w:lineRule="exact"/>
        <w:ind w:firstLine="480" w:firstLineChars="200"/>
        <w:rPr>
          <w:rFonts w:ascii="宋体" w:hAnsi="宋体" w:cs="宋体"/>
          <w:sz w:val="24"/>
          <w:szCs w:val="24"/>
        </w:rPr>
      </w:pPr>
      <w:r>
        <w:rPr>
          <w:rFonts w:hint="eastAsia" w:ascii="宋体" w:hAnsi="宋体" w:cs="宋体"/>
          <w:sz w:val="24"/>
          <w:szCs w:val="24"/>
        </w:rPr>
        <w:t>2.报名方式：</w:t>
      </w:r>
    </w:p>
    <w:p w14:paraId="008911CD">
      <w:pPr>
        <w:spacing w:line="400" w:lineRule="exact"/>
        <w:ind w:firstLine="480" w:firstLineChars="200"/>
        <w:rPr>
          <w:rFonts w:ascii="宋体" w:hAnsi="宋体" w:cs="宋体"/>
          <w:sz w:val="24"/>
          <w:szCs w:val="24"/>
        </w:rPr>
      </w:pPr>
      <w:r>
        <w:rPr>
          <w:rFonts w:hint="eastAsia" w:ascii="宋体" w:hAnsi="宋体" w:cs="宋体"/>
          <w:sz w:val="24"/>
          <w:szCs w:val="24"/>
        </w:rPr>
        <w:t>2.1现场报名及购买磋商文件</w:t>
      </w:r>
    </w:p>
    <w:p w14:paraId="3A480E6A">
      <w:pPr>
        <w:spacing w:line="400" w:lineRule="exact"/>
        <w:ind w:firstLine="480" w:firstLineChars="200"/>
        <w:rPr>
          <w:rFonts w:ascii="宋体" w:hAnsi="宋体" w:cs="宋体"/>
          <w:sz w:val="24"/>
          <w:szCs w:val="24"/>
        </w:rPr>
      </w:pPr>
      <w:r>
        <w:rPr>
          <w:rFonts w:hint="eastAsia" w:ascii="宋体" w:hAnsi="宋体" w:cs="宋体"/>
          <w:sz w:val="24"/>
          <w:szCs w:val="24"/>
        </w:rPr>
        <w:t>在报名和磋商文件发售期内，供应商到重庆市渝北区洪湖西路18号上丁企业公园18栋1楼，递交《重庆竣能工程咨询有限公司采购文件发售登记表》（加盖供应商公章）并购买磋商文件。</w:t>
      </w:r>
    </w:p>
    <w:p w14:paraId="6CDA49FB">
      <w:pPr>
        <w:spacing w:line="400" w:lineRule="exact"/>
        <w:ind w:firstLine="480" w:firstLineChars="200"/>
        <w:rPr>
          <w:rFonts w:ascii="宋体" w:hAnsi="宋体" w:cs="宋体"/>
          <w:sz w:val="24"/>
          <w:szCs w:val="24"/>
        </w:rPr>
      </w:pPr>
      <w:r>
        <w:rPr>
          <w:rFonts w:hint="eastAsia" w:ascii="宋体" w:hAnsi="宋体" w:cs="宋体"/>
          <w:sz w:val="24"/>
          <w:szCs w:val="24"/>
        </w:rPr>
        <w:t>2.2非现场报名及购买磋商文件</w:t>
      </w:r>
    </w:p>
    <w:p w14:paraId="30CED2F0">
      <w:pPr>
        <w:spacing w:line="400" w:lineRule="exact"/>
        <w:ind w:firstLine="480" w:firstLineChars="200"/>
        <w:rPr>
          <w:rFonts w:ascii="宋体" w:hAnsi="宋体" w:cs="宋体"/>
          <w:sz w:val="24"/>
          <w:szCs w:val="24"/>
        </w:rPr>
      </w:pPr>
      <w:r>
        <w:rPr>
          <w:rFonts w:hint="eastAsia" w:ascii="宋体" w:hAnsi="宋体" w:cs="宋体"/>
          <w:sz w:val="24"/>
          <w:szCs w:val="24"/>
        </w:rPr>
        <w:t>在报名和磋商文件发售期内，供应商将《重庆竣能工程咨询有限公司采购文件发售登记表》（加盖供应商公章）扫描后发送至3458595355@qq.com（邮箱）。磋商文件购买费用可在开标现场于递交响应文件截止时间前缴纳。</w:t>
      </w:r>
    </w:p>
    <w:p w14:paraId="0F35A634">
      <w:pPr>
        <w:spacing w:line="400" w:lineRule="exact"/>
        <w:ind w:firstLine="480" w:firstLineChars="200"/>
        <w:rPr>
          <w:rFonts w:ascii="宋体" w:hAnsi="宋体" w:cs="宋体"/>
          <w:sz w:val="24"/>
          <w:szCs w:val="24"/>
        </w:rPr>
      </w:pPr>
      <w:r>
        <w:rPr>
          <w:rFonts w:hint="eastAsia" w:ascii="宋体" w:hAnsi="宋体" w:cs="宋体"/>
          <w:sz w:val="24"/>
          <w:szCs w:val="24"/>
        </w:rPr>
        <w:t>2.3供应商在报名和磋商文件发售期内递交了采购文件发售登记表，并于递交响应文件截止时间前缴纳磋商文件购买费后，其报名才被接收。</w:t>
      </w:r>
    </w:p>
    <w:p w14:paraId="108D7AEE">
      <w:pPr>
        <w:spacing w:line="400" w:lineRule="exact"/>
        <w:ind w:firstLine="480" w:firstLineChars="200"/>
        <w:rPr>
          <w:rFonts w:ascii="宋体" w:hAnsi="宋体" w:cs="宋体"/>
          <w:sz w:val="24"/>
          <w:szCs w:val="24"/>
        </w:rPr>
      </w:pPr>
      <w:r>
        <w:rPr>
          <w:rFonts w:hint="eastAsia" w:ascii="宋体" w:hAnsi="宋体" w:cs="宋体"/>
          <w:sz w:val="24"/>
          <w:szCs w:val="24"/>
        </w:rPr>
        <w:t>3.竞争性磋商文件售价：人民币300元/份，磋商文件购买费由各供应商在磋商当日递交响应文件时一并缴纳。</w:t>
      </w:r>
    </w:p>
    <w:p w14:paraId="26A4E36F">
      <w:pPr>
        <w:spacing w:line="400" w:lineRule="exact"/>
        <w:ind w:firstLine="480" w:firstLineChars="200"/>
        <w:rPr>
          <w:rFonts w:ascii="宋体" w:hAnsi="宋体" w:cs="宋体"/>
          <w:sz w:val="24"/>
          <w:szCs w:val="24"/>
        </w:rPr>
      </w:pPr>
      <w:r>
        <w:rPr>
          <w:rFonts w:hint="eastAsia" w:ascii="宋体" w:hAnsi="宋体" w:cs="宋体"/>
          <w:sz w:val="24"/>
          <w:szCs w:val="24"/>
        </w:rPr>
        <w:t>（五）递交响应文件地点：重庆市南岸区花红路6号2幢203会议室</w:t>
      </w:r>
    </w:p>
    <w:p w14:paraId="3474899D">
      <w:pPr>
        <w:spacing w:line="4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（六）响应文件递交开始时间：2025年7月</w:t>
      </w:r>
      <w:r>
        <w:rPr>
          <w:rFonts w:hint="eastAsia" w:ascii="宋体" w:hAnsi="宋体" w:cs="宋体"/>
          <w:sz w:val="24"/>
          <w:szCs w:val="24"/>
          <w:lang w:val="en-US" w:eastAsia="zh-CN"/>
        </w:rPr>
        <w:t>14</w:t>
      </w:r>
      <w:r>
        <w:rPr>
          <w:rFonts w:hint="eastAsia" w:ascii="宋体" w:hAnsi="宋体" w:cs="宋体"/>
          <w:sz w:val="24"/>
          <w:szCs w:val="24"/>
        </w:rPr>
        <w:t>日北京时间9:</w:t>
      </w:r>
      <w:r>
        <w:rPr>
          <w:rFonts w:hint="eastAsia" w:ascii="宋体" w:hAnsi="宋体" w:cs="宋体"/>
          <w:sz w:val="24"/>
          <w:szCs w:val="24"/>
          <w:lang w:val="en-US" w:eastAsia="zh-CN"/>
        </w:rPr>
        <w:t>30</w:t>
      </w:r>
    </w:p>
    <w:p w14:paraId="238F163F">
      <w:pPr>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rPr>
        <w:t>（七）响应文件递交截止时间：2025年7月</w:t>
      </w:r>
      <w:r>
        <w:rPr>
          <w:rFonts w:hint="eastAsia" w:ascii="宋体" w:hAnsi="宋体" w:cs="宋体"/>
          <w:sz w:val="24"/>
          <w:szCs w:val="24"/>
          <w:lang w:val="en-US" w:eastAsia="zh-CN"/>
        </w:rPr>
        <w:t>14</w:t>
      </w:r>
      <w:r>
        <w:rPr>
          <w:rFonts w:hint="eastAsia" w:ascii="宋体" w:hAnsi="宋体" w:cs="宋体"/>
          <w:sz w:val="24"/>
          <w:szCs w:val="24"/>
        </w:rPr>
        <w:t>日北京时间</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val="en-US" w:eastAsia="zh-CN"/>
        </w:rPr>
        <w:t>00</w:t>
      </w:r>
    </w:p>
    <w:p w14:paraId="321C392D">
      <w:pPr>
        <w:spacing w:line="4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（八）磋商开始时间：2025年7月</w:t>
      </w:r>
      <w:r>
        <w:rPr>
          <w:rFonts w:hint="eastAsia" w:ascii="宋体" w:hAnsi="宋体" w:cs="宋体"/>
          <w:sz w:val="24"/>
          <w:szCs w:val="24"/>
          <w:lang w:val="en-US" w:eastAsia="zh-CN"/>
        </w:rPr>
        <w:t>14</w:t>
      </w:r>
      <w:r>
        <w:rPr>
          <w:rFonts w:hint="eastAsia" w:ascii="宋体" w:hAnsi="宋体" w:cs="宋体"/>
          <w:sz w:val="24"/>
          <w:szCs w:val="24"/>
        </w:rPr>
        <w:t>日北京时间</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val="en-US" w:eastAsia="zh-CN"/>
        </w:rPr>
        <w:t>00</w:t>
      </w:r>
    </w:p>
    <w:bookmarkEnd w:id="33"/>
    <w:p w14:paraId="7DF32023">
      <w:pPr>
        <w:pStyle w:val="4"/>
        <w:numPr>
          <w:ilvl w:val="1"/>
          <w:numId w:val="0"/>
        </w:numPr>
        <w:adjustRightInd w:val="0"/>
        <w:snapToGrid w:val="0"/>
        <w:spacing w:line="400" w:lineRule="exact"/>
        <w:rPr>
          <w:rFonts w:ascii="宋体" w:hAnsi="宋体" w:eastAsia="宋体" w:cs="宋体"/>
          <w:b/>
          <w:bCs w:val="0"/>
          <w:sz w:val="24"/>
        </w:rPr>
      </w:pPr>
      <w:bookmarkStart w:id="42" w:name="_Toc28647"/>
      <w:bookmarkStart w:id="43" w:name="_Toc24994"/>
      <w:bookmarkStart w:id="44" w:name="_Toc801"/>
      <w:bookmarkStart w:id="45" w:name="_Toc25947"/>
      <w:bookmarkStart w:id="46" w:name="_Toc2659"/>
      <w:bookmarkStart w:id="47" w:name="_Toc106030876"/>
      <w:bookmarkStart w:id="48" w:name="_Toc480466699"/>
      <w:bookmarkStart w:id="49" w:name="_Toc76462322"/>
      <w:r>
        <w:rPr>
          <w:rFonts w:hint="eastAsia" w:ascii="宋体" w:hAnsi="宋体" w:eastAsia="宋体" w:cs="宋体"/>
          <w:b/>
          <w:bCs w:val="0"/>
          <w:sz w:val="24"/>
        </w:rPr>
        <w:t>五、采购项目需落实的政府采购政策</w:t>
      </w:r>
      <w:bookmarkEnd w:id="42"/>
    </w:p>
    <w:p w14:paraId="65491748">
      <w:pPr>
        <w:spacing w:line="400" w:lineRule="exact"/>
        <w:ind w:firstLine="480" w:firstLineChars="200"/>
        <w:rPr>
          <w:rFonts w:ascii="宋体" w:hAnsi="宋体" w:cs="宋体"/>
          <w:sz w:val="24"/>
          <w:szCs w:val="24"/>
        </w:rPr>
      </w:pPr>
      <w:r>
        <w:rPr>
          <w:rFonts w:hint="eastAsia" w:ascii="宋体" w:hAnsi="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A0E2B7F">
      <w:pPr>
        <w:spacing w:line="400" w:lineRule="exact"/>
        <w:ind w:firstLine="480" w:firstLineChars="200"/>
        <w:rPr>
          <w:rFonts w:ascii="宋体" w:hAnsi="宋体" w:cs="宋体"/>
          <w:sz w:val="24"/>
          <w:szCs w:val="24"/>
        </w:rPr>
      </w:pPr>
      <w:r>
        <w:rPr>
          <w:rFonts w:hint="eastAsia" w:ascii="宋体" w:hAnsi="宋体" w:cs="宋体"/>
          <w:sz w:val="24"/>
          <w:szCs w:val="24"/>
        </w:rPr>
        <w:t>（二）按照财政部、工业和信息化部关于印发《政府采购促进中小企业发展管理办法》的通知（财库〔2020〕46号）的规定，落实促进中小企业发展政策。</w:t>
      </w:r>
    </w:p>
    <w:p w14:paraId="08DBFC8E">
      <w:pPr>
        <w:spacing w:line="400" w:lineRule="exact"/>
        <w:ind w:firstLine="480" w:firstLineChars="200"/>
        <w:rPr>
          <w:rFonts w:ascii="宋体" w:hAnsi="宋体" w:cs="宋体"/>
          <w:sz w:val="24"/>
          <w:szCs w:val="24"/>
        </w:rPr>
      </w:pPr>
      <w:r>
        <w:rPr>
          <w:rFonts w:hint="eastAsia" w:ascii="宋体" w:hAnsi="宋体" w:cs="宋体"/>
          <w:sz w:val="24"/>
          <w:szCs w:val="24"/>
        </w:rPr>
        <w:t>（三）按照《财政部、司法部关于政府采购支持监狱企业发展有关问题的通知》（财库〔2014〕68号）的规定，落实支持监狱企业发展政策。</w:t>
      </w:r>
    </w:p>
    <w:p w14:paraId="2575A839">
      <w:pPr>
        <w:spacing w:line="400" w:lineRule="exact"/>
        <w:ind w:firstLine="480" w:firstLineChars="200"/>
        <w:rPr>
          <w:rFonts w:ascii="宋体" w:hAnsi="宋体" w:cs="宋体"/>
          <w:sz w:val="24"/>
          <w:szCs w:val="24"/>
        </w:rPr>
      </w:pPr>
      <w:r>
        <w:rPr>
          <w:rFonts w:hint="eastAsia" w:ascii="宋体" w:hAnsi="宋体" w:cs="宋体"/>
          <w:sz w:val="24"/>
          <w:szCs w:val="24"/>
        </w:rPr>
        <w:t>（四）按照《三部门联合发布关于促进残疾人就业政府采购政策的通知》（财库〔2017〕 141号）的规定，落实支持残疾人福利性单位发展政策。</w:t>
      </w:r>
    </w:p>
    <w:p w14:paraId="60E1F97F">
      <w:pPr>
        <w:pStyle w:val="4"/>
        <w:numPr>
          <w:ilvl w:val="1"/>
          <w:numId w:val="0"/>
        </w:numPr>
        <w:adjustRightInd w:val="0"/>
        <w:snapToGrid w:val="0"/>
        <w:spacing w:line="400" w:lineRule="exact"/>
        <w:rPr>
          <w:rFonts w:ascii="宋体" w:hAnsi="宋体" w:eastAsia="宋体" w:cs="宋体"/>
          <w:b/>
          <w:bCs w:val="0"/>
          <w:sz w:val="24"/>
        </w:rPr>
      </w:pPr>
      <w:bookmarkStart w:id="50" w:name="_Toc20644"/>
      <w:r>
        <w:rPr>
          <w:rFonts w:hint="eastAsia" w:ascii="宋体" w:hAnsi="宋体" w:eastAsia="宋体" w:cs="宋体"/>
          <w:b/>
          <w:bCs w:val="0"/>
          <w:sz w:val="24"/>
        </w:rPr>
        <w:t>六、其它有关规定</w:t>
      </w:r>
      <w:bookmarkEnd w:id="43"/>
      <w:bookmarkEnd w:id="44"/>
      <w:bookmarkEnd w:id="45"/>
      <w:bookmarkEnd w:id="46"/>
      <w:bookmarkEnd w:id="47"/>
      <w:bookmarkEnd w:id="48"/>
      <w:bookmarkEnd w:id="49"/>
      <w:bookmarkEnd w:id="50"/>
    </w:p>
    <w:p w14:paraId="32E08A89">
      <w:pPr>
        <w:snapToGrid w:val="0"/>
        <w:spacing w:line="400" w:lineRule="exact"/>
        <w:ind w:firstLine="360" w:firstLineChars="15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（一）单位负责人为同一人或者存在直接控股、管理关系的不同供应商，不得参加同一合同项（包）下的采购活动，否则均为无效响应。</w:t>
      </w:r>
    </w:p>
    <w:p w14:paraId="24069DD5">
      <w:pPr>
        <w:snapToGrid w:val="0"/>
        <w:spacing w:line="400" w:lineRule="exact"/>
        <w:ind w:firstLine="360" w:firstLineChars="15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14:paraId="5BD5E948">
      <w:pPr>
        <w:snapToGrid w:val="0"/>
        <w:spacing w:line="400" w:lineRule="exact"/>
        <w:ind w:firstLine="360" w:firstLineChars="150"/>
        <w:rPr>
          <w:rFonts w:ascii="宋体" w:hAnsi="宋体" w:cs="宋体"/>
          <w:sz w:val="24"/>
          <w:szCs w:val="24"/>
        </w:rPr>
      </w:pPr>
      <w:r>
        <w:rPr>
          <w:rFonts w:hint="eastAsia" w:ascii="宋体" w:hAnsi="宋体" w:cs="宋体"/>
          <w:sz w:val="24"/>
          <w:szCs w:val="24"/>
        </w:rPr>
        <w:t>（三）本项目的澄清文件（如果有）一律在“行采家”（ https://www.gec123.com/）上发布，请各供应注商意下载；无论供应商下载与否，均视同供应商已知晓本项目澄清文件（如果有）的内容。</w:t>
      </w:r>
    </w:p>
    <w:p w14:paraId="0A681180">
      <w:pPr>
        <w:snapToGrid w:val="0"/>
        <w:spacing w:line="400" w:lineRule="exact"/>
        <w:ind w:firstLine="360" w:firstLineChars="150"/>
        <w:rPr>
          <w:rFonts w:ascii="宋体" w:hAnsi="宋体" w:cs="宋体"/>
          <w:sz w:val="24"/>
          <w:szCs w:val="24"/>
        </w:rPr>
      </w:pPr>
      <w:r>
        <w:rPr>
          <w:rFonts w:hint="eastAsia" w:ascii="宋体" w:hAnsi="宋体" w:cs="宋体"/>
          <w:sz w:val="24"/>
          <w:szCs w:val="24"/>
        </w:rPr>
        <w:t>（四）超过响应文件截止时间递交的响应文件，恕不接收。</w:t>
      </w:r>
    </w:p>
    <w:p w14:paraId="7DE53D35">
      <w:pPr>
        <w:snapToGrid w:val="0"/>
        <w:spacing w:line="400" w:lineRule="exact"/>
        <w:ind w:firstLine="360" w:firstLineChars="150"/>
        <w:rPr>
          <w:rFonts w:ascii="宋体" w:hAnsi="宋体" w:cs="宋体"/>
          <w:sz w:val="24"/>
          <w:szCs w:val="24"/>
        </w:rPr>
      </w:pPr>
      <w:r>
        <w:rPr>
          <w:rFonts w:hint="eastAsia" w:ascii="宋体" w:hAnsi="宋体" w:cs="宋体"/>
          <w:sz w:val="24"/>
          <w:szCs w:val="24"/>
        </w:rPr>
        <w:t>（五）磋商费用：无论磋商结果如何，供应商参与本项目磋商的所有费用均应由供应商自行承担。</w:t>
      </w:r>
    </w:p>
    <w:p w14:paraId="2B52CA07">
      <w:pPr>
        <w:snapToGrid w:val="0"/>
        <w:spacing w:line="400" w:lineRule="exact"/>
        <w:ind w:firstLine="361" w:firstLineChars="150"/>
        <w:rPr>
          <w:rFonts w:ascii="宋体" w:hAnsi="宋体" w:cs="宋体"/>
          <w:b/>
          <w:bCs/>
          <w:sz w:val="24"/>
          <w:szCs w:val="24"/>
        </w:rPr>
      </w:pPr>
      <w:r>
        <w:rPr>
          <w:rFonts w:hint="eastAsia" w:ascii="宋体" w:hAnsi="宋体" w:cs="宋体"/>
          <w:b/>
          <w:bCs/>
          <w:sz w:val="24"/>
          <w:szCs w:val="24"/>
        </w:rPr>
        <w:t>（六）本项目不接受联合体参与磋商，否则按无效处理。</w:t>
      </w:r>
    </w:p>
    <w:p w14:paraId="4EF0D8C6">
      <w:pPr>
        <w:snapToGrid w:val="0"/>
        <w:spacing w:line="400" w:lineRule="exact"/>
        <w:ind w:firstLine="361" w:firstLineChars="150"/>
        <w:rPr>
          <w:rFonts w:ascii="宋体" w:hAnsi="宋体" w:cs="宋体"/>
          <w:b/>
          <w:bCs/>
          <w:sz w:val="24"/>
          <w:szCs w:val="24"/>
        </w:rPr>
      </w:pPr>
      <w:r>
        <w:rPr>
          <w:rFonts w:hint="eastAsia" w:ascii="宋体" w:hAnsi="宋体" w:cs="宋体"/>
          <w:b/>
          <w:bCs/>
          <w:sz w:val="24"/>
          <w:szCs w:val="24"/>
        </w:rPr>
        <w:t>（七）本项目不接受合同分包，否则按无效处理。</w:t>
      </w:r>
    </w:p>
    <w:p w14:paraId="519B5874">
      <w:pPr>
        <w:snapToGrid w:val="0"/>
        <w:spacing w:line="400" w:lineRule="exact"/>
        <w:ind w:firstLine="360" w:firstLineChars="150"/>
        <w:rPr>
          <w:rFonts w:ascii="宋体" w:hAnsi="宋体" w:cs="宋体"/>
          <w:sz w:val="24"/>
          <w:szCs w:val="24"/>
        </w:rPr>
      </w:pPr>
      <w:r>
        <w:rPr>
          <w:rFonts w:hint="eastAsia" w:ascii="宋体" w:hAnsi="宋体" w:cs="宋体"/>
          <w:sz w:val="24"/>
          <w:szCs w:val="24"/>
        </w:rPr>
        <w:t>（八）</w:t>
      </w:r>
      <w:bookmarkStart w:id="51" w:name="_Toc480466700"/>
      <w:r>
        <w:rPr>
          <w:rFonts w:hint="eastAsia" w:ascii="宋体"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055682A5">
      <w:pPr>
        <w:pStyle w:val="4"/>
        <w:numPr>
          <w:ilvl w:val="1"/>
          <w:numId w:val="0"/>
        </w:numPr>
        <w:adjustRightInd w:val="0"/>
        <w:snapToGrid w:val="0"/>
        <w:spacing w:line="400" w:lineRule="exact"/>
        <w:rPr>
          <w:rFonts w:ascii="宋体" w:hAnsi="宋体" w:eastAsia="宋体" w:cs="宋体"/>
          <w:b/>
          <w:bCs w:val="0"/>
          <w:sz w:val="24"/>
        </w:rPr>
      </w:pPr>
      <w:bookmarkStart w:id="52" w:name="_Toc26964"/>
      <w:bookmarkStart w:id="53" w:name="_Toc17904"/>
      <w:bookmarkStart w:id="54" w:name="_Toc10403"/>
      <w:bookmarkStart w:id="55" w:name="_Toc76462323"/>
      <w:bookmarkStart w:id="56" w:name="_Toc19865"/>
      <w:bookmarkStart w:id="57" w:name="_Toc106030877"/>
      <w:bookmarkStart w:id="58" w:name="_Toc25021"/>
      <w:r>
        <w:rPr>
          <w:rFonts w:hint="eastAsia" w:ascii="宋体" w:hAnsi="宋体" w:eastAsia="宋体" w:cs="宋体"/>
          <w:b/>
          <w:bCs w:val="0"/>
          <w:sz w:val="24"/>
        </w:rPr>
        <w:t>七、联系方式</w:t>
      </w:r>
      <w:bookmarkEnd w:id="51"/>
      <w:bookmarkEnd w:id="52"/>
      <w:bookmarkEnd w:id="53"/>
      <w:bookmarkEnd w:id="54"/>
      <w:bookmarkEnd w:id="55"/>
      <w:bookmarkEnd w:id="56"/>
      <w:bookmarkEnd w:id="57"/>
      <w:bookmarkEnd w:id="58"/>
    </w:p>
    <w:p w14:paraId="6F02FD4E">
      <w:pPr>
        <w:snapToGrid w:val="0"/>
        <w:spacing w:line="400" w:lineRule="exact"/>
        <w:ind w:firstLine="480" w:firstLineChars="200"/>
        <w:rPr>
          <w:rFonts w:ascii="宋体" w:hAnsi="宋体" w:cs="宋体"/>
          <w:sz w:val="24"/>
          <w:szCs w:val="24"/>
        </w:rPr>
      </w:pPr>
      <w:bookmarkStart w:id="59" w:name="_Toc13219"/>
      <w:r>
        <w:rPr>
          <w:rFonts w:hint="eastAsia" w:ascii="宋体" w:hAnsi="宋体" w:cs="宋体"/>
          <w:sz w:val="24"/>
          <w:szCs w:val="24"/>
        </w:rPr>
        <w:t>（一）采购人：</w:t>
      </w:r>
      <w:bookmarkEnd w:id="59"/>
      <w:bookmarkStart w:id="60" w:name="_Toc9519"/>
      <w:r>
        <w:rPr>
          <w:rFonts w:hint="eastAsia" w:ascii="宋体" w:hAnsi="宋体" w:cs="宋体"/>
          <w:sz w:val="24"/>
          <w:szCs w:val="24"/>
        </w:rPr>
        <w:t>重庆市南岸区规划和自然资源局</w:t>
      </w:r>
    </w:p>
    <w:p w14:paraId="2FA5989E">
      <w:pPr>
        <w:snapToGrid w:val="0"/>
        <w:spacing w:line="400" w:lineRule="exact"/>
        <w:ind w:firstLine="480" w:firstLineChars="200"/>
        <w:rPr>
          <w:rFonts w:ascii="宋体" w:hAnsi="宋体" w:cs="宋体"/>
          <w:sz w:val="24"/>
          <w:szCs w:val="24"/>
        </w:rPr>
      </w:pPr>
      <w:r>
        <w:rPr>
          <w:rFonts w:hint="eastAsia" w:ascii="宋体" w:hAnsi="宋体" w:cs="宋体"/>
          <w:sz w:val="24"/>
          <w:szCs w:val="24"/>
        </w:rPr>
        <w:t>联系人：</w:t>
      </w:r>
      <w:bookmarkEnd w:id="60"/>
      <w:r>
        <w:rPr>
          <w:rFonts w:hint="eastAsia" w:ascii="宋体" w:hAnsi="宋体" w:cs="宋体"/>
          <w:sz w:val="24"/>
          <w:szCs w:val="24"/>
        </w:rPr>
        <w:t>郭老师</w:t>
      </w:r>
    </w:p>
    <w:p w14:paraId="7868FD73">
      <w:pPr>
        <w:snapToGrid w:val="0"/>
        <w:spacing w:line="400" w:lineRule="exact"/>
        <w:ind w:firstLine="480" w:firstLineChars="200"/>
        <w:rPr>
          <w:rFonts w:ascii="宋体" w:hAnsi="宋体" w:cs="宋体"/>
          <w:sz w:val="24"/>
          <w:szCs w:val="24"/>
        </w:rPr>
      </w:pPr>
      <w:bookmarkStart w:id="61" w:name="_Toc18835"/>
      <w:r>
        <w:rPr>
          <w:rFonts w:hint="eastAsia" w:ascii="宋体" w:hAnsi="宋体" w:cs="宋体"/>
          <w:sz w:val="24"/>
          <w:szCs w:val="24"/>
        </w:rPr>
        <w:t>电  话：</w:t>
      </w:r>
      <w:bookmarkEnd w:id="61"/>
      <w:r>
        <w:rPr>
          <w:rFonts w:hint="eastAsia" w:ascii="宋体" w:hAnsi="宋体" w:cs="宋体"/>
          <w:sz w:val="24"/>
          <w:szCs w:val="24"/>
        </w:rPr>
        <w:t>023-62984578</w:t>
      </w:r>
    </w:p>
    <w:p w14:paraId="2FD28F96">
      <w:pPr>
        <w:snapToGrid w:val="0"/>
        <w:spacing w:line="400" w:lineRule="exact"/>
        <w:ind w:firstLine="480" w:firstLineChars="200"/>
        <w:rPr>
          <w:rFonts w:ascii="宋体" w:hAnsi="宋体" w:cs="宋体"/>
          <w:sz w:val="24"/>
          <w:szCs w:val="24"/>
        </w:rPr>
      </w:pPr>
      <w:bookmarkStart w:id="62" w:name="_Toc29180"/>
      <w:r>
        <w:rPr>
          <w:rFonts w:hint="eastAsia" w:ascii="宋体" w:hAnsi="宋体" w:cs="宋体"/>
          <w:sz w:val="24"/>
          <w:szCs w:val="24"/>
        </w:rPr>
        <w:t>地  址：</w:t>
      </w:r>
      <w:bookmarkEnd w:id="62"/>
      <w:r>
        <w:rPr>
          <w:rFonts w:hint="eastAsia" w:ascii="宋体" w:hAnsi="宋体" w:cs="宋体"/>
          <w:sz w:val="24"/>
          <w:szCs w:val="24"/>
        </w:rPr>
        <w:t>重庆市南岸区花红路6号2幢</w:t>
      </w:r>
    </w:p>
    <w:p w14:paraId="1BB30B8D">
      <w:pPr>
        <w:snapToGrid w:val="0"/>
        <w:spacing w:line="400" w:lineRule="exact"/>
        <w:ind w:firstLine="480" w:firstLineChars="200"/>
        <w:rPr>
          <w:rFonts w:ascii="宋体" w:hAnsi="宋体" w:cs="宋体"/>
          <w:sz w:val="24"/>
          <w:szCs w:val="24"/>
        </w:rPr>
      </w:pPr>
      <w:bookmarkStart w:id="63" w:name="_Toc30190"/>
      <w:r>
        <w:rPr>
          <w:rFonts w:hint="eastAsia" w:ascii="宋体" w:hAnsi="宋体" w:cs="宋体"/>
          <w:sz w:val="24"/>
          <w:szCs w:val="24"/>
        </w:rPr>
        <w:t>（二）</w:t>
      </w:r>
      <w:bookmarkEnd w:id="63"/>
      <w:r>
        <w:rPr>
          <w:rFonts w:hint="eastAsia" w:ascii="宋体" w:hAnsi="宋体" w:cs="宋体"/>
          <w:sz w:val="24"/>
          <w:szCs w:val="24"/>
        </w:rPr>
        <w:t>采购代理机构：重庆竣能工程咨询有限公司</w:t>
      </w:r>
    </w:p>
    <w:p w14:paraId="5E44396A">
      <w:pPr>
        <w:snapToGrid w:val="0"/>
        <w:spacing w:line="400" w:lineRule="exact"/>
        <w:ind w:firstLine="480" w:firstLineChars="200"/>
        <w:rPr>
          <w:rFonts w:ascii="宋体" w:hAnsi="宋体" w:cs="宋体"/>
          <w:sz w:val="24"/>
          <w:szCs w:val="24"/>
        </w:rPr>
      </w:pPr>
      <w:r>
        <w:rPr>
          <w:rFonts w:hint="eastAsia" w:ascii="宋体" w:hAnsi="宋体" w:cs="宋体"/>
          <w:sz w:val="24"/>
          <w:szCs w:val="24"/>
        </w:rPr>
        <w:t>联系人：吴老师</w:t>
      </w:r>
    </w:p>
    <w:p w14:paraId="302A918F">
      <w:pPr>
        <w:snapToGrid w:val="0"/>
        <w:spacing w:line="400" w:lineRule="exact"/>
        <w:ind w:firstLine="480" w:firstLineChars="200"/>
        <w:rPr>
          <w:rFonts w:ascii="宋体" w:hAnsi="宋体" w:cs="宋体"/>
          <w:sz w:val="24"/>
          <w:szCs w:val="24"/>
        </w:rPr>
      </w:pPr>
      <w:r>
        <w:rPr>
          <w:rFonts w:hint="eastAsia" w:ascii="宋体" w:hAnsi="宋体" w:cs="宋体"/>
          <w:sz w:val="24"/>
          <w:szCs w:val="24"/>
        </w:rPr>
        <w:t>电  话：023-63061771</w:t>
      </w:r>
    </w:p>
    <w:p w14:paraId="2DA00154">
      <w:pPr>
        <w:snapToGrid w:val="0"/>
        <w:spacing w:line="400" w:lineRule="exact"/>
        <w:ind w:firstLine="480" w:firstLineChars="200"/>
        <w:rPr>
          <w:rFonts w:ascii="宋体" w:hAnsi="宋体" w:cs="宋体"/>
          <w:color w:val="FF0000"/>
          <w:sz w:val="24"/>
          <w:szCs w:val="24"/>
        </w:rPr>
      </w:pPr>
      <w:r>
        <w:rPr>
          <w:rFonts w:hint="eastAsia" w:ascii="宋体" w:hAnsi="宋体" w:cs="宋体"/>
          <w:sz w:val="24"/>
          <w:szCs w:val="24"/>
        </w:rPr>
        <w:t>地  址：</w:t>
      </w:r>
      <w:bookmarkStart w:id="363" w:name="_GoBack"/>
      <w:r>
        <w:rPr>
          <w:rFonts w:hint="eastAsia" w:ascii="宋体" w:hAnsi="宋体" w:cs="宋体"/>
          <w:sz w:val="24"/>
          <w:szCs w:val="24"/>
        </w:rPr>
        <w:t>重庆市渝北区洪湖西路18号上丁企业公园18栋1楼</w:t>
      </w:r>
      <w:bookmarkEnd w:id="363"/>
    </w:p>
    <w:p w14:paraId="229D48B2">
      <w:pPr>
        <w:snapToGrid w:val="0"/>
        <w:spacing w:line="400" w:lineRule="exact"/>
        <w:ind w:firstLine="482" w:firstLineChars="200"/>
        <w:rPr>
          <w:rFonts w:ascii="宋体" w:hAnsi="宋体" w:cs="宋体"/>
          <w:b/>
          <w:color w:val="FF0000"/>
          <w:sz w:val="24"/>
          <w:szCs w:val="24"/>
        </w:rPr>
        <w:sectPr>
          <w:pgSz w:w="11907" w:h="16840"/>
          <w:pgMar w:top="1134" w:right="1418" w:bottom="1134" w:left="1418" w:header="964" w:footer="992" w:gutter="0"/>
          <w:pgNumType w:fmt="numberInDash"/>
          <w:cols w:space="720" w:num="1"/>
          <w:docGrid w:linePitch="312" w:charSpace="0"/>
        </w:sectPr>
      </w:pPr>
    </w:p>
    <w:p w14:paraId="061CCAE2">
      <w:pPr>
        <w:pStyle w:val="4"/>
        <w:numPr>
          <w:ilvl w:val="1"/>
          <w:numId w:val="0"/>
        </w:numPr>
        <w:spacing w:line="360" w:lineRule="auto"/>
        <w:jc w:val="center"/>
        <w:rPr>
          <w:rFonts w:ascii="宋体" w:hAnsi="宋体" w:eastAsia="宋体" w:cs="宋体"/>
          <w:sz w:val="24"/>
          <w:szCs w:val="24"/>
        </w:rPr>
      </w:pPr>
      <w:bookmarkStart w:id="64" w:name="_Toc30919"/>
      <w:bookmarkStart w:id="65" w:name="_Toc14386"/>
      <w:bookmarkStart w:id="66" w:name="_Toc8760"/>
      <w:bookmarkStart w:id="67" w:name="_Toc76462324"/>
      <w:bookmarkStart w:id="68" w:name="_Toc20799"/>
      <w:bookmarkStart w:id="69" w:name="_Toc106030878"/>
      <w:bookmarkStart w:id="70" w:name="_Toc26073"/>
      <w:r>
        <w:rPr>
          <w:rFonts w:hint="eastAsia" w:ascii="宋体" w:hAnsi="宋体" w:eastAsia="宋体" w:cs="宋体"/>
          <w:sz w:val="36"/>
          <w:szCs w:val="30"/>
        </w:rPr>
        <w:t>第二篇  项目服务需求</w:t>
      </w:r>
      <w:bookmarkEnd w:id="64"/>
      <w:bookmarkEnd w:id="65"/>
      <w:bookmarkEnd w:id="66"/>
      <w:bookmarkEnd w:id="67"/>
      <w:bookmarkEnd w:id="68"/>
      <w:bookmarkEnd w:id="69"/>
      <w:bookmarkEnd w:id="70"/>
      <w:bookmarkStart w:id="71" w:name="_Toc76462325"/>
      <w:bookmarkStart w:id="72" w:name="_Toc12789058"/>
    </w:p>
    <w:p w14:paraId="1DF3C223">
      <w:pPr>
        <w:pStyle w:val="4"/>
        <w:numPr>
          <w:ilvl w:val="1"/>
          <w:numId w:val="0"/>
        </w:numPr>
        <w:adjustRightInd w:val="0"/>
        <w:snapToGrid w:val="0"/>
        <w:spacing w:line="400" w:lineRule="exact"/>
        <w:rPr>
          <w:rFonts w:ascii="宋体" w:hAnsi="宋体" w:eastAsia="宋体" w:cs="宋体"/>
          <w:b/>
          <w:bCs w:val="0"/>
          <w:sz w:val="24"/>
        </w:rPr>
      </w:pPr>
      <w:bookmarkStart w:id="73" w:name="_Toc4296"/>
      <w:bookmarkStart w:id="74" w:name="_Toc11510"/>
      <w:bookmarkStart w:id="75" w:name="_Toc28676"/>
      <w:bookmarkStart w:id="76" w:name="_Toc29093"/>
      <w:bookmarkStart w:id="77" w:name="_Toc4063"/>
      <w:bookmarkStart w:id="78" w:name="_Toc106030879"/>
      <w:r>
        <w:rPr>
          <w:rFonts w:hint="eastAsia" w:ascii="宋体" w:hAnsi="宋体" w:eastAsia="宋体" w:cs="宋体"/>
          <w:b/>
          <w:bCs w:val="0"/>
          <w:sz w:val="24"/>
        </w:rPr>
        <w:t>一、项目一览表</w:t>
      </w:r>
      <w:bookmarkEnd w:id="71"/>
      <w:bookmarkEnd w:id="73"/>
      <w:bookmarkEnd w:id="74"/>
      <w:bookmarkEnd w:id="75"/>
      <w:bookmarkEnd w:id="76"/>
      <w:bookmarkEnd w:id="77"/>
      <w:bookmarkEnd w:id="78"/>
    </w:p>
    <w:tbl>
      <w:tblPr>
        <w:tblStyle w:val="29"/>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6"/>
        <w:gridCol w:w="1589"/>
        <w:gridCol w:w="2377"/>
      </w:tblGrid>
      <w:tr w14:paraId="20AB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526" w:type="dxa"/>
            <w:vAlign w:val="center"/>
          </w:tcPr>
          <w:p w14:paraId="39ADD68F">
            <w:pPr>
              <w:jc w:val="center"/>
              <w:rPr>
                <w:rFonts w:ascii="宋体" w:hAnsi="宋体" w:cs="宋体"/>
                <w:b/>
                <w:bCs/>
                <w:sz w:val="24"/>
                <w:szCs w:val="24"/>
              </w:rPr>
            </w:pPr>
            <w:r>
              <w:rPr>
                <w:rFonts w:hint="eastAsia" w:ascii="宋体" w:hAnsi="宋体" w:cs="宋体"/>
                <w:b/>
                <w:bCs/>
                <w:sz w:val="24"/>
                <w:szCs w:val="24"/>
              </w:rPr>
              <w:t>磋商项目名称</w:t>
            </w:r>
          </w:p>
        </w:tc>
        <w:tc>
          <w:tcPr>
            <w:tcW w:w="1589" w:type="dxa"/>
            <w:vAlign w:val="center"/>
          </w:tcPr>
          <w:p w14:paraId="594ED5F6">
            <w:pPr>
              <w:jc w:val="center"/>
              <w:rPr>
                <w:rFonts w:ascii="宋体" w:hAnsi="宋体" w:cs="宋体"/>
                <w:b/>
                <w:bCs/>
                <w:sz w:val="24"/>
                <w:szCs w:val="24"/>
              </w:rPr>
            </w:pPr>
            <w:r>
              <w:rPr>
                <w:rFonts w:hint="eastAsia" w:ascii="宋体" w:hAnsi="宋体" w:cs="宋体"/>
                <w:b/>
                <w:bCs/>
                <w:sz w:val="24"/>
                <w:szCs w:val="24"/>
              </w:rPr>
              <w:t>数量/单位</w:t>
            </w:r>
          </w:p>
        </w:tc>
        <w:tc>
          <w:tcPr>
            <w:tcW w:w="2377" w:type="dxa"/>
            <w:vAlign w:val="center"/>
          </w:tcPr>
          <w:p w14:paraId="38D4ED87">
            <w:pPr>
              <w:jc w:val="center"/>
              <w:rPr>
                <w:rFonts w:ascii="宋体" w:hAnsi="宋体" w:cs="宋体"/>
                <w:b/>
                <w:bCs/>
                <w:sz w:val="24"/>
                <w:szCs w:val="24"/>
              </w:rPr>
            </w:pPr>
            <w:r>
              <w:rPr>
                <w:rFonts w:hint="eastAsia" w:ascii="宋体" w:hAnsi="宋体" w:cs="宋体"/>
                <w:b/>
                <w:bCs/>
                <w:sz w:val="24"/>
                <w:szCs w:val="24"/>
              </w:rPr>
              <w:t>备注</w:t>
            </w:r>
          </w:p>
        </w:tc>
      </w:tr>
      <w:tr w14:paraId="2CA7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526" w:type="dxa"/>
            <w:vAlign w:val="center"/>
          </w:tcPr>
          <w:p w14:paraId="5EDEE76A">
            <w:pPr>
              <w:jc w:val="center"/>
              <w:rPr>
                <w:rFonts w:ascii="宋体" w:hAnsi="宋体" w:cs="宋体"/>
                <w:sz w:val="24"/>
                <w:szCs w:val="24"/>
              </w:rPr>
            </w:pPr>
            <w:r>
              <w:rPr>
                <w:rFonts w:hint="eastAsia" w:ascii="宋体" w:hAnsi="宋体" w:cs="宋体"/>
                <w:sz w:val="24"/>
                <w:szCs w:val="24"/>
              </w:rPr>
              <w:t xml:space="preserve"> 南岸区15分钟高品质生活服务圈实施专项规划</w:t>
            </w:r>
          </w:p>
        </w:tc>
        <w:tc>
          <w:tcPr>
            <w:tcW w:w="1589" w:type="dxa"/>
            <w:vAlign w:val="center"/>
          </w:tcPr>
          <w:p w14:paraId="08FD2F69">
            <w:pPr>
              <w:jc w:val="center"/>
              <w:rPr>
                <w:rFonts w:ascii="宋体" w:hAnsi="宋体" w:cs="宋体"/>
                <w:sz w:val="24"/>
                <w:szCs w:val="24"/>
              </w:rPr>
            </w:pPr>
            <w:r>
              <w:rPr>
                <w:rFonts w:hint="eastAsia" w:ascii="宋体" w:hAnsi="宋体" w:cs="宋体"/>
                <w:sz w:val="24"/>
                <w:szCs w:val="24"/>
              </w:rPr>
              <w:t>1/项</w:t>
            </w:r>
          </w:p>
        </w:tc>
        <w:tc>
          <w:tcPr>
            <w:tcW w:w="2377" w:type="dxa"/>
            <w:vAlign w:val="center"/>
          </w:tcPr>
          <w:p w14:paraId="4E3E9DEC">
            <w:pPr>
              <w:spacing w:line="400" w:lineRule="exact"/>
              <w:jc w:val="center"/>
              <w:rPr>
                <w:rFonts w:ascii="宋体" w:hAnsi="宋体" w:cs="宋体"/>
                <w:sz w:val="24"/>
                <w:szCs w:val="24"/>
              </w:rPr>
            </w:pPr>
            <w:r>
              <w:rPr>
                <w:rFonts w:hint="eastAsia" w:ascii="宋体" w:hAnsi="宋体" w:cs="宋体"/>
                <w:sz w:val="24"/>
                <w:szCs w:val="24"/>
              </w:rPr>
              <w:t>具体内容详见下文</w:t>
            </w:r>
          </w:p>
        </w:tc>
      </w:tr>
    </w:tbl>
    <w:p w14:paraId="174BB81F">
      <w:pPr>
        <w:pStyle w:val="4"/>
        <w:numPr>
          <w:ilvl w:val="1"/>
          <w:numId w:val="0"/>
        </w:numPr>
        <w:spacing w:line="360" w:lineRule="auto"/>
        <w:rPr>
          <w:rFonts w:ascii="宋体" w:hAnsi="宋体" w:eastAsia="宋体" w:cs="宋体"/>
          <w:b/>
          <w:sz w:val="24"/>
        </w:rPr>
      </w:pPr>
      <w:bookmarkStart w:id="79" w:name="_Toc21264"/>
      <w:bookmarkStart w:id="80" w:name="_Toc106030882"/>
      <w:bookmarkStart w:id="81" w:name="_Toc76462327"/>
      <w:bookmarkStart w:id="82" w:name="_Toc23407"/>
      <w:r>
        <w:rPr>
          <w:rFonts w:hint="eastAsia" w:ascii="宋体" w:hAnsi="宋体" w:eastAsia="宋体" w:cs="宋体"/>
          <w:b/>
          <w:sz w:val="24"/>
        </w:rPr>
        <w:t>二、技术标准</w:t>
      </w:r>
      <w:bookmarkEnd w:id="79"/>
    </w:p>
    <w:bookmarkEnd w:id="72"/>
    <w:bookmarkEnd w:id="80"/>
    <w:bookmarkEnd w:id="81"/>
    <w:bookmarkEnd w:id="82"/>
    <w:p w14:paraId="671A4CF1">
      <w:pPr>
        <w:spacing w:line="360" w:lineRule="auto"/>
        <w:rPr>
          <w:b/>
          <w:bCs/>
          <w:sz w:val="24"/>
          <w:szCs w:val="24"/>
        </w:rPr>
      </w:pPr>
      <w:bookmarkStart w:id="83" w:name="_Toc28341"/>
      <w:bookmarkStart w:id="84" w:name="_Toc832"/>
      <w:bookmarkStart w:id="85" w:name="_Toc24430"/>
      <w:bookmarkStart w:id="86" w:name="_Toc1794"/>
      <w:bookmarkStart w:id="87" w:name="_Toc26338"/>
      <w:bookmarkStart w:id="88" w:name="_Toc12519"/>
      <w:bookmarkStart w:id="89" w:name="_Toc16585"/>
      <w:bookmarkStart w:id="90" w:name="_Toc4922"/>
      <w:bookmarkStart w:id="91" w:name="_Toc20395"/>
      <w:bookmarkStart w:id="92" w:name="_Toc4804"/>
      <w:r>
        <w:rPr>
          <w:rFonts w:hint="eastAsia"/>
          <w:b/>
          <w:bCs/>
          <w:sz w:val="24"/>
          <w:szCs w:val="24"/>
        </w:rPr>
        <w:t>（一）项目基本概况介绍</w:t>
      </w:r>
      <w:bookmarkEnd w:id="83"/>
      <w:bookmarkStart w:id="93" w:name="_Toc5762"/>
    </w:p>
    <w:bookmarkEnd w:id="93"/>
    <w:p w14:paraId="52D474F9">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社会民生领域改革专项小组关于印发重庆市打造“15分钟高品质生活服务圈”改革方案的通知》和《重庆市发展与改革委员会关于全面开展“15分钟高品质生活服务圈”创建工作的通知》工作部署，按照《重庆市15分钟生活圈规划导则》，开展“南岸区15分钟高品质生活服务圈”规划编制。</w:t>
      </w:r>
    </w:p>
    <w:p w14:paraId="408257FF">
      <w:pPr>
        <w:spacing w:line="360" w:lineRule="auto"/>
        <w:rPr>
          <w:b/>
          <w:bCs/>
          <w:sz w:val="24"/>
          <w:szCs w:val="24"/>
        </w:rPr>
      </w:pPr>
      <w:bookmarkStart w:id="94" w:name="_Toc13998"/>
      <w:r>
        <w:rPr>
          <w:rFonts w:hint="eastAsia"/>
          <w:b/>
          <w:bCs/>
          <w:sz w:val="24"/>
          <w:szCs w:val="24"/>
        </w:rPr>
        <w:t>（二）服务内容及要求</w:t>
      </w:r>
      <w:bookmarkEnd w:id="94"/>
    </w:p>
    <w:bookmarkEnd w:id="84"/>
    <w:bookmarkEnd w:id="85"/>
    <w:bookmarkEnd w:id="86"/>
    <w:bookmarkEnd w:id="87"/>
    <w:bookmarkEnd w:id="88"/>
    <w:bookmarkEnd w:id="89"/>
    <w:p w14:paraId="2AA95B00">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本次区级生活圈专项规划主要工作内容如下:</w:t>
      </w:r>
    </w:p>
    <w:p w14:paraId="726A4EEE">
      <w:pPr>
        <w:numPr>
          <w:ilvl w:val="0"/>
          <w:numId w:val="2"/>
        </w:num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对南岸区生活圈服务要素进行现状摸底调查；</w:t>
      </w:r>
    </w:p>
    <w:p w14:paraId="2F54A93E">
      <w:pPr>
        <w:numPr>
          <w:ilvl w:val="0"/>
          <w:numId w:val="2"/>
        </w:num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按照生活圈评价要求，评价全区生活圈现状情况，形成南岸区15分钟生活圈现状评估一张图；</w:t>
      </w:r>
    </w:p>
    <w:p w14:paraId="3C831AB1">
      <w:pPr>
        <w:numPr>
          <w:ilvl w:val="0"/>
          <w:numId w:val="2"/>
        </w:num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以上位要求为指引，结合现状调研情况优化15分钟生活圈边界和类型；</w:t>
      </w:r>
    </w:p>
    <w:p w14:paraId="5AE8DD00">
      <w:pPr>
        <w:numPr>
          <w:ilvl w:val="0"/>
          <w:numId w:val="2"/>
        </w:num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结合现状调研，以“因地制宜，尽力而为，量力而行”为原则，提出全区各个生活圈类型提升目标，形成南岸区15分钟生活圈“一图一表”，明确现状类型、提升目标、实现目标的年限，为规划实施行动的开展提供支撑；</w:t>
      </w:r>
    </w:p>
    <w:p w14:paraId="0230CBC8">
      <w:pPr>
        <w:numPr>
          <w:ilvl w:val="0"/>
          <w:numId w:val="2"/>
        </w:num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结合现状评价、居民需求调查、提升目标，以单个生活圈为单元制定各个生活圈的提升指引；</w:t>
      </w:r>
    </w:p>
    <w:p w14:paraId="7B148E24">
      <w:pPr>
        <w:numPr>
          <w:ilvl w:val="0"/>
          <w:numId w:val="2"/>
        </w:num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结合现状调研、居民需求调查、生活圈提升目标以及区级部门相关工作计划，制定区级年度实施项目清单。</w:t>
      </w:r>
    </w:p>
    <w:p w14:paraId="51DBE057">
      <w:pPr>
        <w:snapToGrid w:val="0"/>
        <w:spacing w:line="360" w:lineRule="auto"/>
        <w:rPr>
          <w:rFonts w:ascii="宋体" w:hAnsi="宋体" w:cs="宋体"/>
          <w:color w:val="000000" w:themeColor="text1"/>
          <w:sz w:val="24"/>
          <w:szCs w:val="24"/>
          <w14:textFill>
            <w14:solidFill>
              <w14:schemeClr w14:val="tx1"/>
            </w14:solidFill>
          </w14:textFill>
        </w:rPr>
      </w:pPr>
    </w:p>
    <w:p w14:paraId="2324679F">
      <w:pPr>
        <w:snapToGrid w:val="0"/>
        <w:spacing w:line="360" w:lineRule="auto"/>
        <w:rPr>
          <w:rFonts w:ascii="宋体" w:hAnsi="宋体" w:cs="宋体"/>
          <w:color w:val="000000" w:themeColor="text1"/>
          <w:sz w:val="24"/>
          <w:szCs w:val="24"/>
          <w14:textFill>
            <w14:solidFill>
              <w14:schemeClr w14:val="tx1"/>
            </w14:solidFill>
          </w14:textFill>
        </w:rPr>
      </w:pPr>
    </w:p>
    <w:p w14:paraId="57499968">
      <w:pPr>
        <w:snapToGrid w:val="0"/>
        <w:spacing w:line="360" w:lineRule="auto"/>
        <w:rPr>
          <w:rFonts w:ascii="宋体" w:hAnsi="宋体" w:cs="宋体"/>
          <w:color w:val="000000" w:themeColor="text1"/>
          <w:sz w:val="24"/>
          <w:szCs w:val="24"/>
          <w14:textFill>
            <w14:solidFill>
              <w14:schemeClr w14:val="tx1"/>
            </w14:solidFill>
          </w14:textFill>
        </w:rPr>
      </w:pPr>
    </w:p>
    <w:p w14:paraId="51E6B3BC">
      <w:pPr>
        <w:snapToGrid w:val="0"/>
        <w:spacing w:line="360" w:lineRule="auto"/>
        <w:rPr>
          <w:rFonts w:ascii="宋体" w:hAnsi="宋体" w:cs="宋体"/>
          <w:color w:val="000000" w:themeColor="text1"/>
          <w:sz w:val="24"/>
          <w:szCs w:val="24"/>
          <w14:textFill>
            <w14:solidFill>
              <w14:schemeClr w14:val="tx1"/>
            </w14:solidFill>
          </w14:textFill>
        </w:rPr>
      </w:pPr>
    </w:p>
    <w:p w14:paraId="4178BB49">
      <w:pPr>
        <w:snapToGrid w:val="0"/>
        <w:spacing w:line="360" w:lineRule="auto"/>
        <w:rPr>
          <w:rFonts w:ascii="宋体" w:hAnsi="宋体" w:cs="宋体"/>
          <w:color w:val="000000" w:themeColor="text1"/>
          <w:sz w:val="24"/>
          <w:szCs w:val="24"/>
          <w14:textFill>
            <w14:solidFill>
              <w14:schemeClr w14:val="tx1"/>
            </w14:solidFill>
          </w14:textFill>
        </w:rPr>
      </w:pPr>
    </w:p>
    <w:p w14:paraId="0AE90AD4">
      <w:pPr>
        <w:pStyle w:val="4"/>
        <w:numPr>
          <w:ilvl w:val="1"/>
          <w:numId w:val="0"/>
        </w:numPr>
        <w:spacing w:line="360" w:lineRule="auto"/>
        <w:jc w:val="center"/>
        <w:rPr>
          <w:rFonts w:ascii="宋体" w:hAnsi="宋体" w:eastAsia="宋体" w:cs="宋体"/>
          <w:sz w:val="36"/>
          <w:szCs w:val="30"/>
        </w:rPr>
      </w:pPr>
      <w:bookmarkStart w:id="95" w:name="_Toc22977"/>
      <w:r>
        <w:rPr>
          <w:rFonts w:hint="eastAsia" w:ascii="宋体" w:hAnsi="宋体" w:eastAsia="宋体" w:cs="宋体"/>
          <w:sz w:val="36"/>
          <w:szCs w:val="30"/>
        </w:rPr>
        <w:t>第三篇  项目商务需求</w:t>
      </w:r>
      <w:bookmarkEnd w:id="90"/>
      <w:bookmarkEnd w:id="91"/>
      <w:bookmarkEnd w:id="92"/>
      <w:bookmarkEnd w:id="95"/>
    </w:p>
    <w:p w14:paraId="30253AD9">
      <w:pPr>
        <w:pStyle w:val="4"/>
        <w:numPr>
          <w:ilvl w:val="1"/>
          <w:numId w:val="0"/>
        </w:numPr>
        <w:spacing w:line="400" w:lineRule="exact"/>
        <w:rPr>
          <w:rFonts w:ascii="宋体" w:hAnsi="宋体" w:eastAsia="宋体" w:cs="宋体"/>
          <w:b/>
          <w:sz w:val="24"/>
        </w:rPr>
      </w:pPr>
      <w:bookmarkStart w:id="96" w:name="_Toc23093"/>
      <w:bookmarkStart w:id="97" w:name="_Toc76373877"/>
      <w:bookmarkStart w:id="98" w:name="_Toc10278"/>
      <w:bookmarkStart w:id="99" w:name="_Toc3228"/>
      <w:bookmarkStart w:id="100" w:name="_Toc21950"/>
      <w:bookmarkStart w:id="101" w:name="_Toc28613"/>
      <w:bookmarkStart w:id="102" w:name="_Toc267320049"/>
      <w:bookmarkStart w:id="103" w:name="_Toc8671"/>
      <w:bookmarkStart w:id="104" w:name="_Toc9232"/>
      <w:bookmarkStart w:id="105" w:name="_Toc2135"/>
      <w:bookmarkStart w:id="106" w:name="_Toc13005"/>
      <w:bookmarkStart w:id="107" w:name="_Toc14015"/>
      <w:r>
        <w:rPr>
          <w:rFonts w:hint="eastAsia" w:ascii="宋体" w:hAnsi="宋体" w:eastAsia="宋体" w:cs="宋体"/>
          <w:b/>
          <w:sz w:val="24"/>
          <w:szCs w:val="24"/>
        </w:rPr>
        <w:t>一、</w:t>
      </w:r>
      <w:bookmarkEnd w:id="96"/>
      <w:bookmarkEnd w:id="97"/>
      <w:bookmarkEnd w:id="98"/>
      <w:bookmarkEnd w:id="99"/>
      <w:bookmarkEnd w:id="100"/>
      <w:bookmarkEnd w:id="101"/>
      <w:bookmarkEnd w:id="102"/>
      <w:bookmarkEnd w:id="103"/>
      <w:r>
        <w:rPr>
          <w:rFonts w:hint="eastAsia" w:ascii="宋体" w:hAnsi="宋体" w:eastAsia="宋体" w:cs="宋体"/>
          <w:b/>
          <w:sz w:val="24"/>
        </w:rPr>
        <w:t>服务期</w:t>
      </w:r>
      <w:bookmarkEnd w:id="104"/>
      <w:bookmarkEnd w:id="105"/>
      <w:bookmarkEnd w:id="106"/>
      <w:r>
        <w:rPr>
          <w:rFonts w:hint="eastAsia" w:ascii="宋体" w:hAnsi="宋体" w:eastAsia="宋体" w:cs="宋体"/>
          <w:b/>
          <w:sz w:val="24"/>
        </w:rPr>
        <w:t>、服务地点、验收方式</w:t>
      </w:r>
      <w:bookmarkEnd w:id="107"/>
    </w:p>
    <w:p w14:paraId="42C3C05F">
      <w:pPr>
        <w:snapToGrid w:val="0"/>
        <w:spacing w:line="400" w:lineRule="exact"/>
        <w:ind w:firstLine="480" w:firstLineChars="200"/>
        <w:rPr>
          <w:rFonts w:ascii="宋体" w:hAnsi="宋体" w:cs="宋体"/>
          <w:sz w:val="24"/>
          <w:szCs w:val="24"/>
        </w:rPr>
      </w:pPr>
      <w:bookmarkStart w:id="108" w:name="_Toc11367"/>
      <w:bookmarkStart w:id="109" w:name="_Toc10103"/>
      <w:bookmarkStart w:id="110" w:name="_Toc17044"/>
      <w:bookmarkStart w:id="111" w:name="_Toc31871"/>
      <w:bookmarkStart w:id="112" w:name="_Toc16277"/>
      <w:bookmarkStart w:id="113" w:name="_Toc76373878"/>
      <w:bookmarkStart w:id="114" w:name="_Toc25977"/>
      <w:bookmarkStart w:id="115" w:name="_Toc267320050"/>
      <w:r>
        <w:rPr>
          <w:rFonts w:hint="eastAsia" w:ascii="宋体" w:hAnsi="宋体" w:cs="宋体"/>
          <w:sz w:val="24"/>
          <w:szCs w:val="24"/>
        </w:rPr>
        <w:t>（一）服务期：合同签订之日起180个日历天。</w:t>
      </w:r>
    </w:p>
    <w:p w14:paraId="004970A8">
      <w:pPr>
        <w:snapToGrid w:val="0"/>
        <w:spacing w:line="400" w:lineRule="exact"/>
        <w:ind w:firstLine="480" w:firstLineChars="200"/>
        <w:rPr>
          <w:rFonts w:ascii="宋体" w:hAnsi="宋体" w:cs="宋体"/>
          <w:sz w:val="24"/>
          <w:szCs w:val="24"/>
        </w:rPr>
      </w:pPr>
      <w:r>
        <w:rPr>
          <w:rFonts w:hint="eastAsia" w:ascii="宋体" w:hAnsi="宋体" w:cs="宋体"/>
          <w:sz w:val="24"/>
          <w:szCs w:val="24"/>
        </w:rPr>
        <w:t>（二）服务地点：采购人指定地点。</w:t>
      </w:r>
    </w:p>
    <w:p w14:paraId="5E78F4E1">
      <w:pPr>
        <w:snapToGrid w:val="0"/>
        <w:spacing w:line="400" w:lineRule="exact"/>
        <w:ind w:firstLine="480" w:firstLineChars="200"/>
        <w:rPr>
          <w:rFonts w:ascii="宋体" w:hAnsi="宋体" w:cs="宋体"/>
          <w:sz w:val="24"/>
          <w:szCs w:val="24"/>
        </w:rPr>
      </w:pPr>
      <w:r>
        <w:rPr>
          <w:rFonts w:hint="eastAsia" w:ascii="宋体" w:hAnsi="宋体" w:cs="宋体"/>
          <w:sz w:val="24"/>
          <w:szCs w:val="24"/>
        </w:rPr>
        <w:t>（三）验收方式：采购人负责验收，成交供应商予以协助。</w:t>
      </w:r>
    </w:p>
    <w:p w14:paraId="05507209">
      <w:pPr>
        <w:pStyle w:val="4"/>
        <w:numPr>
          <w:ilvl w:val="1"/>
          <w:numId w:val="0"/>
        </w:numPr>
        <w:spacing w:line="400" w:lineRule="exact"/>
        <w:rPr>
          <w:rFonts w:ascii="宋体" w:hAnsi="宋体" w:eastAsia="宋体" w:cs="宋体"/>
          <w:b/>
          <w:sz w:val="24"/>
          <w:szCs w:val="24"/>
        </w:rPr>
      </w:pPr>
      <w:bookmarkStart w:id="116" w:name="_Toc32645"/>
      <w:r>
        <w:rPr>
          <w:rFonts w:hint="eastAsia" w:ascii="宋体" w:hAnsi="宋体" w:eastAsia="宋体" w:cs="宋体"/>
          <w:b/>
          <w:sz w:val="24"/>
          <w:szCs w:val="24"/>
        </w:rPr>
        <w:t>二、</w:t>
      </w:r>
      <w:bookmarkEnd w:id="108"/>
      <w:bookmarkEnd w:id="109"/>
      <w:bookmarkEnd w:id="110"/>
      <w:bookmarkEnd w:id="111"/>
      <w:r>
        <w:rPr>
          <w:rFonts w:hint="eastAsia" w:ascii="宋体" w:hAnsi="宋体" w:eastAsia="宋体" w:cs="宋体"/>
          <w:b/>
          <w:sz w:val="24"/>
          <w:szCs w:val="24"/>
        </w:rPr>
        <w:t>报价要求</w:t>
      </w:r>
      <w:bookmarkEnd w:id="116"/>
    </w:p>
    <w:p w14:paraId="4FDAB03F">
      <w:pPr>
        <w:snapToGrid w:val="0"/>
        <w:spacing w:line="400" w:lineRule="exact"/>
        <w:ind w:firstLine="480" w:firstLineChars="200"/>
        <w:rPr>
          <w:rFonts w:ascii="宋体" w:hAnsi="宋体" w:cs="宋体"/>
          <w:sz w:val="24"/>
          <w:szCs w:val="24"/>
        </w:rPr>
      </w:pPr>
      <w:r>
        <w:rPr>
          <w:rFonts w:hint="eastAsia" w:ascii="宋体" w:hAnsi="宋体" w:cs="宋体"/>
          <w:sz w:val="24"/>
          <w:szCs w:val="24"/>
        </w:rPr>
        <w:t>本项目为人民币报价。磋商报价包括完成本项目所需的</w:t>
      </w:r>
      <w:r>
        <w:rPr>
          <w:rFonts w:hint="eastAsia" w:ascii="宋体" w:hAnsi="宋体" w:cs="宋体"/>
          <w:color w:val="000000" w:themeColor="text1"/>
          <w:sz w:val="24"/>
          <w:szCs w:val="24"/>
          <w14:textFill>
            <w14:solidFill>
              <w14:schemeClr w14:val="tx1"/>
            </w14:solidFill>
          </w14:textFill>
        </w:rPr>
        <w:t>服务费、调研费、技术咨询费、文件编制费、验收评审费、税费、人工费、交通费、保险费</w:t>
      </w:r>
      <w:r>
        <w:rPr>
          <w:rFonts w:hint="eastAsia" w:ascii="宋体" w:hAnsi="宋体" w:cs="宋体"/>
          <w:sz w:val="24"/>
          <w:szCs w:val="24"/>
        </w:rPr>
        <w:t>等所有费用等完成本项目所需的所有费用。因成交供应商自身原因造成漏报、少报皆由其自行承担责任，采购人不再补偿。</w:t>
      </w:r>
      <w:bookmarkStart w:id="117" w:name="_Toc9937"/>
      <w:bookmarkStart w:id="118" w:name="_Toc31443"/>
      <w:bookmarkStart w:id="119" w:name="_Toc29365"/>
      <w:bookmarkStart w:id="120" w:name="_Toc21511"/>
    </w:p>
    <w:p w14:paraId="4440C30A">
      <w:pPr>
        <w:pStyle w:val="4"/>
        <w:numPr>
          <w:ilvl w:val="1"/>
          <w:numId w:val="0"/>
        </w:numPr>
        <w:spacing w:line="400" w:lineRule="exact"/>
        <w:rPr>
          <w:rFonts w:ascii="宋体" w:hAnsi="宋体" w:eastAsia="宋体" w:cs="宋体"/>
          <w:b/>
          <w:sz w:val="24"/>
          <w:szCs w:val="24"/>
        </w:rPr>
      </w:pPr>
      <w:bookmarkStart w:id="121" w:name="_Toc11555"/>
      <w:r>
        <w:rPr>
          <w:rFonts w:hint="eastAsia" w:ascii="宋体" w:hAnsi="宋体" w:eastAsia="宋体" w:cs="宋体"/>
          <w:b/>
          <w:sz w:val="24"/>
          <w:szCs w:val="24"/>
        </w:rPr>
        <w:t>三、</w:t>
      </w:r>
      <w:bookmarkEnd w:id="112"/>
      <w:bookmarkEnd w:id="113"/>
      <w:bookmarkEnd w:id="114"/>
      <w:bookmarkEnd w:id="117"/>
      <w:bookmarkEnd w:id="118"/>
      <w:bookmarkEnd w:id="119"/>
      <w:bookmarkEnd w:id="120"/>
      <w:r>
        <w:rPr>
          <w:rFonts w:hint="eastAsia" w:ascii="宋体" w:hAnsi="宋体" w:eastAsia="宋体" w:cs="宋体"/>
          <w:b/>
          <w:sz w:val="24"/>
          <w:szCs w:val="24"/>
        </w:rPr>
        <w:t>付款方式</w:t>
      </w:r>
      <w:bookmarkEnd w:id="121"/>
    </w:p>
    <w:bookmarkEnd w:id="115"/>
    <w:p w14:paraId="5EE375FD">
      <w:pPr>
        <w:spacing w:line="360" w:lineRule="auto"/>
        <w:ind w:firstLine="480" w:firstLineChars="200"/>
        <w:rPr>
          <w:rFonts w:ascii="宋体" w:hAnsi="宋体" w:cs="宋体"/>
          <w:sz w:val="24"/>
          <w:szCs w:val="24"/>
        </w:rPr>
      </w:pPr>
      <w:bookmarkStart w:id="122" w:name="_Toc32008"/>
      <w:bookmarkStart w:id="123" w:name="_Toc31346"/>
      <w:bookmarkStart w:id="124" w:name="_Toc30396"/>
      <w:bookmarkStart w:id="125" w:name="_Toc76373881"/>
      <w:bookmarkStart w:id="126" w:name="_Toc11159"/>
      <w:bookmarkStart w:id="127" w:name="_Toc22056"/>
      <w:bookmarkStart w:id="128" w:name="_Toc21764"/>
      <w:bookmarkStart w:id="129" w:name="_Toc267320052"/>
      <w:r>
        <w:rPr>
          <w:rFonts w:hint="eastAsia" w:ascii="宋体" w:hAnsi="宋体" w:cs="宋体"/>
          <w:sz w:val="24"/>
          <w:szCs w:val="24"/>
        </w:rPr>
        <w:t>本合同签订后，中标人提供经采购人验收合格的项目所有成果和报告并开具剩余未支付价款额度的正式发票，采购人原则上在收到供应商开具的发票后十个工作日内支付合同总金额</w:t>
      </w:r>
      <w:r>
        <w:rPr>
          <w:rFonts w:ascii="宋体" w:hAnsi="宋体" w:cs="宋体"/>
          <w:sz w:val="24"/>
          <w:szCs w:val="24"/>
        </w:rPr>
        <w:t>10</w:t>
      </w:r>
      <w:r>
        <w:rPr>
          <w:rFonts w:hint="eastAsia" w:ascii="宋体" w:hAnsi="宋体" w:cs="宋体"/>
          <w:sz w:val="24"/>
          <w:szCs w:val="24"/>
        </w:rPr>
        <w:t>0%。</w:t>
      </w:r>
    </w:p>
    <w:p w14:paraId="6C13D57D">
      <w:pPr>
        <w:pStyle w:val="4"/>
        <w:numPr>
          <w:ilvl w:val="1"/>
          <w:numId w:val="0"/>
        </w:numPr>
        <w:spacing w:line="400" w:lineRule="exact"/>
        <w:rPr>
          <w:rFonts w:ascii="宋体" w:hAnsi="宋体" w:eastAsia="宋体" w:cs="宋体"/>
          <w:b/>
          <w:sz w:val="24"/>
          <w:szCs w:val="24"/>
        </w:rPr>
      </w:pPr>
      <w:bookmarkStart w:id="130" w:name="_Toc22251"/>
      <w:r>
        <w:rPr>
          <w:rFonts w:hint="eastAsia" w:ascii="宋体" w:hAnsi="宋体" w:eastAsia="宋体" w:cs="宋体"/>
          <w:b/>
          <w:sz w:val="24"/>
          <w:szCs w:val="24"/>
        </w:rPr>
        <w:t>四、售后服务及质量保</w:t>
      </w:r>
      <w:bookmarkEnd w:id="130"/>
    </w:p>
    <w:p w14:paraId="37EC179C">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（一）质量保证期：自验收合格之日起，提供1年的免费服务质保期。</w:t>
      </w:r>
    </w:p>
    <w:p w14:paraId="24CEB1B2">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（二）售后服务内容</w:t>
      </w:r>
    </w:p>
    <w:p w14:paraId="44AE7FC1">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成交供应商在服务质保期内应当为采购人提供以下技术支持服务：</w:t>
      </w:r>
    </w:p>
    <w:p w14:paraId="2B5D6415">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1、质量保证期内服务要求</w:t>
      </w:r>
    </w:p>
    <w:p w14:paraId="37E02501">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（1）电话咨询</w:t>
      </w:r>
    </w:p>
    <w:p w14:paraId="4CF09C3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成交供应商应当为用户提供技术援助电话，解答用户在使用中遇到的问题，及时为用户提出解决问题的建议。</w:t>
      </w:r>
    </w:p>
    <w:p w14:paraId="3CB40B3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（2）现场响应</w:t>
      </w:r>
    </w:p>
    <w:p w14:paraId="27B4BF65">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用户遇到使用及技术问题，电话咨询不能解决的，成交供应商应在3小时内采取相应响应措施；无法在24小时内解决的，应在24小时内派出专业人员进行技术支持。</w:t>
      </w:r>
    </w:p>
    <w:p w14:paraId="370FB1E4">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2、质保期外服务要求</w:t>
      </w:r>
    </w:p>
    <w:p w14:paraId="578290BA">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（1）质量保证期过后，成交供应商应同样提供免费电话咨询服务，并应承诺提供上门维护服务。</w:t>
      </w:r>
    </w:p>
    <w:p w14:paraId="25B9EB54">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（2）质量保证期过后，采购人需要继续由原成交供应商提供售后服务的，成交供应商应以优惠价格提供售后服务。</w:t>
      </w:r>
    </w:p>
    <w:p w14:paraId="0E9E989D">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3、后期维护：成交供应商应承诺对质保期内项目成果质量问题负责处理解决。</w:t>
      </w:r>
    </w:p>
    <w:p w14:paraId="21E0CCF1">
      <w:pPr>
        <w:pStyle w:val="4"/>
        <w:numPr>
          <w:ilvl w:val="1"/>
          <w:numId w:val="0"/>
        </w:numPr>
        <w:spacing w:line="400" w:lineRule="exact"/>
        <w:rPr>
          <w:rFonts w:ascii="宋体" w:hAnsi="宋体" w:eastAsia="宋体" w:cs="宋体"/>
          <w:b/>
          <w:sz w:val="24"/>
          <w:szCs w:val="24"/>
        </w:rPr>
      </w:pPr>
      <w:bookmarkStart w:id="131" w:name="_Toc8801"/>
      <w:r>
        <w:rPr>
          <w:rFonts w:hint="eastAsia" w:ascii="宋体" w:hAnsi="宋体" w:eastAsia="宋体" w:cs="宋体"/>
          <w:b/>
          <w:sz w:val="24"/>
          <w:szCs w:val="24"/>
        </w:rPr>
        <w:t>五、知识产权</w:t>
      </w:r>
      <w:bookmarkEnd w:id="122"/>
      <w:bookmarkEnd w:id="123"/>
      <w:bookmarkEnd w:id="124"/>
      <w:bookmarkEnd w:id="125"/>
      <w:bookmarkEnd w:id="126"/>
      <w:bookmarkEnd w:id="127"/>
      <w:bookmarkEnd w:id="128"/>
      <w:bookmarkEnd w:id="129"/>
      <w:bookmarkEnd w:id="131"/>
    </w:p>
    <w:p w14:paraId="5181DA31">
      <w:pPr>
        <w:snapToGrid w:val="0"/>
        <w:spacing w:line="400" w:lineRule="exact"/>
        <w:ind w:firstLine="480" w:firstLineChars="200"/>
        <w:rPr>
          <w:rFonts w:ascii="宋体" w:hAnsi="宋体" w:cs="宋体"/>
          <w:sz w:val="24"/>
          <w:szCs w:val="24"/>
        </w:rPr>
      </w:pPr>
      <w:r>
        <w:rPr>
          <w:rFonts w:hint="eastAsia" w:ascii="宋体" w:hAnsi="宋体" w:cs="宋体"/>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547F2337">
      <w:pPr>
        <w:snapToGrid w:val="0"/>
        <w:spacing w:line="400" w:lineRule="exact"/>
        <w:ind w:firstLine="480" w:firstLineChars="200"/>
        <w:rPr>
          <w:rFonts w:ascii="宋体" w:hAnsi="宋体" w:cs="宋体"/>
          <w:sz w:val="24"/>
          <w:szCs w:val="24"/>
        </w:rPr>
      </w:pPr>
      <w:r>
        <w:rPr>
          <w:rFonts w:hint="eastAsia" w:ascii="宋体" w:hAnsi="宋体" w:cs="宋体"/>
          <w:sz w:val="24"/>
          <w:szCs w:val="24"/>
        </w:rPr>
        <w:t>（注：若涉及软件开发等服务类项目知识产权的，知识产权归采购人所有）。</w:t>
      </w:r>
    </w:p>
    <w:p w14:paraId="17129B92">
      <w:pPr>
        <w:pStyle w:val="4"/>
        <w:numPr>
          <w:ilvl w:val="1"/>
          <w:numId w:val="0"/>
        </w:numPr>
        <w:spacing w:line="400" w:lineRule="exact"/>
        <w:rPr>
          <w:rFonts w:ascii="宋体" w:hAnsi="宋体" w:eastAsia="宋体" w:cs="宋体"/>
          <w:b/>
          <w:sz w:val="24"/>
          <w:szCs w:val="24"/>
        </w:rPr>
      </w:pPr>
      <w:bookmarkStart w:id="132" w:name="_Toc76373883"/>
      <w:bookmarkStart w:id="133" w:name="_Toc13865"/>
      <w:bookmarkStart w:id="134" w:name="_Toc32649"/>
      <w:bookmarkStart w:id="135" w:name="_Toc1051"/>
      <w:bookmarkStart w:id="136" w:name="_Toc28960"/>
      <w:bookmarkStart w:id="137" w:name="_Toc27211"/>
      <w:bookmarkStart w:id="138" w:name="_Toc22507"/>
      <w:bookmarkStart w:id="139" w:name="_Toc897"/>
      <w:r>
        <w:rPr>
          <w:rFonts w:hint="eastAsia" w:ascii="宋体" w:hAnsi="宋体" w:eastAsia="宋体" w:cs="宋体"/>
          <w:b/>
          <w:sz w:val="24"/>
          <w:szCs w:val="24"/>
        </w:rPr>
        <w:t>六、其他</w:t>
      </w:r>
      <w:bookmarkEnd w:id="132"/>
      <w:bookmarkEnd w:id="133"/>
      <w:bookmarkEnd w:id="134"/>
      <w:bookmarkEnd w:id="135"/>
      <w:bookmarkEnd w:id="136"/>
      <w:bookmarkEnd w:id="137"/>
      <w:bookmarkEnd w:id="138"/>
      <w:bookmarkEnd w:id="139"/>
    </w:p>
    <w:p w14:paraId="25293A1B">
      <w:pPr>
        <w:snapToGrid w:val="0"/>
        <w:spacing w:line="400" w:lineRule="exact"/>
        <w:ind w:firstLine="480" w:firstLineChars="200"/>
        <w:rPr>
          <w:rFonts w:ascii="宋体" w:hAnsi="宋体" w:cs="宋体"/>
          <w:sz w:val="24"/>
          <w:szCs w:val="24"/>
        </w:rPr>
      </w:pPr>
      <w:r>
        <w:rPr>
          <w:rFonts w:hint="eastAsia" w:ascii="宋体" w:hAnsi="宋体" w:cs="宋体"/>
          <w:sz w:val="24"/>
          <w:szCs w:val="24"/>
        </w:rPr>
        <w:t>（一）供应商必须在投标文件中对以上条款和服务承诺明确列出，承诺内容必须达到本篇及竞争性磋商文件其他条款的要求。</w:t>
      </w:r>
    </w:p>
    <w:p w14:paraId="47534458">
      <w:pPr>
        <w:widowControl/>
        <w:snapToGrid w:val="0"/>
        <w:spacing w:line="400" w:lineRule="exact"/>
        <w:ind w:firstLine="540"/>
        <w:rPr>
          <w:rFonts w:ascii="宋体" w:hAnsi="宋体" w:cs="宋体"/>
          <w:sz w:val="24"/>
          <w:szCs w:val="24"/>
        </w:rPr>
      </w:pPr>
      <w:r>
        <w:rPr>
          <w:rFonts w:hint="eastAsia" w:ascii="宋体" w:hAnsi="宋体" w:cs="宋体"/>
          <w:sz w:val="24"/>
          <w:szCs w:val="24"/>
        </w:rPr>
        <w:t>（二）其他未尽事宜由供需双方在采购合同中详细约定。</w:t>
      </w:r>
    </w:p>
    <w:p w14:paraId="53B2EB32">
      <w:pPr>
        <w:widowControl/>
        <w:snapToGrid w:val="0"/>
        <w:spacing w:line="400" w:lineRule="exact"/>
        <w:ind w:firstLine="540"/>
        <w:rPr>
          <w:rFonts w:ascii="宋体" w:hAnsi="宋体" w:cs="宋体"/>
          <w:sz w:val="32"/>
          <w:szCs w:val="32"/>
        </w:rPr>
      </w:pPr>
      <w:r>
        <w:rPr>
          <w:rFonts w:hint="eastAsia" w:ascii="宋体" w:hAnsi="宋体" w:cs="宋体"/>
          <w:sz w:val="24"/>
          <w:szCs w:val="24"/>
        </w:rPr>
        <w:t>（三）未经许可，任何人不得以任何方式从事、参与和采购人现有业务工作相关的活动谋取私利。</w:t>
      </w:r>
    </w:p>
    <w:p w14:paraId="5303C6DD">
      <w:pPr>
        <w:rPr>
          <w:rFonts w:ascii="宋体" w:hAnsi="宋体" w:cs="宋体"/>
        </w:rPr>
      </w:pPr>
    </w:p>
    <w:p w14:paraId="7BBF9E52">
      <w:pPr>
        <w:pStyle w:val="4"/>
        <w:pageBreakBefore/>
        <w:numPr>
          <w:ilvl w:val="1"/>
          <w:numId w:val="0"/>
        </w:numPr>
        <w:spacing w:line="360" w:lineRule="auto"/>
        <w:jc w:val="center"/>
        <w:rPr>
          <w:rFonts w:ascii="宋体" w:hAnsi="宋体" w:eastAsia="宋体" w:cs="宋体"/>
          <w:sz w:val="36"/>
          <w:szCs w:val="30"/>
        </w:rPr>
      </w:pPr>
      <w:bookmarkStart w:id="140" w:name="_Toc11396"/>
      <w:bookmarkStart w:id="141" w:name="_Toc5979"/>
      <w:bookmarkStart w:id="142" w:name="_Toc9000"/>
      <w:bookmarkStart w:id="143" w:name="_Toc14992"/>
      <w:bookmarkStart w:id="144" w:name="_Toc106030887"/>
      <w:bookmarkStart w:id="145" w:name="_Toc76462332"/>
      <w:bookmarkStart w:id="146" w:name="_Toc31686"/>
      <w:r>
        <w:rPr>
          <w:rFonts w:hint="eastAsia" w:ascii="宋体" w:hAnsi="宋体" w:eastAsia="宋体" w:cs="宋体"/>
          <w:sz w:val="36"/>
          <w:szCs w:val="30"/>
        </w:rPr>
        <w:t>第四篇  磋商程序及方法、评审标准、无效响应和</w:t>
      </w:r>
      <w:r>
        <w:rPr>
          <w:rFonts w:hint="eastAsia" w:ascii="宋体" w:hAnsi="宋体" w:eastAsia="宋体" w:cs="宋体"/>
          <w:sz w:val="36"/>
          <w:szCs w:val="36"/>
        </w:rPr>
        <w:t>采购终止</w:t>
      </w:r>
      <w:bookmarkEnd w:id="140"/>
      <w:bookmarkEnd w:id="141"/>
      <w:bookmarkEnd w:id="142"/>
      <w:bookmarkEnd w:id="143"/>
      <w:bookmarkEnd w:id="144"/>
      <w:bookmarkEnd w:id="145"/>
      <w:bookmarkEnd w:id="146"/>
    </w:p>
    <w:p w14:paraId="5104B353">
      <w:pPr>
        <w:pStyle w:val="4"/>
        <w:numPr>
          <w:ilvl w:val="1"/>
          <w:numId w:val="0"/>
        </w:numPr>
        <w:adjustRightInd w:val="0"/>
        <w:snapToGrid w:val="0"/>
        <w:spacing w:line="400" w:lineRule="exact"/>
        <w:rPr>
          <w:rFonts w:ascii="宋体" w:hAnsi="宋体" w:eastAsia="宋体" w:cs="宋体"/>
          <w:b/>
          <w:bCs w:val="0"/>
          <w:sz w:val="24"/>
        </w:rPr>
      </w:pPr>
      <w:bookmarkStart w:id="147" w:name="_Toc19834"/>
      <w:bookmarkStart w:id="148" w:name="_Toc76462333"/>
      <w:bookmarkStart w:id="149" w:name="_Toc28798"/>
      <w:bookmarkStart w:id="150" w:name="_Toc11861"/>
      <w:bookmarkStart w:id="151" w:name="_Toc25370"/>
      <w:bookmarkStart w:id="152" w:name="_Toc106030888"/>
      <w:bookmarkStart w:id="153" w:name="_Toc26628"/>
      <w:r>
        <w:rPr>
          <w:rFonts w:hint="eastAsia" w:ascii="宋体" w:hAnsi="宋体" w:eastAsia="宋体" w:cs="宋体"/>
          <w:b/>
          <w:bCs w:val="0"/>
          <w:sz w:val="24"/>
        </w:rPr>
        <w:t>一、磋商程序及方法</w:t>
      </w:r>
      <w:bookmarkEnd w:id="147"/>
      <w:bookmarkEnd w:id="148"/>
      <w:bookmarkEnd w:id="149"/>
      <w:bookmarkEnd w:id="150"/>
      <w:bookmarkEnd w:id="151"/>
      <w:bookmarkEnd w:id="152"/>
      <w:bookmarkEnd w:id="153"/>
    </w:p>
    <w:p w14:paraId="3F493577">
      <w:pPr>
        <w:spacing w:line="400" w:lineRule="exact"/>
        <w:ind w:firstLine="480" w:firstLineChars="200"/>
        <w:rPr>
          <w:rFonts w:ascii="宋体" w:hAnsi="宋体" w:cs="宋体"/>
          <w:sz w:val="24"/>
          <w:szCs w:val="24"/>
        </w:rPr>
      </w:pPr>
      <w:r>
        <w:rPr>
          <w:rFonts w:hint="eastAsia" w:ascii="宋体" w:hAnsi="宋体" w:cs="宋体"/>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2B74E171">
      <w:pPr>
        <w:spacing w:line="400" w:lineRule="exact"/>
        <w:ind w:firstLine="480" w:firstLineChars="200"/>
        <w:rPr>
          <w:rFonts w:ascii="宋体" w:hAnsi="宋体" w:cs="宋体"/>
          <w:sz w:val="24"/>
          <w:szCs w:val="24"/>
        </w:rPr>
      </w:pPr>
      <w:r>
        <w:rPr>
          <w:rFonts w:hint="eastAsia" w:ascii="宋体" w:hAnsi="宋体" w:cs="宋体"/>
          <w:sz w:val="24"/>
          <w:szCs w:val="24"/>
        </w:rPr>
        <w:t>（二）磋商小组对各供应商的资格条件、响应文件的有效性、完整性和响应程度进行审查。各供应商只有在完全符合要求的前提下，才能参与正式磋商。</w:t>
      </w:r>
    </w:p>
    <w:p w14:paraId="7062050A">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资格性审查。依据法律法规和竞争性磋商文件的规定，对响应文件中的资格证明、等进行审查，以确定供应商是否具备磋商资格。资格性审查资料表如下：</w:t>
      </w:r>
    </w:p>
    <w:tbl>
      <w:tblPr>
        <w:tblStyle w:val="29"/>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18"/>
        <w:gridCol w:w="5423"/>
      </w:tblGrid>
      <w:tr w14:paraId="7F26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top w:val="single" w:color="auto" w:sz="4" w:space="0"/>
              <w:left w:val="single" w:color="auto" w:sz="4" w:space="0"/>
              <w:bottom w:val="single" w:color="auto" w:sz="4" w:space="0"/>
              <w:right w:val="single" w:color="auto" w:sz="4" w:space="0"/>
            </w:tcBorders>
            <w:vAlign w:val="center"/>
          </w:tcPr>
          <w:p w14:paraId="68C85A41">
            <w:pPr>
              <w:jc w:val="center"/>
              <w:rPr>
                <w:rFonts w:ascii="宋体" w:hAnsi="宋体" w:cs="宋体"/>
                <w:b/>
                <w:kern w:val="0"/>
                <w:sz w:val="21"/>
                <w:szCs w:val="21"/>
              </w:rPr>
            </w:pPr>
            <w:r>
              <w:rPr>
                <w:rFonts w:hint="eastAsia" w:ascii="宋体" w:hAnsi="宋体" w:cs="宋体"/>
                <w:b/>
                <w:kern w:val="0"/>
                <w:sz w:val="21"/>
                <w:szCs w:val="21"/>
              </w:rPr>
              <w:t>检查因素</w:t>
            </w:r>
          </w:p>
        </w:tc>
        <w:tc>
          <w:tcPr>
            <w:tcW w:w="5423" w:type="dxa"/>
            <w:tcBorders>
              <w:top w:val="single" w:color="auto" w:sz="4" w:space="0"/>
              <w:left w:val="single" w:color="auto" w:sz="4" w:space="0"/>
              <w:bottom w:val="single" w:color="auto" w:sz="4" w:space="0"/>
              <w:right w:val="single" w:color="auto" w:sz="4" w:space="0"/>
            </w:tcBorders>
            <w:vAlign w:val="center"/>
          </w:tcPr>
          <w:p w14:paraId="4E625008">
            <w:pPr>
              <w:jc w:val="center"/>
              <w:rPr>
                <w:rFonts w:ascii="宋体" w:hAnsi="宋体" w:cs="宋体"/>
                <w:b/>
                <w:kern w:val="0"/>
                <w:sz w:val="21"/>
                <w:szCs w:val="21"/>
              </w:rPr>
            </w:pPr>
            <w:r>
              <w:rPr>
                <w:rFonts w:hint="eastAsia" w:ascii="宋体" w:hAnsi="宋体" w:cs="宋体"/>
                <w:b/>
                <w:kern w:val="0"/>
                <w:sz w:val="21"/>
                <w:szCs w:val="21"/>
              </w:rPr>
              <w:t>检查内容</w:t>
            </w:r>
          </w:p>
        </w:tc>
      </w:tr>
      <w:tr w14:paraId="4B16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14:paraId="7CF71362">
            <w:pPr>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3118" w:type="dxa"/>
            <w:vAlign w:val="center"/>
          </w:tcPr>
          <w:p w14:paraId="1CA56BF8">
            <w:pPr>
              <w:rPr>
                <w:rFonts w:ascii="宋体" w:hAnsi="宋体" w:cs="宋体"/>
                <w:sz w:val="21"/>
                <w:szCs w:val="21"/>
              </w:rPr>
            </w:pPr>
            <w:r>
              <w:rPr>
                <w:rFonts w:hint="eastAsia" w:ascii="宋体" w:hAnsi="宋体" w:cs="宋体"/>
                <w:sz w:val="21"/>
                <w:szCs w:val="21"/>
              </w:rPr>
              <w:t>1.具有独立承担民事责任的能力</w:t>
            </w:r>
          </w:p>
        </w:tc>
        <w:tc>
          <w:tcPr>
            <w:tcW w:w="5423" w:type="dxa"/>
            <w:vAlign w:val="center"/>
          </w:tcPr>
          <w:p w14:paraId="5C8B159A">
            <w:pPr>
              <w:rPr>
                <w:rFonts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14:paraId="756D2253">
            <w:pPr>
              <w:rPr>
                <w:rFonts w:ascii="宋体" w:hAnsi="宋体" w:cs="宋体"/>
                <w:sz w:val="21"/>
                <w:szCs w:val="21"/>
              </w:rPr>
            </w:pPr>
            <w:r>
              <w:rPr>
                <w:rFonts w:hint="eastAsia" w:ascii="宋体" w:hAnsi="宋体" w:cs="宋体"/>
                <w:sz w:val="21"/>
                <w:szCs w:val="21"/>
              </w:rPr>
              <w:t>2.供应商法定代表人身份证明和法定代表人授权代表委托书。</w:t>
            </w:r>
          </w:p>
        </w:tc>
      </w:tr>
      <w:tr w14:paraId="7F80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6A3B6291">
            <w:pPr>
              <w:rPr>
                <w:rFonts w:ascii="宋体" w:hAnsi="宋体" w:cs="宋体"/>
                <w:sz w:val="21"/>
                <w:szCs w:val="21"/>
                <w:lang w:val="zh-CN"/>
              </w:rPr>
            </w:pPr>
          </w:p>
        </w:tc>
        <w:tc>
          <w:tcPr>
            <w:tcW w:w="3118" w:type="dxa"/>
            <w:vAlign w:val="center"/>
          </w:tcPr>
          <w:p w14:paraId="41B123F9">
            <w:pPr>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5423" w:type="dxa"/>
            <w:vMerge w:val="restart"/>
            <w:vAlign w:val="center"/>
          </w:tcPr>
          <w:p w14:paraId="09165F3D">
            <w:pPr>
              <w:rPr>
                <w:rFonts w:ascii="宋体" w:hAnsi="宋体" w:cs="宋体"/>
                <w:b/>
                <w:sz w:val="21"/>
                <w:szCs w:val="21"/>
              </w:rPr>
            </w:pPr>
            <w:r>
              <w:rPr>
                <w:rFonts w:hint="eastAsia" w:ascii="宋体" w:hAnsi="宋体" w:cs="宋体"/>
                <w:sz w:val="21"/>
                <w:szCs w:val="21"/>
              </w:rPr>
              <w:t>供应商提供“基本资格条件承诺函”（格式详见第七篇）</w:t>
            </w:r>
          </w:p>
        </w:tc>
      </w:tr>
      <w:tr w14:paraId="7FFE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1EAD9CC5">
            <w:pPr>
              <w:rPr>
                <w:rFonts w:ascii="宋体" w:hAnsi="宋体" w:cs="宋体"/>
                <w:sz w:val="21"/>
                <w:szCs w:val="21"/>
                <w:lang w:val="zh-CN"/>
              </w:rPr>
            </w:pPr>
          </w:p>
        </w:tc>
        <w:tc>
          <w:tcPr>
            <w:tcW w:w="3118" w:type="dxa"/>
            <w:vAlign w:val="center"/>
          </w:tcPr>
          <w:p w14:paraId="0D61B3EC">
            <w:pPr>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5423" w:type="dxa"/>
            <w:vMerge w:val="continue"/>
            <w:vAlign w:val="center"/>
          </w:tcPr>
          <w:p w14:paraId="6670F5F1">
            <w:pPr>
              <w:rPr>
                <w:rFonts w:ascii="宋体" w:hAnsi="宋体" w:cs="宋体"/>
                <w:sz w:val="21"/>
                <w:szCs w:val="21"/>
              </w:rPr>
            </w:pPr>
          </w:p>
        </w:tc>
      </w:tr>
      <w:tr w14:paraId="3B45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vAlign w:val="center"/>
          </w:tcPr>
          <w:p w14:paraId="6EF0B461">
            <w:pPr>
              <w:rPr>
                <w:rFonts w:ascii="宋体" w:hAnsi="宋体" w:cs="宋体"/>
                <w:sz w:val="21"/>
                <w:szCs w:val="21"/>
                <w:lang w:val="zh-CN"/>
              </w:rPr>
            </w:pPr>
          </w:p>
        </w:tc>
        <w:tc>
          <w:tcPr>
            <w:tcW w:w="3118" w:type="dxa"/>
            <w:vAlign w:val="center"/>
          </w:tcPr>
          <w:p w14:paraId="06A671A2">
            <w:pPr>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5423" w:type="dxa"/>
            <w:vMerge w:val="continue"/>
            <w:vAlign w:val="center"/>
          </w:tcPr>
          <w:p w14:paraId="599D9AD0">
            <w:pPr>
              <w:rPr>
                <w:rFonts w:ascii="宋体" w:hAnsi="宋体" w:cs="宋体"/>
                <w:sz w:val="21"/>
                <w:szCs w:val="21"/>
              </w:rPr>
            </w:pPr>
          </w:p>
        </w:tc>
      </w:tr>
      <w:tr w14:paraId="0CDB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65653200">
            <w:pPr>
              <w:rPr>
                <w:rFonts w:ascii="宋体" w:hAnsi="宋体" w:cs="宋体"/>
                <w:sz w:val="21"/>
                <w:szCs w:val="21"/>
                <w:lang w:val="zh-CN"/>
              </w:rPr>
            </w:pPr>
          </w:p>
        </w:tc>
        <w:tc>
          <w:tcPr>
            <w:tcW w:w="3118" w:type="dxa"/>
            <w:vAlign w:val="center"/>
          </w:tcPr>
          <w:p w14:paraId="6892FBA3">
            <w:pPr>
              <w:rPr>
                <w:rFonts w:ascii="宋体" w:hAnsi="宋体" w:cs="宋体"/>
                <w:sz w:val="21"/>
                <w:szCs w:val="21"/>
              </w:rPr>
            </w:pPr>
            <w:r>
              <w:rPr>
                <w:rFonts w:hint="eastAsia" w:ascii="宋体" w:hAnsi="宋体" w:cs="宋体"/>
                <w:sz w:val="21"/>
                <w:szCs w:val="21"/>
              </w:rPr>
              <w:t>5.参加政府采购活动前三年内，在经营活动中没有重大违法记录（注</w:t>
            </w: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w:t>
            </w:r>
          </w:p>
        </w:tc>
        <w:tc>
          <w:tcPr>
            <w:tcW w:w="5423" w:type="dxa"/>
            <w:vMerge w:val="continue"/>
            <w:vAlign w:val="center"/>
          </w:tcPr>
          <w:p w14:paraId="1C39181F">
            <w:pPr>
              <w:rPr>
                <w:rFonts w:ascii="宋体" w:hAnsi="宋体" w:cs="宋体"/>
                <w:b/>
                <w:sz w:val="21"/>
                <w:szCs w:val="21"/>
              </w:rPr>
            </w:pPr>
          </w:p>
        </w:tc>
      </w:tr>
      <w:tr w14:paraId="3245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vAlign w:val="center"/>
          </w:tcPr>
          <w:p w14:paraId="69FDD1C2">
            <w:pPr>
              <w:rPr>
                <w:rFonts w:ascii="宋体" w:hAnsi="宋体" w:cs="宋体"/>
                <w:sz w:val="21"/>
                <w:szCs w:val="21"/>
              </w:rPr>
            </w:pPr>
          </w:p>
        </w:tc>
        <w:tc>
          <w:tcPr>
            <w:tcW w:w="3118" w:type="dxa"/>
            <w:vAlign w:val="center"/>
          </w:tcPr>
          <w:p w14:paraId="5EF9A6D8">
            <w:pPr>
              <w:rPr>
                <w:rFonts w:ascii="宋体" w:hAnsi="宋体" w:cs="宋体"/>
                <w:sz w:val="21"/>
                <w:szCs w:val="21"/>
              </w:rPr>
            </w:pPr>
            <w:r>
              <w:rPr>
                <w:rFonts w:hint="eastAsia" w:ascii="宋体" w:hAnsi="宋体" w:cs="宋体"/>
                <w:sz w:val="21"/>
                <w:szCs w:val="21"/>
              </w:rPr>
              <w:t>6.法律、行政法规规定的其他条件</w:t>
            </w:r>
          </w:p>
        </w:tc>
        <w:tc>
          <w:tcPr>
            <w:tcW w:w="5423" w:type="dxa"/>
            <w:vAlign w:val="center"/>
          </w:tcPr>
          <w:p w14:paraId="599A4E8D">
            <w:pPr>
              <w:jc w:val="center"/>
              <w:rPr>
                <w:rFonts w:ascii="宋体" w:hAnsi="宋体" w:cs="宋体"/>
                <w:sz w:val="21"/>
                <w:szCs w:val="21"/>
              </w:rPr>
            </w:pPr>
            <w:r>
              <w:rPr>
                <w:rFonts w:hint="eastAsia" w:ascii="宋体" w:hAnsi="宋体" w:cs="宋体"/>
                <w:sz w:val="21"/>
                <w:szCs w:val="21"/>
              </w:rPr>
              <w:t>/</w:t>
            </w:r>
          </w:p>
        </w:tc>
      </w:tr>
      <w:tr w14:paraId="3F1A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vAlign w:val="center"/>
          </w:tcPr>
          <w:p w14:paraId="300F14DF">
            <w:pPr>
              <w:rPr>
                <w:rFonts w:ascii="宋体" w:hAnsi="宋体" w:cs="宋体"/>
                <w:sz w:val="21"/>
                <w:szCs w:val="21"/>
              </w:rPr>
            </w:pPr>
          </w:p>
        </w:tc>
        <w:tc>
          <w:tcPr>
            <w:tcW w:w="3118" w:type="dxa"/>
            <w:vAlign w:val="center"/>
          </w:tcPr>
          <w:p w14:paraId="5FDF0C52">
            <w:pPr>
              <w:rPr>
                <w:rFonts w:ascii="宋体" w:hAnsi="宋体" w:cs="宋体"/>
                <w:sz w:val="21"/>
                <w:szCs w:val="21"/>
              </w:rPr>
            </w:pPr>
            <w:r>
              <w:rPr>
                <w:rFonts w:hint="eastAsia" w:ascii="宋体" w:hAnsi="宋体" w:cs="宋体"/>
                <w:sz w:val="21"/>
                <w:szCs w:val="21"/>
              </w:rPr>
              <w:t>7.本项目的特定资格要求</w:t>
            </w:r>
          </w:p>
        </w:tc>
        <w:tc>
          <w:tcPr>
            <w:tcW w:w="5423" w:type="dxa"/>
            <w:vAlign w:val="center"/>
          </w:tcPr>
          <w:p w14:paraId="47F97609">
            <w:pPr>
              <w:rPr>
                <w:rFonts w:ascii="宋体" w:hAnsi="宋体" w:cs="宋体"/>
                <w:sz w:val="21"/>
                <w:szCs w:val="21"/>
              </w:rPr>
            </w:pPr>
            <w:r>
              <w:rPr>
                <w:rFonts w:hint="eastAsia" w:ascii="宋体" w:hAnsi="宋体" w:cs="宋体"/>
                <w:sz w:val="21"/>
                <w:szCs w:val="21"/>
              </w:rPr>
              <w:t>按“第一篇 三、供应商资格要求（二）本项目的特定资格要求”的要求提交（如果有）。</w:t>
            </w:r>
          </w:p>
        </w:tc>
      </w:tr>
      <w:tr w14:paraId="59C3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827" w:type="dxa"/>
            <w:gridSpan w:val="2"/>
            <w:vAlign w:val="center"/>
          </w:tcPr>
          <w:p w14:paraId="7D873244">
            <w:pPr>
              <w:rPr>
                <w:rFonts w:ascii="宋体" w:hAnsi="宋体" w:cs="宋体"/>
                <w:sz w:val="21"/>
                <w:szCs w:val="21"/>
              </w:rPr>
            </w:pPr>
            <w:r>
              <w:rPr>
                <w:rFonts w:hint="eastAsia" w:ascii="宋体" w:hAnsi="宋体" w:cs="宋体"/>
                <w:sz w:val="21"/>
                <w:szCs w:val="21"/>
              </w:rPr>
              <w:t>落实政府采购政策需满足的资格要求</w:t>
            </w:r>
          </w:p>
        </w:tc>
        <w:tc>
          <w:tcPr>
            <w:tcW w:w="5423" w:type="dxa"/>
            <w:vAlign w:val="center"/>
          </w:tcPr>
          <w:p w14:paraId="0823CBC2">
            <w:pPr>
              <w:rPr>
                <w:rFonts w:ascii="宋体" w:hAnsi="宋体" w:cs="宋体"/>
                <w:sz w:val="21"/>
                <w:szCs w:val="21"/>
              </w:rPr>
            </w:pPr>
            <w:r>
              <w:rPr>
                <w:rFonts w:hint="eastAsia" w:ascii="宋体" w:hAnsi="宋体" w:cs="宋体"/>
                <w:sz w:val="21"/>
                <w:szCs w:val="21"/>
              </w:rPr>
              <w:t>按“第一篇三、供应商资格要求（二）落实政府采购政策需满足的资格要求”的要求提交。</w:t>
            </w:r>
          </w:p>
        </w:tc>
      </w:tr>
    </w:tbl>
    <w:p w14:paraId="4AEEC41B">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注：</w:t>
      </w:r>
    </w:p>
    <w:p w14:paraId="0CA06C12">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1DDA53F">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740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10DCA9C">
            <w:pPr>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vAlign w:val="center"/>
          </w:tcPr>
          <w:p w14:paraId="0CD40247">
            <w:pPr>
              <w:jc w:val="center"/>
              <w:rPr>
                <w:rFonts w:ascii="宋体" w:hAnsi="宋体" w:cs="宋体"/>
                <w:b/>
                <w:kern w:val="0"/>
                <w:sz w:val="21"/>
                <w:szCs w:val="21"/>
              </w:rPr>
            </w:pPr>
            <w:r>
              <w:rPr>
                <w:rFonts w:hint="eastAsia" w:ascii="宋体" w:hAnsi="宋体" w:cs="宋体"/>
                <w:b/>
                <w:kern w:val="0"/>
                <w:sz w:val="21"/>
                <w:szCs w:val="21"/>
              </w:rPr>
              <w:t>评审因素</w:t>
            </w:r>
          </w:p>
        </w:tc>
        <w:tc>
          <w:tcPr>
            <w:tcW w:w="5409" w:type="dxa"/>
            <w:vAlign w:val="center"/>
          </w:tcPr>
          <w:p w14:paraId="7B3D7DDF">
            <w:pPr>
              <w:jc w:val="center"/>
              <w:rPr>
                <w:rFonts w:ascii="宋体" w:hAnsi="宋体" w:cs="宋体"/>
                <w:b/>
                <w:kern w:val="0"/>
                <w:sz w:val="21"/>
                <w:szCs w:val="21"/>
              </w:rPr>
            </w:pPr>
            <w:r>
              <w:rPr>
                <w:rFonts w:hint="eastAsia" w:ascii="宋体" w:hAnsi="宋体" w:cs="宋体"/>
                <w:b/>
                <w:kern w:val="0"/>
                <w:sz w:val="21"/>
                <w:szCs w:val="21"/>
              </w:rPr>
              <w:t>评审标准</w:t>
            </w:r>
          </w:p>
        </w:tc>
      </w:tr>
      <w:tr w14:paraId="2095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DBC81B1">
            <w:pPr>
              <w:jc w:val="center"/>
              <w:rPr>
                <w:rFonts w:ascii="宋体" w:hAnsi="宋体" w:cs="宋体"/>
                <w:kern w:val="0"/>
                <w:sz w:val="21"/>
                <w:szCs w:val="21"/>
              </w:rPr>
            </w:pPr>
            <w:r>
              <w:rPr>
                <w:rFonts w:hint="eastAsia" w:ascii="宋体" w:hAnsi="宋体" w:cs="宋体"/>
                <w:kern w:val="0"/>
                <w:sz w:val="21"/>
                <w:szCs w:val="21"/>
              </w:rPr>
              <w:t>1</w:t>
            </w:r>
          </w:p>
        </w:tc>
        <w:tc>
          <w:tcPr>
            <w:tcW w:w="1560" w:type="dxa"/>
            <w:vMerge w:val="restart"/>
            <w:vAlign w:val="center"/>
          </w:tcPr>
          <w:p w14:paraId="290F2A72">
            <w:pPr>
              <w:rPr>
                <w:rFonts w:ascii="宋体" w:hAnsi="宋体" w:cs="宋体"/>
                <w:kern w:val="0"/>
                <w:sz w:val="21"/>
                <w:szCs w:val="21"/>
              </w:rPr>
            </w:pPr>
            <w:r>
              <w:rPr>
                <w:rFonts w:hint="eastAsia" w:ascii="宋体" w:hAnsi="宋体" w:cs="宋体"/>
                <w:kern w:val="0"/>
                <w:sz w:val="21"/>
                <w:szCs w:val="21"/>
              </w:rPr>
              <w:t>有效性审查</w:t>
            </w:r>
          </w:p>
        </w:tc>
        <w:tc>
          <w:tcPr>
            <w:tcW w:w="1984" w:type="dxa"/>
            <w:vAlign w:val="center"/>
          </w:tcPr>
          <w:p w14:paraId="54C83985">
            <w:pPr>
              <w:rPr>
                <w:rFonts w:ascii="宋体" w:hAnsi="宋体" w:cs="宋体"/>
                <w:kern w:val="0"/>
                <w:sz w:val="21"/>
                <w:szCs w:val="21"/>
              </w:rPr>
            </w:pPr>
            <w:r>
              <w:rPr>
                <w:rFonts w:hint="eastAsia" w:ascii="宋体" w:hAnsi="宋体" w:cs="宋体"/>
                <w:sz w:val="21"/>
                <w:szCs w:val="21"/>
              </w:rPr>
              <w:t>响应文件签署或盖章</w:t>
            </w:r>
          </w:p>
        </w:tc>
        <w:tc>
          <w:tcPr>
            <w:tcW w:w="5409" w:type="dxa"/>
            <w:vAlign w:val="center"/>
          </w:tcPr>
          <w:p w14:paraId="22499241">
            <w:pPr>
              <w:rPr>
                <w:rFonts w:ascii="宋体" w:hAnsi="宋体" w:cs="宋体"/>
                <w:kern w:val="0"/>
                <w:sz w:val="21"/>
                <w:szCs w:val="21"/>
              </w:rPr>
            </w:pPr>
            <w:r>
              <w:rPr>
                <w:rFonts w:hint="eastAsia" w:ascii="宋体" w:hAnsi="宋体" w:cs="宋体"/>
                <w:sz w:val="21"/>
                <w:szCs w:val="21"/>
              </w:rPr>
              <w:t>按竞争性磋商文件“第七篇响应文件编制要求”要求签署或盖章。</w:t>
            </w:r>
          </w:p>
        </w:tc>
      </w:tr>
      <w:tr w14:paraId="08B8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7B151D1">
            <w:pPr>
              <w:jc w:val="center"/>
              <w:rPr>
                <w:rFonts w:ascii="宋体" w:hAnsi="宋体" w:cs="宋体"/>
                <w:kern w:val="0"/>
                <w:sz w:val="21"/>
                <w:szCs w:val="21"/>
              </w:rPr>
            </w:pPr>
          </w:p>
        </w:tc>
        <w:tc>
          <w:tcPr>
            <w:tcW w:w="1560" w:type="dxa"/>
            <w:vMerge w:val="continue"/>
            <w:vAlign w:val="center"/>
          </w:tcPr>
          <w:p w14:paraId="6B611087">
            <w:pPr>
              <w:rPr>
                <w:rFonts w:ascii="宋体" w:hAnsi="宋体" w:cs="宋体"/>
                <w:kern w:val="0"/>
                <w:sz w:val="21"/>
                <w:szCs w:val="21"/>
              </w:rPr>
            </w:pPr>
          </w:p>
        </w:tc>
        <w:tc>
          <w:tcPr>
            <w:tcW w:w="1984" w:type="dxa"/>
            <w:vAlign w:val="center"/>
          </w:tcPr>
          <w:p w14:paraId="2E238CFE">
            <w:pPr>
              <w:rPr>
                <w:rFonts w:ascii="宋体" w:hAnsi="宋体" w:cs="宋体"/>
                <w:sz w:val="21"/>
                <w:szCs w:val="21"/>
              </w:rPr>
            </w:pPr>
            <w:r>
              <w:rPr>
                <w:rFonts w:hint="eastAsia" w:ascii="宋体" w:hAnsi="宋体" w:cs="宋体"/>
                <w:sz w:val="21"/>
                <w:szCs w:val="21"/>
              </w:rPr>
              <w:t>法定代表人身份证明及授权委托书</w:t>
            </w:r>
          </w:p>
        </w:tc>
        <w:tc>
          <w:tcPr>
            <w:tcW w:w="5409" w:type="dxa"/>
            <w:vAlign w:val="center"/>
          </w:tcPr>
          <w:p w14:paraId="35ECD9F1">
            <w:pPr>
              <w:rPr>
                <w:rFonts w:ascii="宋体" w:hAnsi="宋体" w:cs="宋体"/>
                <w:sz w:val="21"/>
                <w:szCs w:val="21"/>
              </w:rPr>
            </w:pPr>
            <w:r>
              <w:rPr>
                <w:rFonts w:hint="eastAsia" w:ascii="宋体" w:hAnsi="宋体" w:cs="宋体"/>
                <w:sz w:val="21"/>
                <w:szCs w:val="21"/>
              </w:rPr>
              <w:t>法定代表人身份证明及授权委托书有效，符合竞争性磋商文件规定的格式，签署或盖章齐全。</w:t>
            </w:r>
          </w:p>
        </w:tc>
      </w:tr>
      <w:tr w14:paraId="560C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B535941">
            <w:pPr>
              <w:jc w:val="center"/>
              <w:rPr>
                <w:rFonts w:ascii="宋体" w:hAnsi="宋体" w:cs="宋体"/>
                <w:kern w:val="0"/>
                <w:sz w:val="21"/>
                <w:szCs w:val="21"/>
              </w:rPr>
            </w:pPr>
          </w:p>
        </w:tc>
        <w:tc>
          <w:tcPr>
            <w:tcW w:w="1560" w:type="dxa"/>
            <w:vMerge w:val="continue"/>
            <w:vAlign w:val="center"/>
          </w:tcPr>
          <w:p w14:paraId="5908EBC9">
            <w:pPr>
              <w:rPr>
                <w:rFonts w:ascii="宋体" w:hAnsi="宋体" w:cs="宋体"/>
                <w:kern w:val="0"/>
                <w:sz w:val="21"/>
                <w:szCs w:val="21"/>
              </w:rPr>
            </w:pPr>
          </w:p>
        </w:tc>
        <w:tc>
          <w:tcPr>
            <w:tcW w:w="1984" w:type="dxa"/>
            <w:vAlign w:val="center"/>
          </w:tcPr>
          <w:p w14:paraId="02C11516">
            <w:pPr>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5409" w:type="dxa"/>
            <w:vAlign w:val="center"/>
          </w:tcPr>
          <w:p w14:paraId="048E3A19">
            <w:pPr>
              <w:rPr>
                <w:rFonts w:ascii="宋体" w:hAnsi="宋体" w:cs="宋体"/>
                <w:kern w:val="0"/>
                <w:sz w:val="21"/>
                <w:szCs w:val="21"/>
              </w:rPr>
            </w:pPr>
            <w:r>
              <w:rPr>
                <w:rFonts w:hint="eastAsia" w:ascii="宋体" w:hAnsi="宋体" w:cs="宋体"/>
                <w:sz w:val="21"/>
                <w:szCs w:val="21"/>
                <w:lang w:val="zh-CN"/>
              </w:rPr>
              <w:t>每个包只能有一个</w:t>
            </w:r>
            <w:r>
              <w:rPr>
                <w:rFonts w:hint="eastAsia" w:ascii="宋体" w:hAnsi="宋体" w:cs="宋体"/>
                <w:sz w:val="21"/>
                <w:szCs w:val="21"/>
              </w:rPr>
              <w:t>响应</w:t>
            </w:r>
            <w:r>
              <w:rPr>
                <w:rFonts w:hint="eastAsia" w:ascii="宋体" w:hAnsi="宋体" w:cs="宋体"/>
                <w:sz w:val="21"/>
                <w:szCs w:val="21"/>
                <w:lang w:val="zh-CN"/>
              </w:rPr>
              <w:t>方案。</w:t>
            </w:r>
          </w:p>
        </w:tc>
      </w:tr>
      <w:tr w14:paraId="1EE9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55B431D">
            <w:pPr>
              <w:jc w:val="center"/>
              <w:rPr>
                <w:rFonts w:ascii="宋体" w:hAnsi="宋体" w:cs="宋体"/>
                <w:kern w:val="0"/>
                <w:sz w:val="21"/>
                <w:szCs w:val="21"/>
              </w:rPr>
            </w:pPr>
          </w:p>
        </w:tc>
        <w:tc>
          <w:tcPr>
            <w:tcW w:w="1560" w:type="dxa"/>
            <w:vMerge w:val="continue"/>
            <w:vAlign w:val="center"/>
          </w:tcPr>
          <w:p w14:paraId="4C8CEA7E">
            <w:pPr>
              <w:rPr>
                <w:rFonts w:ascii="宋体" w:hAnsi="宋体" w:cs="宋体"/>
                <w:kern w:val="0"/>
                <w:sz w:val="21"/>
                <w:szCs w:val="21"/>
              </w:rPr>
            </w:pPr>
          </w:p>
        </w:tc>
        <w:tc>
          <w:tcPr>
            <w:tcW w:w="1984" w:type="dxa"/>
            <w:vAlign w:val="center"/>
          </w:tcPr>
          <w:p w14:paraId="3718C128">
            <w:pPr>
              <w:rPr>
                <w:rFonts w:ascii="宋体" w:hAnsi="宋体" w:cs="宋体"/>
                <w:sz w:val="21"/>
                <w:szCs w:val="21"/>
                <w:lang w:val="zh-CN"/>
              </w:rPr>
            </w:pPr>
            <w:r>
              <w:rPr>
                <w:rFonts w:hint="eastAsia" w:ascii="宋体" w:hAnsi="宋体" w:cs="宋体"/>
                <w:sz w:val="21"/>
                <w:szCs w:val="21"/>
              </w:rPr>
              <w:t>报价唯一</w:t>
            </w:r>
          </w:p>
        </w:tc>
        <w:tc>
          <w:tcPr>
            <w:tcW w:w="5409" w:type="dxa"/>
            <w:vAlign w:val="center"/>
          </w:tcPr>
          <w:p w14:paraId="3E1BC932">
            <w:pPr>
              <w:rPr>
                <w:rFonts w:ascii="宋体" w:hAnsi="宋体" w:cs="宋体"/>
                <w:kern w:val="0"/>
                <w:sz w:val="21"/>
                <w:szCs w:val="21"/>
              </w:rPr>
            </w:pPr>
            <w:r>
              <w:rPr>
                <w:rFonts w:hint="eastAsia" w:ascii="宋体" w:hAnsi="宋体" w:cs="宋体"/>
                <w:sz w:val="21"/>
                <w:szCs w:val="21"/>
              </w:rPr>
              <w:t>只能有一个有效报价，不得提交选择性报价。</w:t>
            </w:r>
          </w:p>
        </w:tc>
      </w:tr>
      <w:tr w14:paraId="54EE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AB47799">
            <w:pPr>
              <w:jc w:val="center"/>
              <w:rPr>
                <w:rFonts w:ascii="宋体" w:hAnsi="宋体" w:cs="宋体"/>
                <w:sz w:val="21"/>
                <w:szCs w:val="21"/>
              </w:rPr>
            </w:pPr>
            <w:r>
              <w:rPr>
                <w:rFonts w:hint="eastAsia" w:ascii="宋体" w:hAnsi="宋体" w:cs="宋体"/>
                <w:sz w:val="21"/>
                <w:szCs w:val="21"/>
              </w:rPr>
              <w:t>2</w:t>
            </w:r>
          </w:p>
        </w:tc>
        <w:tc>
          <w:tcPr>
            <w:tcW w:w="1560" w:type="dxa"/>
            <w:vAlign w:val="center"/>
          </w:tcPr>
          <w:p w14:paraId="52E53AE2">
            <w:pPr>
              <w:rPr>
                <w:rFonts w:ascii="宋体" w:hAnsi="宋体" w:cs="宋体"/>
                <w:sz w:val="21"/>
                <w:szCs w:val="21"/>
              </w:rPr>
            </w:pPr>
            <w:r>
              <w:rPr>
                <w:rFonts w:hint="eastAsia" w:ascii="宋体" w:hAnsi="宋体" w:cs="宋体"/>
                <w:sz w:val="21"/>
                <w:szCs w:val="21"/>
              </w:rPr>
              <w:t>完整性审查</w:t>
            </w:r>
          </w:p>
        </w:tc>
        <w:tc>
          <w:tcPr>
            <w:tcW w:w="1984" w:type="dxa"/>
            <w:vAlign w:val="center"/>
          </w:tcPr>
          <w:p w14:paraId="775D675E">
            <w:pPr>
              <w:rPr>
                <w:rFonts w:ascii="宋体" w:hAnsi="宋体" w:cs="宋体"/>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5409" w:type="dxa"/>
            <w:vAlign w:val="center"/>
          </w:tcPr>
          <w:p w14:paraId="1D4D1012">
            <w:pPr>
              <w:rPr>
                <w:rFonts w:ascii="宋体" w:hAnsi="宋体" w:cs="宋体"/>
                <w:sz w:val="21"/>
                <w:szCs w:val="21"/>
              </w:rPr>
            </w:pPr>
            <w:r>
              <w:rPr>
                <w:rFonts w:hint="eastAsia" w:ascii="宋体" w:hAnsi="宋体" w:cs="宋体"/>
                <w:sz w:val="21"/>
                <w:szCs w:val="21"/>
              </w:rPr>
              <w:t>响应</w:t>
            </w:r>
            <w:r>
              <w:rPr>
                <w:rFonts w:hint="eastAsia" w:ascii="宋体" w:hAnsi="宋体" w:cs="宋体"/>
                <w:sz w:val="21"/>
                <w:szCs w:val="21"/>
                <w:lang w:val="zh-CN"/>
              </w:rPr>
              <w:t>文件正、副本数量（含电子文档）符合</w:t>
            </w:r>
            <w:r>
              <w:rPr>
                <w:rFonts w:hint="eastAsia" w:ascii="宋体" w:hAnsi="宋体" w:cs="宋体"/>
                <w:sz w:val="21"/>
                <w:szCs w:val="21"/>
              </w:rPr>
              <w:t>竞争性磋商</w:t>
            </w:r>
            <w:r>
              <w:rPr>
                <w:rFonts w:hint="eastAsia" w:ascii="宋体" w:hAnsi="宋体" w:cs="宋体"/>
                <w:sz w:val="21"/>
                <w:szCs w:val="21"/>
                <w:lang w:val="zh-CN"/>
              </w:rPr>
              <w:t>文件要求。</w:t>
            </w:r>
          </w:p>
        </w:tc>
      </w:tr>
      <w:tr w14:paraId="7717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5" w:type="dxa"/>
            <w:vMerge w:val="restart"/>
            <w:vAlign w:val="center"/>
          </w:tcPr>
          <w:p w14:paraId="349FE69A">
            <w:pPr>
              <w:jc w:val="center"/>
              <w:rPr>
                <w:rFonts w:ascii="宋体" w:hAnsi="宋体" w:cs="宋体"/>
                <w:kern w:val="0"/>
                <w:sz w:val="21"/>
                <w:szCs w:val="21"/>
              </w:rPr>
            </w:pPr>
            <w:r>
              <w:rPr>
                <w:rFonts w:hint="eastAsia" w:ascii="宋体" w:hAnsi="宋体" w:cs="宋体"/>
                <w:kern w:val="0"/>
                <w:sz w:val="21"/>
                <w:szCs w:val="21"/>
              </w:rPr>
              <w:t>3</w:t>
            </w:r>
          </w:p>
        </w:tc>
        <w:tc>
          <w:tcPr>
            <w:tcW w:w="1560" w:type="dxa"/>
            <w:vMerge w:val="restart"/>
            <w:vAlign w:val="center"/>
          </w:tcPr>
          <w:p w14:paraId="24F62970">
            <w:pPr>
              <w:rPr>
                <w:rFonts w:ascii="宋体" w:hAnsi="宋体" w:cs="宋体"/>
                <w:sz w:val="21"/>
                <w:szCs w:val="21"/>
                <w:lang w:val="zh-CN"/>
              </w:rPr>
            </w:pPr>
            <w:r>
              <w:rPr>
                <w:rFonts w:hint="eastAsia" w:ascii="宋体" w:hAnsi="宋体" w:cs="宋体"/>
                <w:kern w:val="0"/>
                <w:sz w:val="21"/>
                <w:szCs w:val="21"/>
              </w:rPr>
              <w:t>响应程度审查</w:t>
            </w:r>
          </w:p>
        </w:tc>
        <w:tc>
          <w:tcPr>
            <w:tcW w:w="1984" w:type="dxa"/>
            <w:shd w:val="clear" w:color="auto" w:fill="auto"/>
            <w:vAlign w:val="center"/>
          </w:tcPr>
          <w:p w14:paraId="6D7C8AFA">
            <w:pPr>
              <w:rPr>
                <w:rFonts w:ascii="宋体" w:hAnsi="宋体" w:cs="宋体"/>
                <w:sz w:val="21"/>
                <w:szCs w:val="21"/>
              </w:rPr>
            </w:pPr>
            <w:r>
              <w:rPr>
                <w:rFonts w:hint="eastAsia" w:ascii="宋体" w:hAnsi="宋体" w:cs="宋体"/>
                <w:sz w:val="21"/>
                <w:szCs w:val="21"/>
              </w:rPr>
              <w:t>实质性响应</w:t>
            </w:r>
          </w:p>
        </w:tc>
        <w:tc>
          <w:tcPr>
            <w:tcW w:w="5409" w:type="dxa"/>
            <w:shd w:val="clear" w:color="auto" w:fill="auto"/>
            <w:vAlign w:val="center"/>
          </w:tcPr>
          <w:p w14:paraId="6D059C72">
            <w:pPr>
              <w:rPr>
                <w:rFonts w:ascii="宋体" w:hAnsi="宋体" w:cs="宋体"/>
                <w:sz w:val="21"/>
                <w:szCs w:val="21"/>
              </w:rPr>
            </w:pPr>
            <w:r>
              <w:rPr>
                <w:rFonts w:hint="eastAsia" w:ascii="宋体" w:hAnsi="宋体" w:cs="宋体"/>
                <w:sz w:val="21"/>
                <w:szCs w:val="21"/>
              </w:rPr>
              <w:t>竞争性磋商文件第二篇完全响应。</w:t>
            </w:r>
          </w:p>
          <w:p w14:paraId="0003D583">
            <w:pPr>
              <w:rPr>
                <w:rFonts w:ascii="宋体" w:hAnsi="宋体" w:cs="宋体"/>
                <w:sz w:val="21"/>
                <w:szCs w:val="21"/>
              </w:rPr>
            </w:pPr>
            <w:r>
              <w:rPr>
                <w:rFonts w:hint="eastAsia" w:ascii="宋体" w:hAnsi="宋体" w:cs="宋体"/>
                <w:sz w:val="21"/>
                <w:szCs w:val="21"/>
              </w:rPr>
              <w:t>竞争性磋商文件第三篇完全响应。</w:t>
            </w:r>
          </w:p>
        </w:tc>
      </w:tr>
      <w:tr w14:paraId="0DB5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F80CAD4">
            <w:pPr>
              <w:jc w:val="center"/>
              <w:rPr>
                <w:rFonts w:ascii="宋体" w:hAnsi="宋体" w:cs="宋体"/>
                <w:kern w:val="0"/>
                <w:sz w:val="21"/>
                <w:szCs w:val="21"/>
              </w:rPr>
            </w:pPr>
          </w:p>
        </w:tc>
        <w:tc>
          <w:tcPr>
            <w:tcW w:w="1560" w:type="dxa"/>
            <w:vMerge w:val="continue"/>
            <w:vAlign w:val="center"/>
          </w:tcPr>
          <w:p w14:paraId="15D82C68">
            <w:pPr>
              <w:rPr>
                <w:rFonts w:ascii="宋体" w:hAnsi="宋体" w:cs="宋体"/>
                <w:kern w:val="0"/>
                <w:sz w:val="21"/>
                <w:szCs w:val="21"/>
              </w:rPr>
            </w:pPr>
          </w:p>
        </w:tc>
        <w:tc>
          <w:tcPr>
            <w:tcW w:w="1984" w:type="dxa"/>
            <w:vAlign w:val="center"/>
          </w:tcPr>
          <w:p w14:paraId="43F97272">
            <w:pPr>
              <w:rPr>
                <w:rFonts w:ascii="宋体" w:hAnsi="宋体" w:cs="宋体"/>
                <w:sz w:val="21"/>
                <w:szCs w:val="21"/>
              </w:rPr>
            </w:pPr>
            <w:r>
              <w:rPr>
                <w:rFonts w:hint="eastAsia" w:ascii="宋体" w:hAnsi="宋体" w:cs="宋体"/>
                <w:sz w:val="21"/>
                <w:szCs w:val="21"/>
              </w:rPr>
              <w:t>磋商有效期</w:t>
            </w:r>
          </w:p>
        </w:tc>
        <w:tc>
          <w:tcPr>
            <w:tcW w:w="5409" w:type="dxa"/>
            <w:vAlign w:val="center"/>
          </w:tcPr>
          <w:p w14:paraId="7FEA9D76">
            <w:pPr>
              <w:rPr>
                <w:rFonts w:ascii="宋体" w:hAnsi="宋体" w:cs="宋体"/>
                <w:sz w:val="21"/>
                <w:szCs w:val="21"/>
              </w:rPr>
            </w:pPr>
            <w:r>
              <w:rPr>
                <w:rFonts w:hint="eastAsia" w:ascii="宋体" w:hAnsi="宋体" w:cs="宋体"/>
                <w:sz w:val="21"/>
                <w:szCs w:val="21"/>
              </w:rPr>
              <w:t>响应文件及有关承诺文件有效期为提交响应文件截止时间起90天。</w:t>
            </w:r>
          </w:p>
        </w:tc>
      </w:tr>
    </w:tbl>
    <w:p w14:paraId="22D45DC0">
      <w:pPr>
        <w:spacing w:line="400" w:lineRule="exact"/>
        <w:ind w:firstLine="480" w:firstLineChars="200"/>
        <w:rPr>
          <w:rFonts w:ascii="宋体" w:hAnsi="宋体" w:cs="宋体"/>
          <w:sz w:val="24"/>
          <w:szCs w:val="24"/>
        </w:rPr>
      </w:pPr>
      <w:r>
        <w:rPr>
          <w:rFonts w:hint="eastAsia" w:ascii="宋体" w:hAnsi="宋体" w:cs="宋体"/>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12D425F8">
      <w:pPr>
        <w:spacing w:line="400" w:lineRule="exact"/>
        <w:ind w:firstLine="480" w:firstLineChars="200"/>
        <w:rPr>
          <w:rFonts w:ascii="宋体" w:hAnsi="宋体" w:cs="宋体"/>
          <w:sz w:val="24"/>
          <w:szCs w:val="24"/>
        </w:rPr>
      </w:pPr>
      <w:r>
        <w:rPr>
          <w:rFonts w:hint="eastAsia" w:ascii="宋体" w:hAnsi="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9F5D26">
      <w:pPr>
        <w:spacing w:line="400" w:lineRule="exact"/>
        <w:ind w:firstLine="480" w:firstLineChars="200"/>
        <w:rPr>
          <w:rFonts w:ascii="宋体" w:hAnsi="宋体" w:cs="宋体"/>
          <w:sz w:val="24"/>
          <w:szCs w:val="24"/>
        </w:rPr>
      </w:pPr>
      <w:r>
        <w:rPr>
          <w:rFonts w:hint="eastAsia" w:ascii="宋体" w:hAnsi="宋体" w:cs="宋体"/>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AC6439F">
      <w:pPr>
        <w:spacing w:line="400" w:lineRule="exact"/>
        <w:ind w:firstLine="480" w:firstLineChars="200"/>
        <w:rPr>
          <w:rFonts w:ascii="宋体" w:hAnsi="宋体" w:cs="宋体"/>
          <w:sz w:val="24"/>
          <w:szCs w:val="24"/>
        </w:rPr>
      </w:pPr>
      <w:r>
        <w:rPr>
          <w:rFonts w:hint="eastAsia" w:ascii="宋体" w:hAnsi="宋体" w:cs="宋体"/>
          <w:sz w:val="24"/>
          <w:szCs w:val="24"/>
        </w:rPr>
        <w:t>（五）在磋商过程中磋商的任何一方不得向他人透露与磋商有关的服务资料、价格或其他信息。</w:t>
      </w:r>
    </w:p>
    <w:p w14:paraId="69BF5BC8">
      <w:pPr>
        <w:spacing w:line="400" w:lineRule="exact"/>
        <w:ind w:firstLine="480" w:firstLineChars="200"/>
        <w:rPr>
          <w:rFonts w:ascii="宋体" w:hAnsi="宋体" w:cs="宋体"/>
          <w:sz w:val="24"/>
          <w:szCs w:val="24"/>
        </w:rPr>
      </w:pPr>
      <w:r>
        <w:rPr>
          <w:rFonts w:hint="eastAsia" w:ascii="宋体" w:hAnsi="宋体" w:cs="宋体"/>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5BE9CB0">
      <w:pPr>
        <w:spacing w:line="400" w:lineRule="exact"/>
        <w:ind w:firstLine="480" w:firstLineChars="200"/>
        <w:rPr>
          <w:rFonts w:ascii="宋体" w:hAnsi="宋体" w:cs="宋体"/>
          <w:sz w:val="24"/>
          <w:szCs w:val="24"/>
        </w:rPr>
      </w:pPr>
      <w:r>
        <w:rPr>
          <w:rFonts w:hint="eastAsia" w:ascii="宋体" w:hAnsi="宋体" w:cs="宋体"/>
          <w:sz w:val="24"/>
          <w:szCs w:val="24"/>
        </w:rPr>
        <w:t>（七）供应商在磋商时作出的所有书面承诺须由法定代表人（或其授权代表）或自然人（供应商为自然人）签署。</w:t>
      </w:r>
    </w:p>
    <w:p w14:paraId="2DB1BBCD">
      <w:pPr>
        <w:spacing w:line="400" w:lineRule="exact"/>
        <w:ind w:firstLine="480" w:firstLineChars="200"/>
        <w:rPr>
          <w:rFonts w:ascii="宋体" w:hAnsi="宋体" w:cs="宋体"/>
          <w:sz w:val="24"/>
          <w:szCs w:val="24"/>
        </w:rPr>
      </w:pPr>
      <w:r>
        <w:rPr>
          <w:rFonts w:hint="eastAsia" w:ascii="宋体" w:hAnsi="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63AEB059">
      <w:pPr>
        <w:spacing w:line="400" w:lineRule="exact"/>
        <w:ind w:firstLine="480" w:firstLineChars="200"/>
        <w:rPr>
          <w:rFonts w:ascii="宋体" w:hAnsi="宋体" w:cs="宋体"/>
          <w:sz w:val="24"/>
          <w:szCs w:val="24"/>
        </w:rPr>
      </w:pPr>
      <w:r>
        <w:rPr>
          <w:rFonts w:hint="eastAsia" w:ascii="宋体" w:hAnsi="宋体" w:cs="宋体"/>
          <w:sz w:val="24"/>
          <w:szCs w:val="24"/>
        </w:rPr>
        <w:t>（九）磋商小组采用综合评分法对提交最后报价的供应商的响应文件和最后报价（含有效书面承诺）进行综合评分。</w:t>
      </w:r>
      <w:r>
        <w:rPr>
          <w:rFonts w:hint="eastAsia" w:ascii="宋体" w:hAnsi="宋体" w:cs="宋体"/>
          <w:kern w:val="0"/>
          <w:sz w:val="24"/>
          <w:szCs w:val="24"/>
        </w:rPr>
        <w:t>综合评分法，是指响应文件满足竞争性磋商文件全部实质性要求且按照评审因素的量化指标评审得分最高的供应商为成交候选供应商的评审方法。供应商总得分为服务、商务等评定因素分别按照相应权重值计算分项得分后相加，满分为100分</w:t>
      </w:r>
      <w:r>
        <w:rPr>
          <w:rFonts w:hint="eastAsia" w:ascii="宋体" w:hAnsi="宋体" w:cs="宋体"/>
          <w:sz w:val="24"/>
          <w:szCs w:val="24"/>
        </w:rPr>
        <w:t>。</w:t>
      </w:r>
    </w:p>
    <w:p w14:paraId="7851A3EE">
      <w:pPr>
        <w:spacing w:line="400" w:lineRule="exact"/>
        <w:ind w:firstLine="480" w:firstLineChars="200"/>
        <w:rPr>
          <w:rFonts w:ascii="宋体" w:hAnsi="宋体" w:cs="宋体"/>
          <w:sz w:val="24"/>
          <w:szCs w:val="24"/>
        </w:rPr>
      </w:pPr>
      <w:r>
        <w:rPr>
          <w:rFonts w:hint="eastAsia" w:ascii="宋体" w:hAnsi="宋体" w:cs="宋体"/>
          <w:sz w:val="24"/>
          <w:szCs w:val="24"/>
        </w:rPr>
        <w:t>（十）磋商小组各成员独立对每个有效响应（通过资格性审查、</w:t>
      </w:r>
      <w:r>
        <w:rPr>
          <w:rFonts w:hint="eastAsia" w:ascii="宋体" w:hAnsi="宋体" w:cs="宋体"/>
          <w:kern w:val="0"/>
          <w:sz w:val="24"/>
          <w:szCs w:val="24"/>
        </w:rPr>
        <w:t>符合性审查的供应商</w:t>
      </w:r>
      <w:r>
        <w:rPr>
          <w:rFonts w:hint="eastAsia" w:ascii="宋体" w:hAnsi="宋体" w:cs="宋体"/>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457C86C7">
      <w:pPr>
        <w:pStyle w:val="4"/>
        <w:numPr>
          <w:ilvl w:val="1"/>
          <w:numId w:val="0"/>
        </w:numPr>
        <w:adjustRightInd w:val="0"/>
        <w:snapToGrid w:val="0"/>
        <w:spacing w:line="400" w:lineRule="exact"/>
        <w:rPr>
          <w:rFonts w:ascii="宋体" w:hAnsi="宋体" w:eastAsia="宋体" w:cs="宋体"/>
          <w:b/>
          <w:bCs w:val="0"/>
          <w:sz w:val="24"/>
        </w:rPr>
      </w:pPr>
      <w:bookmarkStart w:id="154" w:name="_Toc3799"/>
      <w:bookmarkStart w:id="155" w:name="_Toc106030889"/>
      <w:bookmarkStart w:id="156" w:name="_Toc25329"/>
      <w:bookmarkStart w:id="157" w:name="_Toc22744"/>
      <w:bookmarkStart w:id="158" w:name="_Toc76462334"/>
      <w:bookmarkStart w:id="159" w:name="_Toc22015"/>
      <w:bookmarkStart w:id="160" w:name="_Toc16518"/>
      <w:r>
        <w:rPr>
          <w:rFonts w:hint="eastAsia" w:ascii="宋体" w:hAnsi="宋体" w:eastAsia="宋体" w:cs="宋体"/>
          <w:b/>
          <w:bCs w:val="0"/>
          <w:sz w:val="24"/>
        </w:rPr>
        <w:t>二、</w:t>
      </w:r>
      <w:bookmarkStart w:id="161" w:name="_Toc102227320"/>
      <w:bookmarkStart w:id="162" w:name="_Toc342913394"/>
      <w:r>
        <w:rPr>
          <w:rFonts w:hint="eastAsia" w:ascii="宋体" w:hAnsi="宋体" w:eastAsia="宋体" w:cs="宋体"/>
          <w:b/>
          <w:bCs w:val="0"/>
          <w:sz w:val="24"/>
        </w:rPr>
        <w:t>评审标准</w:t>
      </w:r>
      <w:bookmarkEnd w:id="154"/>
      <w:bookmarkEnd w:id="155"/>
      <w:bookmarkEnd w:id="156"/>
      <w:bookmarkEnd w:id="157"/>
      <w:bookmarkEnd w:id="158"/>
      <w:bookmarkEnd w:id="159"/>
      <w:bookmarkEnd w:id="160"/>
    </w:p>
    <w:tbl>
      <w:tblPr>
        <w:tblStyle w:val="2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33"/>
        <w:gridCol w:w="1155"/>
        <w:gridCol w:w="4340"/>
        <w:gridCol w:w="1973"/>
      </w:tblGrid>
      <w:tr w14:paraId="1D9E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557A43CE">
            <w:pPr>
              <w:ind w:firstLine="28"/>
              <w:jc w:val="center"/>
              <w:rPr>
                <w:rFonts w:ascii="宋体" w:hAnsi="宋体" w:cs="宋体"/>
                <w:b/>
                <w:sz w:val="24"/>
                <w:szCs w:val="24"/>
              </w:rPr>
            </w:pPr>
            <w:bookmarkStart w:id="163" w:name="_Toc106030890"/>
            <w:bookmarkStart w:id="164" w:name="_Toc16319"/>
            <w:bookmarkStart w:id="165" w:name="_Toc22887"/>
            <w:bookmarkStart w:id="166" w:name="_Toc27944"/>
            <w:bookmarkStart w:id="167" w:name="_Toc76462335"/>
            <w:r>
              <w:rPr>
                <w:rFonts w:hint="eastAsia" w:ascii="宋体" w:hAnsi="宋体" w:cs="宋体"/>
                <w:b/>
                <w:sz w:val="24"/>
                <w:szCs w:val="24"/>
              </w:rPr>
              <w:t>序号</w:t>
            </w:r>
          </w:p>
        </w:tc>
        <w:tc>
          <w:tcPr>
            <w:tcW w:w="1433" w:type="dxa"/>
            <w:vAlign w:val="center"/>
          </w:tcPr>
          <w:p w14:paraId="3263DF13">
            <w:pPr>
              <w:ind w:firstLine="28"/>
              <w:jc w:val="center"/>
              <w:rPr>
                <w:rFonts w:ascii="宋体" w:hAnsi="宋体" w:cs="宋体"/>
                <w:b/>
                <w:sz w:val="24"/>
                <w:szCs w:val="24"/>
              </w:rPr>
            </w:pPr>
            <w:r>
              <w:rPr>
                <w:rFonts w:hint="eastAsia" w:ascii="宋体" w:hAnsi="宋体" w:cs="宋体"/>
                <w:b/>
                <w:sz w:val="24"/>
                <w:szCs w:val="24"/>
              </w:rPr>
              <w:t>评分因素及权值</w:t>
            </w:r>
          </w:p>
        </w:tc>
        <w:tc>
          <w:tcPr>
            <w:tcW w:w="1155" w:type="dxa"/>
            <w:vAlign w:val="center"/>
          </w:tcPr>
          <w:p w14:paraId="7DD9AF0D">
            <w:pPr>
              <w:ind w:firstLine="28"/>
              <w:jc w:val="center"/>
              <w:rPr>
                <w:rFonts w:ascii="宋体" w:hAnsi="宋体" w:cs="宋体"/>
                <w:b/>
                <w:sz w:val="24"/>
                <w:szCs w:val="24"/>
              </w:rPr>
            </w:pPr>
            <w:r>
              <w:rPr>
                <w:rFonts w:hint="eastAsia" w:ascii="宋体" w:hAnsi="宋体" w:cs="宋体"/>
                <w:b/>
                <w:sz w:val="24"/>
                <w:szCs w:val="24"/>
              </w:rPr>
              <w:t>分值</w:t>
            </w:r>
          </w:p>
        </w:tc>
        <w:tc>
          <w:tcPr>
            <w:tcW w:w="4340" w:type="dxa"/>
            <w:vAlign w:val="center"/>
          </w:tcPr>
          <w:p w14:paraId="29CBCBFD">
            <w:pPr>
              <w:ind w:firstLine="28"/>
              <w:jc w:val="center"/>
              <w:rPr>
                <w:rFonts w:ascii="宋体" w:hAnsi="宋体" w:cs="宋体"/>
                <w:b/>
                <w:sz w:val="24"/>
                <w:szCs w:val="24"/>
              </w:rPr>
            </w:pPr>
            <w:r>
              <w:rPr>
                <w:rFonts w:hint="eastAsia" w:ascii="宋体" w:hAnsi="宋体" w:cs="宋体"/>
                <w:b/>
                <w:sz w:val="24"/>
                <w:szCs w:val="24"/>
              </w:rPr>
              <w:t>评分标准</w:t>
            </w:r>
          </w:p>
        </w:tc>
        <w:tc>
          <w:tcPr>
            <w:tcW w:w="1973" w:type="dxa"/>
            <w:vAlign w:val="center"/>
          </w:tcPr>
          <w:p w14:paraId="32F1B6C5">
            <w:pPr>
              <w:pStyle w:val="43"/>
              <w:spacing w:line="240" w:lineRule="auto"/>
              <w:rPr>
                <w:rFonts w:ascii="宋体" w:hAnsi="宋体" w:eastAsia="宋体" w:cs="宋体"/>
                <w:szCs w:val="24"/>
              </w:rPr>
            </w:pPr>
            <w:r>
              <w:rPr>
                <w:rFonts w:hint="eastAsia" w:ascii="宋体" w:hAnsi="宋体" w:eastAsia="宋体" w:cs="宋体"/>
                <w:szCs w:val="24"/>
              </w:rPr>
              <w:t>说明</w:t>
            </w:r>
          </w:p>
        </w:tc>
      </w:tr>
      <w:tr w14:paraId="61E8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35" w:type="dxa"/>
            <w:vAlign w:val="center"/>
          </w:tcPr>
          <w:p w14:paraId="28AE468C">
            <w:pPr>
              <w:ind w:firstLine="28"/>
              <w:jc w:val="center"/>
              <w:rPr>
                <w:rFonts w:ascii="宋体" w:hAnsi="宋体" w:cs="宋体"/>
                <w:bCs/>
                <w:sz w:val="24"/>
                <w:szCs w:val="24"/>
              </w:rPr>
            </w:pPr>
            <w:r>
              <w:rPr>
                <w:rFonts w:hint="eastAsia" w:ascii="宋体" w:hAnsi="宋体" w:cs="宋体"/>
                <w:bCs/>
                <w:sz w:val="24"/>
                <w:szCs w:val="24"/>
              </w:rPr>
              <w:t>1</w:t>
            </w:r>
          </w:p>
        </w:tc>
        <w:tc>
          <w:tcPr>
            <w:tcW w:w="1433" w:type="dxa"/>
            <w:vAlign w:val="center"/>
          </w:tcPr>
          <w:p w14:paraId="2B8EAC6C">
            <w:pPr>
              <w:ind w:firstLine="28"/>
              <w:jc w:val="center"/>
              <w:rPr>
                <w:rFonts w:ascii="宋体" w:hAnsi="宋体" w:cs="宋体"/>
                <w:bCs/>
                <w:sz w:val="24"/>
                <w:szCs w:val="24"/>
              </w:rPr>
            </w:pPr>
            <w:r>
              <w:rPr>
                <w:rFonts w:hint="eastAsia" w:ascii="宋体" w:hAnsi="宋体" w:cs="宋体"/>
                <w:bCs/>
                <w:sz w:val="24"/>
                <w:szCs w:val="24"/>
              </w:rPr>
              <w:t>磋商报价</w:t>
            </w:r>
          </w:p>
          <w:p w14:paraId="1DC3E232">
            <w:pPr>
              <w:ind w:firstLine="28"/>
              <w:jc w:val="center"/>
              <w:rPr>
                <w:rFonts w:ascii="宋体" w:hAnsi="宋体" w:cs="宋体"/>
                <w:bCs/>
                <w:sz w:val="24"/>
                <w:szCs w:val="24"/>
              </w:rPr>
            </w:pPr>
            <w:r>
              <w:rPr>
                <w:rFonts w:hint="eastAsia" w:ascii="宋体" w:hAnsi="宋体" w:cs="宋体"/>
                <w:bCs/>
                <w:sz w:val="24"/>
                <w:szCs w:val="24"/>
              </w:rPr>
              <w:t>（10%）</w:t>
            </w:r>
          </w:p>
        </w:tc>
        <w:tc>
          <w:tcPr>
            <w:tcW w:w="1155" w:type="dxa"/>
            <w:tcBorders>
              <w:bottom w:val="single" w:color="auto" w:sz="4" w:space="0"/>
            </w:tcBorders>
            <w:vAlign w:val="center"/>
          </w:tcPr>
          <w:p w14:paraId="75CB03CE">
            <w:pPr>
              <w:ind w:firstLine="28"/>
              <w:jc w:val="center"/>
              <w:rPr>
                <w:rFonts w:ascii="宋体" w:hAnsi="宋体" w:cs="宋体"/>
                <w:bCs/>
                <w:sz w:val="24"/>
                <w:szCs w:val="24"/>
              </w:rPr>
            </w:pPr>
            <w:r>
              <w:rPr>
                <w:rFonts w:hint="eastAsia" w:ascii="宋体" w:hAnsi="宋体" w:cs="宋体"/>
                <w:bCs/>
                <w:sz w:val="24"/>
                <w:szCs w:val="24"/>
              </w:rPr>
              <w:t>10分</w:t>
            </w:r>
          </w:p>
        </w:tc>
        <w:tc>
          <w:tcPr>
            <w:tcW w:w="4340" w:type="dxa"/>
            <w:tcBorders>
              <w:bottom w:val="single" w:color="auto" w:sz="4" w:space="0"/>
            </w:tcBorders>
            <w:vAlign w:val="center"/>
          </w:tcPr>
          <w:p w14:paraId="3A8A7D01">
            <w:pPr>
              <w:ind w:firstLine="28"/>
              <w:rPr>
                <w:rFonts w:ascii="宋体" w:hAnsi="宋体" w:cs="宋体"/>
                <w:bCs/>
                <w:sz w:val="24"/>
                <w:szCs w:val="24"/>
              </w:rPr>
            </w:pPr>
            <w:r>
              <w:rPr>
                <w:rFonts w:hint="eastAsia" w:ascii="宋体" w:hAnsi="宋体" w:cs="宋体"/>
                <w:bCs/>
                <w:sz w:val="24"/>
                <w:szCs w:val="24"/>
              </w:rPr>
              <w:t>满足资格性、符合性要求且最后报价最低的供应商的价格为磋商基准价，其价格分为满分。其他供应商的价格分统一按照下列公式计算：</w:t>
            </w:r>
          </w:p>
          <w:p w14:paraId="44C93ADD">
            <w:pPr>
              <w:ind w:firstLine="28"/>
              <w:rPr>
                <w:rFonts w:ascii="宋体" w:hAnsi="宋体" w:cs="宋体"/>
                <w:bCs/>
                <w:sz w:val="24"/>
                <w:szCs w:val="24"/>
              </w:rPr>
            </w:pPr>
            <w:r>
              <w:rPr>
                <w:rFonts w:hint="eastAsia" w:ascii="宋体" w:hAnsi="宋体" w:cs="宋体"/>
                <w:bCs/>
                <w:sz w:val="24"/>
                <w:szCs w:val="24"/>
              </w:rPr>
              <w:t>磋商报价得分=（磋商基准价/最后磋商报价）×价格权值×100（按四舍五入法保留小数点后两位）</w:t>
            </w:r>
          </w:p>
        </w:tc>
        <w:tc>
          <w:tcPr>
            <w:tcW w:w="1973" w:type="dxa"/>
            <w:vAlign w:val="center"/>
          </w:tcPr>
          <w:p w14:paraId="6C303D31">
            <w:pPr>
              <w:ind w:firstLine="28"/>
              <w:jc w:val="center"/>
              <w:rPr>
                <w:rFonts w:ascii="宋体" w:hAnsi="宋体" w:cs="宋体"/>
                <w:bCs/>
                <w:sz w:val="24"/>
                <w:szCs w:val="24"/>
              </w:rPr>
            </w:pPr>
            <w:r>
              <w:rPr>
                <w:rFonts w:hint="eastAsia" w:ascii="宋体" w:hAnsi="宋体" w:cs="宋体"/>
                <w:bCs/>
                <w:sz w:val="24"/>
                <w:szCs w:val="24"/>
              </w:rPr>
              <w:t>对小微企业的价格用扣除后的价格参与评审，详见“注：关于小微企业报价扣除比例说明。</w:t>
            </w:r>
          </w:p>
        </w:tc>
      </w:tr>
      <w:tr w14:paraId="41F3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5" w:type="dxa"/>
            <w:vMerge w:val="restart"/>
            <w:vAlign w:val="center"/>
          </w:tcPr>
          <w:p w14:paraId="52442287">
            <w:pPr>
              <w:ind w:firstLine="28"/>
              <w:jc w:val="center"/>
              <w:rPr>
                <w:rFonts w:ascii="宋体" w:hAnsi="宋体" w:cs="宋体"/>
                <w:bCs/>
                <w:sz w:val="24"/>
                <w:szCs w:val="24"/>
              </w:rPr>
            </w:pPr>
            <w:r>
              <w:rPr>
                <w:rFonts w:hint="eastAsia" w:ascii="宋体" w:hAnsi="宋体" w:cs="宋体"/>
                <w:bCs/>
                <w:sz w:val="24"/>
                <w:szCs w:val="24"/>
              </w:rPr>
              <w:t>2</w:t>
            </w:r>
          </w:p>
        </w:tc>
        <w:tc>
          <w:tcPr>
            <w:tcW w:w="1433" w:type="dxa"/>
            <w:vMerge w:val="restart"/>
            <w:vAlign w:val="center"/>
          </w:tcPr>
          <w:p w14:paraId="09229AC0">
            <w:pPr>
              <w:ind w:firstLine="28"/>
              <w:jc w:val="center"/>
              <w:rPr>
                <w:rFonts w:ascii="宋体" w:hAnsi="宋体" w:cs="宋体"/>
                <w:bCs/>
                <w:sz w:val="24"/>
                <w:szCs w:val="24"/>
              </w:rPr>
            </w:pPr>
            <w:r>
              <w:rPr>
                <w:rFonts w:hint="eastAsia" w:ascii="宋体" w:hAnsi="宋体" w:cs="宋体"/>
                <w:bCs/>
                <w:sz w:val="24"/>
                <w:szCs w:val="24"/>
              </w:rPr>
              <w:t>服务部分</w:t>
            </w:r>
          </w:p>
          <w:p w14:paraId="722205D2">
            <w:pPr>
              <w:ind w:firstLine="28"/>
              <w:jc w:val="center"/>
              <w:rPr>
                <w:rFonts w:ascii="宋体" w:hAnsi="宋体" w:cs="宋体"/>
                <w:bCs/>
                <w:sz w:val="24"/>
                <w:szCs w:val="24"/>
              </w:rPr>
            </w:pPr>
            <w:r>
              <w:rPr>
                <w:rFonts w:hint="eastAsia" w:ascii="宋体" w:hAnsi="宋体" w:cs="宋体"/>
                <w:bCs/>
                <w:sz w:val="24"/>
                <w:szCs w:val="24"/>
              </w:rPr>
              <w:t>（60%）</w:t>
            </w:r>
          </w:p>
        </w:tc>
        <w:tc>
          <w:tcPr>
            <w:tcW w:w="1155" w:type="dxa"/>
            <w:tcBorders>
              <w:bottom w:val="single" w:color="auto" w:sz="4" w:space="0"/>
            </w:tcBorders>
            <w:vAlign w:val="center"/>
          </w:tcPr>
          <w:p w14:paraId="3F82D82F">
            <w:pPr>
              <w:ind w:firstLine="28"/>
              <w:jc w:val="center"/>
              <w:rPr>
                <w:rFonts w:ascii="宋体" w:hAnsi="宋体" w:cs="宋体"/>
                <w:bCs/>
                <w:sz w:val="24"/>
                <w:szCs w:val="24"/>
              </w:rPr>
            </w:pPr>
            <w:r>
              <w:rPr>
                <w:rFonts w:hint="eastAsia" w:ascii="宋体" w:hAnsi="宋体" w:cs="宋体"/>
                <w:bCs/>
                <w:sz w:val="24"/>
                <w:szCs w:val="24"/>
              </w:rPr>
              <w:t>9分</w:t>
            </w:r>
          </w:p>
        </w:tc>
        <w:tc>
          <w:tcPr>
            <w:tcW w:w="4340" w:type="dxa"/>
            <w:tcBorders>
              <w:bottom w:val="single" w:color="auto" w:sz="4" w:space="0"/>
            </w:tcBorders>
            <w:shd w:val="clear" w:color="auto" w:fill="auto"/>
            <w:vAlign w:val="center"/>
          </w:tcPr>
          <w:p w14:paraId="32C94173">
            <w:pPr>
              <w:keepLines/>
              <w:widowControl/>
              <w:adjustRightInd w:val="0"/>
              <w:snapToGrid w:val="0"/>
              <w:spacing w:before="48" w:beforeLines="20" w:after="48" w:afterLines="20" w:line="400" w:lineRule="exact"/>
              <w:outlineLvl w:val="1"/>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分析市级对15分钟高品质生活圈规划的相关指导意见，并提供本次规划技术框架和工作方案。</w:t>
            </w:r>
          </w:p>
          <w:p w14:paraId="6C299689">
            <w:pPr>
              <w:pStyle w:val="13"/>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方案内容不存在瑕疵，得9分；</w:t>
            </w:r>
          </w:p>
          <w:p w14:paraId="6F308D4F">
            <w:pPr>
              <w:pStyle w:val="13"/>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方案内容存在1处瑕疵，得6分；</w:t>
            </w:r>
          </w:p>
          <w:p w14:paraId="468B4D34">
            <w:pPr>
              <w:pStyle w:val="13"/>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方案内容存在2处瑕疵得3分；</w:t>
            </w:r>
          </w:p>
          <w:p w14:paraId="45E5EE11">
            <w:pPr>
              <w:pStyle w:val="13"/>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方案内容存在3处及以上瑕疵或未提供方案得0分。</w:t>
            </w:r>
          </w:p>
        </w:tc>
        <w:tc>
          <w:tcPr>
            <w:tcW w:w="1973" w:type="dxa"/>
            <w:vMerge w:val="restart"/>
            <w:shd w:val="clear" w:color="auto" w:fill="auto"/>
            <w:vAlign w:val="center"/>
          </w:tcPr>
          <w:p w14:paraId="10C3275C">
            <w:pPr>
              <w:keepLines/>
              <w:widowControl/>
              <w:adjustRightInd w:val="0"/>
              <w:snapToGrid w:val="0"/>
              <w:spacing w:before="48" w:beforeLines="20" w:after="48" w:afterLines="20" w:line="400" w:lineRule="exact"/>
              <w:ind w:firstLine="336" w:firstLineChars="140"/>
              <w:outlineLvl w:val="1"/>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说明：方案中所称的“瑕疵”指①方案出现内容缺项、表述不完整；②缺乏科学合理性、操作性，存在逻辑漏洞；③方案内容出现常识性错误；④表述前后矛盾、不清晰、无连贯性；⑤技术方案安排并不适用本项目特性；⑥不利于本项目的目的实现；⑦现有技术条件下不可能实现的情形。上述任意一种情形为1处瑕疵。</w:t>
            </w:r>
          </w:p>
        </w:tc>
      </w:tr>
      <w:tr w14:paraId="3954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vAlign w:val="center"/>
          </w:tcPr>
          <w:p w14:paraId="15D4EF57">
            <w:pPr>
              <w:ind w:firstLine="28"/>
              <w:jc w:val="center"/>
              <w:rPr>
                <w:rFonts w:ascii="宋体" w:hAnsi="宋体" w:cs="宋体"/>
                <w:bCs/>
                <w:sz w:val="24"/>
                <w:szCs w:val="24"/>
              </w:rPr>
            </w:pPr>
          </w:p>
        </w:tc>
        <w:tc>
          <w:tcPr>
            <w:tcW w:w="1433" w:type="dxa"/>
            <w:vMerge w:val="continue"/>
            <w:vAlign w:val="center"/>
          </w:tcPr>
          <w:p w14:paraId="4F0036A6">
            <w:pPr>
              <w:ind w:firstLine="28"/>
              <w:jc w:val="center"/>
              <w:rPr>
                <w:rFonts w:ascii="宋体" w:hAnsi="宋体" w:cs="宋体"/>
                <w:bCs/>
                <w:sz w:val="24"/>
                <w:szCs w:val="24"/>
              </w:rPr>
            </w:pPr>
          </w:p>
        </w:tc>
        <w:tc>
          <w:tcPr>
            <w:tcW w:w="1155" w:type="dxa"/>
            <w:tcBorders>
              <w:bottom w:val="single" w:color="auto" w:sz="4" w:space="0"/>
            </w:tcBorders>
            <w:vAlign w:val="center"/>
          </w:tcPr>
          <w:p w14:paraId="32852F55">
            <w:pPr>
              <w:ind w:firstLine="28"/>
              <w:jc w:val="center"/>
              <w:rPr>
                <w:rFonts w:ascii="宋体" w:hAnsi="宋体" w:cs="宋体"/>
                <w:bCs/>
                <w:sz w:val="24"/>
                <w:szCs w:val="24"/>
              </w:rPr>
            </w:pPr>
            <w:r>
              <w:rPr>
                <w:rFonts w:hint="eastAsia" w:ascii="宋体" w:hAnsi="宋体" w:cs="宋体"/>
                <w:bCs/>
                <w:sz w:val="24"/>
                <w:szCs w:val="24"/>
              </w:rPr>
              <w:t>20分</w:t>
            </w:r>
          </w:p>
        </w:tc>
        <w:tc>
          <w:tcPr>
            <w:tcW w:w="4340" w:type="dxa"/>
            <w:tcBorders>
              <w:bottom w:val="single" w:color="auto" w:sz="4" w:space="0"/>
            </w:tcBorders>
            <w:shd w:val="clear" w:color="auto" w:fill="auto"/>
            <w:vAlign w:val="center"/>
          </w:tcPr>
          <w:p w14:paraId="4BA26918">
            <w:pPr>
              <w:keepLines/>
              <w:widowControl/>
              <w:adjustRightInd w:val="0"/>
              <w:snapToGrid w:val="0"/>
              <w:spacing w:before="48" w:beforeLines="20" w:after="48" w:afterLines="20" w:line="400" w:lineRule="exact"/>
              <w:outlineLvl w:val="1"/>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结合上位规划，提供以下方案：①对南岸区生活圈进行划定，并确定生活圈类型；②对现状15分钟要素进行摸底梳理，形成配套图表。</w:t>
            </w:r>
          </w:p>
          <w:p w14:paraId="12B660C6">
            <w:pPr>
              <w:pStyle w:val="13"/>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方案内容不存在瑕疵，得20分；</w:t>
            </w:r>
          </w:p>
          <w:p w14:paraId="50ABCA13">
            <w:pPr>
              <w:pStyle w:val="13"/>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方案内容存在1处瑕疵，得15分；</w:t>
            </w:r>
          </w:p>
          <w:p w14:paraId="48C5A41B">
            <w:pPr>
              <w:pStyle w:val="13"/>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方案内容存在2处瑕疵得10分；</w:t>
            </w:r>
          </w:p>
          <w:p w14:paraId="6F7A7129">
            <w:pPr>
              <w:pStyle w:val="13"/>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方案内容存在3处瑕疵得5分；</w:t>
            </w:r>
          </w:p>
          <w:p w14:paraId="55B7B2E4">
            <w:pPr>
              <w:pStyle w:val="13"/>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方案内容存在4处及以上瑕疵或未提供方案得0分。</w:t>
            </w:r>
          </w:p>
        </w:tc>
        <w:tc>
          <w:tcPr>
            <w:tcW w:w="1973" w:type="dxa"/>
            <w:vMerge w:val="continue"/>
            <w:vAlign w:val="center"/>
          </w:tcPr>
          <w:p w14:paraId="0FD6691B">
            <w:pPr>
              <w:ind w:firstLine="28"/>
              <w:rPr>
                <w:rFonts w:ascii="宋体" w:hAnsi="宋体" w:cs="宋体"/>
                <w:bCs/>
                <w:sz w:val="24"/>
                <w:szCs w:val="24"/>
                <w:lang w:val="zh-CN"/>
              </w:rPr>
            </w:pPr>
          </w:p>
        </w:tc>
      </w:tr>
      <w:tr w14:paraId="10BC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vAlign w:val="center"/>
          </w:tcPr>
          <w:p w14:paraId="5AB457BB">
            <w:pPr>
              <w:ind w:firstLine="28"/>
              <w:jc w:val="center"/>
              <w:rPr>
                <w:rFonts w:ascii="宋体" w:hAnsi="宋体" w:cs="宋体"/>
                <w:bCs/>
                <w:sz w:val="24"/>
                <w:szCs w:val="24"/>
              </w:rPr>
            </w:pPr>
          </w:p>
        </w:tc>
        <w:tc>
          <w:tcPr>
            <w:tcW w:w="1433" w:type="dxa"/>
            <w:vMerge w:val="continue"/>
            <w:vAlign w:val="center"/>
          </w:tcPr>
          <w:p w14:paraId="3D592C26">
            <w:pPr>
              <w:ind w:firstLine="28"/>
              <w:jc w:val="center"/>
              <w:rPr>
                <w:rFonts w:ascii="宋体" w:hAnsi="宋体" w:cs="宋体"/>
                <w:bCs/>
                <w:sz w:val="24"/>
                <w:szCs w:val="24"/>
              </w:rPr>
            </w:pPr>
          </w:p>
        </w:tc>
        <w:tc>
          <w:tcPr>
            <w:tcW w:w="1155" w:type="dxa"/>
            <w:tcBorders>
              <w:bottom w:val="single" w:color="auto" w:sz="4" w:space="0"/>
            </w:tcBorders>
            <w:vAlign w:val="center"/>
          </w:tcPr>
          <w:p w14:paraId="4D83A09F">
            <w:pPr>
              <w:ind w:firstLine="28"/>
              <w:jc w:val="center"/>
              <w:rPr>
                <w:rFonts w:ascii="宋体" w:hAnsi="宋体" w:cs="宋体"/>
                <w:bCs/>
                <w:sz w:val="24"/>
                <w:szCs w:val="24"/>
              </w:rPr>
            </w:pPr>
            <w:r>
              <w:rPr>
                <w:rFonts w:hint="eastAsia" w:ascii="宋体" w:hAnsi="宋体" w:cs="宋体"/>
                <w:bCs/>
                <w:sz w:val="24"/>
                <w:szCs w:val="24"/>
              </w:rPr>
              <w:t>8分</w:t>
            </w:r>
          </w:p>
        </w:tc>
        <w:tc>
          <w:tcPr>
            <w:tcW w:w="4340" w:type="dxa"/>
            <w:tcBorders>
              <w:bottom w:val="single" w:color="auto" w:sz="4" w:space="0"/>
            </w:tcBorders>
            <w:shd w:val="clear" w:color="auto" w:fill="auto"/>
            <w:vAlign w:val="center"/>
          </w:tcPr>
          <w:p w14:paraId="6AEBEF65">
            <w:pPr>
              <w:keepLines/>
              <w:widowControl/>
              <w:adjustRightInd w:val="0"/>
              <w:snapToGrid w:val="0"/>
              <w:spacing w:before="48" w:beforeLines="20" w:after="48" w:afterLines="20" w:line="400" w:lineRule="exact"/>
              <w:outlineLvl w:val="1"/>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根据导则要求，对生活圈现状服务要素进行初步评级，并提出创建高品质生活圈时序建议。</w:t>
            </w:r>
          </w:p>
          <w:p w14:paraId="1CC917F6">
            <w:pPr>
              <w:pStyle w:val="13"/>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方案内容不存在瑕疵，得8分；</w:t>
            </w:r>
          </w:p>
          <w:p w14:paraId="22B83887">
            <w:pPr>
              <w:pStyle w:val="13"/>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方案内容存在1处瑕疵，得5分；</w:t>
            </w:r>
          </w:p>
          <w:p w14:paraId="3CC6DE1B">
            <w:pPr>
              <w:pStyle w:val="13"/>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方案内容存在2处瑕疵得2分；</w:t>
            </w:r>
          </w:p>
          <w:p w14:paraId="4BAB276C">
            <w:pPr>
              <w:pStyle w:val="13"/>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方案内容存在3处及以上瑕疵或未提供方案得0分。</w:t>
            </w:r>
          </w:p>
        </w:tc>
        <w:tc>
          <w:tcPr>
            <w:tcW w:w="1973" w:type="dxa"/>
            <w:vMerge w:val="continue"/>
            <w:vAlign w:val="center"/>
          </w:tcPr>
          <w:p w14:paraId="009764C0">
            <w:pPr>
              <w:ind w:firstLine="28"/>
              <w:rPr>
                <w:rFonts w:ascii="宋体" w:hAnsi="宋体" w:cs="宋体"/>
                <w:bCs/>
                <w:sz w:val="24"/>
                <w:szCs w:val="24"/>
                <w:lang w:val="zh-CN"/>
              </w:rPr>
            </w:pPr>
          </w:p>
        </w:tc>
      </w:tr>
      <w:tr w14:paraId="2EA9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vAlign w:val="center"/>
          </w:tcPr>
          <w:p w14:paraId="601CDA8D">
            <w:pPr>
              <w:ind w:firstLine="28"/>
              <w:jc w:val="center"/>
              <w:rPr>
                <w:rFonts w:ascii="宋体" w:hAnsi="宋体" w:cs="宋体"/>
                <w:bCs/>
                <w:sz w:val="24"/>
                <w:szCs w:val="24"/>
              </w:rPr>
            </w:pPr>
          </w:p>
        </w:tc>
        <w:tc>
          <w:tcPr>
            <w:tcW w:w="1433" w:type="dxa"/>
            <w:vMerge w:val="continue"/>
            <w:vAlign w:val="center"/>
          </w:tcPr>
          <w:p w14:paraId="0D18C2D5">
            <w:pPr>
              <w:ind w:firstLine="28"/>
              <w:jc w:val="center"/>
              <w:rPr>
                <w:rFonts w:ascii="宋体" w:hAnsi="宋体" w:cs="宋体"/>
                <w:bCs/>
                <w:sz w:val="24"/>
                <w:szCs w:val="24"/>
              </w:rPr>
            </w:pPr>
          </w:p>
        </w:tc>
        <w:tc>
          <w:tcPr>
            <w:tcW w:w="1155" w:type="dxa"/>
            <w:tcBorders>
              <w:bottom w:val="single" w:color="auto" w:sz="4" w:space="0"/>
            </w:tcBorders>
            <w:vAlign w:val="center"/>
          </w:tcPr>
          <w:p w14:paraId="12EA4458">
            <w:pPr>
              <w:ind w:firstLine="28"/>
              <w:jc w:val="center"/>
              <w:rPr>
                <w:rFonts w:ascii="宋体" w:hAnsi="宋体" w:cs="宋体"/>
                <w:bCs/>
                <w:sz w:val="24"/>
                <w:szCs w:val="24"/>
              </w:rPr>
            </w:pPr>
            <w:r>
              <w:rPr>
                <w:rFonts w:hint="eastAsia" w:ascii="宋体" w:hAnsi="宋体" w:cs="宋体"/>
                <w:bCs/>
                <w:sz w:val="24"/>
                <w:szCs w:val="24"/>
              </w:rPr>
              <w:t>18分</w:t>
            </w:r>
          </w:p>
        </w:tc>
        <w:tc>
          <w:tcPr>
            <w:tcW w:w="4340" w:type="dxa"/>
            <w:tcBorders>
              <w:bottom w:val="single" w:color="auto" w:sz="4" w:space="0"/>
            </w:tcBorders>
            <w:shd w:val="clear" w:color="auto" w:fill="auto"/>
            <w:vAlign w:val="center"/>
          </w:tcPr>
          <w:p w14:paraId="369478E9">
            <w:pPr>
              <w:keepLines/>
              <w:widowControl/>
              <w:adjustRightInd w:val="0"/>
              <w:snapToGrid w:val="0"/>
              <w:spacing w:before="48" w:beforeLines="20" w:after="48" w:afterLines="20" w:line="400" w:lineRule="exact"/>
              <w:outlineLvl w:val="1"/>
              <w:rPr>
                <w:rFonts w:ascii="宋体" w:hAnsi="宋体" w:cs="宋体"/>
                <w:kern w:val="0"/>
                <w:sz w:val="24"/>
                <w:szCs w:val="24"/>
              </w:rPr>
            </w:pPr>
            <w:r>
              <w:rPr>
                <w:rFonts w:hint="eastAsia" w:ascii="宋体" w:hAnsi="宋体" w:cs="宋体"/>
                <w:kern w:val="0"/>
                <w:sz w:val="24"/>
                <w:szCs w:val="24"/>
              </w:rPr>
              <w:t>制定3个及以上具体生活圈的规划指引，并形成规划一张图。</w:t>
            </w:r>
          </w:p>
          <w:p w14:paraId="76C9EA5C">
            <w:pPr>
              <w:pStyle w:val="13"/>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方案内容不存在瑕疵，得18分；</w:t>
            </w:r>
          </w:p>
          <w:p w14:paraId="06532895">
            <w:pPr>
              <w:pStyle w:val="13"/>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方案内容存在1处瑕疵，得13分；</w:t>
            </w:r>
          </w:p>
          <w:p w14:paraId="1A5532AB">
            <w:pPr>
              <w:pStyle w:val="13"/>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方案内容存在2处瑕疵得8分；</w:t>
            </w:r>
          </w:p>
          <w:p w14:paraId="4D2E9E3A">
            <w:pPr>
              <w:pStyle w:val="13"/>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方案内容存在3处瑕疵得2分；</w:t>
            </w:r>
          </w:p>
          <w:p w14:paraId="0FF7F4EF">
            <w:pPr>
              <w:pStyle w:val="2"/>
            </w:pPr>
            <w:r>
              <w:rPr>
                <w:rFonts w:hint="eastAsia" w:hAnsi="宋体" w:eastAsia="宋体" w:cs="宋体"/>
                <w:color w:val="000000" w:themeColor="text1"/>
                <w:szCs w:val="24"/>
                <w14:textFill>
                  <w14:solidFill>
                    <w14:schemeClr w14:val="tx1"/>
                  </w14:solidFill>
                </w14:textFill>
              </w:rPr>
              <w:t>方案内容存在</w:t>
            </w:r>
            <w:r>
              <w:rPr>
                <w:rFonts w:hint="eastAsia" w:hAnsi="宋体" w:cs="宋体"/>
                <w:color w:val="000000" w:themeColor="text1"/>
                <w:szCs w:val="24"/>
                <w14:textFill>
                  <w14:solidFill>
                    <w14:schemeClr w14:val="tx1"/>
                  </w14:solidFill>
                </w14:textFill>
              </w:rPr>
              <w:t>4</w:t>
            </w:r>
            <w:r>
              <w:rPr>
                <w:rFonts w:hint="eastAsia" w:hAnsi="宋体" w:eastAsia="宋体" w:cs="宋体"/>
                <w:color w:val="000000" w:themeColor="text1"/>
                <w:szCs w:val="24"/>
                <w14:textFill>
                  <w14:solidFill>
                    <w14:schemeClr w14:val="tx1"/>
                  </w14:solidFill>
                </w14:textFill>
              </w:rPr>
              <w:t>处及以上瑕疵或未提供方案得0分。</w:t>
            </w:r>
          </w:p>
        </w:tc>
        <w:tc>
          <w:tcPr>
            <w:tcW w:w="1973" w:type="dxa"/>
            <w:vMerge w:val="continue"/>
            <w:vAlign w:val="center"/>
          </w:tcPr>
          <w:p w14:paraId="47294750">
            <w:pPr>
              <w:ind w:firstLine="28"/>
              <w:rPr>
                <w:rFonts w:ascii="宋体" w:hAnsi="宋体" w:cs="宋体"/>
                <w:bCs/>
                <w:sz w:val="24"/>
                <w:szCs w:val="24"/>
                <w:lang w:val="zh-CN"/>
              </w:rPr>
            </w:pPr>
          </w:p>
        </w:tc>
      </w:tr>
      <w:tr w14:paraId="4A9B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vAlign w:val="center"/>
          </w:tcPr>
          <w:p w14:paraId="2E932B11">
            <w:pPr>
              <w:ind w:firstLine="28"/>
              <w:jc w:val="center"/>
              <w:rPr>
                <w:rFonts w:ascii="宋体" w:hAnsi="宋体" w:cs="宋体"/>
                <w:bCs/>
                <w:sz w:val="24"/>
                <w:szCs w:val="24"/>
              </w:rPr>
            </w:pPr>
          </w:p>
        </w:tc>
        <w:tc>
          <w:tcPr>
            <w:tcW w:w="1433" w:type="dxa"/>
            <w:vMerge w:val="continue"/>
            <w:vAlign w:val="center"/>
          </w:tcPr>
          <w:p w14:paraId="0365E29C">
            <w:pPr>
              <w:ind w:firstLine="28"/>
              <w:jc w:val="center"/>
              <w:rPr>
                <w:rFonts w:ascii="宋体" w:hAnsi="宋体" w:cs="宋体"/>
                <w:bCs/>
                <w:sz w:val="24"/>
                <w:szCs w:val="24"/>
              </w:rPr>
            </w:pPr>
          </w:p>
        </w:tc>
        <w:tc>
          <w:tcPr>
            <w:tcW w:w="1155" w:type="dxa"/>
            <w:tcBorders>
              <w:bottom w:val="single" w:color="auto" w:sz="4" w:space="0"/>
            </w:tcBorders>
            <w:vAlign w:val="center"/>
          </w:tcPr>
          <w:p w14:paraId="3D8D5036">
            <w:pPr>
              <w:ind w:firstLine="28"/>
              <w:jc w:val="center"/>
              <w:rPr>
                <w:rFonts w:ascii="宋体" w:hAnsi="宋体" w:cs="宋体"/>
                <w:bCs/>
                <w:sz w:val="24"/>
                <w:szCs w:val="24"/>
              </w:rPr>
            </w:pPr>
            <w:r>
              <w:rPr>
                <w:rFonts w:hint="eastAsia" w:ascii="宋体" w:hAnsi="宋体" w:cs="宋体"/>
                <w:color w:val="000000" w:themeColor="text1"/>
                <w:kern w:val="0"/>
                <w:sz w:val="24"/>
                <w:szCs w:val="24"/>
                <w14:textFill>
                  <w14:solidFill>
                    <w14:schemeClr w14:val="tx1"/>
                  </w14:solidFill>
                </w14:textFill>
              </w:rPr>
              <w:t>5分</w:t>
            </w:r>
          </w:p>
        </w:tc>
        <w:tc>
          <w:tcPr>
            <w:tcW w:w="4340" w:type="dxa"/>
            <w:tcBorders>
              <w:bottom w:val="single" w:color="auto" w:sz="4" w:space="0"/>
            </w:tcBorders>
            <w:shd w:val="clear" w:color="auto" w:fill="auto"/>
            <w:vAlign w:val="center"/>
          </w:tcPr>
          <w:p w14:paraId="201D668C">
            <w:pPr>
              <w:keepLines/>
              <w:widowControl/>
              <w:adjustRightInd w:val="0"/>
              <w:snapToGrid w:val="0"/>
              <w:spacing w:before="48" w:beforeLines="20" w:after="48" w:afterLines="20" w:line="400" w:lineRule="exact"/>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结合市级情况形成区级年度实施项目清单。</w:t>
            </w:r>
          </w:p>
          <w:p w14:paraId="4CC40FB6">
            <w:pPr>
              <w:pStyle w:val="13"/>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方案内容不存在瑕疵，得5分；</w:t>
            </w:r>
          </w:p>
          <w:p w14:paraId="189BA371">
            <w:pPr>
              <w:pStyle w:val="13"/>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方案内容存在1处瑕疵，得3分；</w:t>
            </w:r>
          </w:p>
          <w:p w14:paraId="04B25B9A">
            <w:pPr>
              <w:pStyle w:val="13"/>
              <w:spacing w:line="360" w:lineRule="auto"/>
            </w:pPr>
            <w:r>
              <w:rPr>
                <w:rFonts w:hint="eastAsia" w:ascii="宋体" w:hAnsi="宋体" w:cs="宋体"/>
                <w:color w:val="000000" w:themeColor="text1"/>
                <w:szCs w:val="24"/>
                <w14:textFill>
                  <w14:solidFill>
                    <w14:schemeClr w14:val="tx1"/>
                  </w14:solidFill>
                </w14:textFill>
              </w:rPr>
              <w:t>方案内容存在2处瑕疵得1分；</w:t>
            </w:r>
          </w:p>
        </w:tc>
        <w:tc>
          <w:tcPr>
            <w:tcW w:w="1973" w:type="dxa"/>
            <w:vMerge w:val="continue"/>
            <w:vAlign w:val="center"/>
          </w:tcPr>
          <w:p w14:paraId="27F3403B">
            <w:pPr>
              <w:ind w:firstLine="28"/>
              <w:rPr>
                <w:rFonts w:ascii="宋体" w:hAnsi="宋体" w:cs="宋体"/>
                <w:bCs/>
                <w:sz w:val="24"/>
                <w:szCs w:val="24"/>
                <w:lang w:val="zh-CN"/>
              </w:rPr>
            </w:pPr>
          </w:p>
        </w:tc>
      </w:tr>
      <w:tr w14:paraId="3448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35" w:type="dxa"/>
            <w:vMerge w:val="restart"/>
            <w:tcBorders>
              <w:top w:val="single" w:color="auto" w:sz="4" w:space="0"/>
              <w:left w:val="single" w:color="auto" w:sz="4" w:space="0"/>
              <w:right w:val="single" w:color="auto" w:sz="4" w:space="0"/>
            </w:tcBorders>
            <w:vAlign w:val="center"/>
          </w:tcPr>
          <w:p w14:paraId="2CC2A767">
            <w:pPr>
              <w:ind w:firstLine="28"/>
              <w:jc w:val="center"/>
              <w:rPr>
                <w:rFonts w:ascii="宋体" w:hAnsi="宋体" w:cs="宋体"/>
                <w:bCs/>
                <w:sz w:val="24"/>
                <w:szCs w:val="24"/>
              </w:rPr>
            </w:pPr>
          </w:p>
          <w:p w14:paraId="59E36C45">
            <w:pPr>
              <w:ind w:firstLine="28"/>
              <w:jc w:val="center"/>
              <w:rPr>
                <w:rFonts w:ascii="宋体" w:hAnsi="宋体" w:cs="宋体"/>
                <w:bCs/>
                <w:sz w:val="24"/>
                <w:szCs w:val="24"/>
              </w:rPr>
            </w:pPr>
            <w:r>
              <w:rPr>
                <w:rFonts w:hint="eastAsia" w:ascii="宋体" w:hAnsi="宋体" w:cs="宋体"/>
                <w:bCs/>
                <w:sz w:val="24"/>
                <w:szCs w:val="24"/>
              </w:rPr>
              <w:t>3</w:t>
            </w:r>
          </w:p>
          <w:p w14:paraId="6E3C80CB">
            <w:pPr>
              <w:ind w:firstLine="28"/>
              <w:jc w:val="center"/>
              <w:rPr>
                <w:rFonts w:ascii="宋体" w:hAnsi="宋体" w:cs="宋体"/>
                <w:bCs/>
                <w:sz w:val="24"/>
                <w:szCs w:val="24"/>
              </w:rPr>
            </w:pPr>
          </w:p>
        </w:tc>
        <w:tc>
          <w:tcPr>
            <w:tcW w:w="1433" w:type="dxa"/>
            <w:vMerge w:val="restart"/>
            <w:tcBorders>
              <w:top w:val="single" w:color="auto" w:sz="4" w:space="0"/>
              <w:left w:val="single" w:color="auto" w:sz="4" w:space="0"/>
              <w:right w:val="single" w:color="auto" w:sz="4" w:space="0"/>
            </w:tcBorders>
            <w:vAlign w:val="center"/>
          </w:tcPr>
          <w:p w14:paraId="10572D45">
            <w:pPr>
              <w:ind w:firstLine="28"/>
              <w:jc w:val="center"/>
              <w:rPr>
                <w:rFonts w:ascii="宋体" w:hAnsi="宋体" w:cs="宋体"/>
                <w:bCs/>
                <w:sz w:val="24"/>
                <w:szCs w:val="24"/>
              </w:rPr>
            </w:pPr>
            <w:r>
              <w:rPr>
                <w:rFonts w:hint="eastAsia" w:ascii="宋体" w:hAnsi="宋体" w:cs="宋体"/>
                <w:bCs/>
                <w:sz w:val="24"/>
                <w:szCs w:val="24"/>
              </w:rPr>
              <w:t>商务部分</w:t>
            </w:r>
          </w:p>
          <w:p w14:paraId="0115B436">
            <w:pPr>
              <w:ind w:firstLine="28"/>
              <w:jc w:val="center"/>
              <w:rPr>
                <w:rFonts w:ascii="宋体" w:hAnsi="宋体" w:cs="宋体"/>
                <w:bCs/>
                <w:sz w:val="24"/>
                <w:szCs w:val="24"/>
              </w:rPr>
            </w:pPr>
            <w:r>
              <w:rPr>
                <w:rFonts w:hint="eastAsia" w:ascii="宋体" w:hAnsi="宋体" w:cs="宋体"/>
                <w:bCs/>
                <w:sz w:val="24"/>
                <w:szCs w:val="24"/>
              </w:rPr>
              <w:t>（30%）</w:t>
            </w:r>
          </w:p>
        </w:tc>
        <w:tc>
          <w:tcPr>
            <w:tcW w:w="1155" w:type="dxa"/>
            <w:vMerge w:val="restart"/>
            <w:tcBorders>
              <w:top w:val="single" w:color="auto" w:sz="4" w:space="0"/>
              <w:left w:val="single" w:color="auto" w:sz="4" w:space="0"/>
              <w:right w:val="single" w:color="auto" w:sz="4" w:space="0"/>
            </w:tcBorders>
            <w:vAlign w:val="center"/>
          </w:tcPr>
          <w:p w14:paraId="702D65B5">
            <w:pPr>
              <w:keepLines/>
              <w:widowControl/>
              <w:adjustRightInd w:val="0"/>
              <w:snapToGrid w:val="0"/>
              <w:spacing w:before="48" w:beforeLines="20" w:after="48" w:afterLines="20" w:line="400" w:lineRule="exact"/>
              <w:jc w:val="center"/>
              <w:outlineLvl w:val="1"/>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专业人员投入情况</w:t>
            </w:r>
          </w:p>
          <w:p w14:paraId="0FFD6622">
            <w:pPr>
              <w:ind w:firstLine="28"/>
              <w:jc w:val="center"/>
              <w:rPr>
                <w:rFonts w:ascii="宋体" w:hAnsi="宋体" w:cs="宋体"/>
                <w:bCs/>
                <w:sz w:val="24"/>
                <w:szCs w:val="24"/>
              </w:rPr>
            </w:pPr>
            <w:r>
              <w:rPr>
                <w:rFonts w:hint="eastAsia" w:ascii="宋体" w:hAnsi="宋体" w:cs="宋体"/>
                <w:color w:val="000000" w:themeColor="text1"/>
                <w:kern w:val="0"/>
                <w:sz w:val="24"/>
                <w:szCs w:val="24"/>
                <w14:textFill>
                  <w14:solidFill>
                    <w14:schemeClr w14:val="tx1"/>
                  </w14:solidFill>
                </w14:textFill>
              </w:rPr>
              <w:t>（15分）</w:t>
            </w:r>
          </w:p>
        </w:tc>
        <w:tc>
          <w:tcPr>
            <w:tcW w:w="4340" w:type="dxa"/>
            <w:tcBorders>
              <w:top w:val="single" w:color="auto" w:sz="4" w:space="0"/>
              <w:left w:val="single" w:color="auto" w:sz="4" w:space="0"/>
              <w:bottom w:val="single" w:color="auto" w:sz="4" w:space="0"/>
              <w:right w:val="single" w:color="auto" w:sz="4" w:space="0"/>
            </w:tcBorders>
            <w:shd w:val="clear" w:color="auto" w:fill="auto"/>
            <w:vAlign w:val="center"/>
          </w:tcPr>
          <w:p w14:paraId="79F98F65">
            <w:pPr>
              <w:keepLines/>
              <w:widowControl/>
              <w:adjustRightInd w:val="0"/>
              <w:snapToGrid w:val="0"/>
              <w:spacing w:before="48" w:beforeLines="20" w:after="48" w:afterLines="20" w:line="400" w:lineRule="exact"/>
              <w:ind w:firstLine="240" w:firstLineChars="100"/>
              <w:outlineLvl w:val="1"/>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拟投入本项目负责人为规划类专业高级及以上技术职称的且为注册规划师得5分，否则得0分。</w:t>
            </w:r>
          </w:p>
        </w:tc>
        <w:tc>
          <w:tcPr>
            <w:tcW w:w="1973" w:type="dxa"/>
            <w:vMerge w:val="restart"/>
            <w:tcBorders>
              <w:top w:val="single" w:color="auto" w:sz="4" w:space="0"/>
              <w:left w:val="single" w:color="auto" w:sz="4" w:space="0"/>
              <w:right w:val="single" w:color="auto" w:sz="4" w:space="0"/>
            </w:tcBorders>
            <w:vAlign w:val="center"/>
          </w:tcPr>
          <w:p w14:paraId="003C89DF">
            <w:pPr>
              <w:numPr>
                <w:ilvl w:val="0"/>
                <w:numId w:val="3"/>
              </w:num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提供人员名单、对应人员证书复印件加盖供应商公章。</w:t>
            </w:r>
          </w:p>
          <w:p w14:paraId="6EF7BC35">
            <w:pPr>
              <w:pStyle w:val="2"/>
              <w:numPr>
                <w:ilvl w:val="0"/>
                <w:numId w:val="3"/>
              </w:numPr>
              <w:rPr>
                <w:rFonts w:hAnsi="宋体" w:eastAsia="宋体" w:cs="宋体"/>
                <w:color w:val="000000" w:themeColor="text1"/>
                <w:szCs w:val="24"/>
                <w14:textFill>
                  <w14:solidFill>
                    <w14:schemeClr w14:val="tx1"/>
                  </w14:solidFill>
                </w14:textFill>
              </w:rPr>
            </w:pPr>
            <w:r>
              <w:rPr>
                <w:rFonts w:hint="eastAsia" w:hAnsi="宋体" w:eastAsia="宋体" w:cs="宋体"/>
                <w:color w:val="000000" w:themeColor="text1"/>
                <w:szCs w:val="24"/>
                <w14:textFill>
                  <w14:solidFill>
                    <w14:schemeClr w14:val="tx1"/>
                  </w14:solidFill>
                </w14:textFill>
              </w:rPr>
              <w:t>若一个成员同时具有两种职称证书，不能重复计分。</w:t>
            </w:r>
          </w:p>
          <w:p w14:paraId="59468070">
            <w:pPr>
              <w:pStyle w:val="2"/>
              <w:rPr>
                <w:lang w:val="zh-CN"/>
              </w:rPr>
            </w:pPr>
          </w:p>
        </w:tc>
      </w:tr>
      <w:tr w14:paraId="46EF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35" w:type="dxa"/>
            <w:vMerge w:val="continue"/>
            <w:tcBorders>
              <w:left w:val="single" w:color="auto" w:sz="4" w:space="0"/>
              <w:right w:val="single" w:color="auto" w:sz="4" w:space="0"/>
            </w:tcBorders>
            <w:vAlign w:val="center"/>
          </w:tcPr>
          <w:p w14:paraId="48A90DC0">
            <w:pPr>
              <w:ind w:firstLine="28"/>
              <w:jc w:val="center"/>
              <w:rPr>
                <w:rFonts w:ascii="宋体" w:hAnsi="宋体" w:cs="宋体"/>
                <w:bCs/>
                <w:sz w:val="24"/>
                <w:szCs w:val="24"/>
              </w:rPr>
            </w:pPr>
          </w:p>
        </w:tc>
        <w:tc>
          <w:tcPr>
            <w:tcW w:w="1433" w:type="dxa"/>
            <w:vMerge w:val="continue"/>
            <w:tcBorders>
              <w:left w:val="single" w:color="auto" w:sz="4" w:space="0"/>
              <w:right w:val="single" w:color="auto" w:sz="4" w:space="0"/>
            </w:tcBorders>
            <w:vAlign w:val="center"/>
          </w:tcPr>
          <w:p w14:paraId="1F86297F">
            <w:pPr>
              <w:ind w:firstLine="28"/>
              <w:jc w:val="center"/>
              <w:rPr>
                <w:rFonts w:ascii="宋体" w:hAnsi="宋体" w:cs="宋体"/>
                <w:bCs/>
                <w:sz w:val="24"/>
                <w:szCs w:val="24"/>
              </w:rPr>
            </w:pPr>
          </w:p>
        </w:tc>
        <w:tc>
          <w:tcPr>
            <w:tcW w:w="1155" w:type="dxa"/>
            <w:vMerge w:val="continue"/>
            <w:tcBorders>
              <w:left w:val="single" w:color="auto" w:sz="4" w:space="0"/>
              <w:bottom w:val="single" w:color="auto" w:sz="4" w:space="0"/>
              <w:right w:val="single" w:color="auto" w:sz="4" w:space="0"/>
            </w:tcBorders>
            <w:vAlign w:val="center"/>
          </w:tcPr>
          <w:p w14:paraId="719EE494">
            <w:pPr>
              <w:ind w:firstLine="28"/>
              <w:jc w:val="center"/>
              <w:rPr>
                <w:rFonts w:ascii="宋体" w:hAnsi="宋体" w:cs="宋体"/>
                <w:bCs/>
                <w:sz w:val="24"/>
                <w:szCs w:val="24"/>
              </w:rPr>
            </w:pPr>
          </w:p>
        </w:tc>
        <w:tc>
          <w:tcPr>
            <w:tcW w:w="4340" w:type="dxa"/>
            <w:tcBorders>
              <w:top w:val="single" w:color="auto" w:sz="4" w:space="0"/>
              <w:left w:val="single" w:color="auto" w:sz="4" w:space="0"/>
              <w:bottom w:val="single" w:color="auto" w:sz="4" w:space="0"/>
              <w:right w:val="single" w:color="auto" w:sz="4" w:space="0"/>
            </w:tcBorders>
            <w:shd w:val="clear" w:color="auto" w:fill="auto"/>
            <w:vAlign w:val="center"/>
          </w:tcPr>
          <w:p w14:paraId="6CC64AEB">
            <w:pPr>
              <w:keepLines/>
              <w:widowControl/>
              <w:adjustRightInd w:val="0"/>
              <w:snapToGrid w:val="0"/>
              <w:spacing w:before="48" w:beforeLines="20" w:after="48" w:afterLines="20" w:line="400" w:lineRule="exact"/>
              <w:ind w:firstLine="240" w:firstLineChars="100"/>
              <w:outlineLvl w:val="1"/>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拟投入本项目组成员(不含项目负责人)，具有高级及以上职称的每人得2.5分，中级工程师每人得</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分，满分10分。</w:t>
            </w:r>
          </w:p>
        </w:tc>
        <w:tc>
          <w:tcPr>
            <w:tcW w:w="1973" w:type="dxa"/>
            <w:vMerge w:val="continue"/>
            <w:tcBorders>
              <w:left w:val="single" w:color="auto" w:sz="4" w:space="0"/>
              <w:bottom w:val="single" w:color="auto" w:sz="4" w:space="0"/>
              <w:right w:val="single" w:color="auto" w:sz="4" w:space="0"/>
            </w:tcBorders>
            <w:vAlign w:val="center"/>
          </w:tcPr>
          <w:p w14:paraId="7D27D40D">
            <w:pPr>
              <w:rPr>
                <w:rFonts w:ascii="宋体" w:hAnsi="宋体" w:cs="宋体"/>
                <w:bCs/>
                <w:sz w:val="24"/>
                <w:szCs w:val="24"/>
                <w:lang w:val="zh-CN"/>
              </w:rPr>
            </w:pPr>
          </w:p>
        </w:tc>
      </w:tr>
      <w:tr w14:paraId="138D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35" w:type="dxa"/>
            <w:vMerge w:val="continue"/>
            <w:tcBorders>
              <w:left w:val="single" w:color="auto" w:sz="4" w:space="0"/>
              <w:right w:val="single" w:color="auto" w:sz="4" w:space="0"/>
            </w:tcBorders>
            <w:vAlign w:val="center"/>
          </w:tcPr>
          <w:p w14:paraId="69B1D893">
            <w:pPr>
              <w:ind w:firstLine="28"/>
              <w:jc w:val="center"/>
              <w:rPr>
                <w:rFonts w:ascii="宋体" w:hAnsi="宋体" w:cs="宋体"/>
                <w:bCs/>
                <w:sz w:val="24"/>
                <w:szCs w:val="24"/>
              </w:rPr>
            </w:pPr>
          </w:p>
        </w:tc>
        <w:tc>
          <w:tcPr>
            <w:tcW w:w="1433" w:type="dxa"/>
            <w:vMerge w:val="continue"/>
            <w:tcBorders>
              <w:left w:val="single" w:color="auto" w:sz="4" w:space="0"/>
              <w:right w:val="single" w:color="auto" w:sz="4" w:space="0"/>
            </w:tcBorders>
            <w:vAlign w:val="center"/>
          </w:tcPr>
          <w:p w14:paraId="3002594E">
            <w:pPr>
              <w:ind w:firstLine="28"/>
              <w:jc w:val="center"/>
              <w:rPr>
                <w:rFonts w:ascii="宋体" w:hAnsi="宋体" w:cs="宋体"/>
                <w:bCs/>
                <w:sz w:val="24"/>
                <w:szCs w:val="24"/>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06D079A">
            <w:pPr>
              <w:keepLines/>
              <w:widowControl/>
              <w:adjustRightInd w:val="0"/>
              <w:snapToGrid w:val="0"/>
              <w:spacing w:before="48" w:beforeLines="20" w:after="48" w:afterLines="20" w:line="400" w:lineRule="exact"/>
              <w:jc w:val="center"/>
              <w:outlineLvl w:val="1"/>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业绩</w:t>
            </w:r>
          </w:p>
          <w:p w14:paraId="2FE7727F">
            <w:pPr>
              <w:keepLines/>
              <w:widowControl/>
              <w:adjustRightInd w:val="0"/>
              <w:snapToGrid w:val="0"/>
              <w:spacing w:before="48" w:beforeLines="20" w:after="48" w:afterLines="20" w:line="400" w:lineRule="exact"/>
              <w:jc w:val="center"/>
              <w:outlineLvl w:val="1"/>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（15分）</w:t>
            </w:r>
          </w:p>
        </w:tc>
        <w:tc>
          <w:tcPr>
            <w:tcW w:w="4340" w:type="dxa"/>
            <w:tcBorders>
              <w:top w:val="single" w:color="auto" w:sz="4" w:space="0"/>
              <w:left w:val="single" w:color="auto" w:sz="4" w:space="0"/>
              <w:bottom w:val="single" w:color="auto" w:sz="4" w:space="0"/>
              <w:right w:val="single" w:color="auto" w:sz="4" w:space="0"/>
            </w:tcBorders>
            <w:shd w:val="clear" w:color="auto" w:fill="auto"/>
            <w:vAlign w:val="center"/>
          </w:tcPr>
          <w:p w14:paraId="0598646A">
            <w:pPr>
              <w:keepLines/>
              <w:widowControl/>
              <w:numPr>
                <w:ilvl w:val="0"/>
                <w:numId w:val="4"/>
              </w:numPr>
              <w:adjustRightInd w:val="0"/>
              <w:snapToGrid w:val="0"/>
              <w:spacing w:before="48" w:beforeLines="20" w:after="48" w:afterLines="20" w:line="400" w:lineRule="exact"/>
              <w:outlineLvl w:val="1"/>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供应商2021年1月1日起至今承担过生活圈相关规划业绩，每提供一个项目业绩得</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分，本项最多得</w:t>
            </w:r>
            <w:r>
              <w:rPr>
                <w:rFonts w:ascii="宋体" w:hAnsi="宋体" w:cs="宋体"/>
                <w:color w:val="000000" w:themeColor="text1"/>
                <w:kern w:val="0"/>
                <w:sz w:val="24"/>
                <w:szCs w:val="24"/>
                <w14:textFill>
                  <w14:solidFill>
                    <w14:schemeClr w14:val="tx1"/>
                  </w14:solidFill>
                </w14:textFill>
              </w:rPr>
              <w:t>8</w:t>
            </w:r>
            <w:r>
              <w:rPr>
                <w:rFonts w:hint="eastAsia" w:ascii="宋体" w:hAnsi="宋体" w:cs="宋体"/>
                <w:color w:val="000000" w:themeColor="text1"/>
                <w:kern w:val="0"/>
                <w:sz w:val="24"/>
                <w:szCs w:val="24"/>
                <w14:textFill>
                  <w14:solidFill>
                    <w14:schemeClr w14:val="tx1"/>
                  </w14:solidFill>
                </w14:textFill>
              </w:rPr>
              <w:t>分；</w:t>
            </w:r>
          </w:p>
          <w:p w14:paraId="7C45A67F">
            <w:pPr>
              <w:keepLines/>
              <w:widowControl/>
              <w:numPr>
                <w:ilvl w:val="0"/>
                <w:numId w:val="4"/>
              </w:numPr>
              <w:adjustRightInd w:val="0"/>
              <w:snapToGrid w:val="0"/>
              <w:spacing w:before="48" w:beforeLines="20" w:after="48" w:afterLines="20" w:line="400" w:lineRule="exact"/>
              <w:outlineLvl w:val="1"/>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供应商2021年1月1日起至今承担过生活圈相关规划导则或研究业绩，每提供一个项目业绩得</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.5分，本项最多得</w:t>
            </w:r>
            <w:r>
              <w:rPr>
                <w:rFonts w:ascii="宋体" w:hAnsi="宋体" w:cs="宋体"/>
                <w:color w:val="000000" w:themeColor="text1"/>
                <w:kern w:val="0"/>
                <w:sz w:val="24"/>
                <w:szCs w:val="24"/>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分。</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3F8B4FC4">
            <w:pPr>
              <w:keepLines/>
              <w:widowControl/>
              <w:numPr>
                <w:ilvl w:val="0"/>
                <w:numId w:val="5"/>
              </w:numPr>
              <w:adjustRightInd w:val="0"/>
              <w:snapToGrid w:val="0"/>
              <w:spacing w:before="48" w:beforeLines="20" w:after="48" w:afterLines="20" w:line="400" w:lineRule="exact"/>
              <w:outlineLvl w:val="1"/>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提供合同或合作协议等证明材料加盖供应商公章。</w:t>
            </w:r>
          </w:p>
          <w:p w14:paraId="06C8C088">
            <w:pPr>
              <w:pStyle w:val="2"/>
              <w:numPr>
                <w:ilvl w:val="0"/>
                <w:numId w:val="5"/>
              </w:numPr>
              <w:rPr>
                <w:lang w:val="zh-CN"/>
              </w:rPr>
            </w:pPr>
            <w:r>
              <w:rPr>
                <w:rFonts w:hint="eastAsia" w:hAnsi="宋体" w:eastAsia="宋体" w:cs="宋体"/>
                <w:color w:val="000000" w:themeColor="text1"/>
                <w:szCs w:val="24"/>
                <w:lang w:val="zh-CN"/>
                <w14:textFill>
                  <w14:solidFill>
                    <w14:schemeClr w14:val="tx1"/>
                  </w14:solidFill>
                </w14:textFill>
              </w:rPr>
              <w:t>若供应商提供的业绩同时满足两项要求，不累计计分。</w:t>
            </w:r>
          </w:p>
        </w:tc>
      </w:tr>
    </w:tbl>
    <w:p w14:paraId="59D12B7D">
      <w:pPr>
        <w:numPr>
          <w:ilvl w:val="1"/>
          <w:numId w:val="0"/>
        </w:numPr>
        <w:adjustRightInd w:val="0"/>
        <w:snapToGrid w:val="0"/>
        <w:spacing w:line="400" w:lineRule="exact"/>
        <w:ind w:firstLine="465"/>
        <w:rPr>
          <w:rFonts w:ascii="宋体" w:hAnsi="宋体" w:cs="宋体"/>
          <w:sz w:val="24"/>
          <w:szCs w:val="24"/>
        </w:rPr>
      </w:pPr>
      <w:r>
        <w:rPr>
          <w:rFonts w:hint="eastAsia" w:ascii="宋体" w:hAnsi="宋体" w:cs="宋体"/>
          <w:sz w:val="24"/>
          <w:szCs w:val="24"/>
        </w:rPr>
        <w:t>（一）注：关于小微企业报价扣除比例说明</w:t>
      </w:r>
    </w:p>
    <w:p w14:paraId="08694702">
      <w:pPr>
        <w:numPr>
          <w:ilvl w:val="1"/>
          <w:numId w:val="0"/>
        </w:numPr>
        <w:adjustRightInd w:val="0"/>
        <w:snapToGrid w:val="0"/>
        <w:spacing w:line="400" w:lineRule="exact"/>
        <w:ind w:firstLine="465"/>
        <w:rPr>
          <w:rFonts w:ascii="宋体" w:hAnsi="宋体" w:cs="宋体"/>
          <w:sz w:val="24"/>
          <w:szCs w:val="24"/>
        </w:rPr>
      </w:pPr>
      <w:r>
        <w:rPr>
          <w:rFonts w:hint="eastAsia" w:ascii="宋体" w:hAnsi="宋体" w:cs="宋体"/>
          <w:sz w:val="24"/>
          <w:szCs w:val="24"/>
        </w:rPr>
        <w:t>1.供应商为非联合体参与磋商的，对小微型企业给予 10 %的扣除，以扣除后的报价参与评审。</w:t>
      </w:r>
    </w:p>
    <w:p w14:paraId="16F6D45D">
      <w:pPr>
        <w:numPr>
          <w:ilvl w:val="1"/>
          <w:numId w:val="0"/>
        </w:numPr>
        <w:adjustRightInd w:val="0"/>
        <w:snapToGrid w:val="0"/>
        <w:spacing w:line="400" w:lineRule="exact"/>
        <w:ind w:firstLine="465"/>
        <w:rPr>
          <w:rFonts w:ascii="宋体" w:hAnsi="宋体" w:cs="宋体"/>
          <w:sz w:val="24"/>
          <w:szCs w:val="24"/>
        </w:rPr>
      </w:pPr>
      <w:r>
        <w:rPr>
          <w:rFonts w:hint="eastAsia" w:ascii="宋体" w:hAnsi="宋体" w:cs="宋体"/>
          <w:sz w:val="24"/>
          <w:szCs w:val="24"/>
        </w:rPr>
        <w:t>2.监狱企业、残疾人福利性单位视同小型、微型企业。</w:t>
      </w:r>
    </w:p>
    <w:p w14:paraId="5E4F7D9D">
      <w:pPr>
        <w:numPr>
          <w:ilvl w:val="1"/>
          <w:numId w:val="0"/>
        </w:numPr>
        <w:adjustRightInd w:val="0"/>
        <w:snapToGrid w:val="0"/>
        <w:spacing w:line="400" w:lineRule="exact"/>
        <w:ind w:firstLine="465"/>
        <w:rPr>
          <w:rFonts w:ascii="宋体" w:hAnsi="宋体" w:cs="宋体"/>
          <w:sz w:val="24"/>
          <w:szCs w:val="24"/>
        </w:rPr>
      </w:pPr>
      <w:r>
        <w:rPr>
          <w:rFonts w:hint="eastAsia" w:ascii="宋体" w:hAnsi="宋体" w:cs="宋体"/>
          <w:sz w:val="24"/>
          <w:szCs w:val="24"/>
        </w:rPr>
        <w:t>（二）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072F2F8B">
      <w:pPr>
        <w:pStyle w:val="4"/>
        <w:numPr>
          <w:ilvl w:val="1"/>
          <w:numId w:val="0"/>
        </w:numPr>
        <w:adjustRightInd w:val="0"/>
        <w:snapToGrid w:val="0"/>
        <w:spacing w:line="400" w:lineRule="exact"/>
        <w:rPr>
          <w:rFonts w:ascii="宋体" w:hAnsi="宋体" w:eastAsia="宋体" w:cs="宋体"/>
          <w:b/>
          <w:bCs w:val="0"/>
          <w:sz w:val="24"/>
        </w:rPr>
      </w:pPr>
      <w:bookmarkStart w:id="168" w:name="_Toc30217"/>
      <w:bookmarkStart w:id="169" w:name="_Toc10199"/>
      <w:r>
        <w:rPr>
          <w:rFonts w:hint="eastAsia" w:ascii="宋体" w:hAnsi="宋体" w:eastAsia="宋体" w:cs="宋体"/>
          <w:b/>
          <w:bCs w:val="0"/>
          <w:sz w:val="24"/>
        </w:rPr>
        <w:t>三、无效响应</w:t>
      </w:r>
      <w:bookmarkEnd w:id="163"/>
      <w:bookmarkEnd w:id="164"/>
      <w:bookmarkEnd w:id="165"/>
      <w:bookmarkEnd w:id="166"/>
      <w:bookmarkEnd w:id="167"/>
      <w:bookmarkEnd w:id="168"/>
      <w:bookmarkEnd w:id="169"/>
    </w:p>
    <w:p w14:paraId="104F7187">
      <w:pPr>
        <w:snapToGrid w:val="0"/>
        <w:spacing w:line="400" w:lineRule="exact"/>
        <w:ind w:firstLine="465"/>
        <w:rPr>
          <w:rFonts w:ascii="宋体" w:hAnsi="宋体" w:cs="宋体"/>
          <w:sz w:val="24"/>
          <w:szCs w:val="24"/>
        </w:rPr>
      </w:pPr>
      <w:r>
        <w:rPr>
          <w:rFonts w:hint="eastAsia" w:ascii="宋体" w:hAnsi="宋体" w:cs="宋体"/>
          <w:sz w:val="24"/>
          <w:szCs w:val="24"/>
        </w:rPr>
        <w:t>供应商发生以下条款情况之一者，视为无效响应，其响应文件将被拒绝：</w:t>
      </w:r>
    </w:p>
    <w:p w14:paraId="37AFF422">
      <w:pPr>
        <w:snapToGrid w:val="0"/>
        <w:spacing w:line="400" w:lineRule="exact"/>
        <w:ind w:firstLine="465"/>
        <w:rPr>
          <w:rFonts w:ascii="宋体" w:hAnsi="宋体" w:cs="宋体"/>
          <w:sz w:val="24"/>
          <w:szCs w:val="24"/>
        </w:rPr>
      </w:pPr>
      <w:r>
        <w:rPr>
          <w:rFonts w:hint="eastAsia" w:ascii="宋体" w:hAnsi="宋体" w:cs="宋体"/>
          <w:sz w:val="24"/>
          <w:szCs w:val="24"/>
        </w:rPr>
        <w:t>（一）供应商不符合规定的资格条件的；</w:t>
      </w:r>
    </w:p>
    <w:p w14:paraId="5EF5C04C">
      <w:pPr>
        <w:snapToGrid w:val="0"/>
        <w:spacing w:line="400" w:lineRule="exact"/>
        <w:ind w:firstLine="465"/>
        <w:rPr>
          <w:rFonts w:ascii="宋体" w:hAnsi="宋体" w:cs="宋体"/>
          <w:sz w:val="24"/>
          <w:szCs w:val="24"/>
        </w:rPr>
      </w:pPr>
      <w:r>
        <w:rPr>
          <w:rFonts w:hint="eastAsia" w:ascii="宋体" w:hAnsi="宋体" w:cs="宋体"/>
          <w:sz w:val="24"/>
          <w:szCs w:val="24"/>
        </w:rPr>
        <w:t>（二）供应商的法定代表人（或其授权代表）或自然人未参加磋商；</w:t>
      </w:r>
    </w:p>
    <w:p w14:paraId="2F3B2BB6">
      <w:pPr>
        <w:snapToGrid w:val="0"/>
        <w:spacing w:line="400" w:lineRule="exact"/>
        <w:ind w:firstLine="465"/>
        <w:rPr>
          <w:rFonts w:ascii="宋体" w:hAnsi="宋体" w:cs="宋体"/>
          <w:sz w:val="24"/>
          <w:szCs w:val="24"/>
        </w:rPr>
      </w:pPr>
      <w:r>
        <w:rPr>
          <w:rFonts w:hint="eastAsia" w:ascii="宋体" w:hAnsi="宋体" w:cs="宋体"/>
          <w:sz w:val="24"/>
          <w:szCs w:val="24"/>
        </w:rPr>
        <w:t>（三）供应商未在保证金到账截止时间前足额交纳保证金的；</w:t>
      </w:r>
    </w:p>
    <w:p w14:paraId="3229B9B5">
      <w:pPr>
        <w:snapToGrid w:val="0"/>
        <w:spacing w:line="400" w:lineRule="exact"/>
        <w:ind w:firstLine="465"/>
        <w:rPr>
          <w:rFonts w:ascii="宋体" w:hAnsi="宋体" w:cs="宋体"/>
          <w:sz w:val="24"/>
          <w:szCs w:val="24"/>
        </w:rPr>
      </w:pPr>
      <w:r>
        <w:rPr>
          <w:rFonts w:hint="eastAsia" w:ascii="宋体" w:hAnsi="宋体" w:cs="宋体"/>
          <w:sz w:val="24"/>
          <w:szCs w:val="24"/>
        </w:rPr>
        <w:t>（四）供应商所提交的响应文件不按“第七篇响应文件编制要求”要求签署或盖章；</w:t>
      </w:r>
    </w:p>
    <w:p w14:paraId="3C7DB78E">
      <w:pPr>
        <w:snapToGrid w:val="0"/>
        <w:spacing w:line="400" w:lineRule="exact"/>
        <w:ind w:firstLine="465"/>
        <w:rPr>
          <w:rFonts w:ascii="宋体" w:hAnsi="宋体" w:cs="宋体"/>
          <w:sz w:val="24"/>
          <w:szCs w:val="24"/>
        </w:rPr>
      </w:pPr>
      <w:r>
        <w:rPr>
          <w:rFonts w:hint="eastAsia" w:ascii="宋体" w:hAnsi="宋体" w:cs="宋体"/>
          <w:sz w:val="24"/>
          <w:szCs w:val="24"/>
        </w:rPr>
        <w:t>（五）供应商的最后报价超过采购预算或最高限价的；</w:t>
      </w:r>
    </w:p>
    <w:p w14:paraId="2E2C4AB4">
      <w:pPr>
        <w:snapToGrid w:val="0"/>
        <w:spacing w:line="400" w:lineRule="exact"/>
        <w:ind w:firstLine="465"/>
        <w:rPr>
          <w:rFonts w:ascii="宋体" w:hAnsi="宋体" w:cs="宋体"/>
          <w:sz w:val="24"/>
          <w:szCs w:val="24"/>
        </w:rPr>
      </w:pPr>
      <w:r>
        <w:rPr>
          <w:rFonts w:hint="eastAsia" w:ascii="宋体" w:hAnsi="宋体" w:cs="宋体"/>
          <w:sz w:val="24"/>
          <w:szCs w:val="24"/>
        </w:rPr>
        <w:t>（六）法定代表人为同一个人的两个及两个以上法人，母公司、全资子公司及其控股公司，在同一包采购中同时参与磋商；</w:t>
      </w:r>
    </w:p>
    <w:p w14:paraId="1AC53187">
      <w:pPr>
        <w:snapToGrid w:val="0"/>
        <w:spacing w:line="400" w:lineRule="exact"/>
        <w:ind w:firstLine="465"/>
        <w:rPr>
          <w:rFonts w:ascii="宋体" w:hAnsi="宋体" w:cs="宋体"/>
          <w:sz w:val="24"/>
          <w:szCs w:val="24"/>
        </w:rPr>
      </w:pPr>
      <w:r>
        <w:rPr>
          <w:rFonts w:hint="eastAsia" w:ascii="宋体" w:hAnsi="宋体" w:cs="宋体"/>
          <w:sz w:val="24"/>
          <w:szCs w:val="24"/>
        </w:rPr>
        <w:t>（七）单位负责人为同一人或者存在直接控股、管理关系的不同供应商，参加同一合同项下的采购活动的；</w:t>
      </w:r>
    </w:p>
    <w:p w14:paraId="7CD18784">
      <w:pPr>
        <w:snapToGrid w:val="0"/>
        <w:spacing w:line="400" w:lineRule="exact"/>
        <w:ind w:firstLine="465"/>
        <w:rPr>
          <w:rFonts w:ascii="宋体" w:hAnsi="宋体" w:cs="宋体"/>
          <w:sz w:val="24"/>
          <w:szCs w:val="24"/>
        </w:rPr>
      </w:pPr>
      <w:r>
        <w:rPr>
          <w:rFonts w:hint="eastAsia" w:ascii="宋体" w:hAnsi="宋体" w:cs="宋体"/>
          <w:sz w:val="24"/>
          <w:szCs w:val="24"/>
        </w:rPr>
        <w:t>（八）为采购项目提供整体设计、规范编制或者项目管理、监理、检测等服务的供应商，再参加该采购项目的其他采购活动；</w:t>
      </w:r>
    </w:p>
    <w:p w14:paraId="475CAA88">
      <w:pPr>
        <w:snapToGrid w:val="0"/>
        <w:spacing w:line="400" w:lineRule="exact"/>
        <w:ind w:firstLine="480" w:firstLineChars="200"/>
        <w:rPr>
          <w:rFonts w:ascii="宋体" w:hAnsi="宋体" w:cs="宋体"/>
          <w:sz w:val="24"/>
          <w:szCs w:val="24"/>
        </w:rPr>
      </w:pPr>
      <w:r>
        <w:rPr>
          <w:rFonts w:hint="eastAsia" w:ascii="宋体" w:hAnsi="宋体" w:cs="宋体"/>
          <w:sz w:val="24"/>
          <w:szCs w:val="24"/>
        </w:rPr>
        <w:t>（九）供应商磋商有效期不满足竞争性磋商文件要求的；</w:t>
      </w:r>
    </w:p>
    <w:p w14:paraId="4C0CE632">
      <w:pPr>
        <w:snapToGrid w:val="0"/>
        <w:spacing w:line="400" w:lineRule="exact"/>
        <w:ind w:firstLine="480" w:firstLineChars="200"/>
        <w:rPr>
          <w:rFonts w:ascii="宋体" w:hAnsi="宋体" w:cs="宋体"/>
          <w:sz w:val="24"/>
          <w:szCs w:val="24"/>
        </w:rPr>
      </w:pPr>
      <w:r>
        <w:rPr>
          <w:rFonts w:hint="eastAsia" w:ascii="宋体" w:hAnsi="宋体" w:cs="宋体"/>
          <w:sz w:val="24"/>
          <w:szCs w:val="24"/>
        </w:rPr>
        <w:t>（十）供应商响应文件内容有与国家现行法律法规相违背的内容，或附有采购人无法接受的条件；</w:t>
      </w:r>
    </w:p>
    <w:p w14:paraId="4F531585">
      <w:pPr>
        <w:snapToGrid w:val="0"/>
        <w:spacing w:line="400" w:lineRule="exact"/>
        <w:ind w:firstLine="465"/>
        <w:rPr>
          <w:rFonts w:ascii="宋体" w:hAnsi="宋体" w:cs="宋体"/>
          <w:sz w:val="24"/>
          <w:szCs w:val="24"/>
        </w:rPr>
      </w:pPr>
      <w:r>
        <w:rPr>
          <w:rFonts w:hint="eastAsia" w:ascii="宋体" w:hAnsi="宋体" w:cs="宋体"/>
          <w:sz w:val="24"/>
          <w:szCs w:val="24"/>
        </w:rPr>
        <w:t>（十一）法律、法规和竞争性磋商文件规定的其他无效情形。</w:t>
      </w:r>
    </w:p>
    <w:p w14:paraId="5FDE7955">
      <w:pPr>
        <w:pStyle w:val="4"/>
        <w:numPr>
          <w:ilvl w:val="1"/>
          <w:numId w:val="0"/>
        </w:numPr>
        <w:adjustRightInd w:val="0"/>
        <w:snapToGrid w:val="0"/>
        <w:spacing w:line="400" w:lineRule="exact"/>
        <w:rPr>
          <w:rFonts w:ascii="宋体" w:hAnsi="宋体" w:eastAsia="宋体" w:cs="宋体"/>
          <w:b/>
          <w:bCs w:val="0"/>
          <w:sz w:val="24"/>
        </w:rPr>
      </w:pPr>
      <w:bookmarkStart w:id="170" w:name="_Toc76462336"/>
      <w:bookmarkStart w:id="171" w:name="_Toc1466"/>
      <w:bookmarkStart w:id="172" w:name="_Toc13574"/>
      <w:bookmarkStart w:id="173" w:name="_Toc106030891"/>
      <w:bookmarkStart w:id="174" w:name="_Toc3617"/>
      <w:bookmarkStart w:id="175" w:name="_Toc25630"/>
      <w:bookmarkStart w:id="176" w:name="_Toc13735"/>
      <w:r>
        <w:rPr>
          <w:rFonts w:hint="eastAsia" w:ascii="宋体" w:hAnsi="宋体" w:eastAsia="宋体" w:cs="宋体"/>
          <w:b/>
          <w:bCs w:val="0"/>
          <w:sz w:val="24"/>
        </w:rPr>
        <w:t>四、</w:t>
      </w:r>
      <w:bookmarkEnd w:id="161"/>
      <w:bookmarkEnd w:id="162"/>
      <w:r>
        <w:rPr>
          <w:rFonts w:hint="eastAsia" w:ascii="宋体" w:hAnsi="宋体" w:eastAsia="宋体" w:cs="宋体"/>
          <w:b/>
          <w:bCs w:val="0"/>
          <w:sz w:val="24"/>
        </w:rPr>
        <w:t>采购终止</w:t>
      </w:r>
      <w:bookmarkEnd w:id="170"/>
      <w:bookmarkEnd w:id="171"/>
      <w:bookmarkEnd w:id="172"/>
      <w:bookmarkEnd w:id="173"/>
      <w:bookmarkEnd w:id="174"/>
      <w:bookmarkEnd w:id="175"/>
      <w:bookmarkEnd w:id="176"/>
    </w:p>
    <w:p w14:paraId="04DC9B9D">
      <w:pPr>
        <w:snapToGrid w:val="0"/>
        <w:spacing w:line="400" w:lineRule="exact"/>
        <w:ind w:firstLine="465"/>
        <w:rPr>
          <w:rFonts w:ascii="宋体" w:hAnsi="宋体" w:cs="宋体"/>
          <w:sz w:val="24"/>
          <w:szCs w:val="24"/>
        </w:rPr>
      </w:pPr>
      <w:r>
        <w:rPr>
          <w:rFonts w:hint="eastAsia" w:ascii="宋体" w:hAnsi="宋体" w:cs="宋体"/>
          <w:sz w:val="24"/>
          <w:szCs w:val="24"/>
        </w:rPr>
        <w:t>出现下列情形之一的，采购人或者采购代理机构应当终止竞争性磋商采购活动，发布项目终止公告并说明原因，重新开展采购活动：</w:t>
      </w:r>
    </w:p>
    <w:p w14:paraId="6D51A6DD">
      <w:pPr>
        <w:snapToGrid w:val="0"/>
        <w:spacing w:line="400" w:lineRule="exact"/>
        <w:ind w:firstLine="465"/>
        <w:rPr>
          <w:rFonts w:ascii="宋体" w:hAnsi="宋体" w:cs="宋体"/>
          <w:sz w:val="24"/>
          <w:szCs w:val="24"/>
        </w:rPr>
      </w:pPr>
      <w:r>
        <w:rPr>
          <w:rFonts w:hint="eastAsia" w:ascii="宋体" w:hAnsi="宋体" w:cs="宋体"/>
          <w:sz w:val="24"/>
          <w:szCs w:val="24"/>
        </w:rPr>
        <w:t>（一）因情况变化，不再符合规定的竞争性磋商采购方式适用情形的；</w:t>
      </w:r>
    </w:p>
    <w:p w14:paraId="5EFB9EE7">
      <w:pPr>
        <w:snapToGrid w:val="0"/>
        <w:spacing w:line="400" w:lineRule="exact"/>
        <w:ind w:firstLine="465"/>
        <w:rPr>
          <w:rFonts w:ascii="宋体" w:hAnsi="宋体" w:cs="宋体"/>
          <w:sz w:val="24"/>
          <w:szCs w:val="24"/>
        </w:rPr>
      </w:pPr>
      <w:r>
        <w:rPr>
          <w:rFonts w:hint="eastAsia" w:ascii="宋体" w:hAnsi="宋体" w:cs="宋体"/>
          <w:sz w:val="24"/>
          <w:szCs w:val="24"/>
        </w:rPr>
        <w:t>（二）出现影响采购公正的违法、违规行为的；</w:t>
      </w:r>
    </w:p>
    <w:p w14:paraId="708ADBA4">
      <w:pPr>
        <w:snapToGrid w:val="0"/>
        <w:spacing w:line="400" w:lineRule="exact"/>
        <w:ind w:firstLine="465"/>
        <w:rPr>
          <w:rFonts w:ascii="宋体" w:hAnsi="宋体" w:cs="宋体"/>
          <w:sz w:val="24"/>
          <w:szCs w:val="24"/>
        </w:rPr>
      </w:pPr>
      <w:r>
        <w:rPr>
          <w:rFonts w:hint="eastAsia" w:ascii="宋体" w:hAnsi="宋体" w:cs="宋体"/>
          <w:sz w:val="24"/>
          <w:szCs w:val="24"/>
        </w:rPr>
        <w:t>（三）在采购过程中符合要求的供应商或者报价未超过采购预算的供应商不足3家的，但《政府采购竞争性磋商采购方式管理暂行办法》第二十一条第三款规定的情形除外。</w:t>
      </w:r>
    </w:p>
    <w:p w14:paraId="0DFC29BD">
      <w:pPr>
        <w:pStyle w:val="4"/>
        <w:pageBreakBefore/>
        <w:numPr>
          <w:ilvl w:val="1"/>
          <w:numId w:val="0"/>
        </w:numPr>
        <w:spacing w:line="360" w:lineRule="auto"/>
        <w:jc w:val="center"/>
        <w:rPr>
          <w:rFonts w:ascii="宋体" w:hAnsi="宋体" w:eastAsia="宋体" w:cs="宋体"/>
          <w:sz w:val="36"/>
          <w:szCs w:val="30"/>
        </w:rPr>
      </w:pPr>
      <w:bookmarkStart w:id="177" w:name="_Toc28929"/>
      <w:bookmarkStart w:id="178" w:name="_Toc16007"/>
      <w:bookmarkStart w:id="179" w:name="_Toc1323"/>
      <w:bookmarkStart w:id="180" w:name="_Toc6000"/>
      <w:bookmarkStart w:id="181" w:name="_Toc11218"/>
      <w:bookmarkStart w:id="182" w:name="_Toc106030892"/>
      <w:bookmarkStart w:id="183" w:name="_Toc102227313"/>
      <w:bookmarkStart w:id="184" w:name="_Toc76462337"/>
      <w:r>
        <w:rPr>
          <w:rFonts w:hint="eastAsia" w:ascii="宋体" w:hAnsi="宋体" w:eastAsia="宋体" w:cs="宋体"/>
          <w:sz w:val="36"/>
          <w:szCs w:val="30"/>
        </w:rPr>
        <w:t>第五篇  供应商须知</w:t>
      </w:r>
      <w:bookmarkEnd w:id="177"/>
      <w:bookmarkEnd w:id="178"/>
      <w:bookmarkEnd w:id="179"/>
      <w:bookmarkEnd w:id="180"/>
      <w:bookmarkEnd w:id="181"/>
      <w:bookmarkEnd w:id="182"/>
      <w:bookmarkEnd w:id="183"/>
      <w:bookmarkEnd w:id="184"/>
    </w:p>
    <w:p w14:paraId="7ABB8F81">
      <w:pPr>
        <w:pStyle w:val="4"/>
        <w:numPr>
          <w:ilvl w:val="1"/>
          <w:numId w:val="0"/>
        </w:numPr>
        <w:adjustRightInd w:val="0"/>
        <w:snapToGrid w:val="0"/>
        <w:spacing w:line="400" w:lineRule="exact"/>
        <w:rPr>
          <w:rFonts w:ascii="宋体" w:hAnsi="宋体" w:eastAsia="宋体" w:cs="宋体"/>
          <w:b/>
          <w:bCs w:val="0"/>
          <w:sz w:val="24"/>
        </w:rPr>
      </w:pPr>
      <w:bookmarkStart w:id="185" w:name="_Toc7946"/>
      <w:bookmarkStart w:id="186" w:name="_Toc5729"/>
      <w:bookmarkStart w:id="187" w:name="_Toc2845"/>
      <w:bookmarkStart w:id="188" w:name="_Toc6124"/>
      <w:bookmarkStart w:id="189" w:name="_Toc342913389"/>
      <w:bookmarkStart w:id="190" w:name="_Toc76462338"/>
      <w:bookmarkStart w:id="191" w:name="_Toc30494"/>
      <w:bookmarkStart w:id="192" w:name="_Toc106030893"/>
      <w:r>
        <w:rPr>
          <w:rFonts w:hint="eastAsia" w:ascii="宋体" w:hAnsi="宋体" w:eastAsia="宋体" w:cs="宋体"/>
          <w:b/>
          <w:bCs w:val="0"/>
          <w:sz w:val="24"/>
        </w:rPr>
        <w:t>一、磋商费用</w:t>
      </w:r>
      <w:bookmarkEnd w:id="185"/>
      <w:bookmarkEnd w:id="186"/>
      <w:bookmarkEnd w:id="187"/>
      <w:bookmarkEnd w:id="188"/>
      <w:bookmarkEnd w:id="189"/>
      <w:bookmarkEnd w:id="190"/>
      <w:bookmarkEnd w:id="191"/>
      <w:bookmarkEnd w:id="192"/>
    </w:p>
    <w:p w14:paraId="64DA5ABF">
      <w:pPr>
        <w:pStyle w:val="44"/>
        <w:spacing w:line="400" w:lineRule="exact"/>
        <w:ind w:firstLine="480" w:firstLineChars="200"/>
        <w:rPr>
          <w:rFonts w:hAnsi="宋体" w:cs="宋体"/>
          <w:sz w:val="24"/>
          <w:szCs w:val="24"/>
        </w:rPr>
      </w:pPr>
      <w:r>
        <w:rPr>
          <w:rFonts w:hint="eastAsia" w:hAnsi="宋体" w:cs="宋体"/>
          <w:sz w:val="24"/>
          <w:szCs w:val="24"/>
        </w:rPr>
        <w:t>参与磋商的供应商应承担其编制响应文件与递交响应文件所涉及的一切费用，不论磋商结果如何，采购人和采购代理机构在任何情况下无义务也无责任承担这些费用。</w:t>
      </w:r>
    </w:p>
    <w:p w14:paraId="647CC93B">
      <w:pPr>
        <w:pStyle w:val="4"/>
        <w:numPr>
          <w:ilvl w:val="1"/>
          <w:numId w:val="0"/>
        </w:numPr>
        <w:adjustRightInd w:val="0"/>
        <w:snapToGrid w:val="0"/>
        <w:spacing w:line="400" w:lineRule="exact"/>
        <w:rPr>
          <w:rFonts w:ascii="宋体" w:hAnsi="宋体" w:eastAsia="宋体" w:cs="宋体"/>
          <w:b/>
          <w:bCs w:val="0"/>
          <w:sz w:val="24"/>
        </w:rPr>
      </w:pPr>
      <w:bookmarkStart w:id="193" w:name="_Toc2366"/>
      <w:bookmarkStart w:id="194" w:name="_Toc342913391"/>
      <w:bookmarkStart w:id="195" w:name="_Toc106030894"/>
      <w:bookmarkStart w:id="196" w:name="_Toc11583"/>
      <w:bookmarkStart w:id="197" w:name="_Toc26129"/>
      <w:bookmarkStart w:id="198" w:name="_Toc76462339"/>
      <w:bookmarkStart w:id="199" w:name="_Toc3616"/>
      <w:bookmarkStart w:id="200" w:name="_Toc31325"/>
      <w:r>
        <w:rPr>
          <w:rFonts w:hint="eastAsia" w:ascii="宋体" w:hAnsi="宋体" w:eastAsia="宋体" w:cs="宋体"/>
          <w:b/>
          <w:bCs w:val="0"/>
          <w:sz w:val="24"/>
        </w:rPr>
        <w:t>二、竞争性磋商文件</w:t>
      </w:r>
      <w:bookmarkEnd w:id="193"/>
      <w:bookmarkEnd w:id="194"/>
      <w:bookmarkEnd w:id="195"/>
      <w:bookmarkEnd w:id="196"/>
      <w:bookmarkEnd w:id="197"/>
      <w:bookmarkEnd w:id="198"/>
      <w:bookmarkEnd w:id="199"/>
      <w:bookmarkEnd w:id="200"/>
    </w:p>
    <w:p w14:paraId="7368D118">
      <w:pPr>
        <w:snapToGrid w:val="0"/>
        <w:spacing w:line="400" w:lineRule="exact"/>
        <w:ind w:firstLine="480" w:firstLineChars="200"/>
        <w:rPr>
          <w:rFonts w:ascii="宋体" w:hAnsi="宋体" w:cs="宋体"/>
          <w:sz w:val="24"/>
          <w:szCs w:val="24"/>
        </w:rPr>
      </w:pPr>
      <w:r>
        <w:rPr>
          <w:rFonts w:hint="eastAsia" w:ascii="宋体" w:hAnsi="宋体" w:cs="宋体"/>
          <w:sz w:val="24"/>
          <w:szCs w:val="24"/>
        </w:rPr>
        <w:t>（一）竞争性磋商文件由采购邀请书、项目服务需求、项目商务需求、磋商程序及方法、评审标准、无效响应和采购终止、供应商须知</w:t>
      </w:r>
      <w:r>
        <w:rPr>
          <w:rFonts w:hint="eastAsia" w:ascii="宋体" w:hAnsi="宋体" w:cs="宋体"/>
          <w:b/>
          <w:sz w:val="24"/>
          <w:szCs w:val="24"/>
        </w:rPr>
        <w:t>、</w:t>
      </w:r>
      <w:r>
        <w:rPr>
          <w:rFonts w:hint="eastAsia" w:ascii="宋体" w:hAnsi="宋体" w:cs="宋体"/>
          <w:sz w:val="24"/>
          <w:szCs w:val="24"/>
        </w:rPr>
        <w:t>采购合同</w:t>
      </w:r>
      <w:r>
        <w:rPr>
          <w:rFonts w:hint="eastAsia" w:ascii="宋体" w:hAnsi="宋体" w:cs="宋体"/>
          <w:b/>
          <w:sz w:val="24"/>
          <w:szCs w:val="24"/>
        </w:rPr>
        <w:t>、</w:t>
      </w:r>
      <w:r>
        <w:rPr>
          <w:rFonts w:hint="eastAsia" w:ascii="宋体" w:hAnsi="宋体" w:cs="宋体"/>
          <w:sz w:val="24"/>
          <w:szCs w:val="24"/>
        </w:rPr>
        <w:t>响应文件编制要求七部分组成。</w:t>
      </w:r>
    </w:p>
    <w:p w14:paraId="78913515">
      <w:pPr>
        <w:snapToGrid w:val="0"/>
        <w:spacing w:line="400" w:lineRule="exact"/>
        <w:ind w:firstLine="480" w:firstLineChars="200"/>
        <w:rPr>
          <w:rFonts w:ascii="宋体" w:hAnsi="宋体" w:cs="宋体"/>
          <w:sz w:val="24"/>
          <w:szCs w:val="24"/>
        </w:rPr>
      </w:pPr>
      <w:r>
        <w:rPr>
          <w:rFonts w:hint="eastAsia" w:ascii="宋体" w:hAnsi="宋体" w:cs="宋体"/>
          <w:sz w:val="24"/>
          <w:szCs w:val="24"/>
        </w:rPr>
        <w:t>（二）采购人（或采购代理机构）所作的一切有效的书面通知、修改及补充，都是竞争性磋商文件不可分割的部分。</w:t>
      </w:r>
    </w:p>
    <w:p w14:paraId="75A97B95">
      <w:pPr>
        <w:snapToGrid w:val="0"/>
        <w:spacing w:line="400" w:lineRule="exact"/>
        <w:ind w:firstLine="480" w:firstLineChars="200"/>
        <w:rPr>
          <w:rFonts w:ascii="宋体" w:hAnsi="宋体" w:cs="宋体"/>
          <w:sz w:val="24"/>
          <w:szCs w:val="24"/>
        </w:rPr>
      </w:pPr>
      <w:r>
        <w:rPr>
          <w:rFonts w:hint="eastAsia" w:ascii="宋体" w:hAnsi="宋体" w:cs="宋体"/>
          <w:sz w:val="24"/>
          <w:szCs w:val="24"/>
        </w:rPr>
        <w:t>（三）竞争性磋商文件的解释</w:t>
      </w:r>
    </w:p>
    <w:p w14:paraId="275D926F">
      <w:pPr>
        <w:spacing w:line="400" w:lineRule="exact"/>
        <w:ind w:firstLine="480" w:firstLineChars="200"/>
        <w:rPr>
          <w:rFonts w:ascii="宋体" w:hAnsi="宋体" w:cs="宋体"/>
          <w:sz w:val="24"/>
          <w:szCs w:val="24"/>
        </w:rPr>
      </w:pPr>
      <w:r>
        <w:rPr>
          <w:rFonts w:hint="eastAsia" w:ascii="宋体" w:hAnsi="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01" w:name="_Toc318159349"/>
      <w:bookmarkStart w:id="202" w:name="_Toc318159780"/>
      <w:bookmarkStart w:id="203" w:name="_Toc318166429"/>
      <w:bookmarkStart w:id="204" w:name="_Toc318159160"/>
    </w:p>
    <w:p w14:paraId="32FEE612">
      <w:pPr>
        <w:spacing w:line="400" w:lineRule="exact"/>
        <w:ind w:firstLine="480" w:firstLineChars="200"/>
        <w:rPr>
          <w:rFonts w:ascii="宋体" w:hAnsi="宋体" w:cs="宋体"/>
          <w:sz w:val="24"/>
          <w:szCs w:val="24"/>
        </w:rPr>
      </w:pPr>
      <w:r>
        <w:rPr>
          <w:rFonts w:hint="eastAsia" w:ascii="宋体" w:hAnsi="宋体" w:cs="宋体"/>
          <w:sz w:val="24"/>
          <w:szCs w:val="24"/>
        </w:rPr>
        <w:t>（四）本竞争性磋商文件中，磋商小组根据与供应商进行磋商可能实质性变动的内容为竞争性磋商文件第二、三、六篇全部内容。</w:t>
      </w:r>
    </w:p>
    <w:p w14:paraId="164E973E">
      <w:pPr>
        <w:spacing w:line="400" w:lineRule="exact"/>
        <w:ind w:firstLine="480" w:firstLineChars="200"/>
        <w:rPr>
          <w:rFonts w:ascii="宋体" w:hAnsi="宋体" w:cs="宋体"/>
          <w:sz w:val="24"/>
          <w:szCs w:val="24"/>
        </w:rPr>
      </w:pPr>
      <w:r>
        <w:rPr>
          <w:rFonts w:hint="eastAsia" w:ascii="宋体" w:hAnsi="宋体" w:cs="宋体"/>
          <w:sz w:val="24"/>
          <w:szCs w:val="24"/>
        </w:rPr>
        <w:t>（五）评审的依据为竞争性磋商文件和响应文件（含有效的书面承诺）。磋商小组判断响应文件对竞争性磋商文件的响应，仅基于响应文件本身而不靠外部证据。</w:t>
      </w:r>
    </w:p>
    <w:bookmarkEnd w:id="201"/>
    <w:bookmarkEnd w:id="202"/>
    <w:bookmarkEnd w:id="203"/>
    <w:bookmarkEnd w:id="204"/>
    <w:p w14:paraId="4759653C">
      <w:pPr>
        <w:pStyle w:val="4"/>
        <w:numPr>
          <w:ilvl w:val="1"/>
          <w:numId w:val="0"/>
        </w:numPr>
        <w:adjustRightInd w:val="0"/>
        <w:snapToGrid w:val="0"/>
        <w:spacing w:line="400" w:lineRule="exact"/>
        <w:rPr>
          <w:rFonts w:ascii="宋体" w:hAnsi="宋体" w:eastAsia="宋体" w:cs="宋体"/>
          <w:b/>
          <w:bCs w:val="0"/>
          <w:sz w:val="24"/>
        </w:rPr>
      </w:pPr>
      <w:bookmarkStart w:id="205" w:name="_Toc18703"/>
      <w:bookmarkStart w:id="206" w:name="_Toc29539"/>
      <w:bookmarkStart w:id="207" w:name="_Toc106030895"/>
      <w:bookmarkStart w:id="208" w:name="_Toc76462340"/>
      <w:bookmarkStart w:id="209" w:name="_Toc25062"/>
      <w:bookmarkStart w:id="210" w:name="_Toc179714297"/>
      <w:bookmarkStart w:id="211" w:name="_Toc13367"/>
      <w:bookmarkStart w:id="212" w:name="_Toc5211"/>
      <w:bookmarkStart w:id="213" w:name="_Toc102227318"/>
      <w:bookmarkStart w:id="214" w:name="_Toc342913392"/>
      <w:r>
        <w:rPr>
          <w:rFonts w:hint="eastAsia" w:ascii="宋体" w:hAnsi="宋体" w:eastAsia="宋体" w:cs="宋体"/>
          <w:b/>
          <w:bCs w:val="0"/>
          <w:sz w:val="24"/>
        </w:rPr>
        <w:t>三、磋商要求</w:t>
      </w:r>
      <w:bookmarkEnd w:id="205"/>
      <w:bookmarkEnd w:id="206"/>
      <w:bookmarkEnd w:id="207"/>
      <w:bookmarkEnd w:id="208"/>
      <w:bookmarkEnd w:id="209"/>
      <w:bookmarkEnd w:id="210"/>
      <w:bookmarkEnd w:id="211"/>
      <w:bookmarkEnd w:id="212"/>
      <w:bookmarkEnd w:id="213"/>
      <w:bookmarkEnd w:id="214"/>
    </w:p>
    <w:p w14:paraId="14A37D8D">
      <w:pPr>
        <w:spacing w:line="400" w:lineRule="exact"/>
        <w:ind w:firstLine="480" w:firstLineChars="200"/>
        <w:rPr>
          <w:rFonts w:ascii="宋体" w:hAnsi="宋体" w:cs="宋体"/>
          <w:sz w:val="24"/>
          <w:szCs w:val="24"/>
        </w:rPr>
      </w:pPr>
      <w:r>
        <w:rPr>
          <w:rFonts w:hint="eastAsia" w:ascii="宋体" w:hAnsi="宋体" w:cs="宋体"/>
          <w:sz w:val="24"/>
          <w:szCs w:val="24"/>
        </w:rPr>
        <w:t>（一）响应文件</w:t>
      </w:r>
    </w:p>
    <w:p w14:paraId="49BEEF83">
      <w:pPr>
        <w:spacing w:line="400" w:lineRule="exact"/>
        <w:ind w:firstLine="480" w:firstLineChars="200"/>
        <w:rPr>
          <w:rFonts w:ascii="宋体" w:hAnsi="宋体" w:cs="宋体"/>
          <w:sz w:val="24"/>
          <w:szCs w:val="24"/>
        </w:rPr>
      </w:pPr>
      <w:r>
        <w:rPr>
          <w:rFonts w:hint="eastAsia" w:ascii="宋体" w:hAnsi="宋体" w:cs="宋体"/>
          <w:sz w:val="24"/>
          <w:szCs w:val="24"/>
        </w:rPr>
        <w:t>1.供应商应当按照竞争性磋商文件的要求编制响应文件，并对竞争性磋商文件提出的要求和条件作出实质性响应，响应文件原则上采用软面订本，同时应编制完整的页码、目录。</w:t>
      </w:r>
    </w:p>
    <w:p w14:paraId="485A2F1D">
      <w:pPr>
        <w:spacing w:line="400" w:lineRule="exact"/>
        <w:ind w:firstLine="480" w:firstLineChars="200"/>
        <w:rPr>
          <w:rFonts w:ascii="宋体" w:hAnsi="宋体" w:cs="宋体"/>
          <w:sz w:val="24"/>
          <w:szCs w:val="24"/>
        </w:rPr>
      </w:pPr>
      <w:r>
        <w:rPr>
          <w:rFonts w:hint="eastAsia" w:ascii="宋体" w:hAnsi="宋体" w:cs="宋体"/>
          <w:sz w:val="24"/>
          <w:szCs w:val="24"/>
        </w:rPr>
        <w:t>2.响应文件组成</w:t>
      </w:r>
    </w:p>
    <w:p w14:paraId="6F54259A">
      <w:pPr>
        <w:spacing w:line="400" w:lineRule="exact"/>
        <w:ind w:firstLine="480" w:firstLineChars="200"/>
        <w:rPr>
          <w:rFonts w:ascii="宋体" w:hAnsi="宋体" w:cs="宋体"/>
          <w:sz w:val="24"/>
          <w:szCs w:val="24"/>
        </w:rPr>
      </w:pPr>
      <w:r>
        <w:rPr>
          <w:rFonts w:hint="eastAsia" w:ascii="宋体" w:hAnsi="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B4EA95C">
      <w:pPr>
        <w:spacing w:line="400" w:lineRule="exact"/>
        <w:ind w:firstLine="480" w:firstLineChars="200"/>
        <w:rPr>
          <w:rFonts w:ascii="宋体" w:hAnsi="宋体" w:cs="宋体"/>
          <w:sz w:val="24"/>
          <w:szCs w:val="24"/>
        </w:rPr>
      </w:pPr>
      <w:r>
        <w:rPr>
          <w:rFonts w:hint="eastAsia" w:ascii="宋体" w:hAnsi="宋体" w:cs="宋体"/>
          <w:sz w:val="24"/>
          <w:szCs w:val="24"/>
        </w:rPr>
        <w:t>（二）磋商有效期：响应文件及有关承诺文件有效期为提交响应文件截止时间起90天。</w:t>
      </w:r>
    </w:p>
    <w:p w14:paraId="7393223F">
      <w:pPr>
        <w:spacing w:line="400" w:lineRule="exact"/>
        <w:ind w:firstLine="480" w:firstLineChars="200"/>
        <w:rPr>
          <w:rFonts w:ascii="宋体" w:hAnsi="宋体" w:cs="宋体"/>
          <w:sz w:val="24"/>
          <w:szCs w:val="24"/>
        </w:rPr>
      </w:pPr>
      <w:r>
        <w:rPr>
          <w:rFonts w:hint="eastAsia" w:ascii="宋体" w:hAnsi="宋体" w:cs="宋体"/>
          <w:sz w:val="24"/>
          <w:szCs w:val="24"/>
        </w:rPr>
        <w:t>（三）修正错误</w:t>
      </w:r>
    </w:p>
    <w:p w14:paraId="6F29044E">
      <w:pPr>
        <w:spacing w:line="400" w:lineRule="exact"/>
        <w:ind w:firstLine="480" w:firstLineChars="200"/>
        <w:rPr>
          <w:rFonts w:ascii="宋体" w:hAnsi="宋体" w:cs="宋体"/>
          <w:sz w:val="24"/>
          <w:szCs w:val="24"/>
        </w:rPr>
      </w:pPr>
      <w:r>
        <w:rPr>
          <w:rFonts w:hint="eastAsia" w:ascii="宋体" w:hAnsi="宋体" w:cs="宋体"/>
          <w:sz w:val="24"/>
          <w:szCs w:val="24"/>
        </w:rPr>
        <w:t>1.若供应商所递交的响应文件或最后报价中的价格出现大写金额和小写金额不一致的错误，以大写金额修正为准。</w:t>
      </w:r>
    </w:p>
    <w:p w14:paraId="179DDC22">
      <w:pPr>
        <w:spacing w:line="400" w:lineRule="exact"/>
        <w:ind w:firstLine="480" w:firstLineChars="200"/>
        <w:rPr>
          <w:rFonts w:ascii="宋体" w:hAnsi="宋体" w:cs="宋体"/>
          <w:sz w:val="24"/>
          <w:szCs w:val="24"/>
        </w:rPr>
      </w:pPr>
      <w:r>
        <w:rPr>
          <w:rFonts w:hint="eastAsia" w:ascii="宋体" w:hAnsi="宋体" w:cs="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043D52F3">
      <w:pPr>
        <w:snapToGrid w:val="0"/>
        <w:spacing w:line="400" w:lineRule="exact"/>
        <w:ind w:firstLine="480" w:firstLineChars="200"/>
        <w:rPr>
          <w:rFonts w:ascii="宋体" w:hAnsi="宋体" w:cs="宋体"/>
          <w:sz w:val="24"/>
          <w:szCs w:val="24"/>
        </w:rPr>
      </w:pPr>
      <w:r>
        <w:rPr>
          <w:rFonts w:hint="eastAsia" w:ascii="宋体" w:hAnsi="宋体" w:cs="宋体"/>
          <w:sz w:val="24"/>
          <w:szCs w:val="24"/>
        </w:rPr>
        <w:t>（四）提交响应文件的份数和签署</w:t>
      </w:r>
    </w:p>
    <w:p w14:paraId="5DBCB83E">
      <w:pPr>
        <w:snapToGrid w:val="0"/>
        <w:spacing w:line="400" w:lineRule="exact"/>
        <w:ind w:firstLine="480" w:firstLineChars="200"/>
        <w:rPr>
          <w:rFonts w:ascii="宋体" w:hAnsi="宋体" w:cs="宋体"/>
          <w:sz w:val="24"/>
          <w:szCs w:val="24"/>
        </w:rPr>
      </w:pPr>
      <w:r>
        <w:rPr>
          <w:rFonts w:hint="eastAsia" w:ascii="宋体" w:hAnsi="宋体" w:cs="宋体"/>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C8FB577">
      <w:pPr>
        <w:snapToGrid w:val="0"/>
        <w:spacing w:line="40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rPr>
        <w:t>响应文件按竞争性磋商文件“第七篇响应文件编制要求”要求签署或盖章。</w:t>
      </w:r>
    </w:p>
    <w:p w14:paraId="165065A9">
      <w:pPr>
        <w:snapToGrid w:val="0"/>
        <w:spacing w:line="400" w:lineRule="exact"/>
        <w:ind w:firstLine="480" w:firstLineChars="200"/>
        <w:rPr>
          <w:rFonts w:ascii="宋体" w:hAnsi="宋体" w:cs="宋体"/>
          <w:sz w:val="24"/>
          <w:szCs w:val="24"/>
        </w:rPr>
      </w:pPr>
      <w:r>
        <w:rPr>
          <w:rFonts w:hint="eastAsia" w:ascii="宋体" w:hAnsi="宋体" w:cs="宋体"/>
          <w:sz w:val="24"/>
          <w:szCs w:val="24"/>
        </w:rPr>
        <w:t>（五）响应文件的递交</w:t>
      </w:r>
    </w:p>
    <w:p w14:paraId="1F75234C">
      <w:pPr>
        <w:pStyle w:val="17"/>
        <w:spacing w:line="400" w:lineRule="exact"/>
        <w:ind w:firstLine="480" w:firstLineChars="200"/>
        <w:rPr>
          <w:rFonts w:hAnsi="宋体" w:cs="宋体"/>
          <w:sz w:val="24"/>
        </w:rPr>
      </w:pPr>
      <w:r>
        <w:rPr>
          <w:rFonts w:hint="eastAsia" w:hAnsi="宋体" w:cs="宋体"/>
          <w:sz w:val="24"/>
        </w:rPr>
        <w:t>响应文件的正本、副本以及电子文档均应密封送达磋商地点，应在封套上注明磋商项目名称、供应商名称。若正本、副本以及电子文档分别进行密封的，还应在封套上注明“正本”、“副本”、“电子文档”字样。</w:t>
      </w:r>
    </w:p>
    <w:p w14:paraId="741D1258">
      <w:pPr>
        <w:snapToGrid w:val="0"/>
        <w:spacing w:line="400" w:lineRule="exact"/>
        <w:ind w:firstLine="480" w:firstLineChars="200"/>
        <w:rPr>
          <w:rFonts w:ascii="宋体" w:hAnsi="宋体" w:cs="宋体"/>
          <w:sz w:val="24"/>
          <w:szCs w:val="24"/>
        </w:rPr>
      </w:pPr>
      <w:r>
        <w:rPr>
          <w:rFonts w:hint="eastAsia" w:ascii="宋体" w:hAnsi="宋体" w:cs="宋体"/>
          <w:sz w:val="24"/>
          <w:szCs w:val="24"/>
        </w:rPr>
        <w:t>（六）供应商参与人员</w:t>
      </w:r>
    </w:p>
    <w:p w14:paraId="40FED236">
      <w:pPr>
        <w:snapToGrid w:val="0"/>
        <w:spacing w:line="400" w:lineRule="exact"/>
        <w:ind w:firstLine="480" w:firstLineChars="200"/>
        <w:rPr>
          <w:rFonts w:ascii="宋体" w:hAnsi="宋体" w:cs="宋体"/>
          <w:sz w:val="24"/>
          <w:szCs w:val="24"/>
        </w:rPr>
      </w:pPr>
      <w:r>
        <w:rPr>
          <w:rFonts w:hint="eastAsia" w:ascii="宋体" w:hAnsi="宋体" w:cs="宋体"/>
          <w:sz w:val="24"/>
          <w:szCs w:val="24"/>
        </w:rPr>
        <w:t>各个供应商应当派1-2名代表参与磋商，至少1人应为法定代表人（或其授权代表）或自然人（供应商为自然人）。</w:t>
      </w:r>
    </w:p>
    <w:p w14:paraId="4F503ECF">
      <w:pPr>
        <w:pStyle w:val="4"/>
        <w:numPr>
          <w:ilvl w:val="1"/>
          <w:numId w:val="0"/>
        </w:numPr>
        <w:adjustRightInd w:val="0"/>
        <w:snapToGrid w:val="0"/>
        <w:spacing w:line="400" w:lineRule="exact"/>
        <w:rPr>
          <w:rFonts w:ascii="宋体" w:hAnsi="宋体" w:eastAsia="宋体" w:cs="宋体"/>
          <w:b/>
          <w:bCs w:val="0"/>
          <w:sz w:val="24"/>
        </w:rPr>
      </w:pPr>
      <w:bookmarkStart w:id="215" w:name="_Toc30103"/>
      <w:bookmarkStart w:id="216" w:name="_Toc106030896"/>
      <w:bookmarkStart w:id="217" w:name="_Toc4494"/>
      <w:bookmarkStart w:id="218" w:name="_Toc3865"/>
      <w:bookmarkStart w:id="219" w:name="_Toc528"/>
      <w:bookmarkStart w:id="220" w:name="_Toc76462341"/>
      <w:bookmarkStart w:id="221" w:name="_Toc31879"/>
      <w:r>
        <w:rPr>
          <w:rFonts w:hint="eastAsia" w:ascii="宋体" w:hAnsi="宋体" w:eastAsia="宋体" w:cs="宋体"/>
          <w:b/>
          <w:bCs w:val="0"/>
          <w:sz w:val="24"/>
        </w:rPr>
        <w:t>四、成交供应商的确认和变更</w:t>
      </w:r>
      <w:bookmarkEnd w:id="215"/>
      <w:bookmarkEnd w:id="216"/>
      <w:bookmarkEnd w:id="217"/>
      <w:bookmarkEnd w:id="218"/>
      <w:bookmarkEnd w:id="219"/>
      <w:bookmarkEnd w:id="220"/>
      <w:bookmarkEnd w:id="221"/>
    </w:p>
    <w:p w14:paraId="14A5E5E7">
      <w:pPr>
        <w:snapToGrid w:val="0"/>
        <w:spacing w:line="400" w:lineRule="exact"/>
        <w:ind w:firstLine="480" w:firstLineChars="200"/>
        <w:outlineLvl w:val="2"/>
        <w:rPr>
          <w:rFonts w:ascii="宋体" w:hAnsi="宋体" w:cs="宋体"/>
          <w:sz w:val="24"/>
          <w:szCs w:val="24"/>
        </w:rPr>
      </w:pPr>
      <w:bookmarkStart w:id="222" w:name="_Toc8871"/>
      <w:r>
        <w:rPr>
          <w:rFonts w:hint="eastAsia" w:ascii="宋体" w:hAnsi="宋体" w:cs="宋体"/>
          <w:sz w:val="24"/>
          <w:szCs w:val="24"/>
        </w:rPr>
        <w:t>（一）成交供应商的确认</w:t>
      </w:r>
      <w:bookmarkEnd w:id="222"/>
    </w:p>
    <w:p w14:paraId="13CDCA06">
      <w:pPr>
        <w:snapToGrid w:val="0"/>
        <w:spacing w:line="400" w:lineRule="exact"/>
        <w:ind w:firstLine="480" w:firstLineChars="200"/>
        <w:rPr>
          <w:rFonts w:ascii="宋体" w:hAnsi="宋体" w:cs="宋体"/>
          <w:sz w:val="24"/>
          <w:szCs w:val="24"/>
        </w:rPr>
      </w:pPr>
      <w:r>
        <w:rPr>
          <w:rFonts w:hint="eastAsia" w:ascii="宋体" w:hAnsi="宋体" w:cs="宋体"/>
          <w:sz w:val="24"/>
          <w:szCs w:val="24"/>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14:paraId="3E484AC9">
      <w:pPr>
        <w:snapToGrid w:val="0"/>
        <w:spacing w:line="400" w:lineRule="exact"/>
        <w:ind w:firstLine="480" w:firstLineChars="200"/>
        <w:outlineLvl w:val="2"/>
        <w:rPr>
          <w:rFonts w:ascii="宋体" w:hAnsi="宋体" w:cs="宋体"/>
          <w:sz w:val="24"/>
          <w:szCs w:val="24"/>
        </w:rPr>
      </w:pPr>
      <w:bookmarkStart w:id="223" w:name="_Toc19256"/>
      <w:r>
        <w:rPr>
          <w:rFonts w:hint="eastAsia" w:ascii="宋体" w:hAnsi="宋体" w:cs="宋体"/>
          <w:sz w:val="24"/>
          <w:szCs w:val="24"/>
        </w:rPr>
        <w:t>（二）成交供应商的变更</w:t>
      </w:r>
      <w:bookmarkEnd w:id="223"/>
    </w:p>
    <w:p w14:paraId="11436576">
      <w:pPr>
        <w:snapToGrid w:val="0"/>
        <w:spacing w:line="400" w:lineRule="exact"/>
        <w:ind w:firstLine="480" w:firstLineChars="200"/>
        <w:rPr>
          <w:rFonts w:ascii="宋体" w:hAnsi="宋体" w:cs="宋体"/>
          <w:sz w:val="24"/>
          <w:szCs w:val="24"/>
        </w:rPr>
      </w:pPr>
      <w:r>
        <w:rPr>
          <w:rFonts w:hint="eastAsia" w:ascii="宋体" w:hAnsi="宋体" w:cs="宋体"/>
          <w:sz w:val="24"/>
        </w:rPr>
        <w:t>成交供应商拒绝与采购人签订合同的，采购人可以按照评标报告推荐的成交候选供应商顺序，确定排名下一位的候选人为成交供应商，也可以重新开展采购活动。</w:t>
      </w:r>
    </w:p>
    <w:p w14:paraId="538FEA9E">
      <w:pPr>
        <w:pStyle w:val="4"/>
        <w:numPr>
          <w:ilvl w:val="1"/>
          <w:numId w:val="0"/>
        </w:numPr>
        <w:adjustRightInd w:val="0"/>
        <w:snapToGrid w:val="0"/>
        <w:spacing w:line="400" w:lineRule="exact"/>
        <w:rPr>
          <w:rFonts w:ascii="宋体" w:hAnsi="宋体" w:eastAsia="宋体" w:cs="宋体"/>
          <w:b/>
          <w:bCs w:val="0"/>
          <w:sz w:val="24"/>
        </w:rPr>
      </w:pPr>
      <w:bookmarkStart w:id="224" w:name="_Toc342913395"/>
      <w:bookmarkStart w:id="225" w:name="_Toc30519"/>
      <w:bookmarkStart w:id="226" w:name="_Toc76462342"/>
      <w:bookmarkStart w:id="227" w:name="_Toc8696"/>
      <w:bookmarkStart w:id="228" w:name="_Toc5724"/>
      <w:bookmarkStart w:id="229" w:name="_Toc106030897"/>
      <w:bookmarkStart w:id="230" w:name="_Toc13561"/>
      <w:bookmarkStart w:id="231" w:name="_Toc23535"/>
      <w:bookmarkStart w:id="232" w:name="_Toc102227321"/>
      <w:r>
        <w:rPr>
          <w:rFonts w:hint="eastAsia" w:ascii="宋体" w:hAnsi="宋体" w:eastAsia="宋体" w:cs="宋体"/>
          <w:b/>
          <w:bCs w:val="0"/>
          <w:sz w:val="24"/>
        </w:rPr>
        <w:t>五、成交通知</w:t>
      </w:r>
      <w:bookmarkEnd w:id="224"/>
      <w:bookmarkEnd w:id="225"/>
      <w:bookmarkEnd w:id="226"/>
      <w:bookmarkEnd w:id="227"/>
      <w:bookmarkEnd w:id="228"/>
      <w:bookmarkEnd w:id="229"/>
      <w:bookmarkEnd w:id="230"/>
      <w:bookmarkEnd w:id="231"/>
      <w:bookmarkEnd w:id="232"/>
    </w:p>
    <w:p w14:paraId="4C887982">
      <w:pPr>
        <w:spacing w:line="400" w:lineRule="exact"/>
        <w:ind w:firstLine="480" w:firstLineChars="200"/>
        <w:rPr>
          <w:rFonts w:ascii="宋体" w:hAnsi="宋体" w:cs="宋体"/>
          <w:sz w:val="24"/>
          <w:szCs w:val="24"/>
        </w:rPr>
      </w:pPr>
      <w:r>
        <w:rPr>
          <w:rFonts w:hint="eastAsia" w:ascii="宋体" w:hAnsi="宋体" w:cs="宋体"/>
          <w:sz w:val="24"/>
          <w:szCs w:val="24"/>
        </w:rPr>
        <w:t>（一）成交供应商确定后，采购代理机构将在“行采家”（ https://www.gec123.com/）上发布成交结果公告。</w:t>
      </w:r>
    </w:p>
    <w:p w14:paraId="4B003B73">
      <w:pPr>
        <w:spacing w:line="400" w:lineRule="exact"/>
        <w:ind w:firstLine="480" w:firstLineChars="200"/>
        <w:rPr>
          <w:rFonts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14:paraId="360CA804">
      <w:pPr>
        <w:spacing w:line="400" w:lineRule="exact"/>
        <w:ind w:firstLine="480" w:firstLineChars="200"/>
        <w:rPr>
          <w:rFonts w:ascii="宋体" w:hAnsi="宋体" w:cs="宋体"/>
          <w:sz w:val="24"/>
          <w:szCs w:val="24"/>
        </w:rPr>
      </w:pPr>
      <w:r>
        <w:rPr>
          <w:rFonts w:hint="eastAsia" w:ascii="宋体" w:hAnsi="宋体" w:cs="宋体"/>
          <w:sz w:val="24"/>
          <w:szCs w:val="24"/>
        </w:rPr>
        <w:t>（三）《成交通知书》将作为签订合同的依据。</w:t>
      </w:r>
    </w:p>
    <w:p w14:paraId="470E704E">
      <w:pPr>
        <w:pStyle w:val="4"/>
        <w:numPr>
          <w:ilvl w:val="1"/>
          <w:numId w:val="0"/>
        </w:numPr>
        <w:adjustRightInd w:val="0"/>
        <w:snapToGrid w:val="0"/>
        <w:spacing w:line="400" w:lineRule="exact"/>
        <w:rPr>
          <w:rFonts w:ascii="宋体" w:hAnsi="宋体" w:eastAsia="宋体" w:cs="宋体"/>
          <w:b/>
          <w:bCs w:val="0"/>
          <w:sz w:val="24"/>
        </w:rPr>
      </w:pPr>
      <w:bookmarkStart w:id="233" w:name="_Toc19518"/>
      <w:bookmarkStart w:id="234" w:name="_Toc15152"/>
      <w:bookmarkStart w:id="235" w:name="_Toc7701"/>
      <w:bookmarkStart w:id="236" w:name="_Toc106030898"/>
      <w:bookmarkStart w:id="237" w:name="_Toc1763"/>
      <w:bookmarkStart w:id="238" w:name="_Toc76462343"/>
      <w:bookmarkStart w:id="239" w:name="_Toc20100"/>
      <w:r>
        <w:rPr>
          <w:rFonts w:hint="eastAsia" w:ascii="宋体" w:hAnsi="宋体" w:eastAsia="宋体" w:cs="宋体"/>
          <w:b/>
          <w:bCs w:val="0"/>
          <w:sz w:val="24"/>
        </w:rPr>
        <w:t>六、关于质疑和投诉</w:t>
      </w:r>
      <w:bookmarkEnd w:id="233"/>
      <w:bookmarkEnd w:id="234"/>
      <w:bookmarkEnd w:id="235"/>
      <w:bookmarkEnd w:id="236"/>
      <w:bookmarkEnd w:id="237"/>
      <w:bookmarkEnd w:id="238"/>
      <w:bookmarkEnd w:id="239"/>
    </w:p>
    <w:p w14:paraId="368E3F29">
      <w:pPr>
        <w:spacing w:line="400" w:lineRule="exact"/>
        <w:ind w:firstLine="480" w:firstLineChars="200"/>
        <w:outlineLvl w:val="2"/>
        <w:rPr>
          <w:rFonts w:ascii="宋体" w:hAnsi="宋体" w:cs="宋体"/>
          <w:sz w:val="24"/>
          <w:szCs w:val="24"/>
        </w:rPr>
      </w:pPr>
      <w:bookmarkStart w:id="240" w:name="_Toc5011"/>
      <w:r>
        <w:rPr>
          <w:rFonts w:hint="eastAsia" w:ascii="宋体" w:hAnsi="宋体" w:cs="宋体"/>
          <w:sz w:val="24"/>
          <w:szCs w:val="24"/>
        </w:rPr>
        <w:t>（一）质疑</w:t>
      </w:r>
      <w:bookmarkEnd w:id="240"/>
    </w:p>
    <w:p w14:paraId="3912010B">
      <w:pPr>
        <w:spacing w:line="400" w:lineRule="exact"/>
        <w:ind w:firstLine="480" w:firstLineChars="200"/>
        <w:rPr>
          <w:rFonts w:ascii="宋体" w:hAnsi="宋体" w:cs="宋体"/>
          <w:sz w:val="24"/>
          <w:szCs w:val="24"/>
        </w:rPr>
      </w:pPr>
      <w:r>
        <w:rPr>
          <w:rFonts w:hint="eastAsia" w:ascii="宋体" w:hAnsi="宋体" w:cs="宋体"/>
          <w:sz w:val="24"/>
          <w:szCs w:val="24"/>
        </w:rPr>
        <w:t>供应商认为采购文件、采购过程和成交结果使自己的权益收到伤害的，可向采购人或采购代理机构以书面形式提出质疑。</w:t>
      </w:r>
    </w:p>
    <w:p w14:paraId="3DFB64AD">
      <w:pPr>
        <w:spacing w:line="400" w:lineRule="exact"/>
        <w:ind w:firstLine="480" w:firstLineChars="200"/>
        <w:rPr>
          <w:rFonts w:ascii="宋体" w:hAnsi="宋体" w:cs="宋体"/>
          <w:sz w:val="24"/>
          <w:szCs w:val="24"/>
        </w:rPr>
      </w:pPr>
      <w:r>
        <w:rPr>
          <w:rFonts w:hint="eastAsia" w:ascii="宋体" w:hAnsi="宋体" w:cs="宋体"/>
          <w:sz w:val="24"/>
          <w:szCs w:val="24"/>
        </w:rPr>
        <w:t xml:space="preserve">提出质疑的应当是参与所质疑项目采购活动的供应商。 </w:t>
      </w:r>
    </w:p>
    <w:p w14:paraId="2F341A79">
      <w:pPr>
        <w:spacing w:line="400" w:lineRule="exact"/>
        <w:ind w:right="12" w:firstLine="480"/>
        <w:outlineLvl w:val="2"/>
        <w:rPr>
          <w:rFonts w:ascii="宋体" w:hAnsi="宋体" w:cs="宋体"/>
          <w:sz w:val="24"/>
        </w:rPr>
      </w:pPr>
      <w:bookmarkStart w:id="241" w:name="_Toc29896"/>
      <w:r>
        <w:rPr>
          <w:rFonts w:hint="eastAsia" w:ascii="宋体" w:hAnsi="宋体" w:cs="宋体"/>
          <w:sz w:val="24"/>
        </w:rPr>
        <w:t>1.质疑时限、内容</w:t>
      </w:r>
      <w:bookmarkEnd w:id="241"/>
    </w:p>
    <w:p w14:paraId="2FAF46CC">
      <w:pPr>
        <w:spacing w:line="400" w:lineRule="exact"/>
        <w:ind w:right="12" w:firstLine="480"/>
        <w:rPr>
          <w:rFonts w:ascii="宋体" w:hAnsi="宋体" w:cs="宋体"/>
          <w:sz w:val="24"/>
        </w:rPr>
      </w:pPr>
      <w:r>
        <w:rPr>
          <w:rFonts w:hint="eastAsia" w:ascii="宋体" w:hAnsi="宋体" w:cs="宋体"/>
          <w:sz w:val="24"/>
        </w:rPr>
        <w:t>供应商认为采购文件、采购过程、成交结果使自己的权益受到损害的，可以在知道或者应知其权益受到损害之日起7个工作日内，以书面形式向采购人、采购代理机构提出质疑。</w:t>
      </w:r>
    </w:p>
    <w:p w14:paraId="57D16FCF">
      <w:pPr>
        <w:spacing w:line="400" w:lineRule="exact"/>
        <w:ind w:right="12" w:firstLine="480"/>
        <w:rPr>
          <w:rFonts w:ascii="宋体" w:hAnsi="宋体" w:cs="宋体"/>
          <w:sz w:val="24"/>
        </w:rPr>
      </w:pPr>
      <w:r>
        <w:rPr>
          <w:rFonts w:hint="eastAsia" w:ascii="宋体" w:hAnsi="宋体" w:cs="宋体"/>
          <w:sz w:val="24"/>
        </w:rPr>
        <w:t>1.2供应商提出质疑应当提交质疑函和必要的证明材料，质疑函应当包括下列内容：</w:t>
      </w:r>
    </w:p>
    <w:p w14:paraId="45B1E7AB">
      <w:pPr>
        <w:spacing w:line="400" w:lineRule="exact"/>
        <w:ind w:right="12" w:firstLine="480"/>
        <w:rPr>
          <w:rFonts w:ascii="宋体" w:hAnsi="宋体" w:cs="宋体"/>
          <w:sz w:val="24"/>
        </w:rPr>
      </w:pPr>
      <w:r>
        <w:rPr>
          <w:rFonts w:hint="eastAsia" w:ascii="宋体" w:hAnsi="宋体" w:cs="宋体"/>
          <w:sz w:val="24"/>
        </w:rPr>
        <w:t>1.2.1供应商的姓名或者名称、地址、邮编、联系人及联系电话；</w:t>
      </w:r>
    </w:p>
    <w:p w14:paraId="51572C41">
      <w:pPr>
        <w:spacing w:line="400" w:lineRule="exact"/>
        <w:ind w:right="12" w:firstLine="480"/>
        <w:rPr>
          <w:rFonts w:ascii="宋体" w:hAnsi="宋体" w:cs="宋体"/>
          <w:sz w:val="24"/>
        </w:rPr>
      </w:pPr>
      <w:r>
        <w:rPr>
          <w:rFonts w:hint="eastAsia" w:ascii="宋体" w:hAnsi="宋体" w:cs="宋体"/>
          <w:sz w:val="24"/>
        </w:rPr>
        <w:t>1.2.2质疑项目的名称、项目号以及采购执行编号；</w:t>
      </w:r>
    </w:p>
    <w:p w14:paraId="6BF79474">
      <w:pPr>
        <w:spacing w:line="400" w:lineRule="exact"/>
        <w:ind w:right="12" w:firstLine="480"/>
        <w:rPr>
          <w:rFonts w:ascii="宋体" w:hAnsi="宋体" w:cs="宋体"/>
          <w:sz w:val="24"/>
        </w:rPr>
      </w:pPr>
      <w:r>
        <w:rPr>
          <w:rFonts w:hint="eastAsia" w:ascii="宋体" w:hAnsi="宋体" w:cs="宋体"/>
          <w:sz w:val="24"/>
        </w:rPr>
        <w:t>1.2.3具体、明确的质疑事项和与质疑事项相关的请求；</w:t>
      </w:r>
    </w:p>
    <w:p w14:paraId="07DE9AB2">
      <w:pPr>
        <w:spacing w:line="400" w:lineRule="exact"/>
        <w:ind w:right="12" w:firstLine="480"/>
        <w:rPr>
          <w:rFonts w:ascii="宋体" w:hAnsi="宋体" w:cs="宋体"/>
          <w:sz w:val="24"/>
        </w:rPr>
      </w:pPr>
      <w:r>
        <w:rPr>
          <w:rFonts w:hint="eastAsia" w:ascii="宋体" w:hAnsi="宋体" w:cs="宋体"/>
          <w:sz w:val="24"/>
        </w:rPr>
        <w:t>1.2.4事实依据；</w:t>
      </w:r>
    </w:p>
    <w:p w14:paraId="00CB4B49">
      <w:pPr>
        <w:spacing w:line="400" w:lineRule="exact"/>
        <w:ind w:right="12" w:firstLine="480"/>
        <w:rPr>
          <w:rFonts w:ascii="宋体" w:hAnsi="宋体" w:cs="宋体"/>
          <w:sz w:val="24"/>
        </w:rPr>
      </w:pPr>
      <w:r>
        <w:rPr>
          <w:rFonts w:hint="eastAsia" w:ascii="宋体" w:hAnsi="宋体" w:cs="宋体"/>
          <w:sz w:val="24"/>
        </w:rPr>
        <w:t>1.2.5必要的法律依据；</w:t>
      </w:r>
    </w:p>
    <w:p w14:paraId="607C6660">
      <w:pPr>
        <w:spacing w:line="400" w:lineRule="exact"/>
        <w:ind w:right="12" w:firstLine="480"/>
        <w:rPr>
          <w:rFonts w:ascii="宋体" w:hAnsi="宋体" w:cs="宋体"/>
          <w:sz w:val="24"/>
        </w:rPr>
      </w:pPr>
      <w:r>
        <w:rPr>
          <w:rFonts w:hint="eastAsia" w:ascii="宋体" w:hAnsi="宋体" w:cs="宋体"/>
          <w:sz w:val="24"/>
        </w:rPr>
        <w:t>1.2.6提出质疑的日期；</w:t>
      </w:r>
    </w:p>
    <w:p w14:paraId="64AC812A">
      <w:pPr>
        <w:spacing w:line="400" w:lineRule="exact"/>
        <w:ind w:right="12" w:firstLine="480"/>
        <w:rPr>
          <w:rFonts w:ascii="宋体" w:hAnsi="宋体" w:cs="宋体"/>
          <w:sz w:val="24"/>
        </w:rPr>
      </w:pPr>
      <w:r>
        <w:rPr>
          <w:rFonts w:hint="eastAsia" w:ascii="宋体" w:hAnsi="宋体" w:cs="宋体"/>
          <w:sz w:val="24"/>
        </w:rPr>
        <w:t>1.2.7营业执照（或事业单位法人证书，或个体工商户营业执照或有效的自然人身份证明）复印件；</w:t>
      </w:r>
    </w:p>
    <w:p w14:paraId="03B1F7AA">
      <w:pPr>
        <w:spacing w:line="400" w:lineRule="exact"/>
        <w:ind w:right="12" w:firstLine="480"/>
        <w:rPr>
          <w:rFonts w:ascii="宋体" w:hAnsi="宋体" w:cs="宋体"/>
          <w:sz w:val="24"/>
        </w:rPr>
      </w:pPr>
      <w:r>
        <w:rPr>
          <w:rFonts w:hint="eastAsia" w:ascii="宋体" w:hAnsi="宋体" w:cs="宋体"/>
          <w:sz w:val="24"/>
        </w:rPr>
        <w:t>1.2.8法定代表人授权委托书原件、法定代表人身份证复印件和其授权代表的身份证复印件（供应商为自然人的提供自然人身份证复印件）；</w:t>
      </w:r>
    </w:p>
    <w:p w14:paraId="2AE41198">
      <w:pPr>
        <w:spacing w:line="400" w:lineRule="exact"/>
        <w:ind w:right="12" w:firstLine="480"/>
        <w:rPr>
          <w:rFonts w:ascii="宋体" w:hAnsi="宋体" w:cs="宋体"/>
          <w:sz w:val="24"/>
        </w:rPr>
      </w:pPr>
      <w:r>
        <w:rPr>
          <w:rFonts w:hint="eastAsia" w:ascii="宋体" w:hAnsi="宋体" w:cs="宋体"/>
          <w:sz w:val="24"/>
        </w:rPr>
        <w:t>1.3供应商为自然人的，质疑函应当由本人签字；供应商为法人或者其他组织的，质疑函应当由法定代表人、主要负责人，或者其授权代表签字或者盖章，并加盖公章。</w:t>
      </w:r>
    </w:p>
    <w:p w14:paraId="4AF2C6AA">
      <w:pPr>
        <w:spacing w:line="400" w:lineRule="exact"/>
        <w:ind w:right="12" w:firstLine="480"/>
        <w:outlineLvl w:val="2"/>
        <w:rPr>
          <w:rFonts w:ascii="宋体" w:hAnsi="宋体" w:cs="宋体"/>
          <w:sz w:val="24"/>
        </w:rPr>
      </w:pPr>
      <w:bookmarkStart w:id="242" w:name="_Toc20110"/>
      <w:r>
        <w:rPr>
          <w:rFonts w:hint="eastAsia" w:ascii="宋体" w:hAnsi="宋体" w:cs="宋体"/>
          <w:sz w:val="24"/>
        </w:rPr>
        <w:t>2.质疑答复</w:t>
      </w:r>
      <w:bookmarkEnd w:id="242"/>
    </w:p>
    <w:p w14:paraId="1230FBAE">
      <w:pPr>
        <w:spacing w:line="400" w:lineRule="exact"/>
        <w:ind w:right="12" w:firstLine="480"/>
        <w:rPr>
          <w:rFonts w:ascii="宋体" w:hAnsi="宋体" w:cs="宋体"/>
          <w:sz w:val="24"/>
        </w:rPr>
      </w:pPr>
      <w:r>
        <w:rPr>
          <w:rFonts w:hint="eastAsia" w:ascii="宋体" w:hAnsi="宋体" w:cs="宋体"/>
          <w:sz w:val="24"/>
        </w:rPr>
        <w:t>采购人、采购代理机构应当在收到供应商的书面质疑后七个工作日内作出答复，并以书面形式通知质疑供应商和其他有关供应商。</w:t>
      </w:r>
    </w:p>
    <w:p w14:paraId="6AC47767">
      <w:pPr>
        <w:spacing w:line="400" w:lineRule="exact"/>
        <w:ind w:right="12" w:firstLine="480"/>
        <w:outlineLvl w:val="2"/>
        <w:rPr>
          <w:rFonts w:ascii="宋体" w:hAnsi="宋体" w:cs="宋体"/>
          <w:sz w:val="24"/>
        </w:rPr>
      </w:pPr>
      <w:bookmarkStart w:id="243" w:name="_Toc16825"/>
      <w:r>
        <w:rPr>
          <w:rFonts w:hint="eastAsia" w:ascii="宋体" w:hAnsi="宋体" w:cs="宋体"/>
          <w:sz w:val="24"/>
        </w:rPr>
        <w:t>3.其他</w:t>
      </w:r>
      <w:bookmarkEnd w:id="243"/>
    </w:p>
    <w:p w14:paraId="1042D86D">
      <w:pPr>
        <w:spacing w:line="400" w:lineRule="exact"/>
        <w:ind w:right="12" w:firstLine="480"/>
        <w:rPr>
          <w:rFonts w:ascii="宋体" w:hAnsi="宋体" w:cs="宋体"/>
          <w:sz w:val="24"/>
        </w:rPr>
      </w:pPr>
      <w:r>
        <w:rPr>
          <w:rFonts w:hint="eastAsia" w:ascii="宋体" w:hAnsi="宋体" w:cs="宋体"/>
          <w:sz w:val="24"/>
        </w:rPr>
        <w:t>3.1供应商应按照《政府采购质疑和投诉办法》（财政部令第94号）及相关法律法规要求，在法定质疑期内一次性提出针对同一采购程序环节的质疑。</w:t>
      </w:r>
    </w:p>
    <w:p w14:paraId="3F677043">
      <w:pPr>
        <w:spacing w:line="400" w:lineRule="exact"/>
        <w:ind w:right="12" w:firstLine="480"/>
        <w:rPr>
          <w:rFonts w:ascii="宋体" w:hAnsi="宋体" w:cs="宋体"/>
          <w:sz w:val="24"/>
        </w:rPr>
      </w:pPr>
      <w:r>
        <w:rPr>
          <w:rFonts w:hint="eastAsia" w:ascii="宋体" w:hAnsi="宋体" w:cs="宋体"/>
          <w:sz w:val="24"/>
        </w:rPr>
        <w:t>3.2质疑函范本可在财政部门户网站和中国政府采购网下载。</w:t>
      </w:r>
    </w:p>
    <w:p w14:paraId="08A4936C">
      <w:pPr>
        <w:spacing w:line="400" w:lineRule="exact"/>
        <w:ind w:right="12" w:firstLine="480"/>
        <w:outlineLvl w:val="2"/>
        <w:rPr>
          <w:rFonts w:ascii="宋体" w:hAnsi="宋体" w:cs="宋体"/>
          <w:sz w:val="24"/>
        </w:rPr>
      </w:pPr>
      <w:bookmarkStart w:id="244" w:name="_Toc15539"/>
      <w:r>
        <w:rPr>
          <w:rFonts w:hint="eastAsia" w:ascii="宋体" w:hAnsi="宋体" w:cs="宋体"/>
          <w:sz w:val="24"/>
        </w:rPr>
        <w:t>（二）投诉</w:t>
      </w:r>
      <w:bookmarkEnd w:id="244"/>
    </w:p>
    <w:p w14:paraId="5EC93791">
      <w:pPr>
        <w:spacing w:line="400" w:lineRule="exact"/>
        <w:ind w:right="12" w:firstLine="480"/>
        <w:rPr>
          <w:rFonts w:ascii="宋体" w:hAnsi="宋体" w:cs="宋体"/>
          <w:sz w:val="24"/>
        </w:rPr>
      </w:pPr>
      <w:r>
        <w:rPr>
          <w:rFonts w:hint="eastAsia" w:ascii="宋体" w:hAnsi="宋体" w:cs="宋体"/>
          <w:sz w:val="24"/>
        </w:rPr>
        <w:t>1.供应商对采购人、采购代理机构的答复不满意，或者采购人、采购代理机构未在规定时间内作出答复的，可以在答复期满后15个工作日内按照相关法律法规向采购人监督部门提起投诉。</w:t>
      </w:r>
    </w:p>
    <w:p w14:paraId="55D0F4A6">
      <w:pPr>
        <w:spacing w:line="400" w:lineRule="exact"/>
        <w:ind w:right="12" w:firstLine="480"/>
        <w:rPr>
          <w:rFonts w:ascii="宋体" w:hAnsi="宋体" w:cs="宋体"/>
          <w:sz w:val="24"/>
        </w:rPr>
      </w:pPr>
      <w:r>
        <w:rPr>
          <w:rFonts w:hint="eastAsia" w:ascii="宋体" w:hAnsi="宋体" w:cs="宋体"/>
          <w:sz w:val="24"/>
        </w:rPr>
        <w:t>2.供应商应按照《政府采购质疑和投诉办法》（财政部令第94号）及相关法律法规要求递交投诉书和必要的证明材料。投诉书范本可在财政部门户网站和中国政府采购网下载。</w:t>
      </w:r>
    </w:p>
    <w:p w14:paraId="26531DA2">
      <w:pPr>
        <w:spacing w:line="400" w:lineRule="exact"/>
        <w:ind w:right="12" w:firstLine="480"/>
        <w:rPr>
          <w:rFonts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A109646">
      <w:pPr>
        <w:spacing w:line="400" w:lineRule="exact"/>
        <w:ind w:firstLine="480" w:firstLineChars="200"/>
        <w:rPr>
          <w:rFonts w:ascii="宋体" w:hAnsi="宋体" w:cs="宋体"/>
          <w:sz w:val="24"/>
          <w:szCs w:val="24"/>
        </w:rPr>
      </w:pPr>
      <w:r>
        <w:rPr>
          <w:rFonts w:hint="eastAsia" w:ascii="宋体" w:hAnsi="宋体" w:cs="宋体"/>
          <w:sz w:val="24"/>
        </w:rPr>
        <w:t>4.在确定受理投诉后，采购人监督部门自受理投诉之日起30个工作日内（需要检验、检测、鉴定、专家评审以及需要投诉人补正材料的，所需时间不计算在投诉处理期限内）对投诉事项做出处理决定。</w:t>
      </w:r>
    </w:p>
    <w:p w14:paraId="45A2E0C3">
      <w:pPr>
        <w:pStyle w:val="4"/>
        <w:numPr>
          <w:ilvl w:val="1"/>
          <w:numId w:val="0"/>
        </w:numPr>
        <w:adjustRightInd w:val="0"/>
        <w:snapToGrid w:val="0"/>
        <w:spacing w:line="400" w:lineRule="exact"/>
        <w:rPr>
          <w:rFonts w:ascii="宋体" w:hAnsi="宋体" w:eastAsia="宋体" w:cs="宋体"/>
          <w:b/>
          <w:bCs w:val="0"/>
          <w:sz w:val="24"/>
        </w:rPr>
      </w:pPr>
      <w:bookmarkStart w:id="245" w:name="_Toc22511"/>
      <w:bookmarkStart w:id="246" w:name="_Toc18992"/>
      <w:bookmarkStart w:id="247" w:name="_Toc3206"/>
      <w:bookmarkStart w:id="248" w:name="_Toc106030899"/>
      <w:bookmarkStart w:id="249" w:name="_Toc5107"/>
      <w:bookmarkStart w:id="250" w:name="_Toc76462344"/>
      <w:bookmarkStart w:id="251" w:name="_Toc28162"/>
      <w:r>
        <w:rPr>
          <w:rFonts w:hint="eastAsia" w:ascii="宋体" w:hAnsi="宋体" w:eastAsia="宋体" w:cs="宋体"/>
          <w:b/>
          <w:bCs w:val="0"/>
          <w:sz w:val="24"/>
        </w:rPr>
        <w:t>七、采购代理服务费</w:t>
      </w:r>
      <w:bookmarkEnd w:id="245"/>
      <w:bookmarkEnd w:id="246"/>
      <w:bookmarkEnd w:id="247"/>
      <w:bookmarkEnd w:id="248"/>
      <w:bookmarkEnd w:id="249"/>
      <w:bookmarkEnd w:id="250"/>
      <w:bookmarkEnd w:id="251"/>
    </w:p>
    <w:p w14:paraId="2A285E5E">
      <w:pPr>
        <w:spacing w:line="400" w:lineRule="exact"/>
        <w:ind w:firstLine="360" w:firstLineChars="150"/>
        <w:rPr>
          <w:rFonts w:ascii="宋体" w:hAnsi="宋体" w:cs="宋体"/>
          <w:sz w:val="24"/>
          <w:szCs w:val="24"/>
        </w:rPr>
      </w:pPr>
      <w:bookmarkStart w:id="252" w:name="_Toc106030900"/>
      <w:bookmarkStart w:id="253" w:name="_Toc76462345"/>
      <w:r>
        <w:rPr>
          <w:rFonts w:hint="eastAsia" w:ascii="宋体" w:hAnsi="宋体" w:cs="宋体"/>
          <w:sz w:val="24"/>
        </w:rPr>
        <w:t>（一）</w:t>
      </w:r>
      <w:bookmarkStart w:id="254" w:name="OLE_LINK7"/>
      <w:r>
        <w:rPr>
          <w:rFonts w:hint="eastAsia" w:ascii="宋体" w:hAnsi="宋体" w:cs="宋体"/>
          <w:sz w:val="24"/>
        </w:rPr>
        <w:t>供应商成交后向采购代理机构缴纳采购代理服务费，采购代理服务费为人民币</w:t>
      </w:r>
      <w:r>
        <w:rPr>
          <w:rFonts w:hint="eastAsia" w:ascii="宋体" w:hAnsi="宋体" w:cs="宋体"/>
          <w:sz w:val="24"/>
          <w:lang w:eastAsia="zh-CN"/>
        </w:rPr>
        <w:t>叁仟</w:t>
      </w:r>
      <w:r>
        <w:rPr>
          <w:rFonts w:hint="eastAsia" w:ascii="宋体" w:hAnsi="宋体" w:cs="宋体"/>
          <w:sz w:val="24"/>
        </w:rPr>
        <w:t>元整。</w:t>
      </w:r>
    </w:p>
    <w:bookmarkEnd w:id="254"/>
    <w:p w14:paraId="48506F64">
      <w:pPr>
        <w:spacing w:line="400" w:lineRule="exact"/>
        <w:ind w:firstLine="360" w:firstLineChars="150"/>
        <w:rPr>
          <w:rFonts w:ascii="宋体" w:hAnsi="宋体" w:cs="宋体"/>
          <w:sz w:val="24"/>
          <w:szCs w:val="24"/>
        </w:rPr>
      </w:pPr>
      <w:r>
        <w:rPr>
          <w:rFonts w:hint="eastAsia" w:ascii="宋体" w:hAnsi="宋体" w:cs="宋体"/>
          <w:sz w:val="24"/>
          <w:szCs w:val="24"/>
        </w:rPr>
        <w:t>（二）采购代理服务费缴纳账号：</w:t>
      </w:r>
    </w:p>
    <w:p w14:paraId="01E5ABFC">
      <w:pPr>
        <w:spacing w:line="400" w:lineRule="exact"/>
        <w:ind w:firstLine="360" w:firstLineChars="150"/>
        <w:rPr>
          <w:rFonts w:ascii="宋体" w:hAnsi="宋体" w:cs="宋体"/>
          <w:sz w:val="24"/>
          <w:szCs w:val="24"/>
        </w:rPr>
      </w:pPr>
      <w:r>
        <w:rPr>
          <w:rFonts w:hint="eastAsia" w:ascii="宋体" w:hAnsi="宋体" w:cs="宋体"/>
          <w:sz w:val="24"/>
          <w:szCs w:val="24"/>
        </w:rPr>
        <w:t>户  名：重庆竣能工程咨询有限公司</w:t>
      </w:r>
    </w:p>
    <w:p w14:paraId="29F29EB3">
      <w:pPr>
        <w:spacing w:line="400" w:lineRule="exact"/>
        <w:ind w:firstLine="360" w:firstLineChars="150"/>
        <w:rPr>
          <w:rFonts w:ascii="宋体" w:hAnsi="宋体" w:cs="宋体"/>
          <w:sz w:val="24"/>
          <w:szCs w:val="24"/>
        </w:rPr>
      </w:pPr>
      <w:r>
        <w:rPr>
          <w:rFonts w:hint="eastAsia" w:ascii="宋体" w:hAnsi="宋体" w:cs="宋体"/>
          <w:sz w:val="24"/>
          <w:szCs w:val="24"/>
        </w:rPr>
        <w:t xml:space="preserve">开户行：中国民生银行股份有限公司重庆金州支行 </w:t>
      </w:r>
    </w:p>
    <w:p w14:paraId="654A65D4">
      <w:pPr>
        <w:spacing w:line="400" w:lineRule="exact"/>
        <w:ind w:firstLine="360" w:firstLineChars="150"/>
        <w:rPr>
          <w:rFonts w:ascii="宋体" w:hAnsi="宋体" w:cs="宋体"/>
          <w:sz w:val="24"/>
          <w:szCs w:val="24"/>
        </w:rPr>
      </w:pPr>
      <w:r>
        <w:rPr>
          <w:rFonts w:hint="eastAsia" w:ascii="宋体" w:hAnsi="宋体" w:cs="宋体"/>
          <w:sz w:val="24"/>
          <w:szCs w:val="24"/>
        </w:rPr>
        <w:t>账  号：172702504</w:t>
      </w:r>
    </w:p>
    <w:bookmarkEnd w:id="252"/>
    <w:bookmarkEnd w:id="253"/>
    <w:p w14:paraId="57929645">
      <w:pPr>
        <w:pStyle w:val="4"/>
        <w:numPr>
          <w:ilvl w:val="1"/>
          <w:numId w:val="0"/>
        </w:numPr>
        <w:adjustRightInd w:val="0"/>
        <w:snapToGrid w:val="0"/>
        <w:spacing w:line="400" w:lineRule="exact"/>
        <w:rPr>
          <w:rFonts w:ascii="宋体" w:hAnsi="宋体" w:eastAsia="宋体" w:cs="宋体"/>
          <w:b/>
          <w:bCs w:val="0"/>
          <w:sz w:val="24"/>
        </w:rPr>
      </w:pPr>
      <w:bookmarkStart w:id="255" w:name="_Toc102227322"/>
      <w:bookmarkStart w:id="256" w:name="_Toc9365"/>
      <w:bookmarkStart w:id="257" w:name="_Toc342913396"/>
      <w:bookmarkStart w:id="258" w:name="_Toc15904"/>
      <w:bookmarkStart w:id="259" w:name="_Toc106030901"/>
      <w:bookmarkStart w:id="260" w:name="_Toc24631"/>
      <w:bookmarkStart w:id="261" w:name="_Toc18091"/>
      <w:bookmarkStart w:id="262" w:name="_Toc20655"/>
      <w:bookmarkStart w:id="263" w:name="_Toc76462346"/>
      <w:bookmarkStart w:id="264" w:name="_Toc11641055"/>
      <w:bookmarkStart w:id="265" w:name="_Toc12789059"/>
      <w:r>
        <w:rPr>
          <w:rFonts w:hint="eastAsia" w:ascii="宋体" w:hAnsi="宋体" w:eastAsia="宋体" w:cs="宋体"/>
          <w:b/>
          <w:bCs w:val="0"/>
          <w:sz w:val="24"/>
        </w:rPr>
        <w:t>八、签订</w:t>
      </w:r>
      <w:bookmarkEnd w:id="255"/>
      <w:r>
        <w:rPr>
          <w:rFonts w:hint="eastAsia" w:ascii="宋体" w:hAnsi="宋体" w:eastAsia="宋体" w:cs="宋体"/>
          <w:b/>
          <w:bCs w:val="0"/>
          <w:sz w:val="24"/>
        </w:rPr>
        <w:t>合同</w:t>
      </w:r>
      <w:bookmarkEnd w:id="256"/>
      <w:bookmarkEnd w:id="257"/>
      <w:bookmarkEnd w:id="258"/>
      <w:bookmarkEnd w:id="259"/>
      <w:bookmarkEnd w:id="260"/>
      <w:bookmarkEnd w:id="261"/>
      <w:bookmarkEnd w:id="262"/>
      <w:bookmarkEnd w:id="263"/>
    </w:p>
    <w:p w14:paraId="71E4641F">
      <w:pPr>
        <w:spacing w:line="400" w:lineRule="exact"/>
        <w:ind w:firstLine="360" w:firstLineChars="150"/>
        <w:rPr>
          <w:rFonts w:ascii="宋体" w:hAnsi="宋体" w:cs="宋体"/>
          <w:sz w:val="24"/>
          <w:szCs w:val="24"/>
        </w:rPr>
      </w:pPr>
      <w:r>
        <w:rPr>
          <w:rFonts w:hint="eastAsia" w:ascii="宋体" w:hAnsi="宋体" w:cs="宋体"/>
          <w:sz w:val="24"/>
          <w:szCs w:val="24"/>
        </w:rPr>
        <w:t>（一）</w:t>
      </w:r>
      <w:r>
        <w:rPr>
          <w:rFonts w:hint="eastAsia" w:ascii="宋体" w:hAnsi="宋体" w:cs="宋体"/>
          <w:sz w:val="24"/>
        </w:rPr>
        <w:t>采购人原则上应在成交通知书发出之日起十日内和成交供应商签订采购合同，无正当理由不得拒绝或拖延合同签订</w:t>
      </w:r>
      <w:r>
        <w:rPr>
          <w:rFonts w:hint="eastAsia" w:ascii="宋体" w:hAnsi="宋体" w:cs="宋体"/>
          <w:sz w:val="24"/>
          <w:szCs w:val="24"/>
        </w:rPr>
        <w:t>。所签订的合同不得对竞争性磋商文件和供应商的响应文件作实质性修改。其他未尽事宜由采购人和成交供应商在采购合同中详细约定。</w:t>
      </w:r>
    </w:p>
    <w:p w14:paraId="2C6E62AD">
      <w:pPr>
        <w:spacing w:line="400" w:lineRule="exact"/>
        <w:ind w:firstLine="360" w:firstLineChars="150"/>
        <w:rPr>
          <w:rFonts w:ascii="宋体" w:hAnsi="宋体" w:cs="宋体"/>
          <w:sz w:val="24"/>
          <w:szCs w:val="24"/>
        </w:rPr>
      </w:pPr>
      <w:r>
        <w:rPr>
          <w:rFonts w:hint="eastAsia" w:ascii="宋体" w:hAnsi="宋体" w:cs="宋体"/>
          <w:sz w:val="24"/>
          <w:szCs w:val="24"/>
        </w:rPr>
        <w:t>（二）竞争性磋商文件、供应商的响应文件及澄清文件等，均为签订采购合同的依据。</w:t>
      </w:r>
    </w:p>
    <w:p w14:paraId="765E572C">
      <w:pPr>
        <w:spacing w:line="400" w:lineRule="exact"/>
        <w:ind w:firstLine="360" w:firstLineChars="150"/>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14:paraId="48089572">
      <w:pPr>
        <w:spacing w:line="400" w:lineRule="exact"/>
        <w:ind w:firstLine="360" w:firstLineChars="150"/>
        <w:rPr>
          <w:rFonts w:ascii="宋体" w:hAnsi="宋体" w:cs="宋体"/>
          <w:sz w:val="24"/>
          <w:szCs w:val="24"/>
        </w:rPr>
      </w:pPr>
      <w:r>
        <w:rPr>
          <w:rFonts w:hint="eastAsia" w:ascii="宋体" w:hAnsi="宋体" w:cs="宋体"/>
          <w:sz w:val="24"/>
          <w:szCs w:val="24"/>
        </w:rPr>
        <w:t>（四）合同原则上应按照《采购合同》签订，相关单位要求适用合同通用格式版本的，应按其要求另行签订其他合同。</w:t>
      </w:r>
    </w:p>
    <w:p w14:paraId="55B87A07">
      <w:pPr>
        <w:spacing w:line="400" w:lineRule="exact"/>
        <w:ind w:firstLine="360" w:firstLineChars="150"/>
        <w:rPr>
          <w:rFonts w:ascii="宋体" w:hAnsi="宋体" w:cs="宋体"/>
          <w:sz w:val="24"/>
          <w:szCs w:val="24"/>
        </w:rPr>
      </w:pPr>
      <w:r>
        <w:rPr>
          <w:rFonts w:hint="eastAsia" w:ascii="宋体" w:hAnsi="宋体" w:cs="宋体"/>
          <w:sz w:val="24"/>
          <w:szCs w:val="24"/>
        </w:rPr>
        <w:t>（五）采购人要求成交供应商提供履约保证金的，应当在竞争性磋商文件中予以约定。成交供应商履约完毕后，采购人根据采购文件规定无息退还其履约保证金。</w:t>
      </w:r>
    </w:p>
    <w:p w14:paraId="4318B79A">
      <w:pPr>
        <w:pStyle w:val="4"/>
        <w:numPr>
          <w:ilvl w:val="1"/>
          <w:numId w:val="0"/>
        </w:numPr>
        <w:spacing w:line="360" w:lineRule="auto"/>
        <w:jc w:val="center"/>
        <w:rPr>
          <w:rFonts w:ascii="宋体" w:hAnsi="宋体" w:eastAsia="宋体" w:cs="宋体"/>
          <w:sz w:val="36"/>
          <w:szCs w:val="30"/>
        </w:rPr>
      </w:pPr>
      <w:r>
        <w:rPr>
          <w:rFonts w:hint="eastAsia" w:ascii="宋体" w:hAnsi="宋体" w:eastAsia="宋体" w:cs="宋体"/>
          <w:sz w:val="36"/>
          <w:szCs w:val="30"/>
        </w:rPr>
        <w:br w:type="page"/>
      </w:r>
      <w:bookmarkStart w:id="266" w:name="_Toc21533"/>
      <w:bookmarkStart w:id="267" w:name="_Toc15809"/>
      <w:bookmarkStart w:id="268" w:name="_Toc76462348"/>
      <w:bookmarkStart w:id="269" w:name="_Toc106030904"/>
      <w:bookmarkStart w:id="270" w:name="_Toc7747"/>
      <w:bookmarkStart w:id="271" w:name="_Toc2102"/>
      <w:bookmarkStart w:id="272" w:name="_Toc13040"/>
      <w:r>
        <w:rPr>
          <w:rFonts w:hint="eastAsia" w:ascii="宋体" w:hAnsi="宋体" w:eastAsia="宋体" w:cs="宋体"/>
          <w:sz w:val="36"/>
          <w:szCs w:val="30"/>
        </w:rPr>
        <w:t xml:space="preserve">第六篇  </w:t>
      </w:r>
      <w:bookmarkEnd w:id="264"/>
      <w:bookmarkEnd w:id="265"/>
      <w:bookmarkEnd w:id="266"/>
      <w:bookmarkEnd w:id="267"/>
      <w:bookmarkEnd w:id="268"/>
      <w:bookmarkEnd w:id="269"/>
      <w:bookmarkEnd w:id="270"/>
      <w:bookmarkEnd w:id="271"/>
      <w:r>
        <w:rPr>
          <w:rFonts w:hint="eastAsia" w:ascii="宋体" w:hAnsi="宋体" w:eastAsia="宋体" w:cs="宋体"/>
          <w:sz w:val="36"/>
          <w:szCs w:val="30"/>
        </w:rPr>
        <w:t>采购合同</w:t>
      </w:r>
      <w:bookmarkEnd w:id="272"/>
    </w:p>
    <w:p w14:paraId="493CEA90">
      <w:pPr>
        <w:wordWrap w:val="0"/>
        <w:jc w:val="right"/>
        <w:rPr>
          <w:rFonts w:ascii="宋体" w:hAnsi="宋体" w:cs="宋体"/>
          <w:bCs/>
          <w:szCs w:val="28"/>
        </w:rPr>
      </w:pPr>
    </w:p>
    <w:p w14:paraId="60EF87EE">
      <w:pPr>
        <w:pStyle w:val="4"/>
        <w:numPr>
          <w:ilvl w:val="1"/>
          <w:numId w:val="0"/>
        </w:numPr>
        <w:adjustRightInd w:val="0"/>
        <w:snapToGrid w:val="0"/>
        <w:spacing w:line="400" w:lineRule="exact"/>
        <w:ind w:left="560" w:leftChars="200"/>
        <w:rPr>
          <w:rFonts w:ascii="方正仿宋_GBK" w:hAnsi="宋体" w:eastAsia="方正仿宋_GBK"/>
          <w:sz w:val="24"/>
        </w:rPr>
      </w:pPr>
      <w:bookmarkStart w:id="273" w:name="_Toc2644"/>
      <w:bookmarkStart w:id="274" w:name="_Toc285722712"/>
      <w:bookmarkStart w:id="275" w:name="_Toc129696492"/>
      <w:bookmarkStart w:id="276" w:name="_Toc27462"/>
      <w:bookmarkStart w:id="277" w:name="_Toc2123"/>
      <w:bookmarkStart w:id="278" w:name="_Toc75793537"/>
      <w:bookmarkStart w:id="279" w:name="_Toc16546"/>
      <w:bookmarkStart w:id="280" w:name="_Toc15196"/>
      <w:bookmarkStart w:id="281" w:name="_Toc6013"/>
      <w:bookmarkStart w:id="282" w:name="_Toc27008"/>
      <w:bookmarkStart w:id="283" w:name="_Toc4064"/>
      <w:bookmarkStart w:id="284" w:name="_Toc29567"/>
      <w:bookmarkStart w:id="285" w:name="_Toc19301"/>
      <w:bookmarkStart w:id="286" w:name="_Toc116915309"/>
      <w:bookmarkStart w:id="287" w:name="_Toc15259"/>
      <w:bookmarkStart w:id="288" w:name="_Toc23921"/>
      <w:bookmarkStart w:id="289" w:name="_Toc277084870"/>
      <w:bookmarkStart w:id="290" w:name="_Toc16344"/>
      <w:bookmarkStart w:id="291" w:name="_Toc163040896"/>
      <w:bookmarkStart w:id="292" w:name="_Toc22555"/>
      <w:r>
        <w:rPr>
          <w:rFonts w:hint="eastAsia" w:ascii="方正仿宋_GBK" w:hAnsi="宋体" w:eastAsia="方正仿宋_GBK"/>
          <w:sz w:val="24"/>
        </w:rPr>
        <w:t>一、合同主要条款</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42DF33AD">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1.定义</w:t>
      </w:r>
    </w:p>
    <w:p w14:paraId="3EC7A834">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1.1甲方（需方）即采购人，是指通过招标采购，接受合同货物及服务的各级国家机关、事业单位和团体组织。</w:t>
      </w:r>
    </w:p>
    <w:p w14:paraId="552812FD">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1.2乙方（供方）即中标人，是指中标后提供合同货物和服务的自然人、法人及其他组织。</w:t>
      </w:r>
    </w:p>
    <w:p w14:paraId="70B63F6E">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1.3合同是指由甲乙双方按照招标文件和响应文件的实质性内容，通过协商一致达成的书面协议。</w:t>
      </w:r>
    </w:p>
    <w:p w14:paraId="2F90EC4D">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1.4合同价格指以中标价格为依据，在供方全面履行合同义务后，需方（或财政部门）应支付给供方的金额。</w:t>
      </w:r>
    </w:p>
    <w:p w14:paraId="7A80CE37">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1.5技术资料是指合同货物及其相关的设计、制造、监造、检验、验收等文件（包括图纸、各种文字说明、标准）。</w:t>
      </w:r>
    </w:p>
    <w:p w14:paraId="4F2B260C">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2.货物内容</w:t>
      </w:r>
    </w:p>
    <w:p w14:paraId="32821675">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合同包括以下内容：货物名称、型号规格、技术参数、数量（单位）等内容。</w:t>
      </w:r>
    </w:p>
    <w:p w14:paraId="36BEFB93">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3.合同价格</w:t>
      </w:r>
    </w:p>
    <w:p w14:paraId="356C5AC3">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3.1合同价格即合同总价。</w:t>
      </w:r>
    </w:p>
    <w:p w14:paraId="15517268">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3.2合同价格包括合同货物、技术资料、合同货物的税费、运杂费、保险费、包装费、装卸费及与货物有关的供方应纳的税费，所有税费由乙方负担。</w:t>
      </w:r>
    </w:p>
    <w:p w14:paraId="2C187F9B">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3.3合同货物单价为不变价。</w:t>
      </w:r>
    </w:p>
    <w:p w14:paraId="11ABA750">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4.转包或分包</w:t>
      </w:r>
    </w:p>
    <w:p w14:paraId="65DD860D">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4.1本合同范围的货物，应由乙方直接供应，不得转让他人供应；</w:t>
      </w:r>
    </w:p>
    <w:p w14:paraId="43DB22C9">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4.2非经甲方书面同意，乙方不得将本合同范围的货物全部或部分分包给他人供应；</w:t>
      </w:r>
    </w:p>
    <w:p w14:paraId="1F86F832">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4.3如有转让和未经甲方同意的分包行为，甲方有权解除合同，没收履约保证金并追究乙方的违约责任。</w:t>
      </w:r>
    </w:p>
    <w:p w14:paraId="29F9367E">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5.质量保证及售后服务</w:t>
      </w:r>
    </w:p>
    <w:p w14:paraId="72D641D0">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5.1乙方应按招标文件规定的货物性能、技术要求、质量标准向甲方提供未经使用的全新产品。</w:t>
      </w:r>
    </w:p>
    <w:p w14:paraId="11FF3F9A">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5.2乙方提供的货物在质保期内因货物本身的质量问题发生故障，乙方应负责免费更换。对达不到技术要求者，根据实际情况，经双方协商，可按以下办法处理：</w:t>
      </w:r>
    </w:p>
    <w:p w14:paraId="488135C4">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5.2.1更换：由乙方承担所发生的全部费用。</w:t>
      </w:r>
    </w:p>
    <w:p w14:paraId="5F0F2CD1">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5.2.2贬值处理：由甲乙双方合议定价。</w:t>
      </w:r>
    </w:p>
    <w:p w14:paraId="307AF786">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5.2.3退货处理：乙方应退还甲方支付的合同款，同时应承担该货物的直接费用（运输、保险、检验、货款利息及银行手续费等）。</w:t>
      </w:r>
    </w:p>
    <w:p w14:paraId="0BDD14C3">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5.3如在使用过程中发生质量问题，乙方应按本项目“第三篇 项目商务要求”中的要求处理。</w:t>
      </w:r>
    </w:p>
    <w:p w14:paraId="26283621">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5.4在质保期内，乙方应对货物出现的质量及安全问题负责处理解决并承担一切费用。</w:t>
      </w:r>
    </w:p>
    <w:p w14:paraId="3A08A5A1">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5.5 如甲方要求乙方提供履约保证金的，履约保证金的收取和退还应按本项目“第三篇 项目商务要求”中的要求处理。</w:t>
      </w:r>
    </w:p>
    <w:p w14:paraId="4B00A693">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6.付款</w:t>
      </w:r>
    </w:p>
    <w:p w14:paraId="4F44044F">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6.1本合同使用货币币制如未作特别说明均为人民币。</w:t>
      </w:r>
    </w:p>
    <w:p w14:paraId="59669B37">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6.2付款方式：银行转账、现金支票。</w:t>
      </w:r>
    </w:p>
    <w:p w14:paraId="4D1E29DD">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6.3付款方法：同本项目“第三篇 商务条款”中关于付款方式的约定。</w:t>
      </w:r>
    </w:p>
    <w:p w14:paraId="29C1E986">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7.检查验收</w:t>
      </w:r>
    </w:p>
    <w:p w14:paraId="2A034B44">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7.1供方应随货物提供合格证和质量证明文件，如是国外进口的货物还须提供入关证明。</w:t>
      </w:r>
    </w:p>
    <w:p w14:paraId="515CD2F3">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7.2货物验收</w:t>
      </w:r>
    </w:p>
    <w:p w14:paraId="4F226C54">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供方所交货物的各种质量指标不得低于供方提供样品的质量指标（无样品时按供方的投标时提供的“技术文件”执行），售后服务质量要求按照招标文件和响应文件的内容执行。供方交货时，需方可根据需要随机抽取一部分货物送有关权威检测部门检测，如检测不合格，供方负责赔偿需方一切损失。</w:t>
      </w:r>
    </w:p>
    <w:p w14:paraId="4C69A952">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7.3货物验收报告应由需方、供方经办人签字，并加盖双方公章，以此作为支付凭据。</w:t>
      </w:r>
    </w:p>
    <w:p w14:paraId="1BA9898D">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8.索赔</w:t>
      </w:r>
    </w:p>
    <w:p w14:paraId="738F0CEC">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供方对货物与合同要求不符负有责任，并且需方已于规定交货内和质量保证期内提出索赔，供方应按需方同意的下述一种或多种方法解决索赔事宜。</w:t>
      </w:r>
    </w:p>
    <w:p w14:paraId="754AC9A0">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528A73E0">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8.2根据货物的疵劣和受损程度以及需方遭受损失的金额，经双方同意降低货物价格。</w:t>
      </w:r>
    </w:p>
    <w:p w14:paraId="50EE1220">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9.知识产权</w:t>
      </w:r>
    </w:p>
    <w:p w14:paraId="78B14065">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甲方在中华人民共和国境内使用乙方提供的货物及服务时免受第三方提出的侵犯其专利权或其它知识产权的起诉。如果第三方提出侵权指控，乙方应承担由此而引起的一切法律责任和费用。</w:t>
      </w:r>
    </w:p>
    <w:p w14:paraId="157800E7">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10.合同争议的解决</w:t>
      </w:r>
    </w:p>
    <w:p w14:paraId="0FC582C6">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10.1当事人友好协商达成一致</w:t>
      </w:r>
    </w:p>
    <w:p w14:paraId="43241C7C">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10.2在60天内当事人协商不能达成协议的，可提请采购人当地仲裁机构仲裁。</w:t>
      </w:r>
    </w:p>
    <w:p w14:paraId="6E65E910">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11.违约责任</w:t>
      </w:r>
    </w:p>
    <w:p w14:paraId="6C3100D9">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按《中华人民共和国民法典》、《中华人民共和国政府采购法》有关条款，或由供需双方约定。</w:t>
      </w:r>
    </w:p>
    <w:p w14:paraId="009FEB8E">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12.合同生效及其它</w:t>
      </w:r>
    </w:p>
    <w:p w14:paraId="19D8F3F0">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12.1合同生效及其效力应符合《中华人民共和国民法典》有关规定。</w:t>
      </w:r>
    </w:p>
    <w:p w14:paraId="6CC0B3C2">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12.2合同应经当事人法定代表人或委托代理人签字，加盖双方合同专用章或公章。</w:t>
      </w:r>
    </w:p>
    <w:p w14:paraId="520906C7">
      <w:pPr>
        <w:snapToGrid w:val="0"/>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12.3合同所包括附件，是合同不可分割的一部分，具有同等法法律效力。</w:t>
      </w:r>
      <w:bookmarkStart w:id="293" w:name="_Toc129696493"/>
      <w:bookmarkStart w:id="294" w:name="_Toc116982717"/>
    </w:p>
    <w:p w14:paraId="39AD0090">
      <w:pPr>
        <w:snapToGrid w:val="0"/>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12.4本合同条件未尽事宜依照《中华人民共和国民法典》，由供需双方共同协商确定。</w:t>
      </w:r>
      <w:bookmarkEnd w:id="293"/>
      <w:bookmarkEnd w:id="294"/>
    </w:p>
    <w:p w14:paraId="1CB32634">
      <w:pPr>
        <w:spacing w:line="400" w:lineRule="exact"/>
        <w:ind w:firstLine="480" w:firstLineChars="200"/>
        <w:rPr>
          <w:rFonts w:ascii="方正仿宋_GBK" w:hAnsi="方正仿宋_GBK" w:eastAsia="方正仿宋_GBK"/>
          <w:sz w:val="24"/>
        </w:rPr>
        <w:sectPr>
          <w:pgSz w:w="11907" w:h="16840"/>
          <w:pgMar w:top="1134" w:right="1191" w:bottom="1134" w:left="1304" w:header="964" w:footer="992" w:gutter="0"/>
          <w:pgNumType w:fmt="numberInDash"/>
          <w:cols w:space="720" w:num="1"/>
          <w:docGrid w:linePitch="312" w:charSpace="0"/>
        </w:sectPr>
      </w:pPr>
    </w:p>
    <w:p w14:paraId="4335CD2E">
      <w:pPr>
        <w:pStyle w:val="4"/>
        <w:numPr>
          <w:ilvl w:val="1"/>
          <w:numId w:val="0"/>
        </w:numPr>
        <w:adjustRightInd w:val="0"/>
        <w:snapToGrid w:val="0"/>
        <w:spacing w:line="400" w:lineRule="exact"/>
        <w:rPr>
          <w:rFonts w:ascii="方正仿宋_GBK" w:hAnsi="宋体" w:eastAsia="方正仿宋_GBK"/>
          <w:sz w:val="24"/>
        </w:rPr>
      </w:pPr>
    </w:p>
    <w:p w14:paraId="00B29A1E">
      <w:pPr>
        <w:spacing w:line="500" w:lineRule="exact"/>
        <w:jc w:val="center"/>
        <w:outlineLvl w:val="1"/>
        <w:rPr>
          <w:rFonts w:ascii="宋体"/>
          <w:b/>
          <w:sz w:val="44"/>
        </w:rPr>
      </w:pPr>
      <w:r>
        <w:rPr>
          <w:rFonts w:hint="eastAsia" w:ascii="方正仿宋_GBK" w:eastAsia="方正仿宋_GBK"/>
          <w:b/>
          <w:sz w:val="44"/>
        </w:rPr>
        <w:t>采购合同(仅供参考)</w:t>
      </w:r>
    </w:p>
    <w:p w14:paraId="2118CA37">
      <w:pPr>
        <w:spacing w:line="500" w:lineRule="exact"/>
        <w:jc w:val="center"/>
        <w:outlineLvl w:val="1"/>
        <w:rPr>
          <w:rFonts w:ascii="方正仿宋_GBK" w:eastAsia="方正仿宋_GBK"/>
        </w:rPr>
      </w:pPr>
      <w:r>
        <w:rPr>
          <w:rFonts w:hint="eastAsia" w:ascii="方正仿宋_GBK" w:eastAsia="方正仿宋_GBK"/>
        </w:rPr>
        <w:t>（项目号：     ）</w:t>
      </w:r>
    </w:p>
    <w:p w14:paraId="67DFB73C">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746091BD">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3F76E015">
      <w:pPr>
        <w:spacing w:line="500" w:lineRule="exact"/>
        <w:rPr>
          <w:rFonts w:ascii="方正仿宋_GBK" w:eastAsia="方正仿宋_GBK"/>
          <w:sz w:val="24"/>
        </w:rPr>
      </w:pPr>
    </w:p>
    <w:p w14:paraId="334E9442">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0B19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0BDD1726">
            <w:pPr>
              <w:spacing w:line="240" w:lineRule="atLeast"/>
              <w:jc w:val="center"/>
              <w:rPr>
                <w:rFonts w:ascii="方正仿宋_GBK" w:eastAsia="方正仿宋_GBK"/>
                <w:sz w:val="21"/>
                <w:szCs w:val="21"/>
              </w:rPr>
            </w:pPr>
            <w:r>
              <w:rPr>
                <w:rFonts w:hint="eastAsia" w:ascii="方正仿宋_GBK" w:eastAsia="方正仿宋_GBK"/>
                <w:sz w:val="21"/>
                <w:szCs w:val="21"/>
              </w:rPr>
              <w:t>商品名称</w:t>
            </w:r>
          </w:p>
        </w:tc>
        <w:tc>
          <w:tcPr>
            <w:tcW w:w="1741" w:type="dxa"/>
            <w:vAlign w:val="center"/>
          </w:tcPr>
          <w:p w14:paraId="610F75CD">
            <w:pPr>
              <w:spacing w:line="240" w:lineRule="atLeast"/>
              <w:jc w:val="center"/>
              <w:rPr>
                <w:rFonts w:ascii="方正仿宋_GBK" w:eastAsia="方正仿宋_GBK"/>
                <w:sz w:val="21"/>
                <w:szCs w:val="21"/>
              </w:rPr>
            </w:pPr>
            <w:r>
              <w:rPr>
                <w:rFonts w:hint="eastAsia" w:ascii="方正仿宋_GBK" w:eastAsia="方正仿宋_GBK"/>
                <w:sz w:val="21"/>
                <w:szCs w:val="21"/>
              </w:rPr>
              <w:t>规格型号</w:t>
            </w:r>
          </w:p>
        </w:tc>
        <w:tc>
          <w:tcPr>
            <w:tcW w:w="984" w:type="dxa"/>
            <w:vAlign w:val="center"/>
          </w:tcPr>
          <w:p w14:paraId="0A279BB2">
            <w:pPr>
              <w:spacing w:line="240" w:lineRule="atLeast"/>
              <w:jc w:val="center"/>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44A7B812">
            <w:pPr>
              <w:spacing w:line="240" w:lineRule="atLeast"/>
              <w:jc w:val="center"/>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3976D525">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19F55184">
            <w:pPr>
              <w:spacing w:line="240" w:lineRule="atLeast"/>
              <w:jc w:val="center"/>
              <w:rPr>
                <w:rFonts w:ascii="方正仿宋_GBK" w:eastAsia="方正仿宋_GBK"/>
                <w:sz w:val="21"/>
                <w:szCs w:val="21"/>
              </w:rPr>
            </w:pPr>
            <w:r>
              <w:rPr>
                <w:rFonts w:hint="eastAsia" w:ascii="方正仿宋_GBK" w:eastAsia="方正仿宋_GBK"/>
                <w:sz w:val="21"/>
                <w:szCs w:val="21"/>
              </w:rPr>
              <w:t>交货时间</w:t>
            </w:r>
          </w:p>
        </w:tc>
        <w:tc>
          <w:tcPr>
            <w:tcW w:w="1567" w:type="dxa"/>
            <w:vAlign w:val="center"/>
          </w:tcPr>
          <w:p w14:paraId="0BC39EB7">
            <w:pPr>
              <w:spacing w:line="240" w:lineRule="atLeast"/>
              <w:jc w:val="center"/>
              <w:rPr>
                <w:rFonts w:ascii="方正仿宋_GBK" w:eastAsia="方正仿宋_GBK"/>
                <w:sz w:val="21"/>
                <w:szCs w:val="21"/>
              </w:rPr>
            </w:pPr>
            <w:r>
              <w:rPr>
                <w:rFonts w:hint="eastAsia" w:ascii="方正仿宋_GBK" w:eastAsia="方正仿宋_GBK"/>
                <w:sz w:val="21"/>
                <w:szCs w:val="21"/>
              </w:rPr>
              <w:t>交货地点</w:t>
            </w:r>
          </w:p>
        </w:tc>
      </w:tr>
      <w:tr w14:paraId="7FEF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1144597">
            <w:pPr>
              <w:spacing w:line="240" w:lineRule="atLeast"/>
              <w:jc w:val="center"/>
              <w:rPr>
                <w:rFonts w:ascii="方正仿宋_GBK" w:eastAsia="方正仿宋_GBK"/>
                <w:sz w:val="21"/>
                <w:szCs w:val="21"/>
              </w:rPr>
            </w:pPr>
          </w:p>
        </w:tc>
        <w:tc>
          <w:tcPr>
            <w:tcW w:w="1741" w:type="dxa"/>
            <w:vAlign w:val="center"/>
          </w:tcPr>
          <w:p w14:paraId="48C2A6BC">
            <w:pPr>
              <w:spacing w:line="240" w:lineRule="atLeast"/>
              <w:jc w:val="center"/>
              <w:rPr>
                <w:rFonts w:ascii="方正仿宋_GBK" w:eastAsia="方正仿宋_GBK"/>
                <w:sz w:val="21"/>
                <w:szCs w:val="21"/>
              </w:rPr>
            </w:pPr>
          </w:p>
        </w:tc>
        <w:tc>
          <w:tcPr>
            <w:tcW w:w="984" w:type="dxa"/>
            <w:vAlign w:val="center"/>
          </w:tcPr>
          <w:p w14:paraId="1E89E1DF">
            <w:pPr>
              <w:spacing w:line="240" w:lineRule="atLeast"/>
              <w:jc w:val="center"/>
              <w:rPr>
                <w:rFonts w:ascii="方正仿宋_GBK" w:eastAsia="方正仿宋_GBK"/>
                <w:sz w:val="21"/>
                <w:szCs w:val="21"/>
              </w:rPr>
            </w:pPr>
          </w:p>
        </w:tc>
        <w:tc>
          <w:tcPr>
            <w:tcW w:w="1298" w:type="dxa"/>
            <w:gridSpan w:val="2"/>
            <w:vAlign w:val="center"/>
          </w:tcPr>
          <w:p w14:paraId="72C6F966">
            <w:pPr>
              <w:spacing w:line="240" w:lineRule="atLeast"/>
              <w:jc w:val="center"/>
              <w:rPr>
                <w:rFonts w:ascii="方正仿宋_GBK" w:eastAsia="方正仿宋_GBK"/>
                <w:sz w:val="21"/>
                <w:szCs w:val="21"/>
              </w:rPr>
            </w:pPr>
          </w:p>
        </w:tc>
        <w:tc>
          <w:tcPr>
            <w:tcW w:w="1134" w:type="dxa"/>
            <w:vAlign w:val="center"/>
          </w:tcPr>
          <w:p w14:paraId="198B2D95">
            <w:pPr>
              <w:spacing w:line="240" w:lineRule="atLeast"/>
              <w:jc w:val="center"/>
              <w:rPr>
                <w:rFonts w:ascii="方正仿宋_GBK" w:eastAsia="方正仿宋_GBK"/>
                <w:sz w:val="21"/>
                <w:szCs w:val="21"/>
              </w:rPr>
            </w:pPr>
          </w:p>
        </w:tc>
        <w:tc>
          <w:tcPr>
            <w:tcW w:w="1559" w:type="dxa"/>
            <w:vAlign w:val="center"/>
          </w:tcPr>
          <w:p w14:paraId="639F4043">
            <w:pPr>
              <w:spacing w:line="240" w:lineRule="atLeast"/>
              <w:jc w:val="center"/>
              <w:rPr>
                <w:rFonts w:ascii="方正仿宋_GBK" w:eastAsia="方正仿宋_GBK"/>
                <w:sz w:val="21"/>
                <w:szCs w:val="21"/>
              </w:rPr>
            </w:pPr>
          </w:p>
        </w:tc>
        <w:tc>
          <w:tcPr>
            <w:tcW w:w="1567" w:type="dxa"/>
            <w:vAlign w:val="center"/>
          </w:tcPr>
          <w:p w14:paraId="1EEAC0C7">
            <w:pPr>
              <w:spacing w:line="240" w:lineRule="atLeast"/>
              <w:jc w:val="center"/>
              <w:rPr>
                <w:rFonts w:ascii="方正仿宋_GBK" w:eastAsia="方正仿宋_GBK"/>
                <w:sz w:val="21"/>
                <w:szCs w:val="21"/>
              </w:rPr>
            </w:pPr>
          </w:p>
        </w:tc>
      </w:tr>
      <w:tr w14:paraId="58EE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CD5F88A">
            <w:pPr>
              <w:spacing w:line="240" w:lineRule="atLeast"/>
              <w:jc w:val="center"/>
              <w:rPr>
                <w:rFonts w:ascii="方正仿宋_GBK" w:eastAsia="方正仿宋_GBK"/>
                <w:sz w:val="21"/>
                <w:szCs w:val="21"/>
              </w:rPr>
            </w:pPr>
          </w:p>
        </w:tc>
        <w:tc>
          <w:tcPr>
            <w:tcW w:w="1741" w:type="dxa"/>
            <w:vAlign w:val="center"/>
          </w:tcPr>
          <w:p w14:paraId="4B713DF3">
            <w:pPr>
              <w:spacing w:line="240" w:lineRule="atLeast"/>
              <w:jc w:val="center"/>
              <w:rPr>
                <w:rFonts w:ascii="方正仿宋_GBK" w:eastAsia="方正仿宋_GBK"/>
                <w:sz w:val="21"/>
                <w:szCs w:val="21"/>
              </w:rPr>
            </w:pPr>
          </w:p>
        </w:tc>
        <w:tc>
          <w:tcPr>
            <w:tcW w:w="984" w:type="dxa"/>
            <w:vAlign w:val="center"/>
          </w:tcPr>
          <w:p w14:paraId="2E274717">
            <w:pPr>
              <w:spacing w:line="240" w:lineRule="atLeast"/>
              <w:jc w:val="center"/>
              <w:rPr>
                <w:rFonts w:ascii="方正仿宋_GBK" w:eastAsia="方正仿宋_GBK"/>
                <w:sz w:val="21"/>
                <w:szCs w:val="21"/>
              </w:rPr>
            </w:pPr>
          </w:p>
        </w:tc>
        <w:tc>
          <w:tcPr>
            <w:tcW w:w="1298" w:type="dxa"/>
            <w:gridSpan w:val="2"/>
            <w:vAlign w:val="center"/>
          </w:tcPr>
          <w:p w14:paraId="4A232FE7">
            <w:pPr>
              <w:spacing w:line="240" w:lineRule="atLeast"/>
              <w:jc w:val="center"/>
              <w:rPr>
                <w:rFonts w:ascii="方正仿宋_GBK" w:eastAsia="方正仿宋_GBK"/>
                <w:sz w:val="21"/>
                <w:szCs w:val="21"/>
              </w:rPr>
            </w:pPr>
          </w:p>
        </w:tc>
        <w:tc>
          <w:tcPr>
            <w:tcW w:w="1134" w:type="dxa"/>
            <w:vAlign w:val="center"/>
          </w:tcPr>
          <w:p w14:paraId="41FAE72B">
            <w:pPr>
              <w:spacing w:line="240" w:lineRule="atLeast"/>
              <w:jc w:val="center"/>
              <w:rPr>
                <w:rFonts w:ascii="方正仿宋_GBK" w:eastAsia="方正仿宋_GBK"/>
                <w:sz w:val="21"/>
                <w:szCs w:val="21"/>
              </w:rPr>
            </w:pPr>
          </w:p>
        </w:tc>
        <w:tc>
          <w:tcPr>
            <w:tcW w:w="1559" w:type="dxa"/>
            <w:vAlign w:val="center"/>
          </w:tcPr>
          <w:p w14:paraId="335D6994">
            <w:pPr>
              <w:spacing w:line="240" w:lineRule="atLeast"/>
              <w:jc w:val="center"/>
              <w:rPr>
                <w:rFonts w:ascii="方正仿宋_GBK" w:eastAsia="方正仿宋_GBK"/>
                <w:sz w:val="21"/>
                <w:szCs w:val="21"/>
              </w:rPr>
            </w:pPr>
          </w:p>
        </w:tc>
        <w:tc>
          <w:tcPr>
            <w:tcW w:w="1567" w:type="dxa"/>
            <w:vAlign w:val="center"/>
          </w:tcPr>
          <w:p w14:paraId="24285259">
            <w:pPr>
              <w:spacing w:line="240" w:lineRule="atLeast"/>
              <w:jc w:val="center"/>
              <w:rPr>
                <w:rFonts w:ascii="方正仿宋_GBK" w:eastAsia="方正仿宋_GBK"/>
                <w:sz w:val="21"/>
                <w:szCs w:val="21"/>
              </w:rPr>
            </w:pPr>
          </w:p>
        </w:tc>
      </w:tr>
      <w:tr w14:paraId="69C5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417A5FD">
            <w:pPr>
              <w:spacing w:line="240" w:lineRule="atLeast"/>
              <w:jc w:val="center"/>
              <w:rPr>
                <w:rFonts w:ascii="方正仿宋_GBK" w:eastAsia="方正仿宋_GBK"/>
                <w:sz w:val="21"/>
                <w:szCs w:val="21"/>
              </w:rPr>
            </w:pPr>
          </w:p>
        </w:tc>
        <w:tc>
          <w:tcPr>
            <w:tcW w:w="1741" w:type="dxa"/>
            <w:vAlign w:val="center"/>
          </w:tcPr>
          <w:p w14:paraId="2A102BB4">
            <w:pPr>
              <w:spacing w:line="240" w:lineRule="atLeast"/>
              <w:jc w:val="center"/>
              <w:rPr>
                <w:rFonts w:ascii="方正仿宋_GBK" w:eastAsia="方正仿宋_GBK"/>
                <w:sz w:val="21"/>
                <w:szCs w:val="21"/>
              </w:rPr>
            </w:pPr>
          </w:p>
        </w:tc>
        <w:tc>
          <w:tcPr>
            <w:tcW w:w="984" w:type="dxa"/>
            <w:vAlign w:val="center"/>
          </w:tcPr>
          <w:p w14:paraId="49253A9E">
            <w:pPr>
              <w:spacing w:line="240" w:lineRule="atLeast"/>
              <w:jc w:val="center"/>
              <w:rPr>
                <w:rFonts w:ascii="方正仿宋_GBK" w:eastAsia="方正仿宋_GBK"/>
                <w:sz w:val="21"/>
                <w:szCs w:val="21"/>
              </w:rPr>
            </w:pPr>
          </w:p>
        </w:tc>
        <w:tc>
          <w:tcPr>
            <w:tcW w:w="1298" w:type="dxa"/>
            <w:gridSpan w:val="2"/>
            <w:vAlign w:val="center"/>
          </w:tcPr>
          <w:p w14:paraId="23475518">
            <w:pPr>
              <w:spacing w:line="240" w:lineRule="atLeast"/>
              <w:jc w:val="center"/>
              <w:rPr>
                <w:rFonts w:ascii="方正仿宋_GBK" w:eastAsia="方正仿宋_GBK"/>
                <w:sz w:val="21"/>
                <w:szCs w:val="21"/>
              </w:rPr>
            </w:pPr>
          </w:p>
        </w:tc>
        <w:tc>
          <w:tcPr>
            <w:tcW w:w="1134" w:type="dxa"/>
            <w:vAlign w:val="center"/>
          </w:tcPr>
          <w:p w14:paraId="4B91969E">
            <w:pPr>
              <w:spacing w:line="240" w:lineRule="atLeast"/>
              <w:jc w:val="center"/>
              <w:rPr>
                <w:rFonts w:ascii="方正仿宋_GBK" w:eastAsia="方正仿宋_GBK"/>
                <w:sz w:val="21"/>
                <w:szCs w:val="21"/>
              </w:rPr>
            </w:pPr>
          </w:p>
        </w:tc>
        <w:tc>
          <w:tcPr>
            <w:tcW w:w="1559" w:type="dxa"/>
            <w:vAlign w:val="center"/>
          </w:tcPr>
          <w:p w14:paraId="4B9C0499">
            <w:pPr>
              <w:spacing w:line="240" w:lineRule="atLeast"/>
              <w:jc w:val="center"/>
              <w:rPr>
                <w:rFonts w:ascii="方正仿宋_GBK" w:eastAsia="方正仿宋_GBK"/>
                <w:sz w:val="21"/>
                <w:szCs w:val="21"/>
              </w:rPr>
            </w:pPr>
          </w:p>
        </w:tc>
        <w:tc>
          <w:tcPr>
            <w:tcW w:w="1567" w:type="dxa"/>
            <w:vAlign w:val="center"/>
          </w:tcPr>
          <w:p w14:paraId="1276F2E4">
            <w:pPr>
              <w:spacing w:line="240" w:lineRule="atLeast"/>
              <w:jc w:val="center"/>
              <w:rPr>
                <w:rFonts w:ascii="方正仿宋_GBK" w:eastAsia="方正仿宋_GBK"/>
                <w:sz w:val="21"/>
                <w:szCs w:val="21"/>
              </w:rPr>
            </w:pPr>
          </w:p>
        </w:tc>
      </w:tr>
      <w:tr w14:paraId="2E5C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49AC5B2">
            <w:pPr>
              <w:spacing w:line="240" w:lineRule="atLeast"/>
              <w:jc w:val="center"/>
              <w:rPr>
                <w:rFonts w:ascii="方正仿宋_GBK" w:eastAsia="方正仿宋_GBK"/>
                <w:sz w:val="21"/>
                <w:szCs w:val="21"/>
              </w:rPr>
            </w:pPr>
          </w:p>
        </w:tc>
        <w:tc>
          <w:tcPr>
            <w:tcW w:w="1741" w:type="dxa"/>
            <w:vAlign w:val="center"/>
          </w:tcPr>
          <w:p w14:paraId="3D2A1211">
            <w:pPr>
              <w:spacing w:line="240" w:lineRule="atLeast"/>
              <w:jc w:val="center"/>
              <w:rPr>
                <w:rFonts w:ascii="方正仿宋_GBK" w:eastAsia="方正仿宋_GBK"/>
                <w:sz w:val="21"/>
                <w:szCs w:val="21"/>
              </w:rPr>
            </w:pPr>
          </w:p>
        </w:tc>
        <w:tc>
          <w:tcPr>
            <w:tcW w:w="984" w:type="dxa"/>
            <w:vAlign w:val="center"/>
          </w:tcPr>
          <w:p w14:paraId="0DDEDCA1">
            <w:pPr>
              <w:spacing w:line="240" w:lineRule="atLeast"/>
              <w:jc w:val="center"/>
              <w:rPr>
                <w:rFonts w:ascii="方正仿宋_GBK" w:eastAsia="方正仿宋_GBK"/>
                <w:sz w:val="21"/>
                <w:szCs w:val="21"/>
              </w:rPr>
            </w:pPr>
          </w:p>
        </w:tc>
        <w:tc>
          <w:tcPr>
            <w:tcW w:w="1298" w:type="dxa"/>
            <w:gridSpan w:val="2"/>
            <w:vAlign w:val="center"/>
          </w:tcPr>
          <w:p w14:paraId="78FBBF45">
            <w:pPr>
              <w:spacing w:line="240" w:lineRule="atLeast"/>
              <w:jc w:val="center"/>
              <w:rPr>
                <w:rFonts w:ascii="方正仿宋_GBK" w:eastAsia="方正仿宋_GBK"/>
                <w:sz w:val="21"/>
                <w:szCs w:val="21"/>
              </w:rPr>
            </w:pPr>
          </w:p>
        </w:tc>
        <w:tc>
          <w:tcPr>
            <w:tcW w:w="1134" w:type="dxa"/>
            <w:vAlign w:val="center"/>
          </w:tcPr>
          <w:p w14:paraId="661F42D1">
            <w:pPr>
              <w:spacing w:line="240" w:lineRule="atLeast"/>
              <w:jc w:val="center"/>
              <w:rPr>
                <w:rFonts w:ascii="方正仿宋_GBK" w:eastAsia="方正仿宋_GBK"/>
                <w:sz w:val="21"/>
                <w:szCs w:val="21"/>
              </w:rPr>
            </w:pPr>
          </w:p>
        </w:tc>
        <w:tc>
          <w:tcPr>
            <w:tcW w:w="1559" w:type="dxa"/>
            <w:vAlign w:val="center"/>
          </w:tcPr>
          <w:p w14:paraId="7C310C61">
            <w:pPr>
              <w:spacing w:line="240" w:lineRule="atLeast"/>
              <w:jc w:val="center"/>
              <w:rPr>
                <w:rFonts w:ascii="方正仿宋_GBK" w:eastAsia="方正仿宋_GBK"/>
                <w:sz w:val="21"/>
                <w:szCs w:val="21"/>
              </w:rPr>
            </w:pPr>
          </w:p>
        </w:tc>
        <w:tc>
          <w:tcPr>
            <w:tcW w:w="1567" w:type="dxa"/>
            <w:vAlign w:val="center"/>
          </w:tcPr>
          <w:p w14:paraId="3F2CAE43">
            <w:pPr>
              <w:spacing w:line="240" w:lineRule="atLeast"/>
              <w:jc w:val="center"/>
              <w:rPr>
                <w:rFonts w:ascii="方正仿宋_GBK" w:eastAsia="方正仿宋_GBK"/>
                <w:sz w:val="21"/>
                <w:szCs w:val="21"/>
              </w:rPr>
            </w:pPr>
          </w:p>
        </w:tc>
      </w:tr>
      <w:tr w14:paraId="4356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347DE00">
            <w:pPr>
              <w:spacing w:line="240" w:lineRule="atLeast"/>
              <w:jc w:val="center"/>
              <w:rPr>
                <w:rFonts w:ascii="方正仿宋_GBK" w:eastAsia="方正仿宋_GBK"/>
                <w:sz w:val="21"/>
                <w:szCs w:val="21"/>
              </w:rPr>
            </w:pPr>
          </w:p>
        </w:tc>
        <w:tc>
          <w:tcPr>
            <w:tcW w:w="1741" w:type="dxa"/>
            <w:vAlign w:val="center"/>
          </w:tcPr>
          <w:p w14:paraId="450C5DDE">
            <w:pPr>
              <w:spacing w:line="240" w:lineRule="atLeast"/>
              <w:jc w:val="center"/>
              <w:rPr>
                <w:rFonts w:ascii="方正仿宋_GBK" w:eastAsia="方正仿宋_GBK"/>
                <w:sz w:val="21"/>
                <w:szCs w:val="21"/>
              </w:rPr>
            </w:pPr>
          </w:p>
        </w:tc>
        <w:tc>
          <w:tcPr>
            <w:tcW w:w="984" w:type="dxa"/>
            <w:vAlign w:val="center"/>
          </w:tcPr>
          <w:p w14:paraId="6C3E08BA">
            <w:pPr>
              <w:spacing w:line="240" w:lineRule="atLeast"/>
              <w:jc w:val="center"/>
              <w:rPr>
                <w:rFonts w:ascii="方正仿宋_GBK" w:eastAsia="方正仿宋_GBK"/>
                <w:sz w:val="21"/>
                <w:szCs w:val="21"/>
              </w:rPr>
            </w:pPr>
          </w:p>
        </w:tc>
        <w:tc>
          <w:tcPr>
            <w:tcW w:w="1298" w:type="dxa"/>
            <w:gridSpan w:val="2"/>
            <w:vAlign w:val="center"/>
          </w:tcPr>
          <w:p w14:paraId="5CC21918">
            <w:pPr>
              <w:spacing w:line="240" w:lineRule="atLeast"/>
              <w:jc w:val="center"/>
              <w:rPr>
                <w:rFonts w:ascii="方正仿宋_GBK" w:eastAsia="方正仿宋_GBK"/>
                <w:sz w:val="21"/>
                <w:szCs w:val="21"/>
              </w:rPr>
            </w:pPr>
          </w:p>
        </w:tc>
        <w:tc>
          <w:tcPr>
            <w:tcW w:w="1134" w:type="dxa"/>
            <w:vAlign w:val="center"/>
          </w:tcPr>
          <w:p w14:paraId="73B667C5">
            <w:pPr>
              <w:spacing w:line="240" w:lineRule="atLeast"/>
              <w:jc w:val="center"/>
              <w:rPr>
                <w:rFonts w:ascii="方正仿宋_GBK" w:eastAsia="方正仿宋_GBK"/>
                <w:sz w:val="21"/>
                <w:szCs w:val="21"/>
              </w:rPr>
            </w:pPr>
          </w:p>
        </w:tc>
        <w:tc>
          <w:tcPr>
            <w:tcW w:w="1559" w:type="dxa"/>
            <w:vAlign w:val="center"/>
          </w:tcPr>
          <w:p w14:paraId="741F9C08">
            <w:pPr>
              <w:spacing w:line="240" w:lineRule="atLeast"/>
              <w:jc w:val="center"/>
              <w:rPr>
                <w:rFonts w:ascii="方正仿宋_GBK" w:eastAsia="方正仿宋_GBK"/>
                <w:sz w:val="21"/>
                <w:szCs w:val="21"/>
              </w:rPr>
            </w:pPr>
          </w:p>
        </w:tc>
        <w:tc>
          <w:tcPr>
            <w:tcW w:w="1567" w:type="dxa"/>
            <w:vAlign w:val="center"/>
          </w:tcPr>
          <w:p w14:paraId="5C5F381A">
            <w:pPr>
              <w:spacing w:line="240" w:lineRule="atLeast"/>
              <w:jc w:val="center"/>
              <w:rPr>
                <w:rFonts w:ascii="方正仿宋_GBK" w:eastAsia="方正仿宋_GBK"/>
                <w:sz w:val="21"/>
                <w:szCs w:val="21"/>
              </w:rPr>
            </w:pPr>
          </w:p>
        </w:tc>
      </w:tr>
      <w:tr w14:paraId="4A33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D29B745">
            <w:pPr>
              <w:spacing w:line="240" w:lineRule="atLeast"/>
              <w:jc w:val="center"/>
              <w:rPr>
                <w:rFonts w:ascii="方正仿宋_GBK" w:eastAsia="方正仿宋_GBK"/>
                <w:sz w:val="21"/>
                <w:szCs w:val="21"/>
              </w:rPr>
            </w:pPr>
          </w:p>
        </w:tc>
        <w:tc>
          <w:tcPr>
            <w:tcW w:w="1741" w:type="dxa"/>
            <w:vAlign w:val="center"/>
          </w:tcPr>
          <w:p w14:paraId="304E1F94">
            <w:pPr>
              <w:spacing w:line="240" w:lineRule="atLeast"/>
              <w:jc w:val="center"/>
              <w:rPr>
                <w:rFonts w:ascii="方正仿宋_GBK" w:eastAsia="方正仿宋_GBK"/>
                <w:sz w:val="21"/>
                <w:szCs w:val="21"/>
              </w:rPr>
            </w:pPr>
          </w:p>
        </w:tc>
        <w:tc>
          <w:tcPr>
            <w:tcW w:w="984" w:type="dxa"/>
            <w:vAlign w:val="center"/>
          </w:tcPr>
          <w:p w14:paraId="0B5F9C3C">
            <w:pPr>
              <w:spacing w:line="240" w:lineRule="atLeast"/>
              <w:jc w:val="center"/>
              <w:rPr>
                <w:rFonts w:ascii="方正仿宋_GBK" w:eastAsia="方正仿宋_GBK"/>
                <w:sz w:val="21"/>
                <w:szCs w:val="21"/>
              </w:rPr>
            </w:pPr>
          </w:p>
        </w:tc>
        <w:tc>
          <w:tcPr>
            <w:tcW w:w="1298" w:type="dxa"/>
            <w:gridSpan w:val="2"/>
            <w:vAlign w:val="center"/>
          </w:tcPr>
          <w:p w14:paraId="21776FAA">
            <w:pPr>
              <w:spacing w:line="240" w:lineRule="atLeast"/>
              <w:jc w:val="center"/>
              <w:rPr>
                <w:rFonts w:ascii="方正仿宋_GBK" w:eastAsia="方正仿宋_GBK"/>
                <w:sz w:val="21"/>
                <w:szCs w:val="21"/>
              </w:rPr>
            </w:pPr>
          </w:p>
        </w:tc>
        <w:tc>
          <w:tcPr>
            <w:tcW w:w="1134" w:type="dxa"/>
            <w:vAlign w:val="center"/>
          </w:tcPr>
          <w:p w14:paraId="4994F395">
            <w:pPr>
              <w:spacing w:line="240" w:lineRule="atLeast"/>
              <w:jc w:val="center"/>
              <w:rPr>
                <w:rFonts w:ascii="方正仿宋_GBK" w:eastAsia="方正仿宋_GBK"/>
                <w:sz w:val="21"/>
                <w:szCs w:val="21"/>
              </w:rPr>
            </w:pPr>
          </w:p>
        </w:tc>
        <w:tc>
          <w:tcPr>
            <w:tcW w:w="1559" w:type="dxa"/>
            <w:vAlign w:val="center"/>
          </w:tcPr>
          <w:p w14:paraId="4ADD2DFC">
            <w:pPr>
              <w:spacing w:line="240" w:lineRule="atLeast"/>
              <w:jc w:val="center"/>
              <w:rPr>
                <w:rFonts w:ascii="方正仿宋_GBK" w:eastAsia="方正仿宋_GBK"/>
                <w:sz w:val="21"/>
                <w:szCs w:val="21"/>
              </w:rPr>
            </w:pPr>
          </w:p>
        </w:tc>
        <w:tc>
          <w:tcPr>
            <w:tcW w:w="1567" w:type="dxa"/>
            <w:vAlign w:val="center"/>
          </w:tcPr>
          <w:p w14:paraId="2D54E23F">
            <w:pPr>
              <w:spacing w:line="240" w:lineRule="atLeast"/>
              <w:jc w:val="center"/>
              <w:rPr>
                <w:rFonts w:ascii="方正仿宋_GBK" w:eastAsia="方正仿宋_GBK"/>
                <w:sz w:val="21"/>
                <w:szCs w:val="21"/>
              </w:rPr>
            </w:pPr>
          </w:p>
        </w:tc>
      </w:tr>
      <w:tr w14:paraId="4E5C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2CF8413">
            <w:pPr>
              <w:spacing w:line="240" w:lineRule="atLeast"/>
              <w:jc w:val="center"/>
              <w:rPr>
                <w:rFonts w:ascii="方正仿宋_GBK" w:eastAsia="方正仿宋_GBK"/>
                <w:sz w:val="21"/>
                <w:szCs w:val="21"/>
              </w:rPr>
            </w:pPr>
          </w:p>
        </w:tc>
        <w:tc>
          <w:tcPr>
            <w:tcW w:w="1741" w:type="dxa"/>
            <w:vAlign w:val="center"/>
          </w:tcPr>
          <w:p w14:paraId="3E3C6C17">
            <w:pPr>
              <w:spacing w:line="240" w:lineRule="atLeast"/>
              <w:jc w:val="center"/>
              <w:rPr>
                <w:rFonts w:ascii="方正仿宋_GBK" w:eastAsia="方正仿宋_GBK"/>
                <w:sz w:val="21"/>
                <w:szCs w:val="21"/>
              </w:rPr>
            </w:pPr>
          </w:p>
        </w:tc>
        <w:tc>
          <w:tcPr>
            <w:tcW w:w="984" w:type="dxa"/>
            <w:vAlign w:val="center"/>
          </w:tcPr>
          <w:p w14:paraId="5D82F1B8">
            <w:pPr>
              <w:spacing w:line="240" w:lineRule="atLeast"/>
              <w:jc w:val="center"/>
              <w:rPr>
                <w:rFonts w:ascii="方正仿宋_GBK" w:eastAsia="方正仿宋_GBK"/>
                <w:sz w:val="21"/>
                <w:szCs w:val="21"/>
              </w:rPr>
            </w:pPr>
          </w:p>
        </w:tc>
        <w:tc>
          <w:tcPr>
            <w:tcW w:w="1298" w:type="dxa"/>
            <w:gridSpan w:val="2"/>
            <w:vAlign w:val="center"/>
          </w:tcPr>
          <w:p w14:paraId="41383433">
            <w:pPr>
              <w:spacing w:line="240" w:lineRule="atLeast"/>
              <w:jc w:val="center"/>
              <w:rPr>
                <w:rFonts w:ascii="方正仿宋_GBK" w:eastAsia="方正仿宋_GBK"/>
                <w:sz w:val="21"/>
                <w:szCs w:val="21"/>
              </w:rPr>
            </w:pPr>
          </w:p>
        </w:tc>
        <w:tc>
          <w:tcPr>
            <w:tcW w:w="1134" w:type="dxa"/>
            <w:vAlign w:val="center"/>
          </w:tcPr>
          <w:p w14:paraId="21099EDA">
            <w:pPr>
              <w:spacing w:line="240" w:lineRule="atLeast"/>
              <w:jc w:val="center"/>
              <w:rPr>
                <w:rFonts w:ascii="方正仿宋_GBK" w:eastAsia="方正仿宋_GBK"/>
                <w:sz w:val="21"/>
                <w:szCs w:val="21"/>
              </w:rPr>
            </w:pPr>
          </w:p>
        </w:tc>
        <w:tc>
          <w:tcPr>
            <w:tcW w:w="1559" w:type="dxa"/>
            <w:vAlign w:val="center"/>
          </w:tcPr>
          <w:p w14:paraId="7185A3A4">
            <w:pPr>
              <w:spacing w:line="240" w:lineRule="atLeast"/>
              <w:jc w:val="center"/>
              <w:rPr>
                <w:rFonts w:ascii="方正仿宋_GBK" w:eastAsia="方正仿宋_GBK"/>
                <w:sz w:val="21"/>
                <w:szCs w:val="21"/>
              </w:rPr>
            </w:pPr>
          </w:p>
        </w:tc>
        <w:tc>
          <w:tcPr>
            <w:tcW w:w="1567" w:type="dxa"/>
            <w:vAlign w:val="center"/>
          </w:tcPr>
          <w:p w14:paraId="0540A76A">
            <w:pPr>
              <w:spacing w:line="240" w:lineRule="atLeast"/>
              <w:jc w:val="center"/>
              <w:rPr>
                <w:rFonts w:ascii="方正仿宋_GBK" w:eastAsia="方正仿宋_GBK"/>
                <w:sz w:val="21"/>
                <w:szCs w:val="21"/>
              </w:rPr>
            </w:pPr>
          </w:p>
        </w:tc>
      </w:tr>
      <w:tr w14:paraId="3054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BE982E5">
            <w:pPr>
              <w:spacing w:line="240" w:lineRule="atLeast"/>
              <w:jc w:val="center"/>
              <w:rPr>
                <w:rFonts w:ascii="方正仿宋_GBK" w:eastAsia="方正仿宋_GBK"/>
                <w:sz w:val="21"/>
                <w:szCs w:val="21"/>
              </w:rPr>
            </w:pPr>
          </w:p>
        </w:tc>
        <w:tc>
          <w:tcPr>
            <w:tcW w:w="1741" w:type="dxa"/>
            <w:vAlign w:val="center"/>
          </w:tcPr>
          <w:p w14:paraId="7E713928">
            <w:pPr>
              <w:spacing w:line="240" w:lineRule="atLeast"/>
              <w:jc w:val="center"/>
              <w:rPr>
                <w:rFonts w:ascii="方正仿宋_GBK" w:eastAsia="方正仿宋_GBK"/>
                <w:sz w:val="21"/>
                <w:szCs w:val="21"/>
              </w:rPr>
            </w:pPr>
          </w:p>
        </w:tc>
        <w:tc>
          <w:tcPr>
            <w:tcW w:w="984" w:type="dxa"/>
            <w:vAlign w:val="center"/>
          </w:tcPr>
          <w:p w14:paraId="4AEADA02">
            <w:pPr>
              <w:spacing w:line="240" w:lineRule="atLeast"/>
              <w:jc w:val="center"/>
              <w:rPr>
                <w:rFonts w:ascii="方正仿宋_GBK" w:eastAsia="方正仿宋_GBK"/>
                <w:sz w:val="21"/>
                <w:szCs w:val="21"/>
              </w:rPr>
            </w:pPr>
          </w:p>
        </w:tc>
        <w:tc>
          <w:tcPr>
            <w:tcW w:w="1298" w:type="dxa"/>
            <w:gridSpan w:val="2"/>
            <w:vAlign w:val="center"/>
          </w:tcPr>
          <w:p w14:paraId="66F9BF65">
            <w:pPr>
              <w:spacing w:line="240" w:lineRule="atLeast"/>
              <w:jc w:val="center"/>
              <w:rPr>
                <w:rFonts w:ascii="方正仿宋_GBK" w:eastAsia="方正仿宋_GBK"/>
                <w:sz w:val="21"/>
                <w:szCs w:val="21"/>
              </w:rPr>
            </w:pPr>
          </w:p>
        </w:tc>
        <w:tc>
          <w:tcPr>
            <w:tcW w:w="1134" w:type="dxa"/>
            <w:vAlign w:val="center"/>
          </w:tcPr>
          <w:p w14:paraId="08B411AC">
            <w:pPr>
              <w:spacing w:line="240" w:lineRule="atLeast"/>
              <w:jc w:val="center"/>
              <w:rPr>
                <w:rFonts w:ascii="方正仿宋_GBK" w:eastAsia="方正仿宋_GBK"/>
                <w:sz w:val="21"/>
                <w:szCs w:val="21"/>
              </w:rPr>
            </w:pPr>
          </w:p>
        </w:tc>
        <w:tc>
          <w:tcPr>
            <w:tcW w:w="1559" w:type="dxa"/>
            <w:vAlign w:val="center"/>
          </w:tcPr>
          <w:p w14:paraId="5DEBEEFD">
            <w:pPr>
              <w:spacing w:line="240" w:lineRule="atLeast"/>
              <w:jc w:val="center"/>
              <w:rPr>
                <w:rFonts w:ascii="方正仿宋_GBK" w:eastAsia="方正仿宋_GBK"/>
                <w:sz w:val="21"/>
                <w:szCs w:val="21"/>
              </w:rPr>
            </w:pPr>
          </w:p>
        </w:tc>
        <w:tc>
          <w:tcPr>
            <w:tcW w:w="1567" w:type="dxa"/>
            <w:vAlign w:val="center"/>
          </w:tcPr>
          <w:p w14:paraId="4CF96687">
            <w:pPr>
              <w:spacing w:line="240" w:lineRule="atLeast"/>
              <w:jc w:val="center"/>
              <w:rPr>
                <w:rFonts w:ascii="方正仿宋_GBK" w:eastAsia="方正仿宋_GBK"/>
                <w:sz w:val="21"/>
                <w:szCs w:val="21"/>
              </w:rPr>
            </w:pPr>
          </w:p>
        </w:tc>
      </w:tr>
      <w:tr w14:paraId="272E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2D846CA4">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6DC9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2F063B5D">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2D50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2C93EB5E">
            <w:pPr>
              <w:spacing w:line="240" w:lineRule="atLeast"/>
              <w:rPr>
                <w:rFonts w:ascii="方正仿宋_GBK" w:eastAsia="方正仿宋_GBK"/>
                <w:sz w:val="21"/>
                <w:szCs w:val="21"/>
              </w:rPr>
            </w:pPr>
            <w:r>
              <w:rPr>
                <w:rFonts w:hint="eastAsia" w:ascii="方正仿宋_GBK" w:eastAsia="方正仿宋_GBK"/>
                <w:sz w:val="21"/>
                <w:szCs w:val="21"/>
              </w:rPr>
              <w:t>一、质量要求和技术标准。</w:t>
            </w:r>
          </w:p>
          <w:p w14:paraId="4131A9E3">
            <w:pPr>
              <w:spacing w:line="240" w:lineRule="atLeast"/>
              <w:rPr>
                <w:rFonts w:ascii="方正仿宋_GBK" w:eastAsia="方正仿宋_GBK"/>
                <w:sz w:val="21"/>
                <w:szCs w:val="21"/>
              </w:rPr>
            </w:pPr>
          </w:p>
        </w:tc>
      </w:tr>
      <w:tr w14:paraId="035D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4FD41EE1">
            <w:pPr>
              <w:spacing w:line="240" w:lineRule="atLeast"/>
              <w:rPr>
                <w:rFonts w:ascii="方正仿宋_GBK" w:eastAsia="方正仿宋_GBK"/>
                <w:sz w:val="21"/>
                <w:szCs w:val="21"/>
              </w:rPr>
            </w:pPr>
            <w:r>
              <w:rPr>
                <w:rFonts w:hint="eastAsia" w:ascii="方正仿宋_GBK" w:eastAsia="方正仿宋_GBK"/>
                <w:sz w:val="21"/>
                <w:szCs w:val="21"/>
              </w:rPr>
              <w:t>二、随机备品、附件、工具数量及供应方法：</w:t>
            </w:r>
          </w:p>
        </w:tc>
      </w:tr>
      <w:tr w14:paraId="4CBB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1D9D3C0B">
            <w:pPr>
              <w:spacing w:line="240" w:lineRule="atLeast"/>
              <w:rPr>
                <w:rFonts w:ascii="方正仿宋_GBK" w:eastAsia="方正仿宋_GBK"/>
                <w:sz w:val="21"/>
                <w:szCs w:val="21"/>
              </w:rPr>
            </w:pPr>
            <w:r>
              <w:rPr>
                <w:rFonts w:hint="eastAsia" w:ascii="方正仿宋_GBK" w:eastAsia="方正仿宋_GBK"/>
                <w:sz w:val="21"/>
                <w:szCs w:val="21"/>
              </w:rPr>
              <w:t>三、交提货方式：</w:t>
            </w:r>
          </w:p>
        </w:tc>
      </w:tr>
      <w:tr w14:paraId="18CE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154806E7">
            <w:pPr>
              <w:spacing w:line="240" w:lineRule="atLeast"/>
              <w:rPr>
                <w:rFonts w:ascii="方正仿宋_GBK" w:eastAsia="方正仿宋_GBK"/>
                <w:sz w:val="21"/>
                <w:szCs w:val="21"/>
              </w:rPr>
            </w:pPr>
            <w:r>
              <w:rPr>
                <w:rFonts w:hint="eastAsia" w:ascii="方正仿宋_GBK" w:eastAsia="方正仿宋_GBK"/>
                <w:sz w:val="21"/>
                <w:szCs w:val="21"/>
              </w:rPr>
              <w:t>四、验收标准、方法：</w:t>
            </w:r>
          </w:p>
          <w:p w14:paraId="33DFC6CE">
            <w:pPr>
              <w:spacing w:line="240" w:lineRule="atLeast"/>
              <w:rPr>
                <w:rFonts w:ascii="方正仿宋_GBK" w:eastAsia="方正仿宋_GBK"/>
                <w:sz w:val="21"/>
                <w:szCs w:val="21"/>
              </w:rPr>
            </w:pPr>
            <w:r>
              <w:rPr>
                <w:rFonts w:hint="eastAsia" w:ascii="方正仿宋_GBK" w:eastAsia="方正仿宋_GBK"/>
                <w:sz w:val="21"/>
                <w:szCs w:val="21"/>
              </w:rPr>
              <w:t>如有异议，请于      日内提出。</w:t>
            </w:r>
          </w:p>
        </w:tc>
      </w:tr>
      <w:tr w14:paraId="1120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526BEA29">
            <w:pPr>
              <w:spacing w:line="240" w:lineRule="atLeast"/>
              <w:rPr>
                <w:rFonts w:ascii="方正仿宋_GBK" w:eastAsia="方正仿宋_GBK"/>
                <w:sz w:val="21"/>
                <w:szCs w:val="21"/>
              </w:rPr>
            </w:pPr>
            <w:r>
              <w:rPr>
                <w:rFonts w:hint="eastAsia" w:ascii="方正仿宋_GBK" w:eastAsia="方正仿宋_GBK"/>
                <w:sz w:val="21"/>
                <w:szCs w:val="21"/>
              </w:rPr>
              <w:t>五、付款方式：</w:t>
            </w:r>
          </w:p>
          <w:p w14:paraId="14DFBB08">
            <w:pPr>
              <w:pStyle w:val="18"/>
              <w:spacing w:line="240" w:lineRule="atLeast"/>
              <w:rPr>
                <w:rFonts w:ascii="方正仿宋_GBK" w:eastAsia="方正仿宋_GBK"/>
                <w:sz w:val="21"/>
                <w:szCs w:val="21"/>
              </w:rPr>
            </w:pPr>
          </w:p>
        </w:tc>
      </w:tr>
      <w:tr w14:paraId="063D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087026D0">
            <w:pPr>
              <w:spacing w:line="240" w:lineRule="atLeast"/>
              <w:rPr>
                <w:rFonts w:ascii="方正仿宋_GBK" w:eastAsia="方正仿宋_GBK"/>
                <w:sz w:val="21"/>
                <w:szCs w:val="21"/>
              </w:rPr>
            </w:pPr>
            <w:r>
              <w:rPr>
                <w:rFonts w:hint="eastAsia" w:ascii="方正仿宋_GBK" w:eastAsia="方正仿宋_GBK"/>
                <w:sz w:val="21"/>
                <w:szCs w:val="21"/>
              </w:rPr>
              <w:t>六、违约责任：</w:t>
            </w:r>
          </w:p>
          <w:p w14:paraId="743D1A84">
            <w:pPr>
              <w:spacing w:line="240" w:lineRule="atLeast"/>
              <w:rPr>
                <w:rFonts w:ascii="方正仿宋_GBK" w:eastAsia="方正仿宋_GBK"/>
                <w:sz w:val="21"/>
                <w:szCs w:val="21"/>
              </w:rPr>
            </w:pPr>
            <w:r>
              <w:rPr>
                <w:rFonts w:hint="eastAsia" w:ascii="方正仿宋_GBK" w:eastAsia="方正仿宋_GBK"/>
                <w:sz w:val="21"/>
                <w:szCs w:val="21"/>
              </w:rPr>
              <w:t>按《中华人民共和国民法典》、《中华人民共和国政府采购法》执行，或按双方约定。（采购人应按项目实际情况完整填写）</w:t>
            </w:r>
          </w:p>
        </w:tc>
      </w:tr>
      <w:tr w14:paraId="66E3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597775F2">
            <w:pPr>
              <w:spacing w:line="240" w:lineRule="atLeast"/>
              <w:rPr>
                <w:rFonts w:ascii="方正仿宋_GBK" w:eastAsia="方正仿宋_GBK"/>
                <w:sz w:val="21"/>
                <w:szCs w:val="21"/>
              </w:rPr>
            </w:pPr>
            <w:r>
              <w:rPr>
                <w:rFonts w:hint="eastAsia" w:ascii="方正仿宋_GBK" w:eastAsia="方正仿宋_GBK"/>
                <w:sz w:val="21"/>
                <w:szCs w:val="21"/>
              </w:rPr>
              <w:t>七、其他约定事项：</w:t>
            </w:r>
          </w:p>
          <w:p w14:paraId="242C6A90">
            <w:pPr>
              <w:spacing w:line="240" w:lineRule="atLeast"/>
              <w:rPr>
                <w:rFonts w:ascii="方正仿宋_GBK" w:eastAsia="方正仿宋_GBK"/>
                <w:sz w:val="21"/>
                <w:szCs w:val="21"/>
              </w:rPr>
            </w:pPr>
            <w:r>
              <w:rPr>
                <w:rFonts w:hint="eastAsia" w:ascii="方正仿宋_GBK" w:eastAsia="方正仿宋_GBK"/>
                <w:sz w:val="21"/>
                <w:szCs w:val="21"/>
              </w:rPr>
              <w:t>1.招标文件及其澄清文件、响应文件和承诺是本合同不可分割的部分。</w:t>
            </w:r>
          </w:p>
          <w:p w14:paraId="5446D475">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2.本合同如发生争议由双方协商解决，协商不成向需方所在地仲裁机构提请仲裁。</w:t>
            </w:r>
          </w:p>
          <w:p w14:paraId="113EA798">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w:t>
            </w:r>
            <w:r>
              <w:rPr>
                <w:rFonts w:hint="eastAsia" w:ascii="方正仿宋_GBK" w:hAnsi="仿宋" w:eastAsia="方正仿宋_GBK"/>
                <w:sz w:val="21"/>
                <w:szCs w:val="21"/>
              </w:rPr>
              <w:t>具备同等法律效力</w:t>
            </w:r>
            <w:r>
              <w:rPr>
                <w:rFonts w:hint="eastAsia" w:ascii="方正仿宋_GBK" w:eastAsia="方正仿宋_GBK"/>
                <w:sz w:val="21"/>
                <w:szCs w:val="21"/>
              </w:rPr>
              <w:t>。</w:t>
            </w:r>
          </w:p>
          <w:p w14:paraId="0A7E2D87">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5840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13BF013D">
            <w:pPr>
              <w:spacing w:line="240" w:lineRule="atLeast"/>
              <w:rPr>
                <w:rFonts w:ascii="方正仿宋_GBK" w:eastAsia="方正仿宋_GBK"/>
                <w:sz w:val="21"/>
                <w:szCs w:val="21"/>
              </w:rPr>
            </w:pPr>
            <w:r>
              <w:rPr>
                <w:rFonts w:hint="eastAsia" w:ascii="方正仿宋_GBK" w:eastAsia="方正仿宋_GBK"/>
                <w:sz w:val="21"/>
                <w:szCs w:val="21"/>
              </w:rPr>
              <w:t>需方：</w:t>
            </w:r>
          </w:p>
          <w:p w14:paraId="2E6E492E">
            <w:pPr>
              <w:spacing w:line="240" w:lineRule="atLeast"/>
              <w:rPr>
                <w:rFonts w:ascii="方正仿宋_GBK" w:eastAsia="方正仿宋_GBK"/>
                <w:sz w:val="21"/>
                <w:szCs w:val="21"/>
              </w:rPr>
            </w:pPr>
            <w:r>
              <w:rPr>
                <w:rFonts w:hint="eastAsia" w:ascii="方正仿宋_GBK" w:eastAsia="方正仿宋_GBK"/>
                <w:sz w:val="21"/>
                <w:szCs w:val="21"/>
              </w:rPr>
              <w:t>地址：</w:t>
            </w:r>
          </w:p>
          <w:p w14:paraId="1CB57F9A">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59064D24">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5125" w:type="dxa"/>
            <w:gridSpan w:val="5"/>
          </w:tcPr>
          <w:p w14:paraId="72D5A782">
            <w:pPr>
              <w:spacing w:line="240" w:lineRule="atLeast"/>
              <w:rPr>
                <w:rFonts w:ascii="方正仿宋_GBK" w:eastAsia="方正仿宋_GBK"/>
                <w:sz w:val="21"/>
                <w:szCs w:val="21"/>
              </w:rPr>
            </w:pPr>
            <w:r>
              <w:rPr>
                <w:rFonts w:hint="eastAsia" w:ascii="方正仿宋_GBK" w:eastAsia="方正仿宋_GBK"/>
                <w:sz w:val="21"/>
                <w:szCs w:val="21"/>
              </w:rPr>
              <w:t>供方：</w:t>
            </w:r>
          </w:p>
          <w:p w14:paraId="75FBBDE2">
            <w:pPr>
              <w:spacing w:line="240" w:lineRule="atLeast"/>
              <w:rPr>
                <w:rFonts w:ascii="方正仿宋_GBK" w:eastAsia="方正仿宋_GBK"/>
                <w:sz w:val="21"/>
                <w:szCs w:val="21"/>
              </w:rPr>
            </w:pPr>
            <w:r>
              <w:rPr>
                <w:rFonts w:hint="eastAsia" w:ascii="方正仿宋_GBK" w:eastAsia="方正仿宋_GBK"/>
                <w:sz w:val="21"/>
                <w:szCs w:val="21"/>
              </w:rPr>
              <w:t>地址：</w:t>
            </w:r>
          </w:p>
          <w:p w14:paraId="53620FC5">
            <w:pPr>
              <w:spacing w:line="240" w:lineRule="atLeast"/>
              <w:rPr>
                <w:rFonts w:ascii="方正仿宋_GBK" w:eastAsia="方正仿宋_GBK"/>
                <w:sz w:val="21"/>
                <w:szCs w:val="21"/>
              </w:rPr>
            </w:pPr>
            <w:r>
              <w:rPr>
                <w:rFonts w:hint="eastAsia" w:ascii="方正仿宋_GBK" w:eastAsia="方正仿宋_GBK"/>
                <w:sz w:val="21"/>
                <w:szCs w:val="21"/>
              </w:rPr>
              <w:t>电话：</w:t>
            </w:r>
          </w:p>
          <w:p w14:paraId="060C1CAE">
            <w:pPr>
              <w:spacing w:line="240" w:lineRule="atLeast"/>
              <w:rPr>
                <w:rFonts w:ascii="方正仿宋_GBK" w:eastAsia="方正仿宋_GBK"/>
                <w:sz w:val="21"/>
                <w:szCs w:val="21"/>
              </w:rPr>
            </w:pPr>
            <w:r>
              <w:rPr>
                <w:rFonts w:hint="eastAsia" w:ascii="方正仿宋_GBK" w:eastAsia="方正仿宋_GBK"/>
                <w:sz w:val="21"/>
                <w:szCs w:val="21"/>
              </w:rPr>
              <w:t>传真：</w:t>
            </w:r>
          </w:p>
          <w:p w14:paraId="0C6FE636">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6483FA57">
            <w:pPr>
              <w:spacing w:line="240" w:lineRule="atLeast"/>
              <w:rPr>
                <w:rFonts w:ascii="方正仿宋_GBK" w:eastAsia="方正仿宋_GBK"/>
                <w:sz w:val="21"/>
                <w:szCs w:val="21"/>
              </w:rPr>
            </w:pPr>
            <w:r>
              <w:rPr>
                <w:rFonts w:hint="eastAsia" w:ascii="方正仿宋_GBK" w:eastAsia="方正仿宋_GBK"/>
                <w:sz w:val="21"/>
                <w:szCs w:val="21"/>
              </w:rPr>
              <w:t>账号：</w:t>
            </w:r>
          </w:p>
          <w:p w14:paraId="25032B18">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555192D4">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7335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3EF18DA6">
            <w:pPr>
              <w:spacing w:line="240" w:lineRule="atLeast"/>
              <w:rPr>
                <w:rFonts w:ascii="方正仿宋_GBK" w:eastAsia="方正仿宋_GBK"/>
                <w:sz w:val="21"/>
                <w:szCs w:val="21"/>
              </w:rPr>
            </w:pPr>
            <w:r>
              <w:rPr>
                <w:rFonts w:hint="eastAsia" w:ascii="方正仿宋_GBK" w:eastAsia="方正仿宋_GBK"/>
                <w:sz w:val="21"/>
                <w:szCs w:val="21"/>
              </w:rPr>
              <w:t>备注：</w:t>
            </w:r>
          </w:p>
          <w:p w14:paraId="02A2B6AC">
            <w:pPr>
              <w:spacing w:line="240" w:lineRule="atLeast"/>
              <w:rPr>
                <w:rFonts w:ascii="方正仿宋_GBK" w:eastAsia="方正仿宋_GBK"/>
                <w:sz w:val="21"/>
                <w:szCs w:val="21"/>
              </w:rPr>
            </w:pPr>
          </w:p>
          <w:p w14:paraId="6A8DAFB1">
            <w:pPr>
              <w:spacing w:line="240" w:lineRule="atLeast"/>
              <w:rPr>
                <w:rFonts w:ascii="方正仿宋_GBK" w:eastAsia="方正仿宋_GBK"/>
                <w:sz w:val="21"/>
                <w:szCs w:val="21"/>
              </w:rPr>
            </w:pPr>
          </w:p>
        </w:tc>
      </w:tr>
    </w:tbl>
    <w:p w14:paraId="6819C8A5">
      <w:pPr>
        <w:spacing w:line="360" w:lineRule="auto"/>
        <w:ind w:firstLine="480" w:firstLineChars="200"/>
      </w:pPr>
      <w:r>
        <w:rPr>
          <w:rFonts w:hint="eastAsia" w:ascii="方正仿宋_GBK" w:eastAsia="方正仿宋_GBK"/>
          <w:sz w:val="24"/>
        </w:rPr>
        <w:t>签约时间：           年   月   日      签约地点：</w:t>
      </w:r>
    </w:p>
    <w:p w14:paraId="3902612D">
      <w:pPr>
        <w:spacing w:line="440" w:lineRule="exact"/>
        <w:jc w:val="center"/>
        <w:rPr>
          <w:rFonts w:ascii="宋体" w:hAnsi="宋体" w:cs="宋体"/>
          <w:b/>
          <w:bCs/>
          <w:sz w:val="36"/>
          <w:szCs w:val="36"/>
        </w:rPr>
      </w:pPr>
    </w:p>
    <w:p w14:paraId="28D0BBC8">
      <w:pPr>
        <w:spacing w:line="440" w:lineRule="exact"/>
        <w:jc w:val="center"/>
        <w:rPr>
          <w:rFonts w:ascii="宋体" w:hAnsi="宋体" w:cs="宋体"/>
          <w:b/>
          <w:bCs/>
          <w:sz w:val="36"/>
          <w:szCs w:val="36"/>
        </w:rPr>
      </w:pPr>
    </w:p>
    <w:p w14:paraId="073CE1EB">
      <w:pPr>
        <w:spacing w:line="440" w:lineRule="exact"/>
        <w:jc w:val="center"/>
        <w:rPr>
          <w:rFonts w:ascii="宋体" w:hAnsi="宋体" w:cs="宋体"/>
          <w:b/>
          <w:bCs/>
          <w:sz w:val="36"/>
          <w:szCs w:val="36"/>
        </w:rPr>
      </w:pPr>
    </w:p>
    <w:p w14:paraId="3609B7C9">
      <w:pPr>
        <w:spacing w:line="440" w:lineRule="exact"/>
        <w:jc w:val="center"/>
        <w:rPr>
          <w:rFonts w:ascii="宋体" w:hAnsi="宋体" w:cs="宋体"/>
          <w:b/>
          <w:bCs/>
          <w:sz w:val="36"/>
          <w:szCs w:val="36"/>
        </w:rPr>
      </w:pPr>
    </w:p>
    <w:p w14:paraId="75F069EA">
      <w:pPr>
        <w:spacing w:line="440" w:lineRule="exact"/>
        <w:jc w:val="center"/>
        <w:rPr>
          <w:rFonts w:ascii="宋体" w:hAnsi="宋体" w:cs="宋体"/>
          <w:b/>
          <w:bCs/>
          <w:sz w:val="36"/>
          <w:szCs w:val="36"/>
        </w:rPr>
      </w:pPr>
    </w:p>
    <w:p w14:paraId="093E7E09">
      <w:pPr>
        <w:spacing w:line="440" w:lineRule="exact"/>
        <w:jc w:val="center"/>
        <w:rPr>
          <w:rFonts w:ascii="宋体" w:hAnsi="宋体" w:cs="宋体"/>
          <w:b/>
          <w:bCs/>
          <w:sz w:val="36"/>
          <w:szCs w:val="36"/>
        </w:rPr>
      </w:pPr>
    </w:p>
    <w:p w14:paraId="53B086D8">
      <w:pPr>
        <w:spacing w:line="440" w:lineRule="exact"/>
        <w:jc w:val="center"/>
        <w:rPr>
          <w:rFonts w:ascii="宋体" w:hAnsi="宋体" w:cs="宋体"/>
          <w:b/>
          <w:bCs/>
          <w:sz w:val="36"/>
          <w:szCs w:val="36"/>
        </w:rPr>
      </w:pPr>
    </w:p>
    <w:p w14:paraId="16882956">
      <w:pPr>
        <w:spacing w:line="440" w:lineRule="exact"/>
        <w:jc w:val="center"/>
        <w:rPr>
          <w:rFonts w:ascii="宋体" w:hAnsi="宋体" w:cs="宋体"/>
          <w:b/>
          <w:bCs/>
          <w:sz w:val="36"/>
          <w:szCs w:val="36"/>
        </w:rPr>
      </w:pPr>
    </w:p>
    <w:p w14:paraId="06173309">
      <w:pPr>
        <w:spacing w:line="440" w:lineRule="exact"/>
        <w:jc w:val="center"/>
        <w:rPr>
          <w:rFonts w:ascii="宋体" w:hAnsi="宋体" w:cs="宋体"/>
          <w:b/>
          <w:bCs/>
          <w:sz w:val="36"/>
          <w:szCs w:val="36"/>
        </w:rPr>
      </w:pPr>
    </w:p>
    <w:p w14:paraId="395406EB">
      <w:pPr>
        <w:spacing w:line="440" w:lineRule="exact"/>
        <w:jc w:val="center"/>
        <w:rPr>
          <w:rFonts w:ascii="宋体" w:hAnsi="宋体" w:cs="宋体"/>
          <w:b/>
          <w:bCs/>
          <w:sz w:val="36"/>
          <w:szCs w:val="36"/>
        </w:rPr>
      </w:pPr>
    </w:p>
    <w:p w14:paraId="6F82E9B5">
      <w:pPr>
        <w:spacing w:line="440" w:lineRule="exact"/>
        <w:jc w:val="center"/>
        <w:rPr>
          <w:rFonts w:ascii="宋体" w:hAnsi="宋体" w:cs="宋体"/>
          <w:b/>
          <w:bCs/>
          <w:sz w:val="36"/>
          <w:szCs w:val="36"/>
        </w:rPr>
      </w:pPr>
    </w:p>
    <w:p w14:paraId="34BEE641">
      <w:pPr>
        <w:spacing w:line="440" w:lineRule="exact"/>
        <w:jc w:val="center"/>
        <w:rPr>
          <w:rFonts w:ascii="宋体" w:hAnsi="宋体" w:cs="宋体"/>
          <w:b/>
          <w:bCs/>
          <w:sz w:val="36"/>
          <w:szCs w:val="36"/>
        </w:rPr>
      </w:pPr>
    </w:p>
    <w:p w14:paraId="5138551D">
      <w:pPr>
        <w:spacing w:line="440" w:lineRule="exact"/>
        <w:jc w:val="center"/>
        <w:rPr>
          <w:rFonts w:ascii="宋体" w:hAnsi="宋体" w:cs="宋体"/>
          <w:b/>
          <w:bCs/>
          <w:sz w:val="36"/>
          <w:szCs w:val="36"/>
        </w:rPr>
      </w:pPr>
    </w:p>
    <w:p w14:paraId="292DB727">
      <w:pPr>
        <w:spacing w:line="440" w:lineRule="exact"/>
        <w:jc w:val="center"/>
        <w:rPr>
          <w:rFonts w:ascii="宋体" w:hAnsi="宋体" w:cs="宋体"/>
          <w:b/>
          <w:bCs/>
          <w:sz w:val="36"/>
          <w:szCs w:val="36"/>
        </w:rPr>
      </w:pPr>
    </w:p>
    <w:p w14:paraId="5D8854BA">
      <w:pPr>
        <w:spacing w:line="440" w:lineRule="exact"/>
        <w:jc w:val="center"/>
        <w:rPr>
          <w:rFonts w:ascii="宋体" w:hAnsi="宋体" w:cs="宋体"/>
          <w:b/>
          <w:bCs/>
          <w:sz w:val="36"/>
          <w:szCs w:val="36"/>
        </w:rPr>
      </w:pPr>
    </w:p>
    <w:p w14:paraId="00883A53">
      <w:pPr>
        <w:pStyle w:val="4"/>
        <w:numPr>
          <w:ilvl w:val="1"/>
          <w:numId w:val="0"/>
        </w:numPr>
        <w:spacing w:line="360" w:lineRule="auto"/>
        <w:jc w:val="center"/>
        <w:rPr>
          <w:rFonts w:ascii="宋体" w:hAnsi="宋体" w:eastAsia="宋体" w:cs="宋体"/>
          <w:sz w:val="36"/>
          <w:szCs w:val="30"/>
        </w:rPr>
      </w:pPr>
      <w:bookmarkStart w:id="295" w:name="_Hlt41879464"/>
      <w:bookmarkEnd w:id="295"/>
      <w:bookmarkStart w:id="296" w:name="_Toc106030905"/>
      <w:bookmarkStart w:id="297" w:name="_Toc76462349"/>
      <w:bookmarkStart w:id="298" w:name="_Toc17388"/>
      <w:bookmarkStart w:id="299" w:name="_Toc12987"/>
      <w:bookmarkStart w:id="300" w:name="_Toc32031"/>
      <w:bookmarkStart w:id="301" w:name="_Toc1018"/>
      <w:bookmarkStart w:id="302" w:name="_Toc12042"/>
      <w:r>
        <w:rPr>
          <w:rFonts w:hint="eastAsia" w:ascii="宋体" w:hAnsi="宋体" w:eastAsia="宋体" w:cs="宋体"/>
          <w:sz w:val="36"/>
          <w:szCs w:val="30"/>
        </w:rPr>
        <w:t>第七篇  响应文件编制要求</w:t>
      </w:r>
      <w:bookmarkEnd w:id="296"/>
      <w:bookmarkEnd w:id="297"/>
      <w:bookmarkEnd w:id="298"/>
      <w:bookmarkEnd w:id="299"/>
      <w:bookmarkEnd w:id="300"/>
      <w:bookmarkEnd w:id="301"/>
      <w:bookmarkEnd w:id="302"/>
    </w:p>
    <w:p w14:paraId="636FA283">
      <w:pPr>
        <w:spacing w:line="400" w:lineRule="exact"/>
        <w:ind w:firstLine="480" w:firstLineChars="200"/>
        <w:rPr>
          <w:rFonts w:ascii="宋体" w:hAnsi="宋体" w:cs="宋体"/>
          <w:sz w:val="24"/>
          <w:szCs w:val="24"/>
        </w:rPr>
      </w:pPr>
      <w:r>
        <w:rPr>
          <w:rFonts w:hint="eastAsia" w:ascii="宋体" w:hAnsi="宋体" w:cs="宋体"/>
          <w:sz w:val="24"/>
          <w:szCs w:val="24"/>
        </w:rPr>
        <w:t>一、经济部分</w:t>
      </w:r>
    </w:p>
    <w:p w14:paraId="4006D3F3">
      <w:pPr>
        <w:spacing w:line="400" w:lineRule="exact"/>
        <w:ind w:firstLine="480" w:firstLineChars="200"/>
        <w:rPr>
          <w:rFonts w:ascii="宋体" w:hAnsi="宋体" w:cs="宋体"/>
          <w:sz w:val="24"/>
          <w:szCs w:val="24"/>
        </w:rPr>
      </w:pPr>
      <w:r>
        <w:rPr>
          <w:rFonts w:hint="eastAsia" w:ascii="宋体" w:hAnsi="宋体" w:cs="宋体"/>
          <w:sz w:val="24"/>
          <w:szCs w:val="24"/>
        </w:rPr>
        <w:t>（一）竞争性磋商报价函</w:t>
      </w:r>
    </w:p>
    <w:p w14:paraId="255E67B9">
      <w:pPr>
        <w:spacing w:line="400" w:lineRule="exact"/>
        <w:ind w:firstLine="480" w:firstLineChars="200"/>
        <w:rPr>
          <w:rFonts w:ascii="宋体" w:hAnsi="宋体" w:cs="宋体"/>
          <w:sz w:val="24"/>
          <w:szCs w:val="24"/>
        </w:rPr>
      </w:pPr>
      <w:r>
        <w:rPr>
          <w:rFonts w:hint="eastAsia" w:ascii="宋体" w:hAnsi="宋体" w:cs="宋体"/>
          <w:sz w:val="24"/>
          <w:szCs w:val="24"/>
        </w:rPr>
        <w:t>（二）分项报价明细表</w:t>
      </w:r>
    </w:p>
    <w:p w14:paraId="43A8F8DF">
      <w:pPr>
        <w:spacing w:line="400" w:lineRule="exact"/>
        <w:ind w:firstLine="480" w:firstLineChars="200"/>
        <w:rPr>
          <w:rFonts w:ascii="宋体" w:hAnsi="宋体" w:cs="宋体"/>
          <w:sz w:val="24"/>
          <w:szCs w:val="24"/>
        </w:rPr>
      </w:pPr>
      <w:r>
        <w:rPr>
          <w:rFonts w:hint="eastAsia" w:ascii="宋体" w:hAnsi="宋体" w:cs="宋体"/>
          <w:sz w:val="24"/>
          <w:szCs w:val="24"/>
        </w:rPr>
        <w:t>二、服务部分</w:t>
      </w:r>
    </w:p>
    <w:p w14:paraId="79FD2043">
      <w:pPr>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14:paraId="2EBD2B14">
      <w:pPr>
        <w:spacing w:line="400" w:lineRule="exact"/>
        <w:ind w:firstLine="480" w:firstLineChars="200"/>
        <w:rPr>
          <w:rFonts w:ascii="宋体" w:hAnsi="宋体" w:cs="宋体"/>
          <w:sz w:val="24"/>
          <w:szCs w:val="24"/>
        </w:rPr>
      </w:pPr>
      <w:r>
        <w:rPr>
          <w:rFonts w:hint="eastAsia" w:ascii="宋体" w:hAnsi="宋体" w:cs="宋体"/>
          <w:sz w:val="24"/>
          <w:szCs w:val="24"/>
        </w:rPr>
        <w:t>（二）其他资料（格式自定）</w:t>
      </w:r>
    </w:p>
    <w:p w14:paraId="059634BE">
      <w:pPr>
        <w:spacing w:line="400" w:lineRule="exact"/>
        <w:ind w:firstLine="480" w:firstLineChars="200"/>
        <w:rPr>
          <w:rFonts w:ascii="宋体" w:hAnsi="宋体" w:cs="宋体"/>
          <w:sz w:val="24"/>
          <w:szCs w:val="24"/>
        </w:rPr>
      </w:pPr>
      <w:r>
        <w:rPr>
          <w:rFonts w:hint="eastAsia" w:ascii="宋体" w:hAnsi="宋体" w:cs="宋体"/>
          <w:sz w:val="24"/>
          <w:szCs w:val="24"/>
        </w:rPr>
        <w:t>三、商务部分</w:t>
      </w:r>
    </w:p>
    <w:p w14:paraId="2DE7E0F3">
      <w:pPr>
        <w:spacing w:line="400" w:lineRule="exact"/>
        <w:ind w:firstLine="480" w:firstLineChars="200"/>
        <w:rPr>
          <w:rFonts w:ascii="宋体" w:hAnsi="宋体" w:cs="宋体"/>
          <w:sz w:val="24"/>
          <w:szCs w:val="24"/>
        </w:rPr>
      </w:pPr>
      <w:r>
        <w:rPr>
          <w:rFonts w:hint="eastAsia" w:ascii="宋体" w:hAnsi="宋体" w:cs="宋体"/>
          <w:sz w:val="24"/>
          <w:szCs w:val="24"/>
        </w:rPr>
        <w:t>（一）商务响应偏离表</w:t>
      </w:r>
    </w:p>
    <w:p w14:paraId="76794C86">
      <w:pPr>
        <w:spacing w:line="400" w:lineRule="exact"/>
        <w:ind w:firstLine="480" w:firstLineChars="200"/>
        <w:rPr>
          <w:rFonts w:ascii="宋体" w:hAnsi="宋体" w:cs="宋体"/>
          <w:sz w:val="24"/>
          <w:szCs w:val="24"/>
        </w:rPr>
      </w:pPr>
      <w:r>
        <w:rPr>
          <w:rFonts w:hint="eastAsia" w:ascii="宋体" w:hAnsi="宋体" w:cs="宋体"/>
          <w:sz w:val="24"/>
          <w:szCs w:val="24"/>
        </w:rPr>
        <w:t>（二）其它优惠服务承诺（格式自定）</w:t>
      </w:r>
    </w:p>
    <w:p w14:paraId="1C117071">
      <w:pPr>
        <w:spacing w:line="400" w:lineRule="exact"/>
        <w:ind w:firstLine="480" w:firstLineChars="200"/>
        <w:rPr>
          <w:rFonts w:ascii="宋体" w:hAnsi="宋体" w:cs="宋体"/>
          <w:sz w:val="24"/>
          <w:szCs w:val="24"/>
        </w:rPr>
      </w:pPr>
      <w:r>
        <w:rPr>
          <w:rFonts w:hint="eastAsia" w:ascii="宋体" w:hAnsi="宋体" w:cs="宋体"/>
          <w:sz w:val="24"/>
          <w:szCs w:val="24"/>
        </w:rPr>
        <w:t>四、资格条件及其他</w:t>
      </w:r>
    </w:p>
    <w:p w14:paraId="30D626B9">
      <w:pPr>
        <w:snapToGrid w:val="0"/>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28FA3A89">
      <w:pPr>
        <w:snapToGrid w:val="0"/>
        <w:spacing w:line="40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14:paraId="6508462C">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14:paraId="64E0EF79">
      <w:pPr>
        <w:snapToGrid w:val="0"/>
        <w:spacing w:line="400" w:lineRule="exact"/>
        <w:ind w:firstLine="480" w:firstLineChars="200"/>
        <w:rPr>
          <w:rFonts w:ascii="宋体" w:hAnsi="宋体" w:cs="宋体"/>
          <w:sz w:val="24"/>
          <w:szCs w:val="24"/>
        </w:rPr>
      </w:pPr>
      <w:r>
        <w:rPr>
          <w:rFonts w:hint="eastAsia" w:ascii="宋体" w:hAnsi="宋体" w:cs="宋体"/>
          <w:sz w:val="24"/>
          <w:szCs w:val="24"/>
        </w:rPr>
        <w:t>（四）基本资格条件承诺函（格式）</w:t>
      </w:r>
    </w:p>
    <w:p w14:paraId="2A7D5B02">
      <w:pPr>
        <w:snapToGrid w:val="0"/>
        <w:spacing w:line="400" w:lineRule="exact"/>
        <w:ind w:firstLine="480" w:firstLineChars="200"/>
        <w:rPr>
          <w:rFonts w:ascii="宋体" w:hAnsi="宋体" w:cs="宋体"/>
          <w:sz w:val="24"/>
          <w:szCs w:val="24"/>
        </w:rPr>
      </w:pPr>
      <w:r>
        <w:rPr>
          <w:rFonts w:hint="eastAsia" w:ascii="宋体" w:hAnsi="宋体" w:cs="宋体"/>
          <w:sz w:val="24"/>
          <w:szCs w:val="24"/>
        </w:rPr>
        <w:t>（五）特定资格条件证书或证明文件（如果有）</w:t>
      </w:r>
    </w:p>
    <w:p w14:paraId="503D1644">
      <w:pPr>
        <w:spacing w:line="400" w:lineRule="exact"/>
        <w:ind w:firstLine="480" w:firstLineChars="200"/>
        <w:rPr>
          <w:rFonts w:ascii="宋体" w:hAnsi="宋体" w:cs="宋体"/>
          <w:sz w:val="24"/>
          <w:szCs w:val="24"/>
        </w:rPr>
      </w:pPr>
      <w:r>
        <w:rPr>
          <w:rFonts w:hint="eastAsia" w:ascii="宋体" w:hAnsi="宋体" w:cs="宋体"/>
          <w:sz w:val="24"/>
          <w:szCs w:val="24"/>
        </w:rPr>
        <w:t>五、其他资料</w:t>
      </w:r>
    </w:p>
    <w:p w14:paraId="574F8F02">
      <w:pPr>
        <w:spacing w:line="400" w:lineRule="exact"/>
        <w:ind w:left="476" w:leftChars="170"/>
        <w:rPr>
          <w:rFonts w:ascii="宋体" w:hAnsi="宋体" w:cs="宋体"/>
          <w:sz w:val="24"/>
          <w:szCs w:val="24"/>
        </w:rPr>
      </w:pPr>
      <w:r>
        <w:rPr>
          <w:rFonts w:hint="eastAsia" w:ascii="宋体" w:hAnsi="宋体" w:cs="宋体"/>
          <w:sz w:val="24"/>
          <w:szCs w:val="24"/>
        </w:rPr>
        <w:t>（一）</w:t>
      </w:r>
      <w:r>
        <w:rPr>
          <w:rFonts w:hint="eastAsia" w:ascii="宋体" w:hAnsi="宋体" w:cs="宋体"/>
          <w:color w:val="000000"/>
          <w:sz w:val="24"/>
          <w:szCs w:val="24"/>
        </w:rPr>
        <w:t>中小企业声明函、监狱企业证明文件、残疾人福利性单位声明函</w:t>
      </w:r>
    </w:p>
    <w:p w14:paraId="38E81C65">
      <w:pPr>
        <w:spacing w:line="400" w:lineRule="exact"/>
        <w:ind w:left="476" w:leftChars="170"/>
        <w:rPr>
          <w:rFonts w:ascii="宋体" w:hAnsi="宋体" w:cs="宋体"/>
          <w:sz w:val="24"/>
          <w:szCs w:val="24"/>
        </w:rPr>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（二）其他与项目有关的资料</w:t>
      </w:r>
      <w:r>
        <w:rPr>
          <w:rFonts w:hint="eastAsia" w:ascii="宋体" w:hAnsi="宋体" w:cs="宋体"/>
          <w:sz w:val="24"/>
          <w:szCs w:val="24"/>
        </w:rPr>
        <w:br w:type="textWrapping"/>
      </w:r>
    </w:p>
    <w:p w14:paraId="5A29D7BA">
      <w:pPr>
        <w:pStyle w:val="4"/>
        <w:numPr>
          <w:ilvl w:val="1"/>
          <w:numId w:val="0"/>
        </w:numPr>
        <w:adjustRightInd w:val="0"/>
        <w:snapToGrid w:val="0"/>
        <w:spacing w:line="400" w:lineRule="exact"/>
        <w:rPr>
          <w:rFonts w:ascii="宋体" w:hAnsi="宋体" w:eastAsia="宋体" w:cs="宋体"/>
          <w:b/>
          <w:bCs w:val="0"/>
          <w:sz w:val="24"/>
        </w:rPr>
      </w:pPr>
      <w:bookmarkStart w:id="303" w:name="_Toc342913419"/>
      <w:bookmarkStart w:id="304" w:name="_Toc13360"/>
      <w:bookmarkStart w:id="305" w:name="_Toc313888360"/>
      <w:bookmarkStart w:id="306" w:name="_Toc23464"/>
      <w:bookmarkStart w:id="307" w:name="_Toc12836"/>
      <w:bookmarkStart w:id="308" w:name="_Toc76462350"/>
      <w:bookmarkStart w:id="309" w:name="_Toc16334"/>
      <w:bookmarkStart w:id="310" w:name="_Toc313008356"/>
      <w:bookmarkStart w:id="311" w:name="_Toc31217"/>
      <w:bookmarkStart w:id="312" w:name="_Toc106030906"/>
      <w:bookmarkStart w:id="313" w:name="_Toc12789073"/>
      <w:bookmarkStart w:id="314" w:name="_Toc283382454"/>
      <w:r>
        <w:rPr>
          <w:rFonts w:hint="eastAsia" w:ascii="宋体" w:hAnsi="宋体" w:eastAsia="宋体" w:cs="宋体"/>
          <w:b/>
          <w:bCs w:val="0"/>
          <w:sz w:val="24"/>
        </w:rPr>
        <w:t>一、经济部分</w:t>
      </w:r>
      <w:bookmarkEnd w:id="303"/>
      <w:bookmarkEnd w:id="304"/>
      <w:bookmarkEnd w:id="305"/>
      <w:bookmarkEnd w:id="306"/>
      <w:bookmarkEnd w:id="307"/>
      <w:bookmarkEnd w:id="308"/>
      <w:bookmarkEnd w:id="309"/>
      <w:bookmarkEnd w:id="310"/>
      <w:bookmarkEnd w:id="311"/>
      <w:bookmarkEnd w:id="312"/>
    </w:p>
    <w:bookmarkEnd w:id="313"/>
    <w:bookmarkEnd w:id="314"/>
    <w:p w14:paraId="5B35E160">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（一）竞争性磋商报价函</w:t>
      </w:r>
    </w:p>
    <w:p w14:paraId="318F51EF">
      <w:pPr>
        <w:jc w:val="center"/>
        <w:rPr>
          <w:rFonts w:ascii="宋体" w:hAnsi="宋体" w:cs="宋体"/>
          <w:b/>
          <w:szCs w:val="28"/>
        </w:rPr>
      </w:pPr>
      <w:r>
        <w:rPr>
          <w:rFonts w:hint="eastAsia" w:ascii="宋体" w:hAnsi="宋体" w:cs="宋体"/>
          <w:b/>
          <w:szCs w:val="28"/>
        </w:rPr>
        <w:t>竞争性磋商报价函</w:t>
      </w:r>
    </w:p>
    <w:p w14:paraId="7CECF8DD">
      <w:pPr>
        <w:tabs>
          <w:tab w:val="left" w:pos="6300"/>
        </w:tabs>
        <w:snapToGrid w:val="0"/>
        <w:spacing w:line="312" w:lineRule="auto"/>
        <w:rPr>
          <w:rFonts w:ascii="宋体" w:hAnsi="宋体" w:cs="宋体"/>
          <w:sz w:val="24"/>
          <w:szCs w:val="24"/>
        </w:rPr>
      </w:pPr>
      <w:r>
        <w:rPr>
          <w:rFonts w:hint="eastAsia" w:ascii="宋体" w:hAnsi="宋体" w:cs="宋体"/>
          <w:sz w:val="24"/>
          <w:szCs w:val="24"/>
          <w:u w:val="single"/>
        </w:rPr>
        <w:t>（采购代理机构名称）</w:t>
      </w:r>
      <w:r>
        <w:rPr>
          <w:rFonts w:hint="eastAsia" w:ascii="宋体" w:hAnsi="宋体" w:cs="宋体"/>
          <w:sz w:val="24"/>
          <w:szCs w:val="24"/>
        </w:rPr>
        <w:t>：</w:t>
      </w:r>
    </w:p>
    <w:p w14:paraId="6A2D6034">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我方收到____________________________（磋商项目名称）的竞争性磋商文件，经详细研究，决定参加该项目的磋商。</w:t>
      </w:r>
    </w:p>
    <w:p w14:paraId="0DA94F96">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1.愿意按照竞争性磋商文件中的一切要求，提供本项目的服务，初始报价为人民币大写：</w:t>
      </w:r>
      <w:r>
        <w:rPr>
          <w:rFonts w:hint="eastAsia" w:ascii="宋体" w:hAnsi="宋体" w:cs="宋体"/>
          <w:sz w:val="24"/>
          <w:szCs w:val="24"/>
          <w:u w:val="single"/>
        </w:rPr>
        <w:t xml:space="preserve">             </w:t>
      </w:r>
      <w:r>
        <w:rPr>
          <w:rFonts w:hint="eastAsia" w:ascii="宋体" w:hAnsi="宋体" w:cs="宋体"/>
          <w:sz w:val="24"/>
          <w:szCs w:val="24"/>
        </w:rPr>
        <w:t>元整，人民币小写：</w:t>
      </w:r>
      <w:r>
        <w:rPr>
          <w:rFonts w:hint="eastAsia" w:ascii="宋体" w:hAnsi="宋体" w:cs="宋体"/>
          <w:sz w:val="24"/>
          <w:szCs w:val="24"/>
          <w:u w:val="single"/>
        </w:rPr>
        <w:t xml:space="preserve">             </w:t>
      </w:r>
      <w:r>
        <w:rPr>
          <w:rFonts w:hint="eastAsia" w:ascii="宋体" w:hAnsi="宋体" w:cs="宋体"/>
          <w:sz w:val="24"/>
          <w:szCs w:val="24"/>
        </w:rPr>
        <w:t>元。以我公司最后报价为准。</w:t>
      </w:r>
    </w:p>
    <w:p w14:paraId="500F9DD3">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份，电子文档</w:t>
      </w:r>
      <w:r>
        <w:rPr>
          <w:rFonts w:hint="eastAsia" w:ascii="宋体" w:hAnsi="宋体" w:cs="宋体"/>
          <w:sz w:val="24"/>
          <w:szCs w:val="24"/>
          <w:u w:val="single"/>
        </w:rPr>
        <w:t xml:space="preserve">   </w:t>
      </w:r>
      <w:r>
        <w:rPr>
          <w:rFonts w:hint="eastAsia" w:ascii="宋体" w:hAnsi="宋体" w:cs="宋体"/>
          <w:sz w:val="24"/>
          <w:szCs w:val="24"/>
        </w:rPr>
        <w:t>份。</w:t>
      </w:r>
    </w:p>
    <w:p w14:paraId="49D4E584">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3.我方承诺：本次磋商的有效期为提交响应文件截止时间起90天。</w:t>
      </w:r>
    </w:p>
    <w:p w14:paraId="3EA24885">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4.我方完全理解和接受贵方竞争性磋商文件的一切规定和要求及评审办法。</w:t>
      </w:r>
    </w:p>
    <w:p w14:paraId="33BA9E19">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5.在整个竞争性磋商过程中，我方若有违规行为，接受按照《中华人民共和国政府采购法》和《竞争性磋商文件》之规定给予惩罚。</w:t>
      </w:r>
    </w:p>
    <w:p w14:paraId="3C3812F3">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6.我方若成为成交供应商，将按照最终磋商结果签订合同，并且严格履行合同义务。本承诺函将成为合同不可分割的一部分，与合同具有同等的法律效力。</w:t>
      </w:r>
    </w:p>
    <w:p w14:paraId="3AA2B973">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7.如果我方成为成交供应商，保证在接到成交通知书后，向采购代理机构</w:t>
      </w:r>
      <w:r>
        <w:rPr>
          <w:rFonts w:hint="eastAsia" w:ascii="宋体" w:hAnsi="宋体" w:cs="宋体"/>
          <w:sz w:val="24"/>
        </w:rPr>
        <w:t>缴纳</w:t>
      </w:r>
      <w:r>
        <w:rPr>
          <w:rFonts w:hint="eastAsia" w:ascii="宋体" w:hAnsi="宋体" w:cs="宋体"/>
          <w:sz w:val="24"/>
          <w:szCs w:val="24"/>
        </w:rPr>
        <w:t>竞争性磋商文件规定的采购代理服务费。</w:t>
      </w:r>
    </w:p>
    <w:p w14:paraId="5741DCA4">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14:paraId="1C6524E1">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供应商（公章）或自然人签署：</w:t>
      </w:r>
    </w:p>
    <w:p w14:paraId="3D5A2899">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地址：  </w:t>
      </w:r>
    </w:p>
    <w:p w14:paraId="2BAECCDE">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电话：                                             传真：</w:t>
      </w:r>
    </w:p>
    <w:p w14:paraId="313F440D">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网址：                                             邮编：</w:t>
      </w:r>
    </w:p>
    <w:p w14:paraId="273162AF">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联系人：</w:t>
      </w:r>
    </w:p>
    <w:p w14:paraId="3E924E28">
      <w:pPr>
        <w:snapToGrid w:val="0"/>
        <w:spacing w:line="312" w:lineRule="auto"/>
        <w:ind w:firstLine="480" w:firstLineChars="200"/>
        <w:rPr>
          <w:rFonts w:ascii="宋体" w:hAnsi="宋体" w:cs="宋体"/>
          <w:sz w:val="24"/>
          <w:szCs w:val="24"/>
        </w:rPr>
      </w:pPr>
      <w:r>
        <w:rPr>
          <w:rFonts w:hint="eastAsia" w:ascii="宋体" w:hAnsi="宋体" w:cs="宋体"/>
          <w:sz w:val="24"/>
          <w:szCs w:val="24"/>
        </w:rPr>
        <w:t xml:space="preserve">                                                  年   月   日</w:t>
      </w:r>
    </w:p>
    <w:p w14:paraId="7B9B988D">
      <w:pPr>
        <w:pStyle w:val="23"/>
        <w:rPr>
          <w:rFonts w:ascii="宋体" w:hAnsi="宋体" w:cs="宋体"/>
          <w:sz w:val="24"/>
          <w:szCs w:val="24"/>
        </w:rPr>
      </w:pPr>
    </w:p>
    <w:p w14:paraId="06B1BF21">
      <w:pPr>
        <w:rPr>
          <w:rFonts w:ascii="宋体" w:hAnsi="宋体" w:cs="宋体"/>
          <w:sz w:val="24"/>
          <w:szCs w:val="24"/>
        </w:rPr>
      </w:pPr>
    </w:p>
    <w:p w14:paraId="3E5CE24E">
      <w:pPr>
        <w:pStyle w:val="23"/>
        <w:rPr>
          <w:rFonts w:ascii="宋体" w:hAnsi="宋体" w:cs="宋体"/>
          <w:sz w:val="24"/>
          <w:szCs w:val="24"/>
        </w:rPr>
      </w:pPr>
    </w:p>
    <w:p w14:paraId="7F4F13DD">
      <w:pPr>
        <w:snapToGrid w:val="0"/>
        <w:spacing w:line="400" w:lineRule="exact"/>
        <w:ind w:firstLine="480" w:firstLineChars="200"/>
        <w:rPr>
          <w:rFonts w:ascii="宋体" w:hAnsi="宋体" w:cs="宋体"/>
          <w:sz w:val="24"/>
          <w:szCs w:val="28"/>
        </w:rPr>
      </w:pPr>
    </w:p>
    <w:p w14:paraId="30887160">
      <w:pPr>
        <w:snapToGrid w:val="0"/>
        <w:spacing w:line="400" w:lineRule="exact"/>
        <w:ind w:firstLine="480" w:firstLineChars="200"/>
        <w:rPr>
          <w:rFonts w:ascii="宋体" w:hAnsi="宋体" w:cs="宋体"/>
          <w:sz w:val="24"/>
          <w:szCs w:val="28"/>
        </w:rPr>
      </w:pPr>
    </w:p>
    <w:p w14:paraId="1849E907">
      <w:pPr>
        <w:snapToGrid w:val="0"/>
        <w:spacing w:line="400" w:lineRule="exact"/>
        <w:ind w:firstLine="480" w:firstLineChars="200"/>
        <w:rPr>
          <w:rFonts w:ascii="宋体" w:hAnsi="宋体" w:cs="宋体"/>
          <w:sz w:val="24"/>
          <w:szCs w:val="28"/>
        </w:rPr>
      </w:pPr>
    </w:p>
    <w:p w14:paraId="036A5B3A">
      <w:pPr>
        <w:snapToGrid w:val="0"/>
        <w:spacing w:line="400" w:lineRule="exact"/>
        <w:ind w:firstLine="480" w:firstLineChars="200"/>
        <w:rPr>
          <w:rFonts w:ascii="宋体" w:hAnsi="宋体" w:cs="宋体"/>
          <w:sz w:val="24"/>
          <w:szCs w:val="28"/>
        </w:rPr>
      </w:pPr>
    </w:p>
    <w:p w14:paraId="1C761777">
      <w:pPr>
        <w:snapToGrid w:val="0"/>
        <w:spacing w:line="400" w:lineRule="exact"/>
        <w:ind w:firstLine="480" w:firstLineChars="200"/>
        <w:rPr>
          <w:rFonts w:ascii="宋体" w:hAnsi="宋体" w:cs="宋体"/>
          <w:sz w:val="24"/>
          <w:szCs w:val="28"/>
        </w:rPr>
      </w:pPr>
    </w:p>
    <w:p w14:paraId="42F543FC">
      <w:pPr>
        <w:snapToGrid w:val="0"/>
        <w:spacing w:line="400" w:lineRule="exact"/>
        <w:ind w:firstLine="480" w:firstLineChars="200"/>
        <w:rPr>
          <w:rFonts w:ascii="宋体" w:hAnsi="宋体" w:cs="宋体"/>
          <w:sz w:val="24"/>
          <w:szCs w:val="28"/>
        </w:rPr>
      </w:pPr>
    </w:p>
    <w:p w14:paraId="182EB0D5">
      <w:pPr>
        <w:snapToGrid w:val="0"/>
        <w:spacing w:line="400" w:lineRule="exact"/>
        <w:ind w:firstLine="480" w:firstLineChars="200"/>
        <w:rPr>
          <w:rFonts w:ascii="宋体" w:hAnsi="宋体" w:cs="宋体"/>
          <w:sz w:val="24"/>
          <w:szCs w:val="28"/>
        </w:rPr>
      </w:pPr>
    </w:p>
    <w:p w14:paraId="557C096F">
      <w:pPr>
        <w:snapToGrid w:val="0"/>
        <w:spacing w:line="400" w:lineRule="exact"/>
        <w:ind w:firstLine="480" w:firstLineChars="200"/>
        <w:rPr>
          <w:rFonts w:ascii="宋体" w:hAnsi="宋体" w:cs="宋体"/>
          <w:sz w:val="24"/>
          <w:szCs w:val="28"/>
        </w:rPr>
      </w:pPr>
    </w:p>
    <w:p w14:paraId="261176CF">
      <w:pPr>
        <w:snapToGrid w:val="0"/>
        <w:spacing w:line="400" w:lineRule="exact"/>
        <w:ind w:firstLine="480" w:firstLineChars="200"/>
        <w:rPr>
          <w:rFonts w:ascii="宋体" w:hAnsi="宋体" w:cs="宋体"/>
          <w:sz w:val="24"/>
          <w:szCs w:val="28"/>
        </w:rPr>
      </w:pPr>
    </w:p>
    <w:p w14:paraId="35BEF0D9">
      <w:pPr>
        <w:snapToGrid w:val="0"/>
        <w:spacing w:line="400" w:lineRule="exact"/>
        <w:ind w:firstLine="480" w:firstLineChars="200"/>
        <w:rPr>
          <w:rFonts w:ascii="宋体" w:hAnsi="宋体" w:cs="宋体"/>
          <w:sz w:val="24"/>
          <w:szCs w:val="28"/>
        </w:rPr>
      </w:pPr>
      <w:r>
        <w:rPr>
          <w:rFonts w:hint="eastAsia" w:ascii="宋体" w:hAnsi="宋体" w:cs="宋体"/>
          <w:sz w:val="24"/>
          <w:szCs w:val="28"/>
        </w:rPr>
        <w:t>（二）分项报价明细表</w:t>
      </w:r>
    </w:p>
    <w:p w14:paraId="576F6443">
      <w:pPr>
        <w:snapToGrid w:val="0"/>
        <w:spacing w:line="400" w:lineRule="exact"/>
        <w:ind w:firstLine="480" w:firstLineChars="200"/>
        <w:rPr>
          <w:rFonts w:ascii="宋体" w:hAnsi="宋体" w:cs="宋体"/>
          <w:sz w:val="24"/>
          <w:szCs w:val="28"/>
        </w:rPr>
      </w:pPr>
      <w:r>
        <w:rPr>
          <w:rFonts w:hint="eastAsia" w:ascii="宋体" w:hAnsi="宋体" w:cs="宋体"/>
          <w:sz w:val="24"/>
          <w:szCs w:val="28"/>
        </w:rPr>
        <w:t>项目号：</w:t>
      </w:r>
    </w:p>
    <w:p w14:paraId="161F7A31">
      <w:pPr>
        <w:snapToGrid w:val="0"/>
        <w:spacing w:line="400" w:lineRule="exact"/>
        <w:ind w:firstLine="480" w:firstLineChars="200"/>
        <w:rPr>
          <w:rFonts w:ascii="宋体" w:hAnsi="宋体" w:cs="宋体"/>
          <w:sz w:val="24"/>
          <w:szCs w:val="28"/>
        </w:rPr>
      </w:pPr>
      <w:r>
        <w:rPr>
          <w:rFonts w:hint="eastAsia" w:ascii="宋体" w:hAnsi="宋体" w:cs="宋体"/>
          <w:sz w:val="24"/>
          <w:szCs w:val="28"/>
        </w:rPr>
        <w:t>磋商项目名称：                                           单位：元</w:t>
      </w:r>
    </w:p>
    <w:tbl>
      <w:tblPr>
        <w:tblStyle w:val="29"/>
        <w:tblW w:w="9628" w:type="dxa"/>
        <w:jc w:val="center"/>
        <w:tblLayout w:type="fixed"/>
        <w:tblCellMar>
          <w:top w:w="0" w:type="dxa"/>
          <w:left w:w="0" w:type="dxa"/>
          <w:bottom w:w="0" w:type="dxa"/>
          <w:right w:w="0" w:type="dxa"/>
        </w:tblCellMar>
      </w:tblPr>
      <w:tblGrid>
        <w:gridCol w:w="934"/>
        <w:gridCol w:w="934"/>
        <w:gridCol w:w="4958"/>
        <w:gridCol w:w="934"/>
        <w:gridCol w:w="934"/>
        <w:gridCol w:w="934"/>
      </w:tblGrid>
      <w:tr w14:paraId="149FDB7D">
        <w:tblPrEx>
          <w:tblCellMar>
            <w:top w:w="0" w:type="dxa"/>
            <w:left w:w="0" w:type="dxa"/>
            <w:bottom w:w="0" w:type="dxa"/>
            <w:right w:w="0" w:type="dxa"/>
          </w:tblCellMar>
        </w:tblPrEx>
        <w:trPr>
          <w:trHeight w:val="535"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66A2A4B">
            <w:pPr>
              <w:snapToGrid w:val="0"/>
              <w:jc w:val="center"/>
              <w:rPr>
                <w:rFonts w:ascii="宋体" w:hAnsi="宋体" w:cs="宋体"/>
                <w:bCs/>
                <w:sz w:val="24"/>
                <w:szCs w:val="24"/>
              </w:rPr>
            </w:pPr>
            <w:r>
              <w:rPr>
                <w:rFonts w:hint="eastAsia" w:ascii="宋体" w:hAnsi="宋体" w:cs="宋体"/>
                <w:bCs/>
                <w:sz w:val="24"/>
                <w:szCs w:val="24"/>
              </w:rPr>
              <w:t>序号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D7B99E7">
            <w:pPr>
              <w:snapToGrid w:val="0"/>
              <w:jc w:val="center"/>
              <w:rPr>
                <w:rFonts w:ascii="宋体" w:hAnsi="宋体" w:cs="宋体"/>
                <w:bCs/>
                <w:sz w:val="24"/>
                <w:szCs w:val="24"/>
              </w:rPr>
            </w:pPr>
            <w:r>
              <w:rPr>
                <w:rFonts w:hint="eastAsia" w:ascii="宋体" w:hAnsi="宋体" w:cs="宋体"/>
                <w:bCs/>
                <w:sz w:val="24"/>
                <w:szCs w:val="24"/>
              </w:rPr>
              <w:t>名称</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D7FB469">
            <w:pPr>
              <w:snapToGrid w:val="0"/>
              <w:jc w:val="center"/>
              <w:rPr>
                <w:rFonts w:ascii="宋体" w:hAnsi="宋体" w:cs="宋体"/>
                <w:bCs/>
                <w:sz w:val="24"/>
                <w:szCs w:val="24"/>
              </w:rPr>
            </w:pPr>
            <w:r>
              <w:rPr>
                <w:rFonts w:hint="eastAsia" w:ascii="宋体" w:hAnsi="宋体" w:cs="宋体"/>
                <w:bCs/>
                <w:sz w:val="24"/>
                <w:szCs w:val="24"/>
              </w:rPr>
              <w:t>相关信息</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44D2F3A">
            <w:pPr>
              <w:snapToGrid w:val="0"/>
              <w:jc w:val="center"/>
              <w:rPr>
                <w:rFonts w:ascii="宋体" w:hAnsi="宋体" w:cs="宋体"/>
                <w:bCs/>
                <w:sz w:val="24"/>
                <w:szCs w:val="24"/>
              </w:rPr>
            </w:pPr>
            <w:r>
              <w:rPr>
                <w:rFonts w:hint="eastAsia" w:ascii="宋体" w:hAnsi="宋体" w:cs="宋体"/>
                <w:bCs/>
                <w:sz w:val="24"/>
                <w:szCs w:val="24"/>
              </w:rPr>
              <w:t>数量</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2FB479A">
            <w:pPr>
              <w:snapToGrid w:val="0"/>
              <w:jc w:val="center"/>
              <w:rPr>
                <w:rFonts w:ascii="宋体" w:hAnsi="宋体" w:cs="宋体"/>
                <w:bCs/>
                <w:sz w:val="24"/>
                <w:szCs w:val="24"/>
              </w:rPr>
            </w:pPr>
            <w:r>
              <w:rPr>
                <w:rFonts w:hint="eastAsia" w:ascii="宋体" w:hAnsi="宋体" w:cs="宋体"/>
                <w:bCs/>
                <w:sz w:val="24"/>
                <w:szCs w:val="24"/>
              </w:rPr>
              <w:t>单价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889E85F">
            <w:pPr>
              <w:snapToGrid w:val="0"/>
              <w:jc w:val="center"/>
              <w:rPr>
                <w:rFonts w:ascii="宋体" w:hAnsi="宋体" w:cs="宋体"/>
                <w:bCs/>
                <w:sz w:val="24"/>
                <w:szCs w:val="24"/>
              </w:rPr>
            </w:pPr>
            <w:r>
              <w:rPr>
                <w:rFonts w:hint="eastAsia" w:ascii="宋体" w:hAnsi="宋体" w:cs="宋体"/>
                <w:bCs/>
                <w:sz w:val="24"/>
                <w:szCs w:val="24"/>
              </w:rPr>
              <w:t>合计</w:t>
            </w:r>
          </w:p>
        </w:tc>
      </w:tr>
      <w:tr w14:paraId="70C02408">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CAB7F5D">
            <w:pPr>
              <w:snapToGrid w:val="0"/>
              <w:spacing w:line="240" w:lineRule="atLeast"/>
              <w:jc w:val="center"/>
              <w:rPr>
                <w:rFonts w:ascii="宋体" w:hAnsi="宋体" w:cs="宋体"/>
                <w:bCs/>
                <w:sz w:val="24"/>
                <w:szCs w:val="24"/>
              </w:rPr>
            </w:pPr>
            <w:r>
              <w:rPr>
                <w:rFonts w:hint="eastAsia" w:ascii="宋体" w:hAnsi="宋体" w:cs="宋体"/>
                <w:bCs/>
                <w:sz w:val="24"/>
                <w:szCs w:val="24"/>
              </w:rPr>
              <w:t>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2227C9D">
            <w:pPr>
              <w:snapToGrid w:val="0"/>
              <w:jc w:val="center"/>
              <w:rPr>
                <w:rFonts w:ascii="宋体" w:hAnsi="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BB6F89C">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81B46C0">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42515E4">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DB7DFDC">
            <w:pPr>
              <w:snapToGrid w:val="0"/>
              <w:jc w:val="center"/>
              <w:rPr>
                <w:rFonts w:ascii="宋体" w:hAnsi="宋体" w:cs="宋体"/>
                <w:bCs/>
                <w:sz w:val="24"/>
                <w:szCs w:val="24"/>
              </w:rPr>
            </w:pPr>
          </w:p>
        </w:tc>
      </w:tr>
      <w:tr w14:paraId="716D3FBD">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503CD37">
            <w:pPr>
              <w:snapToGrid w:val="0"/>
              <w:spacing w:line="240" w:lineRule="atLeast"/>
              <w:jc w:val="center"/>
              <w:rPr>
                <w:rFonts w:ascii="宋体" w:hAnsi="宋体" w:cs="宋体"/>
                <w:bCs/>
                <w:sz w:val="24"/>
                <w:szCs w:val="24"/>
              </w:rPr>
            </w:pPr>
            <w:r>
              <w:rPr>
                <w:rFonts w:hint="eastAsia" w:ascii="宋体" w:hAnsi="宋体" w:cs="宋体"/>
                <w:bCs/>
                <w:sz w:val="24"/>
                <w:szCs w:val="24"/>
              </w:rPr>
              <w:t>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29698FE">
            <w:pPr>
              <w:snapToGrid w:val="0"/>
              <w:jc w:val="center"/>
              <w:rPr>
                <w:rFonts w:ascii="宋体" w:hAnsi="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A9657B7">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F0679B3">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BF0C74F">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2A6D3AD">
            <w:pPr>
              <w:snapToGrid w:val="0"/>
              <w:jc w:val="center"/>
              <w:rPr>
                <w:rFonts w:ascii="宋体" w:hAnsi="宋体" w:cs="宋体"/>
                <w:bCs/>
                <w:sz w:val="24"/>
                <w:szCs w:val="24"/>
              </w:rPr>
            </w:pPr>
          </w:p>
        </w:tc>
      </w:tr>
      <w:tr w14:paraId="6E6851B3">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E15B9E5">
            <w:pPr>
              <w:snapToGrid w:val="0"/>
              <w:spacing w:line="240" w:lineRule="atLeast"/>
              <w:jc w:val="center"/>
              <w:rPr>
                <w:rFonts w:ascii="宋体" w:hAnsi="宋体" w:cs="宋体"/>
                <w:bCs/>
                <w:sz w:val="24"/>
                <w:szCs w:val="24"/>
              </w:rPr>
            </w:pPr>
            <w:r>
              <w:rPr>
                <w:rFonts w:hint="eastAsia" w:ascii="宋体" w:hAnsi="宋体" w:cs="宋体"/>
                <w:bCs/>
                <w:sz w:val="24"/>
                <w:szCs w:val="24"/>
              </w:rPr>
              <w:t>3</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C47EED8">
            <w:pPr>
              <w:snapToGrid w:val="0"/>
              <w:jc w:val="center"/>
              <w:rPr>
                <w:rFonts w:ascii="宋体" w:hAnsi="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EF2F7EC">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D79AC65">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F3FDBEA">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C2427F3">
            <w:pPr>
              <w:snapToGrid w:val="0"/>
              <w:jc w:val="center"/>
              <w:rPr>
                <w:rFonts w:ascii="宋体" w:hAnsi="宋体" w:cs="宋体"/>
                <w:bCs/>
                <w:sz w:val="24"/>
                <w:szCs w:val="24"/>
              </w:rPr>
            </w:pPr>
          </w:p>
        </w:tc>
      </w:tr>
      <w:tr w14:paraId="7A19167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67EF7F8">
            <w:pPr>
              <w:snapToGrid w:val="0"/>
              <w:spacing w:line="240" w:lineRule="atLeast"/>
              <w:jc w:val="center"/>
              <w:rPr>
                <w:rFonts w:ascii="宋体" w:hAnsi="宋体" w:cs="宋体"/>
                <w:bCs/>
                <w:sz w:val="24"/>
                <w:szCs w:val="24"/>
              </w:rPr>
            </w:pPr>
            <w:r>
              <w:rPr>
                <w:rFonts w:hint="eastAsia" w:ascii="宋体" w:hAnsi="宋体" w:cs="宋体"/>
                <w:bCs/>
                <w:sz w:val="24"/>
                <w:szCs w:val="24"/>
              </w:rPr>
              <w:t>4</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0744EA4">
            <w:pPr>
              <w:snapToGrid w:val="0"/>
              <w:jc w:val="center"/>
              <w:rPr>
                <w:rFonts w:ascii="宋体" w:hAnsi="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7DD5CCC">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02F0C7C">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5451DAC">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6AEBB7C">
            <w:pPr>
              <w:snapToGrid w:val="0"/>
              <w:jc w:val="center"/>
              <w:rPr>
                <w:rFonts w:ascii="宋体" w:hAnsi="宋体" w:cs="宋体"/>
                <w:bCs/>
                <w:sz w:val="24"/>
                <w:szCs w:val="24"/>
              </w:rPr>
            </w:pPr>
          </w:p>
        </w:tc>
      </w:tr>
      <w:tr w14:paraId="4F154CB3">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29C38FF">
            <w:pPr>
              <w:snapToGrid w:val="0"/>
              <w:spacing w:line="240" w:lineRule="atLeast"/>
              <w:jc w:val="center"/>
              <w:rPr>
                <w:rFonts w:ascii="宋体" w:hAnsi="宋体" w:cs="宋体"/>
                <w:bCs/>
                <w:sz w:val="24"/>
                <w:szCs w:val="24"/>
              </w:rPr>
            </w:pPr>
            <w:r>
              <w:rPr>
                <w:rFonts w:hint="eastAsia" w:ascii="宋体" w:hAnsi="宋体" w:cs="宋体"/>
                <w:bCs/>
                <w:sz w:val="24"/>
                <w:szCs w:val="24"/>
              </w:rPr>
              <w:t>5</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55FA4B">
            <w:pPr>
              <w:snapToGrid w:val="0"/>
              <w:jc w:val="center"/>
              <w:rPr>
                <w:rFonts w:ascii="宋体" w:hAnsi="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FF3C0F4">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1BE42C0">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4E5BA8F">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4CA2E0E">
            <w:pPr>
              <w:snapToGrid w:val="0"/>
              <w:jc w:val="center"/>
              <w:rPr>
                <w:rFonts w:ascii="宋体" w:hAnsi="宋体" w:cs="宋体"/>
                <w:bCs/>
                <w:sz w:val="24"/>
                <w:szCs w:val="24"/>
              </w:rPr>
            </w:pPr>
          </w:p>
        </w:tc>
      </w:tr>
      <w:tr w14:paraId="121F3B45">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DC4CD2C">
            <w:pPr>
              <w:snapToGrid w:val="0"/>
              <w:spacing w:line="240" w:lineRule="atLeast"/>
              <w:jc w:val="center"/>
              <w:rPr>
                <w:rFonts w:ascii="宋体" w:hAnsi="宋体" w:cs="宋体"/>
                <w:bCs/>
                <w:sz w:val="24"/>
                <w:szCs w:val="24"/>
              </w:rPr>
            </w:pPr>
            <w:r>
              <w:rPr>
                <w:rFonts w:hint="eastAsia" w:ascii="宋体" w:hAnsi="宋体" w:cs="宋体"/>
                <w:bCs/>
                <w:sz w:val="24"/>
                <w:szCs w:val="24"/>
              </w:rPr>
              <w:t>6</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60DE55F">
            <w:pPr>
              <w:snapToGrid w:val="0"/>
              <w:jc w:val="center"/>
              <w:rPr>
                <w:rFonts w:ascii="宋体" w:hAnsi="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C90B604">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0DD206A">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680619C">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963FA7B">
            <w:pPr>
              <w:snapToGrid w:val="0"/>
              <w:jc w:val="center"/>
              <w:rPr>
                <w:rFonts w:ascii="宋体" w:hAnsi="宋体" w:cs="宋体"/>
                <w:bCs/>
                <w:sz w:val="24"/>
                <w:szCs w:val="24"/>
              </w:rPr>
            </w:pPr>
          </w:p>
        </w:tc>
      </w:tr>
      <w:tr w14:paraId="051C077E">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858FA68">
            <w:pPr>
              <w:snapToGrid w:val="0"/>
              <w:spacing w:line="240" w:lineRule="atLeast"/>
              <w:jc w:val="center"/>
              <w:rPr>
                <w:rFonts w:ascii="宋体" w:hAnsi="宋体" w:cs="宋体"/>
                <w:bCs/>
                <w:sz w:val="24"/>
                <w:szCs w:val="24"/>
              </w:rPr>
            </w:pPr>
            <w:r>
              <w:rPr>
                <w:rFonts w:hint="eastAsia" w:ascii="宋体" w:hAnsi="宋体" w:cs="宋体"/>
                <w:bCs/>
                <w:sz w:val="24"/>
                <w:szCs w:val="24"/>
              </w:rPr>
              <w:t>7</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8033D25">
            <w:pPr>
              <w:snapToGrid w:val="0"/>
              <w:jc w:val="center"/>
              <w:rPr>
                <w:rFonts w:ascii="宋体" w:hAnsi="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B5ACCF7">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A79E996">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7E90944">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907D085">
            <w:pPr>
              <w:snapToGrid w:val="0"/>
              <w:jc w:val="center"/>
              <w:rPr>
                <w:rFonts w:ascii="宋体" w:hAnsi="宋体" w:cs="宋体"/>
                <w:bCs/>
                <w:sz w:val="24"/>
                <w:szCs w:val="24"/>
              </w:rPr>
            </w:pPr>
          </w:p>
        </w:tc>
      </w:tr>
      <w:tr w14:paraId="35EA3A08">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96B561A">
            <w:pPr>
              <w:snapToGrid w:val="0"/>
              <w:spacing w:line="240" w:lineRule="atLeast"/>
              <w:jc w:val="center"/>
              <w:rPr>
                <w:rFonts w:ascii="宋体" w:hAnsi="宋体" w:cs="宋体"/>
                <w:bCs/>
                <w:sz w:val="24"/>
                <w:szCs w:val="24"/>
              </w:rPr>
            </w:pPr>
            <w:r>
              <w:rPr>
                <w:rFonts w:hint="eastAsia" w:ascii="宋体" w:hAnsi="宋体" w:cs="宋体"/>
                <w:bCs/>
                <w:sz w:val="24"/>
                <w:szCs w:val="24"/>
              </w:rPr>
              <w:t>8</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D6BD43C">
            <w:pPr>
              <w:snapToGrid w:val="0"/>
              <w:jc w:val="center"/>
              <w:rPr>
                <w:rFonts w:ascii="宋体" w:hAnsi="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1AE053D">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3BB7D64">
            <w:pPr>
              <w:snapToGrid w:val="0"/>
              <w:jc w:val="center"/>
              <w:rPr>
                <w:rFonts w:ascii="宋体" w:hAnsi="宋体" w:cs="宋体"/>
                <w:bCs/>
                <w:sz w:val="24"/>
                <w:szCs w:val="24"/>
              </w:rPr>
            </w:pPr>
            <w:r>
              <w:rPr>
                <w:rFonts w:hint="eastAsia" w:ascii="宋体" w:hAnsi="宋体" w:cs="宋体"/>
                <w:bCs/>
                <w:sz w:val="24"/>
                <w:szCs w:val="24"/>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6856C8B">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7F736A1">
            <w:pPr>
              <w:snapToGrid w:val="0"/>
              <w:jc w:val="center"/>
              <w:rPr>
                <w:rFonts w:ascii="宋体" w:hAnsi="宋体" w:cs="宋体"/>
                <w:bCs/>
                <w:sz w:val="24"/>
                <w:szCs w:val="24"/>
              </w:rPr>
            </w:pPr>
          </w:p>
        </w:tc>
      </w:tr>
      <w:tr w14:paraId="760C53C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EF05A1C">
            <w:pPr>
              <w:snapToGrid w:val="0"/>
              <w:spacing w:line="240" w:lineRule="atLeast"/>
              <w:jc w:val="center"/>
              <w:rPr>
                <w:rFonts w:ascii="宋体" w:hAnsi="宋体" w:cs="宋体"/>
                <w:bCs/>
                <w:sz w:val="24"/>
                <w:szCs w:val="24"/>
              </w:rPr>
            </w:pPr>
            <w:r>
              <w:rPr>
                <w:rFonts w:hint="eastAsia" w:ascii="宋体" w:hAnsi="宋体" w:cs="宋体"/>
                <w:bCs/>
                <w:sz w:val="24"/>
                <w:szCs w:val="24"/>
              </w:rPr>
              <w:t>9</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B726DA8">
            <w:pPr>
              <w:snapToGrid w:val="0"/>
              <w:jc w:val="center"/>
              <w:rPr>
                <w:rFonts w:ascii="宋体" w:hAnsi="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2A878AB">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9471402">
            <w:pPr>
              <w:snapToGrid w:val="0"/>
              <w:jc w:val="center"/>
              <w:rPr>
                <w:rFonts w:ascii="宋体" w:hAnsi="宋体" w:cs="宋体"/>
                <w:bCs/>
                <w:sz w:val="24"/>
                <w:szCs w:val="24"/>
              </w:rPr>
            </w:pPr>
            <w:r>
              <w:rPr>
                <w:rFonts w:hint="eastAsia" w:ascii="宋体" w:hAnsi="宋体" w:cs="宋体"/>
                <w:bCs/>
                <w:sz w:val="24"/>
                <w:szCs w:val="24"/>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0695FCE">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8428B9E">
            <w:pPr>
              <w:snapToGrid w:val="0"/>
              <w:jc w:val="center"/>
              <w:rPr>
                <w:rFonts w:ascii="宋体" w:hAnsi="宋体" w:cs="宋体"/>
                <w:bCs/>
                <w:sz w:val="24"/>
                <w:szCs w:val="24"/>
              </w:rPr>
            </w:pPr>
          </w:p>
        </w:tc>
      </w:tr>
      <w:tr w14:paraId="5E2F2F5B">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DD58E71">
            <w:pPr>
              <w:snapToGrid w:val="0"/>
              <w:spacing w:line="240" w:lineRule="atLeast"/>
              <w:jc w:val="center"/>
              <w:rPr>
                <w:rFonts w:ascii="宋体" w:hAnsi="宋体" w:cs="宋体"/>
                <w:bCs/>
                <w:sz w:val="24"/>
                <w:szCs w:val="24"/>
              </w:rPr>
            </w:pPr>
            <w:r>
              <w:rPr>
                <w:rFonts w:hint="eastAsia" w:ascii="宋体" w:hAnsi="宋体" w:cs="宋体"/>
                <w:bCs/>
                <w:sz w:val="24"/>
                <w:szCs w:val="24"/>
              </w:rPr>
              <w:t>10</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9A75EEA">
            <w:pPr>
              <w:snapToGrid w:val="0"/>
              <w:jc w:val="center"/>
              <w:rPr>
                <w:rFonts w:ascii="宋体" w:hAnsi="宋体" w:cs="宋体"/>
                <w:bCs/>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8A9F6D4">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9CF2FE4">
            <w:pPr>
              <w:snapToGrid w:val="0"/>
              <w:jc w:val="center"/>
              <w:rPr>
                <w:rFonts w:ascii="宋体" w:hAnsi="宋体" w:cs="宋体"/>
                <w:bCs/>
                <w:sz w:val="24"/>
                <w:szCs w:val="24"/>
              </w:rPr>
            </w:pPr>
            <w:r>
              <w:rPr>
                <w:rFonts w:hint="eastAsia" w:ascii="宋体" w:hAnsi="宋体" w:cs="宋体"/>
                <w:bCs/>
                <w:sz w:val="24"/>
                <w:szCs w:val="24"/>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B870860">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42EC03B">
            <w:pPr>
              <w:snapToGrid w:val="0"/>
              <w:jc w:val="center"/>
              <w:rPr>
                <w:rFonts w:ascii="宋体" w:hAnsi="宋体" w:cs="宋体"/>
                <w:bCs/>
                <w:sz w:val="24"/>
                <w:szCs w:val="24"/>
              </w:rPr>
            </w:pPr>
          </w:p>
        </w:tc>
      </w:tr>
      <w:tr w14:paraId="2BFE34B2">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72627D9">
            <w:pPr>
              <w:snapToGrid w:val="0"/>
              <w:spacing w:line="240" w:lineRule="atLeast"/>
              <w:jc w:val="center"/>
              <w:rPr>
                <w:rFonts w:ascii="宋体" w:hAnsi="宋体" w:cs="宋体"/>
                <w:bCs/>
                <w:sz w:val="24"/>
                <w:szCs w:val="24"/>
              </w:rPr>
            </w:pPr>
            <w:r>
              <w:rPr>
                <w:rFonts w:hint="eastAsia" w:ascii="宋体" w:hAnsi="宋体" w:cs="宋体"/>
                <w:bCs/>
                <w:sz w:val="24"/>
                <w:szCs w:val="24"/>
              </w:rPr>
              <w:t>11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D2D02F8">
            <w:pPr>
              <w:snapToGrid w:val="0"/>
              <w:jc w:val="center"/>
              <w:rPr>
                <w:rFonts w:ascii="宋体" w:hAnsi="宋体" w:cs="宋体"/>
                <w:bCs/>
                <w:sz w:val="24"/>
                <w:szCs w:val="24"/>
              </w:rPr>
            </w:pPr>
            <w:r>
              <w:rPr>
                <w:rFonts w:hint="eastAsia" w:ascii="宋体" w:hAnsi="宋体" w:cs="宋体"/>
                <w:bCs/>
                <w:sz w:val="24"/>
                <w:szCs w:val="24"/>
              </w:rPr>
              <w:t>……</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A99E33F">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85AA4C3">
            <w:pPr>
              <w:snapToGrid w:val="0"/>
              <w:jc w:val="center"/>
              <w:rPr>
                <w:rFonts w:ascii="宋体" w:hAnsi="宋体" w:cs="宋体"/>
                <w:bCs/>
                <w:sz w:val="24"/>
                <w:szCs w:val="24"/>
              </w:rPr>
            </w:pPr>
            <w:r>
              <w:rPr>
                <w:rFonts w:hint="eastAsia" w:ascii="宋体" w:hAnsi="宋体" w:cs="宋体"/>
                <w:bCs/>
                <w:sz w:val="24"/>
                <w:szCs w:val="24"/>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1076E71">
            <w:pPr>
              <w:snapToGrid w:val="0"/>
              <w:jc w:val="center"/>
              <w:rPr>
                <w:rFonts w:ascii="宋体" w:hAnsi="宋体" w:cs="宋体"/>
                <w:bCs/>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A3F763A">
            <w:pPr>
              <w:snapToGrid w:val="0"/>
              <w:jc w:val="center"/>
              <w:rPr>
                <w:rFonts w:ascii="宋体" w:hAnsi="宋体" w:cs="宋体"/>
                <w:bCs/>
                <w:sz w:val="24"/>
                <w:szCs w:val="24"/>
              </w:rPr>
            </w:pPr>
          </w:p>
        </w:tc>
      </w:tr>
      <w:tr w14:paraId="4F48B06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E5E04EA">
            <w:pPr>
              <w:snapToGrid w:val="0"/>
              <w:spacing w:line="240" w:lineRule="atLeast"/>
              <w:jc w:val="center"/>
              <w:rPr>
                <w:rFonts w:ascii="宋体" w:hAnsi="宋体" w:cs="宋体"/>
                <w:bCs/>
                <w:sz w:val="24"/>
                <w:szCs w:val="24"/>
              </w:rPr>
            </w:pPr>
            <w:r>
              <w:rPr>
                <w:rFonts w:hint="eastAsia" w:ascii="宋体" w:hAnsi="宋体" w:cs="宋体"/>
                <w:bCs/>
                <w:sz w:val="24"/>
                <w:szCs w:val="24"/>
              </w:rPr>
              <w:t>12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0335EDA">
            <w:pPr>
              <w:snapToGrid w:val="0"/>
              <w:jc w:val="center"/>
              <w:rPr>
                <w:rFonts w:ascii="宋体" w:hAnsi="宋体" w:cs="宋体"/>
                <w:bCs/>
                <w:sz w:val="24"/>
                <w:szCs w:val="24"/>
              </w:rPr>
            </w:pPr>
            <w:r>
              <w:rPr>
                <w:rFonts w:hint="eastAsia" w:ascii="宋体" w:hAnsi="宋体" w:cs="宋体"/>
                <w:bCs/>
                <w:sz w:val="24"/>
                <w:szCs w:val="24"/>
              </w:rPr>
              <w:t>总计</w:t>
            </w:r>
          </w:p>
        </w:tc>
        <w:tc>
          <w:tcPr>
            <w:tcW w:w="7760"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60E2C44">
            <w:pPr>
              <w:snapToGrid w:val="0"/>
              <w:rPr>
                <w:rFonts w:ascii="宋体" w:hAnsi="宋体" w:cs="宋体"/>
                <w:bCs/>
                <w:sz w:val="24"/>
                <w:szCs w:val="24"/>
              </w:rPr>
            </w:pPr>
          </w:p>
        </w:tc>
      </w:tr>
    </w:tbl>
    <w:p w14:paraId="0B84AE07">
      <w:pPr>
        <w:spacing w:line="500" w:lineRule="exact"/>
        <w:ind w:firstLine="480" w:firstLineChars="200"/>
        <w:rPr>
          <w:rFonts w:ascii="宋体" w:hAnsi="宋体" w:cs="宋体"/>
          <w:sz w:val="24"/>
          <w:szCs w:val="28"/>
        </w:rPr>
      </w:pPr>
    </w:p>
    <w:p w14:paraId="48776790">
      <w:pPr>
        <w:spacing w:line="500" w:lineRule="exact"/>
        <w:ind w:firstLine="600" w:firstLineChars="250"/>
        <w:rPr>
          <w:rFonts w:ascii="宋体" w:hAnsi="宋体" w:cs="宋体"/>
          <w:sz w:val="24"/>
          <w:szCs w:val="28"/>
        </w:rPr>
      </w:pPr>
      <w:r>
        <w:rPr>
          <w:rFonts w:hint="eastAsia" w:ascii="宋体" w:hAnsi="宋体" w:cs="宋体"/>
          <w:sz w:val="24"/>
          <w:szCs w:val="28"/>
        </w:rPr>
        <w:t>供应商：                       法定代表人（或法定代表人授权代表）或自然人：</w:t>
      </w:r>
    </w:p>
    <w:p w14:paraId="2D028DC4">
      <w:pPr>
        <w:spacing w:line="500" w:lineRule="exact"/>
        <w:rPr>
          <w:rFonts w:ascii="宋体" w:hAnsi="宋体" w:cs="宋体"/>
          <w:sz w:val="24"/>
          <w:szCs w:val="28"/>
        </w:rPr>
      </w:pPr>
      <w:r>
        <w:rPr>
          <w:rFonts w:hint="eastAsia" w:ascii="宋体" w:hAnsi="宋体" w:cs="宋体"/>
          <w:sz w:val="24"/>
          <w:szCs w:val="28"/>
        </w:rPr>
        <w:t xml:space="preserve">  （供应商公章）                               （签署或盖章）</w:t>
      </w:r>
    </w:p>
    <w:p w14:paraId="67472B7E">
      <w:pPr>
        <w:spacing w:line="500" w:lineRule="exact"/>
        <w:rPr>
          <w:rFonts w:ascii="宋体" w:hAnsi="宋体" w:cs="宋体"/>
          <w:sz w:val="24"/>
          <w:szCs w:val="28"/>
        </w:rPr>
      </w:pPr>
    </w:p>
    <w:p w14:paraId="43DCF721">
      <w:pPr>
        <w:spacing w:line="500" w:lineRule="exact"/>
        <w:rPr>
          <w:rFonts w:ascii="宋体" w:hAnsi="宋体" w:cs="宋体"/>
          <w:sz w:val="24"/>
          <w:szCs w:val="28"/>
        </w:rPr>
      </w:pPr>
    </w:p>
    <w:p w14:paraId="72B02771">
      <w:pPr>
        <w:snapToGrid w:val="0"/>
        <w:spacing w:line="500" w:lineRule="exact"/>
        <w:ind w:firstLine="480" w:firstLineChars="200"/>
        <w:rPr>
          <w:rFonts w:ascii="宋体" w:hAnsi="宋体" w:cs="宋体"/>
          <w:sz w:val="24"/>
          <w:szCs w:val="28"/>
        </w:rPr>
      </w:pPr>
      <w:r>
        <w:rPr>
          <w:rFonts w:hint="eastAsia" w:ascii="宋体" w:hAnsi="宋体" w:cs="宋体"/>
          <w:sz w:val="24"/>
          <w:szCs w:val="28"/>
        </w:rPr>
        <w:t xml:space="preserve">                                            年     月     日</w:t>
      </w:r>
    </w:p>
    <w:p w14:paraId="5CDE4247">
      <w:pPr>
        <w:snapToGrid w:val="0"/>
        <w:spacing w:line="500" w:lineRule="exact"/>
        <w:ind w:firstLine="480" w:firstLineChars="200"/>
        <w:rPr>
          <w:rFonts w:ascii="宋体" w:hAnsi="宋体" w:cs="宋体"/>
          <w:sz w:val="24"/>
          <w:szCs w:val="28"/>
        </w:rPr>
      </w:pPr>
    </w:p>
    <w:p w14:paraId="4FD4E703">
      <w:pPr>
        <w:snapToGrid w:val="0"/>
        <w:spacing w:line="500" w:lineRule="exact"/>
        <w:ind w:firstLine="480" w:firstLineChars="200"/>
        <w:rPr>
          <w:rFonts w:ascii="宋体" w:hAnsi="宋体" w:cs="宋体"/>
          <w:sz w:val="24"/>
          <w:szCs w:val="28"/>
        </w:rPr>
      </w:pPr>
      <w:r>
        <w:rPr>
          <w:rFonts w:hint="eastAsia" w:ascii="宋体" w:hAnsi="宋体" w:cs="宋体"/>
          <w:sz w:val="24"/>
          <w:szCs w:val="28"/>
        </w:rPr>
        <w:t>注：</w:t>
      </w:r>
    </w:p>
    <w:p w14:paraId="0EFB06B0">
      <w:pPr>
        <w:snapToGrid w:val="0"/>
        <w:spacing w:line="500" w:lineRule="exact"/>
        <w:ind w:firstLine="480" w:firstLineChars="200"/>
        <w:rPr>
          <w:rFonts w:ascii="宋体" w:hAnsi="宋体" w:cs="宋体"/>
          <w:sz w:val="24"/>
          <w:szCs w:val="28"/>
        </w:rPr>
      </w:pPr>
      <w:r>
        <w:rPr>
          <w:rFonts w:hint="eastAsia" w:ascii="宋体" w:hAnsi="宋体" w:cs="宋体"/>
          <w:sz w:val="24"/>
          <w:szCs w:val="28"/>
        </w:rPr>
        <w:t>1.请供应商完整填写本表；</w:t>
      </w:r>
    </w:p>
    <w:p w14:paraId="72F5357A">
      <w:pPr>
        <w:snapToGrid w:val="0"/>
        <w:spacing w:line="500" w:lineRule="exact"/>
        <w:ind w:firstLine="480" w:firstLineChars="200"/>
        <w:rPr>
          <w:rFonts w:ascii="宋体" w:hAnsi="宋体" w:cs="宋体"/>
          <w:sz w:val="24"/>
          <w:szCs w:val="28"/>
        </w:rPr>
      </w:pPr>
      <w:r>
        <w:rPr>
          <w:rFonts w:hint="eastAsia" w:ascii="宋体" w:hAnsi="宋体" w:cs="宋体"/>
          <w:sz w:val="24"/>
          <w:szCs w:val="28"/>
        </w:rPr>
        <w:t>2.该表可扩展。</w:t>
      </w:r>
    </w:p>
    <w:p w14:paraId="07D86AE8">
      <w:pPr>
        <w:rPr>
          <w:rFonts w:ascii="宋体" w:hAnsi="宋体" w:cs="宋体"/>
        </w:rPr>
        <w:sectPr>
          <w:pgSz w:w="11907" w:h="16840"/>
          <w:pgMar w:top="1134" w:right="1191" w:bottom="1134" w:left="1304" w:header="851" w:footer="992" w:gutter="0"/>
          <w:pgNumType w:fmt="numberInDash"/>
          <w:cols w:space="720" w:num="1"/>
          <w:docGrid w:linePitch="380" w:charSpace="-5735"/>
        </w:sectPr>
      </w:pPr>
    </w:p>
    <w:p w14:paraId="2A43F53D">
      <w:pPr>
        <w:pStyle w:val="4"/>
        <w:numPr>
          <w:ilvl w:val="1"/>
          <w:numId w:val="0"/>
        </w:numPr>
        <w:adjustRightInd w:val="0"/>
        <w:snapToGrid w:val="0"/>
        <w:spacing w:line="400" w:lineRule="exact"/>
        <w:rPr>
          <w:rFonts w:ascii="宋体" w:hAnsi="宋体" w:eastAsia="宋体" w:cs="宋体"/>
          <w:b/>
          <w:bCs w:val="0"/>
          <w:sz w:val="24"/>
        </w:rPr>
      </w:pPr>
      <w:bookmarkStart w:id="315" w:name="_Toc23030"/>
      <w:bookmarkStart w:id="316" w:name="_Toc6100"/>
      <w:bookmarkStart w:id="317" w:name="_Toc342913420"/>
      <w:bookmarkStart w:id="318" w:name="_Toc106030907"/>
      <w:bookmarkStart w:id="319" w:name="_Toc313008357"/>
      <w:bookmarkStart w:id="320" w:name="_Toc21115"/>
      <w:bookmarkStart w:id="321" w:name="_Toc313888361"/>
      <w:bookmarkStart w:id="322" w:name="_Toc76462351"/>
      <w:bookmarkStart w:id="323" w:name="_Toc10029"/>
      <w:bookmarkStart w:id="324" w:name="_Toc21038"/>
      <w:r>
        <w:rPr>
          <w:rFonts w:hint="eastAsia" w:ascii="宋体" w:hAnsi="宋体" w:eastAsia="宋体" w:cs="宋体"/>
          <w:b/>
          <w:bCs w:val="0"/>
          <w:sz w:val="24"/>
        </w:rPr>
        <w:t>二、服务部分</w:t>
      </w:r>
      <w:bookmarkEnd w:id="315"/>
      <w:bookmarkEnd w:id="316"/>
      <w:bookmarkEnd w:id="317"/>
      <w:bookmarkEnd w:id="318"/>
      <w:bookmarkEnd w:id="319"/>
      <w:bookmarkEnd w:id="320"/>
      <w:bookmarkEnd w:id="321"/>
      <w:bookmarkEnd w:id="322"/>
      <w:bookmarkEnd w:id="323"/>
      <w:bookmarkEnd w:id="324"/>
    </w:p>
    <w:p w14:paraId="35ADB7AE">
      <w:pPr>
        <w:tabs>
          <w:tab w:val="left" w:pos="6300"/>
        </w:tabs>
        <w:snapToGrid w:val="0"/>
        <w:spacing w:line="400" w:lineRule="exact"/>
        <w:ind w:firstLine="480" w:firstLineChars="200"/>
        <w:rPr>
          <w:rFonts w:ascii="宋体" w:hAnsi="宋体" w:cs="宋体"/>
          <w:szCs w:val="24"/>
        </w:rPr>
      </w:pPr>
      <w:r>
        <w:rPr>
          <w:rFonts w:hint="eastAsia" w:ascii="宋体" w:hAnsi="宋体" w:cs="宋体"/>
          <w:sz w:val="24"/>
          <w:szCs w:val="24"/>
        </w:rPr>
        <w:t>（一）服务响应偏离表</w:t>
      </w:r>
    </w:p>
    <w:p w14:paraId="01C34D1D">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14:paraId="53EAAB75">
      <w:pPr>
        <w:spacing w:line="400" w:lineRule="exact"/>
        <w:ind w:firstLine="480" w:firstLineChars="200"/>
        <w:rPr>
          <w:rFonts w:ascii="宋体" w:hAnsi="宋体" w:cs="宋体"/>
          <w:sz w:val="24"/>
          <w:szCs w:val="24"/>
        </w:rPr>
      </w:pPr>
      <w:r>
        <w:rPr>
          <w:rFonts w:hint="eastAsia" w:ascii="宋体" w:hAnsi="宋体" w:cs="宋体"/>
          <w:sz w:val="24"/>
          <w:szCs w:val="24"/>
        </w:rPr>
        <w:t>磋商项目名称：</w:t>
      </w:r>
    </w:p>
    <w:tbl>
      <w:tblPr>
        <w:tblStyle w:val="2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6FCA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38659BE3">
            <w:pPr>
              <w:tabs>
                <w:tab w:val="left" w:pos="6300"/>
              </w:tabs>
              <w:snapToGrid w:val="0"/>
              <w:spacing w:line="500" w:lineRule="exact"/>
              <w:jc w:val="center"/>
              <w:outlineLvl w:val="0"/>
              <w:rPr>
                <w:rFonts w:ascii="宋体" w:hAnsi="宋体" w:cs="宋体"/>
                <w:sz w:val="21"/>
                <w:szCs w:val="21"/>
              </w:rPr>
            </w:pPr>
            <w:bookmarkStart w:id="325" w:name="_Toc18309"/>
            <w:r>
              <w:rPr>
                <w:rFonts w:hint="eastAsia" w:ascii="宋体" w:hAnsi="宋体" w:cs="宋体"/>
                <w:sz w:val="21"/>
                <w:szCs w:val="21"/>
              </w:rPr>
              <w:t>序号</w:t>
            </w:r>
            <w:bookmarkEnd w:id="325"/>
          </w:p>
        </w:tc>
        <w:tc>
          <w:tcPr>
            <w:tcW w:w="2967" w:type="dxa"/>
            <w:vAlign w:val="center"/>
          </w:tcPr>
          <w:p w14:paraId="77F2793A">
            <w:pPr>
              <w:tabs>
                <w:tab w:val="left" w:pos="6300"/>
              </w:tabs>
              <w:snapToGrid w:val="0"/>
              <w:spacing w:line="500" w:lineRule="exact"/>
              <w:jc w:val="center"/>
              <w:outlineLvl w:val="0"/>
              <w:rPr>
                <w:rFonts w:ascii="宋体" w:hAnsi="宋体" w:cs="宋体"/>
                <w:sz w:val="21"/>
                <w:szCs w:val="21"/>
              </w:rPr>
            </w:pPr>
            <w:bookmarkStart w:id="326" w:name="_Toc7159"/>
            <w:r>
              <w:rPr>
                <w:rFonts w:hint="eastAsia" w:ascii="宋体" w:hAnsi="宋体" w:cs="宋体"/>
                <w:sz w:val="21"/>
                <w:szCs w:val="21"/>
              </w:rPr>
              <w:t>采购需求</w:t>
            </w:r>
            <w:bookmarkEnd w:id="326"/>
          </w:p>
        </w:tc>
        <w:tc>
          <w:tcPr>
            <w:tcW w:w="3081" w:type="dxa"/>
            <w:vAlign w:val="center"/>
          </w:tcPr>
          <w:p w14:paraId="4D3E2094">
            <w:pPr>
              <w:tabs>
                <w:tab w:val="left" w:pos="6300"/>
              </w:tabs>
              <w:snapToGrid w:val="0"/>
              <w:spacing w:line="500" w:lineRule="exact"/>
              <w:jc w:val="center"/>
              <w:outlineLvl w:val="0"/>
              <w:rPr>
                <w:rFonts w:ascii="宋体" w:hAnsi="宋体" w:cs="宋体"/>
                <w:sz w:val="21"/>
                <w:szCs w:val="21"/>
              </w:rPr>
            </w:pPr>
            <w:bookmarkStart w:id="327" w:name="_Toc8879"/>
            <w:r>
              <w:rPr>
                <w:rFonts w:hint="eastAsia" w:ascii="宋体" w:hAnsi="宋体" w:cs="宋体"/>
                <w:sz w:val="21"/>
                <w:szCs w:val="21"/>
              </w:rPr>
              <w:t>响应情况</w:t>
            </w:r>
            <w:bookmarkEnd w:id="327"/>
          </w:p>
        </w:tc>
        <w:tc>
          <w:tcPr>
            <w:tcW w:w="2309" w:type="dxa"/>
            <w:vAlign w:val="center"/>
          </w:tcPr>
          <w:p w14:paraId="015687EA">
            <w:pPr>
              <w:tabs>
                <w:tab w:val="left" w:pos="6300"/>
              </w:tabs>
              <w:snapToGrid w:val="0"/>
              <w:spacing w:line="500" w:lineRule="exact"/>
              <w:jc w:val="center"/>
              <w:outlineLvl w:val="0"/>
              <w:rPr>
                <w:rFonts w:ascii="宋体" w:hAnsi="宋体" w:cs="宋体"/>
                <w:sz w:val="21"/>
                <w:szCs w:val="21"/>
              </w:rPr>
            </w:pPr>
            <w:bookmarkStart w:id="328" w:name="_Toc12296"/>
            <w:r>
              <w:rPr>
                <w:rFonts w:hint="eastAsia" w:ascii="宋体" w:hAnsi="宋体" w:cs="宋体"/>
                <w:sz w:val="21"/>
                <w:szCs w:val="21"/>
              </w:rPr>
              <w:t>差异说明</w:t>
            </w:r>
            <w:bookmarkEnd w:id="328"/>
          </w:p>
        </w:tc>
      </w:tr>
      <w:tr w14:paraId="4C66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E46F74B">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60DF1425">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190D1748">
            <w:pPr>
              <w:tabs>
                <w:tab w:val="left" w:pos="6300"/>
              </w:tabs>
              <w:snapToGrid w:val="0"/>
              <w:spacing w:line="500" w:lineRule="exact"/>
              <w:outlineLvl w:val="0"/>
              <w:rPr>
                <w:rFonts w:ascii="宋体" w:hAnsi="宋体" w:cs="宋体"/>
                <w:sz w:val="21"/>
                <w:szCs w:val="21"/>
              </w:rPr>
            </w:pPr>
          </w:p>
        </w:tc>
        <w:tc>
          <w:tcPr>
            <w:tcW w:w="2309" w:type="dxa"/>
            <w:vAlign w:val="center"/>
          </w:tcPr>
          <w:p w14:paraId="0CC54400">
            <w:pPr>
              <w:tabs>
                <w:tab w:val="left" w:pos="6300"/>
              </w:tabs>
              <w:snapToGrid w:val="0"/>
              <w:spacing w:line="500" w:lineRule="exact"/>
              <w:jc w:val="center"/>
              <w:outlineLvl w:val="0"/>
              <w:rPr>
                <w:rFonts w:ascii="宋体" w:hAnsi="宋体" w:cs="宋体"/>
                <w:sz w:val="21"/>
                <w:szCs w:val="21"/>
              </w:rPr>
            </w:pPr>
          </w:p>
        </w:tc>
      </w:tr>
      <w:tr w14:paraId="1F9F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171D6F8">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4011D1D4">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436FE552">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32460C7C">
            <w:pPr>
              <w:tabs>
                <w:tab w:val="left" w:pos="6300"/>
              </w:tabs>
              <w:snapToGrid w:val="0"/>
              <w:spacing w:line="500" w:lineRule="exact"/>
              <w:jc w:val="center"/>
              <w:outlineLvl w:val="0"/>
              <w:rPr>
                <w:rFonts w:ascii="宋体" w:hAnsi="宋体" w:cs="宋体"/>
                <w:sz w:val="21"/>
                <w:szCs w:val="21"/>
              </w:rPr>
            </w:pPr>
          </w:p>
        </w:tc>
      </w:tr>
      <w:tr w14:paraId="2637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935A9EA">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7E4E421F">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42397126">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53D3D216">
            <w:pPr>
              <w:tabs>
                <w:tab w:val="left" w:pos="6300"/>
              </w:tabs>
              <w:snapToGrid w:val="0"/>
              <w:spacing w:line="500" w:lineRule="exact"/>
              <w:jc w:val="center"/>
              <w:outlineLvl w:val="0"/>
              <w:rPr>
                <w:rFonts w:ascii="宋体" w:hAnsi="宋体" w:cs="宋体"/>
                <w:sz w:val="21"/>
                <w:szCs w:val="21"/>
              </w:rPr>
            </w:pPr>
          </w:p>
        </w:tc>
      </w:tr>
      <w:tr w14:paraId="7D57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6979FD5">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44B2F159">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21FA91CD">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124FFACE">
            <w:pPr>
              <w:tabs>
                <w:tab w:val="left" w:pos="6300"/>
              </w:tabs>
              <w:snapToGrid w:val="0"/>
              <w:spacing w:line="500" w:lineRule="exact"/>
              <w:jc w:val="center"/>
              <w:outlineLvl w:val="0"/>
              <w:rPr>
                <w:rFonts w:ascii="宋体" w:hAnsi="宋体" w:cs="宋体"/>
                <w:sz w:val="21"/>
                <w:szCs w:val="21"/>
              </w:rPr>
            </w:pPr>
          </w:p>
        </w:tc>
      </w:tr>
      <w:tr w14:paraId="1E66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5A1DE91">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530EF855">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033FC78F">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463A8E82">
            <w:pPr>
              <w:tabs>
                <w:tab w:val="left" w:pos="6300"/>
              </w:tabs>
              <w:snapToGrid w:val="0"/>
              <w:spacing w:line="500" w:lineRule="exact"/>
              <w:jc w:val="center"/>
              <w:outlineLvl w:val="0"/>
              <w:rPr>
                <w:rFonts w:ascii="宋体" w:hAnsi="宋体" w:cs="宋体"/>
                <w:sz w:val="21"/>
                <w:szCs w:val="21"/>
              </w:rPr>
            </w:pPr>
          </w:p>
        </w:tc>
      </w:tr>
      <w:tr w14:paraId="7196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F83B7BF">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407C7B2E">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0BD8B577">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6DAC722D">
            <w:pPr>
              <w:tabs>
                <w:tab w:val="left" w:pos="6300"/>
              </w:tabs>
              <w:snapToGrid w:val="0"/>
              <w:spacing w:line="500" w:lineRule="exact"/>
              <w:jc w:val="center"/>
              <w:outlineLvl w:val="0"/>
              <w:rPr>
                <w:rFonts w:ascii="宋体" w:hAnsi="宋体" w:cs="宋体"/>
                <w:sz w:val="21"/>
                <w:szCs w:val="21"/>
              </w:rPr>
            </w:pPr>
          </w:p>
        </w:tc>
      </w:tr>
      <w:tr w14:paraId="1318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F84D3B7">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4D30C2AD">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6DA0E86A">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100675A5">
            <w:pPr>
              <w:tabs>
                <w:tab w:val="left" w:pos="6300"/>
              </w:tabs>
              <w:snapToGrid w:val="0"/>
              <w:spacing w:line="500" w:lineRule="exact"/>
              <w:jc w:val="center"/>
              <w:outlineLvl w:val="0"/>
              <w:rPr>
                <w:rFonts w:ascii="宋体" w:hAnsi="宋体" w:cs="宋体"/>
                <w:sz w:val="21"/>
                <w:szCs w:val="21"/>
              </w:rPr>
            </w:pPr>
          </w:p>
        </w:tc>
      </w:tr>
      <w:tr w14:paraId="10A3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5739A2D">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6D5BD062">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3A96EB83">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7639EFA6">
            <w:pPr>
              <w:tabs>
                <w:tab w:val="left" w:pos="6300"/>
              </w:tabs>
              <w:snapToGrid w:val="0"/>
              <w:spacing w:line="500" w:lineRule="exact"/>
              <w:jc w:val="center"/>
              <w:outlineLvl w:val="0"/>
              <w:rPr>
                <w:rFonts w:ascii="宋体" w:hAnsi="宋体" w:cs="宋体"/>
                <w:sz w:val="21"/>
                <w:szCs w:val="21"/>
              </w:rPr>
            </w:pPr>
          </w:p>
        </w:tc>
      </w:tr>
      <w:tr w14:paraId="6848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2665BA0">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317CAD56">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24812046">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771695BC">
            <w:pPr>
              <w:tabs>
                <w:tab w:val="left" w:pos="6300"/>
              </w:tabs>
              <w:snapToGrid w:val="0"/>
              <w:spacing w:line="500" w:lineRule="exact"/>
              <w:jc w:val="center"/>
              <w:outlineLvl w:val="0"/>
              <w:rPr>
                <w:rFonts w:ascii="宋体" w:hAnsi="宋体" w:cs="宋体"/>
                <w:sz w:val="21"/>
                <w:szCs w:val="21"/>
              </w:rPr>
            </w:pPr>
          </w:p>
        </w:tc>
      </w:tr>
      <w:tr w14:paraId="7B4A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38A3D71">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494589AF">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32523D2A">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5FF3B451">
            <w:pPr>
              <w:tabs>
                <w:tab w:val="left" w:pos="6300"/>
              </w:tabs>
              <w:snapToGrid w:val="0"/>
              <w:spacing w:line="500" w:lineRule="exact"/>
              <w:jc w:val="center"/>
              <w:outlineLvl w:val="0"/>
              <w:rPr>
                <w:rFonts w:ascii="宋体" w:hAnsi="宋体" w:cs="宋体"/>
                <w:sz w:val="21"/>
                <w:szCs w:val="21"/>
              </w:rPr>
            </w:pPr>
          </w:p>
        </w:tc>
      </w:tr>
    </w:tbl>
    <w:p w14:paraId="285C7D56">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p>
    <w:p w14:paraId="59A4F076">
      <w:pPr>
        <w:spacing w:line="500" w:lineRule="exact"/>
        <w:rPr>
          <w:rFonts w:ascii="宋体" w:hAnsi="宋体" w:cs="宋体"/>
          <w:sz w:val="24"/>
          <w:szCs w:val="28"/>
        </w:rPr>
      </w:pPr>
    </w:p>
    <w:p w14:paraId="6BD0106B">
      <w:pPr>
        <w:spacing w:line="500" w:lineRule="exact"/>
        <w:ind w:firstLine="720" w:firstLineChars="300"/>
        <w:rPr>
          <w:rFonts w:ascii="宋体" w:hAnsi="宋体" w:cs="宋体"/>
          <w:sz w:val="24"/>
          <w:szCs w:val="28"/>
        </w:rPr>
      </w:pPr>
      <w:r>
        <w:rPr>
          <w:rFonts w:hint="eastAsia" w:ascii="宋体" w:hAnsi="宋体" w:cs="宋体"/>
          <w:sz w:val="24"/>
          <w:szCs w:val="28"/>
        </w:rPr>
        <w:t>（供应商公章）                               （签署或盖章）</w:t>
      </w:r>
    </w:p>
    <w:p w14:paraId="1600CB03">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14:paraId="752A801D">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注：</w:t>
      </w:r>
    </w:p>
    <w:p w14:paraId="598626C9">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项目服务需求”中所列条款进行比较和响应；</w:t>
      </w:r>
    </w:p>
    <w:p w14:paraId="47F594ED">
      <w:pPr>
        <w:snapToGrid w:val="0"/>
        <w:spacing w:line="400" w:lineRule="exact"/>
        <w:ind w:firstLine="480" w:firstLineChars="200"/>
        <w:jc w:val="left"/>
        <w:rPr>
          <w:rFonts w:ascii="宋体" w:hAnsi="宋体" w:cs="宋体"/>
          <w:sz w:val="24"/>
        </w:rPr>
      </w:pPr>
      <w:r>
        <w:rPr>
          <w:rFonts w:hint="eastAsia" w:ascii="宋体" w:hAnsi="宋体" w:cs="宋体"/>
          <w:sz w:val="24"/>
        </w:rPr>
        <w:t>2.本表可扩展。</w:t>
      </w:r>
    </w:p>
    <w:p w14:paraId="4046EFE7">
      <w:pPr>
        <w:tabs>
          <w:tab w:val="left" w:pos="6300"/>
        </w:tabs>
        <w:snapToGrid w:val="0"/>
        <w:spacing w:line="400" w:lineRule="exact"/>
        <w:ind w:firstLine="480" w:firstLineChars="200"/>
        <w:rPr>
          <w:rFonts w:ascii="宋体" w:hAnsi="宋体" w:cs="宋体"/>
          <w:sz w:val="24"/>
          <w:szCs w:val="24"/>
        </w:rPr>
      </w:pPr>
    </w:p>
    <w:p w14:paraId="5D66A732">
      <w:pPr>
        <w:tabs>
          <w:tab w:val="left" w:pos="6300"/>
        </w:tabs>
        <w:snapToGrid w:val="0"/>
        <w:spacing w:line="400" w:lineRule="exact"/>
        <w:ind w:firstLine="480" w:firstLineChars="200"/>
        <w:rPr>
          <w:rFonts w:ascii="宋体" w:hAnsi="宋体" w:cs="宋体"/>
          <w:sz w:val="24"/>
          <w:szCs w:val="24"/>
        </w:rPr>
      </w:pPr>
    </w:p>
    <w:p w14:paraId="2F369005">
      <w:pPr>
        <w:tabs>
          <w:tab w:val="left" w:pos="6300"/>
        </w:tabs>
        <w:snapToGrid w:val="0"/>
        <w:spacing w:line="400" w:lineRule="exact"/>
        <w:ind w:firstLine="480" w:firstLineChars="200"/>
        <w:rPr>
          <w:rFonts w:ascii="宋体" w:hAnsi="宋体" w:cs="宋体"/>
          <w:sz w:val="24"/>
          <w:szCs w:val="24"/>
        </w:rPr>
      </w:pPr>
    </w:p>
    <w:p w14:paraId="770EAE8B">
      <w:pPr>
        <w:tabs>
          <w:tab w:val="left" w:pos="6300"/>
        </w:tabs>
        <w:snapToGrid w:val="0"/>
        <w:spacing w:line="400" w:lineRule="exact"/>
        <w:ind w:firstLine="480" w:firstLineChars="200"/>
        <w:rPr>
          <w:rFonts w:ascii="宋体" w:hAnsi="宋体" w:cs="宋体"/>
          <w:sz w:val="24"/>
          <w:szCs w:val="24"/>
        </w:rPr>
      </w:pPr>
    </w:p>
    <w:p w14:paraId="32A506FB">
      <w:pPr>
        <w:pStyle w:val="14"/>
        <w:rPr>
          <w:rFonts w:ascii="宋体" w:hAnsi="宋体" w:eastAsia="宋体" w:cs="宋体"/>
        </w:rPr>
      </w:pPr>
    </w:p>
    <w:p w14:paraId="14E47093">
      <w:pPr>
        <w:tabs>
          <w:tab w:val="left" w:pos="6300"/>
        </w:tabs>
        <w:snapToGrid w:val="0"/>
        <w:spacing w:line="400" w:lineRule="exact"/>
        <w:ind w:firstLine="480" w:firstLineChars="200"/>
        <w:rPr>
          <w:rFonts w:ascii="宋体" w:hAnsi="宋体" w:cs="宋体"/>
          <w:sz w:val="24"/>
          <w:szCs w:val="24"/>
        </w:rPr>
      </w:pPr>
    </w:p>
    <w:p w14:paraId="58480363">
      <w:pPr>
        <w:tabs>
          <w:tab w:val="left" w:pos="6300"/>
        </w:tabs>
        <w:snapToGrid w:val="0"/>
        <w:spacing w:line="400" w:lineRule="exact"/>
        <w:ind w:firstLine="480" w:firstLineChars="200"/>
        <w:rPr>
          <w:rFonts w:ascii="宋体" w:hAnsi="宋体" w:cs="宋体"/>
          <w:szCs w:val="24"/>
        </w:rPr>
      </w:pPr>
      <w:r>
        <w:rPr>
          <w:rFonts w:hint="eastAsia" w:ascii="宋体" w:hAnsi="宋体" w:cs="宋体"/>
          <w:sz w:val="24"/>
          <w:szCs w:val="24"/>
        </w:rPr>
        <w:t>（二）其他资料（格式自定）</w:t>
      </w:r>
    </w:p>
    <w:p w14:paraId="7D8086D5">
      <w:pPr>
        <w:pStyle w:val="4"/>
        <w:numPr>
          <w:ilvl w:val="1"/>
          <w:numId w:val="0"/>
        </w:numPr>
        <w:adjustRightInd w:val="0"/>
        <w:snapToGrid w:val="0"/>
        <w:spacing w:line="400" w:lineRule="exact"/>
        <w:ind w:left="560" w:leftChars="200"/>
        <w:rPr>
          <w:rFonts w:ascii="宋体" w:hAnsi="宋体" w:eastAsia="宋体" w:cs="宋体"/>
          <w:sz w:val="24"/>
        </w:rPr>
      </w:pPr>
      <w:r>
        <w:rPr>
          <w:rFonts w:hint="eastAsia" w:ascii="宋体" w:hAnsi="宋体" w:eastAsia="宋体" w:cs="宋体"/>
        </w:rPr>
        <w:br w:type="page"/>
      </w:r>
      <w:bookmarkStart w:id="329" w:name="_Toc27486"/>
      <w:bookmarkStart w:id="330" w:name="_Toc32555"/>
      <w:bookmarkStart w:id="331" w:name="_Toc313888362"/>
      <w:bookmarkStart w:id="332" w:name="_Toc76462352"/>
      <w:bookmarkStart w:id="333" w:name="_Toc342913421"/>
      <w:bookmarkStart w:id="334" w:name="_Toc13584"/>
      <w:bookmarkStart w:id="335" w:name="_Toc30485"/>
      <w:bookmarkStart w:id="336" w:name="_Toc106030908"/>
      <w:bookmarkStart w:id="337" w:name="_Toc313008358"/>
      <w:bookmarkStart w:id="338" w:name="_Toc4599"/>
      <w:r>
        <w:rPr>
          <w:rFonts w:hint="eastAsia" w:ascii="宋体" w:hAnsi="宋体" w:eastAsia="宋体" w:cs="宋体"/>
          <w:b/>
          <w:bCs w:val="0"/>
          <w:sz w:val="24"/>
        </w:rPr>
        <w:t>三、商务部分</w:t>
      </w:r>
      <w:bookmarkEnd w:id="329"/>
      <w:bookmarkEnd w:id="330"/>
      <w:bookmarkEnd w:id="331"/>
      <w:bookmarkEnd w:id="332"/>
      <w:bookmarkEnd w:id="333"/>
      <w:bookmarkEnd w:id="334"/>
      <w:bookmarkEnd w:id="335"/>
      <w:bookmarkEnd w:id="336"/>
      <w:bookmarkEnd w:id="337"/>
      <w:bookmarkEnd w:id="338"/>
    </w:p>
    <w:p w14:paraId="5BC84EB2">
      <w:pPr>
        <w:snapToGrid w:val="0"/>
        <w:spacing w:line="400" w:lineRule="exact"/>
        <w:ind w:firstLine="480" w:firstLineChars="200"/>
        <w:rPr>
          <w:rFonts w:ascii="宋体" w:hAnsi="宋体" w:cs="宋体"/>
          <w:sz w:val="24"/>
          <w:szCs w:val="24"/>
        </w:rPr>
      </w:pPr>
      <w:r>
        <w:rPr>
          <w:rFonts w:hint="eastAsia" w:ascii="宋体" w:hAnsi="宋体" w:cs="宋体"/>
          <w:sz w:val="24"/>
          <w:szCs w:val="24"/>
        </w:rPr>
        <w:t>（一）商务响应偏离表</w:t>
      </w:r>
    </w:p>
    <w:p w14:paraId="79ECEB97">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14:paraId="42120F88">
      <w:pPr>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磋商项目名称： </w:t>
      </w:r>
    </w:p>
    <w:tbl>
      <w:tblPr>
        <w:tblStyle w:val="2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7F5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0260B1F4">
            <w:pPr>
              <w:snapToGrid w:val="0"/>
              <w:spacing w:line="360" w:lineRule="auto"/>
              <w:ind w:firstLine="465"/>
              <w:rPr>
                <w:rFonts w:ascii="宋体" w:hAnsi="宋体" w:cs="宋体"/>
                <w:sz w:val="21"/>
                <w:szCs w:val="24"/>
              </w:rPr>
            </w:pPr>
            <w:r>
              <w:rPr>
                <w:rFonts w:hint="eastAsia" w:ascii="宋体" w:hAnsi="宋体" w:cs="宋体"/>
                <w:sz w:val="21"/>
                <w:szCs w:val="24"/>
              </w:rPr>
              <w:t>序号</w:t>
            </w:r>
          </w:p>
        </w:tc>
        <w:tc>
          <w:tcPr>
            <w:tcW w:w="3179" w:type="dxa"/>
            <w:vAlign w:val="center"/>
          </w:tcPr>
          <w:p w14:paraId="281DCBB4">
            <w:pPr>
              <w:tabs>
                <w:tab w:val="left" w:pos="6300"/>
              </w:tabs>
              <w:snapToGrid w:val="0"/>
              <w:spacing w:line="360" w:lineRule="auto"/>
              <w:jc w:val="center"/>
              <w:outlineLvl w:val="0"/>
              <w:rPr>
                <w:rFonts w:ascii="宋体" w:hAnsi="宋体" w:cs="宋体"/>
                <w:sz w:val="21"/>
                <w:szCs w:val="24"/>
              </w:rPr>
            </w:pPr>
            <w:bookmarkStart w:id="339" w:name="_Toc5023"/>
            <w:r>
              <w:rPr>
                <w:rFonts w:hint="eastAsia" w:ascii="宋体" w:hAnsi="宋体" w:cs="宋体"/>
                <w:sz w:val="21"/>
                <w:szCs w:val="24"/>
              </w:rPr>
              <w:t>磋商项目商务需求</w:t>
            </w:r>
            <w:bookmarkEnd w:id="339"/>
          </w:p>
        </w:tc>
        <w:tc>
          <w:tcPr>
            <w:tcW w:w="2434" w:type="dxa"/>
            <w:vAlign w:val="center"/>
          </w:tcPr>
          <w:p w14:paraId="4B71539F">
            <w:pPr>
              <w:tabs>
                <w:tab w:val="left" w:pos="6300"/>
              </w:tabs>
              <w:snapToGrid w:val="0"/>
              <w:spacing w:line="360" w:lineRule="auto"/>
              <w:jc w:val="center"/>
              <w:outlineLvl w:val="0"/>
              <w:rPr>
                <w:rFonts w:ascii="宋体" w:hAnsi="宋体" w:cs="宋体"/>
                <w:sz w:val="21"/>
                <w:szCs w:val="24"/>
              </w:rPr>
            </w:pPr>
            <w:bookmarkStart w:id="340" w:name="_Toc17107"/>
            <w:r>
              <w:rPr>
                <w:rFonts w:hint="eastAsia" w:ascii="宋体" w:hAnsi="宋体" w:cs="宋体"/>
                <w:sz w:val="21"/>
                <w:szCs w:val="24"/>
              </w:rPr>
              <w:t>响应情况</w:t>
            </w:r>
            <w:bookmarkEnd w:id="340"/>
          </w:p>
        </w:tc>
        <w:tc>
          <w:tcPr>
            <w:tcW w:w="2355" w:type="dxa"/>
            <w:vAlign w:val="center"/>
          </w:tcPr>
          <w:p w14:paraId="5BCDF78B">
            <w:pPr>
              <w:tabs>
                <w:tab w:val="left" w:pos="6300"/>
              </w:tabs>
              <w:snapToGrid w:val="0"/>
              <w:spacing w:line="360" w:lineRule="auto"/>
              <w:jc w:val="center"/>
              <w:outlineLvl w:val="0"/>
              <w:rPr>
                <w:rFonts w:ascii="宋体" w:hAnsi="宋体" w:cs="宋体"/>
                <w:sz w:val="21"/>
                <w:szCs w:val="24"/>
              </w:rPr>
            </w:pPr>
            <w:bookmarkStart w:id="341" w:name="_Toc20857"/>
            <w:r>
              <w:rPr>
                <w:rFonts w:hint="eastAsia" w:ascii="宋体" w:hAnsi="宋体" w:cs="宋体"/>
                <w:sz w:val="21"/>
                <w:szCs w:val="24"/>
              </w:rPr>
              <w:t>偏离说明</w:t>
            </w:r>
            <w:bookmarkEnd w:id="341"/>
          </w:p>
        </w:tc>
      </w:tr>
      <w:tr w14:paraId="692A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EEA96E8">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65C0ADD1">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73D13245">
            <w:pPr>
              <w:tabs>
                <w:tab w:val="left" w:pos="6300"/>
              </w:tabs>
              <w:snapToGrid w:val="0"/>
              <w:outlineLvl w:val="0"/>
              <w:rPr>
                <w:rFonts w:ascii="宋体" w:hAnsi="宋体" w:cs="宋体"/>
                <w:sz w:val="21"/>
                <w:szCs w:val="24"/>
              </w:rPr>
            </w:pPr>
          </w:p>
        </w:tc>
        <w:tc>
          <w:tcPr>
            <w:tcW w:w="2355" w:type="dxa"/>
            <w:vAlign w:val="center"/>
          </w:tcPr>
          <w:p w14:paraId="7F772A16">
            <w:pPr>
              <w:tabs>
                <w:tab w:val="left" w:pos="6300"/>
              </w:tabs>
              <w:snapToGrid w:val="0"/>
              <w:spacing w:line="360" w:lineRule="auto"/>
              <w:jc w:val="center"/>
              <w:outlineLvl w:val="0"/>
              <w:rPr>
                <w:rFonts w:ascii="宋体" w:hAnsi="宋体" w:cs="宋体"/>
                <w:sz w:val="21"/>
                <w:szCs w:val="24"/>
              </w:rPr>
            </w:pPr>
          </w:p>
        </w:tc>
      </w:tr>
      <w:tr w14:paraId="0012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79530E7">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565C8920">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42841FD7">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449270E8">
            <w:pPr>
              <w:tabs>
                <w:tab w:val="left" w:pos="6300"/>
              </w:tabs>
              <w:snapToGrid w:val="0"/>
              <w:spacing w:line="360" w:lineRule="auto"/>
              <w:jc w:val="center"/>
              <w:outlineLvl w:val="0"/>
              <w:rPr>
                <w:rFonts w:ascii="宋体" w:hAnsi="宋体" w:cs="宋体"/>
                <w:sz w:val="21"/>
                <w:szCs w:val="24"/>
              </w:rPr>
            </w:pPr>
          </w:p>
        </w:tc>
      </w:tr>
      <w:tr w14:paraId="2A8D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3DDBA0B">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2025A75C">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2C3E2468">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4444404D">
            <w:pPr>
              <w:tabs>
                <w:tab w:val="left" w:pos="6300"/>
              </w:tabs>
              <w:snapToGrid w:val="0"/>
              <w:spacing w:line="360" w:lineRule="auto"/>
              <w:jc w:val="center"/>
              <w:outlineLvl w:val="0"/>
              <w:rPr>
                <w:rFonts w:ascii="宋体" w:hAnsi="宋体" w:cs="宋体"/>
                <w:sz w:val="21"/>
                <w:szCs w:val="24"/>
              </w:rPr>
            </w:pPr>
          </w:p>
        </w:tc>
      </w:tr>
      <w:tr w14:paraId="0CFD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F8BC28C">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7F03ECA6">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4D868F27">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516C0816">
            <w:pPr>
              <w:tabs>
                <w:tab w:val="left" w:pos="6300"/>
              </w:tabs>
              <w:snapToGrid w:val="0"/>
              <w:spacing w:line="360" w:lineRule="auto"/>
              <w:jc w:val="center"/>
              <w:outlineLvl w:val="0"/>
              <w:rPr>
                <w:rFonts w:ascii="宋体" w:hAnsi="宋体" w:cs="宋体"/>
                <w:sz w:val="21"/>
                <w:szCs w:val="24"/>
              </w:rPr>
            </w:pPr>
          </w:p>
        </w:tc>
      </w:tr>
      <w:tr w14:paraId="2800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270CEA9">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2B0A154F">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5646493D">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54F7AAAC">
            <w:pPr>
              <w:tabs>
                <w:tab w:val="left" w:pos="6300"/>
              </w:tabs>
              <w:snapToGrid w:val="0"/>
              <w:spacing w:line="360" w:lineRule="auto"/>
              <w:jc w:val="center"/>
              <w:outlineLvl w:val="0"/>
              <w:rPr>
                <w:rFonts w:ascii="宋体" w:hAnsi="宋体" w:cs="宋体"/>
                <w:sz w:val="21"/>
                <w:szCs w:val="24"/>
              </w:rPr>
            </w:pPr>
          </w:p>
        </w:tc>
      </w:tr>
      <w:tr w14:paraId="40EC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6B72994">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7B76F7D3">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77467357">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7994B864">
            <w:pPr>
              <w:tabs>
                <w:tab w:val="left" w:pos="6300"/>
              </w:tabs>
              <w:snapToGrid w:val="0"/>
              <w:spacing w:line="360" w:lineRule="auto"/>
              <w:jc w:val="center"/>
              <w:outlineLvl w:val="0"/>
              <w:rPr>
                <w:rFonts w:ascii="宋体" w:hAnsi="宋体" w:cs="宋体"/>
                <w:sz w:val="21"/>
                <w:szCs w:val="24"/>
              </w:rPr>
            </w:pPr>
          </w:p>
        </w:tc>
      </w:tr>
    </w:tbl>
    <w:p w14:paraId="3E6B3106">
      <w:pPr>
        <w:snapToGrid w:val="0"/>
        <w:spacing w:line="360" w:lineRule="auto"/>
        <w:ind w:firstLine="465"/>
        <w:rPr>
          <w:rFonts w:ascii="宋体" w:hAnsi="宋体" w:cs="宋体"/>
          <w:sz w:val="24"/>
          <w:szCs w:val="24"/>
        </w:rPr>
      </w:pPr>
    </w:p>
    <w:p w14:paraId="13301CED">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p>
    <w:p w14:paraId="26C16878">
      <w:pPr>
        <w:spacing w:line="500" w:lineRule="exact"/>
        <w:rPr>
          <w:rFonts w:ascii="宋体" w:hAnsi="宋体" w:cs="宋体"/>
          <w:sz w:val="24"/>
          <w:szCs w:val="28"/>
        </w:rPr>
      </w:pPr>
    </w:p>
    <w:p w14:paraId="50D3CCB0">
      <w:pPr>
        <w:spacing w:line="500" w:lineRule="exact"/>
        <w:ind w:firstLine="360" w:firstLineChars="150"/>
        <w:rPr>
          <w:rFonts w:ascii="宋体" w:hAnsi="宋体" w:cs="宋体"/>
          <w:sz w:val="24"/>
          <w:szCs w:val="28"/>
        </w:rPr>
      </w:pPr>
      <w:r>
        <w:rPr>
          <w:rFonts w:hint="eastAsia" w:ascii="宋体" w:hAnsi="宋体" w:cs="宋体"/>
          <w:sz w:val="24"/>
          <w:szCs w:val="28"/>
        </w:rPr>
        <w:t>（供应商公章）                                 （签署或盖章）</w:t>
      </w:r>
    </w:p>
    <w:p w14:paraId="41E9B385">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14:paraId="758AB45C">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14:paraId="139C0A1F">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本表即为对本项目“第三篇  项目商务需求”中所列条款进行比较和响应；</w:t>
      </w:r>
    </w:p>
    <w:p w14:paraId="311BBCEA">
      <w:pPr>
        <w:snapToGrid w:val="0"/>
        <w:spacing w:line="400" w:lineRule="exact"/>
        <w:ind w:firstLine="480" w:firstLineChars="200"/>
        <w:rPr>
          <w:rFonts w:ascii="宋体" w:hAnsi="宋体" w:cs="宋体"/>
          <w:b/>
        </w:rPr>
        <w:sectPr>
          <w:headerReference r:id="rId11"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rPr>
        <w:t>2.本表可扩展。</w:t>
      </w:r>
    </w:p>
    <w:p w14:paraId="755E6B7F">
      <w:pPr>
        <w:snapToGrid w:val="0"/>
        <w:spacing w:line="400" w:lineRule="exact"/>
        <w:ind w:firstLine="480" w:firstLineChars="200"/>
        <w:rPr>
          <w:rFonts w:ascii="宋体" w:hAnsi="宋体" w:cs="宋体"/>
          <w:sz w:val="24"/>
          <w:szCs w:val="24"/>
        </w:rPr>
      </w:pPr>
      <w:bookmarkStart w:id="342" w:name="_Toc283382459"/>
      <w:r>
        <w:rPr>
          <w:rFonts w:hint="eastAsia" w:ascii="宋体" w:hAnsi="宋体" w:cs="宋体"/>
          <w:sz w:val="24"/>
          <w:szCs w:val="24"/>
        </w:rPr>
        <w:t>（二）其它优惠服务承诺（格式自定）</w:t>
      </w:r>
    </w:p>
    <w:p w14:paraId="1749D893">
      <w:pPr>
        <w:snapToGrid w:val="0"/>
        <w:spacing w:line="400" w:lineRule="exact"/>
        <w:ind w:firstLine="480" w:firstLineChars="200"/>
        <w:rPr>
          <w:rFonts w:ascii="宋体" w:hAnsi="宋体" w:cs="宋体"/>
          <w:sz w:val="24"/>
          <w:szCs w:val="24"/>
        </w:rPr>
      </w:pPr>
    </w:p>
    <w:p w14:paraId="388F55CE">
      <w:pPr>
        <w:pStyle w:val="4"/>
        <w:numPr>
          <w:ilvl w:val="1"/>
          <w:numId w:val="0"/>
        </w:numPr>
        <w:adjustRightInd w:val="0"/>
        <w:snapToGrid w:val="0"/>
        <w:spacing w:line="400" w:lineRule="exact"/>
        <w:ind w:left="560" w:leftChars="200"/>
        <w:rPr>
          <w:rFonts w:ascii="宋体" w:hAnsi="宋体" w:eastAsia="宋体" w:cs="宋体"/>
          <w:sz w:val="24"/>
        </w:rPr>
      </w:pPr>
      <w:r>
        <w:rPr>
          <w:rFonts w:hint="eastAsia" w:ascii="宋体" w:hAnsi="宋体" w:eastAsia="宋体" w:cs="宋体"/>
          <w:sz w:val="24"/>
          <w:szCs w:val="24"/>
        </w:rPr>
        <w:br w:type="page"/>
      </w:r>
      <w:bookmarkEnd w:id="342"/>
      <w:bookmarkStart w:id="343" w:name="_Toc17489"/>
      <w:bookmarkStart w:id="344" w:name="_Toc313888363"/>
      <w:bookmarkStart w:id="345" w:name="_Toc24334"/>
      <w:bookmarkStart w:id="346" w:name="_Toc76462353"/>
      <w:bookmarkStart w:id="347" w:name="_Toc342913422"/>
      <w:bookmarkStart w:id="348" w:name="_Toc313008359"/>
      <w:bookmarkStart w:id="349" w:name="_Toc16296"/>
      <w:bookmarkStart w:id="350" w:name="_Toc106030909"/>
      <w:bookmarkStart w:id="351" w:name="_Toc16979"/>
      <w:bookmarkStart w:id="352" w:name="_Toc30837"/>
      <w:r>
        <w:rPr>
          <w:rFonts w:hint="eastAsia" w:ascii="宋体" w:hAnsi="宋体" w:eastAsia="宋体" w:cs="宋体"/>
          <w:b/>
          <w:bCs w:val="0"/>
          <w:sz w:val="24"/>
        </w:rPr>
        <w:t>四、资格条件</w:t>
      </w:r>
      <w:bookmarkEnd w:id="343"/>
      <w:bookmarkEnd w:id="344"/>
      <w:bookmarkEnd w:id="345"/>
      <w:bookmarkEnd w:id="346"/>
      <w:bookmarkEnd w:id="347"/>
      <w:bookmarkEnd w:id="348"/>
      <w:bookmarkEnd w:id="349"/>
      <w:bookmarkEnd w:id="350"/>
      <w:bookmarkEnd w:id="351"/>
      <w:bookmarkEnd w:id="352"/>
    </w:p>
    <w:p w14:paraId="63B6DA36">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79B06FE2">
      <w:pPr>
        <w:tabs>
          <w:tab w:val="left" w:pos="6300"/>
        </w:tabs>
        <w:snapToGrid w:val="0"/>
        <w:spacing w:line="400" w:lineRule="exact"/>
        <w:ind w:firstLine="570"/>
        <w:rPr>
          <w:rFonts w:ascii="宋体" w:hAnsi="宋体" w:cs="宋体"/>
        </w:rPr>
      </w:pPr>
    </w:p>
    <w:p w14:paraId="6A1819CB">
      <w:pPr>
        <w:tabs>
          <w:tab w:val="left" w:pos="6300"/>
        </w:tabs>
        <w:snapToGrid w:val="0"/>
        <w:spacing w:line="500" w:lineRule="exact"/>
        <w:ind w:firstLine="570"/>
        <w:rPr>
          <w:rFonts w:ascii="宋体" w:hAnsi="宋体" w:cs="宋体"/>
        </w:rPr>
      </w:pPr>
    </w:p>
    <w:p w14:paraId="00B5996E">
      <w:pPr>
        <w:tabs>
          <w:tab w:val="left" w:pos="6300"/>
        </w:tabs>
        <w:snapToGrid w:val="0"/>
        <w:spacing w:line="500" w:lineRule="exact"/>
        <w:ind w:firstLine="570"/>
        <w:rPr>
          <w:rFonts w:ascii="宋体" w:hAnsi="宋体" w:cs="宋体"/>
        </w:rPr>
      </w:pPr>
    </w:p>
    <w:p w14:paraId="15EE426B">
      <w:pPr>
        <w:tabs>
          <w:tab w:val="left" w:pos="6300"/>
        </w:tabs>
        <w:snapToGrid w:val="0"/>
        <w:spacing w:line="500" w:lineRule="exact"/>
        <w:ind w:firstLine="570"/>
        <w:rPr>
          <w:rFonts w:ascii="宋体" w:hAnsi="宋体" w:cs="宋体"/>
        </w:rPr>
      </w:pPr>
    </w:p>
    <w:p w14:paraId="177BB755">
      <w:pPr>
        <w:tabs>
          <w:tab w:val="left" w:pos="6300"/>
        </w:tabs>
        <w:snapToGrid w:val="0"/>
        <w:spacing w:line="500" w:lineRule="exact"/>
        <w:ind w:firstLine="570"/>
        <w:rPr>
          <w:rFonts w:ascii="宋体" w:hAnsi="宋体" w:cs="宋体"/>
        </w:rPr>
      </w:pPr>
    </w:p>
    <w:p w14:paraId="617828E4">
      <w:pPr>
        <w:snapToGrid w:val="0"/>
        <w:spacing w:line="400" w:lineRule="exact"/>
        <w:ind w:firstLine="560" w:firstLineChars="200"/>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14:paraId="32937C25">
      <w:pPr>
        <w:tabs>
          <w:tab w:val="left" w:pos="6300"/>
        </w:tabs>
        <w:snapToGrid w:val="0"/>
        <w:spacing w:line="500" w:lineRule="exact"/>
        <w:ind w:firstLine="570"/>
        <w:rPr>
          <w:rFonts w:ascii="宋体" w:hAnsi="宋体" w:cs="宋体"/>
          <w:sz w:val="24"/>
        </w:rPr>
      </w:pPr>
    </w:p>
    <w:p w14:paraId="42294E5B">
      <w:pPr>
        <w:tabs>
          <w:tab w:val="left" w:pos="6300"/>
        </w:tabs>
        <w:snapToGrid w:val="0"/>
        <w:spacing w:line="500" w:lineRule="exact"/>
        <w:ind w:firstLine="570"/>
        <w:rPr>
          <w:rFonts w:ascii="宋体" w:hAnsi="宋体" w:cs="宋体"/>
          <w:sz w:val="24"/>
          <w:u w:val="single"/>
        </w:rPr>
      </w:pPr>
      <w:r>
        <w:rPr>
          <w:rFonts w:hint="eastAsia" w:ascii="宋体" w:hAnsi="宋体" w:cs="宋体"/>
          <w:sz w:val="24"/>
        </w:rPr>
        <w:t xml:space="preserve">磋商项目名称： </w:t>
      </w:r>
      <w:r>
        <w:rPr>
          <w:rFonts w:hint="eastAsia" w:ascii="宋体" w:hAnsi="宋体" w:cs="宋体"/>
          <w:sz w:val="24"/>
          <w:u w:val="single"/>
        </w:rPr>
        <w:t xml:space="preserve">                        </w:t>
      </w:r>
    </w:p>
    <w:p w14:paraId="0123116F">
      <w:pPr>
        <w:tabs>
          <w:tab w:val="left" w:pos="6300"/>
        </w:tabs>
        <w:snapToGrid w:val="0"/>
        <w:spacing w:line="500" w:lineRule="exact"/>
        <w:ind w:firstLine="570"/>
        <w:rPr>
          <w:rFonts w:ascii="宋体" w:hAnsi="宋体" w:cs="宋体"/>
          <w:sz w:val="24"/>
        </w:rPr>
      </w:pPr>
    </w:p>
    <w:p w14:paraId="33E4546B">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37611C68">
      <w:pPr>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w:t>
      </w:r>
      <w:r>
        <w:rPr>
          <w:rFonts w:hint="eastAsia" w:ascii="宋体" w:hAnsi="宋体" w:cs="宋体"/>
          <w:sz w:val="24"/>
          <w:u w:val="single"/>
        </w:rPr>
        <w:t xml:space="preserve">        </w:t>
      </w:r>
      <w:r>
        <w:rPr>
          <w:rFonts w:hint="eastAsia" w:ascii="宋体" w:hAnsi="宋体" w:cs="宋体"/>
          <w:sz w:val="24"/>
        </w:rPr>
        <w:t>（供应商名称）的法定代表人。</w:t>
      </w:r>
    </w:p>
    <w:p w14:paraId="12B62330">
      <w:pPr>
        <w:tabs>
          <w:tab w:val="left" w:pos="6300"/>
        </w:tabs>
        <w:snapToGrid w:val="0"/>
        <w:spacing w:line="500" w:lineRule="exact"/>
        <w:ind w:firstLine="570"/>
        <w:rPr>
          <w:rFonts w:ascii="宋体" w:hAnsi="宋体" w:cs="宋体"/>
          <w:sz w:val="24"/>
        </w:rPr>
      </w:pPr>
    </w:p>
    <w:p w14:paraId="2B9A443F">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14:paraId="0A8FD5F8">
      <w:pPr>
        <w:tabs>
          <w:tab w:val="left" w:pos="6300"/>
        </w:tabs>
        <w:snapToGrid w:val="0"/>
        <w:spacing w:line="500" w:lineRule="exact"/>
        <w:ind w:firstLine="570"/>
        <w:rPr>
          <w:rFonts w:ascii="宋体" w:hAnsi="宋体" w:cs="宋体"/>
          <w:sz w:val="24"/>
        </w:rPr>
      </w:pPr>
    </w:p>
    <w:p w14:paraId="6F062D8E">
      <w:pPr>
        <w:tabs>
          <w:tab w:val="left" w:pos="6300"/>
        </w:tabs>
        <w:snapToGrid w:val="0"/>
        <w:spacing w:line="500" w:lineRule="exact"/>
        <w:ind w:firstLine="570"/>
        <w:rPr>
          <w:rFonts w:ascii="宋体" w:hAnsi="宋体" w:cs="宋体"/>
          <w:sz w:val="24"/>
        </w:rPr>
      </w:pPr>
    </w:p>
    <w:p w14:paraId="3515E942">
      <w:pPr>
        <w:tabs>
          <w:tab w:val="left" w:pos="6300"/>
        </w:tabs>
        <w:snapToGrid w:val="0"/>
        <w:spacing w:line="500" w:lineRule="exact"/>
        <w:ind w:firstLine="570"/>
        <w:rPr>
          <w:rFonts w:ascii="宋体" w:hAnsi="宋体" w:cs="宋体"/>
          <w:sz w:val="24"/>
        </w:rPr>
      </w:pPr>
    </w:p>
    <w:p w14:paraId="49288159">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（供应商公章）</w:t>
      </w:r>
    </w:p>
    <w:p w14:paraId="06483376">
      <w:pPr>
        <w:tabs>
          <w:tab w:val="left" w:pos="6300"/>
        </w:tabs>
        <w:snapToGrid w:val="0"/>
        <w:spacing w:line="500" w:lineRule="exact"/>
        <w:ind w:firstLine="570"/>
        <w:rPr>
          <w:rFonts w:ascii="宋体" w:hAnsi="宋体" w:cs="宋体"/>
          <w:sz w:val="24"/>
        </w:rPr>
      </w:pPr>
    </w:p>
    <w:p w14:paraId="1C756CEE">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14:paraId="1C9B922B">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法定代表人电话：XXXXXXX      电子邮箱：XXXXXX@XXXXX（若授权他人办理并签署响应文件的可不填写）</w:t>
      </w:r>
    </w:p>
    <w:p w14:paraId="240A0854">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14:paraId="2D7B23EB">
      <w:pPr>
        <w:tabs>
          <w:tab w:val="left" w:pos="6300"/>
        </w:tabs>
        <w:snapToGrid w:val="0"/>
        <w:spacing w:line="500" w:lineRule="exact"/>
        <w:ind w:firstLine="570"/>
        <w:rPr>
          <w:rFonts w:ascii="宋体" w:hAnsi="宋体" w:cs="宋体"/>
          <w:sz w:val="24"/>
        </w:rPr>
      </w:pPr>
    </w:p>
    <w:p w14:paraId="0D1486F4">
      <w:pPr>
        <w:tabs>
          <w:tab w:val="left" w:pos="6300"/>
        </w:tabs>
        <w:snapToGrid w:val="0"/>
        <w:spacing w:line="500" w:lineRule="exact"/>
        <w:ind w:firstLine="570"/>
        <w:rPr>
          <w:rFonts w:ascii="宋体" w:hAnsi="宋体" w:cs="宋体"/>
          <w:sz w:val="24"/>
        </w:rPr>
      </w:pPr>
    </w:p>
    <w:p w14:paraId="6165A9FB">
      <w:pPr>
        <w:tabs>
          <w:tab w:val="left" w:pos="6300"/>
        </w:tabs>
        <w:snapToGrid w:val="0"/>
        <w:spacing w:line="500" w:lineRule="exact"/>
        <w:ind w:firstLine="570"/>
        <w:rPr>
          <w:rFonts w:ascii="宋体" w:hAnsi="宋体" w:cs="宋体"/>
          <w:sz w:val="24"/>
        </w:rPr>
      </w:pPr>
    </w:p>
    <w:p w14:paraId="44493ECA">
      <w:pPr>
        <w:tabs>
          <w:tab w:val="left" w:pos="6300"/>
        </w:tabs>
        <w:snapToGrid w:val="0"/>
        <w:spacing w:line="500" w:lineRule="exact"/>
        <w:ind w:firstLine="570"/>
        <w:rPr>
          <w:rFonts w:ascii="宋体" w:hAnsi="宋体" w:cs="宋体"/>
          <w:sz w:val="24"/>
        </w:rPr>
      </w:pPr>
    </w:p>
    <w:p w14:paraId="50E84159">
      <w:pPr>
        <w:tabs>
          <w:tab w:val="left" w:pos="6300"/>
        </w:tabs>
        <w:snapToGrid w:val="0"/>
        <w:spacing w:line="500" w:lineRule="exact"/>
        <w:ind w:firstLine="570"/>
        <w:rPr>
          <w:rFonts w:ascii="宋体" w:hAnsi="宋体" w:cs="宋体"/>
          <w:sz w:val="24"/>
        </w:rPr>
      </w:pPr>
    </w:p>
    <w:p w14:paraId="71EE4BFC">
      <w:pPr>
        <w:tabs>
          <w:tab w:val="left" w:pos="6300"/>
        </w:tabs>
        <w:snapToGrid w:val="0"/>
        <w:spacing w:line="500" w:lineRule="exact"/>
        <w:ind w:firstLine="570"/>
        <w:rPr>
          <w:rFonts w:ascii="宋体" w:hAnsi="宋体" w:cs="宋体"/>
          <w:sz w:val="24"/>
        </w:rPr>
      </w:pPr>
    </w:p>
    <w:p w14:paraId="5EF24A15">
      <w:pPr>
        <w:snapToGrid w:val="0"/>
        <w:spacing w:line="400" w:lineRule="exact"/>
        <w:ind w:firstLine="560" w:firstLineChars="200"/>
        <w:rPr>
          <w:rFonts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14:paraId="2ADBDE40">
      <w:pPr>
        <w:tabs>
          <w:tab w:val="left" w:pos="6300"/>
        </w:tabs>
        <w:snapToGrid w:val="0"/>
        <w:spacing w:line="500" w:lineRule="exact"/>
        <w:ind w:firstLine="570"/>
        <w:rPr>
          <w:rFonts w:ascii="宋体" w:hAnsi="宋体" w:cs="宋体"/>
          <w:sz w:val="24"/>
        </w:rPr>
      </w:pPr>
    </w:p>
    <w:p w14:paraId="09B35720">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磋商项目名称</w:t>
      </w:r>
      <w:r>
        <w:rPr>
          <w:rFonts w:hint="eastAsia" w:ascii="宋体" w:hAnsi="宋体" w:cs="宋体"/>
          <w:sz w:val="24"/>
        </w:rPr>
        <w:t>：</w:t>
      </w:r>
      <w:r>
        <w:rPr>
          <w:rFonts w:hint="eastAsia" w:ascii="宋体" w:hAnsi="宋体" w:cs="宋体"/>
          <w:sz w:val="24"/>
          <w:u w:val="single"/>
        </w:rPr>
        <w:t xml:space="preserve">                      </w:t>
      </w:r>
    </w:p>
    <w:p w14:paraId="27C8D73B">
      <w:pPr>
        <w:tabs>
          <w:tab w:val="left" w:pos="6300"/>
        </w:tabs>
        <w:snapToGrid w:val="0"/>
        <w:spacing w:line="500" w:lineRule="exact"/>
        <w:ind w:firstLine="570"/>
        <w:rPr>
          <w:rFonts w:ascii="宋体" w:hAnsi="宋体" w:cs="宋体"/>
          <w:sz w:val="24"/>
        </w:rPr>
      </w:pPr>
    </w:p>
    <w:p w14:paraId="4BDD4010">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1AF433B0">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（被授权人姓名及身份证代码）代表我单位全权办理上述项目的磋商、签约等具体工作，并签署全部有关文件、协议及合同。</w:t>
      </w:r>
    </w:p>
    <w:p w14:paraId="4F26E723">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14:paraId="7D036852">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14:paraId="0684DBE4">
      <w:pPr>
        <w:tabs>
          <w:tab w:val="left" w:pos="6300"/>
        </w:tabs>
        <w:snapToGrid w:val="0"/>
        <w:spacing w:line="500" w:lineRule="exact"/>
        <w:ind w:firstLine="570"/>
        <w:rPr>
          <w:rFonts w:ascii="宋体" w:hAnsi="宋体" w:cs="宋体"/>
          <w:sz w:val="24"/>
        </w:rPr>
      </w:pPr>
    </w:p>
    <w:p w14:paraId="4F1C9508">
      <w:pPr>
        <w:tabs>
          <w:tab w:val="left" w:pos="6300"/>
        </w:tabs>
        <w:snapToGrid w:val="0"/>
        <w:spacing w:line="500" w:lineRule="exact"/>
        <w:ind w:firstLine="570"/>
        <w:rPr>
          <w:rFonts w:ascii="宋体" w:hAnsi="宋体" w:cs="宋体"/>
          <w:sz w:val="24"/>
        </w:rPr>
      </w:pPr>
    </w:p>
    <w:p w14:paraId="18FDD810">
      <w:pPr>
        <w:tabs>
          <w:tab w:val="left" w:pos="6300"/>
        </w:tabs>
        <w:snapToGrid w:val="0"/>
        <w:spacing w:line="500" w:lineRule="exact"/>
        <w:ind w:firstLine="570"/>
        <w:rPr>
          <w:rFonts w:ascii="宋体" w:hAnsi="宋体" w:cs="宋体"/>
          <w:sz w:val="24"/>
        </w:rPr>
      </w:pPr>
      <w:r>
        <w:rPr>
          <w:rFonts w:hint="eastAsia" w:ascii="宋体" w:hAnsi="宋体" w:cs="宋体"/>
          <w:sz w:val="24"/>
        </w:rPr>
        <w:t>被授权人：                                 供应商法定代表人：</w:t>
      </w:r>
    </w:p>
    <w:p w14:paraId="3BC63536">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14:paraId="2858CBB3">
      <w:pPr>
        <w:tabs>
          <w:tab w:val="left" w:pos="6300"/>
        </w:tabs>
        <w:snapToGrid w:val="0"/>
        <w:spacing w:line="500" w:lineRule="exact"/>
        <w:ind w:firstLine="570"/>
        <w:rPr>
          <w:rFonts w:ascii="宋体" w:hAnsi="宋体" w:cs="宋体"/>
          <w:sz w:val="24"/>
          <w:szCs w:val="28"/>
        </w:rPr>
      </w:pPr>
    </w:p>
    <w:p w14:paraId="5C285EB6">
      <w:pPr>
        <w:tabs>
          <w:tab w:val="left" w:pos="6300"/>
        </w:tabs>
        <w:snapToGrid w:val="0"/>
        <w:spacing w:line="500" w:lineRule="exact"/>
        <w:ind w:firstLine="570"/>
        <w:rPr>
          <w:rFonts w:ascii="宋体" w:hAnsi="宋体" w:cs="宋体"/>
          <w:sz w:val="24"/>
        </w:rPr>
      </w:pPr>
    </w:p>
    <w:p w14:paraId="706C9ACD">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14:paraId="0B7192CD">
      <w:pPr>
        <w:tabs>
          <w:tab w:val="left" w:pos="6300"/>
        </w:tabs>
        <w:snapToGrid w:val="0"/>
        <w:spacing w:line="500" w:lineRule="exact"/>
        <w:ind w:firstLine="570"/>
        <w:rPr>
          <w:rFonts w:ascii="宋体" w:hAnsi="宋体" w:cs="宋体"/>
          <w:sz w:val="24"/>
        </w:rPr>
      </w:pPr>
    </w:p>
    <w:p w14:paraId="613A54D2">
      <w:pPr>
        <w:tabs>
          <w:tab w:val="left" w:pos="6300"/>
        </w:tabs>
        <w:snapToGrid w:val="0"/>
        <w:spacing w:line="500" w:lineRule="exact"/>
        <w:ind w:firstLine="570"/>
        <w:rPr>
          <w:rFonts w:ascii="宋体" w:hAnsi="宋体" w:cs="宋体"/>
          <w:sz w:val="24"/>
        </w:rPr>
      </w:pPr>
    </w:p>
    <w:p w14:paraId="4E3B3E35">
      <w:pPr>
        <w:tabs>
          <w:tab w:val="left" w:pos="6300"/>
        </w:tabs>
        <w:snapToGrid w:val="0"/>
        <w:spacing w:line="500" w:lineRule="exact"/>
        <w:ind w:firstLine="570"/>
        <w:rPr>
          <w:rFonts w:ascii="宋体" w:hAnsi="宋体" w:cs="宋体"/>
          <w:sz w:val="24"/>
        </w:rPr>
      </w:pPr>
    </w:p>
    <w:p w14:paraId="3F1DCB1B">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14:paraId="2D0D63A6">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14:paraId="3E5D2420">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电子邮箱：XXXXXX@XXXXX（若法定代表人办理并签署响应文件的可不填写）</w:t>
      </w:r>
    </w:p>
    <w:p w14:paraId="06D4D9E3">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注：若为法定代表人办理并签署响应文件的，不提供此文件。</w:t>
      </w:r>
    </w:p>
    <w:p w14:paraId="2120D62A">
      <w:pPr>
        <w:tabs>
          <w:tab w:val="left" w:pos="6300"/>
        </w:tabs>
        <w:snapToGrid w:val="0"/>
        <w:spacing w:line="500" w:lineRule="exact"/>
        <w:ind w:firstLine="570"/>
        <w:rPr>
          <w:rFonts w:ascii="宋体" w:hAnsi="宋体" w:cs="宋体"/>
          <w:sz w:val="24"/>
          <w:szCs w:val="24"/>
        </w:rPr>
      </w:pPr>
      <w:r>
        <w:rPr>
          <w:rFonts w:hint="eastAsia" w:ascii="宋体" w:hAnsi="宋体" w:cs="宋体"/>
        </w:rPr>
        <w:br w:type="column"/>
      </w:r>
      <w:r>
        <w:rPr>
          <w:rFonts w:hint="eastAsia" w:ascii="宋体" w:hAnsi="宋体" w:cs="宋体"/>
          <w:sz w:val="24"/>
          <w:szCs w:val="24"/>
        </w:rPr>
        <w:t>（四）</w:t>
      </w:r>
      <w:r>
        <w:rPr>
          <w:rFonts w:hint="eastAsia" w:ascii="宋体" w:hAnsi="宋体" w:cs="宋体"/>
          <w:sz w:val="24"/>
          <w:szCs w:val="28"/>
        </w:rPr>
        <w:t>基本资格条件承诺函</w:t>
      </w:r>
    </w:p>
    <w:p w14:paraId="64E1AC1A">
      <w:pPr>
        <w:tabs>
          <w:tab w:val="left" w:pos="6300"/>
        </w:tabs>
        <w:snapToGrid w:val="0"/>
        <w:spacing w:line="500" w:lineRule="exact"/>
        <w:ind w:firstLine="643" w:firstLineChars="200"/>
        <w:jc w:val="center"/>
        <w:rPr>
          <w:rFonts w:ascii="宋体" w:hAnsi="宋体" w:cs="宋体"/>
          <w:b/>
          <w:bCs/>
          <w:sz w:val="32"/>
          <w:szCs w:val="32"/>
        </w:rPr>
      </w:pPr>
      <w:r>
        <w:rPr>
          <w:rFonts w:hint="eastAsia" w:ascii="宋体" w:hAnsi="宋体" w:cs="宋体"/>
          <w:b/>
          <w:bCs/>
          <w:sz w:val="32"/>
          <w:szCs w:val="32"/>
        </w:rPr>
        <w:t>基本资格条件承诺函</w:t>
      </w:r>
    </w:p>
    <w:p w14:paraId="19E80675">
      <w:pPr>
        <w:tabs>
          <w:tab w:val="left" w:pos="6300"/>
        </w:tabs>
        <w:snapToGrid w:val="0"/>
        <w:spacing w:line="530" w:lineRule="exact"/>
        <w:rPr>
          <w:rFonts w:ascii="宋体" w:hAnsi="宋体" w:cs="宋体"/>
          <w:sz w:val="24"/>
        </w:rPr>
      </w:pPr>
    </w:p>
    <w:p w14:paraId="002C88B5">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692A0027">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（供应商名称）郑重承诺：</w:t>
      </w:r>
    </w:p>
    <w:p w14:paraId="42D7D3FE">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14:paraId="030681D2">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14:paraId="1155CBBC">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14:paraId="531682F8">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14:paraId="6B37CBC1">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14:paraId="365D518B">
      <w:pPr>
        <w:tabs>
          <w:tab w:val="left" w:pos="6300"/>
        </w:tabs>
        <w:snapToGrid w:val="0"/>
        <w:spacing w:line="500" w:lineRule="exact"/>
        <w:ind w:firstLine="480" w:firstLineChars="200"/>
        <w:rPr>
          <w:rFonts w:ascii="宋体" w:hAnsi="宋体" w:cs="宋体"/>
          <w:sz w:val="24"/>
        </w:rPr>
      </w:pPr>
    </w:p>
    <w:p w14:paraId="143938CE">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14:paraId="67B3C602">
      <w:pPr>
        <w:tabs>
          <w:tab w:val="left" w:pos="6300"/>
        </w:tabs>
        <w:snapToGrid w:val="0"/>
        <w:spacing w:line="500" w:lineRule="exact"/>
        <w:ind w:firstLine="7920" w:firstLineChars="3300"/>
        <w:rPr>
          <w:rFonts w:ascii="宋体" w:hAnsi="宋体" w:cs="宋体"/>
          <w:sz w:val="24"/>
          <w:szCs w:val="24"/>
        </w:rPr>
      </w:pPr>
      <w:r>
        <w:rPr>
          <w:rFonts w:hint="eastAsia" w:ascii="宋体" w:hAnsi="宋体" w:cs="宋体"/>
          <w:sz w:val="24"/>
        </w:rPr>
        <w:t>年   月   日</w:t>
      </w:r>
    </w:p>
    <w:p w14:paraId="401A794E">
      <w:pPr>
        <w:snapToGrid w:val="0"/>
        <w:spacing w:line="400" w:lineRule="exact"/>
        <w:ind w:firstLine="560" w:firstLineChars="200"/>
        <w:rPr>
          <w:rFonts w:ascii="宋体" w:hAnsi="宋体" w:cs="宋体"/>
          <w:sz w:val="24"/>
          <w:szCs w:val="24"/>
        </w:rPr>
      </w:pPr>
      <w:r>
        <w:rPr>
          <w:rFonts w:hint="eastAsia" w:ascii="宋体" w:hAnsi="宋体" w:cs="宋体"/>
        </w:rPr>
        <w:br w:type="page"/>
      </w:r>
      <w:r>
        <w:rPr>
          <w:rFonts w:hint="eastAsia" w:ascii="宋体" w:hAnsi="宋体" w:cs="宋体"/>
          <w:sz w:val="24"/>
          <w:szCs w:val="24"/>
        </w:rPr>
        <w:t>（五）特定资格条件证书或证明文件（如果有）</w:t>
      </w:r>
    </w:p>
    <w:p w14:paraId="461B7924">
      <w:pPr>
        <w:tabs>
          <w:tab w:val="left" w:pos="6300"/>
        </w:tabs>
        <w:snapToGrid w:val="0"/>
        <w:spacing w:line="400" w:lineRule="exact"/>
        <w:ind w:firstLine="480" w:firstLineChars="200"/>
        <w:rPr>
          <w:rFonts w:ascii="宋体" w:hAnsi="宋体" w:cs="宋体"/>
          <w:sz w:val="24"/>
          <w:szCs w:val="24"/>
        </w:rPr>
      </w:pPr>
    </w:p>
    <w:p w14:paraId="0C554A54">
      <w:pPr>
        <w:pStyle w:val="4"/>
        <w:numPr>
          <w:ilvl w:val="1"/>
          <w:numId w:val="0"/>
        </w:numPr>
        <w:adjustRightInd w:val="0"/>
        <w:snapToGrid w:val="0"/>
        <w:spacing w:line="400" w:lineRule="exact"/>
        <w:ind w:left="560" w:leftChars="200"/>
        <w:rPr>
          <w:rFonts w:ascii="宋体" w:hAnsi="宋体" w:eastAsia="宋体" w:cs="宋体"/>
          <w:sz w:val="24"/>
        </w:rPr>
      </w:pPr>
      <w:bookmarkStart w:id="353" w:name="_Toc14422"/>
      <w:r>
        <w:rPr>
          <w:rFonts w:hint="eastAsia" w:ascii="宋体" w:hAnsi="宋体" w:eastAsia="宋体" w:cs="宋体"/>
          <w:sz w:val="28"/>
        </w:rPr>
        <w:br w:type="page"/>
      </w:r>
      <w:bookmarkStart w:id="354" w:name="_Toc106030910"/>
      <w:bookmarkStart w:id="355" w:name="_Toc21904"/>
      <w:bookmarkStart w:id="356" w:name="_Toc25441"/>
      <w:bookmarkStart w:id="357" w:name="_Toc31035"/>
      <w:bookmarkStart w:id="358" w:name="_Toc18889"/>
      <w:bookmarkStart w:id="359" w:name="_Toc19332"/>
      <w:bookmarkStart w:id="360" w:name="_Toc16103"/>
      <w:bookmarkStart w:id="361" w:name="_Toc76462354"/>
      <w:r>
        <w:rPr>
          <w:rFonts w:hint="eastAsia" w:ascii="宋体" w:hAnsi="宋体" w:eastAsia="宋体" w:cs="宋体"/>
          <w:b/>
          <w:bCs w:val="0"/>
          <w:sz w:val="24"/>
        </w:rPr>
        <w:t>五、其他资料</w:t>
      </w:r>
      <w:bookmarkEnd w:id="353"/>
      <w:bookmarkEnd w:id="354"/>
      <w:bookmarkEnd w:id="355"/>
      <w:bookmarkEnd w:id="356"/>
      <w:bookmarkEnd w:id="357"/>
      <w:bookmarkEnd w:id="358"/>
      <w:bookmarkEnd w:id="359"/>
      <w:bookmarkEnd w:id="360"/>
      <w:bookmarkEnd w:id="361"/>
    </w:p>
    <w:p w14:paraId="6A1F7A33">
      <w:pPr>
        <w:tabs>
          <w:tab w:val="left" w:pos="6300"/>
        </w:tabs>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（一）中小企业声明函、监狱企业证明文件、残疾人福利性单位声明函</w:t>
      </w:r>
    </w:p>
    <w:p w14:paraId="76D727EF">
      <w:pPr>
        <w:tabs>
          <w:tab w:val="left" w:pos="6300"/>
        </w:tabs>
        <w:snapToGrid w:val="0"/>
        <w:spacing w:line="500" w:lineRule="exact"/>
        <w:ind w:firstLine="560" w:firstLineChars="200"/>
        <w:jc w:val="center"/>
        <w:rPr>
          <w:rFonts w:ascii="宋体" w:hAnsi="宋体" w:cs="宋体"/>
          <w:color w:val="000000"/>
        </w:rPr>
      </w:pPr>
      <w:r>
        <w:rPr>
          <w:rFonts w:hint="eastAsia" w:ascii="宋体" w:hAnsi="宋体" w:cs="宋体"/>
          <w:color w:val="000000"/>
        </w:rPr>
        <w:t>中小企业声明函</w:t>
      </w:r>
    </w:p>
    <w:p w14:paraId="0556457B">
      <w:pPr>
        <w:tabs>
          <w:tab w:val="left" w:pos="6300"/>
        </w:tabs>
        <w:snapToGrid w:val="0"/>
        <w:spacing w:line="500" w:lineRule="exact"/>
        <w:ind w:firstLine="480" w:firstLineChars="200"/>
        <w:rPr>
          <w:rFonts w:ascii="宋体" w:hAnsi="宋体" w:cs="宋体"/>
          <w:color w:val="000000"/>
          <w:sz w:val="24"/>
          <w:szCs w:val="28"/>
        </w:rPr>
      </w:pPr>
      <w:r>
        <w:rPr>
          <w:rFonts w:hint="eastAsia" w:ascii="宋体" w:hAnsi="宋体" w:cs="宋体"/>
          <w:color w:val="000000"/>
          <w:sz w:val="24"/>
          <w:szCs w:val="28"/>
        </w:rPr>
        <w:t>本公司（联合体）郑重声明，根据《政府采购促进中小企业发展管理办法》（</w:t>
      </w:r>
      <w:r>
        <w:rPr>
          <w:rFonts w:hint="eastAsia" w:ascii="宋体" w:hAnsi="宋体" w:cs="宋体"/>
          <w:color w:val="000000"/>
          <w:sz w:val="24"/>
          <w:szCs w:val="24"/>
        </w:rPr>
        <w:t>财库〔2020〕46号</w:t>
      </w:r>
      <w:r>
        <w:rPr>
          <w:rFonts w:hint="eastAsia" w:ascii="宋体" w:hAnsi="宋体" w:cs="宋体"/>
          <w:color w:val="000000"/>
          <w:sz w:val="24"/>
          <w:szCs w:val="28"/>
        </w:rPr>
        <w:t>）的规定，本公司（联合体）参加</w:t>
      </w:r>
      <w:r>
        <w:rPr>
          <w:rFonts w:hint="eastAsia" w:ascii="宋体" w:hAnsi="宋体" w:cs="宋体"/>
          <w:i/>
          <w:color w:val="000000"/>
          <w:sz w:val="24"/>
          <w:szCs w:val="28"/>
          <w:u w:val="single"/>
        </w:rPr>
        <w:t>（单位名称）</w:t>
      </w:r>
      <w:r>
        <w:rPr>
          <w:rFonts w:hint="eastAsia" w:ascii="宋体" w:hAnsi="宋体" w:cs="宋体"/>
          <w:color w:val="000000"/>
          <w:sz w:val="24"/>
          <w:szCs w:val="28"/>
        </w:rPr>
        <w:t>的</w:t>
      </w:r>
      <w:r>
        <w:rPr>
          <w:rFonts w:hint="eastAsia" w:ascii="宋体" w:hAnsi="宋体" w:cs="宋体"/>
          <w:i/>
          <w:color w:val="000000"/>
          <w:sz w:val="24"/>
          <w:szCs w:val="28"/>
          <w:u w:val="single"/>
        </w:rPr>
        <w:t>（项目名称）</w:t>
      </w:r>
      <w:r>
        <w:rPr>
          <w:rFonts w:hint="eastAsia" w:ascii="宋体" w:hAnsi="宋体" w:cs="宋体"/>
          <w:color w:val="000000"/>
          <w:sz w:val="24"/>
          <w:szCs w:val="28"/>
        </w:rPr>
        <w:t>采购活动，服务全部由符合政策要求的中小企业承接。相关企业（含联合体中的中小企业、签订分包意向协议的中小企业）的具体情况如下：</w:t>
      </w:r>
    </w:p>
    <w:p w14:paraId="6F1B3629">
      <w:pPr>
        <w:tabs>
          <w:tab w:val="left" w:pos="6300"/>
        </w:tabs>
        <w:snapToGrid w:val="0"/>
        <w:spacing w:line="500" w:lineRule="exact"/>
        <w:ind w:firstLine="480" w:firstLineChars="200"/>
        <w:rPr>
          <w:rFonts w:ascii="宋体" w:hAnsi="宋体" w:cs="宋体"/>
          <w:color w:val="000000"/>
          <w:sz w:val="24"/>
          <w:szCs w:val="28"/>
        </w:rPr>
      </w:pPr>
      <w:r>
        <w:rPr>
          <w:rFonts w:hint="eastAsia" w:ascii="宋体" w:hAnsi="宋体" w:cs="宋体"/>
          <w:color w:val="000000"/>
          <w:sz w:val="24"/>
          <w:szCs w:val="28"/>
        </w:rPr>
        <w:t>1.</w:t>
      </w:r>
      <w:r>
        <w:rPr>
          <w:rFonts w:hint="eastAsia" w:ascii="宋体" w:hAnsi="宋体" w:cs="宋体"/>
          <w:i/>
          <w:color w:val="000000"/>
          <w:sz w:val="24"/>
          <w:szCs w:val="28"/>
          <w:u w:val="single"/>
        </w:rPr>
        <w:t>（标的名称）</w:t>
      </w:r>
      <w:r>
        <w:rPr>
          <w:rFonts w:hint="eastAsia" w:ascii="宋体" w:hAnsi="宋体" w:cs="宋体"/>
          <w:color w:val="000000"/>
          <w:sz w:val="24"/>
          <w:szCs w:val="28"/>
        </w:rPr>
        <w:t>，属于</w:t>
      </w:r>
      <w:r>
        <w:rPr>
          <w:rFonts w:hint="eastAsia" w:ascii="宋体" w:hAnsi="宋体" w:cs="宋体"/>
          <w:i/>
          <w:color w:val="000000"/>
          <w:sz w:val="24"/>
          <w:szCs w:val="28"/>
          <w:u w:val="single"/>
        </w:rPr>
        <w:t>（采购文件中明确的所属行业）</w:t>
      </w:r>
      <w:r>
        <w:rPr>
          <w:rFonts w:hint="eastAsia" w:ascii="宋体" w:hAnsi="宋体" w:cs="宋体"/>
          <w:color w:val="000000"/>
          <w:sz w:val="24"/>
          <w:szCs w:val="28"/>
        </w:rPr>
        <w:t>；承接企业为</w:t>
      </w:r>
      <w:r>
        <w:rPr>
          <w:rFonts w:hint="eastAsia" w:ascii="宋体" w:hAnsi="宋体" w:cs="宋体"/>
          <w:i/>
          <w:color w:val="000000"/>
          <w:sz w:val="24"/>
          <w:szCs w:val="28"/>
          <w:u w:val="single"/>
        </w:rPr>
        <w:t>（企业名称）</w:t>
      </w:r>
      <w:r>
        <w:rPr>
          <w:rFonts w:hint="eastAsia" w:ascii="宋体" w:hAnsi="宋体" w:cs="宋体"/>
          <w:color w:val="000000"/>
          <w:sz w:val="24"/>
          <w:szCs w:val="28"/>
        </w:rPr>
        <w:t>，从业人员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人，营业收入为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万元，资产总额为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万元，属于</w:t>
      </w:r>
      <w:r>
        <w:rPr>
          <w:rFonts w:hint="eastAsia" w:ascii="宋体" w:hAnsi="宋体" w:cs="宋体"/>
          <w:i/>
          <w:color w:val="000000"/>
          <w:sz w:val="24"/>
          <w:szCs w:val="28"/>
          <w:u w:val="single"/>
        </w:rPr>
        <w:t>（中型企业、小型企业、微型企业）</w:t>
      </w:r>
      <w:r>
        <w:rPr>
          <w:rFonts w:hint="eastAsia" w:ascii="宋体" w:hAnsi="宋体" w:cs="宋体"/>
          <w:color w:val="000000"/>
          <w:sz w:val="24"/>
          <w:szCs w:val="28"/>
        </w:rPr>
        <w:t>；</w:t>
      </w:r>
    </w:p>
    <w:p w14:paraId="55D604DF">
      <w:pPr>
        <w:tabs>
          <w:tab w:val="left" w:pos="6300"/>
        </w:tabs>
        <w:snapToGrid w:val="0"/>
        <w:spacing w:line="500" w:lineRule="exact"/>
        <w:ind w:firstLine="480" w:firstLineChars="200"/>
        <w:rPr>
          <w:rFonts w:ascii="宋体" w:hAnsi="宋体" w:cs="宋体"/>
          <w:color w:val="000000"/>
          <w:sz w:val="24"/>
          <w:szCs w:val="28"/>
        </w:rPr>
      </w:pPr>
      <w:r>
        <w:rPr>
          <w:rFonts w:hint="eastAsia" w:ascii="宋体" w:hAnsi="宋体" w:cs="宋体"/>
          <w:color w:val="000000"/>
          <w:sz w:val="24"/>
          <w:szCs w:val="28"/>
        </w:rPr>
        <w:t>为本标的提供的服务人员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人，其中与本企业签订劳动合同</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人，其他人员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人。有其他人员的不符合中小企业扶持政策（适用于服务采购项目）;</w:t>
      </w:r>
    </w:p>
    <w:p w14:paraId="43C77462">
      <w:pPr>
        <w:tabs>
          <w:tab w:val="left" w:pos="6300"/>
        </w:tabs>
        <w:snapToGrid w:val="0"/>
        <w:spacing w:line="500" w:lineRule="exact"/>
        <w:ind w:firstLine="480" w:firstLineChars="200"/>
        <w:rPr>
          <w:rFonts w:ascii="宋体" w:hAnsi="宋体" w:cs="宋体"/>
          <w:color w:val="000000"/>
          <w:sz w:val="24"/>
          <w:szCs w:val="28"/>
        </w:rPr>
      </w:pPr>
      <w:r>
        <w:rPr>
          <w:rFonts w:hint="eastAsia" w:ascii="宋体" w:hAnsi="宋体" w:cs="宋体"/>
          <w:color w:val="000000"/>
          <w:sz w:val="24"/>
          <w:szCs w:val="28"/>
        </w:rPr>
        <w:t>2.</w:t>
      </w:r>
      <w:r>
        <w:rPr>
          <w:rFonts w:hint="eastAsia" w:ascii="宋体" w:hAnsi="宋体" w:cs="宋体"/>
          <w:i/>
          <w:color w:val="000000"/>
          <w:sz w:val="24"/>
          <w:szCs w:val="28"/>
          <w:u w:val="single"/>
        </w:rPr>
        <w:t xml:space="preserve"> （标的名称）</w:t>
      </w:r>
      <w:r>
        <w:rPr>
          <w:rFonts w:hint="eastAsia" w:ascii="宋体" w:hAnsi="宋体" w:cs="宋体"/>
          <w:color w:val="000000"/>
          <w:sz w:val="24"/>
          <w:szCs w:val="28"/>
        </w:rPr>
        <w:t>，属于</w:t>
      </w:r>
      <w:r>
        <w:rPr>
          <w:rFonts w:hint="eastAsia" w:ascii="宋体" w:hAnsi="宋体" w:cs="宋体"/>
          <w:i/>
          <w:color w:val="000000"/>
          <w:sz w:val="24"/>
          <w:szCs w:val="28"/>
          <w:u w:val="single"/>
        </w:rPr>
        <w:t>（采购文件中明确的所属行业）</w:t>
      </w:r>
      <w:r>
        <w:rPr>
          <w:rFonts w:hint="eastAsia" w:ascii="宋体" w:hAnsi="宋体" w:cs="宋体"/>
          <w:color w:val="000000"/>
          <w:sz w:val="24"/>
          <w:szCs w:val="28"/>
        </w:rPr>
        <w:t>；承接企业为</w:t>
      </w:r>
      <w:r>
        <w:rPr>
          <w:rFonts w:hint="eastAsia" w:ascii="宋体" w:hAnsi="宋体" w:cs="宋体"/>
          <w:i/>
          <w:color w:val="000000"/>
          <w:sz w:val="24"/>
          <w:szCs w:val="28"/>
          <w:u w:val="single"/>
        </w:rPr>
        <w:t>（企业名称）</w:t>
      </w:r>
      <w:r>
        <w:rPr>
          <w:rFonts w:hint="eastAsia" w:ascii="宋体" w:hAnsi="宋体" w:cs="宋体"/>
          <w:color w:val="000000"/>
          <w:sz w:val="24"/>
          <w:szCs w:val="28"/>
        </w:rPr>
        <w:t>，从业人员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人，营业收入为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万元，资产总额为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万元，属于</w:t>
      </w:r>
      <w:r>
        <w:rPr>
          <w:rFonts w:hint="eastAsia" w:ascii="宋体" w:hAnsi="宋体" w:cs="宋体"/>
          <w:i/>
          <w:color w:val="000000"/>
          <w:sz w:val="24"/>
          <w:szCs w:val="28"/>
          <w:u w:val="single"/>
        </w:rPr>
        <w:t>（中型企业、小型企业、微型企业）</w:t>
      </w:r>
      <w:r>
        <w:rPr>
          <w:rFonts w:hint="eastAsia" w:ascii="宋体" w:hAnsi="宋体" w:cs="宋体"/>
          <w:color w:val="000000"/>
          <w:sz w:val="24"/>
          <w:szCs w:val="28"/>
        </w:rPr>
        <w:t>；</w:t>
      </w:r>
    </w:p>
    <w:p w14:paraId="4336642A">
      <w:pPr>
        <w:tabs>
          <w:tab w:val="left" w:pos="6300"/>
        </w:tabs>
        <w:snapToGrid w:val="0"/>
        <w:spacing w:line="500" w:lineRule="exact"/>
        <w:ind w:firstLine="480" w:firstLineChars="200"/>
        <w:rPr>
          <w:rFonts w:ascii="宋体" w:hAnsi="宋体" w:cs="宋体"/>
          <w:color w:val="000000"/>
          <w:sz w:val="24"/>
          <w:szCs w:val="28"/>
        </w:rPr>
      </w:pPr>
      <w:r>
        <w:rPr>
          <w:rFonts w:hint="eastAsia" w:ascii="宋体" w:hAnsi="宋体" w:cs="宋体"/>
          <w:color w:val="000000"/>
          <w:sz w:val="24"/>
          <w:szCs w:val="28"/>
        </w:rPr>
        <w:t>为本标的提供的服务人员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人，其中与本企业签订劳动合同</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人，其他人员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人。有其他人员的不符合中小企业扶持政策（适用于服务采购项目）;</w:t>
      </w:r>
    </w:p>
    <w:p w14:paraId="2A355B8A">
      <w:pPr>
        <w:tabs>
          <w:tab w:val="left" w:pos="6300"/>
        </w:tabs>
        <w:snapToGrid w:val="0"/>
        <w:spacing w:line="500" w:lineRule="exact"/>
        <w:ind w:firstLine="480" w:firstLineChars="200"/>
        <w:rPr>
          <w:rFonts w:ascii="宋体" w:hAnsi="宋体" w:cs="宋体"/>
          <w:color w:val="000000"/>
          <w:sz w:val="24"/>
          <w:szCs w:val="28"/>
        </w:rPr>
      </w:pPr>
      <w:r>
        <w:rPr>
          <w:rFonts w:hint="eastAsia" w:ascii="宋体" w:hAnsi="宋体" w:cs="宋体"/>
          <w:color w:val="000000"/>
          <w:sz w:val="24"/>
          <w:szCs w:val="28"/>
        </w:rPr>
        <w:t>……</w:t>
      </w:r>
    </w:p>
    <w:p w14:paraId="322E95AC">
      <w:pPr>
        <w:tabs>
          <w:tab w:val="left" w:pos="6300"/>
        </w:tabs>
        <w:snapToGrid w:val="0"/>
        <w:spacing w:line="500" w:lineRule="exact"/>
        <w:ind w:firstLine="480" w:firstLineChars="200"/>
        <w:rPr>
          <w:rFonts w:ascii="宋体" w:hAnsi="宋体" w:cs="宋体"/>
          <w:color w:val="000000"/>
          <w:sz w:val="24"/>
          <w:szCs w:val="28"/>
        </w:rPr>
      </w:pPr>
      <w:r>
        <w:rPr>
          <w:rFonts w:hint="eastAsia" w:ascii="宋体" w:hAnsi="宋体" w:cs="宋体"/>
          <w:color w:val="000000"/>
          <w:sz w:val="24"/>
          <w:szCs w:val="28"/>
        </w:rPr>
        <w:t>以上企业，不属于大企业的分支机构，不存在控股股东为大企业的情形，也不存在与大企业的负责人为同一人的情形。</w:t>
      </w:r>
    </w:p>
    <w:p w14:paraId="4CA14752">
      <w:pPr>
        <w:tabs>
          <w:tab w:val="left" w:pos="6300"/>
        </w:tabs>
        <w:snapToGrid w:val="0"/>
        <w:spacing w:line="500" w:lineRule="exact"/>
        <w:ind w:firstLine="480" w:firstLineChars="200"/>
        <w:rPr>
          <w:rFonts w:ascii="宋体" w:hAnsi="宋体" w:cs="宋体"/>
          <w:color w:val="000000"/>
          <w:sz w:val="24"/>
          <w:szCs w:val="28"/>
        </w:rPr>
      </w:pPr>
      <w:r>
        <w:rPr>
          <w:rFonts w:hint="eastAsia" w:ascii="宋体" w:hAnsi="宋体" w:cs="宋体"/>
          <w:color w:val="000000"/>
          <w:sz w:val="24"/>
          <w:szCs w:val="28"/>
        </w:rPr>
        <w:t>本企业对上述声明内容的真实性负责。如有虚假，将依法承担相应责任。</w:t>
      </w:r>
    </w:p>
    <w:p w14:paraId="51359A64">
      <w:pPr>
        <w:tabs>
          <w:tab w:val="left" w:pos="6300"/>
        </w:tabs>
        <w:snapToGrid w:val="0"/>
        <w:spacing w:line="500" w:lineRule="exact"/>
        <w:ind w:firstLine="480" w:firstLineChars="200"/>
        <w:rPr>
          <w:rFonts w:ascii="宋体" w:hAnsi="宋体" w:cs="宋体"/>
          <w:color w:val="000000"/>
          <w:sz w:val="24"/>
          <w:szCs w:val="28"/>
        </w:rPr>
      </w:pPr>
      <w:r>
        <w:rPr>
          <w:rFonts w:hint="eastAsia" w:ascii="宋体" w:hAnsi="宋体" w:cs="宋体"/>
          <w:color w:val="000000"/>
          <w:sz w:val="24"/>
          <w:szCs w:val="28"/>
        </w:rPr>
        <w:t xml:space="preserve">                                                    </w:t>
      </w:r>
    </w:p>
    <w:p w14:paraId="751D7CCA">
      <w:pPr>
        <w:tabs>
          <w:tab w:val="left" w:pos="6300"/>
        </w:tabs>
        <w:snapToGrid w:val="0"/>
        <w:spacing w:line="500" w:lineRule="exact"/>
        <w:ind w:firstLine="6120" w:firstLineChars="2550"/>
        <w:rPr>
          <w:rFonts w:ascii="宋体" w:hAnsi="宋体" w:cs="宋体"/>
          <w:color w:val="000000"/>
          <w:sz w:val="24"/>
          <w:szCs w:val="28"/>
        </w:rPr>
      </w:pPr>
      <w:r>
        <w:rPr>
          <w:rFonts w:hint="eastAsia" w:ascii="宋体" w:hAnsi="宋体" w:cs="宋体"/>
          <w:color w:val="000000"/>
          <w:sz w:val="24"/>
          <w:szCs w:val="28"/>
        </w:rPr>
        <w:t xml:space="preserve">企业名称（盖章）： </w:t>
      </w:r>
    </w:p>
    <w:p w14:paraId="076DE392">
      <w:pPr>
        <w:tabs>
          <w:tab w:val="left" w:pos="6300"/>
        </w:tabs>
        <w:snapToGrid w:val="0"/>
        <w:spacing w:line="500" w:lineRule="exact"/>
        <w:ind w:right="784" w:firstLine="6120" w:firstLineChars="2550"/>
        <w:rPr>
          <w:rFonts w:ascii="宋体" w:hAnsi="宋体" w:cs="宋体"/>
          <w:color w:val="000000"/>
          <w:sz w:val="24"/>
        </w:rPr>
      </w:pPr>
      <w:r>
        <w:rPr>
          <w:rFonts w:hint="eastAsia" w:ascii="宋体" w:hAnsi="宋体" w:cs="宋体"/>
          <w:color w:val="000000"/>
          <w:sz w:val="24"/>
          <w:szCs w:val="28"/>
        </w:rPr>
        <w:t>日期：</w:t>
      </w:r>
    </w:p>
    <w:p w14:paraId="4879C826">
      <w:pPr>
        <w:tabs>
          <w:tab w:val="left" w:pos="6300"/>
        </w:tabs>
        <w:snapToGrid w:val="0"/>
        <w:rPr>
          <w:rFonts w:ascii="宋体" w:hAnsi="宋体" w:cs="宋体"/>
          <w:color w:val="000000"/>
          <w:kern w:val="0"/>
          <w:sz w:val="21"/>
          <w:szCs w:val="21"/>
        </w:rPr>
      </w:pPr>
      <w:r>
        <w:rPr>
          <w:rFonts w:hint="eastAsia" w:ascii="宋体" w:hAnsi="宋体" w:cs="宋体"/>
          <w:color w:val="000000"/>
          <w:kern w:val="0"/>
          <w:sz w:val="21"/>
          <w:szCs w:val="21"/>
        </w:rPr>
        <w:t>填写时应注意以下事项：</w:t>
      </w:r>
    </w:p>
    <w:p w14:paraId="31F90929">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1.从业人员、营业收入、资产总额填报上一年度数据，无上一年度数据的新成立企业可不填报。</w:t>
      </w:r>
    </w:p>
    <w:p w14:paraId="4DA75B8E">
      <w:pPr>
        <w:tabs>
          <w:tab w:val="left" w:pos="6300"/>
        </w:tabs>
        <w:snapToGrid w:val="0"/>
        <w:ind w:firstLine="422" w:firstLineChars="200"/>
        <w:rPr>
          <w:rFonts w:ascii="宋体" w:hAnsi="宋体" w:cs="宋体"/>
          <w:b/>
          <w:color w:val="000000"/>
          <w:kern w:val="0"/>
          <w:sz w:val="21"/>
          <w:szCs w:val="21"/>
        </w:rPr>
      </w:pPr>
      <w:r>
        <w:rPr>
          <w:rFonts w:hint="eastAsia" w:ascii="宋体" w:hAnsi="宋体" w:cs="宋体"/>
          <w:b/>
          <w:color w:val="000000"/>
          <w:kern w:val="0"/>
          <w:sz w:val="21"/>
          <w:szCs w:val="21"/>
        </w:rPr>
        <w:t>2.中小企业应当按照《中小企业划型标准规定》（工信部联企业〔2011〕300号），如实填写并提交《中小企业声明函》。</w:t>
      </w:r>
    </w:p>
    <w:p w14:paraId="6F4D2A40">
      <w:pPr>
        <w:tabs>
          <w:tab w:val="left" w:pos="6300"/>
        </w:tabs>
        <w:snapToGrid w:val="0"/>
        <w:ind w:firstLine="422" w:firstLineChars="200"/>
        <w:rPr>
          <w:rFonts w:ascii="宋体" w:hAnsi="宋体" w:cs="宋体"/>
          <w:b/>
          <w:color w:val="000000"/>
          <w:kern w:val="0"/>
          <w:sz w:val="21"/>
          <w:szCs w:val="21"/>
        </w:rPr>
      </w:pPr>
      <w:r>
        <w:rPr>
          <w:rFonts w:hint="eastAsia" w:ascii="宋体" w:hAnsi="宋体" w:cs="宋体"/>
          <w:b/>
          <w:color w:val="000000"/>
          <w:kern w:val="0"/>
          <w:sz w:val="21"/>
          <w:szCs w:val="21"/>
        </w:rPr>
        <w:t>3.供应商填写《中小企业声明函》中所属行业时，应与采购文件第一篇“采购标的对应的中小企业划分标准所属行业”中填写的所属行业一致。</w:t>
      </w:r>
    </w:p>
    <w:p w14:paraId="05B5EFF5">
      <w:pPr>
        <w:tabs>
          <w:tab w:val="left" w:pos="6300"/>
        </w:tabs>
        <w:snapToGrid w:val="0"/>
        <w:ind w:firstLine="422" w:firstLineChars="200"/>
        <w:rPr>
          <w:rFonts w:ascii="宋体" w:hAnsi="宋体" w:cs="宋体"/>
          <w:b/>
          <w:color w:val="000000"/>
          <w:kern w:val="0"/>
          <w:sz w:val="21"/>
          <w:szCs w:val="21"/>
        </w:rPr>
      </w:pPr>
      <w:r>
        <w:rPr>
          <w:rFonts w:hint="eastAsia" w:ascii="宋体" w:hAnsi="宋体" w:cs="宋体"/>
          <w:b/>
          <w:color w:val="000000"/>
          <w:kern w:val="0"/>
          <w:sz w:val="21"/>
          <w:szCs w:val="21"/>
        </w:rPr>
        <w:t>4.本声明函“企业名称（盖章）”处为供应商盖章。</w:t>
      </w:r>
    </w:p>
    <w:p w14:paraId="1C2F08D7">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注：各行业划型标准：</w:t>
      </w:r>
    </w:p>
    <w:p w14:paraId="4F6CD936">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71DE5FC5">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1B1CF16">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F6D332B">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74DB42">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78CC312">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ED20251">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67D3910">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4E282E2">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97CDBAE">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03D983">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3CBD1E6">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EA9AB13">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0EBF470">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A75B8E7">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4460882">
      <w:pPr>
        <w:tabs>
          <w:tab w:val="left" w:pos="6300"/>
        </w:tabs>
        <w:snapToGrid w:val="0"/>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（十六）其他未列明行业。从业人员300人以下的为中小微型企业。其中，从业人员100人及以上的为中型企业；从业人员10人及以上的为小型企业；从业人员10人以下的为微型企业。</w:t>
      </w:r>
    </w:p>
    <w:p w14:paraId="1D18831A">
      <w:pPr>
        <w:tabs>
          <w:tab w:val="left" w:pos="6300"/>
        </w:tabs>
        <w:snapToGrid w:val="0"/>
        <w:spacing w:line="500" w:lineRule="exact"/>
        <w:ind w:firstLine="480" w:firstLineChars="200"/>
        <w:jc w:val="center"/>
        <w:rPr>
          <w:rFonts w:ascii="宋体" w:hAnsi="宋体" w:cs="宋体"/>
          <w:color w:val="000000"/>
        </w:rPr>
      </w:pPr>
      <w:r>
        <w:rPr>
          <w:rFonts w:hint="eastAsia" w:ascii="宋体" w:hAnsi="宋体" w:cs="宋体"/>
          <w:color w:val="000000"/>
          <w:sz w:val="24"/>
          <w:szCs w:val="24"/>
        </w:rPr>
        <w:br w:type="page"/>
      </w:r>
      <w:r>
        <w:rPr>
          <w:rFonts w:hint="eastAsia" w:ascii="宋体" w:hAnsi="宋体" w:cs="宋体"/>
          <w:color w:val="000000"/>
        </w:rPr>
        <w:t>监狱企业证明文件</w:t>
      </w:r>
    </w:p>
    <w:p w14:paraId="6EA3AD80">
      <w:pPr>
        <w:tabs>
          <w:tab w:val="left" w:pos="6300"/>
        </w:tabs>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以省级以上监狱管理局、戒毒管理局（含新疆生产建设兵团）出具的属于监狱企业的证明文件为准。</w:t>
      </w:r>
    </w:p>
    <w:p w14:paraId="1FCCBF1A">
      <w:pPr>
        <w:tabs>
          <w:tab w:val="left" w:pos="6300"/>
        </w:tabs>
        <w:snapToGrid w:val="0"/>
        <w:spacing w:line="500" w:lineRule="exact"/>
        <w:ind w:firstLine="480" w:firstLineChars="200"/>
        <w:jc w:val="center"/>
        <w:rPr>
          <w:rFonts w:ascii="宋体" w:hAnsi="宋体" w:cs="宋体"/>
          <w:color w:val="000000"/>
        </w:rPr>
      </w:pPr>
      <w:r>
        <w:rPr>
          <w:rFonts w:hint="eastAsia" w:ascii="宋体" w:hAnsi="宋体" w:cs="宋体"/>
          <w:color w:val="000000"/>
          <w:sz w:val="24"/>
        </w:rPr>
        <w:br w:type="page"/>
      </w:r>
      <w:r>
        <w:rPr>
          <w:rFonts w:hint="eastAsia" w:ascii="宋体" w:hAnsi="宋体" w:cs="宋体"/>
          <w:color w:val="000000"/>
        </w:rPr>
        <w:t>残疾人福利性单位声明函</w:t>
      </w:r>
    </w:p>
    <w:p w14:paraId="6AC5A4DD">
      <w:pPr>
        <w:tabs>
          <w:tab w:val="left" w:pos="6300"/>
        </w:tabs>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F81851">
      <w:pPr>
        <w:tabs>
          <w:tab w:val="left" w:pos="6300"/>
        </w:tabs>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本单位对上述声明的真实性负责。如有虚假，将依法承担相应责任。</w:t>
      </w:r>
    </w:p>
    <w:p w14:paraId="1E9C69A1">
      <w:pPr>
        <w:tabs>
          <w:tab w:val="left" w:pos="6300"/>
        </w:tabs>
        <w:snapToGrid w:val="0"/>
        <w:spacing w:line="500" w:lineRule="exact"/>
        <w:ind w:firstLine="480" w:firstLineChars="200"/>
        <w:rPr>
          <w:rFonts w:ascii="宋体" w:hAnsi="宋体" w:cs="宋体"/>
          <w:color w:val="000000"/>
          <w:sz w:val="24"/>
        </w:rPr>
      </w:pPr>
    </w:p>
    <w:p w14:paraId="07228948">
      <w:pPr>
        <w:tabs>
          <w:tab w:val="left" w:pos="6300"/>
        </w:tabs>
        <w:snapToGrid w:val="0"/>
        <w:spacing w:line="500" w:lineRule="exact"/>
        <w:ind w:firstLine="480" w:firstLineChars="200"/>
        <w:rPr>
          <w:rFonts w:ascii="宋体" w:hAnsi="宋体" w:cs="宋体"/>
          <w:color w:val="000000"/>
          <w:sz w:val="24"/>
        </w:rPr>
      </w:pPr>
    </w:p>
    <w:p w14:paraId="18D0FE5D">
      <w:pPr>
        <w:tabs>
          <w:tab w:val="left" w:pos="6300"/>
        </w:tabs>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 xml:space="preserve">                                                 供应商名称（盖章）：</w:t>
      </w:r>
    </w:p>
    <w:p w14:paraId="635FF826">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 xml:space="preserve">                                                  日  期：</w:t>
      </w:r>
    </w:p>
    <w:p w14:paraId="012BA533">
      <w:pPr>
        <w:snapToGrid w:val="0"/>
        <w:spacing w:line="440" w:lineRule="exact"/>
        <w:ind w:firstLine="480" w:firstLineChars="200"/>
        <w:rPr>
          <w:rFonts w:ascii="宋体" w:hAnsi="宋体" w:cs="宋体"/>
          <w:color w:val="000000"/>
          <w:sz w:val="24"/>
        </w:rPr>
      </w:pPr>
    </w:p>
    <w:p w14:paraId="6EFAFF2C">
      <w:pPr>
        <w:snapToGrid w:val="0"/>
        <w:spacing w:line="440" w:lineRule="exact"/>
        <w:ind w:firstLine="480" w:firstLineChars="200"/>
        <w:rPr>
          <w:rFonts w:ascii="宋体" w:hAnsi="宋体" w:cs="宋体"/>
          <w:color w:val="000000"/>
          <w:sz w:val="24"/>
        </w:rPr>
      </w:pPr>
    </w:p>
    <w:p w14:paraId="54CE74FA">
      <w:pPr>
        <w:snapToGrid w:val="0"/>
        <w:spacing w:line="440" w:lineRule="exact"/>
        <w:ind w:firstLine="480" w:firstLineChars="200"/>
        <w:rPr>
          <w:rFonts w:ascii="宋体" w:hAnsi="宋体" w:cs="宋体"/>
          <w:color w:val="000000"/>
          <w:sz w:val="24"/>
        </w:rPr>
      </w:pPr>
    </w:p>
    <w:p w14:paraId="1221140D">
      <w:pPr>
        <w:snapToGrid w:val="0"/>
        <w:spacing w:line="440" w:lineRule="exact"/>
        <w:ind w:firstLine="480" w:firstLineChars="200"/>
        <w:rPr>
          <w:rFonts w:ascii="宋体" w:hAnsi="宋体" w:cs="宋体"/>
          <w:color w:val="000000"/>
          <w:sz w:val="24"/>
        </w:rPr>
      </w:pPr>
    </w:p>
    <w:p w14:paraId="6D561AD6">
      <w:pPr>
        <w:snapToGrid w:val="0"/>
        <w:spacing w:line="440" w:lineRule="exact"/>
        <w:ind w:firstLine="480" w:firstLineChars="200"/>
        <w:rPr>
          <w:rFonts w:ascii="宋体" w:hAnsi="宋体" w:cs="宋体"/>
          <w:color w:val="000000"/>
          <w:sz w:val="24"/>
        </w:rPr>
      </w:pPr>
    </w:p>
    <w:p w14:paraId="575EC579">
      <w:pPr>
        <w:snapToGrid w:val="0"/>
        <w:spacing w:line="440" w:lineRule="exact"/>
        <w:ind w:firstLine="480" w:firstLineChars="200"/>
        <w:rPr>
          <w:rFonts w:ascii="宋体" w:hAnsi="宋体" w:cs="宋体"/>
          <w:color w:val="000000"/>
          <w:sz w:val="24"/>
        </w:rPr>
      </w:pPr>
    </w:p>
    <w:p w14:paraId="327B34BA">
      <w:pPr>
        <w:snapToGrid w:val="0"/>
        <w:spacing w:line="440" w:lineRule="exact"/>
        <w:ind w:firstLine="480" w:firstLineChars="200"/>
        <w:rPr>
          <w:rFonts w:ascii="宋体" w:hAnsi="宋体" w:cs="宋体"/>
          <w:color w:val="000000"/>
          <w:sz w:val="24"/>
        </w:rPr>
      </w:pPr>
    </w:p>
    <w:p w14:paraId="034DF659">
      <w:pPr>
        <w:snapToGrid w:val="0"/>
        <w:spacing w:line="440" w:lineRule="exact"/>
        <w:ind w:firstLine="480" w:firstLineChars="200"/>
        <w:rPr>
          <w:rFonts w:ascii="宋体" w:hAnsi="宋体" w:cs="宋体"/>
          <w:color w:val="000000"/>
          <w:sz w:val="24"/>
        </w:rPr>
      </w:pPr>
    </w:p>
    <w:p w14:paraId="7B9CE710">
      <w:pPr>
        <w:snapToGrid w:val="0"/>
        <w:spacing w:line="440" w:lineRule="exact"/>
        <w:ind w:firstLine="480" w:firstLineChars="200"/>
        <w:rPr>
          <w:rFonts w:ascii="宋体" w:hAnsi="宋体" w:cs="宋体"/>
          <w:color w:val="000000"/>
          <w:sz w:val="24"/>
        </w:rPr>
      </w:pPr>
    </w:p>
    <w:p w14:paraId="11657D7F">
      <w:pPr>
        <w:snapToGrid w:val="0"/>
        <w:spacing w:line="440" w:lineRule="exact"/>
        <w:ind w:firstLine="480" w:firstLineChars="200"/>
        <w:rPr>
          <w:rFonts w:ascii="宋体" w:hAnsi="宋体" w:cs="宋体"/>
          <w:color w:val="000000"/>
          <w:sz w:val="24"/>
        </w:rPr>
      </w:pPr>
    </w:p>
    <w:p w14:paraId="0EA9FB9D">
      <w:pPr>
        <w:snapToGrid w:val="0"/>
        <w:spacing w:line="440" w:lineRule="exact"/>
        <w:ind w:firstLine="480" w:firstLineChars="200"/>
        <w:rPr>
          <w:rFonts w:ascii="宋体" w:hAnsi="宋体" w:cs="宋体"/>
          <w:color w:val="000000"/>
          <w:sz w:val="24"/>
        </w:rPr>
      </w:pPr>
    </w:p>
    <w:p w14:paraId="46A7E48B">
      <w:pPr>
        <w:snapToGrid w:val="0"/>
        <w:spacing w:line="440" w:lineRule="exact"/>
        <w:ind w:firstLine="480" w:firstLineChars="200"/>
        <w:rPr>
          <w:rFonts w:ascii="宋体" w:hAnsi="宋体" w:cs="宋体"/>
          <w:color w:val="000000"/>
          <w:sz w:val="24"/>
        </w:rPr>
      </w:pPr>
    </w:p>
    <w:p w14:paraId="293D19CA">
      <w:pPr>
        <w:snapToGrid w:val="0"/>
        <w:spacing w:line="400" w:lineRule="exact"/>
        <w:ind w:firstLine="480" w:firstLineChars="200"/>
        <w:rPr>
          <w:rFonts w:ascii="方正仿宋_GBK" w:hAnsi="宋体" w:eastAsia="方正仿宋_GBK" w:cs="宋体"/>
          <w:color w:val="000000"/>
          <w:kern w:val="0"/>
          <w:sz w:val="24"/>
        </w:rPr>
      </w:pPr>
      <w:r>
        <w:rPr>
          <w:rFonts w:hint="eastAsia" w:ascii="宋体" w:hAnsi="宋体" w:cs="宋体"/>
          <w:color w:val="000000"/>
          <w:kern w:val="0"/>
          <w:sz w:val="24"/>
        </w:rPr>
        <w:t>若成交供应商为残疾人福利性单位的，将在结果公告时公告其《残疾人福利性单位声明函》。</w:t>
      </w:r>
    </w:p>
    <w:p w14:paraId="370D376E">
      <w:pPr>
        <w:snapToGrid w:val="0"/>
        <w:spacing w:line="400" w:lineRule="exact"/>
        <w:ind w:firstLine="480" w:firstLineChars="200"/>
        <w:rPr>
          <w:rFonts w:ascii="方正仿宋_GBK" w:hAnsi="宋体" w:eastAsia="方正仿宋_GBK" w:cs="宋体"/>
          <w:color w:val="000000"/>
          <w:kern w:val="0"/>
          <w:sz w:val="24"/>
        </w:rPr>
      </w:pPr>
    </w:p>
    <w:p w14:paraId="1514ACCD">
      <w:pPr>
        <w:snapToGrid w:val="0"/>
        <w:spacing w:line="400" w:lineRule="exact"/>
        <w:ind w:firstLine="480" w:firstLineChars="200"/>
        <w:rPr>
          <w:rFonts w:ascii="方正仿宋_GBK" w:hAnsi="宋体" w:eastAsia="方正仿宋_GBK" w:cs="宋体"/>
          <w:color w:val="000000"/>
          <w:kern w:val="0"/>
          <w:sz w:val="24"/>
        </w:rPr>
      </w:pPr>
    </w:p>
    <w:p w14:paraId="7C54C719">
      <w:pPr>
        <w:snapToGrid w:val="0"/>
        <w:spacing w:line="400" w:lineRule="exact"/>
        <w:ind w:firstLine="480" w:firstLineChars="200"/>
        <w:rPr>
          <w:rFonts w:ascii="方正仿宋_GBK" w:hAnsi="宋体" w:eastAsia="方正仿宋_GBK" w:cs="宋体"/>
          <w:color w:val="000000"/>
          <w:kern w:val="0"/>
          <w:sz w:val="24"/>
        </w:rPr>
      </w:pPr>
    </w:p>
    <w:p w14:paraId="29BADE06">
      <w:pPr>
        <w:snapToGrid w:val="0"/>
        <w:spacing w:line="400" w:lineRule="exact"/>
        <w:ind w:firstLine="480" w:firstLineChars="200"/>
        <w:rPr>
          <w:rFonts w:ascii="方正仿宋_GBK" w:hAnsi="宋体" w:eastAsia="方正仿宋_GBK" w:cs="宋体"/>
          <w:color w:val="000000"/>
          <w:kern w:val="0"/>
          <w:sz w:val="24"/>
        </w:rPr>
      </w:pPr>
    </w:p>
    <w:p w14:paraId="2052F477">
      <w:pPr>
        <w:snapToGrid w:val="0"/>
        <w:spacing w:line="400" w:lineRule="exact"/>
        <w:ind w:firstLine="480" w:firstLineChars="200"/>
        <w:rPr>
          <w:rFonts w:ascii="方正仿宋_GBK" w:hAnsi="宋体" w:eastAsia="方正仿宋_GBK" w:cs="宋体"/>
          <w:color w:val="000000"/>
          <w:kern w:val="0"/>
          <w:sz w:val="24"/>
        </w:rPr>
      </w:pPr>
    </w:p>
    <w:p w14:paraId="4FBEAF45">
      <w:pPr>
        <w:snapToGrid w:val="0"/>
        <w:spacing w:line="400" w:lineRule="exact"/>
        <w:ind w:firstLine="480" w:firstLineChars="200"/>
        <w:rPr>
          <w:rFonts w:ascii="方正仿宋_GBK" w:hAnsi="宋体" w:eastAsia="方正仿宋_GBK" w:cs="宋体"/>
          <w:color w:val="000000"/>
          <w:kern w:val="0"/>
          <w:sz w:val="24"/>
        </w:rPr>
      </w:pPr>
    </w:p>
    <w:p w14:paraId="40548FD3">
      <w:pPr>
        <w:snapToGrid w:val="0"/>
        <w:spacing w:line="400" w:lineRule="exact"/>
        <w:ind w:firstLine="480" w:firstLineChars="200"/>
        <w:rPr>
          <w:rFonts w:ascii="方正仿宋_GBK" w:hAnsi="宋体" w:eastAsia="方正仿宋_GBK" w:cs="宋体"/>
          <w:color w:val="000000"/>
          <w:kern w:val="0"/>
          <w:sz w:val="24"/>
        </w:rPr>
      </w:pPr>
    </w:p>
    <w:p w14:paraId="2330971B">
      <w:pPr>
        <w:snapToGrid w:val="0"/>
        <w:spacing w:line="400" w:lineRule="exact"/>
        <w:ind w:firstLine="480" w:firstLineChars="200"/>
        <w:rPr>
          <w:rFonts w:ascii="宋体" w:hAnsi="宋体" w:cs="宋体"/>
          <w:sz w:val="24"/>
          <w:szCs w:val="24"/>
        </w:rPr>
      </w:pPr>
      <w:r>
        <w:rPr>
          <w:rFonts w:hint="eastAsia" w:ascii="宋体" w:hAnsi="宋体" w:cs="宋体"/>
          <w:sz w:val="24"/>
          <w:szCs w:val="24"/>
        </w:rPr>
        <w:t>（二）其他与项目有关的资料</w:t>
      </w:r>
    </w:p>
    <w:p w14:paraId="6B0866A0">
      <w:pPr>
        <w:spacing w:line="400" w:lineRule="exact"/>
        <w:ind w:firstLine="480" w:firstLineChars="200"/>
        <w:rPr>
          <w:rFonts w:ascii="宋体" w:hAnsi="宋体" w:cs="宋体"/>
          <w:sz w:val="24"/>
          <w:szCs w:val="24"/>
        </w:rPr>
      </w:pPr>
    </w:p>
    <w:p w14:paraId="760E5AB5">
      <w:pPr>
        <w:spacing w:line="360" w:lineRule="auto"/>
        <w:ind w:firstLine="480" w:firstLineChars="200"/>
        <w:rPr>
          <w:rFonts w:ascii="宋体" w:hAnsi="宋体" w:cs="宋体"/>
          <w:sz w:val="24"/>
          <w:szCs w:val="24"/>
        </w:rPr>
      </w:pPr>
    </w:p>
    <w:p w14:paraId="1A9EA660">
      <w:pPr>
        <w:spacing w:line="360" w:lineRule="auto"/>
        <w:ind w:firstLine="480" w:firstLineChars="200"/>
        <w:rPr>
          <w:rFonts w:ascii="宋体" w:hAnsi="宋体" w:cs="宋体"/>
          <w:sz w:val="24"/>
          <w:szCs w:val="24"/>
        </w:rPr>
      </w:pPr>
    </w:p>
    <w:p w14:paraId="35386F69">
      <w:pPr>
        <w:spacing w:line="360" w:lineRule="auto"/>
        <w:ind w:firstLine="480" w:firstLineChars="200"/>
        <w:rPr>
          <w:rFonts w:ascii="宋体" w:hAnsi="宋体" w:cs="宋体"/>
          <w:sz w:val="24"/>
          <w:szCs w:val="24"/>
        </w:rPr>
      </w:pPr>
    </w:p>
    <w:p w14:paraId="7662527C">
      <w:pPr>
        <w:spacing w:line="360" w:lineRule="auto"/>
        <w:ind w:firstLine="480" w:firstLineChars="200"/>
        <w:rPr>
          <w:rFonts w:ascii="宋体" w:hAnsi="宋体" w:cs="宋体"/>
          <w:sz w:val="24"/>
          <w:szCs w:val="24"/>
        </w:rPr>
      </w:pPr>
    </w:p>
    <w:p w14:paraId="5A55AF05">
      <w:pPr>
        <w:spacing w:line="360" w:lineRule="auto"/>
        <w:ind w:firstLine="480" w:firstLineChars="200"/>
        <w:rPr>
          <w:rFonts w:ascii="宋体" w:hAnsi="宋体" w:cs="宋体"/>
          <w:sz w:val="24"/>
          <w:szCs w:val="24"/>
        </w:rPr>
      </w:pPr>
    </w:p>
    <w:p w14:paraId="7831AF04">
      <w:pPr>
        <w:spacing w:line="360" w:lineRule="auto"/>
        <w:ind w:firstLine="480" w:firstLineChars="200"/>
        <w:rPr>
          <w:rFonts w:ascii="宋体" w:hAnsi="宋体" w:cs="宋体"/>
          <w:sz w:val="24"/>
          <w:szCs w:val="24"/>
        </w:rPr>
      </w:pPr>
    </w:p>
    <w:p w14:paraId="7D645E2E">
      <w:pPr>
        <w:spacing w:line="360" w:lineRule="auto"/>
        <w:ind w:firstLine="480" w:firstLineChars="200"/>
        <w:rPr>
          <w:rFonts w:ascii="宋体" w:hAnsi="宋体" w:cs="宋体"/>
          <w:sz w:val="24"/>
          <w:szCs w:val="24"/>
        </w:rPr>
      </w:pPr>
    </w:p>
    <w:p w14:paraId="5F65FFD4">
      <w:pPr>
        <w:spacing w:line="360" w:lineRule="auto"/>
        <w:ind w:firstLine="480" w:firstLineChars="200"/>
        <w:rPr>
          <w:rFonts w:ascii="宋体" w:hAnsi="宋体" w:cs="宋体"/>
          <w:sz w:val="24"/>
          <w:szCs w:val="24"/>
        </w:rPr>
      </w:pPr>
    </w:p>
    <w:p w14:paraId="626DF14B">
      <w:pPr>
        <w:spacing w:line="360" w:lineRule="auto"/>
        <w:ind w:firstLine="480" w:firstLineChars="200"/>
        <w:rPr>
          <w:rFonts w:ascii="宋体" w:hAnsi="宋体" w:cs="宋体"/>
          <w:sz w:val="24"/>
          <w:szCs w:val="24"/>
        </w:rPr>
      </w:pPr>
    </w:p>
    <w:p w14:paraId="317A9E5F">
      <w:pPr>
        <w:spacing w:line="360" w:lineRule="auto"/>
        <w:ind w:firstLine="480" w:firstLineChars="200"/>
        <w:rPr>
          <w:rFonts w:ascii="宋体" w:hAnsi="宋体" w:cs="宋体"/>
          <w:sz w:val="24"/>
          <w:szCs w:val="24"/>
        </w:rPr>
      </w:pPr>
    </w:p>
    <w:p w14:paraId="12E5005C">
      <w:pPr>
        <w:spacing w:line="360" w:lineRule="auto"/>
        <w:ind w:firstLine="480" w:firstLineChars="200"/>
        <w:rPr>
          <w:rFonts w:ascii="宋体" w:hAnsi="宋体" w:cs="宋体"/>
          <w:sz w:val="24"/>
          <w:szCs w:val="24"/>
        </w:rPr>
      </w:pPr>
    </w:p>
    <w:p w14:paraId="0B0D8FF9">
      <w:pPr>
        <w:spacing w:line="360" w:lineRule="auto"/>
        <w:ind w:firstLine="480" w:firstLineChars="200"/>
        <w:rPr>
          <w:rFonts w:ascii="宋体" w:hAnsi="宋体" w:cs="宋体"/>
          <w:sz w:val="24"/>
          <w:szCs w:val="24"/>
        </w:rPr>
      </w:pPr>
    </w:p>
    <w:p w14:paraId="46C7AC93">
      <w:pPr>
        <w:spacing w:line="360" w:lineRule="auto"/>
        <w:ind w:firstLine="480" w:firstLineChars="200"/>
        <w:rPr>
          <w:rFonts w:ascii="宋体" w:hAnsi="宋体" w:cs="宋体"/>
          <w:sz w:val="24"/>
          <w:szCs w:val="24"/>
        </w:rPr>
      </w:pPr>
    </w:p>
    <w:p w14:paraId="3C4A9F32">
      <w:pPr>
        <w:spacing w:line="360" w:lineRule="auto"/>
        <w:ind w:firstLine="480" w:firstLineChars="200"/>
        <w:rPr>
          <w:rFonts w:ascii="宋体" w:hAnsi="宋体" w:cs="宋体"/>
          <w:sz w:val="24"/>
          <w:szCs w:val="24"/>
        </w:rPr>
      </w:pPr>
    </w:p>
    <w:p w14:paraId="25415448">
      <w:pPr>
        <w:spacing w:line="360" w:lineRule="auto"/>
        <w:ind w:firstLine="480" w:firstLineChars="200"/>
        <w:rPr>
          <w:rFonts w:ascii="宋体" w:hAnsi="宋体" w:cs="宋体"/>
          <w:sz w:val="24"/>
          <w:szCs w:val="24"/>
        </w:rPr>
      </w:pPr>
    </w:p>
    <w:p w14:paraId="24EE54B7">
      <w:pPr>
        <w:spacing w:line="360" w:lineRule="auto"/>
        <w:ind w:firstLine="480" w:firstLineChars="200"/>
        <w:rPr>
          <w:rFonts w:ascii="宋体" w:hAnsi="宋体" w:cs="宋体"/>
          <w:sz w:val="24"/>
          <w:szCs w:val="24"/>
        </w:rPr>
      </w:pPr>
    </w:p>
    <w:p w14:paraId="6DAFF97A">
      <w:pPr>
        <w:spacing w:line="360" w:lineRule="auto"/>
        <w:ind w:firstLine="480" w:firstLineChars="200"/>
        <w:rPr>
          <w:rFonts w:ascii="宋体" w:hAnsi="宋体" w:cs="宋体"/>
          <w:sz w:val="24"/>
          <w:szCs w:val="24"/>
        </w:rPr>
      </w:pPr>
    </w:p>
    <w:p w14:paraId="1E1933FB">
      <w:pPr>
        <w:spacing w:line="360" w:lineRule="auto"/>
        <w:ind w:firstLine="480" w:firstLineChars="200"/>
        <w:rPr>
          <w:rFonts w:ascii="宋体" w:hAnsi="宋体" w:cs="宋体"/>
          <w:sz w:val="24"/>
          <w:szCs w:val="24"/>
        </w:rPr>
      </w:pPr>
    </w:p>
    <w:p w14:paraId="18C41E8A">
      <w:pPr>
        <w:spacing w:line="360" w:lineRule="auto"/>
        <w:ind w:firstLine="480" w:firstLineChars="200"/>
        <w:rPr>
          <w:rFonts w:ascii="宋体" w:hAnsi="宋体" w:cs="宋体"/>
          <w:sz w:val="24"/>
          <w:szCs w:val="24"/>
        </w:rPr>
      </w:pPr>
    </w:p>
    <w:p w14:paraId="53383570">
      <w:pPr>
        <w:spacing w:line="360" w:lineRule="auto"/>
        <w:ind w:firstLine="480" w:firstLineChars="200"/>
        <w:rPr>
          <w:rFonts w:ascii="宋体" w:hAnsi="宋体" w:cs="宋体"/>
          <w:sz w:val="24"/>
          <w:szCs w:val="24"/>
        </w:rPr>
      </w:pPr>
    </w:p>
    <w:p w14:paraId="7F9360C8">
      <w:pPr>
        <w:spacing w:line="360" w:lineRule="auto"/>
        <w:ind w:firstLine="480" w:firstLineChars="200"/>
        <w:rPr>
          <w:rFonts w:ascii="宋体" w:hAnsi="宋体" w:cs="宋体"/>
          <w:sz w:val="24"/>
          <w:szCs w:val="24"/>
        </w:rPr>
      </w:pPr>
    </w:p>
    <w:p w14:paraId="11805C65">
      <w:pPr>
        <w:spacing w:line="360" w:lineRule="auto"/>
        <w:ind w:firstLine="480" w:firstLineChars="200"/>
        <w:rPr>
          <w:rFonts w:ascii="宋体" w:hAnsi="宋体" w:cs="宋体"/>
          <w:sz w:val="24"/>
          <w:szCs w:val="24"/>
        </w:rPr>
      </w:pPr>
    </w:p>
    <w:p w14:paraId="7F23CFD7">
      <w:pPr>
        <w:spacing w:line="360" w:lineRule="auto"/>
        <w:ind w:firstLine="480" w:firstLineChars="200"/>
        <w:rPr>
          <w:rFonts w:ascii="宋体" w:hAnsi="宋体" w:cs="宋体"/>
          <w:sz w:val="24"/>
          <w:szCs w:val="24"/>
        </w:rPr>
      </w:pPr>
    </w:p>
    <w:p w14:paraId="53E33693">
      <w:pPr>
        <w:spacing w:line="360" w:lineRule="auto"/>
        <w:ind w:firstLine="480" w:firstLineChars="200"/>
        <w:rPr>
          <w:rFonts w:ascii="宋体" w:hAnsi="宋体" w:cs="宋体"/>
          <w:sz w:val="24"/>
          <w:szCs w:val="24"/>
        </w:rPr>
      </w:pPr>
    </w:p>
    <w:p w14:paraId="740EB4ED">
      <w:pPr>
        <w:spacing w:line="360" w:lineRule="auto"/>
        <w:rPr>
          <w:rFonts w:ascii="宋体" w:hAnsi="宋体" w:cs="宋体"/>
          <w:sz w:val="24"/>
          <w:szCs w:val="24"/>
        </w:rPr>
      </w:pPr>
    </w:p>
    <w:p w14:paraId="635565E1">
      <w:pPr>
        <w:spacing w:line="360" w:lineRule="auto"/>
        <w:ind w:firstLine="480" w:firstLineChars="200"/>
        <w:jc w:val="center"/>
        <w:rPr>
          <w:rFonts w:ascii="宋体" w:hAnsi="宋体" w:cs="宋体"/>
          <w:sz w:val="24"/>
          <w:szCs w:val="24"/>
        </w:rPr>
      </w:pPr>
    </w:p>
    <w:p w14:paraId="68319989">
      <w:pPr>
        <w:spacing w:line="360" w:lineRule="auto"/>
        <w:ind w:firstLine="480" w:firstLineChars="200"/>
        <w:jc w:val="center"/>
        <w:outlineLvl w:val="0"/>
        <w:rPr>
          <w:rFonts w:ascii="宋体" w:hAnsi="宋体" w:cs="宋体"/>
        </w:rPr>
      </w:pPr>
      <w:bookmarkStart w:id="362" w:name="_Toc4009"/>
      <w:r>
        <w:rPr>
          <w:rFonts w:hint="eastAsia" w:ascii="宋体" w:hAnsi="宋体" w:cs="宋体"/>
          <w:sz w:val="24"/>
          <w:szCs w:val="24"/>
        </w:rPr>
        <w:t>（结束）</w:t>
      </w:r>
      <w:bookmarkEnd w:id="362"/>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91EA6">
    <w:pPr>
      <w:pStyle w:val="21"/>
      <w:framePr w:wrap="around" w:vAnchor="text" w:hAnchor="margin" w:xAlign="center" w:y="1"/>
      <w:jc w:val="center"/>
      <w:rPr>
        <w:rStyle w:val="31"/>
        <w:rFonts w:ascii="宋体"/>
        <w:sz w:val="21"/>
        <w:szCs w:val="21"/>
      </w:rPr>
    </w:pPr>
    <w:r>
      <w:rPr>
        <w:rFonts w:ascii="宋体"/>
        <w:sz w:val="21"/>
        <w:szCs w:val="21"/>
      </w:rPr>
      <w:fldChar w:fldCharType="begin"/>
    </w:r>
    <w:r>
      <w:rPr>
        <w:rStyle w:val="31"/>
        <w:rFonts w:ascii="宋体"/>
        <w:sz w:val="21"/>
        <w:szCs w:val="21"/>
      </w:rPr>
      <w:instrText xml:space="preserve">PAGE  </w:instrText>
    </w:r>
    <w:r>
      <w:rPr>
        <w:rFonts w:ascii="宋体"/>
        <w:sz w:val="21"/>
        <w:szCs w:val="21"/>
      </w:rPr>
      <w:fldChar w:fldCharType="separate"/>
    </w:r>
    <w:r>
      <w:rPr>
        <w:rStyle w:val="31"/>
        <w:rFonts w:ascii="宋体"/>
        <w:sz w:val="21"/>
        <w:szCs w:val="21"/>
      </w:rPr>
      <w:t>- 21 -</w:t>
    </w:r>
    <w:r>
      <w:rPr>
        <w:rFonts w:ascii="宋体"/>
        <w:sz w:val="21"/>
        <w:szCs w:val="21"/>
      </w:rPr>
      <w:fldChar w:fldCharType="end"/>
    </w:r>
  </w:p>
  <w:p w14:paraId="5079C75B">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3A2C2">
    <w:pPr>
      <w:pStyle w:val="21"/>
      <w:framePr w:wrap="around" w:vAnchor="text" w:hAnchor="margin" w:xAlign="center" w:y="1"/>
      <w:rPr>
        <w:rStyle w:val="31"/>
      </w:rPr>
    </w:pPr>
    <w:r>
      <w:fldChar w:fldCharType="begin"/>
    </w:r>
    <w:r>
      <w:rPr>
        <w:rStyle w:val="31"/>
      </w:rPr>
      <w:instrText xml:space="preserve">PAGE  </w:instrText>
    </w:r>
    <w:r>
      <w:fldChar w:fldCharType="end"/>
    </w:r>
  </w:p>
  <w:p w14:paraId="08FC0368">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E749">
    <w:pPr>
      <w:pStyle w:val="21"/>
      <w:framePr w:wrap="around" w:vAnchor="text" w:hAnchor="margin" w:xAlign="center" w:y="1"/>
      <w:rPr>
        <w:rStyle w:val="31"/>
      </w:rPr>
    </w:pPr>
  </w:p>
  <w:p w14:paraId="32AF9C9B">
    <w:pPr>
      <w:pStyle w:val="21"/>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7B509">
    <w:pPr>
      <w:pStyle w:val="21"/>
      <w:jc w:val="center"/>
      <w:rPr>
        <w:rFonts w:ascii="宋体" w:hAnsi="宋体"/>
        <w:sz w:val="21"/>
        <w:szCs w:val="21"/>
      </w:rPr>
    </w:pPr>
    <w:r>
      <w:rPr>
        <w:rFonts w:ascii="宋体" w:hAnsi="宋体"/>
        <w:sz w:val="21"/>
        <w:szCs w:val="21"/>
      </w:rPr>
      <w:fldChar w:fldCharType="begin"/>
    </w:r>
    <w:r>
      <w:rPr>
        <w:rStyle w:val="31"/>
        <w:rFonts w:ascii="宋体" w:hAnsi="宋体"/>
        <w:sz w:val="21"/>
        <w:szCs w:val="21"/>
      </w:rPr>
      <w:instrText xml:space="preserve"> PAGE </w:instrText>
    </w:r>
    <w:r>
      <w:rPr>
        <w:rFonts w:ascii="宋体" w:hAnsi="宋体"/>
        <w:sz w:val="21"/>
        <w:szCs w:val="21"/>
      </w:rPr>
      <w:fldChar w:fldCharType="separate"/>
    </w:r>
    <w:r>
      <w:rPr>
        <w:rStyle w:val="31"/>
        <w:rFonts w:ascii="宋体" w:hAnsi="宋体"/>
        <w:sz w:val="21"/>
        <w:szCs w:val="21"/>
      </w:rPr>
      <w:t>- 23 -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5DA4F">
    <w:pPr>
      <w:pBdr>
        <w:bottom w:val="single" w:color="auto" w:sz="4" w:space="0"/>
      </w:pBdr>
    </w:pPr>
    <w:r>
      <w:rPr>
        <w:rFonts w:hint="eastAsia" w:ascii="宋体" w:hAnsi="宋体" w:cs="宋体"/>
        <w:sz w:val="24"/>
        <w:szCs w:val="24"/>
      </w:rPr>
      <w:t>重庆竣能工程咨询有限公司</w:t>
    </w:r>
    <w:r>
      <w:rPr>
        <w:rFonts w:hint="eastAsia" w:ascii="宋体" w:hAnsi="宋体" w:cs="宋体"/>
        <w:sz w:val="21"/>
        <w:szCs w:val="21"/>
      </w:rPr>
      <w:t xml:space="preserve">                                          </w:t>
    </w:r>
    <w:r>
      <w:rPr>
        <w:rFonts w:hint="eastAsia" w:ascii="宋体" w:hAnsi="宋体" w:cs="宋体"/>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36463">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F733F">
    <w:pPr>
      <w:rPr>
        <w:rFonts w:ascii="仿宋" w:hAnsi="仿宋" w:eastAsia="仿宋" w:cs="仿宋"/>
        <w:sz w:val="24"/>
        <w:szCs w:val="24"/>
      </w:rPr>
    </w:pPr>
    <w:r>
      <w:rPr>
        <w:rFonts w:hint="eastAsia" w:ascii="仿宋" w:hAnsi="仿宋" w:eastAsia="仿宋" w:cs="仿宋"/>
        <w:sz w:val="24"/>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9BE32">
    <w:pPr>
      <w:pBdr>
        <w:bottom w:val="single" w:color="auto" w:sz="4" w:space="0"/>
      </w:pBdr>
    </w:pPr>
    <w:r>
      <w:rPr>
        <w:rFonts w:hint="eastAsia" w:ascii="宋体" w:hAnsi="宋体" w:cs="宋体"/>
        <w:sz w:val="24"/>
        <w:szCs w:val="24"/>
      </w:rPr>
      <w:t>重庆竣能工程咨询有限公司</w:t>
    </w:r>
    <w:r>
      <w:rPr>
        <w:rFonts w:hint="eastAsia" w:ascii="宋体" w:hAnsi="宋体" w:cs="宋体"/>
        <w:sz w:val="21"/>
        <w:szCs w:val="21"/>
      </w:rPr>
      <w:t xml:space="preserve">                                          </w:t>
    </w:r>
    <w:r>
      <w:rPr>
        <w:rFonts w:hint="eastAsia" w:ascii="宋体" w:hAnsi="宋体" w:cs="宋体"/>
        <w:sz w:val="24"/>
        <w:szCs w:val="24"/>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80147">
    <w:pPr>
      <w:pBdr>
        <w:bottom w:val="single" w:color="auto" w:sz="4" w:space="0"/>
      </w:pBdr>
    </w:pPr>
    <w:r>
      <w:rPr>
        <w:rFonts w:hint="eastAsia" w:ascii="宋体" w:hAnsi="宋体" w:cs="宋体"/>
        <w:sz w:val="24"/>
        <w:szCs w:val="24"/>
      </w:rPr>
      <w:t>重庆竣能工程咨询有限公司</w:t>
    </w:r>
    <w:r>
      <w:rPr>
        <w:rFonts w:hint="eastAsia" w:ascii="宋体" w:hAnsi="宋体" w:cs="宋体"/>
        <w:sz w:val="21"/>
        <w:szCs w:val="21"/>
      </w:rPr>
      <w:t xml:space="preserve">                                              </w:t>
    </w:r>
    <w:r>
      <w:rPr>
        <w:rFonts w:hint="eastAsia" w:ascii="宋体" w:hAnsi="宋体" w:cs="宋体"/>
        <w:sz w:val="24"/>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EC2C2"/>
    <w:multiLevelType w:val="singleLevel"/>
    <w:tmpl w:val="A2DEC2C2"/>
    <w:lvl w:ilvl="0" w:tentative="0">
      <w:start w:val="1"/>
      <w:numFmt w:val="decimal"/>
      <w:lvlText w:val="%1."/>
      <w:lvlJc w:val="left"/>
      <w:pPr>
        <w:tabs>
          <w:tab w:val="left" w:pos="312"/>
        </w:tabs>
      </w:pPr>
    </w:lvl>
  </w:abstractNum>
  <w:abstractNum w:abstractNumId="1">
    <w:nsid w:val="EE274450"/>
    <w:multiLevelType w:val="singleLevel"/>
    <w:tmpl w:val="EE274450"/>
    <w:lvl w:ilvl="0" w:tentative="0">
      <w:start w:val="1"/>
      <w:numFmt w:val="decimal"/>
      <w:suff w:val="nothing"/>
      <w:lvlText w:val="%1、"/>
      <w:lvlJc w:val="left"/>
    </w:lvl>
  </w:abstractNum>
  <w:abstractNum w:abstractNumId="2">
    <w:nsid w:val="00C56509"/>
    <w:multiLevelType w:val="multilevel"/>
    <w:tmpl w:val="00C56509"/>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3">
    <w:nsid w:val="234EC1BA"/>
    <w:multiLevelType w:val="singleLevel"/>
    <w:tmpl w:val="234EC1BA"/>
    <w:lvl w:ilvl="0" w:tentative="0">
      <w:start w:val="1"/>
      <w:numFmt w:val="decimal"/>
      <w:suff w:val="nothing"/>
      <w:lvlText w:val="%1、"/>
      <w:lvlJc w:val="left"/>
    </w:lvl>
  </w:abstractNum>
  <w:abstractNum w:abstractNumId="4">
    <w:nsid w:val="44EFC5D7"/>
    <w:multiLevelType w:val="singleLevel"/>
    <w:tmpl w:val="44EFC5D7"/>
    <w:lvl w:ilvl="0" w:tentative="0">
      <w:start w:val="1"/>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kYjk2YjFlMTQ0MWMyNjQwOGQ5MjcxNGZhNTJkNWMifQ=="/>
  </w:docVars>
  <w:rsids>
    <w:rsidRoot w:val="514B7ECE"/>
    <w:rsid w:val="00046CA0"/>
    <w:rsid w:val="000D1FA1"/>
    <w:rsid w:val="00191800"/>
    <w:rsid w:val="001A7BF6"/>
    <w:rsid w:val="001B5A91"/>
    <w:rsid w:val="001C7358"/>
    <w:rsid w:val="001D1EEA"/>
    <w:rsid w:val="002070B4"/>
    <w:rsid w:val="00235C55"/>
    <w:rsid w:val="002730CC"/>
    <w:rsid w:val="002966D6"/>
    <w:rsid w:val="002A1AA0"/>
    <w:rsid w:val="002A3071"/>
    <w:rsid w:val="002D269B"/>
    <w:rsid w:val="002D36D6"/>
    <w:rsid w:val="002D5271"/>
    <w:rsid w:val="00327CB1"/>
    <w:rsid w:val="0036524A"/>
    <w:rsid w:val="00382730"/>
    <w:rsid w:val="003B7625"/>
    <w:rsid w:val="003E6254"/>
    <w:rsid w:val="00433591"/>
    <w:rsid w:val="004D2EC9"/>
    <w:rsid w:val="0051277C"/>
    <w:rsid w:val="00530CD4"/>
    <w:rsid w:val="0057268B"/>
    <w:rsid w:val="0058523E"/>
    <w:rsid w:val="005877B4"/>
    <w:rsid w:val="005F5FE1"/>
    <w:rsid w:val="00610597"/>
    <w:rsid w:val="00613262"/>
    <w:rsid w:val="00615EA1"/>
    <w:rsid w:val="006171D9"/>
    <w:rsid w:val="006315DB"/>
    <w:rsid w:val="0067234B"/>
    <w:rsid w:val="00682B26"/>
    <w:rsid w:val="00694EC5"/>
    <w:rsid w:val="006B35AD"/>
    <w:rsid w:val="006C1D76"/>
    <w:rsid w:val="006D6F3B"/>
    <w:rsid w:val="00723A0B"/>
    <w:rsid w:val="007C6EBF"/>
    <w:rsid w:val="007E39A0"/>
    <w:rsid w:val="00832E3B"/>
    <w:rsid w:val="008A36D6"/>
    <w:rsid w:val="008B24D1"/>
    <w:rsid w:val="0091460E"/>
    <w:rsid w:val="00980AFC"/>
    <w:rsid w:val="009A6F66"/>
    <w:rsid w:val="009B2A84"/>
    <w:rsid w:val="009B3F6E"/>
    <w:rsid w:val="009F4C1B"/>
    <w:rsid w:val="00A64795"/>
    <w:rsid w:val="00A755D0"/>
    <w:rsid w:val="00A95A9A"/>
    <w:rsid w:val="00AB5930"/>
    <w:rsid w:val="00B32F6B"/>
    <w:rsid w:val="00B76409"/>
    <w:rsid w:val="00BA18F9"/>
    <w:rsid w:val="00BB5FFE"/>
    <w:rsid w:val="00BE292E"/>
    <w:rsid w:val="00BF4BFC"/>
    <w:rsid w:val="00C328C9"/>
    <w:rsid w:val="00C365C0"/>
    <w:rsid w:val="00C97D31"/>
    <w:rsid w:val="00CB0FCC"/>
    <w:rsid w:val="00CB5DB9"/>
    <w:rsid w:val="00CC0FC8"/>
    <w:rsid w:val="00CE742E"/>
    <w:rsid w:val="00D10939"/>
    <w:rsid w:val="00D13EBD"/>
    <w:rsid w:val="00DB5491"/>
    <w:rsid w:val="00DD1960"/>
    <w:rsid w:val="00DD6276"/>
    <w:rsid w:val="00E07CEE"/>
    <w:rsid w:val="00E114B1"/>
    <w:rsid w:val="00E40D72"/>
    <w:rsid w:val="00E808EC"/>
    <w:rsid w:val="00EC39B0"/>
    <w:rsid w:val="00EF368D"/>
    <w:rsid w:val="00F2108B"/>
    <w:rsid w:val="00F42C71"/>
    <w:rsid w:val="00F92D02"/>
    <w:rsid w:val="00F9539A"/>
    <w:rsid w:val="00FC2B92"/>
    <w:rsid w:val="01050196"/>
    <w:rsid w:val="010508B2"/>
    <w:rsid w:val="01062EEC"/>
    <w:rsid w:val="01115B19"/>
    <w:rsid w:val="01145609"/>
    <w:rsid w:val="01176EA7"/>
    <w:rsid w:val="012C2953"/>
    <w:rsid w:val="01396E1E"/>
    <w:rsid w:val="0141091C"/>
    <w:rsid w:val="016239CF"/>
    <w:rsid w:val="017F1D14"/>
    <w:rsid w:val="019127B6"/>
    <w:rsid w:val="01A0313A"/>
    <w:rsid w:val="01C64F9F"/>
    <w:rsid w:val="01CF1530"/>
    <w:rsid w:val="01D442DC"/>
    <w:rsid w:val="01D47EE7"/>
    <w:rsid w:val="01D56C4A"/>
    <w:rsid w:val="01DD1E9F"/>
    <w:rsid w:val="01F43073"/>
    <w:rsid w:val="01F83A81"/>
    <w:rsid w:val="01FB0577"/>
    <w:rsid w:val="02182ED7"/>
    <w:rsid w:val="023D1798"/>
    <w:rsid w:val="023E1452"/>
    <w:rsid w:val="02467A44"/>
    <w:rsid w:val="025B2440"/>
    <w:rsid w:val="029A48D9"/>
    <w:rsid w:val="02AA10D2"/>
    <w:rsid w:val="02ED7C69"/>
    <w:rsid w:val="03065425"/>
    <w:rsid w:val="032A1114"/>
    <w:rsid w:val="035B20F9"/>
    <w:rsid w:val="03617354"/>
    <w:rsid w:val="036A59B4"/>
    <w:rsid w:val="0374238F"/>
    <w:rsid w:val="037A60D6"/>
    <w:rsid w:val="038D23E4"/>
    <w:rsid w:val="039663B2"/>
    <w:rsid w:val="039C3694"/>
    <w:rsid w:val="03A72764"/>
    <w:rsid w:val="03D66BA6"/>
    <w:rsid w:val="04340E81"/>
    <w:rsid w:val="04440D70"/>
    <w:rsid w:val="04792C91"/>
    <w:rsid w:val="0482288A"/>
    <w:rsid w:val="04893C18"/>
    <w:rsid w:val="04937D91"/>
    <w:rsid w:val="04A31AD1"/>
    <w:rsid w:val="04AD3DC2"/>
    <w:rsid w:val="04D7319C"/>
    <w:rsid w:val="04DE7A42"/>
    <w:rsid w:val="04ED7685"/>
    <w:rsid w:val="04EE7F1F"/>
    <w:rsid w:val="050D4849"/>
    <w:rsid w:val="051A773B"/>
    <w:rsid w:val="05281683"/>
    <w:rsid w:val="052F2A11"/>
    <w:rsid w:val="05393890"/>
    <w:rsid w:val="056800F4"/>
    <w:rsid w:val="058B170D"/>
    <w:rsid w:val="058C1C12"/>
    <w:rsid w:val="059E1945"/>
    <w:rsid w:val="05B64EE1"/>
    <w:rsid w:val="05CC38F7"/>
    <w:rsid w:val="05CD5D86"/>
    <w:rsid w:val="05DF0E99"/>
    <w:rsid w:val="05FA3A43"/>
    <w:rsid w:val="060A6ADA"/>
    <w:rsid w:val="062A0575"/>
    <w:rsid w:val="06304C93"/>
    <w:rsid w:val="064416AA"/>
    <w:rsid w:val="06620BC5"/>
    <w:rsid w:val="06744454"/>
    <w:rsid w:val="067B730A"/>
    <w:rsid w:val="068678D2"/>
    <w:rsid w:val="068679E8"/>
    <w:rsid w:val="0687062B"/>
    <w:rsid w:val="0696261C"/>
    <w:rsid w:val="069A00C2"/>
    <w:rsid w:val="069C40D7"/>
    <w:rsid w:val="06A905A2"/>
    <w:rsid w:val="06B1334E"/>
    <w:rsid w:val="06B50A71"/>
    <w:rsid w:val="06B65CE0"/>
    <w:rsid w:val="06CE1DB6"/>
    <w:rsid w:val="06DB44D3"/>
    <w:rsid w:val="06DE4469"/>
    <w:rsid w:val="06E710CA"/>
    <w:rsid w:val="0737795B"/>
    <w:rsid w:val="075B0318"/>
    <w:rsid w:val="07666493"/>
    <w:rsid w:val="0777462F"/>
    <w:rsid w:val="07862691"/>
    <w:rsid w:val="079923C4"/>
    <w:rsid w:val="07B62F76"/>
    <w:rsid w:val="07D23B28"/>
    <w:rsid w:val="07DC0503"/>
    <w:rsid w:val="07FB307F"/>
    <w:rsid w:val="080156F5"/>
    <w:rsid w:val="081B727D"/>
    <w:rsid w:val="082779D0"/>
    <w:rsid w:val="0831084F"/>
    <w:rsid w:val="08341A2A"/>
    <w:rsid w:val="08403560"/>
    <w:rsid w:val="08510EF1"/>
    <w:rsid w:val="085831B1"/>
    <w:rsid w:val="08607386"/>
    <w:rsid w:val="086E1AA3"/>
    <w:rsid w:val="08A13C26"/>
    <w:rsid w:val="08A74FB5"/>
    <w:rsid w:val="08EB4EA1"/>
    <w:rsid w:val="08F60EF0"/>
    <w:rsid w:val="08F71A98"/>
    <w:rsid w:val="08FC1EA4"/>
    <w:rsid w:val="09142B1D"/>
    <w:rsid w:val="09475E50"/>
    <w:rsid w:val="094A0E22"/>
    <w:rsid w:val="095333E0"/>
    <w:rsid w:val="095D4648"/>
    <w:rsid w:val="095F13EB"/>
    <w:rsid w:val="09622C8A"/>
    <w:rsid w:val="097035F9"/>
    <w:rsid w:val="09C35E1E"/>
    <w:rsid w:val="09E65669"/>
    <w:rsid w:val="0A014251"/>
    <w:rsid w:val="0A360F3B"/>
    <w:rsid w:val="0A652A31"/>
    <w:rsid w:val="0A751338"/>
    <w:rsid w:val="0A7B014E"/>
    <w:rsid w:val="0AA417AC"/>
    <w:rsid w:val="0AE47DFA"/>
    <w:rsid w:val="0AEC3153"/>
    <w:rsid w:val="0AF50259"/>
    <w:rsid w:val="0B114F81"/>
    <w:rsid w:val="0B161F7E"/>
    <w:rsid w:val="0B297F03"/>
    <w:rsid w:val="0B2C2F07"/>
    <w:rsid w:val="0B41524D"/>
    <w:rsid w:val="0B4A2AED"/>
    <w:rsid w:val="0B4B60CB"/>
    <w:rsid w:val="0B553D58"/>
    <w:rsid w:val="0B732F2C"/>
    <w:rsid w:val="0B9F3D21"/>
    <w:rsid w:val="0B9F6417"/>
    <w:rsid w:val="0BAA6037"/>
    <w:rsid w:val="0BB91287"/>
    <w:rsid w:val="0BBC48D3"/>
    <w:rsid w:val="0BD240F7"/>
    <w:rsid w:val="0BD324DF"/>
    <w:rsid w:val="0BEC3432"/>
    <w:rsid w:val="0BF01313"/>
    <w:rsid w:val="0C090C79"/>
    <w:rsid w:val="0C25691C"/>
    <w:rsid w:val="0C35548A"/>
    <w:rsid w:val="0C364685"/>
    <w:rsid w:val="0C48260B"/>
    <w:rsid w:val="0C590374"/>
    <w:rsid w:val="0C676F35"/>
    <w:rsid w:val="0C7451AE"/>
    <w:rsid w:val="0C765646"/>
    <w:rsid w:val="0C9B2E03"/>
    <w:rsid w:val="0CBA319E"/>
    <w:rsid w:val="0CF84031"/>
    <w:rsid w:val="0D411534"/>
    <w:rsid w:val="0D6B3FC6"/>
    <w:rsid w:val="0D86663E"/>
    <w:rsid w:val="0D9F6813"/>
    <w:rsid w:val="0DA158BD"/>
    <w:rsid w:val="0DA90E87"/>
    <w:rsid w:val="0DD92A50"/>
    <w:rsid w:val="0DF30354"/>
    <w:rsid w:val="0DFE7425"/>
    <w:rsid w:val="0E07736E"/>
    <w:rsid w:val="0E083E00"/>
    <w:rsid w:val="0E4C63DE"/>
    <w:rsid w:val="0ED40186"/>
    <w:rsid w:val="0EDD5885"/>
    <w:rsid w:val="0EE3661B"/>
    <w:rsid w:val="0EE674F9"/>
    <w:rsid w:val="0EE71CB8"/>
    <w:rsid w:val="0EEE7499"/>
    <w:rsid w:val="0F167A9F"/>
    <w:rsid w:val="0F1D6E95"/>
    <w:rsid w:val="0F2A5FF8"/>
    <w:rsid w:val="0F4C41C0"/>
    <w:rsid w:val="0F58529A"/>
    <w:rsid w:val="0F707EAE"/>
    <w:rsid w:val="0F71204C"/>
    <w:rsid w:val="0F742064"/>
    <w:rsid w:val="0F7C2CF7"/>
    <w:rsid w:val="0F872F29"/>
    <w:rsid w:val="0FCC5843"/>
    <w:rsid w:val="0FD855A7"/>
    <w:rsid w:val="0FDB3317"/>
    <w:rsid w:val="0FE16FFE"/>
    <w:rsid w:val="0FF410DA"/>
    <w:rsid w:val="0FFBF308"/>
    <w:rsid w:val="101E5B5C"/>
    <w:rsid w:val="10213624"/>
    <w:rsid w:val="102D0139"/>
    <w:rsid w:val="10857989"/>
    <w:rsid w:val="108654B0"/>
    <w:rsid w:val="108C51BC"/>
    <w:rsid w:val="10A1251A"/>
    <w:rsid w:val="10AB148B"/>
    <w:rsid w:val="10F7015B"/>
    <w:rsid w:val="110F2985"/>
    <w:rsid w:val="11114787"/>
    <w:rsid w:val="113B0AC6"/>
    <w:rsid w:val="114A0BD3"/>
    <w:rsid w:val="11717F0E"/>
    <w:rsid w:val="119360D6"/>
    <w:rsid w:val="11A42091"/>
    <w:rsid w:val="11B0574F"/>
    <w:rsid w:val="11CD31BE"/>
    <w:rsid w:val="11E60178"/>
    <w:rsid w:val="12072620"/>
    <w:rsid w:val="12086AC4"/>
    <w:rsid w:val="120B0E2B"/>
    <w:rsid w:val="120D5E88"/>
    <w:rsid w:val="121C431D"/>
    <w:rsid w:val="12252310"/>
    <w:rsid w:val="122D02D9"/>
    <w:rsid w:val="128033B9"/>
    <w:rsid w:val="12837EF9"/>
    <w:rsid w:val="12900868"/>
    <w:rsid w:val="12BE2ADA"/>
    <w:rsid w:val="12CA3D79"/>
    <w:rsid w:val="12F027C5"/>
    <w:rsid w:val="12F55D0D"/>
    <w:rsid w:val="13547F36"/>
    <w:rsid w:val="13954C4F"/>
    <w:rsid w:val="13955417"/>
    <w:rsid w:val="1399374C"/>
    <w:rsid w:val="13B87BDC"/>
    <w:rsid w:val="13C94031"/>
    <w:rsid w:val="13D757E0"/>
    <w:rsid w:val="13DD640C"/>
    <w:rsid w:val="13DF5603"/>
    <w:rsid w:val="13EC1CCD"/>
    <w:rsid w:val="13ED7DB3"/>
    <w:rsid w:val="13EE2B18"/>
    <w:rsid w:val="13FE702D"/>
    <w:rsid w:val="14010FA8"/>
    <w:rsid w:val="140908D1"/>
    <w:rsid w:val="140B289C"/>
    <w:rsid w:val="141D437D"/>
    <w:rsid w:val="143771ED"/>
    <w:rsid w:val="145C6C53"/>
    <w:rsid w:val="14766474"/>
    <w:rsid w:val="147705EF"/>
    <w:rsid w:val="14983A03"/>
    <w:rsid w:val="14A10B0A"/>
    <w:rsid w:val="14A32AD4"/>
    <w:rsid w:val="14E3018D"/>
    <w:rsid w:val="151403E4"/>
    <w:rsid w:val="152A0AFF"/>
    <w:rsid w:val="154D5F33"/>
    <w:rsid w:val="156E702A"/>
    <w:rsid w:val="15766E4A"/>
    <w:rsid w:val="158521DA"/>
    <w:rsid w:val="159068A9"/>
    <w:rsid w:val="15A00DC2"/>
    <w:rsid w:val="15A21529"/>
    <w:rsid w:val="15AE34DE"/>
    <w:rsid w:val="15BB209F"/>
    <w:rsid w:val="15BF00E0"/>
    <w:rsid w:val="15C70A44"/>
    <w:rsid w:val="15EC4007"/>
    <w:rsid w:val="162E2871"/>
    <w:rsid w:val="163E4C2A"/>
    <w:rsid w:val="164B6F7F"/>
    <w:rsid w:val="165027E8"/>
    <w:rsid w:val="167A1994"/>
    <w:rsid w:val="168129A1"/>
    <w:rsid w:val="16915389"/>
    <w:rsid w:val="169A3A63"/>
    <w:rsid w:val="16A7263C"/>
    <w:rsid w:val="16B56AEF"/>
    <w:rsid w:val="16FB6BF7"/>
    <w:rsid w:val="17175058"/>
    <w:rsid w:val="171750B3"/>
    <w:rsid w:val="172F4AF3"/>
    <w:rsid w:val="174437BC"/>
    <w:rsid w:val="175400B6"/>
    <w:rsid w:val="175E5E7D"/>
    <w:rsid w:val="1768590F"/>
    <w:rsid w:val="178D5376"/>
    <w:rsid w:val="17C302A9"/>
    <w:rsid w:val="17CA481C"/>
    <w:rsid w:val="17EA27C8"/>
    <w:rsid w:val="17EC6540"/>
    <w:rsid w:val="17F13B56"/>
    <w:rsid w:val="17F325E9"/>
    <w:rsid w:val="18042FAB"/>
    <w:rsid w:val="18253800"/>
    <w:rsid w:val="182F0130"/>
    <w:rsid w:val="183459BE"/>
    <w:rsid w:val="184620F4"/>
    <w:rsid w:val="18506ACF"/>
    <w:rsid w:val="18637823"/>
    <w:rsid w:val="18721A3A"/>
    <w:rsid w:val="189015C1"/>
    <w:rsid w:val="18AD2173"/>
    <w:rsid w:val="18B63C84"/>
    <w:rsid w:val="18B74DA0"/>
    <w:rsid w:val="18BE612E"/>
    <w:rsid w:val="18C62E6C"/>
    <w:rsid w:val="18DF2F64"/>
    <w:rsid w:val="18E80644"/>
    <w:rsid w:val="18F753A4"/>
    <w:rsid w:val="191F46F3"/>
    <w:rsid w:val="19375EE1"/>
    <w:rsid w:val="19573E8D"/>
    <w:rsid w:val="195C5947"/>
    <w:rsid w:val="195E521C"/>
    <w:rsid w:val="19634113"/>
    <w:rsid w:val="196668F2"/>
    <w:rsid w:val="198253AE"/>
    <w:rsid w:val="198D5379"/>
    <w:rsid w:val="19A60971"/>
    <w:rsid w:val="19C37774"/>
    <w:rsid w:val="19E80F89"/>
    <w:rsid w:val="19F416DC"/>
    <w:rsid w:val="1A18186E"/>
    <w:rsid w:val="1A200723"/>
    <w:rsid w:val="1A404921"/>
    <w:rsid w:val="1A4E703E"/>
    <w:rsid w:val="1AA80E44"/>
    <w:rsid w:val="1ABF1CEA"/>
    <w:rsid w:val="1ADF05DE"/>
    <w:rsid w:val="1ADF24D1"/>
    <w:rsid w:val="1AF1038D"/>
    <w:rsid w:val="1AF23E6D"/>
    <w:rsid w:val="1B000E2B"/>
    <w:rsid w:val="1B03634E"/>
    <w:rsid w:val="1B0E67CD"/>
    <w:rsid w:val="1B1F390C"/>
    <w:rsid w:val="1B397CEE"/>
    <w:rsid w:val="1B4B17D0"/>
    <w:rsid w:val="1B610933"/>
    <w:rsid w:val="1B617245"/>
    <w:rsid w:val="1B96095E"/>
    <w:rsid w:val="1BB82AD4"/>
    <w:rsid w:val="1BBA60B9"/>
    <w:rsid w:val="1BD21EF1"/>
    <w:rsid w:val="1BE13EE2"/>
    <w:rsid w:val="1C062C15"/>
    <w:rsid w:val="1C4E5A1B"/>
    <w:rsid w:val="1C71170A"/>
    <w:rsid w:val="1C9E3BBC"/>
    <w:rsid w:val="1CA10B36"/>
    <w:rsid w:val="1CBB0AD9"/>
    <w:rsid w:val="1CD80B01"/>
    <w:rsid w:val="1CED6FE2"/>
    <w:rsid w:val="1CF73540"/>
    <w:rsid w:val="1CF8755F"/>
    <w:rsid w:val="1CFD4D4B"/>
    <w:rsid w:val="1D7C1F07"/>
    <w:rsid w:val="1D855E12"/>
    <w:rsid w:val="1DA84CB7"/>
    <w:rsid w:val="1DB01DBE"/>
    <w:rsid w:val="1DB16262"/>
    <w:rsid w:val="1DE33F41"/>
    <w:rsid w:val="1DEA662D"/>
    <w:rsid w:val="1DEF28E6"/>
    <w:rsid w:val="1E0068A1"/>
    <w:rsid w:val="1E3B5B2B"/>
    <w:rsid w:val="1E4D585F"/>
    <w:rsid w:val="1E6432D4"/>
    <w:rsid w:val="1E7E3C6A"/>
    <w:rsid w:val="1E85324A"/>
    <w:rsid w:val="1E9D67E6"/>
    <w:rsid w:val="1EA96F39"/>
    <w:rsid w:val="1EB458DE"/>
    <w:rsid w:val="1F1903A6"/>
    <w:rsid w:val="1F3E1D77"/>
    <w:rsid w:val="1F413615"/>
    <w:rsid w:val="1F4461FD"/>
    <w:rsid w:val="1F460C2C"/>
    <w:rsid w:val="1F4B4494"/>
    <w:rsid w:val="1F51312D"/>
    <w:rsid w:val="1F5275D0"/>
    <w:rsid w:val="1F784B5D"/>
    <w:rsid w:val="1F841754"/>
    <w:rsid w:val="1FA12306"/>
    <w:rsid w:val="1FCD3566"/>
    <w:rsid w:val="1FE17F3F"/>
    <w:rsid w:val="20126D60"/>
    <w:rsid w:val="201E79DE"/>
    <w:rsid w:val="20270A5D"/>
    <w:rsid w:val="202B14FE"/>
    <w:rsid w:val="20367C8D"/>
    <w:rsid w:val="203F2856"/>
    <w:rsid w:val="2069786D"/>
    <w:rsid w:val="206B3A09"/>
    <w:rsid w:val="206F1A6C"/>
    <w:rsid w:val="207435EC"/>
    <w:rsid w:val="208F03B0"/>
    <w:rsid w:val="2103718B"/>
    <w:rsid w:val="21264248"/>
    <w:rsid w:val="21380A48"/>
    <w:rsid w:val="21382AF2"/>
    <w:rsid w:val="214271D1"/>
    <w:rsid w:val="214E4024"/>
    <w:rsid w:val="21507B40"/>
    <w:rsid w:val="21621621"/>
    <w:rsid w:val="21AA52DA"/>
    <w:rsid w:val="21B76DA4"/>
    <w:rsid w:val="21BA320B"/>
    <w:rsid w:val="21BC3585"/>
    <w:rsid w:val="21C422DC"/>
    <w:rsid w:val="21DB7773"/>
    <w:rsid w:val="21F7620D"/>
    <w:rsid w:val="21FC3B10"/>
    <w:rsid w:val="222039B6"/>
    <w:rsid w:val="22244B28"/>
    <w:rsid w:val="22347461"/>
    <w:rsid w:val="228F6446"/>
    <w:rsid w:val="22AC524A"/>
    <w:rsid w:val="22CA019D"/>
    <w:rsid w:val="22CA3922"/>
    <w:rsid w:val="22F453DF"/>
    <w:rsid w:val="22F97D63"/>
    <w:rsid w:val="231D7EF5"/>
    <w:rsid w:val="23B048C6"/>
    <w:rsid w:val="23F92711"/>
    <w:rsid w:val="244E232E"/>
    <w:rsid w:val="24506599"/>
    <w:rsid w:val="247B1377"/>
    <w:rsid w:val="24861ACA"/>
    <w:rsid w:val="24877D1C"/>
    <w:rsid w:val="2492569B"/>
    <w:rsid w:val="24942CCA"/>
    <w:rsid w:val="24947236"/>
    <w:rsid w:val="249B799E"/>
    <w:rsid w:val="24B91523"/>
    <w:rsid w:val="251470D6"/>
    <w:rsid w:val="251F61A7"/>
    <w:rsid w:val="253A5E11"/>
    <w:rsid w:val="2547125A"/>
    <w:rsid w:val="255E3A3D"/>
    <w:rsid w:val="2564477D"/>
    <w:rsid w:val="258424AE"/>
    <w:rsid w:val="259668BA"/>
    <w:rsid w:val="25A20B86"/>
    <w:rsid w:val="25D93CC6"/>
    <w:rsid w:val="25DB517C"/>
    <w:rsid w:val="25E666AB"/>
    <w:rsid w:val="25EB6089"/>
    <w:rsid w:val="260E1D77"/>
    <w:rsid w:val="26121868"/>
    <w:rsid w:val="26127ABA"/>
    <w:rsid w:val="26415879"/>
    <w:rsid w:val="264B50B3"/>
    <w:rsid w:val="267A11BB"/>
    <w:rsid w:val="26A94D1C"/>
    <w:rsid w:val="26C94F4F"/>
    <w:rsid w:val="26D57446"/>
    <w:rsid w:val="26D7077D"/>
    <w:rsid w:val="26E45600"/>
    <w:rsid w:val="26E60D31"/>
    <w:rsid w:val="26F3289E"/>
    <w:rsid w:val="270B7D86"/>
    <w:rsid w:val="27397736"/>
    <w:rsid w:val="27761834"/>
    <w:rsid w:val="27982240"/>
    <w:rsid w:val="27A01F78"/>
    <w:rsid w:val="27BC01D7"/>
    <w:rsid w:val="27FF406E"/>
    <w:rsid w:val="2816219C"/>
    <w:rsid w:val="281E30AB"/>
    <w:rsid w:val="28480BDC"/>
    <w:rsid w:val="285F68BA"/>
    <w:rsid w:val="28650375"/>
    <w:rsid w:val="287B5AA5"/>
    <w:rsid w:val="28844573"/>
    <w:rsid w:val="2886653D"/>
    <w:rsid w:val="288F719F"/>
    <w:rsid w:val="28937464"/>
    <w:rsid w:val="28A218C8"/>
    <w:rsid w:val="28BE1833"/>
    <w:rsid w:val="28CE352E"/>
    <w:rsid w:val="28E13773"/>
    <w:rsid w:val="28F6721F"/>
    <w:rsid w:val="293D706B"/>
    <w:rsid w:val="2940049A"/>
    <w:rsid w:val="29451F54"/>
    <w:rsid w:val="294B5B30"/>
    <w:rsid w:val="295E3016"/>
    <w:rsid w:val="297A5D3F"/>
    <w:rsid w:val="29AE7AF9"/>
    <w:rsid w:val="29BA46F0"/>
    <w:rsid w:val="2A0239A1"/>
    <w:rsid w:val="2A0508FD"/>
    <w:rsid w:val="2A3049B2"/>
    <w:rsid w:val="2A306760"/>
    <w:rsid w:val="2A612DBE"/>
    <w:rsid w:val="2A6E6792"/>
    <w:rsid w:val="2A9B706F"/>
    <w:rsid w:val="2AB27175"/>
    <w:rsid w:val="2AB70C30"/>
    <w:rsid w:val="2AC76693"/>
    <w:rsid w:val="2B02634F"/>
    <w:rsid w:val="2B0F45C8"/>
    <w:rsid w:val="2B27088D"/>
    <w:rsid w:val="2B285689"/>
    <w:rsid w:val="2B4C581C"/>
    <w:rsid w:val="2B6366C1"/>
    <w:rsid w:val="2B6956A2"/>
    <w:rsid w:val="2B6C1A1A"/>
    <w:rsid w:val="2B7411BF"/>
    <w:rsid w:val="2B896186"/>
    <w:rsid w:val="2B8A6CC9"/>
    <w:rsid w:val="2BA271EA"/>
    <w:rsid w:val="2BA74800"/>
    <w:rsid w:val="2BAE2033"/>
    <w:rsid w:val="2BCA27F8"/>
    <w:rsid w:val="2BD80E5D"/>
    <w:rsid w:val="2BE6077D"/>
    <w:rsid w:val="2BEE0681"/>
    <w:rsid w:val="2BF40509"/>
    <w:rsid w:val="2C1520B2"/>
    <w:rsid w:val="2C2C53D1"/>
    <w:rsid w:val="2C491D5B"/>
    <w:rsid w:val="2C626979"/>
    <w:rsid w:val="2C6B22DC"/>
    <w:rsid w:val="2C6C3308"/>
    <w:rsid w:val="2C8D7E9A"/>
    <w:rsid w:val="2C9F5E1F"/>
    <w:rsid w:val="2CC2183C"/>
    <w:rsid w:val="2CD86C3B"/>
    <w:rsid w:val="2CDC672B"/>
    <w:rsid w:val="2CE675AA"/>
    <w:rsid w:val="2CE90E48"/>
    <w:rsid w:val="2D0068BE"/>
    <w:rsid w:val="2D035D18"/>
    <w:rsid w:val="2D113C66"/>
    <w:rsid w:val="2D142369"/>
    <w:rsid w:val="2D2A393B"/>
    <w:rsid w:val="2D546C0A"/>
    <w:rsid w:val="2D713797"/>
    <w:rsid w:val="2D8F7C42"/>
    <w:rsid w:val="2DC07DFB"/>
    <w:rsid w:val="2DC31B9F"/>
    <w:rsid w:val="2DE97352"/>
    <w:rsid w:val="2DF9330D"/>
    <w:rsid w:val="2DFB7085"/>
    <w:rsid w:val="2E0F2B31"/>
    <w:rsid w:val="2E4E5407"/>
    <w:rsid w:val="2E8E720E"/>
    <w:rsid w:val="2EB23BE8"/>
    <w:rsid w:val="2EBF00B3"/>
    <w:rsid w:val="2EC0032A"/>
    <w:rsid w:val="2EC45ED2"/>
    <w:rsid w:val="2ECE02F6"/>
    <w:rsid w:val="2ECF7828"/>
    <w:rsid w:val="2ED57590"/>
    <w:rsid w:val="2EE644C2"/>
    <w:rsid w:val="2EEC69F5"/>
    <w:rsid w:val="2EEC795A"/>
    <w:rsid w:val="2F000DF7"/>
    <w:rsid w:val="2F320859"/>
    <w:rsid w:val="2F320885"/>
    <w:rsid w:val="2F350375"/>
    <w:rsid w:val="2F362CA9"/>
    <w:rsid w:val="2F407445"/>
    <w:rsid w:val="2F492E1B"/>
    <w:rsid w:val="2F511653"/>
    <w:rsid w:val="2F61116A"/>
    <w:rsid w:val="2F6F1AD9"/>
    <w:rsid w:val="2F8D1F5F"/>
    <w:rsid w:val="2F9037FD"/>
    <w:rsid w:val="2F911A4F"/>
    <w:rsid w:val="2F911BBA"/>
    <w:rsid w:val="2FAD01EE"/>
    <w:rsid w:val="2FBF5F24"/>
    <w:rsid w:val="2FC71915"/>
    <w:rsid w:val="30085A89"/>
    <w:rsid w:val="300B6073"/>
    <w:rsid w:val="300C33B5"/>
    <w:rsid w:val="3010496C"/>
    <w:rsid w:val="30136908"/>
    <w:rsid w:val="30261FF5"/>
    <w:rsid w:val="3062163D"/>
    <w:rsid w:val="30681427"/>
    <w:rsid w:val="3075311F"/>
    <w:rsid w:val="30986E0D"/>
    <w:rsid w:val="309A2B85"/>
    <w:rsid w:val="30A27C8C"/>
    <w:rsid w:val="30C300FB"/>
    <w:rsid w:val="30CB2D3F"/>
    <w:rsid w:val="30E43E01"/>
    <w:rsid w:val="310B5342"/>
    <w:rsid w:val="310D3357"/>
    <w:rsid w:val="3118473F"/>
    <w:rsid w:val="31230F82"/>
    <w:rsid w:val="31395673"/>
    <w:rsid w:val="31457DBA"/>
    <w:rsid w:val="314D409C"/>
    <w:rsid w:val="31501496"/>
    <w:rsid w:val="315F380C"/>
    <w:rsid w:val="316F4DC1"/>
    <w:rsid w:val="31865912"/>
    <w:rsid w:val="318A10D1"/>
    <w:rsid w:val="31C73C21"/>
    <w:rsid w:val="31CF761B"/>
    <w:rsid w:val="31E71DFA"/>
    <w:rsid w:val="31F771A5"/>
    <w:rsid w:val="31F84007"/>
    <w:rsid w:val="31FA51BC"/>
    <w:rsid w:val="31FE5396"/>
    <w:rsid w:val="320C339A"/>
    <w:rsid w:val="32607CF5"/>
    <w:rsid w:val="326C6B22"/>
    <w:rsid w:val="326D7CE5"/>
    <w:rsid w:val="327F7610"/>
    <w:rsid w:val="32B03E51"/>
    <w:rsid w:val="32B54CE3"/>
    <w:rsid w:val="32D57EA5"/>
    <w:rsid w:val="32E225C2"/>
    <w:rsid w:val="32F56799"/>
    <w:rsid w:val="32F87181"/>
    <w:rsid w:val="32FD73FC"/>
    <w:rsid w:val="3301513E"/>
    <w:rsid w:val="33105381"/>
    <w:rsid w:val="33337DE1"/>
    <w:rsid w:val="334610C3"/>
    <w:rsid w:val="336F654B"/>
    <w:rsid w:val="33745910"/>
    <w:rsid w:val="337C47C4"/>
    <w:rsid w:val="33995376"/>
    <w:rsid w:val="33B10912"/>
    <w:rsid w:val="33EA4839"/>
    <w:rsid w:val="343D03F7"/>
    <w:rsid w:val="34401C96"/>
    <w:rsid w:val="3442764E"/>
    <w:rsid w:val="34775FD7"/>
    <w:rsid w:val="348558FB"/>
    <w:rsid w:val="3489363D"/>
    <w:rsid w:val="348A1838"/>
    <w:rsid w:val="34A71D15"/>
    <w:rsid w:val="34CB7297"/>
    <w:rsid w:val="34CC52D7"/>
    <w:rsid w:val="34FA62E8"/>
    <w:rsid w:val="34FF56AD"/>
    <w:rsid w:val="351A4FD4"/>
    <w:rsid w:val="35262C3A"/>
    <w:rsid w:val="355373CC"/>
    <w:rsid w:val="355435F3"/>
    <w:rsid w:val="355F7EFA"/>
    <w:rsid w:val="357B28D6"/>
    <w:rsid w:val="35944047"/>
    <w:rsid w:val="359F29EC"/>
    <w:rsid w:val="35B20B6C"/>
    <w:rsid w:val="35BC17F0"/>
    <w:rsid w:val="35D703D8"/>
    <w:rsid w:val="35D72186"/>
    <w:rsid w:val="35F9034E"/>
    <w:rsid w:val="364F4412"/>
    <w:rsid w:val="36660DCA"/>
    <w:rsid w:val="36682978"/>
    <w:rsid w:val="369E2CA4"/>
    <w:rsid w:val="36BA5D2F"/>
    <w:rsid w:val="36BE6EA2"/>
    <w:rsid w:val="36C00E6C"/>
    <w:rsid w:val="36EA5EE9"/>
    <w:rsid w:val="36EC7EB3"/>
    <w:rsid w:val="37192794"/>
    <w:rsid w:val="375A4D0E"/>
    <w:rsid w:val="37677539"/>
    <w:rsid w:val="376F66E4"/>
    <w:rsid w:val="37A31AD7"/>
    <w:rsid w:val="37CE633D"/>
    <w:rsid w:val="37D82FC1"/>
    <w:rsid w:val="37EE37B7"/>
    <w:rsid w:val="381256F7"/>
    <w:rsid w:val="381551E7"/>
    <w:rsid w:val="381D66D7"/>
    <w:rsid w:val="3848736B"/>
    <w:rsid w:val="384D4981"/>
    <w:rsid w:val="386121DB"/>
    <w:rsid w:val="38637D01"/>
    <w:rsid w:val="38752BC9"/>
    <w:rsid w:val="388037F2"/>
    <w:rsid w:val="38993243"/>
    <w:rsid w:val="38A85352"/>
    <w:rsid w:val="38DF3392"/>
    <w:rsid w:val="38F1355F"/>
    <w:rsid w:val="38F17A02"/>
    <w:rsid w:val="38F512A1"/>
    <w:rsid w:val="38FC2346"/>
    <w:rsid w:val="3905700A"/>
    <w:rsid w:val="3915757C"/>
    <w:rsid w:val="39331DC9"/>
    <w:rsid w:val="39382F3B"/>
    <w:rsid w:val="39403E5D"/>
    <w:rsid w:val="394713D0"/>
    <w:rsid w:val="39663F4D"/>
    <w:rsid w:val="39952946"/>
    <w:rsid w:val="39A700C1"/>
    <w:rsid w:val="39AC69D2"/>
    <w:rsid w:val="39B32F0A"/>
    <w:rsid w:val="39BE7D79"/>
    <w:rsid w:val="39C507B3"/>
    <w:rsid w:val="39D25301"/>
    <w:rsid w:val="39E64B3B"/>
    <w:rsid w:val="39FF7EFD"/>
    <w:rsid w:val="3A1F517E"/>
    <w:rsid w:val="3A3758E9"/>
    <w:rsid w:val="3A3F6FD4"/>
    <w:rsid w:val="3A54334A"/>
    <w:rsid w:val="3A563FC1"/>
    <w:rsid w:val="3A7D61D4"/>
    <w:rsid w:val="3A9C74FA"/>
    <w:rsid w:val="3AA36D3C"/>
    <w:rsid w:val="3AA840F1"/>
    <w:rsid w:val="3AB213D9"/>
    <w:rsid w:val="3AF410E4"/>
    <w:rsid w:val="3B082DE1"/>
    <w:rsid w:val="3B313787"/>
    <w:rsid w:val="3B462AC1"/>
    <w:rsid w:val="3B471B5C"/>
    <w:rsid w:val="3B4C2CCE"/>
    <w:rsid w:val="3BA174BE"/>
    <w:rsid w:val="3BAC751F"/>
    <w:rsid w:val="3BAD416B"/>
    <w:rsid w:val="3BC82C9D"/>
    <w:rsid w:val="3BD3168B"/>
    <w:rsid w:val="3BE15B0C"/>
    <w:rsid w:val="3C04564A"/>
    <w:rsid w:val="3C1C4D96"/>
    <w:rsid w:val="3C44609B"/>
    <w:rsid w:val="3C7563FB"/>
    <w:rsid w:val="3C81212D"/>
    <w:rsid w:val="3C972E5F"/>
    <w:rsid w:val="3C9D7495"/>
    <w:rsid w:val="3CA12CE1"/>
    <w:rsid w:val="3CA134EE"/>
    <w:rsid w:val="3CAD2038"/>
    <w:rsid w:val="3CAD7649"/>
    <w:rsid w:val="3CB43221"/>
    <w:rsid w:val="3CBE7BFC"/>
    <w:rsid w:val="3CEC6CB2"/>
    <w:rsid w:val="3CED6733"/>
    <w:rsid w:val="3D14462E"/>
    <w:rsid w:val="3D1951DA"/>
    <w:rsid w:val="3D2A36DD"/>
    <w:rsid w:val="3D3305EA"/>
    <w:rsid w:val="3D3659E4"/>
    <w:rsid w:val="3D38117F"/>
    <w:rsid w:val="3D412CB4"/>
    <w:rsid w:val="3D453243"/>
    <w:rsid w:val="3D5C3F5E"/>
    <w:rsid w:val="3D672041"/>
    <w:rsid w:val="3D864BBD"/>
    <w:rsid w:val="3DA212CB"/>
    <w:rsid w:val="3DC7508C"/>
    <w:rsid w:val="3DC92CFC"/>
    <w:rsid w:val="3DD84CED"/>
    <w:rsid w:val="3DE05B98"/>
    <w:rsid w:val="3E04082E"/>
    <w:rsid w:val="3E09134A"/>
    <w:rsid w:val="3E135D25"/>
    <w:rsid w:val="3E1D6697"/>
    <w:rsid w:val="3E52684D"/>
    <w:rsid w:val="3E5770D5"/>
    <w:rsid w:val="3E7F378A"/>
    <w:rsid w:val="3E830789"/>
    <w:rsid w:val="3E8F55F5"/>
    <w:rsid w:val="3E95498C"/>
    <w:rsid w:val="3E9C21BE"/>
    <w:rsid w:val="3EAF3CA0"/>
    <w:rsid w:val="3EB94FC3"/>
    <w:rsid w:val="3EBD52C2"/>
    <w:rsid w:val="3ED25BE0"/>
    <w:rsid w:val="3EDD0D57"/>
    <w:rsid w:val="3EE057E6"/>
    <w:rsid w:val="3EF73899"/>
    <w:rsid w:val="3F0538C0"/>
    <w:rsid w:val="3F1A1CC2"/>
    <w:rsid w:val="3F301235"/>
    <w:rsid w:val="3F454604"/>
    <w:rsid w:val="3F855EF6"/>
    <w:rsid w:val="3F9335C1"/>
    <w:rsid w:val="3F9D7F9C"/>
    <w:rsid w:val="3F9F3D14"/>
    <w:rsid w:val="3FBF5910"/>
    <w:rsid w:val="3FC01EDD"/>
    <w:rsid w:val="3FC904D2"/>
    <w:rsid w:val="3FC92B3F"/>
    <w:rsid w:val="3FCB2D5B"/>
    <w:rsid w:val="3FCB3A93"/>
    <w:rsid w:val="3FCF3ECE"/>
    <w:rsid w:val="3FD17C46"/>
    <w:rsid w:val="3FF87828"/>
    <w:rsid w:val="400D0A7E"/>
    <w:rsid w:val="401A38AD"/>
    <w:rsid w:val="40316936"/>
    <w:rsid w:val="40414DCB"/>
    <w:rsid w:val="404C3770"/>
    <w:rsid w:val="406805AA"/>
    <w:rsid w:val="4070030D"/>
    <w:rsid w:val="4077259B"/>
    <w:rsid w:val="4093253B"/>
    <w:rsid w:val="40AD420F"/>
    <w:rsid w:val="40F2256A"/>
    <w:rsid w:val="40F32BF1"/>
    <w:rsid w:val="41061B71"/>
    <w:rsid w:val="410A1661"/>
    <w:rsid w:val="41197AF6"/>
    <w:rsid w:val="414D1465"/>
    <w:rsid w:val="4157061F"/>
    <w:rsid w:val="41591156"/>
    <w:rsid w:val="416007A6"/>
    <w:rsid w:val="416C231C"/>
    <w:rsid w:val="419137C3"/>
    <w:rsid w:val="419B675D"/>
    <w:rsid w:val="419D4283"/>
    <w:rsid w:val="41C23CEA"/>
    <w:rsid w:val="41D103D1"/>
    <w:rsid w:val="4206193C"/>
    <w:rsid w:val="42156510"/>
    <w:rsid w:val="421E25C8"/>
    <w:rsid w:val="426E5C20"/>
    <w:rsid w:val="428471F1"/>
    <w:rsid w:val="42AE24C0"/>
    <w:rsid w:val="42D71A17"/>
    <w:rsid w:val="42DF267A"/>
    <w:rsid w:val="431D26E3"/>
    <w:rsid w:val="43284021"/>
    <w:rsid w:val="433E3844"/>
    <w:rsid w:val="435C1F1C"/>
    <w:rsid w:val="435F79D0"/>
    <w:rsid w:val="437E00E5"/>
    <w:rsid w:val="43846D49"/>
    <w:rsid w:val="438D1F73"/>
    <w:rsid w:val="43915383"/>
    <w:rsid w:val="43AF029E"/>
    <w:rsid w:val="43C624F6"/>
    <w:rsid w:val="43DD767E"/>
    <w:rsid w:val="43E50164"/>
    <w:rsid w:val="43E908BD"/>
    <w:rsid w:val="43FD2CE3"/>
    <w:rsid w:val="442347E8"/>
    <w:rsid w:val="4453331F"/>
    <w:rsid w:val="4455558E"/>
    <w:rsid w:val="445F1CC4"/>
    <w:rsid w:val="449C0E15"/>
    <w:rsid w:val="449D0A3E"/>
    <w:rsid w:val="44A26055"/>
    <w:rsid w:val="44CF4749"/>
    <w:rsid w:val="45181E73"/>
    <w:rsid w:val="451C2193"/>
    <w:rsid w:val="45352A25"/>
    <w:rsid w:val="45700EE7"/>
    <w:rsid w:val="45751C81"/>
    <w:rsid w:val="458D0C19"/>
    <w:rsid w:val="4594599D"/>
    <w:rsid w:val="45A656D1"/>
    <w:rsid w:val="45AE3F37"/>
    <w:rsid w:val="45C1250B"/>
    <w:rsid w:val="45D65FB6"/>
    <w:rsid w:val="46026DAD"/>
    <w:rsid w:val="461A2D0E"/>
    <w:rsid w:val="46401681"/>
    <w:rsid w:val="466B2BA2"/>
    <w:rsid w:val="467A0C55"/>
    <w:rsid w:val="468A0B4E"/>
    <w:rsid w:val="46906ED3"/>
    <w:rsid w:val="46B207D1"/>
    <w:rsid w:val="46CE08E8"/>
    <w:rsid w:val="46D22C21"/>
    <w:rsid w:val="46E41C72"/>
    <w:rsid w:val="46F838A8"/>
    <w:rsid w:val="46FC1A4C"/>
    <w:rsid w:val="46FF153C"/>
    <w:rsid w:val="47027ABA"/>
    <w:rsid w:val="47184316"/>
    <w:rsid w:val="47333051"/>
    <w:rsid w:val="474927B8"/>
    <w:rsid w:val="47596E9F"/>
    <w:rsid w:val="475E44B5"/>
    <w:rsid w:val="479779C7"/>
    <w:rsid w:val="47AE731A"/>
    <w:rsid w:val="47B90762"/>
    <w:rsid w:val="47C63E08"/>
    <w:rsid w:val="47E07D19"/>
    <w:rsid w:val="48074B4D"/>
    <w:rsid w:val="480C2163"/>
    <w:rsid w:val="481728B6"/>
    <w:rsid w:val="48294260"/>
    <w:rsid w:val="484C6A03"/>
    <w:rsid w:val="48555FE1"/>
    <w:rsid w:val="486908CB"/>
    <w:rsid w:val="48733F90"/>
    <w:rsid w:val="48AB197C"/>
    <w:rsid w:val="48AD79E8"/>
    <w:rsid w:val="48DC7D87"/>
    <w:rsid w:val="48F549A5"/>
    <w:rsid w:val="48FF3A76"/>
    <w:rsid w:val="4901159C"/>
    <w:rsid w:val="490177EE"/>
    <w:rsid w:val="490B241B"/>
    <w:rsid w:val="490E5A67"/>
    <w:rsid w:val="491F33FC"/>
    <w:rsid w:val="492C1F93"/>
    <w:rsid w:val="49302542"/>
    <w:rsid w:val="495B34CF"/>
    <w:rsid w:val="49867CF3"/>
    <w:rsid w:val="49AB775A"/>
    <w:rsid w:val="49AD702E"/>
    <w:rsid w:val="49AF22DD"/>
    <w:rsid w:val="49CA7BE0"/>
    <w:rsid w:val="49E05655"/>
    <w:rsid w:val="49E45491"/>
    <w:rsid w:val="49EC3FFA"/>
    <w:rsid w:val="49F2635D"/>
    <w:rsid w:val="49F92273"/>
    <w:rsid w:val="4A5E47CC"/>
    <w:rsid w:val="4A8E7207"/>
    <w:rsid w:val="4A9D52F4"/>
    <w:rsid w:val="4AB01E3E"/>
    <w:rsid w:val="4AB16FF2"/>
    <w:rsid w:val="4AC349A4"/>
    <w:rsid w:val="4AC76815"/>
    <w:rsid w:val="4ADB1B7B"/>
    <w:rsid w:val="4AE21992"/>
    <w:rsid w:val="4AEF3676"/>
    <w:rsid w:val="4AF155E5"/>
    <w:rsid w:val="4AF84C20"/>
    <w:rsid w:val="4B004812"/>
    <w:rsid w:val="4B0A243B"/>
    <w:rsid w:val="4B0B04B0"/>
    <w:rsid w:val="4B15132F"/>
    <w:rsid w:val="4B1E40FF"/>
    <w:rsid w:val="4B257495"/>
    <w:rsid w:val="4B2B2277"/>
    <w:rsid w:val="4B2E1E7A"/>
    <w:rsid w:val="4B3774F7"/>
    <w:rsid w:val="4B85213F"/>
    <w:rsid w:val="4B865D88"/>
    <w:rsid w:val="4BAB57EF"/>
    <w:rsid w:val="4BE17463"/>
    <w:rsid w:val="4BF453E8"/>
    <w:rsid w:val="4C080E93"/>
    <w:rsid w:val="4C2C5AF7"/>
    <w:rsid w:val="4C35155C"/>
    <w:rsid w:val="4C5E0AB3"/>
    <w:rsid w:val="4C6F2CC0"/>
    <w:rsid w:val="4C79769B"/>
    <w:rsid w:val="4C7E1B40"/>
    <w:rsid w:val="4C951AAA"/>
    <w:rsid w:val="4CB23EB0"/>
    <w:rsid w:val="4CD55219"/>
    <w:rsid w:val="4CD751A0"/>
    <w:rsid w:val="4CDD40CE"/>
    <w:rsid w:val="4D1C5CDC"/>
    <w:rsid w:val="4D217CAC"/>
    <w:rsid w:val="4D4400ED"/>
    <w:rsid w:val="4D5B4FF3"/>
    <w:rsid w:val="4D671BE9"/>
    <w:rsid w:val="4D7367E0"/>
    <w:rsid w:val="4D9C1893"/>
    <w:rsid w:val="4DAD1CF2"/>
    <w:rsid w:val="4DC66910"/>
    <w:rsid w:val="4DEA6AA2"/>
    <w:rsid w:val="4E2875CB"/>
    <w:rsid w:val="4E353A96"/>
    <w:rsid w:val="4E5A30AF"/>
    <w:rsid w:val="4E734FA6"/>
    <w:rsid w:val="4E8269C0"/>
    <w:rsid w:val="4E944C60"/>
    <w:rsid w:val="4EA02117"/>
    <w:rsid w:val="4EA56E6D"/>
    <w:rsid w:val="4EBB043F"/>
    <w:rsid w:val="4EC76DE4"/>
    <w:rsid w:val="4EC86989"/>
    <w:rsid w:val="4ECF2AE3"/>
    <w:rsid w:val="4EF61477"/>
    <w:rsid w:val="4F041DE6"/>
    <w:rsid w:val="4F143097"/>
    <w:rsid w:val="4F416B96"/>
    <w:rsid w:val="4F4F0B87"/>
    <w:rsid w:val="4F552641"/>
    <w:rsid w:val="4F6636A0"/>
    <w:rsid w:val="4F702FD7"/>
    <w:rsid w:val="4F782991"/>
    <w:rsid w:val="4FC6709B"/>
    <w:rsid w:val="4FCF5EA2"/>
    <w:rsid w:val="4FF60177"/>
    <w:rsid w:val="4FFA69D9"/>
    <w:rsid w:val="500951DA"/>
    <w:rsid w:val="504B6903"/>
    <w:rsid w:val="50681F00"/>
    <w:rsid w:val="50964CC0"/>
    <w:rsid w:val="509727E6"/>
    <w:rsid w:val="50A2441A"/>
    <w:rsid w:val="50A62A29"/>
    <w:rsid w:val="50AD025B"/>
    <w:rsid w:val="50C961BD"/>
    <w:rsid w:val="50D52FD1"/>
    <w:rsid w:val="50D77E30"/>
    <w:rsid w:val="50F934A0"/>
    <w:rsid w:val="510840F6"/>
    <w:rsid w:val="514B7ECE"/>
    <w:rsid w:val="51B50D1A"/>
    <w:rsid w:val="51C21AE4"/>
    <w:rsid w:val="51EE4687"/>
    <w:rsid w:val="51F06651"/>
    <w:rsid w:val="51F755A0"/>
    <w:rsid w:val="520B58B9"/>
    <w:rsid w:val="521A4397"/>
    <w:rsid w:val="52355AB6"/>
    <w:rsid w:val="52660AB8"/>
    <w:rsid w:val="526E1AD5"/>
    <w:rsid w:val="52754DA9"/>
    <w:rsid w:val="52927709"/>
    <w:rsid w:val="52D71E9D"/>
    <w:rsid w:val="52E30F1A"/>
    <w:rsid w:val="52E87329"/>
    <w:rsid w:val="53065A01"/>
    <w:rsid w:val="532E351C"/>
    <w:rsid w:val="53395DD6"/>
    <w:rsid w:val="533D7674"/>
    <w:rsid w:val="534D72F9"/>
    <w:rsid w:val="5354676C"/>
    <w:rsid w:val="536746F1"/>
    <w:rsid w:val="53690469"/>
    <w:rsid w:val="537A2677"/>
    <w:rsid w:val="5385656B"/>
    <w:rsid w:val="539F20DD"/>
    <w:rsid w:val="53BB5619"/>
    <w:rsid w:val="53C9747A"/>
    <w:rsid w:val="53EB13F5"/>
    <w:rsid w:val="53EF0B8F"/>
    <w:rsid w:val="541B220A"/>
    <w:rsid w:val="54212AF2"/>
    <w:rsid w:val="542924D4"/>
    <w:rsid w:val="543D36A4"/>
    <w:rsid w:val="54413194"/>
    <w:rsid w:val="5458228C"/>
    <w:rsid w:val="5462174E"/>
    <w:rsid w:val="546D3F89"/>
    <w:rsid w:val="54837309"/>
    <w:rsid w:val="548F2002"/>
    <w:rsid w:val="549F7EBB"/>
    <w:rsid w:val="54B870ED"/>
    <w:rsid w:val="54CD4CB8"/>
    <w:rsid w:val="54E81862"/>
    <w:rsid w:val="55083CB2"/>
    <w:rsid w:val="55084BBB"/>
    <w:rsid w:val="550906FB"/>
    <w:rsid w:val="550D1F5E"/>
    <w:rsid w:val="55222FC6"/>
    <w:rsid w:val="552705DC"/>
    <w:rsid w:val="552E729B"/>
    <w:rsid w:val="552F3F2D"/>
    <w:rsid w:val="553140A7"/>
    <w:rsid w:val="5536081F"/>
    <w:rsid w:val="553F4FFC"/>
    <w:rsid w:val="554F4585"/>
    <w:rsid w:val="55644447"/>
    <w:rsid w:val="5587107B"/>
    <w:rsid w:val="5588094F"/>
    <w:rsid w:val="559230A5"/>
    <w:rsid w:val="55AA6B17"/>
    <w:rsid w:val="55AA7162"/>
    <w:rsid w:val="55C027DF"/>
    <w:rsid w:val="55CF47D0"/>
    <w:rsid w:val="55D57AC8"/>
    <w:rsid w:val="55DB54FF"/>
    <w:rsid w:val="55FF50B5"/>
    <w:rsid w:val="561B7A15"/>
    <w:rsid w:val="563C1E65"/>
    <w:rsid w:val="56462CE4"/>
    <w:rsid w:val="565F7902"/>
    <w:rsid w:val="566D6A2E"/>
    <w:rsid w:val="569E667C"/>
    <w:rsid w:val="569F13A6"/>
    <w:rsid w:val="56CD0D0F"/>
    <w:rsid w:val="56CF60B3"/>
    <w:rsid w:val="56D976B4"/>
    <w:rsid w:val="56E02754"/>
    <w:rsid w:val="56F53441"/>
    <w:rsid w:val="56FE78F9"/>
    <w:rsid w:val="570A2391"/>
    <w:rsid w:val="571E6A72"/>
    <w:rsid w:val="573C40E7"/>
    <w:rsid w:val="573E6CAC"/>
    <w:rsid w:val="574134AB"/>
    <w:rsid w:val="57432B3B"/>
    <w:rsid w:val="575A4C5B"/>
    <w:rsid w:val="575F0B95"/>
    <w:rsid w:val="57713D91"/>
    <w:rsid w:val="57776ECD"/>
    <w:rsid w:val="57A129FF"/>
    <w:rsid w:val="57A41C8A"/>
    <w:rsid w:val="57A71560"/>
    <w:rsid w:val="57B36263"/>
    <w:rsid w:val="57B63E99"/>
    <w:rsid w:val="57B867C3"/>
    <w:rsid w:val="57F81DBC"/>
    <w:rsid w:val="58136BF6"/>
    <w:rsid w:val="58242BB1"/>
    <w:rsid w:val="582E3A30"/>
    <w:rsid w:val="583152CE"/>
    <w:rsid w:val="58501BF8"/>
    <w:rsid w:val="58544F61"/>
    <w:rsid w:val="587B103B"/>
    <w:rsid w:val="588A2CA8"/>
    <w:rsid w:val="58B8087E"/>
    <w:rsid w:val="58B8779D"/>
    <w:rsid w:val="58D02D39"/>
    <w:rsid w:val="58D86225"/>
    <w:rsid w:val="58DD0FB2"/>
    <w:rsid w:val="58F22CAF"/>
    <w:rsid w:val="58F509F1"/>
    <w:rsid w:val="58F93587"/>
    <w:rsid w:val="59080725"/>
    <w:rsid w:val="591071A1"/>
    <w:rsid w:val="5939461F"/>
    <w:rsid w:val="59594ADC"/>
    <w:rsid w:val="59701E26"/>
    <w:rsid w:val="59D40607"/>
    <w:rsid w:val="59E32658"/>
    <w:rsid w:val="59E55791"/>
    <w:rsid w:val="5A025174"/>
    <w:rsid w:val="5A04660A"/>
    <w:rsid w:val="5A1F51DD"/>
    <w:rsid w:val="5A344EA3"/>
    <w:rsid w:val="5A7476F4"/>
    <w:rsid w:val="5A8C626D"/>
    <w:rsid w:val="5A9A1055"/>
    <w:rsid w:val="5AAB33C8"/>
    <w:rsid w:val="5AB1307D"/>
    <w:rsid w:val="5ABD553F"/>
    <w:rsid w:val="5ADC59C5"/>
    <w:rsid w:val="5AE8436A"/>
    <w:rsid w:val="5AED5634"/>
    <w:rsid w:val="5AF01470"/>
    <w:rsid w:val="5AF30F60"/>
    <w:rsid w:val="5AF679F7"/>
    <w:rsid w:val="5AF820D3"/>
    <w:rsid w:val="5B1F1D55"/>
    <w:rsid w:val="5B2D4472"/>
    <w:rsid w:val="5B3D7191"/>
    <w:rsid w:val="5B4D2DC3"/>
    <w:rsid w:val="5B557CC7"/>
    <w:rsid w:val="5B874E06"/>
    <w:rsid w:val="5B8A5421"/>
    <w:rsid w:val="5B8E6917"/>
    <w:rsid w:val="5BB57D8D"/>
    <w:rsid w:val="5BD4669C"/>
    <w:rsid w:val="5BED0E6B"/>
    <w:rsid w:val="5C101FC6"/>
    <w:rsid w:val="5C112906"/>
    <w:rsid w:val="5C140702"/>
    <w:rsid w:val="5C1B076F"/>
    <w:rsid w:val="5C1E200D"/>
    <w:rsid w:val="5C4B1054"/>
    <w:rsid w:val="5C5305D9"/>
    <w:rsid w:val="5C5872CD"/>
    <w:rsid w:val="5C593045"/>
    <w:rsid w:val="5C5D2B35"/>
    <w:rsid w:val="5C735109"/>
    <w:rsid w:val="5C7B745F"/>
    <w:rsid w:val="5C855D83"/>
    <w:rsid w:val="5C920DA3"/>
    <w:rsid w:val="5CA307D4"/>
    <w:rsid w:val="5CDF354A"/>
    <w:rsid w:val="5CFC40FC"/>
    <w:rsid w:val="5D3970FE"/>
    <w:rsid w:val="5D445AA3"/>
    <w:rsid w:val="5D533288"/>
    <w:rsid w:val="5D577BA5"/>
    <w:rsid w:val="5D6B74D4"/>
    <w:rsid w:val="5DA954A1"/>
    <w:rsid w:val="5DC32C8D"/>
    <w:rsid w:val="5DC759B6"/>
    <w:rsid w:val="5DDF5E8A"/>
    <w:rsid w:val="5E061A7C"/>
    <w:rsid w:val="5E2F29A1"/>
    <w:rsid w:val="5E470487"/>
    <w:rsid w:val="5E481AB7"/>
    <w:rsid w:val="5E4F0D3B"/>
    <w:rsid w:val="5E532442"/>
    <w:rsid w:val="5E622BAC"/>
    <w:rsid w:val="5E6A153A"/>
    <w:rsid w:val="5ED75095"/>
    <w:rsid w:val="5EE44E48"/>
    <w:rsid w:val="5EEA1B36"/>
    <w:rsid w:val="5EF86B45"/>
    <w:rsid w:val="5F1E680C"/>
    <w:rsid w:val="5F255981"/>
    <w:rsid w:val="5F2B6F1B"/>
    <w:rsid w:val="5F3F6522"/>
    <w:rsid w:val="5F64242D"/>
    <w:rsid w:val="5F645F89"/>
    <w:rsid w:val="5F753C3E"/>
    <w:rsid w:val="5F8403D9"/>
    <w:rsid w:val="5F881C77"/>
    <w:rsid w:val="5F8F74AA"/>
    <w:rsid w:val="5F924B57"/>
    <w:rsid w:val="5F9C1BC7"/>
    <w:rsid w:val="5FAC2DA0"/>
    <w:rsid w:val="5FC609F2"/>
    <w:rsid w:val="5FDF3861"/>
    <w:rsid w:val="5FE13A7D"/>
    <w:rsid w:val="5FF13CC0"/>
    <w:rsid w:val="6000183D"/>
    <w:rsid w:val="60055DA3"/>
    <w:rsid w:val="604009BA"/>
    <w:rsid w:val="60687CFB"/>
    <w:rsid w:val="606F5B12"/>
    <w:rsid w:val="60A725D1"/>
    <w:rsid w:val="60AC58CB"/>
    <w:rsid w:val="60D07D7A"/>
    <w:rsid w:val="60E27AAD"/>
    <w:rsid w:val="611063C8"/>
    <w:rsid w:val="6114208C"/>
    <w:rsid w:val="614D0390"/>
    <w:rsid w:val="6155027F"/>
    <w:rsid w:val="61686204"/>
    <w:rsid w:val="616950D0"/>
    <w:rsid w:val="617213B6"/>
    <w:rsid w:val="61813275"/>
    <w:rsid w:val="61A34B19"/>
    <w:rsid w:val="61B56F70"/>
    <w:rsid w:val="61D218D0"/>
    <w:rsid w:val="61F873D8"/>
    <w:rsid w:val="61FC06FB"/>
    <w:rsid w:val="62074A10"/>
    <w:rsid w:val="62092E18"/>
    <w:rsid w:val="62105334"/>
    <w:rsid w:val="622F73A6"/>
    <w:rsid w:val="623065F6"/>
    <w:rsid w:val="62326E54"/>
    <w:rsid w:val="623E1776"/>
    <w:rsid w:val="623F6839"/>
    <w:rsid w:val="6247023F"/>
    <w:rsid w:val="625642AF"/>
    <w:rsid w:val="629848C7"/>
    <w:rsid w:val="62A56FE4"/>
    <w:rsid w:val="62A828CD"/>
    <w:rsid w:val="62CC631F"/>
    <w:rsid w:val="62CF6EBE"/>
    <w:rsid w:val="62D443A2"/>
    <w:rsid w:val="63220635"/>
    <w:rsid w:val="635602DE"/>
    <w:rsid w:val="63576530"/>
    <w:rsid w:val="635822A8"/>
    <w:rsid w:val="6361115D"/>
    <w:rsid w:val="63796526"/>
    <w:rsid w:val="639C2195"/>
    <w:rsid w:val="63B868A3"/>
    <w:rsid w:val="63D74F7B"/>
    <w:rsid w:val="63E37DC4"/>
    <w:rsid w:val="64155AA4"/>
    <w:rsid w:val="642B7590"/>
    <w:rsid w:val="645111D2"/>
    <w:rsid w:val="645273BE"/>
    <w:rsid w:val="646539AE"/>
    <w:rsid w:val="64656A2B"/>
    <w:rsid w:val="647F035E"/>
    <w:rsid w:val="648C4EA5"/>
    <w:rsid w:val="64B90B25"/>
    <w:rsid w:val="64C51278"/>
    <w:rsid w:val="64D21BE7"/>
    <w:rsid w:val="64EB0200"/>
    <w:rsid w:val="64F90B96"/>
    <w:rsid w:val="650F6345"/>
    <w:rsid w:val="65230D92"/>
    <w:rsid w:val="65340DFB"/>
    <w:rsid w:val="653528A1"/>
    <w:rsid w:val="654B1651"/>
    <w:rsid w:val="654C423C"/>
    <w:rsid w:val="65522FC6"/>
    <w:rsid w:val="657C227E"/>
    <w:rsid w:val="65820695"/>
    <w:rsid w:val="65942F18"/>
    <w:rsid w:val="659A2704"/>
    <w:rsid w:val="659F70A3"/>
    <w:rsid w:val="659F7D1B"/>
    <w:rsid w:val="65C47781"/>
    <w:rsid w:val="65CB2057"/>
    <w:rsid w:val="65EB2F60"/>
    <w:rsid w:val="65FC40C7"/>
    <w:rsid w:val="65FE0EE5"/>
    <w:rsid w:val="663331F8"/>
    <w:rsid w:val="664166AE"/>
    <w:rsid w:val="66430FEE"/>
    <w:rsid w:val="665023CB"/>
    <w:rsid w:val="66544D82"/>
    <w:rsid w:val="66636F9A"/>
    <w:rsid w:val="667967BE"/>
    <w:rsid w:val="667A42E4"/>
    <w:rsid w:val="669D3C0F"/>
    <w:rsid w:val="66A251DE"/>
    <w:rsid w:val="66AB22FE"/>
    <w:rsid w:val="66AC6B93"/>
    <w:rsid w:val="66B141AA"/>
    <w:rsid w:val="66C60E53"/>
    <w:rsid w:val="66DC18E2"/>
    <w:rsid w:val="66DE63D7"/>
    <w:rsid w:val="672A7AB8"/>
    <w:rsid w:val="675C79A5"/>
    <w:rsid w:val="67CFA3D9"/>
    <w:rsid w:val="67D7E0EA"/>
    <w:rsid w:val="67EC539B"/>
    <w:rsid w:val="67F7142A"/>
    <w:rsid w:val="6801535B"/>
    <w:rsid w:val="68232E85"/>
    <w:rsid w:val="682D1D8F"/>
    <w:rsid w:val="68306EC7"/>
    <w:rsid w:val="684150B9"/>
    <w:rsid w:val="68442DFB"/>
    <w:rsid w:val="68617509"/>
    <w:rsid w:val="687234C5"/>
    <w:rsid w:val="68A044D6"/>
    <w:rsid w:val="68D06D49"/>
    <w:rsid w:val="68D50FDC"/>
    <w:rsid w:val="68D51CA5"/>
    <w:rsid w:val="68E94EA8"/>
    <w:rsid w:val="68EA5751"/>
    <w:rsid w:val="68F24605"/>
    <w:rsid w:val="68F71C1C"/>
    <w:rsid w:val="69006D22"/>
    <w:rsid w:val="6919455A"/>
    <w:rsid w:val="6931512E"/>
    <w:rsid w:val="698704B9"/>
    <w:rsid w:val="69967356"/>
    <w:rsid w:val="69981531"/>
    <w:rsid w:val="699F478D"/>
    <w:rsid w:val="69AB3821"/>
    <w:rsid w:val="69DA57C5"/>
    <w:rsid w:val="69EE1636"/>
    <w:rsid w:val="6A01195A"/>
    <w:rsid w:val="6A0171F6"/>
    <w:rsid w:val="6A077302"/>
    <w:rsid w:val="6A1D4F98"/>
    <w:rsid w:val="6A64787C"/>
    <w:rsid w:val="6A794FDE"/>
    <w:rsid w:val="6A8F61F9"/>
    <w:rsid w:val="6A941E18"/>
    <w:rsid w:val="6A9A6C63"/>
    <w:rsid w:val="6A9B76D4"/>
    <w:rsid w:val="6AC53F6D"/>
    <w:rsid w:val="6ADC6C73"/>
    <w:rsid w:val="6AEC1A4F"/>
    <w:rsid w:val="6B054AC4"/>
    <w:rsid w:val="6B2036AC"/>
    <w:rsid w:val="6B231FF7"/>
    <w:rsid w:val="6B2B3DFF"/>
    <w:rsid w:val="6B423D42"/>
    <w:rsid w:val="6B7632CC"/>
    <w:rsid w:val="6B841E8D"/>
    <w:rsid w:val="6B8710BC"/>
    <w:rsid w:val="6BA1602F"/>
    <w:rsid w:val="6BC04E8F"/>
    <w:rsid w:val="6BCE4EB6"/>
    <w:rsid w:val="6BE97F42"/>
    <w:rsid w:val="6BEC45A2"/>
    <w:rsid w:val="6BEF307E"/>
    <w:rsid w:val="6C007039"/>
    <w:rsid w:val="6C1B3E73"/>
    <w:rsid w:val="6C1E2A54"/>
    <w:rsid w:val="6C3D5DF4"/>
    <w:rsid w:val="6C3F4006"/>
    <w:rsid w:val="6C532EC3"/>
    <w:rsid w:val="6C5C23DC"/>
    <w:rsid w:val="6C933558"/>
    <w:rsid w:val="6C9C1458"/>
    <w:rsid w:val="6CC4275D"/>
    <w:rsid w:val="6CF46B9E"/>
    <w:rsid w:val="6D002F3C"/>
    <w:rsid w:val="6D0D7DA4"/>
    <w:rsid w:val="6D2531FB"/>
    <w:rsid w:val="6D282CEC"/>
    <w:rsid w:val="6D355976"/>
    <w:rsid w:val="6D586BC9"/>
    <w:rsid w:val="6D604233"/>
    <w:rsid w:val="6D6A40BE"/>
    <w:rsid w:val="6D6D6025"/>
    <w:rsid w:val="6D82064E"/>
    <w:rsid w:val="6D8A12B0"/>
    <w:rsid w:val="6D9E2FAE"/>
    <w:rsid w:val="6DA2484C"/>
    <w:rsid w:val="6DB86AA0"/>
    <w:rsid w:val="6DD15131"/>
    <w:rsid w:val="6DF02FDE"/>
    <w:rsid w:val="6E241705"/>
    <w:rsid w:val="6E2C22B2"/>
    <w:rsid w:val="6E331948"/>
    <w:rsid w:val="6E373490"/>
    <w:rsid w:val="6E407957"/>
    <w:rsid w:val="6E7345A1"/>
    <w:rsid w:val="6E740A85"/>
    <w:rsid w:val="6EAC061C"/>
    <w:rsid w:val="6EB13EC8"/>
    <w:rsid w:val="6EB23BCF"/>
    <w:rsid w:val="6EB8009F"/>
    <w:rsid w:val="6ED24CBD"/>
    <w:rsid w:val="6ED924EF"/>
    <w:rsid w:val="6F06705D"/>
    <w:rsid w:val="6F0A44BC"/>
    <w:rsid w:val="6F211279"/>
    <w:rsid w:val="6F573414"/>
    <w:rsid w:val="6F7E3097"/>
    <w:rsid w:val="6F822D6C"/>
    <w:rsid w:val="6F95223B"/>
    <w:rsid w:val="6F99373A"/>
    <w:rsid w:val="6FA26D85"/>
    <w:rsid w:val="6FAA0A86"/>
    <w:rsid w:val="6FD11419"/>
    <w:rsid w:val="6FD76303"/>
    <w:rsid w:val="6FFB6495"/>
    <w:rsid w:val="700417EE"/>
    <w:rsid w:val="700C3276"/>
    <w:rsid w:val="70221C74"/>
    <w:rsid w:val="703A3E53"/>
    <w:rsid w:val="703D085C"/>
    <w:rsid w:val="704E2A69"/>
    <w:rsid w:val="70542567"/>
    <w:rsid w:val="70710506"/>
    <w:rsid w:val="7072034F"/>
    <w:rsid w:val="707278BB"/>
    <w:rsid w:val="707324D0"/>
    <w:rsid w:val="70C1323B"/>
    <w:rsid w:val="70E37655"/>
    <w:rsid w:val="70F96E79"/>
    <w:rsid w:val="70FA499F"/>
    <w:rsid w:val="70FC1A61"/>
    <w:rsid w:val="70FC29E2"/>
    <w:rsid w:val="710D46D2"/>
    <w:rsid w:val="71234121"/>
    <w:rsid w:val="71401EE5"/>
    <w:rsid w:val="715D3148"/>
    <w:rsid w:val="718F502D"/>
    <w:rsid w:val="7193463C"/>
    <w:rsid w:val="71A768D5"/>
    <w:rsid w:val="71C11019"/>
    <w:rsid w:val="71C12DE7"/>
    <w:rsid w:val="71C34D91"/>
    <w:rsid w:val="71D62D16"/>
    <w:rsid w:val="71E573FD"/>
    <w:rsid w:val="720F1A1F"/>
    <w:rsid w:val="72145678"/>
    <w:rsid w:val="7227199A"/>
    <w:rsid w:val="7231619E"/>
    <w:rsid w:val="72507E40"/>
    <w:rsid w:val="7258197D"/>
    <w:rsid w:val="727662A7"/>
    <w:rsid w:val="728F1117"/>
    <w:rsid w:val="72A05D82"/>
    <w:rsid w:val="72AE5A41"/>
    <w:rsid w:val="72CE4542"/>
    <w:rsid w:val="72CE7AF4"/>
    <w:rsid w:val="72DD4071"/>
    <w:rsid w:val="72E96A79"/>
    <w:rsid w:val="72EE3A30"/>
    <w:rsid w:val="72F84F0E"/>
    <w:rsid w:val="73035F77"/>
    <w:rsid w:val="73155AC0"/>
    <w:rsid w:val="73243F55"/>
    <w:rsid w:val="73410663"/>
    <w:rsid w:val="73520AC2"/>
    <w:rsid w:val="73612AB3"/>
    <w:rsid w:val="7394580E"/>
    <w:rsid w:val="73AC64BF"/>
    <w:rsid w:val="73CA7AAB"/>
    <w:rsid w:val="73D6524F"/>
    <w:rsid w:val="73E9412A"/>
    <w:rsid w:val="73EF00BF"/>
    <w:rsid w:val="741713C4"/>
    <w:rsid w:val="743326A2"/>
    <w:rsid w:val="74556D96"/>
    <w:rsid w:val="746A7CA4"/>
    <w:rsid w:val="747F58E7"/>
    <w:rsid w:val="7487479C"/>
    <w:rsid w:val="7499627D"/>
    <w:rsid w:val="74A810B1"/>
    <w:rsid w:val="74B11817"/>
    <w:rsid w:val="74B520A4"/>
    <w:rsid w:val="74BA5BB7"/>
    <w:rsid w:val="74CB0B2C"/>
    <w:rsid w:val="74DD05D7"/>
    <w:rsid w:val="75181898"/>
    <w:rsid w:val="75187ED5"/>
    <w:rsid w:val="751A7979"/>
    <w:rsid w:val="75226272"/>
    <w:rsid w:val="75261019"/>
    <w:rsid w:val="755D54FC"/>
    <w:rsid w:val="757D0F1B"/>
    <w:rsid w:val="759058D2"/>
    <w:rsid w:val="759B6440"/>
    <w:rsid w:val="75AE7D7D"/>
    <w:rsid w:val="75C37A55"/>
    <w:rsid w:val="75C5557C"/>
    <w:rsid w:val="75DE03EB"/>
    <w:rsid w:val="75E35A02"/>
    <w:rsid w:val="75F86E00"/>
    <w:rsid w:val="760A5444"/>
    <w:rsid w:val="76116A13"/>
    <w:rsid w:val="761A1135"/>
    <w:rsid w:val="763D7E35"/>
    <w:rsid w:val="76522B87"/>
    <w:rsid w:val="766F54E7"/>
    <w:rsid w:val="76A72ED3"/>
    <w:rsid w:val="76CC08FB"/>
    <w:rsid w:val="76CD55E2"/>
    <w:rsid w:val="76E539FB"/>
    <w:rsid w:val="76F459ED"/>
    <w:rsid w:val="770420D4"/>
    <w:rsid w:val="77080613"/>
    <w:rsid w:val="77125072"/>
    <w:rsid w:val="77176C25"/>
    <w:rsid w:val="7718792D"/>
    <w:rsid w:val="772340B3"/>
    <w:rsid w:val="7746008E"/>
    <w:rsid w:val="77512E3F"/>
    <w:rsid w:val="775600AD"/>
    <w:rsid w:val="777032C5"/>
    <w:rsid w:val="777E528B"/>
    <w:rsid w:val="77C43611"/>
    <w:rsid w:val="77DD0636"/>
    <w:rsid w:val="77EE068E"/>
    <w:rsid w:val="77F263D0"/>
    <w:rsid w:val="77FA34D6"/>
    <w:rsid w:val="78075F99"/>
    <w:rsid w:val="780A196C"/>
    <w:rsid w:val="780E2ADE"/>
    <w:rsid w:val="78123D39"/>
    <w:rsid w:val="781B2246"/>
    <w:rsid w:val="784A1D68"/>
    <w:rsid w:val="786848E4"/>
    <w:rsid w:val="786E67AC"/>
    <w:rsid w:val="78700B0A"/>
    <w:rsid w:val="78762B5D"/>
    <w:rsid w:val="78970D25"/>
    <w:rsid w:val="789E18A0"/>
    <w:rsid w:val="78B57D49"/>
    <w:rsid w:val="78B611AB"/>
    <w:rsid w:val="78EA52F9"/>
    <w:rsid w:val="78F855D3"/>
    <w:rsid w:val="78FD327E"/>
    <w:rsid w:val="79021C2A"/>
    <w:rsid w:val="79703A50"/>
    <w:rsid w:val="797C0647"/>
    <w:rsid w:val="797C4A04"/>
    <w:rsid w:val="79813945"/>
    <w:rsid w:val="798E5391"/>
    <w:rsid w:val="798F6A5F"/>
    <w:rsid w:val="79A436FA"/>
    <w:rsid w:val="79CE0777"/>
    <w:rsid w:val="79D061A4"/>
    <w:rsid w:val="79EC7360"/>
    <w:rsid w:val="79ED32F3"/>
    <w:rsid w:val="79EE0700"/>
    <w:rsid w:val="7A06775E"/>
    <w:rsid w:val="7A1D1CA5"/>
    <w:rsid w:val="7A77744A"/>
    <w:rsid w:val="7A7C01D3"/>
    <w:rsid w:val="7A810C91"/>
    <w:rsid w:val="7A9674E6"/>
    <w:rsid w:val="7AA634A2"/>
    <w:rsid w:val="7AB10ECB"/>
    <w:rsid w:val="7AB61937"/>
    <w:rsid w:val="7AD24297"/>
    <w:rsid w:val="7B42766E"/>
    <w:rsid w:val="7B542AC9"/>
    <w:rsid w:val="7B7A0FC8"/>
    <w:rsid w:val="7B80043C"/>
    <w:rsid w:val="7BB816DF"/>
    <w:rsid w:val="7BC311C4"/>
    <w:rsid w:val="7BC31D0C"/>
    <w:rsid w:val="7BD45209"/>
    <w:rsid w:val="7BD76009"/>
    <w:rsid w:val="7BDF6C6B"/>
    <w:rsid w:val="7BE81FC4"/>
    <w:rsid w:val="7C0B7D3A"/>
    <w:rsid w:val="7C1D7794"/>
    <w:rsid w:val="7C510CD6"/>
    <w:rsid w:val="7C552D6A"/>
    <w:rsid w:val="7CC3658D"/>
    <w:rsid w:val="7CC7607D"/>
    <w:rsid w:val="7D0F532E"/>
    <w:rsid w:val="7D5176F5"/>
    <w:rsid w:val="7D621902"/>
    <w:rsid w:val="7D6A3FD0"/>
    <w:rsid w:val="7D7938EB"/>
    <w:rsid w:val="7D7F0706"/>
    <w:rsid w:val="7D817526"/>
    <w:rsid w:val="7D8201F6"/>
    <w:rsid w:val="7DA91880"/>
    <w:rsid w:val="7DAB14FB"/>
    <w:rsid w:val="7DD65E4C"/>
    <w:rsid w:val="7DE44A0D"/>
    <w:rsid w:val="7DF10ED8"/>
    <w:rsid w:val="7DFF26CE"/>
    <w:rsid w:val="7E02134B"/>
    <w:rsid w:val="7E176B90"/>
    <w:rsid w:val="7E2A7D38"/>
    <w:rsid w:val="7E3059FB"/>
    <w:rsid w:val="7E325778"/>
    <w:rsid w:val="7E7A0ECD"/>
    <w:rsid w:val="7E8A5D41"/>
    <w:rsid w:val="7E8B30DA"/>
    <w:rsid w:val="7E8C0464"/>
    <w:rsid w:val="7E8E23EC"/>
    <w:rsid w:val="7EA0257D"/>
    <w:rsid w:val="7EB50157"/>
    <w:rsid w:val="7ECB34D7"/>
    <w:rsid w:val="7F032C71"/>
    <w:rsid w:val="7F1107DB"/>
    <w:rsid w:val="7F347E4C"/>
    <w:rsid w:val="7F39685D"/>
    <w:rsid w:val="7F4812A7"/>
    <w:rsid w:val="7F9D0300"/>
    <w:rsid w:val="7FAC0256"/>
    <w:rsid w:val="7FB04A31"/>
    <w:rsid w:val="7FB34697"/>
    <w:rsid w:val="7FB71F64"/>
    <w:rsid w:val="7FC104D3"/>
    <w:rsid w:val="7FC22B2C"/>
    <w:rsid w:val="7FC835A5"/>
    <w:rsid w:val="DF65657E"/>
    <w:rsid w:val="EFFBEB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40"/>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4">
    <w:name w:val="heading 2"/>
    <w:basedOn w:val="1"/>
    <w:next w:val="1"/>
    <w:link w:val="39"/>
    <w:unhideWhenUsed/>
    <w:qFormat/>
    <w:uiPriority w:val="0"/>
    <w:pPr>
      <w:keepNext/>
      <w:keepLines/>
      <w:numPr>
        <w:ilvl w:val="1"/>
        <w:numId w:val="1"/>
      </w:numPr>
      <w:spacing w:line="560" w:lineRule="exact"/>
      <w:jc w:val="left"/>
      <w:outlineLvl w:val="1"/>
    </w:pPr>
    <w:rPr>
      <w:rFonts w:eastAsia="方正小标宋_GBK" w:asciiTheme="majorHAnsi" w:hAnsiTheme="majorHAnsi" w:cstheme="majorBidi"/>
      <w:bCs/>
      <w:sz w:val="32"/>
      <w:szCs w:val="32"/>
    </w:rPr>
  </w:style>
  <w:style w:type="paragraph" w:styleId="5">
    <w:name w:val="heading 3"/>
    <w:basedOn w:val="1"/>
    <w:next w:val="1"/>
    <w:link w:val="41"/>
    <w:unhideWhenUsed/>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6">
    <w:name w:val="heading 4"/>
    <w:basedOn w:val="1"/>
    <w:next w:val="1"/>
    <w:link w:val="42"/>
    <w:unhideWhenUsed/>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7">
    <w:name w:val="heading 5"/>
    <w:basedOn w:val="1"/>
    <w:next w:val="1"/>
    <w:unhideWhenUsed/>
    <w:qFormat/>
    <w:uiPriority w:val="0"/>
    <w:pPr>
      <w:keepNext/>
      <w:keepLines/>
      <w:numPr>
        <w:ilvl w:val="4"/>
        <w:numId w:val="1"/>
      </w:numPr>
      <w:spacing w:line="372" w:lineRule="auto"/>
      <w:outlineLvl w:val="4"/>
    </w:pPr>
    <w:rPr>
      <w:b/>
    </w:rPr>
  </w:style>
  <w:style w:type="paragraph" w:styleId="8">
    <w:name w:val="heading 6"/>
    <w:basedOn w:val="1"/>
    <w:next w:val="1"/>
    <w:unhideWhenUsed/>
    <w:qFormat/>
    <w:uiPriority w:val="0"/>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unhideWhenUsed/>
    <w:qFormat/>
    <w:uiPriority w:val="0"/>
    <w:pPr>
      <w:keepNext/>
      <w:keepLines/>
      <w:numPr>
        <w:ilvl w:val="6"/>
        <w:numId w:val="1"/>
      </w:numPr>
      <w:spacing w:line="317" w:lineRule="auto"/>
      <w:outlineLvl w:val="6"/>
    </w:pPr>
    <w:rPr>
      <w:b/>
      <w:sz w:val="24"/>
    </w:rPr>
  </w:style>
  <w:style w:type="paragraph" w:styleId="10">
    <w:name w:val="heading 8"/>
    <w:basedOn w:val="1"/>
    <w:next w:val="1"/>
    <w:unhideWhenUsed/>
    <w:qFormat/>
    <w:uiPriority w:val="0"/>
    <w:pPr>
      <w:keepNext/>
      <w:keepLines/>
      <w:numPr>
        <w:ilvl w:val="7"/>
        <w:numId w:val="1"/>
      </w:numPr>
      <w:spacing w:line="317" w:lineRule="auto"/>
      <w:outlineLvl w:val="7"/>
    </w:pPr>
    <w:rPr>
      <w:rFonts w:ascii="Arial" w:hAnsi="Arial" w:eastAsia="黑体"/>
      <w:sz w:val="24"/>
    </w:rPr>
  </w:style>
  <w:style w:type="paragraph" w:styleId="11">
    <w:name w:val="heading 9"/>
    <w:basedOn w:val="1"/>
    <w:next w:val="1"/>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微软雅黑" w:cs="Times New Roman"/>
      <w:color w:val="000000"/>
      <w:sz w:val="24"/>
      <w:lang w:val="en-US" w:eastAsia="zh-CN" w:bidi="ar-SA"/>
    </w:rPr>
  </w:style>
  <w:style w:type="paragraph" w:styleId="12">
    <w:name w:val="Normal Indent"/>
    <w:basedOn w:val="1"/>
    <w:qFormat/>
    <w:uiPriority w:val="0"/>
    <w:pPr>
      <w:adjustRightInd w:val="0"/>
      <w:snapToGrid w:val="0"/>
      <w:spacing w:line="360" w:lineRule="auto"/>
      <w:ind w:firstLine="420"/>
    </w:pPr>
    <w:rPr>
      <w:rFonts w:ascii="Calibri" w:hAnsi="Calibri"/>
      <w:sz w:val="24"/>
    </w:rPr>
  </w:style>
  <w:style w:type="paragraph" w:styleId="13">
    <w:name w:val="annotation text"/>
    <w:basedOn w:val="1"/>
    <w:link w:val="52"/>
    <w:qFormat/>
    <w:uiPriority w:val="0"/>
    <w:pPr>
      <w:adjustRightInd w:val="0"/>
      <w:spacing w:line="360" w:lineRule="atLeast"/>
      <w:jc w:val="left"/>
      <w:textAlignment w:val="baseline"/>
    </w:pPr>
    <w:rPr>
      <w:kern w:val="0"/>
      <w:sz w:val="24"/>
    </w:rPr>
  </w:style>
  <w:style w:type="paragraph" w:styleId="14">
    <w:name w:val="Body Text"/>
    <w:basedOn w:val="1"/>
    <w:next w:val="1"/>
    <w:qFormat/>
    <w:uiPriority w:val="0"/>
    <w:rPr>
      <w:rFonts w:ascii="仿宋_GB2312" w:eastAsia="仿宋_GB2312"/>
      <w:sz w:val="32"/>
    </w:rPr>
  </w:style>
  <w:style w:type="paragraph" w:styleId="15">
    <w:name w:val="Body Text Indent"/>
    <w:basedOn w:val="1"/>
    <w:qFormat/>
    <w:uiPriority w:val="0"/>
    <w:pPr>
      <w:spacing w:line="700" w:lineRule="exact"/>
      <w:ind w:left="960"/>
    </w:pPr>
    <w:rPr>
      <w:sz w:val="44"/>
    </w:rPr>
  </w:style>
  <w:style w:type="paragraph" w:styleId="16">
    <w:name w:val="toc 3"/>
    <w:basedOn w:val="1"/>
    <w:next w:val="1"/>
    <w:qFormat/>
    <w:uiPriority w:val="0"/>
    <w:pPr>
      <w:ind w:left="840" w:leftChars="400"/>
    </w:pPr>
  </w:style>
  <w:style w:type="paragraph" w:styleId="17">
    <w:name w:val="Plain Text"/>
    <w:basedOn w:val="1"/>
    <w:qFormat/>
    <w:uiPriority w:val="0"/>
    <w:rPr>
      <w:rFonts w:ascii="宋体" w:hAnsi="Courier New"/>
      <w:sz w:val="21"/>
    </w:rPr>
  </w:style>
  <w:style w:type="paragraph" w:styleId="18">
    <w:name w:val="Date"/>
    <w:basedOn w:val="1"/>
    <w:next w:val="1"/>
    <w:qFormat/>
    <w:uiPriority w:val="0"/>
  </w:style>
  <w:style w:type="paragraph" w:styleId="19">
    <w:name w:val="Body Text Indent 2"/>
    <w:basedOn w:val="1"/>
    <w:qFormat/>
    <w:uiPriority w:val="0"/>
    <w:pPr>
      <w:snapToGrid w:val="0"/>
      <w:spacing w:line="560" w:lineRule="atLeast"/>
      <w:ind w:firstLine="540"/>
    </w:pPr>
  </w:style>
  <w:style w:type="paragraph" w:styleId="20">
    <w:name w:val="Balloon Text"/>
    <w:basedOn w:val="1"/>
    <w:link w:val="50"/>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180" w:lineRule="auto"/>
      <w:jc w:val="center"/>
    </w:pPr>
    <w:rPr>
      <w:sz w:val="30"/>
    </w:rPr>
  </w:style>
  <w:style w:type="paragraph" w:styleId="24">
    <w:name w:val="toc 2"/>
    <w:basedOn w:val="1"/>
    <w:next w:val="1"/>
    <w:qFormat/>
    <w:uiPriority w:val="39"/>
    <w:pPr>
      <w:ind w:left="420" w:leftChars="2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Normal (Web)"/>
    <w:basedOn w:val="1"/>
    <w:qFormat/>
    <w:uiPriority w:val="0"/>
    <w:pPr>
      <w:spacing w:beforeAutospacing="1" w:afterAutospacing="1"/>
      <w:jc w:val="left"/>
    </w:pPr>
    <w:rPr>
      <w:kern w:val="0"/>
      <w:sz w:val="24"/>
    </w:rPr>
  </w:style>
  <w:style w:type="paragraph" w:styleId="27">
    <w:name w:val="Body Text First Indent"/>
    <w:basedOn w:val="14"/>
    <w:next w:val="28"/>
    <w:qFormat/>
    <w:uiPriority w:val="0"/>
    <w:pPr>
      <w:spacing w:line="360" w:lineRule="auto"/>
      <w:ind w:firstLine="420"/>
    </w:pPr>
    <w:rPr>
      <w:rFonts w:ascii="宋体" w:hAnsi="宋体"/>
      <w:sz w:val="24"/>
    </w:rPr>
  </w:style>
  <w:style w:type="paragraph" w:styleId="28">
    <w:name w:val="Body Text First Indent 2"/>
    <w:basedOn w:val="15"/>
    <w:next w:val="1"/>
    <w:qFormat/>
    <w:uiPriority w:val="0"/>
    <w:pPr>
      <w:spacing w:after="120" w:line="240" w:lineRule="auto"/>
      <w:ind w:left="420" w:leftChars="200" w:firstLine="420" w:firstLineChars="200"/>
    </w:pPr>
  </w:style>
  <w:style w:type="character" w:styleId="31">
    <w:name w:val="page number"/>
    <w:qFormat/>
    <w:uiPriority w:val="0"/>
  </w:style>
  <w:style w:type="character" w:styleId="32">
    <w:name w:val="annotation reference"/>
    <w:basedOn w:val="30"/>
    <w:qFormat/>
    <w:uiPriority w:val="0"/>
    <w:rPr>
      <w:sz w:val="21"/>
      <w:szCs w:val="21"/>
    </w:rPr>
  </w:style>
  <w:style w:type="paragraph" w:customStyle="1" w:styleId="3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目录 11"/>
    <w:basedOn w:val="1"/>
    <w:next w:val="1"/>
    <w:qFormat/>
    <w:uiPriority w:val="0"/>
    <w:pPr>
      <w:spacing w:line="180" w:lineRule="auto"/>
      <w:jc w:val="center"/>
    </w:pPr>
    <w:rPr>
      <w:sz w:val="30"/>
    </w:rPr>
  </w:style>
  <w:style w:type="paragraph" w:customStyle="1" w:styleId="35">
    <w:name w:val="标题 31"/>
    <w:basedOn w:val="1"/>
    <w:next w:val="1"/>
    <w:qFormat/>
    <w:uiPriority w:val="0"/>
    <w:pPr>
      <w:keepNext/>
      <w:keepLines/>
      <w:spacing w:before="260" w:after="260" w:line="413" w:lineRule="auto"/>
      <w:outlineLvl w:val="2"/>
    </w:pPr>
    <w:rPr>
      <w:b/>
      <w:sz w:val="32"/>
    </w:rPr>
  </w:style>
  <w:style w:type="paragraph" w:styleId="36">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7">
    <w:name w:val="Char Char Char Char1"/>
    <w:basedOn w:val="1"/>
    <w:next w:val="1"/>
    <w:qFormat/>
    <w:uiPriority w:val="0"/>
    <w:pPr>
      <w:tabs>
        <w:tab w:val="left" w:pos="0"/>
      </w:tabs>
      <w:spacing w:after="160" w:line="240" w:lineRule="exact"/>
      <w:textAlignment w:val="baseline"/>
    </w:pPr>
    <w:rPr>
      <w:rFonts w:ascii="Arial" w:hAnsi="Arial" w:eastAsia="Times New Roman" w:cs="Verdana"/>
      <w:b/>
      <w:lang w:eastAsia="en-US"/>
    </w:rPr>
  </w:style>
  <w:style w:type="paragraph" w:customStyle="1" w:styleId="38">
    <w:name w:val="无间隔1"/>
    <w:qFormat/>
    <w:uiPriority w:val="1"/>
    <w:pPr>
      <w:jc w:val="both"/>
    </w:pPr>
    <w:rPr>
      <w:rFonts w:ascii="Calibri" w:hAnsi="Calibri" w:eastAsia="Times New Roman" w:cs="Times New Roman"/>
      <w:lang w:val="en-US" w:eastAsia="zh-CN" w:bidi="ar-SA"/>
    </w:rPr>
  </w:style>
  <w:style w:type="character" w:customStyle="1" w:styleId="39">
    <w:name w:val="标题 2 字符"/>
    <w:link w:val="4"/>
    <w:qFormat/>
    <w:locked/>
    <w:uiPriority w:val="0"/>
    <w:rPr>
      <w:rFonts w:eastAsia="方正小标宋_GBK" w:asciiTheme="majorHAnsi" w:hAnsiTheme="majorHAnsi" w:cstheme="majorBidi"/>
      <w:bCs/>
      <w:kern w:val="2"/>
      <w:sz w:val="32"/>
      <w:szCs w:val="32"/>
    </w:rPr>
  </w:style>
  <w:style w:type="character" w:customStyle="1" w:styleId="40">
    <w:name w:val="标题 1 字符"/>
    <w:basedOn w:val="30"/>
    <w:link w:val="3"/>
    <w:qFormat/>
    <w:uiPriority w:val="0"/>
    <w:rPr>
      <w:rFonts w:ascii="方正小标宋_GBK" w:hAnsi="方正小标宋_GBK" w:eastAsia="仿宋" w:cs="方正小标宋_GBK"/>
      <w:kern w:val="36"/>
      <w:sz w:val="36"/>
      <w:szCs w:val="32"/>
    </w:rPr>
  </w:style>
  <w:style w:type="character" w:customStyle="1" w:styleId="41">
    <w:name w:val="标题 3 字符"/>
    <w:link w:val="5"/>
    <w:qFormat/>
    <w:locked/>
    <w:uiPriority w:val="0"/>
    <w:rPr>
      <w:rFonts w:ascii="方正小标宋_GBK" w:hAnsi="方正小标宋_GBK" w:eastAsia="方正小标宋_GBK" w:cs="方正小标宋_GBK"/>
      <w:kern w:val="2"/>
      <w:sz w:val="32"/>
      <w:szCs w:val="32"/>
    </w:rPr>
  </w:style>
  <w:style w:type="character" w:customStyle="1" w:styleId="42">
    <w:name w:val="标题 4 字符"/>
    <w:link w:val="6"/>
    <w:qFormat/>
    <w:locked/>
    <w:uiPriority w:val="0"/>
    <w:rPr>
      <w:rFonts w:ascii="方正小标宋_GBK" w:hAnsi="方正小标宋_GBK" w:eastAsia="方正小标宋_GBK" w:cs="方正仿宋_GBK"/>
      <w:kern w:val="2"/>
      <w:sz w:val="32"/>
      <w:szCs w:val="28"/>
    </w:rPr>
  </w:style>
  <w:style w:type="paragraph" w:customStyle="1" w:styleId="43">
    <w:name w:val="图例"/>
    <w:basedOn w:val="1"/>
    <w:qFormat/>
    <w:uiPriority w:val="0"/>
    <w:pPr>
      <w:spacing w:line="360" w:lineRule="auto"/>
      <w:jc w:val="center"/>
    </w:pPr>
    <w:rPr>
      <w:rFonts w:eastAsia="仿宋_GB2312"/>
      <w:b/>
      <w:sz w:val="24"/>
    </w:rPr>
  </w:style>
  <w:style w:type="paragraph" w:customStyle="1" w:styleId="44">
    <w:name w:val="1"/>
    <w:basedOn w:val="1"/>
    <w:next w:val="17"/>
    <w:qFormat/>
    <w:uiPriority w:val="0"/>
    <w:rPr>
      <w:rFonts w:ascii="宋体" w:hAnsi="Courier New"/>
      <w:sz w:val="21"/>
    </w:rPr>
  </w:style>
  <w:style w:type="paragraph" w:customStyle="1" w:styleId="45">
    <w:name w:val="摘要"/>
    <w:basedOn w:val="1"/>
    <w:next w:val="4"/>
    <w:qFormat/>
    <w:uiPriority w:val="0"/>
    <w:pPr>
      <w:spacing w:line="360" w:lineRule="auto"/>
    </w:pPr>
    <w:rPr>
      <w:rFonts w:eastAsia="黑体"/>
      <w:sz w:val="20"/>
    </w:rPr>
  </w:style>
  <w:style w:type="paragraph" w:customStyle="1" w:styleId="4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7">
    <w:name w:val="正文1"/>
    <w:basedOn w:val="1"/>
    <w:next w:val="48"/>
    <w:qFormat/>
    <w:uiPriority w:val="0"/>
    <w:pPr>
      <w:spacing w:line="300" w:lineRule="auto"/>
      <w:ind w:firstLine="200" w:firstLineChars="200"/>
    </w:pPr>
    <w:rPr>
      <w:sz w:val="24"/>
    </w:rPr>
  </w:style>
  <w:style w:type="paragraph" w:customStyle="1" w:styleId="48">
    <w:name w:val="正文文本1"/>
    <w:basedOn w:val="47"/>
    <w:next w:val="49"/>
    <w:qFormat/>
    <w:uiPriority w:val="0"/>
    <w:rPr>
      <w:rFonts w:ascii="??_GB2312;??" w:hAnsi="??_GB2312;??" w:eastAsia="Times New Roman"/>
      <w:sz w:val="32"/>
    </w:rPr>
  </w:style>
  <w:style w:type="paragraph" w:customStyle="1" w:styleId="49">
    <w:name w:val="目录 53"/>
    <w:next w:val="1"/>
    <w:qFormat/>
    <w:uiPriority w:val="0"/>
    <w:pPr>
      <w:ind w:left="1275"/>
      <w:jc w:val="both"/>
    </w:pPr>
    <w:rPr>
      <w:rFonts w:ascii="Calibri" w:hAnsi="Calibri" w:eastAsia="宋体" w:cs="Calibri"/>
      <w:sz w:val="21"/>
      <w:lang w:val="en-US" w:eastAsia="zh-CN" w:bidi="ar-SA"/>
    </w:rPr>
  </w:style>
  <w:style w:type="character" w:customStyle="1" w:styleId="50">
    <w:name w:val="批注框文本 字符"/>
    <w:basedOn w:val="30"/>
    <w:link w:val="20"/>
    <w:qFormat/>
    <w:uiPriority w:val="0"/>
    <w:rPr>
      <w:kern w:val="2"/>
      <w:sz w:val="18"/>
      <w:szCs w:val="18"/>
    </w:rPr>
  </w:style>
  <w:style w:type="paragraph" w:styleId="51">
    <w:name w:val="List Paragraph"/>
    <w:basedOn w:val="1"/>
    <w:qFormat/>
    <w:uiPriority w:val="99"/>
    <w:pPr>
      <w:ind w:firstLine="420" w:firstLineChars="200"/>
    </w:pPr>
  </w:style>
  <w:style w:type="character" w:customStyle="1" w:styleId="52">
    <w:name w:val="批注文字 字符"/>
    <w:basedOn w:val="30"/>
    <w:link w:val="13"/>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41</Pages>
  <Words>18330</Words>
  <Characters>19341</Characters>
  <Lines>171</Lines>
  <Paragraphs>48</Paragraphs>
  <TotalTime>19</TotalTime>
  <ScaleCrop>false</ScaleCrop>
  <LinksUpToDate>false</LinksUpToDate>
  <CharactersWithSpaces>20800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2025-07-03T01:23:00Z</dcterms:created>
  <dc:creator>Lenovo</dc:creator>
  <cp:lastModifiedBy>何昌万</cp:lastModifiedBy>
  <cp:lastPrinted>2024-11-15T03:45:00Z</cp:lastPrinted>
  <dcterms:modified xsi:type="dcterms:W3CDTF">2025-07-03T08:50:09Z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4E809F821A6D449188388281EC8AAE43_13</vt:lpwstr>
  </property>
  <property fmtid="{D5CDD505-2E9C-101B-9397-08002B2CF9AE}" pid="4" name="KSOTemplateDocerSaveRecord">
    <vt:lpwstr>eyJoZGlkIjoiMjY3MTVjZGVkMzg2MzFjOWRlOTQ5MDQzZmY5MmQ0OTIifQ==</vt:lpwstr>
  </property>
</Properties>
</file>