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9063F">
      <w:pPr>
        <w:jc w:val="left"/>
        <w:rPr>
          <w:rFonts w:hint="eastAsia" w:ascii="宋体" w:hAnsi="宋体" w:eastAsia="宋体" w:cs="宋体"/>
          <w:color w:val="auto"/>
        </w:rPr>
      </w:pPr>
    </w:p>
    <w:p w14:paraId="59B7036B">
      <w:pPr>
        <w:spacing w:line="1600" w:lineRule="exact"/>
        <w:outlineLvl w:val="0"/>
        <w:rPr>
          <w:rFonts w:hint="eastAsia" w:ascii="宋体" w:hAnsi="宋体" w:eastAsia="宋体" w:cs="宋体"/>
          <w:color w:val="auto"/>
          <w:sz w:val="130"/>
          <w:szCs w:val="130"/>
        </w:rPr>
      </w:pPr>
    </w:p>
    <w:p w14:paraId="554EF782">
      <w:pPr>
        <w:spacing w:line="1600" w:lineRule="exact"/>
        <w:jc w:val="center"/>
        <w:outlineLvl w:val="0"/>
        <w:rPr>
          <w:rFonts w:hint="eastAsia" w:ascii="宋体" w:hAnsi="宋体" w:eastAsia="宋体" w:cs="宋体"/>
          <w:color w:val="auto"/>
          <w:sz w:val="130"/>
          <w:szCs w:val="130"/>
        </w:rPr>
      </w:pPr>
      <w:bookmarkStart w:id="0" w:name="_Toc29704"/>
      <w:r>
        <w:rPr>
          <w:rFonts w:hint="eastAsia" w:ascii="宋体" w:hAnsi="宋体" w:eastAsia="宋体" w:cs="宋体"/>
          <w:color w:val="auto"/>
          <w:sz w:val="130"/>
          <w:szCs w:val="130"/>
        </w:rPr>
        <w:t>竞争性磋商</w:t>
      </w:r>
    </w:p>
    <w:p w14:paraId="25B336E2">
      <w:pPr>
        <w:spacing w:line="1600" w:lineRule="exact"/>
        <w:jc w:val="center"/>
        <w:outlineLvl w:val="0"/>
        <w:rPr>
          <w:rFonts w:hint="eastAsia" w:ascii="宋体" w:hAnsi="宋体" w:eastAsia="宋体" w:cs="宋体"/>
          <w:color w:val="auto"/>
          <w:sz w:val="130"/>
          <w:szCs w:val="130"/>
        </w:rPr>
      </w:pPr>
      <w:r>
        <w:rPr>
          <w:rFonts w:hint="eastAsia" w:ascii="宋体" w:hAnsi="宋体" w:eastAsia="宋体" w:cs="宋体"/>
          <w:color w:val="auto"/>
          <w:sz w:val="130"/>
          <w:szCs w:val="130"/>
        </w:rPr>
        <w:t>文件</w:t>
      </w:r>
      <w:bookmarkEnd w:id="0"/>
    </w:p>
    <w:p w14:paraId="7B742FED">
      <w:pPr>
        <w:spacing w:line="700" w:lineRule="exact"/>
        <w:jc w:val="center"/>
        <w:rPr>
          <w:rFonts w:hint="eastAsia" w:ascii="宋体" w:hAnsi="宋体" w:eastAsia="宋体" w:cs="宋体"/>
          <w:color w:val="auto"/>
          <w:sz w:val="72"/>
          <w:szCs w:val="72"/>
        </w:rPr>
      </w:pPr>
    </w:p>
    <w:p w14:paraId="55678FD1">
      <w:pPr>
        <w:spacing w:line="700" w:lineRule="exact"/>
        <w:jc w:val="center"/>
        <w:rPr>
          <w:rFonts w:hint="eastAsia" w:ascii="宋体" w:hAnsi="宋体" w:eastAsia="宋体" w:cs="宋体"/>
          <w:color w:val="auto"/>
          <w:sz w:val="32"/>
        </w:rPr>
      </w:pPr>
    </w:p>
    <w:p w14:paraId="6397DBEB">
      <w:pPr>
        <w:spacing w:line="700" w:lineRule="exact"/>
        <w:jc w:val="both"/>
        <w:rPr>
          <w:rFonts w:hint="eastAsia" w:ascii="宋体" w:hAnsi="宋体" w:eastAsia="宋体" w:cs="宋体"/>
          <w:color w:val="auto"/>
          <w:sz w:val="32"/>
        </w:rPr>
      </w:pPr>
    </w:p>
    <w:p w14:paraId="476B6D04">
      <w:pPr>
        <w:spacing w:line="500" w:lineRule="exact"/>
        <w:ind w:firstLine="1440" w:firstLineChars="400"/>
        <w:outlineLvl w:val="0"/>
        <w:rPr>
          <w:rFonts w:hint="default" w:ascii="宋体" w:hAnsi="宋体" w:eastAsia="宋体" w:cs="宋体"/>
          <w:color w:val="auto"/>
          <w:sz w:val="36"/>
          <w:szCs w:val="36"/>
          <w:lang w:val="en-US" w:eastAsia="zh-CN"/>
        </w:rPr>
      </w:pPr>
      <w:bookmarkStart w:id="1" w:name="_Toc23617"/>
      <w:r>
        <w:rPr>
          <w:rFonts w:hint="eastAsia" w:ascii="宋体" w:hAnsi="宋体" w:eastAsia="宋体" w:cs="宋体"/>
          <w:color w:val="auto"/>
          <w:sz w:val="36"/>
          <w:szCs w:val="36"/>
        </w:rPr>
        <w:t xml:space="preserve">项 </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 xml:space="preserve"> 目 </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 xml:space="preserve"> 号：</w:t>
      </w:r>
      <w:bookmarkEnd w:id="1"/>
      <w:r>
        <w:rPr>
          <w:rFonts w:hint="eastAsia" w:ascii="宋体" w:hAnsi="宋体" w:eastAsia="宋体" w:cs="宋体"/>
          <w:color w:val="auto"/>
          <w:sz w:val="36"/>
          <w:szCs w:val="36"/>
        </w:rPr>
        <w:t>QC25B0020</w:t>
      </w:r>
    </w:p>
    <w:p w14:paraId="7328684D">
      <w:pPr>
        <w:spacing w:line="500" w:lineRule="exact"/>
        <w:ind w:left="3954" w:leftChars="512" w:hanging="2520" w:hangingChars="700"/>
        <w:outlineLvl w:val="0"/>
        <w:rPr>
          <w:rFonts w:hint="eastAsia" w:ascii="宋体" w:hAnsi="宋体" w:cs="宋体"/>
          <w:color w:val="auto"/>
          <w:sz w:val="36"/>
          <w:szCs w:val="36"/>
          <w:lang w:eastAsia="zh-CN"/>
        </w:rPr>
      </w:pPr>
      <w:bookmarkStart w:id="2" w:name="_Toc12603"/>
      <w:r>
        <w:rPr>
          <w:rFonts w:hint="eastAsia" w:ascii="宋体" w:hAnsi="宋体" w:eastAsia="宋体" w:cs="宋体"/>
          <w:color w:val="auto"/>
          <w:sz w:val="36"/>
          <w:szCs w:val="36"/>
        </w:rPr>
        <w:t>磋商项目名称：</w:t>
      </w:r>
      <w:bookmarkEnd w:id="2"/>
      <w:r>
        <w:rPr>
          <w:rFonts w:hint="eastAsia" w:ascii="宋体" w:hAnsi="宋体" w:cs="宋体"/>
          <w:color w:val="auto"/>
          <w:sz w:val="36"/>
          <w:szCs w:val="36"/>
          <w:lang w:eastAsia="zh-CN"/>
        </w:rPr>
        <w:t>火化车间尾气处理设备雨棚改造</w:t>
      </w:r>
    </w:p>
    <w:p w14:paraId="061C77A3">
      <w:pPr>
        <w:spacing w:line="500" w:lineRule="exact"/>
        <w:ind w:left="3942" w:leftChars="1408" w:firstLine="0" w:firstLineChars="0"/>
        <w:outlineLvl w:val="0"/>
        <w:rPr>
          <w:rFonts w:hint="eastAsia" w:ascii="宋体" w:hAnsi="宋体" w:eastAsia="宋体" w:cs="宋体"/>
          <w:color w:val="auto"/>
          <w:sz w:val="36"/>
          <w:szCs w:val="36"/>
          <w:lang w:eastAsia="zh-CN"/>
        </w:rPr>
      </w:pPr>
      <w:r>
        <w:rPr>
          <w:rFonts w:hint="eastAsia" w:ascii="宋体" w:hAnsi="宋体" w:cs="宋体"/>
          <w:color w:val="auto"/>
          <w:sz w:val="36"/>
          <w:szCs w:val="36"/>
          <w:lang w:eastAsia="zh-CN"/>
        </w:rPr>
        <w:t>维修</w:t>
      </w:r>
    </w:p>
    <w:p w14:paraId="7485E549">
      <w:pPr>
        <w:spacing w:line="700" w:lineRule="exact"/>
        <w:ind w:firstLine="1440" w:firstLineChars="400"/>
        <w:rPr>
          <w:rFonts w:hint="eastAsia" w:ascii="宋体" w:hAnsi="宋体" w:eastAsia="宋体" w:cs="宋体"/>
          <w:color w:val="auto"/>
          <w:sz w:val="36"/>
          <w:szCs w:val="36"/>
        </w:rPr>
      </w:pPr>
    </w:p>
    <w:p w14:paraId="4C69A0CF">
      <w:pPr>
        <w:spacing w:line="700" w:lineRule="exact"/>
        <w:rPr>
          <w:rFonts w:hint="eastAsia" w:ascii="宋体" w:hAnsi="宋体" w:eastAsia="宋体" w:cs="宋体"/>
          <w:b/>
          <w:color w:val="auto"/>
          <w:sz w:val="36"/>
          <w:szCs w:val="36"/>
        </w:rPr>
      </w:pPr>
    </w:p>
    <w:p w14:paraId="3AE3A8A0">
      <w:pPr>
        <w:pStyle w:val="24"/>
        <w:rPr>
          <w:rFonts w:hint="eastAsia" w:ascii="宋体" w:hAnsi="宋体" w:eastAsia="宋体" w:cs="宋体"/>
          <w:color w:val="auto"/>
        </w:rPr>
      </w:pPr>
    </w:p>
    <w:p w14:paraId="4280E421">
      <w:pPr>
        <w:rPr>
          <w:rFonts w:hint="eastAsia"/>
          <w:color w:val="auto"/>
        </w:rPr>
      </w:pPr>
    </w:p>
    <w:p w14:paraId="58BB1844">
      <w:pPr>
        <w:spacing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eastAsia="宋体" w:cs="宋体"/>
          <w:color w:val="auto"/>
          <w:sz w:val="36"/>
          <w:szCs w:val="36"/>
        </w:rPr>
        <w:t>采购人：</w:t>
      </w:r>
      <w:bookmarkEnd w:id="3"/>
      <w:bookmarkStart w:id="4" w:name="_Toc27204"/>
      <w:r>
        <w:rPr>
          <w:rFonts w:hint="eastAsia" w:ascii="宋体" w:hAnsi="宋体" w:eastAsia="宋体" w:cs="宋体"/>
          <w:color w:val="auto"/>
          <w:sz w:val="36"/>
          <w:szCs w:val="36"/>
          <w:lang w:eastAsia="zh-CN"/>
        </w:rPr>
        <w:t>重庆市石桥铺殡仪馆</w:t>
      </w:r>
    </w:p>
    <w:p w14:paraId="0067F028">
      <w:pPr>
        <w:spacing w:line="500" w:lineRule="exact"/>
        <w:ind w:firstLine="1440" w:firstLineChars="400"/>
        <w:outlineLvl w:val="0"/>
        <w:rPr>
          <w:rFonts w:hint="eastAsia" w:ascii="宋体" w:hAnsi="宋体" w:eastAsia="宋体" w:cs="宋体"/>
          <w:color w:val="auto"/>
          <w:sz w:val="36"/>
          <w:szCs w:val="36"/>
        </w:rPr>
      </w:pPr>
      <w:r>
        <w:rPr>
          <w:rFonts w:hint="eastAsia" w:ascii="宋体" w:hAnsi="宋体" w:eastAsia="宋体" w:cs="宋体"/>
          <w:color w:val="auto"/>
          <w:sz w:val="36"/>
          <w:szCs w:val="36"/>
        </w:rPr>
        <w:t>采购代理机构：重庆千策招标代理有限公司</w:t>
      </w:r>
      <w:bookmarkEnd w:id="4"/>
    </w:p>
    <w:p w14:paraId="7BEB2C2C">
      <w:pPr>
        <w:spacing w:line="500" w:lineRule="exact"/>
        <w:jc w:val="center"/>
        <w:outlineLvl w:val="0"/>
        <w:rPr>
          <w:rFonts w:hint="eastAsia" w:ascii="宋体" w:hAnsi="宋体" w:eastAsia="宋体" w:cs="宋体"/>
          <w:color w:val="auto"/>
          <w:sz w:val="36"/>
          <w:szCs w:val="36"/>
        </w:rPr>
      </w:pPr>
    </w:p>
    <w:p w14:paraId="0B9AC047">
      <w:pPr>
        <w:pStyle w:val="24"/>
        <w:rPr>
          <w:rFonts w:hint="eastAsia" w:ascii="宋体" w:hAnsi="宋体" w:eastAsia="宋体" w:cs="宋体"/>
          <w:color w:val="auto"/>
        </w:rPr>
      </w:pPr>
    </w:p>
    <w:p w14:paraId="26BA94F9">
      <w:pPr>
        <w:rPr>
          <w:rFonts w:hint="eastAsia" w:ascii="宋体" w:hAnsi="宋体" w:eastAsia="宋体" w:cs="宋体"/>
          <w:color w:val="auto"/>
        </w:rPr>
      </w:pPr>
    </w:p>
    <w:p w14:paraId="07E71796">
      <w:pPr>
        <w:pStyle w:val="15"/>
        <w:rPr>
          <w:rFonts w:hint="eastAsia" w:ascii="宋体" w:hAnsi="宋体" w:eastAsia="宋体" w:cs="宋体"/>
          <w:color w:val="auto"/>
        </w:rPr>
      </w:pPr>
    </w:p>
    <w:p w14:paraId="023AC7B0">
      <w:pPr>
        <w:spacing w:line="720" w:lineRule="exact"/>
        <w:jc w:val="center"/>
        <w:outlineLvl w:val="0"/>
        <w:rPr>
          <w:rFonts w:hint="eastAsia" w:ascii="宋体" w:hAnsi="宋体" w:eastAsia="宋体" w:cs="宋体"/>
          <w:color w:val="auto"/>
          <w:sz w:val="48"/>
          <w:szCs w:val="32"/>
        </w:rPr>
      </w:pPr>
      <w:bookmarkStart w:id="5" w:name="_Toc2252"/>
      <w:r>
        <w:rPr>
          <w:rFonts w:hint="eastAsia" w:ascii="宋体" w:hAnsi="宋体" w:eastAsia="宋体" w:cs="宋体"/>
          <w:color w:val="auto"/>
          <w:sz w:val="36"/>
          <w:szCs w:val="36"/>
        </w:rPr>
        <w:t>二〇二</w:t>
      </w:r>
      <w:r>
        <w:rPr>
          <w:rFonts w:hint="eastAsia" w:ascii="宋体" w:hAnsi="宋体" w:cs="宋体"/>
          <w:color w:val="auto"/>
          <w:sz w:val="36"/>
          <w:szCs w:val="36"/>
          <w:lang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eastAsia="zh-CN"/>
        </w:rPr>
        <w:t>九</w:t>
      </w:r>
      <w:r>
        <w:rPr>
          <w:rFonts w:hint="eastAsia" w:ascii="宋体" w:hAnsi="宋体" w:eastAsia="宋体" w:cs="宋体"/>
          <w:color w:val="auto"/>
          <w:sz w:val="36"/>
          <w:szCs w:val="36"/>
        </w:rPr>
        <w:t>月</w:t>
      </w:r>
      <w:bookmarkEnd w:id="5"/>
    </w:p>
    <w:p w14:paraId="7C824A9B">
      <w:pPr>
        <w:spacing w:line="720" w:lineRule="exact"/>
        <w:jc w:val="center"/>
        <w:outlineLvl w:val="0"/>
        <w:rPr>
          <w:rFonts w:hint="eastAsia" w:ascii="宋体" w:hAnsi="宋体" w:eastAsia="宋体" w:cs="宋体"/>
          <w:color w:val="auto"/>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1E21039C">
      <w:pPr>
        <w:spacing w:line="480" w:lineRule="exact"/>
        <w:jc w:val="center"/>
        <w:outlineLvl w:val="0"/>
        <w:rPr>
          <w:rFonts w:hint="eastAsia" w:ascii="宋体" w:hAnsi="宋体" w:eastAsia="宋体" w:cs="宋体"/>
          <w:color w:val="auto"/>
          <w:sz w:val="44"/>
          <w:szCs w:val="28"/>
        </w:rPr>
      </w:pPr>
      <w:bookmarkStart w:id="6" w:name="_Toc12825"/>
      <w:r>
        <w:rPr>
          <w:rFonts w:hint="eastAsia" w:ascii="宋体" w:hAnsi="宋体" w:eastAsia="宋体" w:cs="宋体"/>
          <w:color w:val="auto"/>
          <w:sz w:val="44"/>
          <w:szCs w:val="28"/>
        </w:rPr>
        <w:t>目   录</w:t>
      </w:r>
    </w:p>
    <w:p w14:paraId="5E5248BD">
      <w:pPr>
        <w:pStyle w:val="25"/>
        <w:tabs>
          <w:tab w:val="right" w:leader="dot" w:pos="9412"/>
        </w:tabs>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_Toc19240 </w:instrText>
      </w:r>
      <w:r>
        <w:rPr>
          <w:rFonts w:hint="eastAsia" w:ascii="宋体" w:hAnsi="宋体" w:eastAsia="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_Toc19240 \h </w:instrText>
      </w:r>
      <w:r>
        <w:fldChar w:fldCharType="separate"/>
      </w:r>
      <w:r>
        <w:t>- 1 -</w:t>
      </w:r>
      <w:r>
        <w:fldChar w:fldCharType="end"/>
      </w:r>
      <w:r>
        <w:rPr>
          <w:rFonts w:hint="eastAsia" w:ascii="宋体" w:hAnsi="宋体" w:eastAsia="宋体" w:cs="宋体"/>
          <w:color w:val="auto"/>
          <w:szCs w:val="21"/>
        </w:rPr>
        <w:fldChar w:fldCharType="end"/>
      </w:r>
    </w:p>
    <w:p w14:paraId="187887CF">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_Toc20620 </w:instrText>
      </w:r>
      <w:r>
        <w:rPr>
          <w:rFonts w:hint="eastAsia" w:ascii="宋体" w:hAnsi="宋体" w:eastAsia="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_Toc20620 \h </w:instrText>
      </w:r>
      <w:r>
        <w:fldChar w:fldCharType="separate"/>
      </w:r>
      <w:r>
        <w:t>- 1 -</w:t>
      </w:r>
      <w:r>
        <w:fldChar w:fldCharType="end"/>
      </w:r>
      <w:r>
        <w:rPr>
          <w:rFonts w:hint="eastAsia" w:ascii="宋体" w:hAnsi="宋体" w:eastAsia="宋体" w:cs="宋体"/>
          <w:color w:val="auto"/>
          <w:szCs w:val="21"/>
        </w:rPr>
        <w:fldChar w:fldCharType="end"/>
      </w:r>
    </w:p>
    <w:p w14:paraId="427F961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_Toc28682 </w:instrText>
      </w:r>
      <w:r>
        <w:rPr>
          <w:rFonts w:hint="eastAsia" w:ascii="宋体" w:hAnsi="宋体" w:eastAsia="宋体" w:cs="宋体"/>
          <w:szCs w:val="21"/>
        </w:rPr>
        <w:fldChar w:fldCharType="separate"/>
      </w:r>
      <w:r>
        <w:rPr>
          <w:rFonts w:hint="eastAsia" w:ascii="宋体" w:hAnsi="宋体" w:eastAsia="宋体" w:cs="宋体"/>
          <w:bCs w:val="0"/>
        </w:rPr>
        <w:t>二、资金来源</w:t>
      </w:r>
      <w:r>
        <w:tab/>
      </w:r>
      <w:r>
        <w:fldChar w:fldCharType="begin"/>
      </w:r>
      <w:r>
        <w:instrText xml:space="preserve"> PAGEREF _Toc28682 \h </w:instrText>
      </w:r>
      <w:r>
        <w:fldChar w:fldCharType="separate"/>
      </w:r>
      <w:r>
        <w:t>- 1 -</w:t>
      </w:r>
      <w:r>
        <w:fldChar w:fldCharType="end"/>
      </w:r>
      <w:r>
        <w:rPr>
          <w:rFonts w:hint="eastAsia" w:ascii="宋体" w:hAnsi="宋体" w:eastAsia="宋体" w:cs="宋体"/>
          <w:color w:val="auto"/>
          <w:szCs w:val="21"/>
        </w:rPr>
        <w:fldChar w:fldCharType="end"/>
      </w:r>
    </w:p>
    <w:p w14:paraId="35A33068">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_Toc18943 </w:instrText>
      </w:r>
      <w:r>
        <w:rPr>
          <w:rFonts w:hint="eastAsia" w:ascii="宋体" w:hAnsi="宋体" w:eastAsia="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_Toc18943 \h </w:instrText>
      </w:r>
      <w:r>
        <w:fldChar w:fldCharType="separate"/>
      </w:r>
      <w:r>
        <w:t>- 1 -</w:t>
      </w:r>
      <w:r>
        <w:fldChar w:fldCharType="end"/>
      </w:r>
      <w:r>
        <w:rPr>
          <w:rFonts w:hint="eastAsia" w:ascii="宋体" w:hAnsi="宋体" w:eastAsia="宋体" w:cs="宋体"/>
          <w:color w:val="auto"/>
          <w:szCs w:val="21"/>
        </w:rPr>
        <w:fldChar w:fldCharType="end"/>
      </w:r>
    </w:p>
    <w:p w14:paraId="02E51DBD">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_Toc31877 </w:instrText>
      </w:r>
      <w:r>
        <w:rPr>
          <w:rFonts w:hint="eastAsia" w:ascii="宋体" w:hAnsi="宋体" w:eastAsia="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_Toc31877 \h </w:instrText>
      </w:r>
      <w:r>
        <w:fldChar w:fldCharType="separate"/>
      </w:r>
      <w:r>
        <w:t>- 1 -</w:t>
      </w:r>
      <w:r>
        <w:fldChar w:fldCharType="end"/>
      </w:r>
      <w:r>
        <w:rPr>
          <w:rFonts w:hint="eastAsia" w:ascii="宋体" w:hAnsi="宋体" w:eastAsia="宋体" w:cs="宋体"/>
          <w:color w:val="auto"/>
          <w:szCs w:val="21"/>
        </w:rPr>
        <w:fldChar w:fldCharType="end"/>
      </w:r>
    </w:p>
    <w:p w14:paraId="53D2B0BF">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_Toc9909 </w:instrText>
      </w:r>
      <w:r>
        <w:rPr>
          <w:rFonts w:hint="eastAsia" w:ascii="宋体" w:hAnsi="宋体" w:eastAsia="宋体" w:cs="宋体"/>
          <w:szCs w:val="21"/>
        </w:rPr>
        <w:fldChar w:fldCharType="separate"/>
      </w:r>
      <w:r>
        <w:rPr>
          <w:rFonts w:hint="eastAsia" w:ascii="宋体" w:hAnsi="宋体" w:eastAsia="宋体" w:cs="宋体"/>
          <w:bCs w:val="0"/>
        </w:rPr>
        <w:t>五、</w:t>
      </w:r>
      <w:r>
        <w:rPr>
          <w:rFonts w:hint="eastAsia" w:ascii="宋体" w:hAnsi="宋体" w:eastAsia="宋体" w:cs="宋体"/>
          <w:bCs w:val="0"/>
          <w:lang w:eastAsia="zh-CN"/>
        </w:rPr>
        <w:t>磋商</w:t>
      </w:r>
      <w:r>
        <w:rPr>
          <w:rFonts w:hint="eastAsia" w:ascii="宋体" w:hAnsi="宋体" w:eastAsia="宋体" w:cs="宋体"/>
          <w:bCs w:val="0"/>
        </w:rPr>
        <w:t>保证金</w:t>
      </w:r>
      <w:r>
        <w:tab/>
      </w:r>
      <w:r>
        <w:fldChar w:fldCharType="begin"/>
      </w:r>
      <w:r>
        <w:instrText xml:space="preserve"> PAGEREF _Toc9909 \h </w:instrText>
      </w:r>
      <w:r>
        <w:fldChar w:fldCharType="separate"/>
      </w:r>
      <w:r>
        <w:t>- 2 -</w:t>
      </w:r>
      <w:r>
        <w:fldChar w:fldCharType="end"/>
      </w:r>
      <w:r>
        <w:rPr>
          <w:rFonts w:hint="eastAsia" w:ascii="宋体" w:hAnsi="宋体" w:eastAsia="宋体" w:cs="宋体"/>
          <w:color w:val="auto"/>
          <w:szCs w:val="21"/>
        </w:rPr>
        <w:fldChar w:fldCharType="end"/>
      </w:r>
    </w:p>
    <w:p w14:paraId="18B622DF">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_Toc6665 </w:instrText>
      </w:r>
      <w:r>
        <w:rPr>
          <w:rFonts w:hint="eastAsia" w:ascii="宋体" w:hAnsi="宋体" w:eastAsia="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_Toc6665 \h </w:instrText>
      </w:r>
      <w:r>
        <w:fldChar w:fldCharType="separate"/>
      </w:r>
      <w:r>
        <w:t>- 2 -</w:t>
      </w:r>
      <w:r>
        <w:fldChar w:fldCharType="end"/>
      </w:r>
      <w:r>
        <w:rPr>
          <w:rFonts w:hint="eastAsia" w:ascii="宋体" w:hAnsi="宋体" w:eastAsia="宋体" w:cs="宋体"/>
          <w:color w:val="auto"/>
          <w:szCs w:val="21"/>
        </w:rPr>
        <w:fldChar w:fldCharType="end"/>
      </w:r>
    </w:p>
    <w:p w14:paraId="779C7F2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_Toc1234 </w:instrText>
      </w:r>
      <w:r>
        <w:rPr>
          <w:rFonts w:hint="eastAsia" w:ascii="宋体" w:hAnsi="宋体" w:eastAsia="宋体" w:cs="宋体"/>
          <w:szCs w:val="21"/>
        </w:rPr>
        <w:fldChar w:fldCharType="separate"/>
      </w:r>
      <w:r>
        <w:rPr>
          <w:rFonts w:hint="eastAsia" w:ascii="宋体" w:hAnsi="宋体" w:eastAsia="宋体" w:cs="宋体"/>
          <w:bCs w:val="0"/>
        </w:rPr>
        <w:t>七、联系方式</w:t>
      </w:r>
      <w:r>
        <w:tab/>
      </w:r>
      <w:r>
        <w:fldChar w:fldCharType="begin"/>
      </w:r>
      <w:r>
        <w:instrText xml:space="preserve"> PAGEREF _Toc1234 \h </w:instrText>
      </w:r>
      <w:r>
        <w:fldChar w:fldCharType="separate"/>
      </w:r>
      <w:r>
        <w:t>- 2 -</w:t>
      </w:r>
      <w:r>
        <w:fldChar w:fldCharType="end"/>
      </w:r>
      <w:r>
        <w:rPr>
          <w:rFonts w:hint="eastAsia" w:ascii="宋体" w:hAnsi="宋体" w:eastAsia="宋体" w:cs="宋体"/>
          <w:color w:val="auto"/>
          <w:szCs w:val="21"/>
        </w:rPr>
        <w:fldChar w:fldCharType="end"/>
      </w:r>
    </w:p>
    <w:p w14:paraId="3286DD3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_Toc26329 </w:instrText>
      </w:r>
      <w:r>
        <w:rPr>
          <w:rFonts w:hint="eastAsia" w:ascii="宋体" w:hAnsi="宋体" w:eastAsia="宋体" w:cs="宋体"/>
          <w:szCs w:val="21"/>
        </w:rPr>
        <w:fldChar w:fldCharType="separate"/>
      </w:r>
      <w:r>
        <w:rPr>
          <w:rFonts w:hint="eastAsia" w:ascii="宋体" w:hAnsi="宋体" w:eastAsia="宋体" w:cs="宋体"/>
          <w:szCs w:val="30"/>
        </w:rPr>
        <w:t>第二篇  项目</w:t>
      </w:r>
      <w:r>
        <w:rPr>
          <w:rFonts w:hint="eastAsia" w:ascii="宋体" w:hAnsi="宋体" w:eastAsia="宋体" w:cs="宋体"/>
          <w:szCs w:val="30"/>
          <w:lang w:eastAsia="zh-CN"/>
        </w:rPr>
        <w:t>服务</w:t>
      </w:r>
      <w:r>
        <w:rPr>
          <w:rFonts w:hint="eastAsia" w:ascii="宋体" w:hAnsi="宋体" w:eastAsia="宋体" w:cs="宋体"/>
          <w:szCs w:val="30"/>
        </w:rPr>
        <w:t>需求</w:t>
      </w:r>
      <w:r>
        <w:tab/>
      </w:r>
      <w:r>
        <w:fldChar w:fldCharType="begin"/>
      </w:r>
      <w:r>
        <w:instrText xml:space="preserve"> PAGEREF _Toc26329 \h </w:instrText>
      </w:r>
      <w:r>
        <w:fldChar w:fldCharType="separate"/>
      </w:r>
      <w:r>
        <w:t>- 4 -</w:t>
      </w:r>
      <w:r>
        <w:fldChar w:fldCharType="end"/>
      </w:r>
      <w:r>
        <w:rPr>
          <w:rFonts w:hint="eastAsia" w:ascii="宋体" w:hAnsi="宋体" w:eastAsia="宋体" w:cs="宋体"/>
          <w:color w:val="auto"/>
          <w:szCs w:val="21"/>
        </w:rPr>
        <w:fldChar w:fldCharType="end"/>
      </w:r>
    </w:p>
    <w:p w14:paraId="2F772BE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_Toc18317 </w:instrText>
      </w:r>
      <w:r>
        <w:rPr>
          <w:rFonts w:hint="eastAsia" w:ascii="宋体" w:hAnsi="宋体" w:eastAsia="宋体" w:cs="宋体"/>
          <w:szCs w:val="21"/>
        </w:rPr>
        <w:fldChar w:fldCharType="separate"/>
      </w:r>
      <w:r>
        <w:rPr>
          <w:rFonts w:hint="eastAsia" w:ascii="宋体" w:hAnsi="宋体" w:eastAsia="宋体" w:cs="宋体"/>
          <w:bCs w:val="0"/>
        </w:rPr>
        <w:t>一、项目一览表</w:t>
      </w:r>
      <w:r>
        <w:tab/>
      </w:r>
      <w:r>
        <w:fldChar w:fldCharType="begin"/>
      </w:r>
      <w:r>
        <w:instrText xml:space="preserve"> PAGEREF _Toc18317 \h </w:instrText>
      </w:r>
      <w:r>
        <w:fldChar w:fldCharType="separate"/>
      </w:r>
      <w:r>
        <w:t>- 4 -</w:t>
      </w:r>
      <w:r>
        <w:fldChar w:fldCharType="end"/>
      </w:r>
      <w:r>
        <w:rPr>
          <w:rFonts w:hint="eastAsia" w:ascii="宋体" w:hAnsi="宋体" w:eastAsia="宋体" w:cs="宋体"/>
          <w:color w:val="auto"/>
          <w:szCs w:val="21"/>
        </w:rPr>
        <w:fldChar w:fldCharType="end"/>
      </w:r>
    </w:p>
    <w:p w14:paraId="1D52D199">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_Toc1865 </w:instrText>
      </w:r>
      <w:r>
        <w:rPr>
          <w:rFonts w:hint="eastAsia" w:ascii="宋体" w:hAnsi="宋体" w:eastAsia="宋体" w:cs="宋体"/>
          <w:szCs w:val="21"/>
        </w:rPr>
        <w:fldChar w:fldCharType="separate"/>
      </w:r>
      <w:r>
        <w:rPr>
          <w:rFonts w:hint="eastAsia" w:ascii="宋体" w:hAnsi="宋体" w:eastAsia="宋体" w:cs="宋体"/>
          <w:bCs w:val="0"/>
          <w:lang w:eastAsia="zh-CN"/>
        </w:rPr>
        <w:t>二、项目内容及要求</w:t>
      </w:r>
      <w:r>
        <w:tab/>
      </w:r>
      <w:r>
        <w:fldChar w:fldCharType="begin"/>
      </w:r>
      <w:r>
        <w:instrText xml:space="preserve"> PAGEREF _Toc1865 \h </w:instrText>
      </w:r>
      <w:r>
        <w:fldChar w:fldCharType="separate"/>
      </w:r>
      <w:r>
        <w:t>- 4 -</w:t>
      </w:r>
      <w:r>
        <w:fldChar w:fldCharType="end"/>
      </w:r>
      <w:r>
        <w:rPr>
          <w:rFonts w:hint="eastAsia" w:ascii="宋体" w:hAnsi="宋体" w:eastAsia="宋体" w:cs="宋体"/>
          <w:color w:val="auto"/>
          <w:szCs w:val="21"/>
        </w:rPr>
        <w:fldChar w:fldCharType="end"/>
      </w:r>
    </w:p>
    <w:p w14:paraId="430602EC">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_Toc32762 </w:instrText>
      </w:r>
      <w:r>
        <w:rPr>
          <w:rFonts w:hint="eastAsia" w:ascii="宋体" w:hAnsi="宋体" w:eastAsia="宋体" w:cs="宋体"/>
          <w:szCs w:val="21"/>
        </w:rPr>
        <w:fldChar w:fldCharType="separate"/>
      </w:r>
      <w:r>
        <w:rPr>
          <w:rFonts w:hint="eastAsia" w:ascii="宋体" w:hAnsi="宋体" w:eastAsia="宋体" w:cs="宋体"/>
          <w:bCs w:val="0"/>
          <w:lang w:eastAsia="zh-CN"/>
        </w:rPr>
        <w:t>三、安全生产</w:t>
      </w:r>
      <w:r>
        <w:tab/>
      </w:r>
      <w:r>
        <w:fldChar w:fldCharType="begin"/>
      </w:r>
      <w:r>
        <w:instrText xml:space="preserve"> PAGEREF _Toc32762 \h </w:instrText>
      </w:r>
      <w:r>
        <w:fldChar w:fldCharType="separate"/>
      </w:r>
      <w:r>
        <w:t>- 4 -</w:t>
      </w:r>
      <w:r>
        <w:fldChar w:fldCharType="end"/>
      </w:r>
      <w:r>
        <w:rPr>
          <w:rFonts w:hint="eastAsia" w:ascii="宋体" w:hAnsi="宋体" w:eastAsia="宋体" w:cs="宋体"/>
          <w:color w:val="auto"/>
          <w:szCs w:val="21"/>
        </w:rPr>
        <w:fldChar w:fldCharType="end"/>
      </w:r>
    </w:p>
    <w:p w14:paraId="42E69944">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_Toc5606 </w:instrText>
      </w:r>
      <w:r>
        <w:rPr>
          <w:rFonts w:hint="eastAsia" w:ascii="宋体" w:hAnsi="宋体" w:eastAsia="宋体" w:cs="宋体"/>
          <w:szCs w:val="21"/>
        </w:rPr>
        <w:fldChar w:fldCharType="separate"/>
      </w:r>
      <w:r>
        <w:rPr>
          <w:rFonts w:hint="eastAsia" w:ascii="宋体" w:hAnsi="宋体" w:eastAsia="宋体" w:cs="宋体"/>
          <w:bCs w:val="0"/>
          <w:lang w:eastAsia="zh-CN"/>
        </w:rPr>
        <w:t>四、人员要求</w:t>
      </w:r>
      <w:r>
        <w:tab/>
      </w:r>
      <w:r>
        <w:fldChar w:fldCharType="begin"/>
      </w:r>
      <w:r>
        <w:instrText xml:space="preserve"> PAGEREF _Toc5606 \h </w:instrText>
      </w:r>
      <w:r>
        <w:fldChar w:fldCharType="separate"/>
      </w:r>
      <w:r>
        <w:t>- 4 -</w:t>
      </w:r>
      <w:r>
        <w:fldChar w:fldCharType="end"/>
      </w:r>
      <w:r>
        <w:rPr>
          <w:rFonts w:hint="eastAsia" w:ascii="宋体" w:hAnsi="宋体" w:eastAsia="宋体" w:cs="宋体"/>
          <w:color w:val="auto"/>
          <w:szCs w:val="21"/>
        </w:rPr>
        <w:fldChar w:fldCharType="end"/>
      </w:r>
    </w:p>
    <w:p w14:paraId="0934542F">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_Toc7450 </w:instrText>
      </w:r>
      <w:r>
        <w:rPr>
          <w:rFonts w:hint="eastAsia" w:ascii="宋体" w:hAnsi="宋体" w:eastAsia="宋体" w:cs="宋体"/>
          <w:szCs w:val="21"/>
        </w:rPr>
        <w:fldChar w:fldCharType="separate"/>
      </w:r>
      <w:r>
        <w:rPr>
          <w:rFonts w:hint="eastAsia" w:ascii="宋体" w:hAnsi="宋体" w:eastAsia="宋体" w:cs="宋体"/>
          <w:bCs w:val="0"/>
          <w:lang w:eastAsia="zh-CN"/>
        </w:rPr>
        <w:t>五、现场踏勘</w:t>
      </w:r>
      <w:r>
        <w:tab/>
      </w:r>
      <w:r>
        <w:fldChar w:fldCharType="begin"/>
      </w:r>
      <w:r>
        <w:instrText xml:space="preserve"> PAGEREF _Toc7450 \h </w:instrText>
      </w:r>
      <w:r>
        <w:fldChar w:fldCharType="separate"/>
      </w:r>
      <w:r>
        <w:t>- 5 -</w:t>
      </w:r>
      <w:r>
        <w:fldChar w:fldCharType="end"/>
      </w:r>
      <w:r>
        <w:rPr>
          <w:rFonts w:hint="eastAsia" w:ascii="宋体" w:hAnsi="宋体" w:eastAsia="宋体" w:cs="宋体"/>
          <w:color w:val="auto"/>
          <w:szCs w:val="21"/>
        </w:rPr>
        <w:fldChar w:fldCharType="end"/>
      </w:r>
    </w:p>
    <w:p w14:paraId="5114A7C9">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_Toc4551 </w:instrText>
      </w:r>
      <w:r>
        <w:rPr>
          <w:rFonts w:hint="eastAsia" w:ascii="宋体" w:hAnsi="宋体" w:eastAsia="宋体" w:cs="宋体"/>
          <w:szCs w:val="21"/>
        </w:rPr>
        <w:fldChar w:fldCharType="separate"/>
      </w:r>
      <w:r>
        <w:rPr>
          <w:rFonts w:hint="eastAsia" w:ascii="宋体" w:hAnsi="宋体" w:eastAsia="宋体" w:cs="宋体"/>
          <w:bCs w:val="0"/>
          <w:lang w:eastAsia="zh-CN"/>
        </w:rPr>
        <w:t>六、其他要求</w:t>
      </w:r>
      <w:r>
        <w:tab/>
      </w:r>
      <w:r>
        <w:fldChar w:fldCharType="begin"/>
      </w:r>
      <w:r>
        <w:instrText xml:space="preserve"> PAGEREF _Toc4551 \h </w:instrText>
      </w:r>
      <w:r>
        <w:fldChar w:fldCharType="separate"/>
      </w:r>
      <w:r>
        <w:t>- 5 -</w:t>
      </w:r>
      <w:r>
        <w:fldChar w:fldCharType="end"/>
      </w:r>
      <w:r>
        <w:rPr>
          <w:rFonts w:hint="eastAsia" w:ascii="宋体" w:hAnsi="宋体" w:eastAsia="宋体" w:cs="宋体"/>
          <w:color w:val="auto"/>
          <w:szCs w:val="21"/>
        </w:rPr>
        <w:fldChar w:fldCharType="end"/>
      </w:r>
    </w:p>
    <w:p w14:paraId="0944E7DE">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_Toc9555 </w:instrText>
      </w:r>
      <w:r>
        <w:rPr>
          <w:rFonts w:hint="eastAsia" w:ascii="宋体" w:hAnsi="宋体" w:eastAsia="宋体" w:cs="宋体"/>
          <w:szCs w:val="21"/>
        </w:rPr>
        <w:fldChar w:fldCharType="separate"/>
      </w:r>
      <w:r>
        <w:rPr>
          <w:rFonts w:hint="eastAsia" w:ascii="宋体" w:hAnsi="宋体" w:eastAsia="宋体" w:cs="宋体"/>
          <w:bCs w:val="0"/>
          <w:lang w:eastAsia="zh-CN"/>
        </w:rPr>
        <w:t>七、附件</w:t>
      </w:r>
      <w:r>
        <w:tab/>
      </w:r>
      <w:r>
        <w:fldChar w:fldCharType="begin"/>
      </w:r>
      <w:r>
        <w:instrText xml:space="preserve"> PAGEREF _Toc9555 \h </w:instrText>
      </w:r>
      <w:r>
        <w:fldChar w:fldCharType="separate"/>
      </w:r>
      <w:r>
        <w:t>- 5 -</w:t>
      </w:r>
      <w:r>
        <w:fldChar w:fldCharType="end"/>
      </w:r>
      <w:r>
        <w:rPr>
          <w:rFonts w:hint="eastAsia" w:ascii="宋体" w:hAnsi="宋体" w:eastAsia="宋体" w:cs="宋体"/>
          <w:color w:val="auto"/>
          <w:szCs w:val="21"/>
        </w:rPr>
        <w:fldChar w:fldCharType="end"/>
      </w:r>
    </w:p>
    <w:p w14:paraId="570C361C">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_Toc9381 </w:instrText>
      </w:r>
      <w:r>
        <w:rPr>
          <w:rFonts w:hint="eastAsia" w:ascii="宋体" w:hAnsi="宋体" w:eastAsia="宋体" w:cs="宋体"/>
          <w:szCs w:val="21"/>
        </w:rPr>
        <w:fldChar w:fldCharType="separate"/>
      </w:r>
      <w:r>
        <w:rPr>
          <w:rFonts w:hint="eastAsia" w:ascii="宋体" w:hAnsi="宋体" w:eastAsia="宋体" w:cs="宋体"/>
          <w:szCs w:val="30"/>
        </w:rPr>
        <w:t>第三篇  项目商务需求</w:t>
      </w:r>
      <w:r>
        <w:tab/>
      </w:r>
      <w:r>
        <w:fldChar w:fldCharType="begin"/>
      </w:r>
      <w:r>
        <w:instrText xml:space="preserve"> PAGEREF _Toc9381 \h </w:instrText>
      </w:r>
      <w:r>
        <w:fldChar w:fldCharType="separate"/>
      </w:r>
      <w:r>
        <w:t>- 6 -</w:t>
      </w:r>
      <w:r>
        <w:fldChar w:fldCharType="end"/>
      </w:r>
      <w:r>
        <w:rPr>
          <w:rFonts w:hint="eastAsia" w:ascii="宋体" w:hAnsi="宋体" w:eastAsia="宋体" w:cs="宋体"/>
          <w:color w:val="auto"/>
          <w:szCs w:val="21"/>
        </w:rPr>
        <w:fldChar w:fldCharType="end"/>
      </w:r>
    </w:p>
    <w:p w14:paraId="748F74CB">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_Toc3264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w:t>
      </w:r>
      <w:r>
        <w:rPr>
          <w:rFonts w:hint="eastAsia" w:ascii="宋体" w:hAnsi="宋体" w:eastAsia="宋体" w:cs="宋体"/>
          <w:szCs w:val="24"/>
          <w:lang w:eastAsia="zh-CN"/>
        </w:rPr>
        <w:t>计划工期</w:t>
      </w:r>
      <w:r>
        <w:rPr>
          <w:rFonts w:hint="eastAsia" w:ascii="宋体" w:hAnsi="宋体" w:eastAsia="宋体" w:cs="宋体"/>
          <w:szCs w:val="24"/>
        </w:rPr>
        <w:t>、</w:t>
      </w:r>
      <w:r>
        <w:rPr>
          <w:rFonts w:hint="eastAsia" w:ascii="宋体" w:hAnsi="宋体" w:eastAsia="宋体" w:cs="宋体"/>
          <w:szCs w:val="24"/>
          <w:lang w:eastAsia="zh-CN"/>
        </w:rPr>
        <w:t>项目地点</w:t>
      </w:r>
      <w:r>
        <w:rPr>
          <w:rFonts w:hint="eastAsia" w:ascii="宋体" w:hAnsi="宋体" w:eastAsia="宋体" w:cs="宋体"/>
          <w:szCs w:val="24"/>
        </w:rPr>
        <w:t>及验收</w:t>
      </w:r>
      <w:r>
        <w:rPr>
          <w:rFonts w:hint="eastAsia" w:ascii="宋体" w:hAnsi="宋体" w:eastAsia="宋体" w:cs="宋体"/>
          <w:szCs w:val="24"/>
          <w:lang w:eastAsia="zh-CN"/>
        </w:rPr>
        <w:t>方式</w:t>
      </w:r>
      <w:r>
        <w:tab/>
      </w:r>
      <w:r>
        <w:fldChar w:fldCharType="begin"/>
      </w:r>
      <w:r>
        <w:instrText xml:space="preserve"> PAGEREF _Toc3264 \h </w:instrText>
      </w:r>
      <w:r>
        <w:fldChar w:fldCharType="separate"/>
      </w:r>
      <w:r>
        <w:t>- 6 -</w:t>
      </w:r>
      <w:r>
        <w:fldChar w:fldCharType="end"/>
      </w:r>
      <w:r>
        <w:rPr>
          <w:rFonts w:hint="eastAsia" w:ascii="宋体" w:hAnsi="宋体" w:eastAsia="宋体" w:cs="宋体"/>
          <w:color w:val="auto"/>
          <w:szCs w:val="21"/>
        </w:rPr>
        <w:fldChar w:fldCharType="end"/>
      </w:r>
    </w:p>
    <w:p w14:paraId="2A21E6D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_Toc9831 </w:instrText>
      </w:r>
      <w:r>
        <w:rPr>
          <w:rFonts w:hint="eastAsia" w:ascii="宋体" w:hAnsi="宋体" w:eastAsia="宋体" w:cs="宋体"/>
          <w:szCs w:val="21"/>
        </w:rPr>
        <w:fldChar w:fldCharType="separate"/>
      </w:r>
      <w:r>
        <w:rPr>
          <w:rFonts w:hint="eastAsia" w:ascii="宋体" w:hAnsi="宋体" w:eastAsia="宋体" w:cs="宋体"/>
          <w:szCs w:val="24"/>
        </w:rPr>
        <w:t>二、报价要求</w:t>
      </w:r>
      <w:r>
        <w:tab/>
      </w:r>
      <w:r>
        <w:fldChar w:fldCharType="begin"/>
      </w:r>
      <w:r>
        <w:instrText xml:space="preserve"> PAGEREF _Toc9831 \h </w:instrText>
      </w:r>
      <w:r>
        <w:fldChar w:fldCharType="separate"/>
      </w:r>
      <w:r>
        <w:t>- 6 -</w:t>
      </w:r>
      <w:r>
        <w:fldChar w:fldCharType="end"/>
      </w:r>
      <w:r>
        <w:rPr>
          <w:rFonts w:hint="eastAsia" w:ascii="宋体" w:hAnsi="宋体" w:eastAsia="宋体" w:cs="宋体"/>
          <w:color w:val="auto"/>
          <w:szCs w:val="21"/>
        </w:rPr>
        <w:fldChar w:fldCharType="end"/>
      </w:r>
    </w:p>
    <w:p w14:paraId="74A79E66">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_Toc5888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三、结算原则</w:t>
      </w:r>
      <w:r>
        <w:tab/>
      </w:r>
      <w:r>
        <w:fldChar w:fldCharType="begin"/>
      </w:r>
      <w:r>
        <w:instrText xml:space="preserve"> PAGEREF _Toc5888 \h </w:instrText>
      </w:r>
      <w:r>
        <w:fldChar w:fldCharType="separate"/>
      </w:r>
      <w:r>
        <w:t>- 10 -</w:t>
      </w:r>
      <w:r>
        <w:fldChar w:fldCharType="end"/>
      </w:r>
      <w:r>
        <w:rPr>
          <w:rFonts w:hint="eastAsia" w:ascii="宋体" w:hAnsi="宋体" w:eastAsia="宋体" w:cs="宋体"/>
          <w:color w:val="auto"/>
          <w:szCs w:val="21"/>
        </w:rPr>
        <w:fldChar w:fldCharType="end"/>
      </w:r>
    </w:p>
    <w:p w14:paraId="7E725CA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_Toc12859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四、履约保证金及付款方式</w:t>
      </w:r>
      <w:r>
        <w:tab/>
      </w:r>
      <w:r>
        <w:fldChar w:fldCharType="begin"/>
      </w:r>
      <w:r>
        <w:instrText xml:space="preserve"> PAGEREF _Toc12859 \h </w:instrText>
      </w:r>
      <w:r>
        <w:fldChar w:fldCharType="separate"/>
      </w:r>
      <w:r>
        <w:t>- 11 -</w:t>
      </w:r>
      <w:r>
        <w:fldChar w:fldCharType="end"/>
      </w:r>
      <w:r>
        <w:rPr>
          <w:rFonts w:hint="eastAsia" w:ascii="宋体" w:hAnsi="宋体" w:eastAsia="宋体" w:cs="宋体"/>
          <w:color w:val="auto"/>
          <w:szCs w:val="21"/>
        </w:rPr>
        <w:fldChar w:fldCharType="end"/>
      </w:r>
    </w:p>
    <w:p w14:paraId="4154BEF0">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_Toc26724 </w:instrText>
      </w:r>
      <w:r>
        <w:rPr>
          <w:rFonts w:hint="eastAsia" w:ascii="宋体" w:hAnsi="宋体" w:eastAsia="宋体" w:cs="宋体"/>
          <w:szCs w:val="21"/>
        </w:rPr>
        <w:fldChar w:fldCharType="separate"/>
      </w:r>
      <w:r>
        <w:rPr>
          <w:rFonts w:hint="eastAsia" w:ascii="宋体" w:hAnsi="宋体" w:eastAsia="宋体" w:cs="宋体"/>
          <w:szCs w:val="24"/>
          <w:lang w:eastAsia="zh-CN"/>
        </w:rPr>
        <w:t>五、缺陷责任期及质量保证期</w:t>
      </w:r>
      <w:r>
        <w:tab/>
      </w:r>
      <w:r>
        <w:fldChar w:fldCharType="begin"/>
      </w:r>
      <w:r>
        <w:instrText xml:space="preserve"> PAGEREF _Toc26724 \h </w:instrText>
      </w:r>
      <w:r>
        <w:fldChar w:fldCharType="separate"/>
      </w:r>
      <w:r>
        <w:t>- 12 -</w:t>
      </w:r>
      <w:r>
        <w:fldChar w:fldCharType="end"/>
      </w:r>
      <w:r>
        <w:rPr>
          <w:rFonts w:hint="eastAsia" w:ascii="宋体" w:hAnsi="宋体" w:eastAsia="宋体" w:cs="宋体"/>
          <w:color w:val="auto"/>
          <w:szCs w:val="21"/>
        </w:rPr>
        <w:fldChar w:fldCharType="end"/>
      </w:r>
    </w:p>
    <w:p w14:paraId="043C07DA">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_Toc392 </w:instrText>
      </w:r>
      <w:r>
        <w:rPr>
          <w:rFonts w:hint="eastAsia" w:ascii="宋体" w:hAnsi="宋体" w:eastAsia="宋体" w:cs="宋体"/>
          <w:szCs w:val="21"/>
        </w:rPr>
        <w:fldChar w:fldCharType="separate"/>
      </w:r>
      <w:r>
        <w:rPr>
          <w:rFonts w:hint="eastAsia" w:ascii="宋体" w:hAnsi="宋体" w:eastAsia="宋体" w:cs="宋体"/>
          <w:szCs w:val="24"/>
          <w:lang w:eastAsia="zh-CN"/>
        </w:rPr>
        <w:t>六</w:t>
      </w:r>
      <w:r>
        <w:rPr>
          <w:rFonts w:hint="eastAsia" w:ascii="宋体" w:hAnsi="宋体" w:eastAsia="宋体" w:cs="宋体"/>
          <w:szCs w:val="24"/>
        </w:rPr>
        <w:t>、知识产权</w:t>
      </w:r>
      <w:r>
        <w:tab/>
      </w:r>
      <w:r>
        <w:fldChar w:fldCharType="begin"/>
      </w:r>
      <w:r>
        <w:instrText xml:space="preserve"> PAGEREF _Toc392 \h </w:instrText>
      </w:r>
      <w:r>
        <w:fldChar w:fldCharType="separate"/>
      </w:r>
      <w:r>
        <w:t>- 12 -</w:t>
      </w:r>
      <w:r>
        <w:fldChar w:fldCharType="end"/>
      </w:r>
      <w:r>
        <w:rPr>
          <w:rFonts w:hint="eastAsia" w:ascii="宋体" w:hAnsi="宋体" w:eastAsia="宋体" w:cs="宋体"/>
          <w:color w:val="auto"/>
          <w:szCs w:val="21"/>
        </w:rPr>
        <w:fldChar w:fldCharType="end"/>
      </w:r>
    </w:p>
    <w:p w14:paraId="22D2582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_Toc18866 </w:instrText>
      </w:r>
      <w:r>
        <w:rPr>
          <w:rFonts w:hint="eastAsia" w:ascii="宋体" w:hAnsi="宋体" w:eastAsia="宋体" w:cs="宋体"/>
          <w:szCs w:val="21"/>
        </w:rPr>
        <w:fldChar w:fldCharType="separate"/>
      </w:r>
      <w:r>
        <w:rPr>
          <w:rFonts w:hint="eastAsia" w:ascii="宋体" w:hAnsi="宋体" w:eastAsia="宋体" w:cs="宋体"/>
          <w:szCs w:val="24"/>
          <w:lang w:eastAsia="zh-CN"/>
        </w:rPr>
        <w:t>七</w:t>
      </w:r>
      <w:r>
        <w:rPr>
          <w:rFonts w:hint="eastAsia" w:ascii="宋体" w:hAnsi="宋体" w:eastAsia="宋体" w:cs="宋体"/>
          <w:szCs w:val="24"/>
        </w:rPr>
        <w:t>、其他</w:t>
      </w:r>
      <w:r>
        <w:tab/>
      </w:r>
      <w:r>
        <w:fldChar w:fldCharType="begin"/>
      </w:r>
      <w:r>
        <w:instrText xml:space="preserve"> PAGEREF _Toc18866 \h </w:instrText>
      </w:r>
      <w:r>
        <w:fldChar w:fldCharType="separate"/>
      </w:r>
      <w:r>
        <w:t>- 12 -</w:t>
      </w:r>
      <w:r>
        <w:fldChar w:fldCharType="end"/>
      </w:r>
      <w:r>
        <w:rPr>
          <w:rFonts w:hint="eastAsia" w:ascii="宋体" w:hAnsi="宋体" w:eastAsia="宋体" w:cs="宋体"/>
          <w:color w:val="auto"/>
          <w:szCs w:val="21"/>
        </w:rPr>
        <w:fldChar w:fldCharType="end"/>
      </w:r>
    </w:p>
    <w:p w14:paraId="2FCC26AA">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_Toc9001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_Toc9001 \h </w:instrText>
      </w:r>
      <w:r>
        <w:fldChar w:fldCharType="separate"/>
      </w:r>
      <w:r>
        <w:t>- 13 -</w:t>
      </w:r>
      <w:r>
        <w:fldChar w:fldCharType="end"/>
      </w:r>
      <w:r>
        <w:rPr>
          <w:rFonts w:hint="eastAsia" w:ascii="宋体" w:hAnsi="宋体" w:eastAsia="宋体" w:cs="宋体"/>
          <w:color w:val="auto"/>
          <w:szCs w:val="21"/>
        </w:rPr>
        <w:fldChar w:fldCharType="end"/>
      </w:r>
    </w:p>
    <w:p w14:paraId="22C88EEA">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_Toc31442 </w:instrText>
      </w:r>
      <w:r>
        <w:rPr>
          <w:rFonts w:hint="eastAsia" w:ascii="宋体" w:hAnsi="宋体" w:eastAsia="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_Toc31442 \h </w:instrText>
      </w:r>
      <w:r>
        <w:fldChar w:fldCharType="separate"/>
      </w:r>
      <w:r>
        <w:t>- 13 -</w:t>
      </w:r>
      <w:r>
        <w:fldChar w:fldCharType="end"/>
      </w:r>
      <w:r>
        <w:rPr>
          <w:rFonts w:hint="eastAsia" w:ascii="宋体" w:hAnsi="宋体" w:eastAsia="宋体" w:cs="宋体"/>
          <w:color w:val="auto"/>
          <w:szCs w:val="21"/>
        </w:rPr>
        <w:fldChar w:fldCharType="end"/>
      </w:r>
    </w:p>
    <w:p w14:paraId="644685DB">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_Toc6618 </w:instrText>
      </w:r>
      <w:r>
        <w:rPr>
          <w:rFonts w:hint="eastAsia" w:ascii="宋体" w:hAnsi="宋体" w:eastAsia="宋体" w:cs="宋体"/>
          <w:szCs w:val="21"/>
        </w:rPr>
        <w:fldChar w:fldCharType="separate"/>
      </w:r>
      <w:r>
        <w:rPr>
          <w:rFonts w:hint="eastAsia" w:ascii="宋体" w:hAnsi="宋体" w:eastAsia="宋体" w:cs="宋体"/>
          <w:bCs w:val="0"/>
        </w:rPr>
        <w:t>二、评审标准</w:t>
      </w:r>
      <w:r>
        <w:tab/>
      </w:r>
      <w:r>
        <w:fldChar w:fldCharType="begin"/>
      </w:r>
      <w:r>
        <w:instrText xml:space="preserve"> PAGEREF _Toc6618 \h </w:instrText>
      </w:r>
      <w:r>
        <w:fldChar w:fldCharType="separate"/>
      </w:r>
      <w:r>
        <w:t>- 15 -</w:t>
      </w:r>
      <w:r>
        <w:fldChar w:fldCharType="end"/>
      </w:r>
      <w:r>
        <w:rPr>
          <w:rFonts w:hint="eastAsia" w:ascii="宋体" w:hAnsi="宋体" w:eastAsia="宋体" w:cs="宋体"/>
          <w:color w:val="auto"/>
          <w:szCs w:val="21"/>
        </w:rPr>
        <w:fldChar w:fldCharType="end"/>
      </w:r>
    </w:p>
    <w:p w14:paraId="6F48E85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_Toc5158 </w:instrText>
      </w:r>
      <w:r>
        <w:rPr>
          <w:rFonts w:hint="eastAsia" w:ascii="宋体" w:hAnsi="宋体" w:eastAsia="宋体" w:cs="宋体"/>
          <w:szCs w:val="21"/>
        </w:rPr>
        <w:fldChar w:fldCharType="separate"/>
      </w:r>
      <w:r>
        <w:rPr>
          <w:rFonts w:hint="eastAsia" w:ascii="宋体" w:hAnsi="宋体" w:eastAsia="宋体" w:cs="宋体"/>
          <w:bCs w:val="0"/>
        </w:rPr>
        <w:t>三、无效响应</w:t>
      </w:r>
      <w:r>
        <w:tab/>
      </w:r>
      <w:r>
        <w:fldChar w:fldCharType="begin"/>
      </w:r>
      <w:r>
        <w:instrText xml:space="preserve"> PAGEREF _Toc5158 \h </w:instrText>
      </w:r>
      <w:r>
        <w:fldChar w:fldCharType="separate"/>
      </w:r>
      <w:r>
        <w:t>- 17 -</w:t>
      </w:r>
      <w:r>
        <w:fldChar w:fldCharType="end"/>
      </w:r>
      <w:r>
        <w:rPr>
          <w:rFonts w:hint="eastAsia" w:ascii="宋体" w:hAnsi="宋体" w:eastAsia="宋体" w:cs="宋体"/>
          <w:color w:val="auto"/>
          <w:szCs w:val="21"/>
        </w:rPr>
        <w:fldChar w:fldCharType="end"/>
      </w:r>
    </w:p>
    <w:p w14:paraId="76E535C1">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_Toc707 </w:instrText>
      </w:r>
      <w:r>
        <w:rPr>
          <w:rFonts w:hint="eastAsia" w:ascii="宋体" w:hAnsi="宋体" w:eastAsia="宋体" w:cs="宋体"/>
          <w:szCs w:val="21"/>
        </w:rPr>
        <w:fldChar w:fldCharType="separate"/>
      </w:r>
      <w:r>
        <w:rPr>
          <w:rFonts w:hint="eastAsia" w:ascii="宋体" w:hAnsi="宋体" w:eastAsia="宋体" w:cs="宋体"/>
          <w:bCs w:val="0"/>
        </w:rPr>
        <w:t>四、采购终止</w:t>
      </w:r>
      <w:r>
        <w:tab/>
      </w:r>
      <w:r>
        <w:fldChar w:fldCharType="begin"/>
      </w:r>
      <w:r>
        <w:instrText xml:space="preserve"> PAGEREF _Toc707 \h </w:instrText>
      </w:r>
      <w:r>
        <w:fldChar w:fldCharType="separate"/>
      </w:r>
      <w:r>
        <w:t>- 17 -</w:t>
      </w:r>
      <w:r>
        <w:fldChar w:fldCharType="end"/>
      </w:r>
      <w:r>
        <w:rPr>
          <w:rFonts w:hint="eastAsia" w:ascii="宋体" w:hAnsi="宋体" w:eastAsia="宋体" w:cs="宋体"/>
          <w:color w:val="auto"/>
          <w:szCs w:val="21"/>
        </w:rPr>
        <w:fldChar w:fldCharType="end"/>
      </w:r>
    </w:p>
    <w:p w14:paraId="3FA2752E">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_Toc13148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_Toc13148 \h </w:instrText>
      </w:r>
      <w:r>
        <w:fldChar w:fldCharType="separate"/>
      </w:r>
      <w:r>
        <w:t>- 18 -</w:t>
      </w:r>
      <w:r>
        <w:fldChar w:fldCharType="end"/>
      </w:r>
      <w:r>
        <w:rPr>
          <w:rFonts w:hint="eastAsia" w:ascii="宋体" w:hAnsi="宋体" w:eastAsia="宋体" w:cs="宋体"/>
          <w:color w:val="auto"/>
          <w:szCs w:val="21"/>
        </w:rPr>
        <w:fldChar w:fldCharType="end"/>
      </w:r>
    </w:p>
    <w:p w14:paraId="0961D565">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_Toc11636 </w:instrText>
      </w:r>
      <w:r>
        <w:rPr>
          <w:rFonts w:hint="eastAsia" w:ascii="宋体" w:hAnsi="宋体" w:eastAsia="宋体" w:cs="宋体"/>
          <w:szCs w:val="21"/>
        </w:rPr>
        <w:fldChar w:fldCharType="separate"/>
      </w:r>
      <w:r>
        <w:rPr>
          <w:rFonts w:hint="eastAsia" w:ascii="宋体" w:hAnsi="宋体" w:eastAsia="宋体" w:cs="宋体"/>
          <w:bCs w:val="0"/>
        </w:rPr>
        <w:t>一、磋商费用</w:t>
      </w:r>
      <w:r>
        <w:tab/>
      </w:r>
      <w:r>
        <w:fldChar w:fldCharType="begin"/>
      </w:r>
      <w:r>
        <w:instrText xml:space="preserve"> PAGEREF _Toc11636 \h </w:instrText>
      </w:r>
      <w:r>
        <w:fldChar w:fldCharType="separate"/>
      </w:r>
      <w:r>
        <w:t>- 18 -</w:t>
      </w:r>
      <w:r>
        <w:fldChar w:fldCharType="end"/>
      </w:r>
      <w:r>
        <w:rPr>
          <w:rFonts w:hint="eastAsia" w:ascii="宋体" w:hAnsi="宋体" w:eastAsia="宋体" w:cs="宋体"/>
          <w:color w:val="auto"/>
          <w:szCs w:val="21"/>
        </w:rPr>
        <w:fldChar w:fldCharType="end"/>
      </w:r>
    </w:p>
    <w:p w14:paraId="6D7FCEA7">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_Toc22512 </w:instrText>
      </w:r>
      <w:r>
        <w:rPr>
          <w:rFonts w:hint="eastAsia" w:ascii="宋体" w:hAnsi="宋体" w:eastAsia="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_Toc22512 \h </w:instrText>
      </w:r>
      <w:r>
        <w:fldChar w:fldCharType="separate"/>
      </w:r>
      <w:r>
        <w:t>- 18 -</w:t>
      </w:r>
      <w:r>
        <w:fldChar w:fldCharType="end"/>
      </w:r>
      <w:r>
        <w:rPr>
          <w:rFonts w:hint="eastAsia" w:ascii="宋体" w:hAnsi="宋体" w:eastAsia="宋体" w:cs="宋体"/>
          <w:color w:val="auto"/>
          <w:szCs w:val="21"/>
        </w:rPr>
        <w:fldChar w:fldCharType="end"/>
      </w:r>
    </w:p>
    <w:p w14:paraId="1AC42B1B">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_Toc6371 </w:instrText>
      </w:r>
      <w:r>
        <w:rPr>
          <w:rFonts w:hint="eastAsia" w:ascii="宋体" w:hAnsi="宋体" w:eastAsia="宋体" w:cs="宋体"/>
          <w:szCs w:val="21"/>
        </w:rPr>
        <w:fldChar w:fldCharType="separate"/>
      </w:r>
      <w:r>
        <w:rPr>
          <w:rFonts w:hint="eastAsia" w:ascii="宋体" w:hAnsi="宋体" w:eastAsia="宋体" w:cs="宋体"/>
          <w:bCs w:val="0"/>
        </w:rPr>
        <w:t>三、磋商要求</w:t>
      </w:r>
      <w:r>
        <w:tab/>
      </w:r>
      <w:r>
        <w:fldChar w:fldCharType="begin"/>
      </w:r>
      <w:r>
        <w:instrText xml:space="preserve"> PAGEREF _Toc6371 \h </w:instrText>
      </w:r>
      <w:r>
        <w:fldChar w:fldCharType="separate"/>
      </w:r>
      <w:r>
        <w:t>- 18 -</w:t>
      </w:r>
      <w:r>
        <w:fldChar w:fldCharType="end"/>
      </w:r>
      <w:r>
        <w:rPr>
          <w:rFonts w:hint="eastAsia" w:ascii="宋体" w:hAnsi="宋体" w:eastAsia="宋体" w:cs="宋体"/>
          <w:color w:val="auto"/>
          <w:szCs w:val="21"/>
        </w:rPr>
        <w:fldChar w:fldCharType="end"/>
      </w:r>
    </w:p>
    <w:p w14:paraId="1437A021">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_Toc13508 </w:instrText>
      </w:r>
      <w:r>
        <w:rPr>
          <w:rFonts w:hint="eastAsia" w:ascii="宋体" w:hAnsi="宋体" w:eastAsia="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_Toc13508 \h </w:instrText>
      </w:r>
      <w:r>
        <w:fldChar w:fldCharType="separate"/>
      </w:r>
      <w:r>
        <w:t>- 19 -</w:t>
      </w:r>
      <w:r>
        <w:fldChar w:fldCharType="end"/>
      </w:r>
      <w:r>
        <w:rPr>
          <w:rFonts w:hint="eastAsia" w:ascii="宋体" w:hAnsi="宋体" w:eastAsia="宋体" w:cs="宋体"/>
          <w:color w:val="auto"/>
          <w:szCs w:val="21"/>
        </w:rPr>
        <w:fldChar w:fldCharType="end"/>
      </w:r>
    </w:p>
    <w:p w14:paraId="4EE208FA">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_Toc9505 </w:instrText>
      </w:r>
      <w:r>
        <w:rPr>
          <w:rFonts w:hint="eastAsia" w:ascii="宋体" w:hAnsi="宋体" w:eastAsia="宋体" w:cs="宋体"/>
          <w:szCs w:val="21"/>
        </w:rPr>
        <w:fldChar w:fldCharType="separate"/>
      </w:r>
      <w:r>
        <w:rPr>
          <w:rFonts w:hint="eastAsia" w:ascii="宋体" w:hAnsi="宋体" w:eastAsia="宋体" w:cs="宋体"/>
          <w:bCs w:val="0"/>
        </w:rPr>
        <w:t>五、成交通知</w:t>
      </w:r>
      <w:r>
        <w:tab/>
      </w:r>
      <w:r>
        <w:fldChar w:fldCharType="begin"/>
      </w:r>
      <w:r>
        <w:instrText xml:space="preserve"> PAGEREF _Toc9505 \h </w:instrText>
      </w:r>
      <w:r>
        <w:fldChar w:fldCharType="separate"/>
      </w:r>
      <w:r>
        <w:t>- 20 -</w:t>
      </w:r>
      <w:r>
        <w:fldChar w:fldCharType="end"/>
      </w:r>
      <w:r>
        <w:rPr>
          <w:rFonts w:hint="eastAsia" w:ascii="宋体" w:hAnsi="宋体" w:eastAsia="宋体" w:cs="宋体"/>
          <w:color w:val="auto"/>
          <w:szCs w:val="21"/>
        </w:rPr>
        <w:fldChar w:fldCharType="end"/>
      </w:r>
    </w:p>
    <w:p w14:paraId="2008C7C2">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_Toc10104 </w:instrText>
      </w:r>
      <w:r>
        <w:rPr>
          <w:rFonts w:hint="eastAsia" w:ascii="宋体" w:hAnsi="宋体" w:eastAsia="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_Toc10104 \h </w:instrText>
      </w:r>
      <w:r>
        <w:fldChar w:fldCharType="separate"/>
      </w:r>
      <w:r>
        <w:t>- 20 -</w:t>
      </w:r>
      <w:r>
        <w:fldChar w:fldCharType="end"/>
      </w:r>
      <w:r>
        <w:rPr>
          <w:rFonts w:hint="eastAsia" w:ascii="宋体" w:hAnsi="宋体" w:eastAsia="宋体" w:cs="宋体"/>
          <w:color w:val="auto"/>
          <w:szCs w:val="21"/>
        </w:rPr>
        <w:fldChar w:fldCharType="end"/>
      </w:r>
    </w:p>
    <w:p w14:paraId="6F53FB99">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_Toc2014 </w:instrText>
      </w:r>
      <w:r>
        <w:rPr>
          <w:rFonts w:hint="eastAsia" w:ascii="宋体" w:hAnsi="宋体" w:eastAsia="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_Toc2014 \h </w:instrText>
      </w:r>
      <w:r>
        <w:fldChar w:fldCharType="separate"/>
      </w:r>
      <w:r>
        <w:t>- 21 -</w:t>
      </w:r>
      <w:r>
        <w:fldChar w:fldCharType="end"/>
      </w:r>
      <w:r>
        <w:rPr>
          <w:rFonts w:hint="eastAsia" w:ascii="宋体" w:hAnsi="宋体" w:eastAsia="宋体" w:cs="宋体"/>
          <w:color w:val="auto"/>
          <w:szCs w:val="21"/>
        </w:rPr>
        <w:fldChar w:fldCharType="end"/>
      </w:r>
    </w:p>
    <w:p w14:paraId="2A78CF1B">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_Toc19293 </w:instrText>
      </w:r>
      <w:r>
        <w:rPr>
          <w:rFonts w:hint="eastAsia" w:ascii="宋体" w:hAnsi="宋体" w:eastAsia="宋体" w:cs="宋体"/>
          <w:szCs w:val="21"/>
        </w:rPr>
        <w:fldChar w:fldCharType="separate"/>
      </w:r>
      <w:r>
        <w:rPr>
          <w:rFonts w:hint="eastAsia" w:ascii="宋体" w:hAnsi="宋体" w:eastAsia="宋体" w:cs="宋体"/>
          <w:bCs w:val="0"/>
        </w:rPr>
        <w:t>八、签订合同</w:t>
      </w:r>
      <w:r>
        <w:tab/>
      </w:r>
      <w:r>
        <w:fldChar w:fldCharType="begin"/>
      </w:r>
      <w:r>
        <w:instrText xml:space="preserve"> PAGEREF _Toc19293 \h </w:instrText>
      </w:r>
      <w:r>
        <w:fldChar w:fldCharType="separate"/>
      </w:r>
      <w:r>
        <w:t>- 21 -</w:t>
      </w:r>
      <w:r>
        <w:fldChar w:fldCharType="end"/>
      </w:r>
      <w:r>
        <w:rPr>
          <w:rFonts w:hint="eastAsia" w:ascii="宋体" w:hAnsi="宋体" w:eastAsia="宋体" w:cs="宋体"/>
          <w:color w:val="auto"/>
          <w:szCs w:val="21"/>
        </w:rPr>
        <w:fldChar w:fldCharType="end"/>
      </w:r>
    </w:p>
    <w:p w14:paraId="3455A713">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_Toc16891 </w:instrText>
      </w:r>
      <w:r>
        <w:rPr>
          <w:rFonts w:hint="eastAsia" w:ascii="宋体" w:hAnsi="宋体" w:eastAsia="宋体" w:cs="宋体"/>
          <w:szCs w:val="21"/>
        </w:rPr>
        <w:fldChar w:fldCharType="separate"/>
      </w:r>
      <w:r>
        <w:rPr>
          <w:rFonts w:hint="eastAsia" w:ascii="宋体" w:hAnsi="宋体" w:eastAsia="宋体" w:cs="宋体"/>
          <w:bCs w:val="0"/>
        </w:rPr>
        <w:t>九、项目验收</w:t>
      </w:r>
      <w:r>
        <w:tab/>
      </w:r>
      <w:r>
        <w:fldChar w:fldCharType="begin"/>
      </w:r>
      <w:r>
        <w:instrText xml:space="preserve"> PAGEREF _Toc16891 \h </w:instrText>
      </w:r>
      <w:r>
        <w:fldChar w:fldCharType="separate"/>
      </w:r>
      <w:r>
        <w:t>- 22 -</w:t>
      </w:r>
      <w:r>
        <w:fldChar w:fldCharType="end"/>
      </w:r>
      <w:r>
        <w:rPr>
          <w:rFonts w:hint="eastAsia" w:ascii="宋体" w:hAnsi="宋体" w:eastAsia="宋体" w:cs="宋体"/>
          <w:color w:val="auto"/>
          <w:szCs w:val="21"/>
        </w:rPr>
        <w:fldChar w:fldCharType="end"/>
      </w:r>
    </w:p>
    <w:p w14:paraId="45BBD81B">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_Toc3394 </w:instrText>
      </w:r>
      <w:r>
        <w:rPr>
          <w:rFonts w:hint="eastAsia" w:ascii="宋体" w:hAnsi="宋体" w:eastAsia="宋体" w:cs="宋体"/>
          <w:szCs w:val="21"/>
        </w:rPr>
        <w:fldChar w:fldCharType="separate"/>
      </w:r>
      <w:r>
        <w:rPr>
          <w:rFonts w:hint="eastAsia" w:ascii="宋体" w:hAnsi="宋体" w:eastAsia="宋体" w:cs="宋体"/>
          <w:szCs w:val="30"/>
        </w:rPr>
        <w:t xml:space="preserve">第六篇  </w:t>
      </w:r>
      <w:r>
        <w:rPr>
          <w:rFonts w:hint="eastAsia" w:ascii="宋体" w:hAnsi="宋体" w:eastAsia="宋体" w:cs="宋体"/>
          <w:szCs w:val="30"/>
          <w:lang w:eastAsia="zh-CN"/>
        </w:rPr>
        <w:t>建设工程施工合同</w:t>
      </w:r>
      <w:r>
        <w:tab/>
      </w:r>
      <w:r>
        <w:fldChar w:fldCharType="begin"/>
      </w:r>
      <w:r>
        <w:instrText xml:space="preserve"> PAGEREF _Toc3394 \h </w:instrText>
      </w:r>
      <w:r>
        <w:fldChar w:fldCharType="separate"/>
      </w:r>
      <w:r>
        <w:t>- 23 -</w:t>
      </w:r>
      <w:r>
        <w:fldChar w:fldCharType="end"/>
      </w:r>
      <w:r>
        <w:rPr>
          <w:rFonts w:hint="eastAsia" w:ascii="宋体" w:hAnsi="宋体" w:eastAsia="宋体" w:cs="宋体"/>
          <w:color w:val="auto"/>
          <w:szCs w:val="21"/>
        </w:rPr>
        <w:fldChar w:fldCharType="end"/>
      </w:r>
    </w:p>
    <w:p w14:paraId="3C98C552">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_Toc1719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_Toc1719 \h </w:instrText>
      </w:r>
      <w:r>
        <w:fldChar w:fldCharType="separate"/>
      </w:r>
      <w:r>
        <w:t>- 88 -</w:t>
      </w:r>
      <w:r>
        <w:fldChar w:fldCharType="end"/>
      </w:r>
      <w:r>
        <w:rPr>
          <w:rFonts w:hint="eastAsia" w:ascii="宋体" w:hAnsi="宋体" w:eastAsia="宋体" w:cs="宋体"/>
          <w:color w:val="auto"/>
          <w:szCs w:val="21"/>
        </w:rPr>
        <w:fldChar w:fldCharType="end"/>
      </w:r>
    </w:p>
    <w:p w14:paraId="2DE4684D">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_Toc3692 </w:instrText>
      </w:r>
      <w:r>
        <w:rPr>
          <w:rFonts w:hint="eastAsia" w:ascii="宋体" w:hAnsi="宋体" w:eastAsia="宋体" w:cs="宋体"/>
          <w:szCs w:val="21"/>
        </w:rPr>
        <w:fldChar w:fldCharType="separate"/>
      </w:r>
      <w:r>
        <w:rPr>
          <w:rFonts w:hint="eastAsia" w:ascii="宋体" w:hAnsi="宋体" w:eastAsia="宋体" w:cs="宋体"/>
          <w:bCs w:val="0"/>
        </w:rPr>
        <w:t>一、经济部分</w:t>
      </w:r>
      <w:r>
        <w:tab/>
      </w:r>
      <w:r>
        <w:fldChar w:fldCharType="begin"/>
      </w:r>
      <w:r>
        <w:instrText xml:space="preserve"> PAGEREF _Toc3692 \h </w:instrText>
      </w:r>
      <w:r>
        <w:fldChar w:fldCharType="separate"/>
      </w:r>
      <w:r>
        <w:t>- 89 -</w:t>
      </w:r>
      <w:r>
        <w:fldChar w:fldCharType="end"/>
      </w:r>
      <w:r>
        <w:rPr>
          <w:rFonts w:hint="eastAsia" w:ascii="宋体" w:hAnsi="宋体" w:eastAsia="宋体" w:cs="宋体"/>
          <w:color w:val="auto"/>
          <w:szCs w:val="21"/>
        </w:rPr>
        <w:fldChar w:fldCharType="end"/>
      </w:r>
    </w:p>
    <w:p w14:paraId="77F1FC52">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_Toc18748 </w:instrText>
      </w:r>
      <w:r>
        <w:rPr>
          <w:rFonts w:hint="eastAsia" w:ascii="宋体" w:hAnsi="宋体" w:eastAsia="宋体" w:cs="宋体"/>
          <w:szCs w:val="21"/>
        </w:rPr>
        <w:fldChar w:fldCharType="separate"/>
      </w:r>
      <w:r>
        <w:rPr>
          <w:rFonts w:hint="eastAsia" w:ascii="宋体" w:hAnsi="宋体" w:eastAsia="宋体" w:cs="宋体"/>
          <w:bCs w:val="0"/>
        </w:rPr>
        <w:t>二、服务部分</w:t>
      </w:r>
      <w:r>
        <w:tab/>
      </w:r>
      <w:r>
        <w:fldChar w:fldCharType="begin"/>
      </w:r>
      <w:r>
        <w:instrText xml:space="preserve"> PAGEREF _Toc18748 \h </w:instrText>
      </w:r>
      <w:r>
        <w:fldChar w:fldCharType="separate"/>
      </w:r>
      <w:r>
        <w:t>- 91 -</w:t>
      </w:r>
      <w:r>
        <w:fldChar w:fldCharType="end"/>
      </w:r>
      <w:r>
        <w:rPr>
          <w:rFonts w:hint="eastAsia" w:ascii="宋体" w:hAnsi="宋体" w:eastAsia="宋体" w:cs="宋体"/>
          <w:color w:val="auto"/>
          <w:szCs w:val="21"/>
        </w:rPr>
        <w:fldChar w:fldCharType="end"/>
      </w:r>
    </w:p>
    <w:p w14:paraId="32265D5F">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_Toc22642 </w:instrText>
      </w:r>
      <w:r>
        <w:rPr>
          <w:rFonts w:hint="eastAsia" w:ascii="宋体" w:hAnsi="宋体" w:eastAsia="宋体" w:cs="宋体"/>
          <w:szCs w:val="21"/>
        </w:rPr>
        <w:fldChar w:fldCharType="separate"/>
      </w:r>
      <w:r>
        <w:rPr>
          <w:rFonts w:hint="eastAsia" w:ascii="宋体" w:hAnsi="宋体" w:eastAsia="宋体" w:cs="宋体"/>
          <w:bCs w:val="0"/>
        </w:rPr>
        <w:t>三、商务部分</w:t>
      </w:r>
      <w:r>
        <w:tab/>
      </w:r>
      <w:r>
        <w:fldChar w:fldCharType="begin"/>
      </w:r>
      <w:r>
        <w:instrText xml:space="preserve"> PAGEREF _Toc22642 \h </w:instrText>
      </w:r>
      <w:r>
        <w:fldChar w:fldCharType="separate"/>
      </w:r>
      <w:r>
        <w:t>- 93 -</w:t>
      </w:r>
      <w:r>
        <w:fldChar w:fldCharType="end"/>
      </w:r>
      <w:r>
        <w:rPr>
          <w:rFonts w:hint="eastAsia" w:ascii="宋体" w:hAnsi="宋体" w:eastAsia="宋体" w:cs="宋体"/>
          <w:color w:val="auto"/>
          <w:szCs w:val="21"/>
        </w:rPr>
        <w:fldChar w:fldCharType="end"/>
      </w:r>
    </w:p>
    <w:p w14:paraId="72624C06">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_Toc2963 </w:instrText>
      </w:r>
      <w:r>
        <w:rPr>
          <w:rFonts w:hint="eastAsia" w:ascii="宋体" w:hAnsi="宋体" w:eastAsia="宋体" w:cs="宋体"/>
          <w:szCs w:val="21"/>
        </w:rPr>
        <w:fldChar w:fldCharType="separate"/>
      </w:r>
      <w:r>
        <w:rPr>
          <w:rFonts w:hint="eastAsia" w:ascii="宋体" w:hAnsi="宋体" w:eastAsia="宋体" w:cs="宋体"/>
          <w:bCs w:val="0"/>
        </w:rPr>
        <w:t>四、资格条件</w:t>
      </w:r>
      <w:r>
        <w:tab/>
      </w:r>
      <w:r>
        <w:fldChar w:fldCharType="begin"/>
      </w:r>
      <w:r>
        <w:instrText xml:space="preserve"> PAGEREF _Toc2963 \h </w:instrText>
      </w:r>
      <w:r>
        <w:fldChar w:fldCharType="separate"/>
      </w:r>
      <w:r>
        <w:t>- 95 -</w:t>
      </w:r>
      <w:r>
        <w:fldChar w:fldCharType="end"/>
      </w:r>
      <w:r>
        <w:rPr>
          <w:rFonts w:hint="eastAsia" w:ascii="宋体" w:hAnsi="宋体" w:eastAsia="宋体" w:cs="宋体"/>
          <w:color w:val="auto"/>
          <w:szCs w:val="21"/>
        </w:rPr>
        <w:fldChar w:fldCharType="end"/>
      </w:r>
    </w:p>
    <w:p w14:paraId="0DB9494B">
      <w:pPr>
        <w:pStyle w:val="25"/>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_Toc12500 </w:instrText>
      </w:r>
      <w:r>
        <w:rPr>
          <w:rFonts w:hint="eastAsia" w:ascii="宋体" w:hAnsi="宋体" w:eastAsia="宋体" w:cs="宋体"/>
          <w:szCs w:val="21"/>
        </w:rPr>
        <w:fldChar w:fldCharType="separate"/>
      </w:r>
      <w:r>
        <w:rPr>
          <w:rFonts w:hint="eastAsia" w:ascii="宋体" w:hAnsi="宋体" w:eastAsia="宋体" w:cs="宋体"/>
          <w:bCs w:val="0"/>
        </w:rPr>
        <w:t>五、其他资料</w:t>
      </w:r>
      <w:r>
        <w:tab/>
      </w:r>
      <w:r>
        <w:fldChar w:fldCharType="begin"/>
      </w:r>
      <w:r>
        <w:instrText xml:space="preserve"> PAGEREF _Toc12500 \h </w:instrText>
      </w:r>
      <w:r>
        <w:fldChar w:fldCharType="separate"/>
      </w:r>
      <w:r>
        <w:t>- 100 -</w:t>
      </w:r>
      <w:r>
        <w:fldChar w:fldCharType="end"/>
      </w:r>
      <w:r>
        <w:rPr>
          <w:rFonts w:hint="eastAsia" w:ascii="宋体" w:hAnsi="宋体" w:eastAsia="宋体" w:cs="宋体"/>
          <w:color w:val="auto"/>
          <w:szCs w:val="21"/>
        </w:rPr>
        <w:fldChar w:fldCharType="end"/>
      </w:r>
    </w:p>
    <w:p w14:paraId="7D20DB34">
      <w:pPr>
        <w:pStyle w:val="25"/>
        <w:tabs>
          <w:tab w:val="right" w:leader="dot" w:pos="9402"/>
        </w:tabs>
        <w:spacing w:line="480" w:lineRule="exact"/>
        <w:ind w:left="560"/>
        <w:jc w:val="center"/>
        <w:rPr>
          <w:rFonts w:hint="eastAsia" w:ascii="宋体" w:hAnsi="宋体" w:eastAsia="宋体" w:cs="宋体"/>
          <w:color w:val="auto"/>
          <w:sz w:val="18"/>
          <w:szCs w:val="22"/>
        </w:rPr>
        <w:sectPr>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auto"/>
          <w:szCs w:val="21"/>
        </w:rPr>
        <w:fldChar w:fldCharType="end"/>
      </w:r>
      <w:bookmarkEnd w:id="6"/>
    </w:p>
    <w:p w14:paraId="633ED936">
      <w:pPr>
        <w:pStyle w:val="4"/>
        <w:numPr>
          <w:ilvl w:val="1"/>
          <w:numId w:val="0"/>
        </w:numPr>
        <w:spacing w:line="360" w:lineRule="auto"/>
        <w:jc w:val="center"/>
        <w:rPr>
          <w:rFonts w:hint="eastAsia" w:ascii="宋体" w:hAnsi="宋体" w:eastAsia="宋体" w:cs="宋体"/>
          <w:color w:val="auto"/>
          <w:szCs w:val="30"/>
        </w:rPr>
      </w:pPr>
      <w:bookmarkStart w:id="7" w:name="_Toc12789052"/>
      <w:bookmarkStart w:id="8" w:name="_Toc11641050"/>
      <w:bookmarkStart w:id="9" w:name="_Toc106030870"/>
      <w:bookmarkStart w:id="10" w:name="_Toc4184"/>
      <w:bookmarkStart w:id="11" w:name="_Toc9852"/>
      <w:bookmarkStart w:id="12" w:name="_Toc4932"/>
      <w:bookmarkStart w:id="13" w:name="_Toc181"/>
      <w:bookmarkStart w:id="14" w:name="_Toc76462316"/>
      <w:bookmarkStart w:id="15" w:name="_Toc19240"/>
      <w:r>
        <w:rPr>
          <w:rFonts w:hint="eastAsia" w:ascii="宋体" w:hAnsi="宋体" w:eastAsia="宋体" w:cs="宋体"/>
          <w:color w:val="auto"/>
          <w:sz w:val="36"/>
          <w:szCs w:val="30"/>
        </w:rPr>
        <w:t>第一篇  采购邀请书</w:t>
      </w:r>
      <w:bookmarkEnd w:id="7"/>
      <w:bookmarkEnd w:id="8"/>
      <w:bookmarkEnd w:id="9"/>
      <w:bookmarkEnd w:id="10"/>
      <w:bookmarkEnd w:id="11"/>
      <w:bookmarkEnd w:id="12"/>
      <w:bookmarkEnd w:id="13"/>
      <w:bookmarkEnd w:id="14"/>
      <w:bookmarkEnd w:id="15"/>
    </w:p>
    <w:p w14:paraId="2352D53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重庆千策招标代理有限公司</w:t>
      </w:r>
      <w:r>
        <w:rPr>
          <w:rFonts w:hint="eastAsia" w:ascii="宋体" w:hAnsi="宋体" w:eastAsia="宋体" w:cs="宋体"/>
          <w:color w:val="auto"/>
          <w:sz w:val="24"/>
          <w:szCs w:val="24"/>
        </w:rPr>
        <w:t>（以下简称：采购代理机构）接受</w:t>
      </w:r>
      <w:r>
        <w:rPr>
          <w:rFonts w:hint="eastAsia" w:ascii="宋体" w:hAnsi="宋体" w:eastAsia="宋体" w:cs="宋体"/>
          <w:color w:val="auto"/>
          <w:sz w:val="24"/>
          <w:szCs w:val="24"/>
          <w:u w:val="single"/>
          <w:lang w:eastAsia="zh-CN"/>
        </w:rPr>
        <w:t>重庆市石桥铺殡仪馆</w:t>
      </w:r>
      <w:r>
        <w:rPr>
          <w:rFonts w:hint="eastAsia" w:ascii="宋体" w:hAnsi="宋体" w:eastAsia="宋体" w:cs="宋体"/>
          <w:color w:val="auto"/>
          <w:sz w:val="24"/>
          <w:szCs w:val="24"/>
        </w:rPr>
        <w:t>（以下简称：采购人）的委托，对</w:t>
      </w:r>
      <w:r>
        <w:rPr>
          <w:rFonts w:hint="eastAsia" w:ascii="宋体" w:hAnsi="宋体" w:cs="宋体"/>
          <w:color w:val="auto"/>
          <w:sz w:val="24"/>
          <w:szCs w:val="24"/>
          <w:u w:val="single"/>
          <w:lang w:eastAsia="zh-CN"/>
        </w:rPr>
        <w:t>火化车间尾气处理设备雨棚改造维修</w:t>
      </w:r>
      <w:r>
        <w:rPr>
          <w:rFonts w:hint="eastAsia" w:ascii="宋体" w:hAnsi="宋体" w:eastAsia="宋体" w:cs="宋体"/>
          <w:color w:val="auto"/>
          <w:sz w:val="24"/>
          <w:szCs w:val="24"/>
        </w:rPr>
        <w:t>进行竞争性磋商采购。欢迎有资格的供应商前来参与磋商。</w:t>
      </w:r>
    </w:p>
    <w:p w14:paraId="47AB8935">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6" w:name="_Toc20549"/>
      <w:bookmarkStart w:id="17" w:name="_Toc9379"/>
      <w:bookmarkStart w:id="18" w:name="_Toc22832"/>
      <w:bookmarkStart w:id="19" w:name="_Toc313893526"/>
      <w:bookmarkStart w:id="20" w:name="_Toc317775175"/>
      <w:bookmarkStart w:id="21" w:name="_Toc106030871"/>
      <w:bookmarkStart w:id="22" w:name="_Toc76462317"/>
      <w:bookmarkStart w:id="23" w:name="_Toc27081"/>
      <w:bookmarkStart w:id="24" w:name="_Toc20620"/>
      <w:r>
        <w:rPr>
          <w:rFonts w:hint="eastAsia" w:ascii="宋体" w:hAnsi="宋体" w:eastAsia="宋体" w:cs="宋体"/>
          <w:b/>
          <w:bCs w:val="0"/>
          <w:color w:val="auto"/>
          <w:sz w:val="24"/>
        </w:rPr>
        <w:t>一、竞争性磋商内容</w:t>
      </w:r>
      <w:bookmarkEnd w:id="16"/>
      <w:bookmarkEnd w:id="17"/>
      <w:bookmarkEnd w:id="18"/>
      <w:bookmarkEnd w:id="19"/>
      <w:bookmarkEnd w:id="20"/>
      <w:bookmarkEnd w:id="21"/>
      <w:bookmarkEnd w:id="22"/>
      <w:bookmarkEnd w:id="23"/>
      <w:bookmarkEnd w:id="24"/>
    </w:p>
    <w:tbl>
      <w:tblPr>
        <w:tblStyle w:val="3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1366"/>
        <w:gridCol w:w="1567"/>
        <w:gridCol w:w="1976"/>
      </w:tblGrid>
      <w:tr w14:paraId="662F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148" w:type="dxa"/>
            <w:tcBorders>
              <w:top w:val="single" w:color="auto" w:sz="4" w:space="0"/>
              <w:left w:val="single" w:color="auto" w:sz="4" w:space="0"/>
              <w:right w:val="single" w:color="auto" w:sz="4" w:space="0"/>
            </w:tcBorders>
            <w:vAlign w:val="center"/>
          </w:tcPr>
          <w:p w14:paraId="325882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磋商项目名称</w:t>
            </w:r>
          </w:p>
        </w:tc>
        <w:tc>
          <w:tcPr>
            <w:tcW w:w="1366" w:type="dxa"/>
            <w:tcBorders>
              <w:top w:val="single" w:color="auto" w:sz="4" w:space="0"/>
              <w:left w:val="single" w:color="auto" w:sz="4" w:space="0"/>
              <w:right w:val="single" w:color="auto" w:sz="4" w:space="0"/>
            </w:tcBorders>
            <w:vAlign w:val="center"/>
          </w:tcPr>
          <w:p w14:paraId="45856C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14:paraId="7292B9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w:t>
            </w:r>
          </w:p>
        </w:tc>
        <w:tc>
          <w:tcPr>
            <w:tcW w:w="1567" w:type="dxa"/>
            <w:tcBorders>
              <w:top w:val="single" w:color="auto" w:sz="4" w:space="0"/>
              <w:left w:val="single" w:color="auto" w:sz="4" w:space="0"/>
              <w:right w:val="single" w:color="auto" w:sz="4" w:space="0"/>
            </w:tcBorders>
            <w:vAlign w:val="center"/>
          </w:tcPr>
          <w:p w14:paraId="6943D6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磋商保证金</w:t>
            </w:r>
          </w:p>
          <w:p w14:paraId="17753F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（元）</w:t>
            </w:r>
          </w:p>
        </w:tc>
        <w:tc>
          <w:tcPr>
            <w:tcW w:w="1976" w:type="dxa"/>
            <w:tcBorders>
              <w:top w:val="single" w:color="auto" w:sz="4" w:space="0"/>
              <w:left w:val="single" w:color="auto" w:sz="4" w:space="0"/>
              <w:right w:val="single" w:color="auto" w:sz="4" w:space="0"/>
            </w:tcBorders>
            <w:vAlign w:val="center"/>
          </w:tcPr>
          <w:p w14:paraId="24B8CF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r>
      <w:tr w14:paraId="0E6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148" w:type="dxa"/>
            <w:tcBorders>
              <w:top w:val="single" w:color="auto" w:sz="4" w:space="0"/>
              <w:left w:val="single" w:color="auto" w:sz="4" w:space="0"/>
              <w:bottom w:val="single" w:color="auto" w:sz="4" w:space="0"/>
              <w:right w:val="single" w:color="auto" w:sz="4" w:space="0"/>
            </w:tcBorders>
            <w:vAlign w:val="center"/>
          </w:tcPr>
          <w:p w14:paraId="1812FB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eastAsia="zh-CN"/>
              </w:rPr>
            </w:pPr>
            <w:bookmarkStart w:id="25" w:name="_Hlk344477914"/>
            <w:r>
              <w:rPr>
                <w:rFonts w:hint="eastAsia" w:ascii="宋体" w:hAnsi="宋体" w:cs="宋体"/>
                <w:color w:val="auto"/>
                <w:kern w:val="0"/>
                <w:sz w:val="24"/>
                <w:szCs w:val="24"/>
                <w:lang w:eastAsia="zh-CN"/>
              </w:rPr>
              <w:t>火化车间尾气处理设备雨棚改造维修</w:t>
            </w:r>
          </w:p>
        </w:tc>
        <w:tc>
          <w:tcPr>
            <w:tcW w:w="1366" w:type="dxa"/>
            <w:tcBorders>
              <w:top w:val="single" w:color="auto" w:sz="4" w:space="0"/>
              <w:left w:val="single" w:color="auto" w:sz="4" w:space="0"/>
              <w:bottom w:val="single" w:color="auto" w:sz="4" w:space="0"/>
              <w:right w:val="single" w:color="auto" w:sz="4" w:space="0"/>
            </w:tcBorders>
            <w:vAlign w:val="center"/>
          </w:tcPr>
          <w:p w14:paraId="7E24E3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176610.43</w:t>
            </w:r>
          </w:p>
        </w:tc>
        <w:tc>
          <w:tcPr>
            <w:tcW w:w="1567" w:type="dxa"/>
            <w:tcBorders>
              <w:top w:val="single" w:color="auto" w:sz="4" w:space="0"/>
              <w:left w:val="single" w:color="auto" w:sz="4" w:space="0"/>
              <w:bottom w:val="single" w:color="auto" w:sz="4" w:space="0"/>
              <w:right w:val="single" w:color="auto" w:sz="4" w:space="0"/>
            </w:tcBorders>
            <w:vAlign w:val="center"/>
          </w:tcPr>
          <w:p w14:paraId="3B6124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2000.00</w:t>
            </w:r>
          </w:p>
        </w:tc>
        <w:tc>
          <w:tcPr>
            <w:tcW w:w="1976" w:type="dxa"/>
            <w:tcBorders>
              <w:top w:val="single" w:color="auto" w:sz="4" w:space="0"/>
              <w:left w:val="single" w:color="auto" w:sz="4" w:space="0"/>
              <w:bottom w:val="single" w:color="auto" w:sz="4" w:space="0"/>
              <w:right w:val="single" w:color="auto" w:sz="4" w:space="0"/>
            </w:tcBorders>
            <w:vAlign w:val="center"/>
          </w:tcPr>
          <w:p w14:paraId="759BFC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w:t>
            </w:r>
          </w:p>
        </w:tc>
      </w:tr>
      <w:bookmarkEnd w:id="25"/>
    </w:tbl>
    <w:p w14:paraId="312899C3">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6" w:name="_Toc28682"/>
      <w:bookmarkStart w:id="27" w:name="_Toc10459"/>
      <w:bookmarkStart w:id="28" w:name="_Toc106030873"/>
      <w:bookmarkStart w:id="29" w:name="_Toc21041"/>
      <w:bookmarkStart w:id="30" w:name="_Toc76462319"/>
      <w:bookmarkStart w:id="31" w:name="_Toc21123"/>
      <w:bookmarkStart w:id="32" w:name="_Toc29253"/>
      <w:bookmarkStart w:id="33" w:name="_Toc373860293"/>
      <w:bookmarkStart w:id="34" w:name="_Toc317775178"/>
      <w:r>
        <w:rPr>
          <w:rFonts w:hint="eastAsia" w:ascii="宋体" w:hAnsi="宋体" w:eastAsia="宋体" w:cs="宋体"/>
          <w:b/>
          <w:bCs w:val="0"/>
          <w:color w:val="auto"/>
          <w:sz w:val="24"/>
        </w:rPr>
        <w:t>二、资金来源</w:t>
      </w:r>
      <w:bookmarkEnd w:id="26"/>
    </w:p>
    <w:p w14:paraId="0C4C05A1">
      <w:pPr>
        <w:spacing w:line="4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财政</w:t>
      </w:r>
      <w:r>
        <w:rPr>
          <w:rFonts w:hint="eastAsia" w:ascii="宋体" w:hAnsi="宋体" w:eastAsia="宋体" w:cs="宋体"/>
          <w:color w:val="auto"/>
          <w:sz w:val="24"/>
          <w:szCs w:val="24"/>
        </w:rPr>
        <w:t>资金，预算金额</w:t>
      </w:r>
      <w:r>
        <w:rPr>
          <w:rFonts w:hint="eastAsia" w:ascii="宋体" w:hAnsi="宋体" w:eastAsia="宋体" w:cs="宋体"/>
          <w:color w:val="auto"/>
          <w:kern w:val="0"/>
          <w:sz w:val="24"/>
          <w:szCs w:val="24"/>
          <w:lang w:val="en-US" w:eastAsia="zh-CN"/>
        </w:rPr>
        <w:t>176610.43</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（安全文明施工费5962.75元）</w:t>
      </w:r>
      <w:r>
        <w:rPr>
          <w:rFonts w:hint="eastAsia" w:ascii="宋体" w:hAnsi="宋体" w:eastAsia="宋体" w:cs="宋体"/>
          <w:color w:val="auto"/>
          <w:sz w:val="24"/>
          <w:szCs w:val="24"/>
        </w:rPr>
        <w:t>。</w:t>
      </w:r>
    </w:p>
    <w:p w14:paraId="6CA3E9AD">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35" w:name="_Toc18943"/>
      <w:r>
        <w:rPr>
          <w:rFonts w:hint="eastAsia" w:ascii="宋体" w:hAnsi="宋体" w:eastAsia="宋体" w:cs="宋体"/>
          <w:b/>
          <w:bCs w:val="0"/>
          <w:color w:val="auto"/>
          <w:sz w:val="24"/>
        </w:rPr>
        <w:t>三、供应商资格条件</w:t>
      </w:r>
      <w:bookmarkEnd w:id="27"/>
      <w:bookmarkEnd w:id="28"/>
      <w:bookmarkEnd w:id="29"/>
      <w:bookmarkEnd w:id="30"/>
      <w:bookmarkEnd w:id="31"/>
      <w:bookmarkEnd w:id="32"/>
      <w:bookmarkEnd w:id="35"/>
    </w:p>
    <w:p w14:paraId="3D0721BF">
      <w:pPr>
        <w:spacing w:line="400" w:lineRule="exact"/>
        <w:ind w:firstLine="480" w:firstLineChars="200"/>
        <w:rPr>
          <w:rFonts w:hint="eastAsia" w:ascii="宋体" w:hAnsi="宋体" w:eastAsia="宋体" w:cs="宋体"/>
          <w:color w:val="auto"/>
          <w:sz w:val="24"/>
          <w:szCs w:val="24"/>
        </w:rPr>
      </w:pPr>
      <w:bookmarkStart w:id="36" w:name="_Toc1125"/>
      <w:bookmarkStart w:id="37" w:name="_Toc106030874"/>
      <w:bookmarkStart w:id="38" w:name="_Toc76462320"/>
      <w:bookmarkStart w:id="39" w:name="_Toc20997"/>
      <w:bookmarkStart w:id="40" w:name="_Toc13709"/>
      <w:bookmarkStart w:id="41" w:name="_Toc26353"/>
      <w:r>
        <w:rPr>
          <w:rFonts w:hint="eastAsia" w:ascii="宋体" w:hAnsi="宋体" w:eastAsia="宋体" w:cs="宋体"/>
          <w:color w:val="auto"/>
          <w:sz w:val="24"/>
          <w:szCs w:val="24"/>
        </w:rPr>
        <w:t>（一）满足《中华人民共和国政府采购法》第二十二条规</w:t>
      </w:r>
      <w:r>
        <w:rPr>
          <w:rFonts w:hint="eastAsia" w:ascii="宋体" w:hAnsi="宋体" w:eastAsia="宋体" w:cs="宋体"/>
          <w:color w:val="auto"/>
          <w:sz w:val="24"/>
          <w:szCs w:val="24"/>
          <w:lang w:val="en-US" w:eastAsia="zh-CN"/>
        </w:rPr>
        <w:t>定</w:t>
      </w:r>
      <w:r>
        <w:rPr>
          <w:rFonts w:hint="eastAsia" w:ascii="宋体" w:hAnsi="宋体" w:eastAsia="宋体" w:cs="宋体"/>
          <w:color w:val="auto"/>
          <w:sz w:val="24"/>
          <w:szCs w:val="24"/>
          <w:lang w:eastAsia="zh-CN"/>
        </w:rPr>
        <w:t>。</w:t>
      </w:r>
    </w:p>
    <w:p w14:paraId="72DF421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14:paraId="4E117B6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1.供应商具备建设行政主管部门颁发的有效的建筑工程施工总承包三级及以上资质或者</w:t>
      </w:r>
      <w:r>
        <w:rPr>
          <w:rFonts w:hint="eastAsia" w:ascii="宋体" w:hAnsi="宋体" w:cs="宋体"/>
          <w:color w:val="auto"/>
          <w:sz w:val="24"/>
          <w:szCs w:val="24"/>
          <w:highlight w:val="none"/>
        </w:rPr>
        <w:t>市政公用工程施工总承包</w:t>
      </w:r>
      <w:r>
        <w:rPr>
          <w:rFonts w:hint="eastAsia" w:ascii="宋体" w:hAnsi="宋体" w:eastAsia="宋体" w:cs="宋体"/>
          <w:color w:val="auto"/>
          <w:sz w:val="24"/>
          <w:szCs w:val="24"/>
          <w:highlight w:val="none"/>
          <w:lang w:val="en-US" w:eastAsia="zh-CN"/>
        </w:rPr>
        <w:t>三级及以上资质</w:t>
      </w: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【投标时，响应文件中</w:t>
      </w:r>
      <w:r>
        <w:rPr>
          <w:rFonts w:hint="eastAsia" w:ascii="宋体" w:hAnsi="宋体" w:eastAsia="宋体" w:cs="宋体"/>
          <w:b/>
          <w:bCs/>
          <w:color w:val="auto"/>
          <w:sz w:val="24"/>
          <w:szCs w:val="24"/>
          <w:highlight w:val="none"/>
          <w:lang w:val="en-US" w:eastAsia="zh-CN"/>
        </w:rPr>
        <w:t>提供证书复印件</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加盖供应商公章</w:t>
      </w:r>
      <w:r>
        <w:rPr>
          <w:rFonts w:hint="eastAsia" w:ascii="宋体" w:hAnsi="宋体" w:cs="宋体"/>
          <w:b/>
          <w:bCs/>
          <w:color w:val="auto"/>
          <w:sz w:val="24"/>
          <w:szCs w:val="24"/>
          <w:highlight w:val="none"/>
          <w:lang w:val="en-US" w:eastAsia="zh-CN"/>
        </w:rPr>
        <w:t>】</w:t>
      </w:r>
    </w:p>
    <w:p w14:paraId="798532EB">
      <w:pPr>
        <w:pStyle w:val="14"/>
        <w:ind w:firstLine="42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2.供应商须具备有效的安全生产许可证</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【投标时，响应文件中</w:t>
      </w:r>
      <w:r>
        <w:rPr>
          <w:rFonts w:hint="eastAsia" w:ascii="宋体" w:hAnsi="宋体" w:eastAsia="宋体" w:cs="宋体"/>
          <w:b/>
          <w:bCs/>
          <w:color w:val="auto"/>
          <w:sz w:val="24"/>
          <w:szCs w:val="24"/>
          <w:highlight w:val="none"/>
          <w:lang w:val="en-US" w:eastAsia="zh-CN"/>
        </w:rPr>
        <w:t>提供证书复印件</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加盖供应商公章</w:t>
      </w:r>
      <w:r>
        <w:rPr>
          <w:rFonts w:hint="eastAsia" w:ascii="宋体" w:hAnsi="宋体" w:cs="宋体"/>
          <w:b/>
          <w:bCs/>
          <w:color w:val="auto"/>
          <w:sz w:val="24"/>
          <w:szCs w:val="24"/>
          <w:highlight w:val="none"/>
          <w:lang w:val="en-US" w:eastAsia="zh-CN"/>
        </w:rPr>
        <w:t>】</w:t>
      </w:r>
    </w:p>
    <w:p w14:paraId="6F49F74D">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42" w:name="_Toc31877"/>
      <w:r>
        <w:rPr>
          <w:rFonts w:hint="eastAsia" w:ascii="宋体" w:hAnsi="宋体" w:eastAsia="宋体" w:cs="宋体"/>
          <w:b/>
          <w:bCs w:val="0"/>
          <w:color w:val="auto"/>
          <w:sz w:val="24"/>
        </w:rPr>
        <w:t>四、磋商有关说明</w:t>
      </w:r>
      <w:bookmarkEnd w:id="33"/>
      <w:bookmarkEnd w:id="36"/>
      <w:bookmarkEnd w:id="37"/>
      <w:bookmarkEnd w:id="38"/>
      <w:bookmarkEnd w:id="39"/>
      <w:bookmarkEnd w:id="40"/>
      <w:bookmarkEnd w:id="41"/>
      <w:bookmarkEnd w:id="42"/>
    </w:p>
    <w:p w14:paraId="51E13D4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（一）请有意参加本项目的供应商按要求进行注册，通过“行采家”（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"https://www.gec123.com/），登记加入"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https://www.gec123.com/），登记加入“行采家供应商库”。</w:t>
      </w:r>
      <w:r>
        <w:rPr>
          <w:rFonts w:hint="eastAsia" w:ascii="宋体" w:hAnsi="宋体" w:eastAsia="宋体" w:cs="宋体"/>
          <w:color w:val="auto"/>
          <w:sz w:val="24"/>
          <w:szCs w:val="24"/>
        </w:rPr>
        <w:fldChar w:fldCharType="end"/>
      </w:r>
    </w:p>
    <w:p w14:paraId="70B058B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177AA68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（三）竞争性磋商公告期限：自采购公告发布之日起三个工作日。</w:t>
      </w:r>
    </w:p>
    <w:p w14:paraId="5AE43A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（四）竞争性磋商文件发售期限： </w:t>
      </w:r>
    </w:p>
    <w:p w14:paraId="1BDB0B1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1.竞争性磋商文件发售期：20</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日至20</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w:t>
      </w:r>
    </w:p>
    <w:p w14:paraId="330C8AA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2.报名方式：供应商将《重庆千策招标代理有限公司</w:t>
      </w:r>
      <w:r>
        <w:rPr>
          <w:rFonts w:hint="eastAsia" w:ascii="宋体" w:hAnsi="宋体" w:cs="宋体"/>
          <w:color w:val="auto"/>
          <w:sz w:val="24"/>
          <w:szCs w:val="24"/>
          <w:lang w:eastAsia="zh-CN"/>
        </w:rPr>
        <w:t>报名</w:t>
      </w:r>
      <w:r>
        <w:rPr>
          <w:rFonts w:hint="eastAsia" w:ascii="宋体" w:hAnsi="宋体" w:eastAsia="宋体" w:cs="宋体"/>
          <w:color w:val="auto"/>
          <w:sz w:val="24"/>
          <w:szCs w:val="24"/>
        </w:rPr>
        <w:t>表》（加盖供应商公章）扫描后发送至3097860773@qq.com （邮箱）。</w:t>
      </w:r>
    </w:p>
    <w:p w14:paraId="4E36E2C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3.竞争性磋商文件售价：人民币300元/份，磋商文件购买费由各供应商在磋商当日递交响应文件时一并缴纳。</w:t>
      </w:r>
    </w:p>
    <w:p w14:paraId="07D377F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（五）递交响应文件地点：重庆千策招标代理有限公司（重庆市渝北区星光大道82号天王星D1-2栋7楼）会议室</w:t>
      </w:r>
    </w:p>
    <w:p w14:paraId="121127CA">
      <w:pPr>
        <w:spacing w:line="400" w:lineRule="exact"/>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rPr>
        <w:t>（六）响应文件递交开始时间：20</w:t>
      </w:r>
      <w:r>
        <w:rPr>
          <w:rFonts w:hint="eastAsia" w:ascii="宋体" w:hAnsi="宋体" w:cs="宋体"/>
          <w:color w:val="FF0000"/>
          <w:sz w:val="24"/>
          <w:szCs w:val="24"/>
          <w:lang w:val="en-US" w:eastAsia="zh-CN"/>
        </w:rPr>
        <w:t>25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23</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09</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30</w:t>
      </w:r>
    </w:p>
    <w:p w14:paraId="6ADC5A3B">
      <w:pPr>
        <w:spacing w:line="400" w:lineRule="exact"/>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rPr>
        <w:t>（七）响应文件递交截止时间：20</w:t>
      </w:r>
      <w:r>
        <w:rPr>
          <w:rFonts w:hint="eastAsia" w:ascii="宋体" w:hAnsi="宋体" w:cs="宋体"/>
          <w:color w:val="FF0000"/>
          <w:sz w:val="24"/>
          <w:szCs w:val="24"/>
          <w:lang w:val="en-US" w:eastAsia="zh-CN"/>
        </w:rPr>
        <w:t>25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23</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00</w:t>
      </w:r>
    </w:p>
    <w:p w14:paraId="524CF736">
      <w:pPr>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（八）磋商开始时间：</w:t>
      </w:r>
      <w:bookmarkStart w:id="1282" w:name="_GoBack"/>
      <w:r>
        <w:rPr>
          <w:rFonts w:hint="eastAsia" w:ascii="宋体" w:hAnsi="宋体" w:eastAsia="宋体" w:cs="宋体"/>
          <w:color w:val="FF0000"/>
          <w:sz w:val="24"/>
          <w:szCs w:val="24"/>
        </w:rPr>
        <w:t>20</w:t>
      </w:r>
      <w:r>
        <w:rPr>
          <w:rFonts w:hint="eastAsia" w:ascii="宋体" w:hAnsi="宋体" w:cs="宋体"/>
          <w:color w:val="FF0000"/>
          <w:sz w:val="24"/>
          <w:szCs w:val="24"/>
          <w:lang w:val="en-US" w:eastAsia="zh-CN"/>
        </w:rPr>
        <w:t>25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23</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00</w:t>
      </w:r>
      <w:bookmarkEnd w:id="1282"/>
    </w:p>
    <w:bookmarkEnd w:id="34"/>
    <w:p w14:paraId="50385459">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43" w:name="_Toc6621"/>
      <w:bookmarkStart w:id="44" w:name="_Toc373860294"/>
      <w:bookmarkStart w:id="45" w:name="_Toc17643"/>
      <w:bookmarkStart w:id="46" w:name="_Toc25280"/>
      <w:bookmarkStart w:id="47" w:name="_Toc8626"/>
      <w:bookmarkStart w:id="48" w:name="_Toc9909"/>
      <w:bookmarkStart w:id="49" w:name="_Toc76462322"/>
      <w:bookmarkStart w:id="50" w:name="_Toc24994"/>
      <w:bookmarkStart w:id="51" w:name="_Toc106030876"/>
      <w:bookmarkStart w:id="52" w:name="_Toc480466699"/>
      <w:r>
        <w:rPr>
          <w:rFonts w:hint="eastAsia" w:ascii="宋体" w:hAnsi="宋体" w:eastAsia="宋体" w:cs="宋体"/>
          <w:b/>
          <w:bCs w:val="0"/>
          <w:color w:val="auto"/>
          <w:sz w:val="24"/>
        </w:rPr>
        <w:t>五、</w:t>
      </w:r>
      <w:r>
        <w:rPr>
          <w:rFonts w:hint="eastAsia" w:ascii="宋体" w:hAnsi="宋体" w:eastAsia="宋体" w:cs="宋体"/>
          <w:b/>
          <w:bCs w:val="0"/>
          <w:color w:val="auto"/>
          <w:sz w:val="24"/>
          <w:lang w:eastAsia="zh-CN"/>
        </w:rPr>
        <w:t>磋商</w:t>
      </w:r>
      <w:r>
        <w:rPr>
          <w:rFonts w:hint="eastAsia" w:ascii="宋体" w:hAnsi="宋体" w:eastAsia="宋体" w:cs="宋体"/>
          <w:b/>
          <w:bCs w:val="0"/>
          <w:color w:val="auto"/>
          <w:sz w:val="24"/>
        </w:rPr>
        <w:t>保证金</w:t>
      </w:r>
      <w:bookmarkEnd w:id="43"/>
      <w:bookmarkEnd w:id="44"/>
      <w:bookmarkEnd w:id="45"/>
      <w:bookmarkEnd w:id="46"/>
      <w:bookmarkEnd w:id="47"/>
      <w:bookmarkEnd w:id="48"/>
    </w:p>
    <w:p w14:paraId="7955A20A">
      <w:pPr>
        <w:snapToGrid w:val="0"/>
        <w:spacing w:line="400" w:lineRule="exact"/>
        <w:ind w:firstLine="360" w:firstLineChars="150"/>
        <w:rPr>
          <w:rFonts w:hint="eastAsia" w:ascii="宋体" w:hAnsi="宋体" w:eastAsia="宋体" w:cs="宋体"/>
          <w:color w:val="auto"/>
          <w:sz w:val="24"/>
          <w:szCs w:val="24"/>
        </w:rPr>
      </w:pPr>
      <w:bookmarkStart w:id="53" w:name="_Toc480466698"/>
      <w:bookmarkStart w:id="54" w:name="_Toc479668114"/>
      <w:bookmarkStart w:id="55" w:name="_Toc8838"/>
      <w:bookmarkStart w:id="56" w:name="_Toc1340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保证金递交</w:t>
      </w:r>
    </w:p>
    <w:p w14:paraId="19F89751">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1.供应商应足额缴纳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保证金金额详见本篇，一、竞争性磋商内容），并汇至以下账户，</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保证金的到账截止时间同响应文件递交截止时间。</w:t>
      </w:r>
    </w:p>
    <w:p w14:paraId="694F7CF8">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保证金账户：</w:t>
      </w:r>
    </w:p>
    <w:p w14:paraId="03B31DC3">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户  名：重庆千策招标代理有限公司</w:t>
      </w:r>
    </w:p>
    <w:p w14:paraId="0C8CB0DB">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开户行：中国建设银行重庆杨家坪支行</w:t>
      </w:r>
    </w:p>
    <w:p w14:paraId="4BE079AE">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账  号：50050103360000000623</w:t>
      </w:r>
    </w:p>
    <w:p w14:paraId="758E3D58">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2.各供应商在银行转账（电汇）时，须充分考虑银行转账（电汇）的时间差风险，如同城转账、异地转账或汇款、跨行转账或电汇的时间要求。</w:t>
      </w:r>
    </w:p>
    <w:p w14:paraId="7E6E12F0">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保证金退还方式</w:t>
      </w:r>
    </w:p>
    <w:bookmarkEnd w:id="53"/>
    <w:bookmarkEnd w:id="54"/>
    <w:p w14:paraId="5A1CBFA9">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1.未成交供应商的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保证金，在成交通知书发放后，采购代理机构在五个工作日内按供应商来款账户信息退还。</w:t>
      </w:r>
    </w:p>
    <w:p w14:paraId="3149B78B">
      <w:pPr>
        <w:snapToGrid w:val="0"/>
        <w:spacing w:line="400" w:lineRule="exact"/>
        <w:ind w:firstLine="360" w:firstLineChars="150"/>
        <w:rPr>
          <w:rFonts w:hint="eastAsia" w:ascii="宋体" w:hAnsi="宋体" w:eastAsia="宋体" w:cs="宋体"/>
          <w:color w:val="auto"/>
          <w:sz w:val="24"/>
          <w:szCs w:val="24"/>
        </w:rPr>
      </w:pPr>
      <w:bookmarkStart w:id="57" w:name="_Toc11537"/>
      <w:bookmarkStart w:id="58" w:name="_Toc22148"/>
      <w:r>
        <w:rPr>
          <w:rFonts w:hint="eastAsia" w:ascii="宋体" w:hAnsi="宋体" w:eastAsia="宋体" w:cs="宋体"/>
          <w:color w:val="auto"/>
          <w:sz w:val="24"/>
          <w:szCs w:val="24"/>
        </w:rPr>
        <w:t>2.成交供应商的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保证金，在成交供应商与采购人签订合同后，采购代理机构在五</w:t>
      </w:r>
      <w:bookmarkEnd w:id="57"/>
      <w:bookmarkEnd w:id="58"/>
      <w:r>
        <w:rPr>
          <w:rFonts w:hint="eastAsia" w:ascii="宋体" w:hAnsi="宋体" w:eastAsia="宋体" w:cs="宋体"/>
          <w:color w:val="auto"/>
          <w:sz w:val="24"/>
          <w:szCs w:val="24"/>
        </w:rPr>
        <w:t>个工作日内按供应商来款账户信息退还。</w:t>
      </w:r>
    </w:p>
    <w:bookmarkEnd w:id="55"/>
    <w:bookmarkEnd w:id="56"/>
    <w:p w14:paraId="40C4CA71">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59" w:name="_Toc801"/>
      <w:bookmarkStart w:id="60" w:name="_Toc2659"/>
      <w:bookmarkStart w:id="61" w:name="_Toc25947"/>
      <w:bookmarkStart w:id="62" w:name="_Toc6665"/>
      <w:r>
        <w:rPr>
          <w:rFonts w:hint="eastAsia" w:ascii="宋体" w:hAnsi="宋体" w:eastAsia="宋体" w:cs="宋体"/>
          <w:b/>
          <w:bCs w:val="0"/>
          <w:color w:val="auto"/>
          <w:sz w:val="24"/>
        </w:rPr>
        <w:t>六、其它有关规定</w:t>
      </w:r>
      <w:bookmarkEnd w:id="49"/>
      <w:bookmarkEnd w:id="50"/>
      <w:bookmarkEnd w:id="51"/>
      <w:bookmarkEnd w:id="52"/>
      <w:bookmarkEnd w:id="59"/>
      <w:bookmarkEnd w:id="60"/>
      <w:bookmarkEnd w:id="61"/>
      <w:bookmarkEnd w:id="62"/>
    </w:p>
    <w:p w14:paraId="741EC51D">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（一）单位负责人为同一人或者存在直接控股、管理关系的不同供应商，不得参加同一合同项（包）下的采购活动，否则均为无效响应。</w:t>
      </w:r>
    </w:p>
    <w:p w14:paraId="71945297">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14:paraId="5BE0ED1E">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3A002561">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（四）超过响应文件截止时间递交的响应文件，恕不接收。</w:t>
      </w:r>
    </w:p>
    <w:p w14:paraId="4142814E">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（五）磋商费用：无论磋商结果如何，供应商参与本项目磋商的所有费用均应由供应商自行承担。</w:t>
      </w:r>
    </w:p>
    <w:p w14:paraId="0D547FDD">
      <w:pPr>
        <w:snapToGrid w:val="0"/>
        <w:spacing w:line="400" w:lineRule="exact"/>
        <w:ind w:firstLine="361" w:firstLineChars="150"/>
        <w:rPr>
          <w:rFonts w:hint="eastAsia" w:ascii="宋体" w:hAnsi="宋体" w:eastAsia="宋体" w:cs="宋体"/>
          <w:b/>
          <w:bCs/>
          <w:color w:val="auto"/>
          <w:sz w:val="24"/>
          <w:szCs w:val="24"/>
        </w:rPr>
      </w:pPr>
      <w:r>
        <w:rPr>
          <w:rFonts w:hint="eastAsia" w:ascii="宋体" w:hAnsi="宋体" w:eastAsia="宋体" w:cs="宋体"/>
          <w:b/>
          <w:bCs/>
          <w:color w:val="auto"/>
          <w:sz w:val="24"/>
          <w:szCs w:val="24"/>
        </w:rPr>
        <w:t>（六）本项目不接受联合体参与磋商，否则按无效处理。</w:t>
      </w:r>
    </w:p>
    <w:p w14:paraId="491CA414">
      <w:pPr>
        <w:snapToGrid w:val="0"/>
        <w:spacing w:line="400" w:lineRule="exact"/>
        <w:ind w:firstLine="361" w:firstLineChars="150"/>
        <w:rPr>
          <w:rFonts w:hint="eastAsia" w:ascii="宋体" w:hAnsi="宋体" w:eastAsia="宋体" w:cs="宋体"/>
          <w:b/>
          <w:bCs/>
          <w:color w:val="auto"/>
          <w:sz w:val="24"/>
          <w:szCs w:val="24"/>
        </w:rPr>
      </w:pPr>
      <w:r>
        <w:rPr>
          <w:rFonts w:hint="eastAsia" w:ascii="宋体" w:hAnsi="宋体" w:eastAsia="宋体" w:cs="宋体"/>
          <w:b/>
          <w:bCs/>
          <w:color w:val="auto"/>
          <w:sz w:val="24"/>
          <w:szCs w:val="24"/>
        </w:rPr>
        <w:t>（七）本项目不接受合同分包，否则按无效处理。</w:t>
      </w:r>
    </w:p>
    <w:p w14:paraId="619C3BFF">
      <w:pPr>
        <w:snapToGrid w:val="0"/>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（八）</w:t>
      </w:r>
      <w:bookmarkStart w:id="63" w:name="_Toc480466700"/>
      <w:r>
        <w:rPr>
          <w:rFonts w:hint="eastAsia" w:ascii="宋体" w:hAnsi="宋体" w:eastAsia="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41C9C68">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64" w:name="_Toc106030877"/>
      <w:bookmarkStart w:id="65" w:name="_Toc26964"/>
      <w:bookmarkStart w:id="66" w:name="_Toc25021"/>
      <w:bookmarkStart w:id="67" w:name="_Toc10403"/>
      <w:bookmarkStart w:id="68" w:name="_Toc76462323"/>
      <w:bookmarkStart w:id="69" w:name="_Toc19865"/>
      <w:bookmarkStart w:id="70" w:name="_Toc1234"/>
      <w:r>
        <w:rPr>
          <w:rFonts w:hint="eastAsia" w:ascii="宋体" w:hAnsi="宋体" w:eastAsia="宋体" w:cs="宋体"/>
          <w:b/>
          <w:bCs w:val="0"/>
          <w:color w:val="auto"/>
          <w:sz w:val="24"/>
        </w:rPr>
        <w:t>七、联系方式</w:t>
      </w:r>
      <w:bookmarkEnd w:id="63"/>
      <w:bookmarkEnd w:id="64"/>
      <w:bookmarkEnd w:id="65"/>
      <w:bookmarkEnd w:id="66"/>
      <w:bookmarkEnd w:id="67"/>
      <w:bookmarkEnd w:id="68"/>
      <w:bookmarkEnd w:id="69"/>
      <w:bookmarkEnd w:id="70"/>
    </w:p>
    <w:p w14:paraId="6FCC9F60">
      <w:pPr>
        <w:snapToGrid w:val="0"/>
        <w:spacing w:line="400" w:lineRule="exact"/>
        <w:ind w:firstLine="480" w:firstLineChars="200"/>
        <w:rPr>
          <w:rFonts w:hint="eastAsia" w:ascii="宋体" w:hAnsi="宋体" w:eastAsia="宋体" w:cs="宋体"/>
          <w:color w:val="auto"/>
          <w:sz w:val="24"/>
          <w:szCs w:val="24"/>
          <w:lang w:eastAsia="zh-CN"/>
        </w:rPr>
      </w:pPr>
      <w:bookmarkStart w:id="71" w:name="_Toc13219"/>
      <w:r>
        <w:rPr>
          <w:rFonts w:hint="eastAsia" w:ascii="宋体" w:hAnsi="宋体" w:eastAsia="宋体" w:cs="宋体"/>
          <w:color w:val="auto"/>
          <w:sz w:val="24"/>
          <w:szCs w:val="24"/>
        </w:rPr>
        <w:t>（一）采购人：</w:t>
      </w:r>
      <w:bookmarkEnd w:id="71"/>
      <w:bookmarkStart w:id="72" w:name="_Toc9519"/>
      <w:r>
        <w:rPr>
          <w:rFonts w:hint="eastAsia" w:ascii="宋体" w:hAnsi="宋体" w:eastAsia="宋体" w:cs="宋体"/>
          <w:color w:val="auto"/>
          <w:sz w:val="24"/>
          <w:szCs w:val="24"/>
          <w:lang w:eastAsia="zh-CN"/>
        </w:rPr>
        <w:t>重庆市石桥铺殡仪馆</w:t>
      </w:r>
    </w:p>
    <w:bookmarkEnd w:id="72"/>
    <w:p w14:paraId="3BFB1E6D">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73" w:name="_Toc30190"/>
      <w:r>
        <w:rPr>
          <w:rFonts w:hint="eastAsia" w:ascii="宋体" w:hAnsi="宋体" w:cs="宋体"/>
          <w:color w:val="auto"/>
          <w:sz w:val="24"/>
          <w:szCs w:val="24"/>
          <w:highlight w:val="none"/>
        </w:rPr>
        <w:t>联系人：王老师</w:t>
      </w:r>
    </w:p>
    <w:p w14:paraId="475087D8">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电  话：15826053927</w:t>
      </w:r>
    </w:p>
    <w:p w14:paraId="02BAF234">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地  址：重庆市沙坪坝区石小路150号</w:t>
      </w:r>
    </w:p>
    <w:p w14:paraId="20AE76B4">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（二）采购代理机构：重庆千策招标代理有限公司</w:t>
      </w:r>
      <w:bookmarkEnd w:id="73"/>
    </w:p>
    <w:p w14:paraId="5CE4236E">
      <w:pPr>
        <w:snapToGrid w:val="0"/>
        <w:spacing w:line="400" w:lineRule="exact"/>
        <w:ind w:firstLine="480" w:firstLineChars="200"/>
        <w:outlineLvl w:val="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张欢</w:t>
      </w:r>
    </w:p>
    <w:p w14:paraId="036F3C9A">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电  话：023-63206045（项目内容咨询）</w:t>
      </w:r>
    </w:p>
    <w:p w14:paraId="66D81F8A">
      <w:pPr>
        <w:snapToGrid w:val="0"/>
        <w:spacing w:line="400" w:lineRule="exact"/>
        <w:ind w:firstLine="1440" w:firstLineChars="600"/>
        <w:outlineLvl w:val="2"/>
        <w:rPr>
          <w:rFonts w:hint="eastAsia" w:ascii="宋体" w:hAnsi="宋体" w:eastAsia="宋体" w:cs="宋体"/>
          <w:color w:val="auto"/>
          <w:sz w:val="24"/>
          <w:szCs w:val="24"/>
        </w:rPr>
      </w:pPr>
      <w:r>
        <w:rPr>
          <w:rFonts w:hint="eastAsia" w:ascii="宋体" w:hAnsi="宋体" w:eastAsia="宋体" w:cs="宋体"/>
          <w:color w:val="auto"/>
          <w:sz w:val="24"/>
          <w:szCs w:val="24"/>
        </w:rPr>
        <w:t>023-67461776（报名及保证金咨询）</w:t>
      </w:r>
    </w:p>
    <w:p w14:paraId="20223ECE">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址：重庆市渝北区星光大道82号天王星D1-2栋7楼</w:t>
      </w:r>
    </w:p>
    <w:p w14:paraId="601C1461">
      <w:pPr>
        <w:snapToGrid w:val="0"/>
        <w:spacing w:line="400" w:lineRule="exact"/>
        <w:ind w:firstLine="482" w:firstLineChars="200"/>
        <w:rPr>
          <w:rFonts w:hint="eastAsia" w:ascii="宋体" w:hAnsi="宋体" w:eastAsia="宋体" w:cs="宋体"/>
          <w:b/>
          <w:color w:val="auto"/>
          <w:sz w:val="24"/>
          <w:szCs w:val="24"/>
        </w:rPr>
        <w:sectPr>
          <w:footerReference r:id="rId10" w:type="default"/>
          <w:pgSz w:w="11907" w:h="16840"/>
          <w:pgMar w:top="1134" w:right="1418" w:bottom="1134" w:left="1418" w:header="624" w:footer="992" w:gutter="0"/>
          <w:pgNumType w:fmt="numberInDash" w:start="1"/>
          <w:cols w:space="720" w:num="1"/>
          <w:docGrid w:linePitch="312" w:charSpace="0"/>
        </w:sectPr>
      </w:pPr>
    </w:p>
    <w:p w14:paraId="10415D03">
      <w:pPr>
        <w:pStyle w:val="4"/>
        <w:numPr>
          <w:ilvl w:val="1"/>
          <w:numId w:val="0"/>
        </w:numPr>
        <w:spacing w:line="360" w:lineRule="auto"/>
        <w:jc w:val="center"/>
        <w:rPr>
          <w:rFonts w:hint="eastAsia" w:ascii="宋体" w:hAnsi="宋体" w:eastAsia="宋体" w:cs="宋体"/>
          <w:color w:val="auto"/>
          <w:sz w:val="24"/>
          <w:szCs w:val="24"/>
        </w:rPr>
      </w:pPr>
      <w:bookmarkStart w:id="74" w:name="_Toc30919"/>
      <w:bookmarkStart w:id="75" w:name="_Toc106030878"/>
      <w:bookmarkStart w:id="76" w:name="_Toc76462324"/>
      <w:bookmarkStart w:id="77" w:name="_Toc26073"/>
      <w:bookmarkStart w:id="78" w:name="_Toc20799"/>
      <w:bookmarkStart w:id="79" w:name="_Toc14386"/>
      <w:bookmarkStart w:id="80" w:name="_Toc26329"/>
      <w:r>
        <w:rPr>
          <w:rFonts w:hint="eastAsia" w:ascii="宋体" w:hAnsi="宋体" w:eastAsia="宋体" w:cs="宋体"/>
          <w:color w:val="auto"/>
          <w:sz w:val="36"/>
          <w:szCs w:val="30"/>
        </w:rPr>
        <w:t>第二篇  项目</w:t>
      </w:r>
      <w:r>
        <w:rPr>
          <w:rFonts w:hint="eastAsia" w:ascii="宋体" w:hAnsi="宋体" w:eastAsia="宋体" w:cs="宋体"/>
          <w:color w:val="auto"/>
          <w:sz w:val="36"/>
          <w:szCs w:val="30"/>
          <w:lang w:eastAsia="zh-CN"/>
        </w:rPr>
        <w:t>服务</w:t>
      </w:r>
      <w:r>
        <w:rPr>
          <w:rFonts w:hint="eastAsia" w:ascii="宋体" w:hAnsi="宋体" w:eastAsia="宋体" w:cs="宋体"/>
          <w:color w:val="auto"/>
          <w:sz w:val="36"/>
          <w:szCs w:val="30"/>
        </w:rPr>
        <w:t>需求</w:t>
      </w:r>
      <w:bookmarkEnd w:id="74"/>
      <w:bookmarkEnd w:id="75"/>
      <w:bookmarkEnd w:id="76"/>
      <w:bookmarkEnd w:id="77"/>
      <w:bookmarkEnd w:id="78"/>
      <w:bookmarkEnd w:id="79"/>
      <w:bookmarkEnd w:id="80"/>
      <w:bookmarkStart w:id="81" w:name="_Toc76462325"/>
      <w:bookmarkStart w:id="82" w:name="_Toc12789058"/>
    </w:p>
    <w:p w14:paraId="4644F751">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83" w:name="_Toc28676"/>
      <w:bookmarkStart w:id="84" w:name="_Toc4063"/>
      <w:bookmarkStart w:id="85" w:name="_Toc11510"/>
      <w:bookmarkStart w:id="86" w:name="_Toc29093"/>
      <w:bookmarkStart w:id="87" w:name="_Toc106030879"/>
      <w:bookmarkStart w:id="88" w:name="_Toc18317"/>
      <w:r>
        <w:rPr>
          <w:rFonts w:hint="eastAsia" w:ascii="宋体" w:hAnsi="宋体" w:eastAsia="宋体" w:cs="宋体"/>
          <w:b/>
          <w:bCs w:val="0"/>
          <w:color w:val="auto"/>
          <w:sz w:val="24"/>
        </w:rPr>
        <w:t>一、项目一览表</w:t>
      </w:r>
      <w:bookmarkEnd w:id="81"/>
      <w:bookmarkEnd w:id="83"/>
      <w:bookmarkEnd w:id="84"/>
      <w:bookmarkEnd w:id="85"/>
      <w:bookmarkEnd w:id="86"/>
      <w:bookmarkEnd w:id="87"/>
      <w:bookmarkEnd w:id="88"/>
    </w:p>
    <w:tbl>
      <w:tblPr>
        <w:tblStyle w:val="3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4"/>
        <w:gridCol w:w="1918"/>
        <w:gridCol w:w="1876"/>
      </w:tblGrid>
      <w:tr w14:paraId="09B2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84" w:type="dxa"/>
            <w:vAlign w:val="center"/>
          </w:tcPr>
          <w:p w14:paraId="0BC7EDF2">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磋商项目名称</w:t>
            </w:r>
          </w:p>
        </w:tc>
        <w:tc>
          <w:tcPr>
            <w:tcW w:w="1918" w:type="dxa"/>
            <w:vAlign w:val="center"/>
          </w:tcPr>
          <w:p w14:paraId="68F2776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数量/单位</w:t>
            </w:r>
          </w:p>
        </w:tc>
        <w:tc>
          <w:tcPr>
            <w:tcW w:w="1876" w:type="dxa"/>
            <w:vAlign w:val="center"/>
          </w:tcPr>
          <w:p w14:paraId="487F2D1C">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78A3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284" w:type="dxa"/>
            <w:vAlign w:val="center"/>
          </w:tcPr>
          <w:p w14:paraId="09D67589">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火化车间尾气处理设备雨棚改造维修</w:t>
            </w:r>
          </w:p>
        </w:tc>
        <w:tc>
          <w:tcPr>
            <w:tcW w:w="1918" w:type="dxa"/>
            <w:vAlign w:val="center"/>
          </w:tcPr>
          <w:p w14:paraId="19A4E4E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1876" w:type="dxa"/>
            <w:vAlign w:val="center"/>
          </w:tcPr>
          <w:p w14:paraId="0C7BE70B">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详见下文</w:t>
            </w:r>
          </w:p>
        </w:tc>
      </w:tr>
    </w:tbl>
    <w:p w14:paraId="76A593CE">
      <w:pPr>
        <w:pStyle w:val="4"/>
        <w:numPr>
          <w:ilvl w:val="1"/>
          <w:numId w:val="0"/>
        </w:numPr>
        <w:adjustRightInd w:val="0"/>
        <w:snapToGrid w:val="0"/>
        <w:spacing w:line="400" w:lineRule="exact"/>
        <w:rPr>
          <w:rFonts w:hint="eastAsia" w:ascii="宋体" w:hAnsi="宋体" w:eastAsia="宋体" w:cs="宋体"/>
          <w:b/>
          <w:bCs w:val="0"/>
          <w:color w:val="auto"/>
          <w:sz w:val="24"/>
          <w:lang w:eastAsia="zh-CN"/>
        </w:rPr>
      </w:pPr>
      <w:bookmarkStart w:id="89" w:name="_Toc1865"/>
      <w:bookmarkStart w:id="90" w:name="_Toc76462327"/>
      <w:bookmarkStart w:id="91" w:name="_Toc106030882"/>
      <w:bookmarkStart w:id="92" w:name="_Toc23407"/>
      <w:r>
        <w:rPr>
          <w:rFonts w:hint="eastAsia" w:ascii="宋体" w:hAnsi="宋体" w:eastAsia="宋体" w:cs="宋体"/>
          <w:b/>
          <w:bCs w:val="0"/>
          <w:color w:val="auto"/>
          <w:sz w:val="24"/>
          <w:lang w:eastAsia="zh-CN"/>
        </w:rPr>
        <w:t>二、项目内容及要求</w:t>
      </w:r>
      <w:bookmarkEnd w:id="89"/>
    </w:p>
    <w:bookmarkEnd w:id="82"/>
    <w:bookmarkEnd w:id="90"/>
    <w:bookmarkEnd w:id="91"/>
    <w:bookmarkEnd w:id="92"/>
    <w:p w14:paraId="7F3AFF78">
      <w:pPr>
        <w:pStyle w:val="13"/>
        <w:spacing w:line="400" w:lineRule="exact"/>
        <w:ind w:firstLine="480" w:firstLineChars="200"/>
        <w:rPr>
          <w:rFonts w:hint="eastAsia" w:ascii="宋体" w:hAnsi="宋体" w:eastAsia="宋体" w:cs="宋体"/>
          <w:color w:val="auto"/>
          <w:szCs w:val="24"/>
          <w:lang w:val="en-US" w:eastAsia="zh-CN"/>
        </w:rPr>
      </w:pPr>
      <w:bookmarkStart w:id="93" w:name="_Toc4804"/>
      <w:bookmarkStart w:id="94" w:name="_Toc4922"/>
      <w:bookmarkStart w:id="95" w:name="_Toc20395"/>
      <w:r>
        <w:rPr>
          <w:rFonts w:hint="eastAsia" w:ascii="宋体" w:hAnsi="宋体" w:eastAsia="宋体" w:cs="宋体"/>
          <w:color w:val="auto"/>
          <w:szCs w:val="24"/>
          <w:lang w:val="en-US" w:eastAsia="zh-CN"/>
        </w:rPr>
        <w:t>（一）工程名称：</w:t>
      </w:r>
      <w:r>
        <w:rPr>
          <w:rFonts w:hint="eastAsia" w:ascii="宋体" w:hAnsi="宋体" w:cs="宋体"/>
          <w:color w:val="auto"/>
          <w:szCs w:val="24"/>
          <w:lang w:val="en-US" w:eastAsia="zh-CN"/>
        </w:rPr>
        <w:t>火化车间尾气处理设备雨棚改造维修</w:t>
      </w:r>
    </w:p>
    <w:p w14:paraId="22043821">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（二）建设单位：重庆市石桥铺殡仪馆</w:t>
      </w:r>
    </w:p>
    <w:p w14:paraId="5627B574">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（三）工程地点：石桥铺殡仪馆（重庆市沙坪坝区石小路150号）</w:t>
      </w:r>
    </w:p>
    <w:p w14:paraId="45CA08FF">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（四）工程内容：具体内容及要求详见本项目施工图、工程量清单。</w:t>
      </w:r>
    </w:p>
    <w:p w14:paraId="4168283A">
      <w:pPr>
        <w:pStyle w:val="4"/>
        <w:numPr>
          <w:ilvl w:val="1"/>
          <w:numId w:val="0"/>
        </w:numPr>
        <w:adjustRightInd w:val="0"/>
        <w:snapToGrid w:val="0"/>
        <w:spacing w:line="400" w:lineRule="exact"/>
        <w:rPr>
          <w:rFonts w:hint="eastAsia" w:ascii="宋体" w:hAnsi="宋体" w:eastAsia="宋体" w:cs="宋体"/>
          <w:b/>
          <w:bCs w:val="0"/>
          <w:color w:val="auto"/>
          <w:sz w:val="24"/>
          <w:lang w:eastAsia="zh-CN"/>
        </w:rPr>
      </w:pPr>
      <w:bookmarkStart w:id="96" w:name="_Toc17056"/>
      <w:bookmarkStart w:id="97" w:name="_Toc23971"/>
      <w:bookmarkStart w:id="98" w:name="_Toc14810"/>
      <w:bookmarkStart w:id="99" w:name="_Toc4197"/>
      <w:bookmarkStart w:id="100" w:name="_Toc32762"/>
      <w:r>
        <w:rPr>
          <w:rFonts w:hint="eastAsia" w:ascii="宋体" w:hAnsi="宋体" w:eastAsia="宋体" w:cs="宋体"/>
          <w:b/>
          <w:bCs w:val="0"/>
          <w:color w:val="auto"/>
          <w:sz w:val="24"/>
          <w:lang w:eastAsia="zh-CN"/>
        </w:rPr>
        <w:t>三、安全生产</w:t>
      </w:r>
      <w:bookmarkEnd w:id="96"/>
      <w:bookmarkEnd w:id="97"/>
      <w:bookmarkEnd w:id="98"/>
      <w:bookmarkEnd w:id="99"/>
      <w:bookmarkEnd w:id="100"/>
    </w:p>
    <w:p w14:paraId="12747C35">
      <w:pPr>
        <w:spacing w:line="360" w:lineRule="auto"/>
        <w:ind w:firstLine="480" w:firstLineChars="200"/>
        <w:rPr>
          <w:rFonts w:hint="eastAsia" w:ascii="宋体" w:hAnsi="宋体" w:cs="宋体"/>
          <w:color w:val="auto"/>
          <w:sz w:val="24"/>
          <w:szCs w:val="24"/>
          <w:highlight w:val="none"/>
        </w:rPr>
      </w:pPr>
      <w:bookmarkStart w:id="101" w:name="_Toc21230"/>
      <w:r>
        <w:rPr>
          <w:rFonts w:hint="eastAsia" w:ascii="宋体" w:hAnsi="宋体" w:cs="宋体"/>
          <w:color w:val="auto"/>
          <w:sz w:val="24"/>
          <w:szCs w:val="24"/>
          <w:highlight w:val="none"/>
        </w:rPr>
        <w:t>（一）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w:t>
      </w:r>
    </w:p>
    <w:p w14:paraId="19CDCB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（二）成交供应商应负责施工安全（包含但不仅限于施工现场及施工周边的施工人身安全、行人安全等），若发生一切安全事故和经济损失，责任由成交供应商全部承担，采购人不承担任何责任。</w:t>
      </w:r>
    </w:p>
    <w:p w14:paraId="06F879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p w14:paraId="065F85CD">
      <w:pPr>
        <w:pStyle w:val="4"/>
        <w:numPr>
          <w:ilvl w:val="1"/>
          <w:numId w:val="0"/>
        </w:numPr>
        <w:adjustRightInd w:val="0"/>
        <w:snapToGrid w:val="0"/>
        <w:spacing w:line="400" w:lineRule="exact"/>
        <w:rPr>
          <w:rFonts w:hint="eastAsia" w:ascii="宋体" w:hAnsi="宋体" w:eastAsia="宋体" w:cs="宋体"/>
          <w:b/>
          <w:bCs w:val="0"/>
          <w:color w:val="auto"/>
          <w:sz w:val="24"/>
          <w:lang w:eastAsia="zh-CN"/>
        </w:rPr>
      </w:pPr>
      <w:bookmarkStart w:id="102" w:name="_Toc5606"/>
      <w:r>
        <w:rPr>
          <w:rFonts w:hint="eastAsia" w:ascii="宋体" w:hAnsi="宋体" w:eastAsia="宋体" w:cs="宋体"/>
          <w:b/>
          <w:bCs w:val="0"/>
          <w:color w:val="auto"/>
          <w:sz w:val="24"/>
          <w:lang w:eastAsia="zh-CN"/>
        </w:rPr>
        <w:t>四、人员要求</w:t>
      </w:r>
      <w:bookmarkEnd w:id="101"/>
      <w:bookmarkEnd w:id="102"/>
    </w:p>
    <w:p w14:paraId="5CCF099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（一）项目经理要求</w:t>
      </w:r>
    </w:p>
    <w:p w14:paraId="396F7D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项目经理1名，具有市政工程</w:t>
      </w:r>
      <w:r>
        <w:rPr>
          <w:rFonts w:hint="eastAsia" w:ascii="宋体" w:hAnsi="宋体" w:cs="宋体"/>
          <w:color w:val="auto"/>
          <w:sz w:val="24"/>
          <w:szCs w:val="24"/>
          <w:highlight w:val="none"/>
          <w:lang w:eastAsia="zh-CN"/>
        </w:rPr>
        <w:t>或者建筑工程</w:t>
      </w:r>
      <w:r>
        <w:rPr>
          <w:rFonts w:hint="eastAsia" w:ascii="宋体" w:hAnsi="宋体" w:cs="宋体"/>
          <w:color w:val="auto"/>
          <w:sz w:val="24"/>
          <w:szCs w:val="24"/>
          <w:highlight w:val="none"/>
        </w:rPr>
        <w:t>贰级及以上注册建造师执业资格（不含临时建造师）和建设行政主管部门颁发的有效的安全生产考核合格证书B证，且不得在在建工程担任项目经理，和能到岗履职。【</w:t>
      </w:r>
      <w:r>
        <w:rPr>
          <w:rFonts w:hint="eastAsia" w:ascii="宋体" w:hAnsi="宋体" w:cs="宋体"/>
          <w:b/>
          <w:bCs/>
          <w:color w:val="auto"/>
          <w:sz w:val="24"/>
          <w:szCs w:val="24"/>
          <w:highlight w:val="none"/>
        </w:rPr>
        <w:t>投标时，响应文件中提供①对应证书复印件、②项目经理无在建承诺和到岗履职承诺、③供应商为其缴纳20</w:t>
      </w:r>
      <w:r>
        <w:rPr>
          <w:rFonts w:hint="eastAsia" w:ascii="宋体" w:hAnsi="宋体" w:cs="宋体"/>
          <w:b/>
          <w:bCs/>
          <w:color w:val="auto"/>
          <w:sz w:val="24"/>
          <w:szCs w:val="24"/>
          <w:highlight w:val="none"/>
          <w:lang w:val="en-US" w:eastAsia="zh-CN"/>
        </w:rPr>
        <w:t>25</w:t>
      </w:r>
      <w:r>
        <w:rPr>
          <w:rFonts w:hint="eastAsia" w:ascii="宋体" w:hAnsi="宋体" w:cs="宋体"/>
          <w:b/>
          <w:bCs/>
          <w:color w:val="auto"/>
          <w:sz w:val="24"/>
          <w:szCs w:val="24"/>
          <w:highlight w:val="none"/>
        </w:rPr>
        <w:t>年内任意一个月的社保证明材料复印件或劳动合同复印件，加盖供应商公章。</w:t>
      </w:r>
      <w:r>
        <w:rPr>
          <w:rFonts w:hint="eastAsia" w:ascii="宋体" w:hAnsi="宋体" w:cs="宋体"/>
          <w:color w:val="auto"/>
          <w:sz w:val="24"/>
          <w:szCs w:val="24"/>
          <w:highlight w:val="none"/>
        </w:rPr>
        <w:t>】</w:t>
      </w:r>
    </w:p>
    <w:p w14:paraId="1F8F6C6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（二）技术负责人要求</w:t>
      </w:r>
    </w:p>
    <w:p w14:paraId="1505369F">
      <w:pPr>
        <w:spacing w:line="360" w:lineRule="auto"/>
        <w:ind w:firstLine="480" w:firstLineChars="200"/>
        <w:rPr>
          <w:rFonts w:hint="eastAsia"/>
          <w:color w:val="auto"/>
          <w:highlight w:val="none"/>
        </w:rPr>
      </w:pPr>
      <w:r>
        <w:rPr>
          <w:rFonts w:hint="eastAsia" w:ascii="宋体" w:hAnsi="宋体" w:cs="宋体"/>
          <w:color w:val="auto"/>
          <w:sz w:val="24"/>
          <w:szCs w:val="24"/>
          <w:highlight w:val="none"/>
        </w:rPr>
        <w:t>技术负责人1名，具有</w:t>
      </w:r>
      <w:r>
        <w:rPr>
          <w:rFonts w:hint="eastAsia" w:ascii="宋体" w:hAnsi="宋体" w:cs="宋体"/>
          <w:color w:val="auto"/>
          <w:sz w:val="24"/>
          <w:szCs w:val="24"/>
          <w:highlight w:val="none"/>
          <w:lang w:eastAsia="zh-CN"/>
        </w:rPr>
        <w:t>工程类</w:t>
      </w:r>
      <w:r>
        <w:rPr>
          <w:rFonts w:hint="eastAsia" w:ascii="宋体" w:hAnsi="宋体" w:cs="宋体"/>
          <w:color w:val="auto"/>
          <w:sz w:val="24"/>
          <w:szCs w:val="24"/>
          <w:highlight w:val="none"/>
        </w:rPr>
        <w:t>中级及以上职称。</w:t>
      </w:r>
      <w:r>
        <w:rPr>
          <w:rFonts w:hint="eastAsia" w:ascii="宋体" w:hAnsi="宋体" w:cs="宋体"/>
          <w:b/>
          <w:bCs/>
          <w:color w:val="auto"/>
          <w:sz w:val="24"/>
          <w:szCs w:val="24"/>
          <w:highlight w:val="none"/>
        </w:rPr>
        <w:t>【投标时，响应文件中提供①职称证书复印件、②供应商为其缴纳2025年内任意一个月的社保证明材料复印件或劳动合同复印件，加盖供应商公章。】</w:t>
      </w:r>
    </w:p>
    <w:p w14:paraId="21DA9B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）其他主要管理人员要求</w:t>
      </w:r>
    </w:p>
    <w:p w14:paraId="0E3347CA">
      <w:pPr>
        <w:spacing w:line="360" w:lineRule="auto"/>
        <w:ind w:firstLine="480" w:firstLineChars="200"/>
        <w:rPr>
          <w:rFonts w:hint="eastAsia" w:ascii="宋体" w:hAnsi="宋体" w:eastAsia="宋体" w:cs="宋体"/>
          <w:color w:val="auto"/>
          <w:szCs w:val="24"/>
          <w:lang w:val="en-US" w:eastAsia="zh-CN"/>
        </w:rPr>
      </w:pPr>
      <w:r>
        <w:rPr>
          <w:rFonts w:hint="eastAsia" w:ascii="宋体" w:hAnsi="宋体" w:cs="宋体"/>
          <w:color w:val="auto"/>
          <w:sz w:val="24"/>
          <w:szCs w:val="24"/>
          <w:highlight w:val="none"/>
        </w:rPr>
        <w:t>供应商自行承诺成交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社保证明材料。成交后不能满足该要求的，采购人有权拒绝签订合同，给采购人造成损失的，供应商依法承担违约赔偿责任。</w:t>
      </w:r>
      <w:r>
        <w:rPr>
          <w:rFonts w:hint="eastAsia" w:ascii="宋体" w:hAnsi="宋体" w:cs="宋体"/>
          <w:b/>
          <w:bCs/>
          <w:color w:val="auto"/>
          <w:sz w:val="24"/>
          <w:szCs w:val="24"/>
          <w:highlight w:val="none"/>
        </w:rPr>
        <w:t>【投标时，响应文件中提供书面承诺书（格式自拟），加盖供应商公章。】</w:t>
      </w:r>
    </w:p>
    <w:p w14:paraId="58C0585C">
      <w:pPr>
        <w:pStyle w:val="4"/>
        <w:numPr>
          <w:ilvl w:val="1"/>
          <w:numId w:val="0"/>
        </w:numPr>
        <w:adjustRightInd w:val="0"/>
        <w:snapToGrid w:val="0"/>
        <w:spacing w:line="400" w:lineRule="exact"/>
        <w:rPr>
          <w:rFonts w:hint="eastAsia" w:ascii="宋体" w:hAnsi="宋体" w:eastAsia="宋体" w:cs="宋体"/>
          <w:b/>
          <w:bCs w:val="0"/>
          <w:color w:val="auto"/>
          <w:sz w:val="24"/>
          <w:lang w:eastAsia="zh-CN"/>
        </w:rPr>
      </w:pPr>
      <w:bookmarkStart w:id="103" w:name="_Toc25494"/>
      <w:bookmarkStart w:id="104" w:name="_Toc7450"/>
      <w:r>
        <w:rPr>
          <w:rFonts w:hint="eastAsia" w:ascii="宋体" w:hAnsi="宋体" w:eastAsia="宋体" w:cs="宋体"/>
          <w:b/>
          <w:bCs w:val="0"/>
          <w:color w:val="auto"/>
          <w:sz w:val="24"/>
          <w:lang w:eastAsia="zh-CN"/>
        </w:rPr>
        <w:t>五、现场踏勘</w:t>
      </w:r>
      <w:bookmarkEnd w:id="103"/>
      <w:bookmarkEnd w:id="104"/>
    </w:p>
    <w:p w14:paraId="1E2AE321">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为确保项目的正常实施开展，了解项目有关情况，供应商可以在本竞争性磋商文件公告期间进行现场踏勘（不管供应商踏勘与否，均视作供应商已了解本项目的所有工作内容）。</w:t>
      </w:r>
    </w:p>
    <w:p w14:paraId="552D53FD">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联系人：王老师</w:t>
      </w:r>
    </w:p>
    <w:p w14:paraId="22B61D7C">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电  话：15826053927</w:t>
      </w:r>
    </w:p>
    <w:p w14:paraId="095D0092">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注：1.供应商踏勘现场发生的费用自理。</w:t>
      </w:r>
    </w:p>
    <w:p w14:paraId="1E30AB03">
      <w:pPr>
        <w:pStyle w:val="13"/>
        <w:spacing w:line="400" w:lineRule="exact"/>
        <w:ind w:firstLine="960" w:firstLineChars="4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2.供应商自行负责在踏勘现场中可能发生的人员伤亡和财产损失。</w:t>
      </w:r>
    </w:p>
    <w:p w14:paraId="430A19AB">
      <w:pPr>
        <w:pStyle w:val="13"/>
        <w:spacing w:line="400" w:lineRule="exact"/>
        <w:ind w:firstLine="960" w:firstLineChars="4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3.采购人在踏勘现场中介绍的项目相关情况，仅供供应商在编制响应文件时参考，采购人不对供应商据此做出的判断和决策负责。</w:t>
      </w:r>
    </w:p>
    <w:p w14:paraId="2FB71107">
      <w:pPr>
        <w:pStyle w:val="4"/>
        <w:numPr>
          <w:ilvl w:val="1"/>
          <w:numId w:val="0"/>
        </w:numPr>
        <w:adjustRightInd w:val="0"/>
        <w:snapToGrid w:val="0"/>
        <w:spacing w:line="400" w:lineRule="exact"/>
        <w:rPr>
          <w:rFonts w:hint="eastAsia" w:ascii="宋体" w:hAnsi="宋体" w:eastAsia="宋体" w:cs="宋体"/>
          <w:b/>
          <w:bCs w:val="0"/>
          <w:color w:val="auto"/>
          <w:sz w:val="24"/>
          <w:lang w:eastAsia="zh-CN"/>
        </w:rPr>
      </w:pPr>
      <w:bookmarkStart w:id="105" w:name="_Toc8213"/>
      <w:bookmarkStart w:id="106" w:name="_Toc28255"/>
      <w:bookmarkStart w:id="107" w:name="_Toc15062"/>
      <w:bookmarkStart w:id="108" w:name="_Toc13788"/>
      <w:bookmarkStart w:id="109" w:name="_Toc16187"/>
      <w:bookmarkStart w:id="110" w:name="_Toc4551"/>
      <w:r>
        <w:rPr>
          <w:rFonts w:hint="eastAsia" w:ascii="宋体" w:hAnsi="宋体" w:eastAsia="宋体" w:cs="宋体"/>
          <w:b/>
          <w:bCs w:val="0"/>
          <w:color w:val="auto"/>
          <w:sz w:val="24"/>
          <w:lang w:eastAsia="zh-CN"/>
        </w:rPr>
        <w:t>六、其他要求</w:t>
      </w:r>
      <w:bookmarkEnd w:id="105"/>
      <w:bookmarkEnd w:id="106"/>
      <w:bookmarkEnd w:id="107"/>
      <w:bookmarkEnd w:id="108"/>
      <w:bookmarkEnd w:id="109"/>
      <w:bookmarkEnd w:id="110"/>
    </w:p>
    <w:p w14:paraId="4A487445">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项目实施过程中所有与项目有关的文件资料均需在项目实施过程中完善，不能在项目实施完成后补充资料。</w:t>
      </w:r>
    </w:p>
    <w:p w14:paraId="11856650">
      <w:pPr>
        <w:pStyle w:val="4"/>
        <w:numPr>
          <w:ilvl w:val="1"/>
          <w:numId w:val="0"/>
        </w:numPr>
        <w:adjustRightInd w:val="0"/>
        <w:snapToGrid w:val="0"/>
        <w:spacing w:line="400" w:lineRule="exact"/>
        <w:rPr>
          <w:rFonts w:hint="eastAsia" w:ascii="宋体" w:hAnsi="宋体" w:eastAsia="宋体" w:cs="宋体"/>
          <w:b/>
          <w:bCs w:val="0"/>
          <w:color w:val="auto"/>
          <w:sz w:val="24"/>
          <w:lang w:eastAsia="zh-CN"/>
        </w:rPr>
      </w:pPr>
      <w:bookmarkStart w:id="111" w:name="_Toc17828"/>
      <w:bookmarkStart w:id="112" w:name="_Toc26733"/>
      <w:bookmarkStart w:id="113" w:name="_Toc9555"/>
      <w:r>
        <w:rPr>
          <w:rFonts w:hint="eastAsia" w:ascii="宋体" w:hAnsi="宋体" w:eastAsia="宋体" w:cs="宋体"/>
          <w:b/>
          <w:bCs w:val="0"/>
          <w:color w:val="auto"/>
          <w:sz w:val="24"/>
          <w:lang w:eastAsia="zh-CN"/>
        </w:rPr>
        <w:t>七、附件</w:t>
      </w:r>
      <w:bookmarkEnd w:id="111"/>
      <w:bookmarkEnd w:id="112"/>
      <w:bookmarkEnd w:id="113"/>
    </w:p>
    <w:p w14:paraId="0A1EEA2F">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附件1</w:t>
      </w:r>
      <w:r>
        <w:rPr>
          <w:rFonts w:hint="eastAsia" w:ascii="宋体" w:hAnsi="宋体" w:cs="宋体"/>
          <w:color w:val="auto"/>
          <w:szCs w:val="24"/>
          <w:lang w:val="en-US" w:eastAsia="zh-CN"/>
        </w:rPr>
        <w:t>：</w:t>
      </w:r>
      <w:r>
        <w:rPr>
          <w:rFonts w:hint="eastAsia" w:ascii="宋体" w:hAnsi="宋体" w:eastAsia="宋体" w:cs="宋体"/>
          <w:color w:val="auto"/>
          <w:szCs w:val="24"/>
          <w:lang w:val="en-US" w:eastAsia="zh-CN"/>
        </w:rPr>
        <w:t>施工图</w:t>
      </w:r>
      <w:r>
        <w:rPr>
          <w:rFonts w:hint="eastAsia" w:ascii="宋体" w:hAnsi="宋体" w:cs="宋体"/>
          <w:color w:val="auto"/>
          <w:szCs w:val="24"/>
          <w:lang w:val="en-US" w:eastAsia="zh-CN"/>
        </w:rPr>
        <w:t>—火化车间尾气处理设备雨棚改造维修</w:t>
      </w:r>
    </w:p>
    <w:p w14:paraId="2D1A810A">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附件2</w:t>
      </w:r>
      <w:r>
        <w:rPr>
          <w:rFonts w:hint="eastAsia" w:ascii="宋体" w:hAnsi="宋体" w:cs="宋体"/>
          <w:color w:val="auto"/>
          <w:szCs w:val="24"/>
          <w:lang w:val="en-US" w:eastAsia="zh-CN"/>
        </w:rPr>
        <w:t>：</w:t>
      </w:r>
      <w:r>
        <w:rPr>
          <w:rFonts w:hint="eastAsia" w:ascii="宋体" w:hAnsi="宋体" w:eastAsia="宋体" w:cs="宋体"/>
          <w:color w:val="auto"/>
          <w:szCs w:val="24"/>
          <w:lang w:val="en-US" w:eastAsia="zh-CN"/>
        </w:rPr>
        <w:t>工程量清单</w:t>
      </w:r>
      <w:r>
        <w:rPr>
          <w:rFonts w:hint="eastAsia" w:ascii="宋体" w:hAnsi="宋体" w:cs="宋体"/>
          <w:color w:val="auto"/>
          <w:szCs w:val="24"/>
          <w:lang w:val="en-US" w:eastAsia="zh-CN"/>
        </w:rPr>
        <w:t>—火化车间尾气处理设备雨棚改造维修</w:t>
      </w:r>
    </w:p>
    <w:p w14:paraId="663C2A26">
      <w:pPr>
        <w:snapToGrid w:val="0"/>
        <w:spacing w:line="400" w:lineRule="exact"/>
        <w:ind w:firstLine="480" w:firstLineChars="200"/>
        <w:rPr>
          <w:rFonts w:hint="eastAsia" w:ascii="宋体" w:hAnsi="宋体" w:eastAsia="宋体" w:cs="宋体"/>
          <w:color w:val="auto"/>
          <w:kern w:val="0"/>
          <w:sz w:val="24"/>
          <w:szCs w:val="24"/>
        </w:rPr>
      </w:pPr>
    </w:p>
    <w:p w14:paraId="50159D12">
      <w:pPr>
        <w:snapToGrid w:val="0"/>
        <w:spacing w:line="400" w:lineRule="exact"/>
        <w:ind w:firstLine="480" w:firstLineChars="200"/>
        <w:rPr>
          <w:rFonts w:hint="eastAsia" w:ascii="宋体" w:hAnsi="宋体" w:eastAsia="宋体" w:cs="宋体"/>
          <w:color w:val="auto"/>
          <w:kern w:val="0"/>
          <w:sz w:val="24"/>
          <w:szCs w:val="24"/>
        </w:rPr>
      </w:pPr>
    </w:p>
    <w:p w14:paraId="5CD4F8E9">
      <w:pPr>
        <w:snapToGrid w:val="0"/>
        <w:spacing w:line="400" w:lineRule="exact"/>
        <w:ind w:firstLine="480" w:firstLineChars="200"/>
        <w:rPr>
          <w:rFonts w:hint="eastAsia" w:ascii="宋体" w:hAnsi="宋体" w:eastAsia="宋体" w:cs="宋体"/>
          <w:color w:val="auto"/>
          <w:kern w:val="0"/>
          <w:sz w:val="24"/>
          <w:szCs w:val="24"/>
        </w:rPr>
      </w:pPr>
    </w:p>
    <w:p w14:paraId="6CF57FA2">
      <w:pPr>
        <w:snapToGrid w:val="0"/>
        <w:spacing w:line="400" w:lineRule="exact"/>
        <w:ind w:firstLine="480" w:firstLineChars="200"/>
        <w:rPr>
          <w:rFonts w:hint="eastAsia" w:ascii="宋体" w:hAnsi="宋体" w:eastAsia="宋体" w:cs="宋体"/>
          <w:color w:val="auto"/>
          <w:kern w:val="0"/>
          <w:sz w:val="24"/>
          <w:szCs w:val="24"/>
        </w:rPr>
      </w:pPr>
    </w:p>
    <w:p w14:paraId="3A3FEC88">
      <w:pPr>
        <w:snapToGrid w:val="0"/>
        <w:spacing w:line="400" w:lineRule="exact"/>
        <w:ind w:firstLine="480" w:firstLineChars="200"/>
        <w:rPr>
          <w:rFonts w:hint="eastAsia" w:ascii="宋体" w:hAnsi="宋体" w:eastAsia="宋体" w:cs="宋体"/>
          <w:color w:val="auto"/>
          <w:kern w:val="0"/>
          <w:sz w:val="24"/>
          <w:szCs w:val="24"/>
        </w:rPr>
      </w:pPr>
    </w:p>
    <w:p w14:paraId="095345D2">
      <w:pPr>
        <w:snapToGrid w:val="0"/>
        <w:spacing w:line="400" w:lineRule="exact"/>
        <w:ind w:firstLine="480" w:firstLineChars="200"/>
        <w:rPr>
          <w:rFonts w:hint="eastAsia" w:ascii="宋体" w:hAnsi="宋体" w:eastAsia="宋体" w:cs="宋体"/>
          <w:color w:val="auto"/>
          <w:kern w:val="0"/>
          <w:sz w:val="24"/>
          <w:szCs w:val="24"/>
        </w:rPr>
      </w:pPr>
    </w:p>
    <w:p w14:paraId="35F6874B">
      <w:pPr>
        <w:snapToGrid w:val="0"/>
        <w:spacing w:line="400" w:lineRule="exact"/>
        <w:ind w:firstLine="480" w:firstLineChars="200"/>
        <w:rPr>
          <w:rFonts w:hint="eastAsia" w:ascii="宋体" w:hAnsi="宋体" w:eastAsia="宋体" w:cs="宋体"/>
          <w:color w:val="auto"/>
          <w:kern w:val="0"/>
          <w:sz w:val="24"/>
          <w:szCs w:val="24"/>
        </w:rPr>
      </w:pPr>
    </w:p>
    <w:p w14:paraId="100A7257">
      <w:pPr>
        <w:snapToGrid w:val="0"/>
        <w:spacing w:line="400" w:lineRule="exact"/>
        <w:ind w:firstLine="480" w:firstLineChars="200"/>
        <w:rPr>
          <w:rFonts w:hint="eastAsia" w:ascii="宋体" w:hAnsi="宋体" w:eastAsia="宋体" w:cs="宋体"/>
          <w:color w:val="auto"/>
          <w:kern w:val="0"/>
          <w:sz w:val="24"/>
          <w:szCs w:val="24"/>
        </w:rPr>
      </w:pPr>
    </w:p>
    <w:p w14:paraId="7CE538E2">
      <w:pPr>
        <w:pStyle w:val="4"/>
        <w:numPr>
          <w:ilvl w:val="1"/>
          <w:numId w:val="0"/>
        </w:numPr>
        <w:spacing w:line="360" w:lineRule="auto"/>
        <w:jc w:val="center"/>
        <w:rPr>
          <w:rFonts w:hint="eastAsia" w:ascii="宋体" w:hAnsi="宋体" w:eastAsia="宋体" w:cs="宋体"/>
          <w:color w:val="auto"/>
          <w:sz w:val="36"/>
          <w:szCs w:val="30"/>
        </w:rPr>
      </w:pPr>
      <w:bookmarkStart w:id="114" w:name="_Toc9381"/>
      <w:r>
        <w:rPr>
          <w:rFonts w:hint="eastAsia" w:ascii="宋体" w:hAnsi="宋体" w:eastAsia="宋体" w:cs="宋体"/>
          <w:color w:val="auto"/>
          <w:sz w:val="36"/>
          <w:szCs w:val="30"/>
        </w:rPr>
        <w:t>第三篇  项目商务需求</w:t>
      </w:r>
      <w:bookmarkEnd w:id="93"/>
      <w:bookmarkEnd w:id="94"/>
      <w:bookmarkEnd w:id="95"/>
      <w:bookmarkEnd w:id="114"/>
    </w:p>
    <w:p w14:paraId="2D9C6EAA">
      <w:pPr>
        <w:pStyle w:val="4"/>
        <w:numPr>
          <w:ilvl w:val="1"/>
          <w:numId w:val="0"/>
        </w:numPr>
        <w:spacing w:line="400" w:lineRule="exact"/>
        <w:rPr>
          <w:rFonts w:hint="eastAsia" w:ascii="宋体" w:hAnsi="宋体" w:eastAsia="宋体" w:cs="宋体"/>
          <w:b/>
          <w:color w:val="auto"/>
          <w:sz w:val="24"/>
          <w:szCs w:val="24"/>
          <w:lang w:eastAsia="zh-CN"/>
        </w:rPr>
      </w:pPr>
      <w:bookmarkStart w:id="115" w:name="_Toc9232"/>
      <w:bookmarkStart w:id="116" w:name="_Toc13005"/>
      <w:bookmarkStart w:id="117" w:name="_Toc2135"/>
      <w:bookmarkStart w:id="118" w:name="_Toc3264"/>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计划工期</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项目地点</w:t>
      </w:r>
      <w:r>
        <w:rPr>
          <w:rFonts w:hint="eastAsia" w:ascii="宋体" w:hAnsi="宋体" w:eastAsia="宋体" w:cs="宋体"/>
          <w:b/>
          <w:color w:val="auto"/>
          <w:sz w:val="24"/>
          <w:szCs w:val="24"/>
        </w:rPr>
        <w:t>及</w:t>
      </w:r>
      <w:bookmarkEnd w:id="115"/>
      <w:bookmarkEnd w:id="116"/>
      <w:bookmarkEnd w:id="117"/>
      <w:r>
        <w:rPr>
          <w:rFonts w:hint="eastAsia" w:ascii="宋体" w:hAnsi="宋体" w:eastAsia="宋体" w:cs="宋体"/>
          <w:b/>
          <w:color w:val="auto"/>
          <w:sz w:val="24"/>
          <w:szCs w:val="24"/>
        </w:rPr>
        <w:t>验收</w:t>
      </w:r>
      <w:r>
        <w:rPr>
          <w:rFonts w:hint="eastAsia" w:ascii="宋体" w:hAnsi="宋体" w:eastAsia="宋体" w:cs="宋体"/>
          <w:b/>
          <w:color w:val="auto"/>
          <w:sz w:val="24"/>
          <w:szCs w:val="24"/>
          <w:lang w:eastAsia="zh-CN"/>
        </w:rPr>
        <w:t>方式</w:t>
      </w:r>
      <w:bookmarkEnd w:id="118"/>
    </w:p>
    <w:p w14:paraId="7DDCE209">
      <w:pPr>
        <w:pStyle w:val="13"/>
        <w:spacing w:line="400" w:lineRule="exact"/>
        <w:ind w:left="0" w:leftChars="0" w:firstLine="480" w:firstLineChars="200"/>
        <w:rPr>
          <w:rFonts w:hint="eastAsia" w:ascii="宋体" w:hAnsi="宋体" w:eastAsia="宋体" w:cs="宋体"/>
          <w:color w:val="auto"/>
          <w:szCs w:val="24"/>
          <w:lang w:eastAsia="zh-CN"/>
        </w:rPr>
      </w:pPr>
      <w:bookmarkStart w:id="119" w:name="_Toc17044"/>
      <w:bookmarkStart w:id="120" w:name="_Toc31871"/>
      <w:bookmarkStart w:id="121" w:name="_Toc10103"/>
      <w:bookmarkStart w:id="122" w:name="_Toc11367"/>
      <w:bookmarkStart w:id="123" w:name="_Toc76373878"/>
      <w:bookmarkStart w:id="124" w:name="_Toc25977"/>
      <w:bookmarkStart w:id="125" w:name="_Toc16277"/>
      <w:bookmarkStart w:id="126" w:name="_Toc267320050"/>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一）</w:t>
      </w:r>
      <w:r>
        <w:rPr>
          <w:rFonts w:hint="eastAsia" w:ascii="宋体" w:hAnsi="宋体" w:eastAsia="宋体" w:cs="宋体"/>
          <w:color w:val="auto"/>
          <w:szCs w:val="24"/>
          <w:lang w:eastAsia="zh-CN"/>
        </w:rPr>
        <w:t>计划工期</w:t>
      </w:r>
    </w:p>
    <w:p w14:paraId="5433AB7B">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采购合同签订后</w:t>
      </w:r>
      <w:r>
        <w:rPr>
          <w:rFonts w:hint="eastAsia" w:ascii="宋体" w:hAnsi="宋体" w:eastAsia="宋体" w:cs="宋体"/>
          <w:color w:val="auto"/>
          <w:szCs w:val="24"/>
          <w:lang w:val="en-US" w:eastAsia="zh-CN"/>
        </w:rPr>
        <w:t>45</w:t>
      </w:r>
      <w:r>
        <w:rPr>
          <w:rFonts w:hint="eastAsia" w:ascii="宋体" w:hAnsi="宋体" w:eastAsia="宋体" w:cs="宋体"/>
          <w:color w:val="auto"/>
          <w:szCs w:val="24"/>
          <w:lang w:eastAsia="zh-CN"/>
        </w:rPr>
        <w:t>个日历日内完工，具体开工日期以采购人下达的开工令为准。</w:t>
      </w:r>
    </w:p>
    <w:p w14:paraId="6458894E">
      <w:pPr>
        <w:pStyle w:val="13"/>
        <w:spacing w:line="40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二）项目地点</w:t>
      </w:r>
    </w:p>
    <w:p w14:paraId="4C017EBA">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石桥铺殡仪馆（重庆市沙坪坝区石小路150号）。</w:t>
      </w:r>
    </w:p>
    <w:p w14:paraId="69C0221F">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（三）验收方式</w:t>
      </w:r>
    </w:p>
    <w:p w14:paraId="1AA414C4">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1.本工程按国家建设部最新制订的施工及验收规范为质量评定验收标准，并一次性验收合格。如果验收达不到规定要求，施工方将承担由此所造成的一切损失和责任，对不合格的项目进行重新免费施工。</w:t>
      </w:r>
    </w:p>
    <w:p w14:paraId="072EC172">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2.成交供应商提供的服务未达到竞争性磋商文件规定要求，且对采购人造成损失的，由成交供应商承担一切责任，并赔偿所造成的损失。</w:t>
      </w:r>
    </w:p>
    <w:p w14:paraId="1C484A7B">
      <w:pPr>
        <w:pStyle w:val="4"/>
        <w:numPr>
          <w:ilvl w:val="1"/>
          <w:numId w:val="0"/>
        </w:numPr>
        <w:spacing w:line="400" w:lineRule="exact"/>
        <w:rPr>
          <w:rFonts w:hint="eastAsia" w:ascii="宋体" w:hAnsi="宋体" w:eastAsia="宋体" w:cs="宋体"/>
          <w:b/>
          <w:color w:val="auto"/>
          <w:sz w:val="24"/>
          <w:szCs w:val="24"/>
        </w:rPr>
      </w:pPr>
      <w:bookmarkStart w:id="127" w:name="_Toc9831"/>
      <w:r>
        <w:rPr>
          <w:rFonts w:hint="eastAsia" w:ascii="宋体" w:hAnsi="宋体" w:eastAsia="宋体" w:cs="宋体"/>
          <w:b/>
          <w:color w:val="auto"/>
          <w:sz w:val="24"/>
          <w:szCs w:val="24"/>
        </w:rPr>
        <w:t>二、</w:t>
      </w:r>
      <w:bookmarkEnd w:id="119"/>
      <w:bookmarkEnd w:id="120"/>
      <w:bookmarkEnd w:id="121"/>
      <w:bookmarkEnd w:id="122"/>
      <w:r>
        <w:rPr>
          <w:rFonts w:hint="eastAsia" w:ascii="宋体" w:hAnsi="宋体" w:eastAsia="宋体" w:cs="宋体"/>
          <w:b/>
          <w:color w:val="auto"/>
          <w:sz w:val="24"/>
          <w:szCs w:val="24"/>
        </w:rPr>
        <w:t>报价要求</w:t>
      </w:r>
      <w:bookmarkEnd w:id="127"/>
    </w:p>
    <w:bookmarkEnd w:id="123"/>
    <w:bookmarkEnd w:id="124"/>
    <w:bookmarkEnd w:id="125"/>
    <w:p w14:paraId="7CC1B813">
      <w:pPr>
        <w:pStyle w:val="13"/>
        <w:spacing w:line="400" w:lineRule="exact"/>
        <w:ind w:firstLine="480" w:firstLineChars="200"/>
        <w:rPr>
          <w:rFonts w:hint="eastAsia" w:ascii="宋体" w:hAnsi="宋体" w:eastAsia="宋体" w:cs="宋体"/>
          <w:color w:val="auto"/>
          <w:szCs w:val="24"/>
          <w:lang w:eastAsia="zh-CN"/>
        </w:rPr>
      </w:pPr>
      <w:bookmarkStart w:id="128" w:name="_Toc29365"/>
      <w:bookmarkStart w:id="129" w:name="_Toc21511"/>
      <w:bookmarkStart w:id="130" w:name="_Toc9937"/>
      <w:bookmarkStart w:id="131" w:name="_Toc31443"/>
      <w:r>
        <w:rPr>
          <w:rFonts w:hint="eastAsia" w:ascii="宋体" w:hAnsi="宋体" w:eastAsia="宋体" w:cs="宋体"/>
          <w:color w:val="auto"/>
          <w:szCs w:val="24"/>
          <w:lang w:eastAsia="zh-CN"/>
        </w:rPr>
        <w:t>（一）本工程采用固定综合单价合同。</w:t>
      </w:r>
    </w:p>
    <w:p w14:paraId="7B0DDF3E">
      <w:pPr>
        <w:pStyle w:val="13"/>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4"/>
          <w:lang w:eastAsia="zh-CN"/>
        </w:rPr>
        <w:t>1.磋商报价范围：各供应商应按照磋商范围的规定，对采购人提供的工程量清单，结合施工图的要求予以自</w:t>
      </w:r>
      <w:r>
        <w:rPr>
          <w:rFonts w:hint="eastAsia" w:ascii="宋体" w:hAnsi="宋体" w:eastAsia="宋体" w:cs="宋体"/>
          <w:color w:val="auto"/>
          <w:sz w:val="24"/>
          <w:szCs w:val="24"/>
          <w:highlight w:val="none"/>
        </w:rPr>
        <w:t>主报价。工程量清单中的工程量是用作磋商报价的估算工程量，不作为最终结算的工程量。用于结算的工程量是供应商实际完成的，并按有关规定计量的合格工程量。</w:t>
      </w:r>
      <w:r>
        <w:rPr>
          <w:rFonts w:hint="eastAsia" w:ascii="宋体" w:hAnsi="宋体" w:eastAsia="宋体" w:cs="宋体"/>
          <w:b/>
          <w:bCs/>
          <w:color w:val="auto"/>
          <w:sz w:val="24"/>
          <w:szCs w:val="24"/>
          <w:highlight w:val="none"/>
        </w:rPr>
        <w:t>磋商过程中二次报价时，供应商只需对总价进行二次报价。</w:t>
      </w:r>
    </w:p>
    <w:p w14:paraId="3309D66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2.报价原则：由供应商以磋商文件、合同条件、工程量清单、本次磋商范围内的施工图纸内容、国家技术和经</w:t>
      </w:r>
      <w:r>
        <w:rPr>
          <w:rFonts w:hint="eastAsia" w:ascii="宋体" w:hAnsi="宋体" w:eastAsia="宋体" w:cs="宋体"/>
          <w:color w:val="auto"/>
          <w:sz w:val="24"/>
          <w:szCs w:val="24"/>
        </w:rPr>
        <w:t>济规范及标准，按照工程量清单及说明、《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为依据，由供应商结合自身实力、市场行情自主合理报价。磋商报价应包括完成磋商范围内工程项目的人工费、材料费、机械费、企业管理费、利润、风险费用、措施费（含安全文明施工费）、规费、税金等所有费用。采购人除此以外不支付其它费用。</w:t>
      </w:r>
    </w:p>
    <w:p w14:paraId="19893AF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本工程各分部分项工程量清单子项不论其对应的项目特征和工作内容是否描述完整，都将被认为已包括《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中相应项目编码和项目名称及施工图纸、相关规范、标准、政策性文件、规定、限制和禁止使用通告等所有工程内容及完成此工作内容而必须的各种主要、辅助工作；综合单价应包括完成该子项所需的人工费、材料费、机械费、企业管理费、利润、风险费用；措施费（不含安全文明施工费）包干使用；安全文明施工费应按照现行安全文明施工费计取及管理政策规定及《重庆市建设工程费用定额》（CQFYDE-2018）规定执行；安全文明施工措施费：根据“重庆市建设工程费用定额（2018）”执行；税金按照《重庆市城乡建设委员会关于建筑营业税改征增值税调整建设工程计价依据的通知》（渝建〔2016〕35号）和《关于适用增值税新税率调整建</w:t>
      </w:r>
      <w:r>
        <w:rPr>
          <w:rFonts w:hint="eastAsia" w:ascii="宋体" w:hAnsi="宋体" w:eastAsia="宋体" w:cs="宋体"/>
          <w:color w:val="auto"/>
          <w:sz w:val="24"/>
          <w:szCs w:val="24"/>
          <w:highlight w:val="none"/>
        </w:rPr>
        <w:t>设工程计价依据的通知》（渝建〔2019〕143号）执行。成交后采购人无论任何因素不在对综合单价、措施费（不含安全文明施工费）进行调整。投标报价由分部分项工程费、措施项目费（含安全文明施工费）、其他项目费（暂估价和暂列金额）、规费、税金组成。</w:t>
      </w:r>
    </w:p>
    <w:p w14:paraId="6C32B3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4.如发现工程量清单中的数量与图纸中数量不一致，应在磋商前书面通知采购人核查，除非采购人以补遗书的形式予以更正，否则，应以工程量清单中列出的数量为准。</w:t>
      </w:r>
    </w:p>
    <w:p w14:paraId="4FCDD54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5.采购人在工程量清单中所列出的专业工程暂估价、暂列金额，供应商不得修改。否则，将被认定为无效。</w:t>
      </w:r>
    </w:p>
    <w:p w14:paraId="3A4DAA8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6.工程量清单中的项、量、综合单价：</w:t>
      </w:r>
    </w:p>
    <w:p w14:paraId="6C00344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6.1除采购人对清单工程量主动补遗或对供应商质疑作修改外，供应商在编制磋商报价时不得擅自</w:t>
      </w:r>
      <w:r>
        <w:rPr>
          <w:rFonts w:hint="eastAsia" w:ascii="宋体" w:hAnsi="宋体" w:cs="宋体"/>
          <w:color w:val="auto"/>
          <w:sz w:val="24"/>
          <w:szCs w:val="24"/>
          <w:lang w:eastAsia="zh-CN"/>
        </w:rPr>
        <w:t>改变</w:t>
      </w:r>
      <w:r>
        <w:rPr>
          <w:rFonts w:hint="eastAsia" w:ascii="宋体" w:hAnsi="宋体" w:eastAsia="宋体" w:cs="宋体"/>
          <w:color w:val="auto"/>
          <w:sz w:val="24"/>
          <w:szCs w:val="24"/>
        </w:rPr>
        <w:t>采购人提供的分部分项工程量清单中的序号、项目编码、项目名称、项目特征、工程内容、工程量及计量单位，否则视为对磋商文件不作实质性响应，其响应文件按无效处理。</w:t>
      </w:r>
    </w:p>
    <w:p w14:paraId="515414B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供应商只有严格按采购人提供的《工程量清单》和本磋商文件中提供的已标价工程量清单表格格式内所有项目进行报价，才能视为总体报价完整，不得出现漏项或增项，否则视为对磋商文件不作实质性响应，其响应文件按无效处理。</w:t>
      </w:r>
    </w:p>
    <w:p w14:paraId="746EE52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报价空白或报价为零，则视为该子项的价款已包括在工程量清单其他子目的单价和合价中，成交后必须完成该子项工作内容，采购人不对该子项进行结算与支付；施工过程中，因采购人原因需要对报价空白或报价为零的项目减少实施工程量或不予实施，采购人将按磋商报价时计价原则计算出该项目的综合单价以及相应的规费、措施费和税金，并据此从结算价中扣除。</w:t>
      </w:r>
    </w:p>
    <w:p w14:paraId="795A14E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6.4本工程量清单的计量按照《重庆市建设工程工程量计算规则》（CQJLGZ-2013）、《建设工程工程量清单计价规范》</w:t>
      </w:r>
      <w:r>
        <w:rPr>
          <w:rFonts w:hint="eastAsia" w:ascii="宋体" w:hAnsi="宋体" w:cs="宋体"/>
          <w:color w:val="auto"/>
          <w:sz w:val="24"/>
          <w:szCs w:val="24"/>
          <w:lang w:eastAsia="zh-CN"/>
        </w:rPr>
        <w:t>（</w:t>
      </w:r>
      <w:r>
        <w:rPr>
          <w:rFonts w:hint="eastAsia" w:ascii="宋体" w:hAnsi="宋体" w:eastAsia="宋体" w:cs="宋体"/>
          <w:color w:val="auto"/>
          <w:sz w:val="24"/>
          <w:szCs w:val="24"/>
        </w:rPr>
        <w:t>GB50500-2013</w:t>
      </w:r>
      <w:r>
        <w:rPr>
          <w:rFonts w:hint="eastAsia" w:ascii="宋体" w:hAnsi="宋体" w:cs="宋体"/>
          <w:color w:val="auto"/>
          <w:sz w:val="24"/>
          <w:szCs w:val="24"/>
          <w:lang w:eastAsia="zh-CN"/>
        </w:rPr>
        <w:t>）</w:t>
      </w:r>
      <w:r>
        <w:rPr>
          <w:rFonts w:hint="eastAsia" w:ascii="宋体" w:hAnsi="宋体" w:eastAsia="宋体" w:cs="宋体"/>
          <w:color w:val="auto"/>
          <w:sz w:val="24"/>
          <w:szCs w:val="24"/>
        </w:rPr>
        <w:t>中相应细目的“工程量计算规则”中相应细目的“工程量计算规则”进行计算。除采购人另有规定外，凡超出图纸所示的任何长度、面积、体积、重量等均不予计量和支付。工程数量按设计数量净值计算，凡施工过程中的材料损耗、消耗，无论材料由何方供应，也无论这些损耗是否包含在消耗定额内，均由供应商纳入相关工程量清单中的综合单价内。</w:t>
      </w:r>
    </w:p>
    <w:p w14:paraId="560EC50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7.材料采购及报价</w:t>
      </w:r>
    </w:p>
    <w:p w14:paraId="684049A6">
      <w:pPr>
        <w:pStyle w:val="47"/>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本工程所需材料由成交供应商采购，但所采购的材料必须符合国家规范标准及设计文件、竞争性磋商文件要求，并提供相应合格证明资料、质保书，同时须报采购人批准同意后方可采购。采购人认为成交供应商所使用的材料的质量品质存在缺陷，或者偏离图纸及规范要求（以设计单位和监理单位书面意见为准），不能适用于本项目，采购人有权要求更换调整，采购人不因更换材料品牌而调整材料的价格及其他相关费用；若成交供应商拒绝按采购人要求更换的，则该种材料将改为第三方供货，采购人将收取成交供应商该类材料费的20%作为违约金，并按采购人实际支付的货款从成交供应商的结算价款中予以扣除。</w:t>
      </w:r>
    </w:p>
    <w:p w14:paraId="6D32A31A">
      <w:pPr>
        <w:pStyle w:val="47"/>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人工、材料费：人工工日单价按2018计价定额中的定额单价执行，人工参照成交当期《重庆市建设工程造价信息》信息价执行，材料价格参照成交当期《重庆市建设工程造价信息》信息价并结合市场价执行，供应商根据信息价格结合市场行情以及供应商的自身实力自主报价，成交后材料价格均不作调整。同一种材料，同规格、型号材料报价必须一致，若评标时未发现，结算时按报价最低值计取。成交后，成交供应商自行承担其它材料价格涨跌风险，材料价格不调整。</w:t>
      </w:r>
    </w:p>
    <w:p w14:paraId="5CA65E18">
      <w:pPr>
        <w:pStyle w:val="47"/>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7.3本工程所有材料、设备运输距离由供应商根据自身情况及踏勘现场情况自行测算，纳入相应项目的综合单价中，成交后不调整。</w:t>
      </w:r>
    </w:p>
    <w:p w14:paraId="75C6366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措施费（不含安全文明施工费）包干使用，结算</w:t>
      </w:r>
      <w:r>
        <w:rPr>
          <w:rFonts w:hint="eastAsia" w:ascii="宋体" w:hAnsi="宋体" w:cs="宋体"/>
          <w:color w:val="auto"/>
          <w:sz w:val="24"/>
          <w:szCs w:val="24"/>
          <w:lang w:eastAsia="zh-CN"/>
        </w:rPr>
        <w:t>时</w:t>
      </w:r>
      <w:r>
        <w:rPr>
          <w:rFonts w:hint="eastAsia" w:ascii="宋体" w:hAnsi="宋体" w:eastAsia="宋体" w:cs="宋体"/>
          <w:color w:val="auto"/>
          <w:sz w:val="24"/>
          <w:szCs w:val="24"/>
        </w:rPr>
        <w:t>不作调整。</w:t>
      </w:r>
    </w:p>
    <w:p w14:paraId="136B2365">
      <w:pPr>
        <w:pStyle w:val="47"/>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8.安全文明施工措施费：由采购人根据《建设工程工程量清单计价规范》（GB50500-2013</w:t>
      </w:r>
      <w:r>
        <w:rPr>
          <w:rFonts w:hint="eastAsia" w:hAnsi="宋体" w:cs="宋体"/>
          <w:color w:val="auto"/>
          <w:sz w:val="24"/>
          <w:szCs w:val="24"/>
          <w:lang w:eastAsia="zh-CN"/>
        </w:rPr>
        <w:t>）</w:t>
      </w:r>
      <w:r>
        <w:rPr>
          <w:rFonts w:hint="eastAsia" w:ascii="宋体" w:hAnsi="宋体" w:eastAsia="宋体" w:cs="宋体"/>
          <w:color w:val="auto"/>
          <w:sz w:val="24"/>
          <w:szCs w:val="24"/>
        </w:rPr>
        <w:t>、《重庆市建设工程工程量清单计价规则》（CQJJGZ-2013</w:t>
      </w:r>
      <w:r>
        <w:rPr>
          <w:rFonts w:hint="eastAsia" w:hAnsi="宋体" w:cs="宋体"/>
          <w:color w:val="auto"/>
          <w:sz w:val="24"/>
          <w:szCs w:val="24"/>
          <w:lang w:eastAsia="zh-CN"/>
        </w:rPr>
        <w:t>）</w:t>
      </w:r>
      <w:r>
        <w:rPr>
          <w:rFonts w:hint="eastAsia" w:ascii="宋体" w:hAnsi="宋体" w:eastAsia="宋体" w:cs="宋体"/>
          <w:color w:val="auto"/>
          <w:sz w:val="24"/>
          <w:szCs w:val="24"/>
        </w:rPr>
        <w:t>、 《重庆市建设工程费用定额》（CQFYDE-2018）的相关规定和费用标准单列计算，安全文明施工费为暂定金额。供应商的竞争性磋商报价函和工程量清单报价中的安全文明施工费必须按照采购人给出的暂定金额填报，否则视为对竞争性磋商文件不作实质性响应，按无效响应处理。</w:t>
      </w:r>
    </w:p>
    <w:p w14:paraId="45EF991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9.规费：按照《重庆市建设工程费用定额》（CQFYDE-2018）所规定费率执行。</w:t>
      </w:r>
    </w:p>
    <w:p w14:paraId="533D83A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10.税金：按照《重庆市城乡建设委员会关于建筑营业税改征增值税调整建设工程计价依据的通知》（渝建〔2016〕35号）和《关于适用增值税新税率调整建设工程计价依据的通知》（渝建〔2019〕143号）执行。</w:t>
      </w:r>
    </w:p>
    <w:p w14:paraId="14D16471">
      <w:pPr>
        <w:spacing w:line="4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11.</w:t>
      </w:r>
      <w:r>
        <w:rPr>
          <w:rFonts w:hint="eastAsia" w:ascii="宋体" w:hAnsi="宋体" w:eastAsia="宋体" w:cs="宋体"/>
          <w:b/>
          <w:bCs/>
          <w:color w:val="auto"/>
          <w:sz w:val="24"/>
          <w:szCs w:val="24"/>
        </w:rPr>
        <w:t>本工程设置总价最高限价，总价最高限价为</w:t>
      </w:r>
      <w:r>
        <w:rPr>
          <w:rFonts w:hint="eastAsia" w:ascii="宋体" w:hAnsi="宋体" w:eastAsia="宋体" w:cs="宋体"/>
          <w:b/>
          <w:bCs/>
          <w:color w:val="auto"/>
          <w:sz w:val="24"/>
          <w:szCs w:val="24"/>
          <w:u w:val="single"/>
        </w:rPr>
        <w:t>176610.43</w:t>
      </w:r>
      <w:r>
        <w:rPr>
          <w:rFonts w:hint="eastAsia" w:ascii="宋体" w:hAnsi="宋体" w:eastAsia="宋体" w:cs="宋体"/>
          <w:b/>
          <w:bCs/>
          <w:color w:val="auto"/>
          <w:sz w:val="24"/>
          <w:szCs w:val="24"/>
        </w:rPr>
        <w:t>元（含安全文明施工费</w:t>
      </w:r>
      <w:r>
        <w:rPr>
          <w:rFonts w:hint="eastAsia" w:ascii="宋体" w:hAnsi="宋体" w:eastAsia="宋体" w:cs="宋体"/>
          <w:b/>
          <w:bCs/>
          <w:color w:val="auto"/>
          <w:sz w:val="24"/>
          <w:szCs w:val="24"/>
          <w:u w:val="single"/>
        </w:rPr>
        <w:t>5962.75</w:t>
      </w:r>
      <w:r>
        <w:rPr>
          <w:rFonts w:hint="eastAsia" w:ascii="宋体" w:hAnsi="宋体" w:eastAsia="宋体" w:cs="宋体"/>
          <w:b/>
          <w:bCs/>
          <w:color w:val="auto"/>
          <w:sz w:val="24"/>
          <w:szCs w:val="24"/>
        </w:rPr>
        <w:t>元），供应商的磋商报价不得超过本项目设置的最高限价，安全文明施工费、暂估价（如有）、暂列金额（如有）等不可竞争费用必须按</w:t>
      </w:r>
      <w:r>
        <w:rPr>
          <w:rFonts w:hint="eastAsia" w:ascii="宋体" w:hAnsi="宋体" w:cs="宋体"/>
          <w:b/>
          <w:bCs/>
          <w:color w:val="auto"/>
          <w:sz w:val="24"/>
          <w:szCs w:val="24"/>
          <w:lang w:eastAsia="zh-CN"/>
        </w:rPr>
        <w:t>暂定金额</w:t>
      </w:r>
      <w:r>
        <w:rPr>
          <w:rFonts w:hint="eastAsia" w:ascii="宋体" w:hAnsi="宋体" w:eastAsia="宋体" w:cs="宋体"/>
          <w:b/>
          <w:bCs/>
          <w:color w:val="auto"/>
          <w:sz w:val="24"/>
          <w:szCs w:val="24"/>
        </w:rPr>
        <w:t>填报不得浮动，否则，其响应文件按无效处理。</w:t>
      </w:r>
    </w:p>
    <w:p w14:paraId="545C19B4">
      <w:pPr>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同时本工程设置全部工程量清单综合单价最高限价，供应商的每项工程量清单综合单价报价原则上不超过其对应清单综合单价最高限价。</w:t>
      </w:r>
    </w:p>
    <w:p w14:paraId="45C1ABC5">
      <w:pPr>
        <w:spacing w:line="400" w:lineRule="exact"/>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rPr>
        <w:t>采购人在合同签订前将对成交供应商已标价工程量清单进行清标。若发现成交供应商的工程量清单综合单价报价超过招标时给出的工程量清单综合单价最高限价的，在工程结算时采购人</w:t>
      </w:r>
      <w:r>
        <w:rPr>
          <w:rFonts w:hint="eastAsia" w:ascii="宋体" w:hAnsi="宋体" w:cs="宋体"/>
          <w:b/>
          <w:bCs/>
          <w:color w:val="auto"/>
          <w:sz w:val="24"/>
          <w:szCs w:val="24"/>
          <w:lang w:eastAsia="zh-CN"/>
        </w:rPr>
        <w:t>将以</w:t>
      </w:r>
      <w:r>
        <w:rPr>
          <w:rFonts w:hint="eastAsia" w:ascii="宋体" w:hAnsi="宋体" w:eastAsia="宋体" w:cs="宋体"/>
          <w:b/>
          <w:bCs/>
          <w:color w:val="auto"/>
          <w:sz w:val="24"/>
          <w:szCs w:val="24"/>
          <w:lang w:eastAsia="zh-CN"/>
        </w:rPr>
        <w:t>已</w:t>
      </w:r>
      <w:r>
        <w:rPr>
          <w:rFonts w:hint="eastAsia" w:ascii="宋体" w:hAnsi="宋体" w:eastAsia="宋体" w:cs="宋体"/>
          <w:b/>
          <w:bCs/>
          <w:color w:val="auto"/>
          <w:sz w:val="24"/>
          <w:szCs w:val="24"/>
        </w:rPr>
        <w:t>发出的工程量清单综合单价最高限价为基础，按照成交供应商的中标总报价与本工程的总价最高限价的下浮比例进行同比例下调，成交供应商必须无条件接受，否则按成交供应商违约处理。</w:t>
      </w:r>
    </w:p>
    <w:p w14:paraId="6E71CEF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12.其他说明</w:t>
      </w:r>
    </w:p>
    <w:p w14:paraId="4CB8406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12.1竞争性磋商报价函中的总报价必须与工程量清单报价表所报金额一致，若不一致，作无效处理；供应商不得对采购人发出的工程量清单的项、量进行修改或省略项目特征，否则按无效处理。</w:t>
      </w:r>
    </w:p>
    <w:p w14:paraId="00951FD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12.2按政策和合同约定的应由成交供应商交纳的各种保险费由成交供应商自行投保，保险费由成交供应商承担并支付，并根据企业自身和本工程情况，测算包含在相应的报价中。</w:t>
      </w:r>
    </w:p>
    <w:p w14:paraId="2C45EC6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符合合同条款规定的全部费用应认为已被计入有标价的工程量清单所列各子目之中，未列子目不予计量的工作，其费用应视为已分摊在本合同工程的有关子目的单价或总价之中。</w:t>
      </w:r>
    </w:p>
    <w:p w14:paraId="534743D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12.4每一项目只允许有一个报价。任何有选择的报价将不予接受，其响应文件为无效。</w:t>
      </w:r>
    </w:p>
    <w:p w14:paraId="0074C32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12.5各供应商对于相同的工程量清单（即工作内容和项目特征描述相同）报价须一致。若出现报价不一致，按无效处理。</w:t>
      </w:r>
    </w:p>
    <w:p w14:paraId="797D4C9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12.6弃渣外运运距及处置费各供应商自行考虑，纳入分部分项工程量清单项目报价中，包干使用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采购人不再另行核定运距或额外支付费用</w:t>
      </w:r>
      <w:r>
        <w:rPr>
          <w:rFonts w:hint="eastAsia" w:ascii="宋体" w:hAnsi="宋体" w:eastAsia="宋体" w:cs="宋体"/>
          <w:color w:val="auto"/>
          <w:sz w:val="24"/>
          <w:szCs w:val="24"/>
        </w:rPr>
        <w:t>。</w:t>
      </w:r>
    </w:p>
    <w:p w14:paraId="18CF992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12.7采购人提供水电接口，水电所有费用已包含在成交供应商磋商报价中包干使用，结算时不作调整。为了不受停电影响延误工期，成交供应商应自行预备柴油发电机组，确保施工期间能正常使用，采购人不对其费用予以补偿。如停电，由成交供应商自行发电，成交供应商应自行考虑该因素的有关费用，采购人不对发电费用予以补偿。</w:t>
      </w:r>
    </w:p>
    <w:p w14:paraId="3754749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12.8供应商应先到工地踏勘以充分了解工地位置、地质情况、地下管网状况、进出场道路、交通管制、拆迁干扰、储存空间、装卸限制、水电接口、行车干扰、人行交通及任何其它足以影响承包价格的情况，任何因忽视或误解工地情况而导致的索赔或工期延长申请将不获批准。</w:t>
      </w:r>
    </w:p>
    <w:p w14:paraId="02890F9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12.9各供应商根据采购人提供的工程量清单和《重庆市建设工程费用定额》（CQFYDE-2018）规定的表格，结合本项目并根据实际情况填报工程量清单。</w:t>
      </w:r>
    </w:p>
    <w:p w14:paraId="278F313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12.10按政策和合同约定的应由成交供应商交纳的各种保险费由供应商自行投保，保险费由成交供应商承担并支付，各种规费、环保费、检测试验费并根据企业自身和本工程情况，测算包含在相应的报价中。</w:t>
      </w:r>
    </w:p>
    <w:p w14:paraId="2E9FEE3D">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12.11本项目拆除产生的废旧钢材所有权及处置权归采购人所有，供应商需按采购人要求将其堆放至指定地点，并完成现场清理及交接工作。</w:t>
      </w:r>
    </w:p>
    <w:p w14:paraId="5363BDFC">
      <w:pPr>
        <w:snapToGrid w:val="0"/>
        <w:spacing w:line="40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sz w:val="24"/>
          <w:szCs w:val="24"/>
        </w:rPr>
        <w:t>（二）特别说明：评审小组认为，排名在前面的成交候选人的磋商报价或者某些分项报价明显不合理或者低于成本，有可能影响项目实施质量和不能诚信履约的，将要求其在规定的期限内提供书面文件予以解释说明，并提交相关证明材料；否则，评审小组可以取消该成交候选人资格，按顺序由排在后一位的成交候选人递补，以此类推。</w:t>
      </w:r>
    </w:p>
    <w:bookmarkEnd w:id="128"/>
    <w:bookmarkEnd w:id="129"/>
    <w:bookmarkEnd w:id="130"/>
    <w:bookmarkEnd w:id="131"/>
    <w:p w14:paraId="4F9A3A88">
      <w:pPr>
        <w:pStyle w:val="4"/>
        <w:numPr>
          <w:ilvl w:val="1"/>
          <w:numId w:val="0"/>
        </w:numPr>
        <w:spacing w:line="400" w:lineRule="exact"/>
        <w:rPr>
          <w:rFonts w:hint="eastAsia" w:ascii="宋体" w:hAnsi="宋体" w:eastAsia="宋体" w:cs="宋体"/>
          <w:b/>
          <w:color w:val="auto"/>
          <w:sz w:val="24"/>
          <w:szCs w:val="24"/>
          <w:lang w:val="en-US" w:eastAsia="zh-CN"/>
        </w:rPr>
      </w:pPr>
      <w:bookmarkStart w:id="132" w:name="_Toc126740389"/>
      <w:bookmarkStart w:id="133" w:name="_Toc97881380"/>
      <w:bookmarkStart w:id="134" w:name="_Toc152056828"/>
      <w:bookmarkStart w:id="135" w:name="_Toc9689"/>
      <w:bookmarkStart w:id="136" w:name="_Toc5888"/>
      <w:r>
        <w:rPr>
          <w:rFonts w:hint="eastAsia" w:ascii="宋体" w:hAnsi="宋体" w:eastAsia="宋体" w:cs="宋体"/>
          <w:b/>
          <w:color w:val="auto"/>
          <w:sz w:val="24"/>
          <w:szCs w:val="24"/>
          <w:lang w:val="en-US" w:eastAsia="zh-CN"/>
        </w:rPr>
        <w:t>三、结算原则</w:t>
      </w:r>
      <w:bookmarkEnd w:id="132"/>
      <w:bookmarkEnd w:id="133"/>
      <w:bookmarkEnd w:id="134"/>
      <w:bookmarkEnd w:id="135"/>
      <w:bookmarkEnd w:id="136"/>
    </w:p>
    <w:p w14:paraId="27CFF11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合同采用固定综合单价合同，综合单价不因工程量的增减（工程量的变化、施工方式的变化）而调整。除非合同另有约定，磋商报价的工程量清单中的综合单价均已包含但不限于供应商为实施和完成合同工程量清单项目所需的人工费、材料费、机械费、企业管理费、利润、风险费用。</w:t>
      </w:r>
    </w:p>
    <w:p w14:paraId="4B09141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（二）各部分的结算原则如下</w:t>
      </w:r>
      <w:r>
        <w:rPr>
          <w:rFonts w:hint="eastAsia" w:ascii="宋体" w:hAnsi="宋体" w:cs="宋体"/>
          <w:color w:val="auto"/>
          <w:sz w:val="24"/>
          <w:szCs w:val="24"/>
          <w:lang w:eastAsia="zh-CN"/>
        </w:rPr>
        <w:t>：</w:t>
      </w:r>
    </w:p>
    <w:p w14:paraId="47E49AD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1.分部分项工程量清单结算总价</w:t>
      </w:r>
      <w:r>
        <w:rPr>
          <w:rFonts w:hint="eastAsia" w:ascii="宋体" w:hAnsi="宋体" w:cs="宋体"/>
          <w:color w:val="auto"/>
          <w:sz w:val="24"/>
          <w:szCs w:val="24"/>
          <w:lang w:eastAsia="zh-CN"/>
        </w:rPr>
        <w:t>：</w:t>
      </w:r>
    </w:p>
    <w:p w14:paraId="57B096A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分部分项工程结算价=综合单价×子项工程量</w:t>
      </w:r>
    </w:p>
    <w:p w14:paraId="2E6DEFB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综合单价=供应商初始报价中分部分项清单中的综合单价×下浮比例</w:t>
      </w:r>
    </w:p>
    <w:p w14:paraId="0134F4C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下浮比例={供应商最后总报价-[安全文明施工费+暂估价（如果有）+暂列金额（如果有）}/{供应商初始总报价-[安全文明施工费+暂估价（如果有）+暂定金额（如果有）]×100%。</w:t>
      </w:r>
    </w:p>
    <w:p w14:paraId="50775AD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子项工程量</w:t>
      </w:r>
      <w:r>
        <w:rPr>
          <w:rFonts w:hint="eastAsia" w:ascii="宋体" w:hAnsi="宋体" w:cs="宋体"/>
          <w:color w:val="auto"/>
          <w:sz w:val="24"/>
          <w:szCs w:val="24"/>
          <w:lang w:eastAsia="zh-CN"/>
        </w:rPr>
        <w:t>：</w:t>
      </w:r>
      <w:r>
        <w:rPr>
          <w:rFonts w:hint="eastAsia" w:ascii="宋体" w:hAnsi="宋体" w:eastAsia="宋体" w:cs="宋体"/>
          <w:color w:val="auto"/>
          <w:sz w:val="24"/>
          <w:szCs w:val="24"/>
        </w:rPr>
        <w:t>工程量计算以施工图、设计变更、有效签证资料</w:t>
      </w:r>
      <w:r>
        <w:rPr>
          <w:rFonts w:hint="eastAsia" w:ascii="宋体" w:hAnsi="宋体" w:cs="宋体"/>
          <w:color w:val="auto"/>
          <w:sz w:val="24"/>
          <w:szCs w:val="24"/>
          <w:lang w:eastAsia="zh-CN"/>
        </w:rPr>
        <w:t>（</w:t>
      </w:r>
      <w:r>
        <w:rPr>
          <w:rFonts w:hint="eastAsia" w:ascii="宋体" w:hAnsi="宋体" w:eastAsia="宋体" w:cs="宋体"/>
          <w:color w:val="auto"/>
          <w:sz w:val="24"/>
          <w:szCs w:val="24"/>
        </w:rPr>
        <w:t>签字且盖章</w:t>
      </w:r>
      <w:r>
        <w:rPr>
          <w:rFonts w:hint="eastAsia" w:ascii="宋体" w:hAnsi="宋体" w:cs="宋体"/>
          <w:color w:val="auto"/>
          <w:sz w:val="24"/>
          <w:szCs w:val="24"/>
          <w:lang w:eastAsia="zh-CN"/>
        </w:rPr>
        <w:t>）</w:t>
      </w:r>
      <w:r>
        <w:rPr>
          <w:rFonts w:hint="eastAsia" w:ascii="宋体" w:hAnsi="宋体" w:eastAsia="宋体" w:cs="宋体"/>
          <w:color w:val="auto"/>
          <w:sz w:val="24"/>
          <w:szCs w:val="24"/>
        </w:rPr>
        <w:t>及竣工图作为计算依据，按《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规定的计量规则计算的合格工程量作为结算依据。</w:t>
      </w:r>
    </w:p>
    <w:p w14:paraId="6B0FB2C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2.设计变更费、新增项目</w:t>
      </w:r>
    </w:p>
    <w:p w14:paraId="05600E7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当发生设计变更或新增项目，发包人及监理工程师按照下列计价原则结算：</w:t>
      </w:r>
    </w:p>
    <w:p w14:paraId="6FAFC00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①已标价工程量清单中有适用于变更工作的子目，采用该子目的综合单价。</w:t>
      </w:r>
    </w:p>
    <w:p w14:paraId="56AA32D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②已标价工程量清单中无适用于变更工程的子目，但有类似子目的，可在合理范围内参照类似子目的综合单价，对该子目主材的价格进行调整。主材调整原则</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w:t>
      </w:r>
      <w:r>
        <w:rPr>
          <w:rFonts w:hint="eastAsia" w:ascii="宋体" w:hAnsi="宋体" w:cs="宋体"/>
          <w:color w:val="auto"/>
          <w:sz w:val="24"/>
          <w:szCs w:val="24"/>
          <w:lang w:eastAsia="zh-CN"/>
        </w:rPr>
        <w:t>子项</w:t>
      </w:r>
      <w:r>
        <w:rPr>
          <w:rFonts w:hint="eastAsia" w:ascii="宋体" w:hAnsi="宋体" w:eastAsia="宋体" w:cs="宋体"/>
          <w:color w:val="auto"/>
          <w:sz w:val="24"/>
          <w:szCs w:val="24"/>
        </w:rPr>
        <w:t>目的综合单价</w:t>
      </w:r>
      <w:r>
        <w:rPr>
          <w:rFonts w:hint="eastAsia" w:ascii="宋体" w:hAnsi="宋体" w:cs="宋体"/>
          <w:color w:val="auto"/>
          <w:sz w:val="24"/>
          <w:szCs w:val="24"/>
          <w:lang w:eastAsia="zh-CN"/>
        </w:rPr>
        <w:t>（</w:t>
      </w:r>
      <w:r>
        <w:rPr>
          <w:rFonts w:hint="eastAsia" w:ascii="宋体" w:hAnsi="宋体" w:eastAsia="宋体" w:cs="宋体"/>
          <w:color w:val="auto"/>
          <w:sz w:val="24"/>
          <w:szCs w:val="24"/>
        </w:rPr>
        <w:t>类似项目由采购人确定，投标的人工、材料单价表作为合同附件</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14:paraId="35BC78F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③已标价工程量清单中无适用或类似子目的综合单价，按国家技术和经济规范及标准、《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等（配套文件只执行合同签定之日前重庆市建委颁发的文件，合同签定之日后颁发的有关政策文件不予执行。）编制，再按成交总价与总价最高限价同比例进行下浮（其中人工价差、材料价差、未计价材料、不下浮）。其中人工工日、材料单价的确定原则：人工费按投标时有的投标价执行，若供应商磋商报价高于施工实施期《重庆工程造价信息》中对应的人工工日单价平均值（若发布的某一类别人工工日单价是区间值的，则按其算术平均值执行），则按施工实施期《重庆工程造价信息》中对应的人工工日单价平均值执行；材料结算价格：清单报价中已有的按响应文件中清单报价执行；清单报价中没有的按该项目施工期间的《重庆工程造价信息》信息价的算术平均价执行；磋商时没有的，发包人结合市场进行核定价格，且不高于施工同期《重庆工程造价信息》的价格。  </w:t>
      </w:r>
    </w:p>
    <w:p w14:paraId="44435F6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3.安全文明施工费: 根据渝建发〔2014〕25号、《重庆市建设工程费用定额（2018）》文并结合渝建〔2019〕143号文按“合格”标准计取。</w:t>
      </w:r>
    </w:p>
    <w:p w14:paraId="5AA43AD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（四）最终结算原则</w:t>
      </w:r>
    </w:p>
    <w:p w14:paraId="21F2F49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1.竣工结算价=Σ分部分项工程结算价+Σ措施项目结算价+Σ其他项目结算价±Σ价格调整（如有）±Σ变更、索赔与现场签证结算价±Σ奖励、罚金、违约金及其他费用+Σ规费+Σ税金。</w:t>
      </w:r>
    </w:p>
    <w:p w14:paraId="2868B24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38C85B7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（五）本工程结算价最终以第三方机构审定金额为准。</w:t>
      </w:r>
    </w:p>
    <w:p w14:paraId="4D11303B">
      <w:pPr>
        <w:pStyle w:val="4"/>
        <w:numPr>
          <w:ilvl w:val="1"/>
          <w:numId w:val="0"/>
        </w:numPr>
        <w:spacing w:line="400" w:lineRule="exact"/>
        <w:rPr>
          <w:rFonts w:hint="eastAsia" w:ascii="宋体" w:hAnsi="宋体" w:eastAsia="宋体" w:cs="宋体"/>
          <w:b/>
          <w:color w:val="auto"/>
          <w:sz w:val="24"/>
          <w:szCs w:val="24"/>
          <w:lang w:val="en-US" w:eastAsia="zh-CN"/>
        </w:rPr>
      </w:pPr>
      <w:bookmarkStart w:id="137" w:name="_Toc12859"/>
      <w:r>
        <w:rPr>
          <w:rFonts w:hint="eastAsia" w:ascii="宋体" w:hAnsi="宋体" w:eastAsia="宋体" w:cs="宋体"/>
          <w:b/>
          <w:color w:val="auto"/>
          <w:sz w:val="24"/>
          <w:szCs w:val="24"/>
          <w:lang w:val="en-US" w:eastAsia="zh-CN"/>
        </w:rPr>
        <w:t>四、履约保证金及付款方式</w:t>
      </w:r>
      <w:bookmarkEnd w:id="137"/>
    </w:p>
    <w:p w14:paraId="4EE855C8">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w:t>
      </w:r>
      <w:r>
        <w:rPr>
          <w:rFonts w:hint="eastAsia" w:ascii="宋体" w:hAnsi="宋体" w:cs="宋体"/>
          <w:color w:val="auto"/>
          <w:sz w:val="24"/>
          <w:szCs w:val="24"/>
          <w:lang w:eastAsia="zh-CN"/>
        </w:rPr>
        <w:t>履约保证金</w:t>
      </w:r>
    </w:p>
    <w:p w14:paraId="7723D19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合同签订时成交供应商向采购人缴纳合同金额</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%的履约保证金，履约保证金以支票、汇票、本票或者金融机构、担保机构出具的保函等非现金形式提交。本工程竣工验收合格后，采购人在3个工作日内按程序办理退还手续（无息退还）。</w:t>
      </w:r>
    </w:p>
    <w:p w14:paraId="6716626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（二）付款方式</w:t>
      </w:r>
    </w:p>
    <w:p w14:paraId="1643EAE0">
      <w:pPr>
        <w:snapToGrid w:val="0"/>
        <w:spacing w:line="400" w:lineRule="exact"/>
        <w:ind w:firstLine="480" w:firstLineChars="200"/>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本项目完成并经采购人验收合格后，由成交供应商向采购人缴纳合同金额的3%作为质保金并开具合同金额的全额增值税发票后，采购人一次性付清合同约定金额。</w:t>
      </w:r>
    </w:p>
    <w:p w14:paraId="5497A954">
      <w:pPr>
        <w:pStyle w:val="4"/>
        <w:numPr>
          <w:ilvl w:val="1"/>
          <w:numId w:val="0"/>
        </w:numPr>
        <w:spacing w:line="400" w:lineRule="exact"/>
        <w:rPr>
          <w:rFonts w:hint="eastAsia" w:ascii="宋体" w:hAnsi="宋体" w:eastAsia="宋体" w:cs="宋体"/>
          <w:b/>
          <w:color w:val="auto"/>
          <w:sz w:val="24"/>
          <w:szCs w:val="24"/>
          <w:lang w:eastAsia="zh-CN"/>
        </w:rPr>
      </w:pPr>
      <w:bookmarkStart w:id="138" w:name="_Toc23027"/>
      <w:bookmarkStart w:id="139" w:name="_Toc26724"/>
      <w:bookmarkStart w:id="140" w:name="_Toc76373879"/>
      <w:bookmarkStart w:id="141" w:name="_Toc17051"/>
      <w:bookmarkStart w:id="142" w:name="_Toc20439"/>
      <w:r>
        <w:rPr>
          <w:rFonts w:hint="eastAsia" w:ascii="宋体" w:hAnsi="宋体" w:eastAsia="宋体" w:cs="宋体"/>
          <w:b/>
          <w:color w:val="auto"/>
          <w:sz w:val="24"/>
          <w:szCs w:val="24"/>
          <w:lang w:eastAsia="zh-CN"/>
        </w:rPr>
        <w:t>五、缺陷责任期及质量保证期</w:t>
      </w:r>
      <w:bookmarkEnd w:id="138"/>
      <w:bookmarkEnd w:id="139"/>
    </w:p>
    <w:p w14:paraId="5947D3D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（一）缺陷责任期为12个月，从本工程竣工验收合格之日起计算。</w:t>
      </w:r>
    </w:p>
    <w:p w14:paraId="33975851">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（二）质量保证期</w:t>
      </w:r>
    </w:p>
    <w:p w14:paraId="5023FA82">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1.工程质量保证期除另行约定外为</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p>
    <w:p w14:paraId="0F4E3A53">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2.工程质量保证期自工程竣工验收合格</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以竣工验收报告日期为准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之日起计算。</w:t>
      </w:r>
    </w:p>
    <w:p w14:paraId="33A95DB6">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3.工程在质量保证期范围和质量保证期限内发生质量问题的，成交供应商（施工单位）应当履行保修义务，并对造成的损失承担赔偿责任。</w:t>
      </w:r>
    </w:p>
    <w:bookmarkEnd w:id="126"/>
    <w:bookmarkEnd w:id="140"/>
    <w:bookmarkEnd w:id="141"/>
    <w:bookmarkEnd w:id="142"/>
    <w:p w14:paraId="522418FD">
      <w:pPr>
        <w:pStyle w:val="4"/>
        <w:numPr>
          <w:ilvl w:val="1"/>
          <w:numId w:val="0"/>
        </w:numPr>
        <w:spacing w:line="400" w:lineRule="exact"/>
        <w:rPr>
          <w:rFonts w:hint="eastAsia" w:ascii="宋体" w:hAnsi="宋体" w:eastAsia="宋体" w:cs="宋体"/>
          <w:b/>
          <w:color w:val="auto"/>
          <w:sz w:val="24"/>
          <w:szCs w:val="24"/>
        </w:rPr>
      </w:pPr>
      <w:bookmarkStart w:id="143" w:name="_Toc21764"/>
      <w:bookmarkStart w:id="144" w:name="_Toc76373881"/>
      <w:bookmarkStart w:id="145" w:name="_Toc32008"/>
      <w:bookmarkStart w:id="146" w:name="_Toc267320052"/>
      <w:bookmarkStart w:id="147" w:name="_Toc30396"/>
      <w:bookmarkStart w:id="148" w:name="_Toc31346"/>
      <w:bookmarkStart w:id="149" w:name="_Toc22056"/>
      <w:bookmarkStart w:id="150" w:name="_Toc11159"/>
      <w:bookmarkStart w:id="151" w:name="_Toc392"/>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、知识产权</w:t>
      </w:r>
      <w:bookmarkEnd w:id="143"/>
      <w:bookmarkEnd w:id="144"/>
      <w:bookmarkEnd w:id="145"/>
      <w:bookmarkEnd w:id="146"/>
      <w:bookmarkEnd w:id="147"/>
      <w:bookmarkEnd w:id="148"/>
      <w:bookmarkEnd w:id="149"/>
      <w:bookmarkEnd w:id="150"/>
      <w:bookmarkEnd w:id="151"/>
    </w:p>
    <w:p w14:paraId="0710E60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BB161F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（注：若涉及软件开发等服务类项目知识产权的，知识产权归采购人所有）。</w:t>
      </w:r>
      <w:bookmarkStart w:id="152" w:name="_Toc1051"/>
      <w:bookmarkStart w:id="153" w:name="_Toc76373883"/>
      <w:bookmarkStart w:id="154" w:name="_Toc22507"/>
      <w:bookmarkStart w:id="155" w:name="_Toc32649"/>
      <w:bookmarkStart w:id="156" w:name="_Toc13865"/>
      <w:bookmarkStart w:id="157" w:name="_Toc27211"/>
      <w:bookmarkStart w:id="158" w:name="_Toc28960"/>
    </w:p>
    <w:p w14:paraId="5D120B75">
      <w:pPr>
        <w:pStyle w:val="4"/>
        <w:numPr>
          <w:ilvl w:val="1"/>
          <w:numId w:val="0"/>
        </w:numPr>
        <w:spacing w:line="400" w:lineRule="exact"/>
        <w:rPr>
          <w:rFonts w:hint="eastAsia" w:ascii="宋体" w:hAnsi="宋体" w:eastAsia="宋体" w:cs="宋体"/>
          <w:b/>
          <w:color w:val="auto"/>
          <w:sz w:val="24"/>
          <w:szCs w:val="24"/>
        </w:rPr>
      </w:pPr>
      <w:bookmarkStart w:id="159" w:name="_Toc18866"/>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、其他</w:t>
      </w:r>
      <w:bookmarkEnd w:id="152"/>
      <w:bookmarkEnd w:id="153"/>
      <w:bookmarkEnd w:id="154"/>
      <w:bookmarkEnd w:id="155"/>
      <w:bookmarkEnd w:id="156"/>
      <w:bookmarkEnd w:id="157"/>
      <w:bookmarkEnd w:id="158"/>
      <w:bookmarkEnd w:id="159"/>
    </w:p>
    <w:p w14:paraId="4BF31B25">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（一）成交供应商须自行办理施工手续，不得因此拖延时间。</w:t>
      </w:r>
    </w:p>
    <w:p w14:paraId="6A9BBC47">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（二）施工过程中的安全问题由成交供应商自行负责，采购人不承担任何责任。</w:t>
      </w:r>
    </w:p>
    <w:p w14:paraId="64025AB0">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（三）</w:t>
      </w:r>
      <w:r>
        <w:rPr>
          <w:rFonts w:hint="eastAsia" w:ascii="宋体" w:hAnsi="宋体" w:cs="宋体"/>
          <w:color w:val="auto"/>
          <w:szCs w:val="24"/>
          <w:lang w:eastAsia="zh-CN"/>
        </w:rPr>
        <w:t>涉及</w:t>
      </w:r>
      <w:r>
        <w:rPr>
          <w:rFonts w:hint="eastAsia" w:ascii="宋体" w:hAnsi="宋体" w:eastAsia="宋体" w:cs="宋体"/>
          <w:color w:val="auto"/>
          <w:szCs w:val="24"/>
          <w:lang w:eastAsia="zh-CN"/>
        </w:rPr>
        <w:t>本项目隐蔽工程的施工及验收，成交供应商应提前告知采购人；</w:t>
      </w:r>
      <w:r>
        <w:rPr>
          <w:rFonts w:hint="eastAsia" w:ascii="宋体" w:hAnsi="宋体" w:cs="宋体"/>
          <w:color w:val="auto"/>
          <w:szCs w:val="24"/>
          <w:lang w:eastAsia="zh-CN"/>
        </w:rPr>
        <w:t>涉及</w:t>
      </w:r>
      <w:r>
        <w:rPr>
          <w:rFonts w:hint="eastAsia" w:ascii="宋体" w:hAnsi="宋体" w:eastAsia="宋体" w:cs="宋体"/>
          <w:color w:val="auto"/>
          <w:szCs w:val="24"/>
          <w:lang w:eastAsia="zh-CN"/>
        </w:rPr>
        <w:t>本项目设计变更，须由采购人进行认质核价。</w:t>
      </w:r>
    </w:p>
    <w:p w14:paraId="52D0792B">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（四）若供应商响应文件提交虚假资料谋取中标，一经发现取消其成交资格，采购人有权单方面终止合同，情节严重的追究相应责任。</w:t>
      </w:r>
    </w:p>
    <w:p w14:paraId="5DE268E0">
      <w:pPr>
        <w:pStyle w:val="13"/>
        <w:spacing w:line="40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（五）其他未尽事宜由供需双方在采购合同中详细约定。</w:t>
      </w:r>
    </w:p>
    <w:p w14:paraId="79F550DF">
      <w:pPr>
        <w:pStyle w:val="4"/>
        <w:pageBreakBefore/>
        <w:numPr>
          <w:ilvl w:val="1"/>
          <w:numId w:val="0"/>
        </w:numPr>
        <w:spacing w:line="360" w:lineRule="auto"/>
        <w:jc w:val="center"/>
        <w:rPr>
          <w:rFonts w:hint="eastAsia" w:ascii="宋体" w:hAnsi="宋体" w:eastAsia="宋体" w:cs="宋体"/>
          <w:color w:val="auto"/>
          <w:sz w:val="36"/>
          <w:szCs w:val="30"/>
        </w:rPr>
      </w:pPr>
      <w:bookmarkStart w:id="160" w:name="_Toc11396"/>
      <w:bookmarkStart w:id="161" w:name="_Toc106030887"/>
      <w:bookmarkStart w:id="162" w:name="_Toc14992"/>
      <w:bookmarkStart w:id="163" w:name="_Toc76462332"/>
      <w:bookmarkStart w:id="164" w:name="_Toc5979"/>
      <w:bookmarkStart w:id="165" w:name="_Toc9000"/>
      <w:bookmarkStart w:id="166" w:name="_Toc9001"/>
      <w:r>
        <w:rPr>
          <w:rFonts w:hint="eastAsia" w:ascii="宋体" w:hAnsi="宋体" w:eastAsia="宋体" w:cs="宋体"/>
          <w:color w:val="auto"/>
          <w:sz w:val="36"/>
          <w:szCs w:val="30"/>
        </w:rPr>
        <w:t>第四篇  磋商程序及方法、评审标准、无效响应和</w:t>
      </w:r>
      <w:r>
        <w:rPr>
          <w:rFonts w:hint="eastAsia" w:ascii="宋体" w:hAnsi="宋体" w:eastAsia="宋体" w:cs="宋体"/>
          <w:color w:val="auto"/>
          <w:sz w:val="36"/>
          <w:szCs w:val="36"/>
        </w:rPr>
        <w:t>采购终止</w:t>
      </w:r>
      <w:bookmarkEnd w:id="160"/>
      <w:bookmarkEnd w:id="161"/>
      <w:bookmarkEnd w:id="162"/>
      <w:bookmarkEnd w:id="163"/>
      <w:bookmarkEnd w:id="164"/>
      <w:bookmarkEnd w:id="165"/>
      <w:bookmarkEnd w:id="166"/>
    </w:p>
    <w:p w14:paraId="6711E90A">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67" w:name="_Toc28798"/>
      <w:bookmarkStart w:id="168" w:name="_Toc76462333"/>
      <w:bookmarkStart w:id="169" w:name="_Toc25370"/>
      <w:bookmarkStart w:id="170" w:name="_Toc26628"/>
      <w:bookmarkStart w:id="171" w:name="_Toc11861"/>
      <w:bookmarkStart w:id="172" w:name="_Toc106030888"/>
      <w:bookmarkStart w:id="173" w:name="_Toc31442"/>
      <w:r>
        <w:rPr>
          <w:rFonts w:hint="eastAsia" w:ascii="宋体" w:hAnsi="宋体" w:eastAsia="宋体" w:cs="宋体"/>
          <w:b/>
          <w:bCs w:val="0"/>
          <w:color w:val="auto"/>
          <w:sz w:val="24"/>
        </w:rPr>
        <w:t>一、磋商程序及方法</w:t>
      </w:r>
      <w:bookmarkEnd w:id="167"/>
      <w:bookmarkEnd w:id="168"/>
      <w:bookmarkEnd w:id="169"/>
      <w:bookmarkEnd w:id="170"/>
      <w:bookmarkEnd w:id="171"/>
      <w:bookmarkEnd w:id="172"/>
      <w:bookmarkEnd w:id="173"/>
    </w:p>
    <w:p w14:paraId="013EBE1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ACFBA1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（二）磋商小组对各供应商的资格条件、响应文件的有效性、完整性和响应程度进行审查。各供应商只有在完全符合要求的前提下，才能参与正式磋商。</w:t>
      </w:r>
    </w:p>
    <w:p w14:paraId="02D60A7C">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资格性审查。依据法律法规和竞争性磋商文件的规定，对响应文件中的资格证明、</w:t>
      </w:r>
      <w:r>
        <w:rPr>
          <w:rFonts w:hint="eastAsia" w:ascii="宋体" w:hAnsi="宋体" w:eastAsia="宋体" w:cs="宋体"/>
          <w:color w:val="auto"/>
          <w:kern w:val="0"/>
          <w:sz w:val="24"/>
          <w:szCs w:val="24"/>
          <w:lang w:eastAsia="zh-CN"/>
        </w:rPr>
        <w:t>磋商保证金</w:t>
      </w:r>
      <w:r>
        <w:rPr>
          <w:rFonts w:hint="eastAsia" w:ascii="宋体" w:hAnsi="宋体" w:eastAsia="宋体" w:cs="宋体"/>
          <w:color w:val="auto"/>
          <w:kern w:val="0"/>
          <w:sz w:val="24"/>
          <w:szCs w:val="24"/>
        </w:rPr>
        <w:t>等进行审查，以确定供应商是否具备磋商资格。资格性审查资料表如下：</w:t>
      </w:r>
    </w:p>
    <w:tbl>
      <w:tblPr>
        <w:tblStyle w:val="31"/>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70"/>
        <w:gridCol w:w="2955"/>
        <w:gridCol w:w="4721"/>
      </w:tblGrid>
      <w:tr w14:paraId="6C5B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A3A9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625" w:type="dxa"/>
            <w:gridSpan w:val="2"/>
            <w:tcBorders>
              <w:top w:val="single" w:color="auto" w:sz="4" w:space="0"/>
              <w:left w:val="single" w:color="auto" w:sz="4" w:space="0"/>
              <w:bottom w:val="single" w:color="auto" w:sz="4" w:space="0"/>
              <w:right w:val="single" w:color="auto" w:sz="4" w:space="0"/>
            </w:tcBorders>
            <w:vAlign w:val="center"/>
          </w:tcPr>
          <w:p w14:paraId="24231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4721" w:type="dxa"/>
            <w:tcBorders>
              <w:top w:val="single" w:color="auto" w:sz="4" w:space="0"/>
              <w:left w:val="single" w:color="auto" w:sz="4" w:space="0"/>
              <w:bottom w:val="single" w:color="auto" w:sz="4" w:space="0"/>
              <w:right w:val="single" w:color="auto" w:sz="4" w:space="0"/>
            </w:tcBorders>
            <w:vAlign w:val="center"/>
          </w:tcPr>
          <w:p w14:paraId="5DB742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49EF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773" w:type="dxa"/>
            <w:vMerge w:val="restart"/>
            <w:vAlign w:val="center"/>
          </w:tcPr>
          <w:p w14:paraId="0E00AF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670" w:type="dxa"/>
            <w:vMerge w:val="restart"/>
            <w:vAlign w:val="center"/>
          </w:tcPr>
          <w:p w14:paraId="78F7BC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2955" w:type="dxa"/>
            <w:vAlign w:val="center"/>
          </w:tcPr>
          <w:p w14:paraId="76056B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721" w:type="dxa"/>
            <w:vAlign w:val="center"/>
          </w:tcPr>
          <w:p w14:paraId="0E7659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71E8D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7B99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20353C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70" w:type="dxa"/>
            <w:vMerge w:val="continue"/>
            <w:vAlign w:val="center"/>
          </w:tcPr>
          <w:p w14:paraId="785D11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2955" w:type="dxa"/>
            <w:vAlign w:val="center"/>
          </w:tcPr>
          <w:p w14:paraId="27FF9E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4721" w:type="dxa"/>
            <w:vMerge w:val="restart"/>
            <w:vAlign w:val="center"/>
          </w:tcPr>
          <w:p w14:paraId="1432E8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602B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36E976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70" w:type="dxa"/>
            <w:vMerge w:val="continue"/>
            <w:vAlign w:val="center"/>
          </w:tcPr>
          <w:p w14:paraId="12B7C7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2955" w:type="dxa"/>
            <w:vAlign w:val="center"/>
          </w:tcPr>
          <w:p w14:paraId="7D31E1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4721" w:type="dxa"/>
            <w:vMerge w:val="continue"/>
            <w:vAlign w:val="center"/>
          </w:tcPr>
          <w:p w14:paraId="409D72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13A3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23B08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70" w:type="dxa"/>
            <w:vMerge w:val="continue"/>
            <w:vAlign w:val="center"/>
          </w:tcPr>
          <w:p w14:paraId="76E9A4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2955" w:type="dxa"/>
            <w:vAlign w:val="center"/>
          </w:tcPr>
          <w:p w14:paraId="4D4966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4721" w:type="dxa"/>
            <w:vMerge w:val="continue"/>
            <w:vAlign w:val="center"/>
          </w:tcPr>
          <w:p w14:paraId="077475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0B83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73" w:type="dxa"/>
            <w:vMerge w:val="continue"/>
            <w:vAlign w:val="center"/>
          </w:tcPr>
          <w:p w14:paraId="7A23E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70" w:type="dxa"/>
            <w:vMerge w:val="continue"/>
            <w:vAlign w:val="center"/>
          </w:tcPr>
          <w:p w14:paraId="5DAEDC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2955" w:type="dxa"/>
            <w:vAlign w:val="center"/>
          </w:tcPr>
          <w:p w14:paraId="52236A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5.参加政府采购活动前三年内，在经营活动中没有重大违法记录（注</w:t>
            </w:r>
            <w:r>
              <w:rPr>
                <w:rFonts w:hint="eastAsia" w:ascii="宋体" w:hAnsi="宋体" w:eastAsia="宋体" w:cs="宋体"/>
                <w:color w:val="auto"/>
                <w:kern w:val="0"/>
                <w:sz w:val="24"/>
                <w:szCs w:val="24"/>
              </w:rPr>
              <w:t>①）</w:t>
            </w:r>
          </w:p>
        </w:tc>
        <w:tc>
          <w:tcPr>
            <w:tcW w:w="4721" w:type="dxa"/>
            <w:vMerge w:val="continue"/>
            <w:vAlign w:val="center"/>
          </w:tcPr>
          <w:p w14:paraId="6D48CE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p>
        </w:tc>
      </w:tr>
      <w:tr w14:paraId="3472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749587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70" w:type="dxa"/>
            <w:vMerge w:val="continue"/>
            <w:vAlign w:val="center"/>
          </w:tcPr>
          <w:p w14:paraId="7387CF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955" w:type="dxa"/>
            <w:vAlign w:val="center"/>
          </w:tcPr>
          <w:p w14:paraId="6F3630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721" w:type="dxa"/>
            <w:vAlign w:val="center"/>
          </w:tcPr>
          <w:p w14:paraId="54C889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3C24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73" w:type="dxa"/>
            <w:vMerge w:val="continue"/>
            <w:vAlign w:val="center"/>
          </w:tcPr>
          <w:p w14:paraId="3CD96F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70" w:type="dxa"/>
            <w:vMerge w:val="continue"/>
            <w:vAlign w:val="center"/>
          </w:tcPr>
          <w:p w14:paraId="25C15D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955" w:type="dxa"/>
            <w:vAlign w:val="center"/>
          </w:tcPr>
          <w:p w14:paraId="124DBA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7.本项目的特定资格要求</w:t>
            </w:r>
          </w:p>
        </w:tc>
        <w:tc>
          <w:tcPr>
            <w:tcW w:w="4721" w:type="dxa"/>
            <w:vAlign w:val="center"/>
          </w:tcPr>
          <w:p w14:paraId="207D33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）本项目的特定资格要求”的要求提交。</w:t>
            </w:r>
          </w:p>
        </w:tc>
      </w:tr>
      <w:tr w14:paraId="3A17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3" w:type="dxa"/>
            <w:vAlign w:val="center"/>
          </w:tcPr>
          <w:p w14:paraId="424B93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zh-CN"/>
              </w:rPr>
              <w:t>）</w:t>
            </w:r>
          </w:p>
        </w:tc>
        <w:tc>
          <w:tcPr>
            <w:tcW w:w="3625" w:type="dxa"/>
            <w:gridSpan w:val="2"/>
            <w:vAlign w:val="center"/>
          </w:tcPr>
          <w:p w14:paraId="5272E5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eastAsia="zh-CN"/>
              </w:rPr>
              <w:t>磋商</w:t>
            </w:r>
            <w:r>
              <w:rPr>
                <w:rFonts w:hint="eastAsia" w:ascii="宋体" w:hAnsi="宋体" w:eastAsia="宋体" w:cs="宋体"/>
                <w:color w:val="auto"/>
                <w:sz w:val="21"/>
                <w:szCs w:val="21"/>
                <w:lang w:val="zh-CN"/>
              </w:rPr>
              <w:t>保证金</w:t>
            </w:r>
          </w:p>
        </w:tc>
        <w:tc>
          <w:tcPr>
            <w:tcW w:w="4721" w:type="dxa"/>
            <w:vAlign w:val="center"/>
          </w:tcPr>
          <w:p w14:paraId="4016F6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按照竞争性磋商文件要求足额</w:t>
            </w:r>
            <w:r>
              <w:rPr>
                <w:rFonts w:hint="eastAsia" w:ascii="宋体" w:hAnsi="宋体" w:eastAsia="宋体" w:cs="宋体"/>
                <w:color w:val="auto"/>
                <w:sz w:val="21"/>
                <w:szCs w:val="21"/>
                <w:lang w:val="zh-CN" w:eastAsia="zh-CN"/>
              </w:rPr>
              <w:t>缴纳磋商</w:t>
            </w:r>
            <w:r>
              <w:rPr>
                <w:rFonts w:hint="eastAsia" w:ascii="宋体" w:hAnsi="宋体" w:eastAsia="宋体" w:cs="宋体"/>
                <w:color w:val="auto"/>
                <w:sz w:val="21"/>
                <w:szCs w:val="21"/>
                <w:lang w:val="zh-CN"/>
              </w:rPr>
              <w:t>保证金。</w:t>
            </w:r>
          </w:p>
        </w:tc>
      </w:tr>
    </w:tbl>
    <w:p w14:paraId="674DAA96">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4D982687">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www.creditchina.gov.cn</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中国政府采购网</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(www.ccgp.gov.cn</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等渠道查询信用记录。</w:t>
      </w:r>
    </w:p>
    <w:p w14:paraId="245F3617">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435"/>
        <w:gridCol w:w="1826"/>
        <w:gridCol w:w="4977"/>
      </w:tblGrid>
      <w:tr w14:paraId="62D6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20" w:type="dxa"/>
            <w:vAlign w:val="center"/>
          </w:tcPr>
          <w:p w14:paraId="11C859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261" w:type="dxa"/>
            <w:gridSpan w:val="2"/>
            <w:vAlign w:val="center"/>
          </w:tcPr>
          <w:p w14:paraId="275564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4977" w:type="dxa"/>
            <w:vAlign w:val="center"/>
          </w:tcPr>
          <w:p w14:paraId="492675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14:paraId="253C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20" w:type="dxa"/>
            <w:vMerge w:val="restart"/>
            <w:vAlign w:val="center"/>
          </w:tcPr>
          <w:p w14:paraId="05BAB5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35" w:type="dxa"/>
            <w:vMerge w:val="restart"/>
            <w:vAlign w:val="center"/>
          </w:tcPr>
          <w:p w14:paraId="464A3A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826" w:type="dxa"/>
            <w:vAlign w:val="center"/>
          </w:tcPr>
          <w:p w14:paraId="31A16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响应文件签署或盖章</w:t>
            </w:r>
          </w:p>
        </w:tc>
        <w:tc>
          <w:tcPr>
            <w:tcW w:w="4977" w:type="dxa"/>
            <w:vAlign w:val="center"/>
          </w:tcPr>
          <w:p w14:paraId="4C3BF8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按竞争性磋商文件“第七篇响应文件编制要求”要求签署或盖章。</w:t>
            </w:r>
          </w:p>
        </w:tc>
      </w:tr>
      <w:tr w14:paraId="2543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20" w:type="dxa"/>
            <w:vMerge w:val="continue"/>
            <w:vAlign w:val="center"/>
          </w:tcPr>
          <w:p w14:paraId="47BD42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435" w:type="dxa"/>
            <w:vMerge w:val="continue"/>
            <w:vAlign w:val="center"/>
          </w:tcPr>
          <w:p w14:paraId="1A5CD2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p>
        </w:tc>
        <w:tc>
          <w:tcPr>
            <w:tcW w:w="1826" w:type="dxa"/>
            <w:vAlign w:val="center"/>
          </w:tcPr>
          <w:p w14:paraId="5DDDF2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4977" w:type="dxa"/>
            <w:vAlign w:val="center"/>
          </w:tcPr>
          <w:p w14:paraId="4AED28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法定代表人身份证明及授权委托书有效，符合竞争性磋商文件规定的格式，签署或盖章齐全。</w:t>
            </w:r>
          </w:p>
        </w:tc>
      </w:tr>
      <w:tr w14:paraId="4C50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20" w:type="dxa"/>
            <w:vMerge w:val="continue"/>
            <w:vAlign w:val="center"/>
          </w:tcPr>
          <w:p w14:paraId="1F9AD7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435" w:type="dxa"/>
            <w:vMerge w:val="continue"/>
            <w:vAlign w:val="center"/>
          </w:tcPr>
          <w:p w14:paraId="60F067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p>
        </w:tc>
        <w:tc>
          <w:tcPr>
            <w:tcW w:w="1826" w:type="dxa"/>
            <w:vAlign w:val="center"/>
          </w:tcPr>
          <w:p w14:paraId="54BC10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4977" w:type="dxa"/>
            <w:vAlign w:val="center"/>
          </w:tcPr>
          <w:p w14:paraId="6E78E5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每个包只能有一个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4734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20" w:type="dxa"/>
            <w:vMerge w:val="continue"/>
            <w:vAlign w:val="center"/>
          </w:tcPr>
          <w:p w14:paraId="7630EA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435" w:type="dxa"/>
            <w:vMerge w:val="continue"/>
            <w:vAlign w:val="center"/>
          </w:tcPr>
          <w:p w14:paraId="23BA75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p>
        </w:tc>
        <w:tc>
          <w:tcPr>
            <w:tcW w:w="1826" w:type="dxa"/>
            <w:vAlign w:val="center"/>
          </w:tcPr>
          <w:p w14:paraId="3C5EF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4977" w:type="dxa"/>
            <w:vAlign w:val="center"/>
          </w:tcPr>
          <w:p w14:paraId="48F58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只能有一个有效报价，不得提交选择性报价。</w:t>
            </w:r>
          </w:p>
        </w:tc>
      </w:tr>
      <w:tr w14:paraId="5CC4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20" w:type="dxa"/>
            <w:vAlign w:val="center"/>
          </w:tcPr>
          <w:p w14:paraId="242F86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435" w:type="dxa"/>
            <w:vAlign w:val="center"/>
          </w:tcPr>
          <w:p w14:paraId="547E83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826" w:type="dxa"/>
            <w:vAlign w:val="center"/>
          </w:tcPr>
          <w:p w14:paraId="356478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文件份数</w:t>
            </w:r>
          </w:p>
        </w:tc>
        <w:tc>
          <w:tcPr>
            <w:tcW w:w="4977" w:type="dxa"/>
            <w:vAlign w:val="center"/>
          </w:tcPr>
          <w:p w14:paraId="18250B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文件正、副本数量（含电子文档）符合</w:t>
            </w:r>
            <w:r>
              <w:rPr>
                <w:rFonts w:hint="eastAsia" w:ascii="宋体" w:hAnsi="宋体" w:eastAsia="宋体" w:cs="宋体"/>
                <w:color w:val="auto"/>
                <w:kern w:val="0"/>
                <w:sz w:val="21"/>
                <w:szCs w:val="21"/>
              </w:rPr>
              <w:t>竞争性磋商</w:t>
            </w:r>
            <w:r>
              <w:rPr>
                <w:rFonts w:hint="eastAsia" w:ascii="宋体" w:hAnsi="宋体" w:eastAsia="宋体" w:cs="宋体"/>
                <w:color w:val="auto"/>
                <w:kern w:val="0"/>
                <w:sz w:val="21"/>
                <w:szCs w:val="21"/>
                <w:lang w:val="zh-CN"/>
              </w:rPr>
              <w:t>文件要求。</w:t>
            </w:r>
          </w:p>
        </w:tc>
      </w:tr>
      <w:tr w14:paraId="3F00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20" w:type="dxa"/>
            <w:vMerge w:val="restart"/>
            <w:vAlign w:val="center"/>
          </w:tcPr>
          <w:p w14:paraId="6A8A5F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435" w:type="dxa"/>
            <w:vMerge w:val="restart"/>
            <w:vAlign w:val="center"/>
          </w:tcPr>
          <w:p w14:paraId="65B46E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响应程度审查</w:t>
            </w:r>
          </w:p>
        </w:tc>
        <w:tc>
          <w:tcPr>
            <w:tcW w:w="1826" w:type="dxa"/>
            <w:vAlign w:val="center"/>
          </w:tcPr>
          <w:p w14:paraId="6CEC77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实质性响应</w:t>
            </w:r>
          </w:p>
        </w:tc>
        <w:tc>
          <w:tcPr>
            <w:tcW w:w="4977" w:type="dxa"/>
            <w:vAlign w:val="center"/>
          </w:tcPr>
          <w:p w14:paraId="3F2B07E3">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2"/>
                <w:szCs w:val="22"/>
                <w:highlight w:val="none"/>
              </w:rPr>
              <w:t>对竞争性磋商文</w:t>
            </w:r>
            <w:r>
              <w:rPr>
                <w:rFonts w:hint="eastAsia" w:ascii="宋体" w:hAnsi="宋体" w:cs="宋体"/>
                <w:color w:val="auto"/>
                <w:sz w:val="22"/>
                <w:szCs w:val="22"/>
                <w:highlight w:val="none"/>
              </w:rPr>
              <w:t>件第二篇以及第三篇规定的所有内容作出响应。</w:t>
            </w:r>
          </w:p>
        </w:tc>
      </w:tr>
      <w:tr w14:paraId="1D63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20" w:type="dxa"/>
            <w:vMerge w:val="continue"/>
            <w:vAlign w:val="center"/>
          </w:tcPr>
          <w:p w14:paraId="73D6B4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435" w:type="dxa"/>
            <w:vMerge w:val="continue"/>
            <w:vAlign w:val="center"/>
          </w:tcPr>
          <w:p w14:paraId="405AD7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1826" w:type="dxa"/>
            <w:vAlign w:val="center"/>
          </w:tcPr>
          <w:p w14:paraId="781A77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磋商有效期</w:t>
            </w:r>
          </w:p>
        </w:tc>
        <w:tc>
          <w:tcPr>
            <w:tcW w:w="4977" w:type="dxa"/>
            <w:vAlign w:val="center"/>
          </w:tcPr>
          <w:p w14:paraId="754903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响应文件及有关承诺文件有效期为提交响应文件截止时间起90天。</w:t>
            </w:r>
          </w:p>
        </w:tc>
      </w:tr>
    </w:tbl>
    <w:p w14:paraId="772FE66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771C12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8D936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9EAB9D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（五）在磋商过程中磋商的任何一方不得向他人透露与磋商有关的服务资料、价格或其他信息。</w:t>
      </w:r>
    </w:p>
    <w:p w14:paraId="468838B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2A139F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（七）供应商在磋商时作出的所有书面承诺须由法定代表人（或其授权代表）或自然人（供应商为自然人）签署。</w:t>
      </w:r>
    </w:p>
    <w:p w14:paraId="05DDDC9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07A110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服务等评定因素分别按照相应权重值计算分项得分后相加，满分为100分</w:t>
      </w:r>
      <w:r>
        <w:rPr>
          <w:rFonts w:hint="eastAsia" w:ascii="宋体" w:hAnsi="宋体" w:eastAsia="宋体" w:cs="宋体"/>
          <w:color w:val="auto"/>
          <w:sz w:val="24"/>
          <w:szCs w:val="24"/>
        </w:rPr>
        <w:t>。</w:t>
      </w:r>
    </w:p>
    <w:p w14:paraId="6F6BC5E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（十）磋商小组各成员独立对每个有效响应（通过资格性审查、</w:t>
      </w:r>
      <w:r>
        <w:rPr>
          <w:rFonts w:hint="eastAsia" w:ascii="宋体" w:hAnsi="宋体" w:eastAsia="宋体" w:cs="宋体"/>
          <w:color w:val="auto"/>
          <w:kern w:val="0"/>
          <w:sz w:val="24"/>
          <w:szCs w:val="24"/>
        </w:rPr>
        <w:t>符合性审查的供应商</w:t>
      </w:r>
      <w:r>
        <w:rPr>
          <w:rFonts w:hint="eastAsia" w:ascii="宋体" w:hAnsi="宋体" w:eastAsia="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5736726">
      <w:pPr>
        <w:pStyle w:val="4"/>
        <w:numPr>
          <w:ilvl w:val="1"/>
          <w:numId w:val="0"/>
        </w:numPr>
        <w:adjustRightInd w:val="0"/>
        <w:snapToGrid w:val="0"/>
        <w:spacing w:line="400" w:lineRule="exact"/>
        <w:rPr>
          <w:rFonts w:hint="eastAsia" w:ascii="宋体" w:hAnsi="宋体" w:eastAsia="宋体" w:cs="宋体"/>
          <w:color w:val="auto"/>
        </w:rPr>
      </w:pPr>
      <w:bookmarkStart w:id="174" w:name="_Toc3799"/>
      <w:bookmarkStart w:id="175" w:name="_Toc76462334"/>
      <w:bookmarkStart w:id="176" w:name="_Toc106030889"/>
      <w:bookmarkStart w:id="177" w:name="_Toc22744"/>
      <w:bookmarkStart w:id="178" w:name="_Toc22015"/>
      <w:bookmarkStart w:id="179" w:name="_Toc25329"/>
      <w:bookmarkStart w:id="180" w:name="_Toc6618"/>
      <w:r>
        <w:rPr>
          <w:rFonts w:hint="eastAsia" w:ascii="宋体" w:hAnsi="宋体" w:eastAsia="宋体" w:cs="宋体"/>
          <w:b/>
          <w:bCs w:val="0"/>
          <w:color w:val="auto"/>
          <w:sz w:val="24"/>
        </w:rPr>
        <w:t>二、</w:t>
      </w:r>
      <w:bookmarkStart w:id="181" w:name="_Toc342913394"/>
      <w:bookmarkStart w:id="182" w:name="_Toc102227320"/>
      <w:r>
        <w:rPr>
          <w:rFonts w:hint="eastAsia" w:ascii="宋体" w:hAnsi="宋体" w:eastAsia="宋体" w:cs="宋体"/>
          <w:b/>
          <w:bCs w:val="0"/>
          <w:color w:val="auto"/>
          <w:sz w:val="24"/>
        </w:rPr>
        <w:t>评审标准</w:t>
      </w:r>
      <w:bookmarkEnd w:id="174"/>
      <w:bookmarkEnd w:id="175"/>
      <w:bookmarkEnd w:id="176"/>
      <w:bookmarkEnd w:id="177"/>
      <w:bookmarkEnd w:id="178"/>
      <w:bookmarkEnd w:id="179"/>
      <w:bookmarkEnd w:id="180"/>
    </w:p>
    <w:tbl>
      <w:tblPr>
        <w:tblStyle w:val="3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304"/>
        <w:gridCol w:w="844"/>
        <w:gridCol w:w="4804"/>
        <w:gridCol w:w="1581"/>
      </w:tblGrid>
      <w:tr w14:paraId="2E1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6" w:type="dxa"/>
            <w:noWrap w:val="0"/>
            <w:vAlign w:val="center"/>
          </w:tcPr>
          <w:p w14:paraId="57582F98">
            <w:pPr>
              <w:snapToGrid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04" w:type="dxa"/>
            <w:noWrap w:val="0"/>
            <w:vAlign w:val="center"/>
          </w:tcPr>
          <w:p w14:paraId="59B0BD01">
            <w:pPr>
              <w:snapToGrid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p w14:paraId="5057EAC7">
            <w:pPr>
              <w:snapToGrid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及权值</w:t>
            </w:r>
          </w:p>
        </w:tc>
        <w:tc>
          <w:tcPr>
            <w:tcW w:w="844" w:type="dxa"/>
            <w:noWrap w:val="0"/>
            <w:vAlign w:val="center"/>
          </w:tcPr>
          <w:p w14:paraId="35B67CB3">
            <w:pPr>
              <w:snapToGrid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804" w:type="dxa"/>
            <w:noWrap w:val="0"/>
            <w:vAlign w:val="center"/>
          </w:tcPr>
          <w:p w14:paraId="1F9EADC1">
            <w:pPr>
              <w:snapToGrid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581" w:type="dxa"/>
            <w:noWrap w:val="0"/>
            <w:vAlign w:val="center"/>
          </w:tcPr>
          <w:p w14:paraId="1256181B">
            <w:pPr>
              <w:pStyle w:val="46"/>
              <w:snapToGrid w:val="0"/>
              <w:spacing w:before="0"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614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6" w:type="dxa"/>
            <w:noWrap w:val="0"/>
            <w:vAlign w:val="center"/>
          </w:tcPr>
          <w:p w14:paraId="76726ADC">
            <w:pPr>
              <w:snapToGrid w:val="0"/>
              <w:spacing w:line="40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4" w:type="dxa"/>
            <w:noWrap w:val="0"/>
            <w:vAlign w:val="center"/>
          </w:tcPr>
          <w:p w14:paraId="7D505BC2">
            <w:pPr>
              <w:snapToGrid w:val="0"/>
              <w:spacing w:line="40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p w14:paraId="09FF3B22">
            <w:pPr>
              <w:snapToGrid w:val="0"/>
              <w:spacing w:line="400" w:lineRule="exact"/>
              <w:ind w:firstLine="28"/>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tc>
        <w:tc>
          <w:tcPr>
            <w:tcW w:w="844" w:type="dxa"/>
            <w:noWrap w:val="0"/>
            <w:vAlign w:val="center"/>
          </w:tcPr>
          <w:p w14:paraId="5428073F">
            <w:pPr>
              <w:snapToGrid w:val="0"/>
              <w:spacing w:line="400" w:lineRule="exact"/>
              <w:ind w:firstLine="2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分</w:t>
            </w:r>
          </w:p>
        </w:tc>
        <w:tc>
          <w:tcPr>
            <w:tcW w:w="4804" w:type="dxa"/>
            <w:noWrap w:val="0"/>
            <w:vAlign w:val="center"/>
          </w:tcPr>
          <w:p w14:paraId="58AB8F25">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满足资格性、符合性要求且最后报价最低的供应商的价格为磋商基准价，其价格分为满分。其他供应商的价格分统一按照下列公式计算：</w:t>
            </w:r>
          </w:p>
          <w:p w14:paraId="255FB834">
            <w:pPr>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rPr>
              <w:t>磋商报价得分=（磋商基准价/最后磋商报价）×价格权值×100（按四舍五入法保留小数点后两位）</w:t>
            </w:r>
          </w:p>
        </w:tc>
        <w:tc>
          <w:tcPr>
            <w:tcW w:w="1581" w:type="dxa"/>
            <w:noWrap w:val="0"/>
            <w:vAlign w:val="center"/>
          </w:tcPr>
          <w:p w14:paraId="6B3087FF">
            <w:pPr>
              <w:snapToGrid w:val="0"/>
              <w:spacing w:line="400" w:lineRule="exact"/>
              <w:ind w:left="-3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07B3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506" w:type="dxa"/>
            <w:vMerge w:val="restart"/>
            <w:noWrap w:val="0"/>
            <w:vAlign w:val="center"/>
          </w:tcPr>
          <w:p w14:paraId="49494B89">
            <w:pPr>
              <w:snapToGrid w:val="0"/>
              <w:spacing w:line="40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04" w:type="dxa"/>
            <w:vMerge w:val="restart"/>
            <w:noWrap w:val="0"/>
            <w:vAlign w:val="center"/>
          </w:tcPr>
          <w:p w14:paraId="3517DA67">
            <w:pPr>
              <w:snapToGrid w:val="0"/>
              <w:spacing w:line="400" w:lineRule="exact"/>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部分</w:t>
            </w:r>
          </w:p>
          <w:p w14:paraId="028DBF60">
            <w:pPr>
              <w:snapToGrid w:val="0"/>
              <w:spacing w:line="4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tc>
        <w:tc>
          <w:tcPr>
            <w:tcW w:w="844" w:type="dxa"/>
            <w:noWrap w:val="0"/>
            <w:vAlign w:val="center"/>
          </w:tcPr>
          <w:p w14:paraId="22D91C6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仿宋"/>
                <w:color w:val="auto"/>
                <w:sz w:val="24"/>
                <w:szCs w:val="24"/>
                <w:highlight w:val="none"/>
                <w:lang w:val="en-US" w:eastAsia="zh-CN"/>
              </w:rPr>
              <w:t>10</w:t>
            </w:r>
            <w:r>
              <w:rPr>
                <w:rFonts w:hint="eastAsia" w:ascii="宋体" w:hAnsi="宋体" w:cs="仿宋"/>
                <w:color w:val="auto"/>
                <w:sz w:val="24"/>
                <w:szCs w:val="24"/>
                <w:highlight w:val="none"/>
              </w:rPr>
              <w:t>分</w:t>
            </w:r>
          </w:p>
        </w:tc>
        <w:tc>
          <w:tcPr>
            <w:tcW w:w="4804" w:type="dxa"/>
            <w:noWrap w:val="0"/>
            <w:vAlign w:val="center"/>
          </w:tcPr>
          <w:p w14:paraId="3A2D299A">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供应商针对本项目提供施工组织方案，方案内容包括但不限于：</w:t>
            </w:r>
            <w:r>
              <w:rPr>
                <w:rFonts w:hint="eastAsia" w:ascii="宋体" w:hAnsi="宋体" w:eastAsia="宋体" w:cs="宋体"/>
                <w:bCs/>
                <w:color w:val="auto"/>
                <w:sz w:val="24"/>
                <w:szCs w:val="24"/>
                <w:lang w:val="en-US" w:eastAsia="zh-CN"/>
              </w:rPr>
              <w:t>①整体实施计划；②组织架构及管理制度；③材料设备及劳动力等资源配备计划；④材料进场、验收流程及管理措施；⑤进度保障措施。</w:t>
            </w:r>
          </w:p>
          <w:p w14:paraId="32E380B7">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方案内容不存在瑕疵，得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rPr>
              <w:t>分；</w:t>
            </w:r>
          </w:p>
          <w:p w14:paraId="16CA4E7E">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方案内容存在1处瑕疵，得</w:t>
            </w:r>
            <w:r>
              <w:rPr>
                <w:rFonts w:hint="eastAsia" w:ascii="宋体" w:hAnsi="宋体" w:cs="仿宋"/>
                <w:color w:val="auto"/>
                <w:sz w:val="24"/>
                <w:szCs w:val="24"/>
                <w:highlight w:val="none"/>
                <w:lang w:val="en-US" w:eastAsia="zh-CN"/>
              </w:rPr>
              <w:t>8</w:t>
            </w:r>
            <w:r>
              <w:rPr>
                <w:rFonts w:hint="eastAsia" w:ascii="宋体" w:hAnsi="宋体" w:eastAsia="宋体" w:cs="仿宋"/>
                <w:color w:val="auto"/>
                <w:sz w:val="24"/>
                <w:szCs w:val="24"/>
                <w:highlight w:val="none"/>
              </w:rPr>
              <w:t>分；</w:t>
            </w:r>
          </w:p>
          <w:p w14:paraId="63D2AD69">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方案内容存在2处瑕疵，得6分；</w:t>
            </w:r>
          </w:p>
          <w:p w14:paraId="45ECC713">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方案内容存在3处瑕疵，得2分；</w:t>
            </w:r>
          </w:p>
          <w:p w14:paraId="3397045F">
            <w:pPr>
              <w:spacing w:line="400" w:lineRule="exact"/>
              <w:ind w:firstLine="28" w:firstLineChars="0"/>
              <w:jc w:val="both"/>
              <w:rPr>
                <w:rFonts w:hint="eastAsia" w:ascii="宋体" w:hAnsi="宋体" w:eastAsia="宋体" w:cs="宋体"/>
                <w:color w:val="auto"/>
                <w:sz w:val="24"/>
                <w:szCs w:val="24"/>
                <w:highlight w:val="none"/>
              </w:rPr>
            </w:pPr>
            <w:r>
              <w:rPr>
                <w:rFonts w:hint="eastAsia" w:ascii="宋体" w:hAnsi="宋体" w:eastAsia="宋体" w:cs="仿宋"/>
                <w:color w:val="auto"/>
                <w:sz w:val="24"/>
                <w:szCs w:val="24"/>
                <w:highlight w:val="none"/>
              </w:rPr>
              <w:t>方案内容存在4处及以上瑕疵，得0分。</w:t>
            </w:r>
          </w:p>
        </w:tc>
        <w:tc>
          <w:tcPr>
            <w:tcW w:w="1581" w:type="dxa"/>
            <w:vMerge w:val="restart"/>
            <w:noWrap w:val="0"/>
            <w:vAlign w:val="center"/>
          </w:tcPr>
          <w:p w14:paraId="105148F2">
            <w:pPr>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1.提供书面方案进行评审。</w:t>
            </w:r>
          </w:p>
          <w:p w14:paraId="234558E4">
            <w:pPr>
              <w:spacing w:line="400" w:lineRule="exact"/>
              <w:rPr>
                <w:rFonts w:hint="eastAsia" w:ascii="宋体" w:hAnsi="宋体" w:eastAsia="宋体" w:cs="宋体"/>
                <w:b/>
                <w:color w:val="auto"/>
                <w:sz w:val="24"/>
                <w:szCs w:val="24"/>
                <w:highlight w:val="none"/>
              </w:rPr>
            </w:pPr>
            <w:r>
              <w:rPr>
                <w:rFonts w:hint="eastAsia" w:ascii="宋体" w:hAnsi="宋体" w:cs="宋体"/>
                <w:color w:val="auto"/>
                <w:kern w:val="0"/>
                <w:sz w:val="24"/>
                <w:szCs w:val="24"/>
                <w:highlight w:val="none"/>
              </w:rPr>
              <w:t>2.本项内容中所称的“瑕疵”：①内容表述不完整或缺少关键分析点；②计划及措施不科学合理方案；③内容表述前后矛盾、无连贯性、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14:paraId="4D72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6" w:type="dxa"/>
            <w:vMerge w:val="continue"/>
            <w:noWrap w:val="0"/>
            <w:vAlign w:val="center"/>
          </w:tcPr>
          <w:p w14:paraId="6E057C04">
            <w:pPr>
              <w:snapToGrid w:val="0"/>
              <w:spacing w:line="400" w:lineRule="exact"/>
              <w:ind w:firstLine="28"/>
              <w:jc w:val="center"/>
              <w:rPr>
                <w:rFonts w:hint="eastAsia" w:ascii="宋体" w:hAnsi="宋体" w:eastAsia="宋体" w:cs="宋体"/>
                <w:color w:val="auto"/>
                <w:sz w:val="24"/>
                <w:szCs w:val="24"/>
                <w:highlight w:val="none"/>
              </w:rPr>
            </w:pPr>
          </w:p>
        </w:tc>
        <w:tc>
          <w:tcPr>
            <w:tcW w:w="1304" w:type="dxa"/>
            <w:vMerge w:val="continue"/>
            <w:noWrap w:val="0"/>
            <w:vAlign w:val="center"/>
          </w:tcPr>
          <w:p w14:paraId="66735314">
            <w:pPr>
              <w:snapToGrid w:val="0"/>
              <w:spacing w:line="400" w:lineRule="exact"/>
              <w:ind w:firstLine="28"/>
              <w:jc w:val="center"/>
              <w:rPr>
                <w:rFonts w:hint="eastAsia" w:ascii="宋体" w:hAnsi="宋体" w:eastAsia="宋体" w:cs="宋体"/>
                <w:color w:val="auto"/>
                <w:sz w:val="24"/>
                <w:szCs w:val="24"/>
                <w:highlight w:val="none"/>
              </w:rPr>
            </w:pPr>
          </w:p>
        </w:tc>
        <w:tc>
          <w:tcPr>
            <w:tcW w:w="844" w:type="dxa"/>
            <w:noWrap w:val="0"/>
            <w:vAlign w:val="center"/>
          </w:tcPr>
          <w:p w14:paraId="7E40FE9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仿宋"/>
                <w:color w:val="auto"/>
                <w:sz w:val="24"/>
                <w:szCs w:val="24"/>
                <w:highlight w:val="none"/>
                <w:lang w:val="en-US" w:eastAsia="zh-CN"/>
              </w:rPr>
              <w:t>10</w:t>
            </w:r>
            <w:r>
              <w:rPr>
                <w:rFonts w:hint="eastAsia" w:ascii="宋体" w:hAnsi="宋体" w:cs="仿宋"/>
                <w:color w:val="auto"/>
                <w:sz w:val="24"/>
                <w:szCs w:val="24"/>
                <w:highlight w:val="none"/>
              </w:rPr>
              <w:t>分</w:t>
            </w:r>
          </w:p>
        </w:tc>
        <w:tc>
          <w:tcPr>
            <w:tcW w:w="4804" w:type="dxa"/>
            <w:noWrap w:val="0"/>
            <w:vAlign w:val="center"/>
          </w:tcPr>
          <w:p w14:paraId="40FEB7E2">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供应商针对本项目提供</w:t>
            </w:r>
            <w:r>
              <w:rPr>
                <w:rFonts w:hint="eastAsia" w:ascii="宋体" w:hAnsi="宋体" w:cs="仿宋"/>
                <w:color w:val="auto"/>
                <w:sz w:val="24"/>
                <w:szCs w:val="24"/>
                <w:highlight w:val="none"/>
                <w:lang w:val="en-US" w:eastAsia="zh-CN"/>
              </w:rPr>
              <w:t>施工技术保障</w:t>
            </w:r>
            <w:r>
              <w:rPr>
                <w:rFonts w:hint="eastAsia" w:ascii="宋体" w:hAnsi="宋体" w:eastAsia="宋体" w:cs="仿宋"/>
                <w:color w:val="auto"/>
                <w:sz w:val="24"/>
                <w:szCs w:val="24"/>
                <w:highlight w:val="none"/>
              </w:rPr>
              <w:t>方案，方案内容包括但不限于：</w:t>
            </w:r>
            <w:r>
              <w:rPr>
                <w:rFonts w:hint="eastAsia" w:ascii="宋体" w:hAnsi="宋体" w:eastAsia="宋体" w:cs="宋体"/>
                <w:bCs/>
                <w:color w:val="auto"/>
                <w:sz w:val="24"/>
                <w:szCs w:val="24"/>
                <w:lang w:val="en-US" w:eastAsia="zh-CN"/>
              </w:rPr>
              <w:t>①施工方式；②施工技术保障措施；③</w:t>
            </w:r>
            <w:r>
              <w:rPr>
                <w:rFonts w:hint="eastAsia" w:ascii="宋体" w:hAnsi="宋体" w:cs="宋体"/>
                <w:bCs/>
                <w:color w:val="auto"/>
                <w:sz w:val="24"/>
                <w:szCs w:val="24"/>
                <w:lang w:val="en-US" w:eastAsia="zh-CN"/>
              </w:rPr>
              <w:t>项目重难点分析；④优化方案。</w:t>
            </w:r>
          </w:p>
          <w:p w14:paraId="20B355C4">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方案内容不存在瑕疵，得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rPr>
              <w:t>分；</w:t>
            </w:r>
          </w:p>
          <w:p w14:paraId="36B6E558">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方案内容存在1处瑕疵，得</w:t>
            </w:r>
            <w:r>
              <w:rPr>
                <w:rFonts w:hint="eastAsia" w:ascii="宋体" w:hAnsi="宋体" w:cs="仿宋"/>
                <w:color w:val="auto"/>
                <w:sz w:val="24"/>
                <w:szCs w:val="24"/>
                <w:highlight w:val="none"/>
                <w:lang w:val="en-US" w:eastAsia="zh-CN"/>
              </w:rPr>
              <w:t>8</w:t>
            </w:r>
            <w:r>
              <w:rPr>
                <w:rFonts w:hint="eastAsia" w:ascii="宋体" w:hAnsi="宋体" w:eastAsia="宋体" w:cs="仿宋"/>
                <w:color w:val="auto"/>
                <w:sz w:val="24"/>
                <w:szCs w:val="24"/>
                <w:highlight w:val="none"/>
              </w:rPr>
              <w:t>分；</w:t>
            </w:r>
          </w:p>
          <w:p w14:paraId="0732FCFE">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方案内容存在2处瑕疵，得6分；</w:t>
            </w:r>
          </w:p>
          <w:p w14:paraId="6FA5EF41">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方案内容存在3处瑕疵，得2分；</w:t>
            </w:r>
          </w:p>
          <w:p w14:paraId="15E58C65">
            <w:pPr>
              <w:spacing w:line="400" w:lineRule="exact"/>
              <w:ind w:firstLine="28" w:firstLineChars="0"/>
              <w:jc w:val="both"/>
              <w:rPr>
                <w:rFonts w:hint="eastAsia" w:ascii="宋体" w:hAnsi="宋体" w:eastAsia="宋体" w:cs="宋体"/>
                <w:color w:val="auto"/>
                <w:sz w:val="24"/>
                <w:szCs w:val="24"/>
                <w:highlight w:val="none"/>
              </w:rPr>
            </w:pPr>
            <w:r>
              <w:rPr>
                <w:rFonts w:hint="eastAsia" w:ascii="宋体" w:hAnsi="宋体" w:eastAsia="宋体" w:cs="仿宋"/>
                <w:color w:val="auto"/>
                <w:sz w:val="24"/>
                <w:szCs w:val="24"/>
                <w:highlight w:val="none"/>
              </w:rPr>
              <w:t>方案内容存在4处及以上瑕疵，得0分。</w:t>
            </w:r>
          </w:p>
        </w:tc>
        <w:tc>
          <w:tcPr>
            <w:tcW w:w="1581" w:type="dxa"/>
            <w:vMerge w:val="continue"/>
            <w:noWrap w:val="0"/>
            <w:vAlign w:val="center"/>
          </w:tcPr>
          <w:p w14:paraId="1CB29CE9">
            <w:pPr>
              <w:snapToGrid w:val="0"/>
              <w:spacing w:line="400" w:lineRule="exact"/>
              <w:rPr>
                <w:rFonts w:hint="eastAsia" w:ascii="宋体" w:hAnsi="宋体" w:eastAsia="宋体" w:cs="宋体"/>
                <w:color w:val="auto"/>
                <w:sz w:val="24"/>
                <w:szCs w:val="24"/>
                <w:highlight w:val="none"/>
              </w:rPr>
            </w:pPr>
          </w:p>
        </w:tc>
      </w:tr>
      <w:tr w14:paraId="1ECC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6" w:type="dxa"/>
            <w:vMerge w:val="continue"/>
            <w:noWrap w:val="0"/>
            <w:vAlign w:val="center"/>
          </w:tcPr>
          <w:p w14:paraId="72273E82">
            <w:pPr>
              <w:snapToGrid w:val="0"/>
              <w:spacing w:line="400" w:lineRule="exact"/>
              <w:ind w:firstLine="28"/>
              <w:jc w:val="center"/>
              <w:rPr>
                <w:rFonts w:hint="eastAsia" w:ascii="宋体" w:hAnsi="宋体" w:eastAsia="宋体" w:cs="宋体"/>
                <w:color w:val="auto"/>
                <w:sz w:val="24"/>
                <w:szCs w:val="24"/>
                <w:highlight w:val="none"/>
              </w:rPr>
            </w:pPr>
          </w:p>
        </w:tc>
        <w:tc>
          <w:tcPr>
            <w:tcW w:w="1304" w:type="dxa"/>
            <w:vMerge w:val="continue"/>
            <w:noWrap w:val="0"/>
            <w:vAlign w:val="center"/>
          </w:tcPr>
          <w:p w14:paraId="1E51709C">
            <w:pPr>
              <w:snapToGrid w:val="0"/>
              <w:spacing w:line="400" w:lineRule="exact"/>
              <w:ind w:firstLine="28"/>
              <w:jc w:val="center"/>
              <w:rPr>
                <w:rFonts w:hint="eastAsia" w:ascii="宋体" w:hAnsi="宋体" w:eastAsia="宋体" w:cs="宋体"/>
                <w:color w:val="auto"/>
                <w:sz w:val="24"/>
                <w:szCs w:val="24"/>
                <w:highlight w:val="none"/>
              </w:rPr>
            </w:pPr>
          </w:p>
        </w:tc>
        <w:tc>
          <w:tcPr>
            <w:tcW w:w="844" w:type="dxa"/>
            <w:noWrap w:val="0"/>
            <w:vAlign w:val="center"/>
          </w:tcPr>
          <w:p w14:paraId="7CA6DDBD">
            <w:pPr>
              <w:spacing w:line="400" w:lineRule="exact"/>
              <w:jc w:val="center"/>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10</w:t>
            </w:r>
            <w:r>
              <w:rPr>
                <w:rFonts w:hint="eastAsia" w:ascii="宋体" w:hAnsi="宋体" w:cs="仿宋"/>
                <w:color w:val="auto"/>
                <w:sz w:val="24"/>
                <w:szCs w:val="24"/>
                <w:highlight w:val="none"/>
              </w:rPr>
              <w:t>分</w:t>
            </w:r>
          </w:p>
        </w:tc>
        <w:tc>
          <w:tcPr>
            <w:tcW w:w="4804" w:type="dxa"/>
            <w:noWrap w:val="0"/>
            <w:vAlign w:val="center"/>
          </w:tcPr>
          <w:p w14:paraId="14C78EC8">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供应商针对本项目提供</w:t>
            </w:r>
            <w:r>
              <w:rPr>
                <w:rFonts w:hint="eastAsia" w:ascii="宋体" w:hAnsi="宋体" w:eastAsia="宋体" w:cs="宋体"/>
                <w:bCs/>
                <w:color w:val="auto"/>
                <w:sz w:val="24"/>
                <w:szCs w:val="24"/>
                <w:lang w:val="en-US" w:eastAsia="zh-CN"/>
              </w:rPr>
              <w:t>施工质量及安全控制方案</w:t>
            </w:r>
            <w:r>
              <w:rPr>
                <w:rFonts w:hint="eastAsia" w:ascii="宋体" w:hAnsi="宋体" w:eastAsia="宋体" w:cs="仿宋"/>
                <w:color w:val="auto"/>
                <w:sz w:val="24"/>
                <w:szCs w:val="24"/>
                <w:highlight w:val="none"/>
              </w:rPr>
              <w:t>，方案内容包括但不限于：</w:t>
            </w:r>
            <w:r>
              <w:rPr>
                <w:rFonts w:hint="eastAsia" w:ascii="宋体" w:hAnsi="宋体" w:eastAsia="宋体" w:cs="宋体"/>
                <w:bCs/>
                <w:color w:val="auto"/>
                <w:sz w:val="24"/>
                <w:szCs w:val="24"/>
                <w:lang w:val="en-US" w:eastAsia="zh-CN"/>
              </w:rPr>
              <w:t>①实施质量保障措施；②安全保障措施；③质量及安全事故处理预案；④安全事故处理及上报预案</w:t>
            </w:r>
            <w:r>
              <w:rPr>
                <w:rFonts w:hint="eastAsia" w:ascii="宋体" w:hAnsi="宋体" w:cs="宋体"/>
                <w:bCs/>
                <w:color w:val="auto"/>
                <w:sz w:val="24"/>
                <w:szCs w:val="24"/>
                <w:lang w:val="en-US" w:eastAsia="zh-CN"/>
              </w:rPr>
              <w:t>。</w:t>
            </w:r>
          </w:p>
          <w:p w14:paraId="192089B0">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方案内容不存在瑕疵，得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rPr>
              <w:t>分；</w:t>
            </w:r>
          </w:p>
          <w:p w14:paraId="538CF1B4">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方案内容存在1处瑕疵，得</w:t>
            </w:r>
            <w:r>
              <w:rPr>
                <w:rFonts w:hint="eastAsia" w:ascii="宋体" w:hAnsi="宋体" w:cs="仿宋"/>
                <w:color w:val="auto"/>
                <w:sz w:val="24"/>
                <w:szCs w:val="24"/>
                <w:highlight w:val="none"/>
                <w:lang w:val="en-US" w:eastAsia="zh-CN"/>
              </w:rPr>
              <w:t>8</w:t>
            </w:r>
            <w:r>
              <w:rPr>
                <w:rFonts w:hint="eastAsia" w:ascii="宋体" w:hAnsi="宋体" w:eastAsia="宋体" w:cs="仿宋"/>
                <w:color w:val="auto"/>
                <w:sz w:val="24"/>
                <w:szCs w:val="24"/>
                <w:highlight w:val="none"/>
              </w:rPr>
              <w:t>分；</w:t>
            </w:r>
          </w:p>
          <w:p w14:paraId="28D4CA13">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方案内容存在2处瑕疵，得6分；</w:t>
            </w:r>
          </w:p>
          <w:p w14:paraId="609E8172">
            <w:pPr>
              <w:spacing w:line="400" w:lineRule="exact"/>
              <w:ind w:firstLine="28"/>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方案内容存在3处瑕疵，得2分；</w:t>
            </w:r>
          </w:p>
          <w:p w14:paraId="02C5AD4E">
            <w:pPr>
              <w:spacing w:line="400" w:lineRule="exact"/>
              <w:ind w:firstLine="28" w:firstLineChars="0"/>
              <w:jc w:val="both"/>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方案内容存在4处及以上瑕疵，得0分。</w:t>
            </w:r>
          </w:p>
        </w:tc>
        <w:tc>
          <w:tcPr>
            <w:tcW w:w="1581" w:type="dxa"/>
            <w:vMerge w:val="continue"/>
            <w:noWrap w:val="0"/>
            <w:vAlign w:val="center"/>
          </w:tcPr>
          <w:p w14:paraId="43F55100">
            <w:pPr>
              <w:snapToGrid w:val="0"/>
              <w:spacing w:line="400" w:lineRule="exact"/>
              <w:rPr>
                <w:rFonts w:hint="eastAsia" w:ascii="宋体" w:hAnsi="宋体" w:eastAsia="宋体" w:cs="宋体"/>
                <w:color w:val="auto"/>
                <w:sz w:val="24"/>
                <w:szCs w:val="24"/>
                <w:highlight w:val="none"/>
              </w:rPr>
            </w:pPr>
          </w:p>
        </w:tc>
      </w:tr>
    </w:tbl>
    <w:p w14:paraId="203F496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A9CB369">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83" w:name="_Toc16319"/>
      <w:bookmarkStart w:id="184" w:name="_Toc106030890"/>
      <w:bookmarkStart w:id="185" w:name="_Toc27944"/>
      <w:bookmarkStart w:id="186" w:name="_Toc76462335"/>
      <w:bookmarkStart w:id="187" w:name="_Toc22887"/>
      <w:bookmarkStart w:id="188" w:name="_Toc30217"/>
      <w:bookmarkStart w:id="189" w:name="_Toc5158"/>
      <w:r>
        <w:rPr>
          <w:rFonts w:hint="eastAsia" w:ascii="宋体" w:hAnsi="宋体" w:eastAsia="宋体" w:cs="宋体"/>
          <w:b/>
          <w:bCs w:val="0"/>
          <w:color w:val="auto"/>
          <w:sz w:val="24"/>
        </w:rPr>
        <w:t>三、无效响应</w:t>
      </w:r>
      <w:bookmarkEnd w:id="183"/>
      <w:bookmarkEnd w:id="184"/>
      <w:bookmarkEnd w:id="185"/>
      <w:bookmarkEnd w:id="186"/>
      <w:bookmarkEnd w:id="187"/>
      <w:bookmarkEnd w:id="188"/>
      <w:bookmarkEnd w:id="189"/>
    </w:p>
    <w:p w14:paraId="32D104ED">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供应商发生以下条款情况之一者，视为无效响应，其响应文件将被拒绝：</w:t>
      </w:r>
    </w:p>
    <w:p w14:paraId="609F9948">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（一）供应商不符合规定的资格条件的；</w:t>
      </w:r>
    </w:p>
    <w:p w14:paraId="7C7AAEDF">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（二）供应商的法定代表人（或其授权代表）或自然人未参加磋商；</w:t>
      </w:r>
    </w:p>
    <w:p w14:paraId="75EDEF95">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（三）供应商未在</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保证金到账截止时间前足额交纳</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保证金的；</w:t>
      </w:r>
    </w:p>
    <w:p w14:paraId="571DC257">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（四）供应商所提交的响应文件不按“第七篇响应文件编制要求”要求签署或盖章；</w:t>
      </w:r>
    </w:p>
    <w:p w14:paraId="33A0C83E">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（五）供应商的最后报价超过采购预算或最高限价的；</w:t>
      </w:r>
    </w:p>
    <w:p w14:paraId="1B4E6FD9">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（六）法定代表人为同一个人的两个及两个以上法人，母公司、全资子公司及其控股公司，在同一包采购中同时参与磋商；</w:t>
      </w:r>
    </w:p>
    <w:p w14:paraId="0BCE663C">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（七）单位负责人为同一人或者存在直接控股、管理关系的不同供应商，参加同一合同项下的采购活动的；</w:t>
      </w:r>
    </w:p>
    <w:p w14:paraId="1C27B577">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（八）为采购项目提供整体设计、规范编制或者项目管理、监理、检测等服务的供应商，再参加该采购项目的其他采购活动；</w:t>
      </w:r>
    </w:p>
    <w:p w14:paraId="622960E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（九）供应商磋商有效期不满足竞争性磋商文件要求的；</w:t>
      </w:r>
    </w:p>
    <w:p w14:paraId="1BF0414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（十）供应商响应文件内容有与国家现行法律法规相违背的内容，或附有采购人无法接受的条件；</w:t>
      </w:r>
    </w:p>
    <w:p w14:paraId="712C5AD9">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（十一）法律、法规和竞争性磋商文件规定的其他无效情形。</w:t>
      </w:r>
    </w:p>
    <w:p w14:paraId="3C5AA5DC">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90" w:name="_Toc3617"/>
      <w:bookmarkStart w:id="191" w:name="_Toc13735"/>
      <w:bookmarkStart w:id="192" w:name="_Toc106030891"/>
      <w:bookmarkStart w:id="193" w:name="_Toc25630"/>
      <w:bookmarkStart w:id="194" w:name="_Toc13574"/>
      <w:bookmarkStart w:id="195" w:name="_Toc76462336"/>
      <w:bookmarkStart w:id="196" w:name="_Toc707"/>
      <w:r>
        <w:rPr>
          <w:rFonts w:hint="eastAsia" w:ascii="宋体" w:hAnsi="宋体" w:eastAsia="宋体" w:cs="宋体"/>
          <w:b/>
          <w:bCs w:val="0"/>
          <w:color w:val="auto"/>
          <w:sz w:val="24"/>
        </w:rPr>
        <w:t>四、</w:t>
      </w:r>
      <w:bookmarkEnd w:id="181"/>
      <w:bookmarkEnd w:id="182"/>
      <w:r>
        <w:rPr>
          <w:rFonts w:hint="eastAsia" w:ascii="宋体" w:hAnsi="宋体" w:eastAsia="宋体" w:cs="宋体"/>
          <w:b/>
          <w:bCs w:val="0"/>
          <w:color w:val="auto"/>
          <w:sz w:val="24"/>
        </w:rPr>
        <w:t>采购终止</w:t>
      </w:r>
      <w:bookmarkEnd w:id="190"/>
      <w:bookmarkEnd w:id="191"/>
      <w:bookmarkEnd w:id="192"/>
      <w:bookmarkEnd w:id="193"/>
      <w:bookmarkEnd w:id="194"/>
      <w:bookmarkEnd w:id="195"/>
      <w:bookmarkEnd w:id="196"/>
    </w:p>
    <w:p w14:paraId="2B236647">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4B8A937A">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（一）因情况变化，不再符合规定的竞争性磋商采购方式适用情形的；</w:t>
      </w:r>
    </w:p>
    <w:p w14:paraId="1CB2C3E4">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0F685A8A">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4A99B01C">
      <w:pPr>
        <w:pStyle w:val="4"/>
        <w:pageBreakBefore/>
        <w:numPr>
          <w:ilvl w:val="1"/>
          <w:numId w:val="0"/>
        </w:numPr>
        <w:spacing w:line="360" w:lineRule="auto"/>
        <w:jc w:val="center"/>
        <w:rPr>
          <w:rFonts w:hint="eastAsia" w:ascii="宋体" w:hAnsi="宋体" w:eastAsia="宋体" w:cs="宋体"/>
          <w:color w:val="auto"/>
          <w:sz w:val="36"/>
          <w:szCs w:val="30"/>
        </w:rPr>
      </w:pPr>
      <w:bookmarkStart w:id="197" w:name="_Toc76462337"/>
      <w:bookmarkStart w:id="198" w:name="_Toc16007"/>
      <w:bookmarkStart w:id="199" w:name="_Toc1323"/>
      <w:bookmarkStart w:id="200" w:name="_Toc102227313"/>
      <w:bookmarkStart w:id="201" w:name="_Toc6000"/>
      <w:bookmarkStart w:id="202" w:name="_Toc11218"/>
      <w:bookmarkStart w:id="203" w:name="_Toc106030892"/>
      <w:bookmarkStart w:id="204" w:name="_Toc13148"/>
      <w:r>
        <w:rPr>
          <w:rFonts w:hint="eastAsia" w:ascii="宋体" w:hAnsi="宋体" w:eastAsia="宋体" w:cs="宋体"/>
          <w:color w:val="auto"/>
          <w:sz w:val="36"/>
          <w:szCs w:val="30"/>
        </w:rPr>
        <w:t>第五篇  供应商须知</w:t>
      </w:r>
      <w:bookmarkEnd w:id="197"/>
      <w:bookmarkEnd w:id="198"/>
      <w:bookmarkEnd w:id="199"/>
      <w:bookmarkEnd w:id="200"/>
      <w:bookmarkEnd w:id="201"/>
      <w:bookmarkEnd w:id="202"/>
      <w:bookmarkEnd w:id="203"/>
      <w:bookmarkEnd w:id="204"/>
    </w:p>
    <w:p w14:paraId="4B1C8BCC">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05" w:name="_Toc76462338"/>
      <w:bookmarkStart w:id="206" w:name="_Toc342913389"/>
      <w:bookmarkStart w:id="207" w:name="_Toc2845"/>
      <w:bookmarkStart w:id="208" w:name="_Toc6124"/>
      <w:bookmarkStart w:id="209" w:name="_Toc5729"/>
      <w:bookmarkStart w:id="210" w:name="_Toc106030893"/>
      <w:bookmarkStart w:id="211" w:name="_Toc30494"/>
      <w:bookmarkStart w:id="212" w:name="_Toc11636"/>
      <w:r>
        <w:rPr>
          <w:rFonts w:hint="eastAsia" w:ascii="宋体" w:hAnsi="宋体" w:eastAsia="宋体" w:cs="宋体"/>
          <w:b/>
          <w:bCs w:val="0"/>
          <w:color w:val="auto"/>
          <w:sz w:val="24"/>
        </w:rPr>
        <w:t>一、磋商费用</w:t>
      </w:r>
      <w:bookmarkEnd w:id="205"/>
      <w:bookmarkEnd w:id="206"/>
      <w:bookmarkEnd w:id="207"/>
      <w:bookmarkEnd w:id="208"/>
      <w:bookmarkEnd w:id="209"/>
      <w:bookmarkEnd w:id="210"/>
      <w:bookmarkEnd w:id="211"/>
      <w:bookmarkEnd w:id="212"/>
    </w:p>
    <w:p w14:paraId="57740125">
      <w:pPr>
        <w:pStyle w:val="47"/>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798E78BA">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13" w:name="_Toc31325"/>
      <w:bookmarkStart w:id="214" w:name="_Toc76462339"/>
      <w:bookmarkStart w:id="215" w:name="_Toc26129"/>
      <w:bookmarkStart w:id="216" w:name="_Toc342913391"/>
      <w:bookmarkStart w:id="217" w:name="_Toc11583"/>
      <w:bookmarkStart w:id="218" w:name="_Toc106030894"/>
      <w:bookmarkStart w:id="219" w:name="_Toc3616"/>
      <w:bookmarkStart w:id="220" w:name="_Toc22512"/>
      <w:r>
        <w:rPr>
          <w:rFonts w:hint="eastAsia" w:ascii="宋体" w:hAnsi="宋体" w:eastAsia="宋体" w:cs="宋体"/>
          <w:b/>
          <w:bCs w:val="0"/>
          <w:color w:val="auto"/>
          <w:sz w:val="24"/>
        </w:rPr>
        <w:t>二、竞争性磋商文件</w:t>
      </w:r>
      <w:bookmarkEnd w:id="213"/>
      <w:bookmarkEnd w:id="214"/>
      <w:bookmarkEnd w:id="215"/>
      <w:bookmarkEnd w:id="216"/>
      <w:bookmarkEnd w:id="217"/>
      <w:bookmarkEnd w:id="218"/>
      <w:bookmarkEnd w:id="219"/>
      <w:bookmarkEnd w:id="220"/>
    </w:p>
    <w:p w14:paraId="2505657A">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eastAsia="宋体" w:cs="宋体"/>
          <w:b/>
          <w:color w:val="auto"/>
          <w:sz w:val="24"/>
          <w:szCs w:val="24"/>
        </w:rPr>
        <w:t>、</w:t>
      </w:r>
      <w:r>
        <w:rPr>
          <w:rFonts w:hint="eastAsia" w:ascii="宋体" w:hAnsi="宋体" w:eastAsia="宋体" w:cs="宋体"/>
          <w:color w:val="auto"/>
          <w:sz w:val="24"/>
          <w:szCs w:val="24"/>
        </w:rPr>
        <w:t>采购合同</w:t>
      </w:r>
      <w:r>
        <w:rPr>
          <w:rFonts w:hint="eastAsia" w:ascii="宋体" w:hAnsi="宋体" w:eastAsia="宋体" w:cs="宋体"/>
          <w:b/>
          <w:color w:val="auto"/>
          <w:sz w:val="24"/>
          <w:szCs w:val="24"/>
        </w:rPr>
        <w:t>、</w:t>
      </w:r>
      <w:r>
        <w:rPr>
          <w:rFonts w:hint="eastAsia" w:ascii="宋体" w:hAnsi="宋体" w:eastAsia="宋体" w:cs="宋体"/>
          <w:color w:val="auto"/>
          <w:sz w:val="24"/>
          <w:szCs w:val="24"/>
        </w:rPr>
        <w:t>响应文件编制要求七部分组成。</w:t>
      </w:r>
    </w:p>
    <w:p w14:paraId="6F19A69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（二）采购人（或采购代理机构）所作的一切有效的书面通知、修改及补充，都是竞争性磋商文件不可分割的部分。</w:t>
      </w:r>
    </w:p>
    <w:p w14:paraId="6B58F28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（三）竞争性磋商文件的解释</w:t>
      </w:r>
    </w:p>
    <w:p w14:paraId="5F52E43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1" w:name="_Toc318159349"/>
      <w:bookmarkStart w:id="222" w:name="_Toc318166429"/>
      <w:bookmarkStart w:id="223" w:name="_Toc318159780"/>
      <w:bookmarkStart w:id="224" w:name="_Toc318159160"/>
    </w:p>
    <w:p w14:paraId="4286FA1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（四）本竞争性磋商文件中，磋商小组根据与供应商进行磋商可能实质性变动的内容为竞争性磋商文件第二、三、六篇全部内容。</w:t>
      </w:r>
    </w:p>
    <w:p w14:paraId="25D2C3F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21"/>
    <w:bookmarkEnd w:id="222"/>
    <w:bookmarkEnd w:id="223"/>
    <w:bookmarkEnd w:id="224"/>
    <w:p w14:paraId="06928347">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25" w:name="_Toc18703"/>
      <w:bookmarkStart w:id="226" w:name="_Toc5211"/>
      <w:bookmarkStart w:id="227" w:name="_Toc76462340"/>
      <w:bookmarkStart w:id="228" w:name="_Toc13367"/>
      <w:bookmarkStart w:id="229" w:name="_Toc179714297"/>
      <w:bookmarkStart w:id="230" w:name="_Toc342913392"/>
      <w:bookmarkStart w:id="231" w:name="_Toc102227318"/>
      <w:bookmarkStart w:id="232" w:name="_Toc106030895"/>
      <w:bookmarkStart w:id="233" w:name="_Toc29539"/>
      <w:bookmarkStart w:id="234" w:name="_Toc6371"/>
      <w:r>
        <w:rPr>
          <w:rFonts w:hint="eastAsia" w:ascii="宋体" w:hAnsi="宋体" w:eastAsia="宋体" w:cs="宋体"/>
          <w:b/>
          <w:bCs w:val="0"/>
          <w:color w:val="auto"/>
          <w:sz w:val="24"/>
        </w:rPr>
        <w:t>三、磋商要求</w:t>
      </w:r>
      <w:bookmarkEnd w:id="225"/>
      <w:bookmarkEnd w:id="226"/>
      <w:bookmarkEnd w:id="227"/>
      <w:bookmarkEnd w:id="228"/>
      <w:bookmarkEnd w:id="229"/>
      <w:bookmarkEnd w:id="230"/>
      <w:bookmarkEnd w:id="231"/>
      <w:bookmarkEnd w:id="232"/>
      <w:bookmarkEnd w:id="233"/>
      <w:bookmarkEnd w:id="234"/>
    </w:p>
    <w:p w14:paraId="7513FDF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（一）响应文件</w:t>
      </w:r>
    </w:p>
    <w:p w14:paraId="15CFF73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600802E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2.响应文件组成</w:t>
      </w:r>
    </w:p>
    <w:p w14:paraId="45DE779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FFE320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（二）本项目不接受联合体。</w:t>
      </w:r>
    </w:p>
    <w:p w14:paraId="53F42C7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）磋商有效期：响应文件及有关承诺文件有效期为提交响应文件截止时间起90天。</w:t>
      </w:r>
    </w:p>
    <w:p w14:paraId="1460EEF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p w14:paraId="5B10084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1.供应商提交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保证金金额和方式详见“第一篇  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p w14:paraId="495AA21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2.发生以下情况之一者，</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保证金不予退还：</w:t>
      </w:r>
    </w:p>
    <w:p w14:paraId="79BEBCE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2.1供应商在提交响应文件截止时间后撤回响应文件的；</w:t>
      </w:r>
    </w:p>
    <w:p w14:paraId="41DA932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2.2供应商在响应文件中提供虚假材料的；</w:t>
      </w:r>
    </w:p>
    <w:p w14:paraId="20DE866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2.3除因不可抗力或竞争性磋商文件认可的情形以外，成交供应商不与采购人签订合同的；</w:t>
      </w:r>
    </w:p>
    <w:p w14:paraId="151F75F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2.4供应商与采购人、其他供应商或者采购代理机构恶意串通的。</w:t>
      </w:r>
    </w:p>
    <w:p w14:paraId="0DF7A53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）修正错误</w:t>
      </w:r>
    </w:p>
    <w:p w14:paraId="3E65BE7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1.若供应商所递交的响应文件或最后报价中的价格出现大写金额和小写金额不一致的错误，以大写金额修正为准。</w:t>
      </w:r>
    </w:p>
    <w:p w14:paraId="2476D41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D7C739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）提交响应文件的份数和签署</w:t>
      </w:r>
    </w:p>
    <w:p w14:paraId="4E5DB3B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FF1ACE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rPr>
        <w:t>响应文件按竞争性磋商文件“第七篇响应文件编制要求”要求签署或盖章。</w:t>
      </w:r>
    </w:p>
    <w:p w14:paraId="3E9CB7F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）响应文件的递交</w:t>
      </w:r>
    </w:p>
    <w:p w14:paraId="7B99E4C3">
      <w:pPr>
        <w:pStyle w:val="18"/>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62C684D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）供应商参与人员</w:t>
      </w:r>
    </w:p>
    <w:p w14:paraId="6F45EEC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各个供应商应当派1-2名代表参与磋商，至少1人应为法定代表人（或其授权代表）或自然人（供应商为自然人）。</w:t>
      </w:r>
    </w:p>
    <w:p w14:paraId="569D9EAE">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35" w:name="_Toc31879"/>
      <w:bookmarkStart w:id="236" w:name="_Toc528"/>
      <w:bookmarkStart w:id="237" w:name="_Toc4494"/>
      <w:bookmarkStart w:id="238" w:name="_Toc76462341"/>
      <w:bookmarkStart w:id="239" w:name="_Toc3865"/>
      <w:bookmarkStart w:id="240" w:name="_Toc106030896"/>
      <w:bookmarkStart w:id="241" w:name="_Toc13508"/>
      <w:r>
        <w:rPr>
          <w:rFonts w:hint="eastAsia" w:ascii="宋体" w:hAnsi="宋体" w:eastAsia="宋体" w:cs="宋体"/>
          <w:b/>
          <w:bCs w:val="0"/>
          <w:color w:val="auto"/>
          <w:sz w:val="24"/>
        </w:rPr>
        <w:t>四、成交供应商的确认和变更</w:t>
      </w:r>
      <w:bookmarkEnd w:id="235"/>
      <w:bookmarkEnd w:id="236"/>
      <w:bookmarkEnd w:id="237"/>
      <w:bookmarkEnd w:id="238"/>
      <w:bookmarkEnd w:id="239"/>
      <w:bookmarkEnd w:id="240"/>
      <w:bookmarkEnd w:id="241"/>
    </w:p>
    <w:p w14:paraId="7E2F1947">
      <w:pPr>
        <w:snapToGrid w:val="0"/>
        <w:spacing w:line="400" w:lineRule="exact"/>
        <w:ind w:firstLine="480" w:firstLineChars="200"/>
        <w:outlineLvl w:val="2"/>
        <w:rPr>
          <w:rFonts w:hint="eastAsia" w:ascii="宋体" w:hAnsi="宋体" w:eastAsia="宋体" w:cs="宋体"/>
          <w:color w:val="auto"/>
          <w:sz w:val="24"/>
          <w:szCs w:val="24"/>
        </w:rPr>
      </w:pPr>
      <w:bookmarkStart w:id="242" w:name="_Toc8871"/>
      <w:r>
        <w:rPr>
          <w:rFonts w:hint="eastAsia" w:ascii="宋体" w:hAnsi="宋体" w:eastAsia="宋体" w:cs="宋体"/>
          <w:color w:val="auto"/>
          <w:sz w:val="24"/>
          <w:szCs w:val="24"/>
        </w:rPr>
        <w:t>（一）成交供应商的确认</w:t>
      </w:r>
      <w:bookmarkEnd w:id="242"/>
    </w:p>
    <w:p w14:paraId="0684EB0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6F4BF37D">
      <w:pPr>
        <w:snapToGrid w:val="0"/>
        <w:spacing w:line="400" w:lineRule="exact"/>
        <w:ind w:firstLine="480" w:firstLineChars="200"/>
        <w:outlineLvl w:val="2"/>
        <w:rPr>
          <w:rFonts w:hint="eastAsia" w:ascii="宋体" w:hAnsi="宋体" w:eastAsia="宋体" w:cs="宋体"/>
          <w:color w:val="auto"/>
          <w:sz w:val="24"/>
          <w:szCs w:val="24"/>
        </w:rPr>
      </w:pPr>
      <w:bookmarkStart w:id="243" w:name="_Toc19256"/>
      <w:r>
        <w:rPr>
          <w:rFonts w:hint="eastAsia" w:ascii="宋体" w:hAnsi="宋体" w:eastAsia="宋体" w:cs="宋体"/>
          <w:color w:val="auto"/>
          <w:sz w:val="24"/>
          <w:szCs w:val="24"/>
        </w:rPr>
        <w:t>（二）成交供应商的变更</w:t>
      </w:r>
      <w:bookmarkEnd w:id="243"/>
    </w:p>
    <w:p w14:paraId="0297483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成交供应商拒绝与采购人签订合同的，采购人可以按照评标报告推荐的成交候选供应商顺序，确定排名下一位的候选人为成交供应商，也可以重新开展采购活动。</w:t>
      </w:r>
    </w:p>
    <w:p w14:paraId="742240DB">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44" w:name="_Toc76462342"/>
      <w:bookmarkStart w:id="245" w:name="_Toc106030897"/>
      <w:bookmarkStart w:id="246" w:name="_Toc342913395"/>
      <w:bookmarkStart w:id="247" w:name="_Toc23535"/>
      <w:bookmarkStart w:id="248" w:name="_Toc13561"/>
      <w:bookmarkStart w:id="249" w:name="_Toc102227321"/>
      <w:bookmarkStart w:id="250" w:name="_Toc5724"/>
      <w:bookmarkStart w:id="251" w:name="_Toc8696"/>
      <w:bookmarkStart w:id="252" w:name="_Toc9505"/>
      <w:r>
        <w:rPr>
          <w:rFonts w:hint="eastAsia" w:ascii="宋体" w:hAnsi="宋体" w:eastAsia="宋体" w:cs="宋体"/>
          <w:b/>
          <w:bCs w:val="0"/>
          <w:color w:val="auto"/>
          <w:sz w:val="24"/>
        </w:rPr>
        <w:t>五、成交通知</w:t>
      </w:r>
      <w:bookmarkEnd w:id="244"/>
      <w:bookmarkEnd w:id="245"/>
      <w:bookmarkEnd w:id="246"/>
      <w:bookmarkEnd w:id="247"/>
      <w:bookmarkEnd w:id="248"/>
      <w:bookmarkEnd w:id="249"/>
      <w:bookmarkEnd w:id="250"/>
      <w:bookmarkEnd w:id="251"/>
      <w:bookmarkEnd w:id="252"/>
    </w:p>
    <w:p w14:paraId="7557905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（一）成交供应商确定后，采购代理机构将在“行采家”（ https://www.gec123.com/）上发布成交结果公告。</w:t>
      </w:r>
    </w:p>
    <w:p w14:paraId="30E7FD1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（二）结果公告发出同时，采购代理机构将以书面形式发出《成交通知书》。《成交通知书》一经发出即发生法律效力。</w:t>
      </w:r>
    </w:p>
    <w:p w14:paraId="04FC8CD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（三）《成交通知书》将作为签订合同的依据。</w:t>
      </w:r>
    </w:p>
    <w:p w14:paraId="3055B9EF">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53" w:name="_Toc7701"/>
      <w:bookmarkStart w:id="254" w:name="_Toc76462343"/>
      <w:bookmarkStart w:id="255" w:name="_Toc1763"/>
      <w:bookmarkStart w:id="256" w:name="_Toc106030898"/>
      <w:bookmarkStart w:id="257" w:name="_Toc20100"/>
      <w:bookmarkStart w:id="258" w:name="_Toc19518"/>
      <w:bookmarkStart w:id="259" w:name="_Toc10104"/>
      <w:r>
        <w:rPr>
          <w:rFonts w:hint="eastAsia" w:ascii="宋体" w:hAnsi="宋体" w:eastAsia="宋体" w:cs="宋体"/>
          <w:b/>
          <w:bCs w:val="0"/>
          <w:color w:val="auto"/>
          <w:sz w:val="24"/>
        </w:rPr>
        <w:t>六、关于质疑和投诉</w:t>
      </w:r>
      <w:bookmarkEnd w:id="253"/>
      <w:bookmarkEnd w:id="254"/>
      <w:bookmarkEnd w:id="255"/>
      <w:bookmarkEnd w:id="256"/>
      <w:bookmarkEnd w:id="257"/>
      <w:bookmarkEnd w:id="258"/>
      <w:bookmarkEnd w:id="259"/>
    </w:p>
    <w:p w14:paraId="4EA6EBCC">
      <w:pPr>
        <w:spacing w:line="400" w:lineRule="exact"/>
        <w:ind w:firstLine="480" w:firstLineChars="200"/>
        <w:outlineLvl w:val="2"/>
        <w:rPr>
          <w:rFonts w:hint="eastAsia" w:ascii="宋体" w:hAnsi="宋体" w:eastAsia="宋体" w:cs="宋体"/>
          <w:color w:val="auto"/>
          <w:sz w:val="24"/>
          <w:szCs w:val="24"/>
        </w:rPr>
      </w:pPr>
      <w:bookmarkStart w:id="260" w:name="_Toc5011"/>
      <w:r>
        <w:rPr>
          <w:rFonts w:hint="eastAsia" w:ascii="宋体" w:hAnsi="宋体" w:eastAsia="宋体" w:cs="宋体"/>
          <w:color w:val="auto"/>
          <w:sz w:val="24"/>
          <w:szCs w:val="24"/>
        </w:rPr>
        <w:t>（一）质疑</w:t>
      </w:r>
      <w:bookmarkEnd w:id="260"/>
    </w:p>
    <w:p w14:paraId="2B167BD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eastAsia="宋体" w:cs="宋体"/>
          <w:color w:val="auto"/>
          <w:sz w:val="24"/>
          <w:szCs w:val="24"/>
        </w:rPr>
        <w:t>伤害的，可向采购人或采购代理机构以书面形式提出质疑。</w:t>
      </w:r>
    </w:p>
    <w:p w14:paraId="33364F4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提出质疑的应当是参与所质疑项目采购活动的供应商。 </w:t>
      </w:r>
    </w:p>
    <w:p w14:paraId="51A6FF79">
      <w:pPr>
        <w:spacing w:line="400" w:lineRule="exact"/>
        <w:ind w:right="12" w:firstLine="480"/>
        <w:outlineLvl w:val="2"/>
        <w:rPr>
          <w:rFonts w:hint="eastAsia" w:ascii="宋体" w:hAnsi="宋体" w:eastAsia="宋体" w:cs="宋体"/>
          <w:color w:val="auto"/>
          <w:sz w:val="24"/>
        </w:rPr>
      </w:pPr>
      <w:bookmarkStart w:id="261" w:name="_Toc29896"/>
      <w:r>
        <w:rPr>
          <w:rFonts w:hint="eastAsia" w:ascii="宋体" w:hAnsi="宋体" w:eastAsia="宋体" w:cs="宋体"/>
          <w:color w:val="auto"/>
          <w:sz w:val="24"/>
        </w:rPr>
        <w:t>1.质疑时限、内容</w:t>
      </w:r>
      <w:bookmarkEnd w:id="261"/>
    </w:p>
    <w:p w14:paraId="7225EC01">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47E63E1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1.2供应商提出质疑应当提交质疑函和必要的证明材料，质疑函应当包括下列内容：</w:t>
      </w:r>
    </w:p>
    <w:p w14:paraId="0E0D049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1.2.1供应商的姓名或者名称、地址、邮编、联系人及联系电话；</w:t>
      </w:r>
    </w:p>
    <w:p w14:paraId="75CBD00A">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1.2.2质疑项目的名称、项目号以及采购执行编号；</w:t>
      </w:r>
    </w:p>
    <w:p w14:paraId="29B7FF7F">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1.2.3具体、明确的质疑事项和与质疑事项相关的请求；</w:t>
      </w:r>
    </w:p>
    <w:p w14:paraId="1D048C19">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1.2.4事实依据；</w:t>
      </w:r>
    </w:p>
    <w:p w14:paraId="311B494A">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1.2.5必要的法律依据；</w:t>
      </w:r>
    </w:p>
    <w:p w14:paraId="3C150C23">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1.2.6提出质疑的日期；</w:t>
      </w:r>
    </w:p>
    <w:p w14:paraId="769B967F">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1.2.7营业执照（或事业单位法人证书，或个体工商户营业执照或有效的自然人身份证明）复印件；</w:t>
      </w:r>
    </w:p>
    <w:p w14:paraId="7543D3E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1.2.8法定代表人授权委托书原件、法定代表人身份证复印件和其授权代表的身份证复印件（供应商为自然人的提供自然人身份证复印件）；</w:t>
      </w:r>
    </w:p>
    <w:p w14:paraId="02886A63">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1.3供应商为自然人的，质疑函应当由本人签字；供应商为法人或者其他组织的，质疑函应当由法定代表人、主要负责人，或者其授权代表签字或者盖章，并加盖公章。</w:t>
      </w:r>
    </w:p>
    <w:p w14:paraId="4E822F82">
      <w:pPr>
        <w:spacing w:line="400" w:lineRule="exact"/>
        <w:ind w:right="12" w:firstLine="480"/>
        <w:outlineLvl w:val="2"/>
        <w:rPr>
          <w:rFonts w:hint="eastAsia" w:ascii="宋体" w:hAnsi="宋体" w:eastAsia="宋体" w:cs="宋体"/>
          <w:color w:val="auto"/>
          <w:sz w:val="24"/>
        </w:rPr>
      </w:pPr>
      <w:bookmarkStart w:id="262" w:name="_Toc20110"/>
      <w:r>
        <w:rPr>
          <w:rFonts w:hint="eastAsia" w:ascii="宋体" w:hAnsi="宋体" w:eastAsia="宋体" w:cs="宋体"/>
          <w:color w:val="auto"/>
          <w:sz w:val="24"/>
        </w:rPr>
        <w:t>2.质疑答复</w:t>
      </w:r>
      <w:bookmarkEnd w:id="262"/>
    </w:p>
    <w:p w14:paraId="27C8F092">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采购人、采购代理机构应当在收到供应商的书面质疑后七个工作日内作出答复，并以书面形式通知质疑供应商和其他有关供应商。</w:t>
      </w:r>
    </w:p>
    <w:p w14:paraId="5C547B7E">
      <w:pPr>
        <w:spacing w:line="400" w:lineRule="exact"/>
        <w:ind w:right="12" w:firstLine="480"/>
        <w:outlineLvl w:val="2"/>
        <w:rPr>
          <w:rFonts w:hint="eastAsia" w:ascii="宋体" w:hAnsi="宋体" w:eastAsia="宋体" w:cs="宋体"/>
          <w:color w:val="auto"/>
          <w:sz w:val="24"/>
        </w:rPr>
      </w:pPr>
      <w:bookmarkStart w:id="263" w:name="_Toc16825"/>
      <w:r>
        <w:rPr>
          <w:rFonts w:hint="eastAsia" w:ascii="宋体" w:hAnsi="宋体" w:eastAsia="宋体" w:cs="宋体"/>
          <w:color w:val="auto"/>
          <w:sz w:val="24"/>
        </w:rPr>
        <w:t>3.其他</w:t>
      </w:r>
      <w:bookmarkEnd w:id="263"/>
    </w:p>
    <w:p w14:paraId="444CBEF1">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3.1供应商应按照《政府采购质疑和投诉办法》（财政部令第94号）及相关法律法规要求，在法定质疑期内一次性提出针对同一采购程序环节的质疑。</w:t>
      </w:r>
    </w:p>
    <w:p w14:paraId="001998D0">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3.2质疑函范本可在财政部门户网站和中国政府采购网下载。</w:t>
      </w:r>
    </w:p>
    <w:p w14:paraId="0B3BB873">
      <w:pPr>
        <w:spacing w:line="400" w:lineRule="exact"/>
        <w:ind w:right="12" w:firstLine="480"/>
        <w:outlineLvl w:val="2"/>
        <w:rPr>
          <w:rFonts w:hint="eastAsia" w:ascii="宋体" w:hAnsi="宋体" w:eastAsia="宋体" w:cs="宋体"/>
          <w:color w:val="auto"/>
          <w:sz w:val="24"/>
        </w:rPr>
      </w:pPr>
      <w:bookmarkStart w:id="264" w:name="_Toc15539"/>
      <w:r>
        <w:rPr>
          <w:rFonts w:hint="eastAsia" w:ascii="宋体" w:hAnsi="宋体" w:eastAsia="宋体" w:cs="宋体"/>
          <w:color w:val="auto"/>
          <w:sz w:val="24"/>
        </w:rPr>
        <w:t>（二）投诉</w:t>
      </w:r>
      <w:bookmarkEnd w:id="264"/>
    </w:p>
    <w:p w14:paraId="78A69E32">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2DDA0944">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8125D0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395889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5AB69A64">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65" w:name="_Toc28162"/>
      <w:bookmarkStart w:id="266" w:name="_Toc18992"/>
      <w:bookmarkStart w:id="267" w:name="_Toc5107"/>
      <w:bookmarkStart w:id="268" w:name="_Toc3206"/>
      <w:bookmarkStart w:id="269" w:name="_Toc76462344"/>
      <w:bookmarkStart w:id="270" w:name="_Toc106030899"/>
      <w:bookmarkStart w:id="271" w:name="_Toc2014"/>
      <w:r>
        <w:rPr>
          <w:rFonts w:hint="eastAsia" w:ascii="宋体" w:hAnsi="宋体" w:eastAsia="宋体" w:cs="宋体"/>
          <w:b/>
          <w:bCs w:val="0"/>
          <w:color w:val="auto"/>
          <w:sz w:val="24"/>
        </w:rPr>
        <w:t>七、采购代理服务费</w:t>
      </w:r>
      <w:bookmarkEnd w:id="265"/>
      <w:bookmarkEnd w:id="266"/>
      <w:bookmarkEnd w:id="267"/>
      <w:bookmarkEnd w:id="268"/>
      <w:bookmarkEnd w:id="269"/>
      <w:bookmarkEnd w:id="270"/>
      <w:bookmarkEnd w:id="271"/>
    </w:p>
    <w:p w14:paraId="3B393A9A">
      <w:pPr>
        <w:spacing w:line="400" w:lineRule="exact"/>
        <w:ind w:right="12" w:firstLine="480"/>
        <w:rPr>
          <w:rFonts w:hint="eastAsia" w:ascii="宋体" w:hAnsi="宋体" w:eastAsia="宋体" w:cs="宋体"/>
          <w:color w:val="auto"/>
          <w:sz w:val="24"/>
          <w:lang w:eastAsia="zh-CN"/>
        </w:rPr>
      </w:pPr>
      <w:bookmarkStart w:id="272" w:name="_Toc106030900"/>
      <w:bookmarkStart w:id="273" w:name="_Toc76462345"/>
      <w:r>
        <w:rPr>
          <w:rFonts w:hint="eastAsia" w:ascii="宋体" w:hAnsi="宋体" w:eastAsia="宋体" w:cs="宋体"/>
          <w:color w:val="auto"/>
          <w:sz w:val="24"/>
        </w:rPr>
        <w:t>（一）</w:t>
      </w:r>
      <w:bookmarkStart w:id="274" w:name="OLE_LINK7"/>
      <w:r>
        <w:rPr>
          <w:rFonts w:hint="eastAsia" w:ascii="宋体" w:hAnsi="宋体" w:eastAsia="宋体" w:cs="宋体"/>
          <w:color w:val="auto"/>
          <w:sz w:val="24"/>
        </w:rPr>
        <w:t>供应商成交后</w:t>
      </w:r>
      <w:r>
        <w:rPr>
          <w:rFonts w:hint="eastAsia" w:ascii="宋体" w:hAnsi="宋体" w:eastAsia="宋体" w:cs="宋体"/>
          <w:color w:val="auto"/>
          <w:sz w:val="24"/>
          <w:lang w:eastAsia="zh-CN"/>
        </w:rPr>
        <w:t>，由成交供应商</w:t>
      </w:r>
      <w:r>
        <w:rPr>
          <w:rFonts w:hint="eastAsia" w:ascii="宋体" w:hAnsi="宋体" w:eastAsia="宋体" w:cs="宋体"/>
          <w:color w:val="auto"/>
          <w:sz w:val="24"/>
        </w:rPr>
        <w:t>向采购代理机构缴纳采购代理服务费，采购代理服务费按</w:t>
      </w:r>
      <w:bookmarkEnd w:id="274"/>
      <w:r>
        <w:rPr>
          <w:rFonts w:hint="eastAsia" w:ascii="宋体" w:hAnsi="宋体" w:eastAsia="宋体" w:cs="宋体"/>
          <w:color w:val="auto"/>
          <w:sz w:val="24"/>
          <w:lang w:eastAsia="zh-CN"/>
        </w:rPr>
        <w:t>定额</w:t>
      </w:r>
      <w:r>
        <w:rPr>
          <w:rFonts w:hint="eastAsia" w:ascii="宋体" w:hAnsi="宋体" w:cs="宋体"/>
          <w:color w:val="auto"/>
          <w:sz w:val="24"/>
          <w:lang w:val="en-US" w:eastAsia="zh-CN"/>
        </w:rPr>
        <w:t>叁仟</w:t>
      </w:r>
      <w:r>
        <w:rPr>
          <w:rFonts w:hint="eastAsia" w:ascii="宋体" w:hAnsi="宋体" w:eastAsia="宋体" w:cs="宋体"/>
          <w:color w:val="auto"/>
          <w:sz w:val="24"/>
          <w:lang w:eastAsia="zh-CN"/>
        </w:rPr>
        <w:t>元整收取。</w:t>
      </w:r>
    </w:p>
    <w:p w14:paraId="5AF31950">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（二）采购代理服务费缴纳账号：</w:t>
      </w:r>
    </w:p>
    <w:p w14:paraId="685000D0">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户  名：重庆千策招标代理有限公司</w:t>
      </w:r>
    </w:p>
    <w:p w14:paraId="015EA891">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开户行：中国建设银行重庆杨家坪支行</w:t>
      </w:r>
    </w:p>
    <w:p w14:paraId="169A0F6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账  号：50050103360000000623</w:t>
      </w:r>
    </w:p>
    <w:bookmarkEnd w:id="272"/>
    <w:bookmarkEnd w:id="273"/>
    <w:p w14:paraId="5ACEA9A3">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75" w:name="_Toc102227322"/>
      <w:bookmarkStart w:id="276" w:name="_Toc24631"/>
      <w:bookmarkStart w:id="277" w:name="_Toc342913396"/>
      <w:bookmarkStart w:id="278" w:name="_Toc9365"/>
      <w:bookmarkStart w:id="279" w:name="_Toc18091"/>
      <w:bookmarkStart w:id="280" w:name="_Toc106030901"/>
      <w:bookmarkStart w:id="281" w:name="_Toc76462346"/>
      <w:bookmarkStart w:id="282" w:name="_Toc20655"/>
      <w:bookmarkStart w:id="283" w:name="_Toc19293"/>
      <w:bookmarkStart w:id="284" w:name="_Toc12789059"/>
      <w:bookmarkStart w:id="285" w:name="_Toc11641055"/>
      <w:r>
        <w:rPr>
          <w:rFonts w:hint="eastAsia" w:ascii="宋体" w:hAnsi="宋体" w:eastAsia="宋体" w:cs="宋体"/>
          <w:b/>
          <w:bCs w:val="0"/>
          <w:color w:val="auto"/>
          <w:sz w:val="24"/>
        </w:rPr>
        <w:t>八、签订</w:t>
      </w:r>
      <w:bookmarkEnd w:id="275"/>
      <w:r>
        <w:rPr>
          <w:rFonts w:hint="eastAsia" w:ascii="宋体" w:hAnsi="宋体" w:eastAsia="宋体" w:cs="宋体"/>
          <w:b/>
          <w:bCs w:val="0"/>
          <w:color w:val="auto"/>
          <w:sz w:val="24"/>
        </w:rPr>
        <w:t>合同</w:t>
      </w:r>
      <w:bookmarkEnd w:id="276"/>
      <w:bookmarkEnd w:id="277"/>
      <w:bookmarkEnd w:id="278"/>
      <w:bookmarkEnd w:id="279"/>
      <w:bookmarkEnd w:id="280"/>
      <w:bookmarkEnd w:id="281"/>
      <w:bookmarkEnd w:id="282"/>
      <w:bookmarkEnd w:id="283"/>
    </w:p>
    <w:p w14:paraId="79281A09">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rPr>
        <w:t>采购人原则上应在成交通知书发出之日起二十日内和成交供应商签订采购合同，无正当理由不得拒绝或拖延合同签订</w:t>
      </w:r>
      <w:r>
        <w:rPr>
          <w:rFonts w:hint="eastAsia" w:ascii="宋体" w:hAnsi="宋体" w:eastAsia="宋体" w:cs="宋体"/>
          <w:color w:val="auto"/>
          <w:sz w:val="24"/>
          <w:szCs w:val="24"/>
        </w:rPr>
        <w:t>。所签订的合同不得对竞争性磋商文件和供应商的响应文件作实质性修改。其他未尽事宜由采购人和成交供应商在采购合同中详细约定。</w:t>
      </w:r>
    </w:p>
    <w:p w14:paraId="203AAB9A">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（二）竞争性磋商文件、供应商的响应文件及澄清文件等，均为签订采购合同的依据。</w:t>
      </w:r>
    </w:p>
    <w:p w14:paraId="2030BD78">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（三）合同生效条款由供需双方约定，法律、行政法规规定应当办理批准、登记等手续后生效的合同，依照其规定。</w:t>
      </w:r>
    </w:p>
    <w:p w14:paraId="0462A2E3">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（四）合同原则上应按照《采购合同》签订，相关单位要求适用合同通用格式版本的，应按其要求另行签订其他合同。</w:t>
      </w:r>
    </w:p>
    <w:p w14:paraId="5EBE794B">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0B009B4D">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86" w:name="_Toc19292"/>
      <w:bookmarkStart w:id="287" w:name="_Toc106030902"/>
      <w:bookmarkStart w:id="288" w:name="_Toc15079"/>
      <w:bookmarkStart w:id="289" w:name="_Toc21945"/>
      <w:bookmarkStart w:id="290" w:name="_Toc21793"/>
      <w:bookmarkStart w:id="291" w:name="_Toc16891"/>
      <w:r>
        <w:rPr>
          <w:rFonts w:hint="eastAsia" w:ascii="宋体" w:hAnsi="宋体" w:eastAsia="宋体" w:cs="宋体"/>
          <w:b/>
          <w:bCs w:val="0"/>
          <w:color w:val="auto"/>
          <w:sz w:val="24"/>
        </w:rPr>
        <w:t>九、项目验收</w:t>
      </w:r>
      <w:bookmarkEnd w:id="286"/>
      <w:bookmarkEnd w:id="287"/>
      <w:bookmarkEnd w:id="288"/>
      <w:bookmarkEnd w:id="289"/>
      <w:bookmarkEnd w:id="290"/>
      <w:bookmarkEnd w:id="291"/>
    </w:p>
    <w:p w14:paraId="7128D70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合同执行完毕，采购人或采购代理机构原则上应在7个工作日内组织履约情况验收，不得无故拖延或附加额外条件。</w:t>
      </w:r>
    </w:p>
    <w:p w14:paraId="4730F92F">
      <w:pPr>
        <w:pStyle w:val="4"/>
        <w:pageBreakBefore/>
        <w:numPr>
          <w:ilvl w:val="1"/>
          <w:numId w:val="0"/>
        </w:numPr>
        <w:spacing w:line="360" w:lineRule="auto"/>
        <w:jc w:val="center"/>
        <w:rPr>
          <w:rFonts w:hint="eastAsia" w:ascii="宋体" w:hAnsi="宋体" w:eastAsia="宋体" w:cs="宋体"/>
          <w:color w:val="auto"/>
          <w:sz w:val="36"/>
          <w:szCs w:val="30"/>
          <w:lang w:eastAsia="zh-CN"/>
        </w:rPr>
      </w:pPr>
      <w:bookmarkStart w:id="292" w:name="_Toc15809"/>
      <w:bookmarkStart w:id="293" w:name="_Toc106030904"/>
      <w:bookmarkStart w:id="294" w:name="_Toc7747"/>
      <w:bookmarkStart w:id="295" w:name="_Toc21533"/>
      <w:bookmarkStart w:id="296" w:name="_Toc2102"/>
      <w:bookmarkStart w:id="297" w:name="_Toc76462348"/>
      <w:bookmarkStart w:id="298" w:name="_Toc3394"/>
      <w:r>
        <w:rPr>
          <w:rFonts w:hint="eastAsia" w:ascii="宋体" w:hAnsi="宋体" w:eastAsia="宋体" w:cs="宋体"/>
          <w:color w:val="auto"/>
          <w:sz w:val="36"/>
          <w:szCs w:val="30"/>
        </w:rPr>
        <w:t xml:space="preserve">第六篇  </w:t>
      </w:r>
      <w:bookmarkEnd w:id="284"/>
      <w:bookmarkEnd w:id="285"/>
      <w:bookmarkEnd w:id="292"/>
      <w:bookmarkEnd w:id="293"/>
      <w:bookmarkEnd w:id="294"/>
      <w:bookmarkEnd w:id="295"/>
      <w:bookmarkEnd w:id="296"/>
      <w:bookmarkEnd w:id="297"/>
      <w:r>
        <w:rPr>
          <w:rFonts w:hint="eastAsia" w:ascii="宋体" w:hAnsi="宋体" w:eastAsia="宋体" w:cs="宋体"/>
          <w:color w:val="auto"/>
          <w:sz w:val="36"/>
          <w:szCs w:val="30"/>
          <w:lang w:eastAsia="zh-CN"/>
        </w:rPr>
        <w:t>建设工程施工合同</w:t>
      </w:r>
      <w:bookmarkEnd w:id="298"/>
    </w:p>
    <w:p w14:paraId="53350C69">
      <w:pPr>
        <w:spacing w:line="440" w:lineRule="exact"/>
        <w:jc w:val="left"/>
        <w:rPr>
          <w:rFonts w:hint="eastAsia" w:ascii="宋体" w:hAnsi="宋体" w:eastAsia="宋体" w:cs="宋体"/>
          <w:b/>
          <w:color w:val="auto"/>
          <w:sz w:val="32"/>
          <w:szCs w:val="32"/>
        </w:rPr>
      </w:pPr>
      <w:bookmarkStart w:id="299" w:name="_Toc509218786"/>
      <w:bookmarkStart w:id="300" w:name="_Toc534185765"/>
      <w:bookmarkStart w:id="301" w:name="_Toc57820637"/>
      <w:bookmarkStart w:id="302" w:name="_Toc351203494"/>
      <w:bookmarkStart w:id="303" w:name="_Toc1018"/>
      <w:bookmarkStart w:id="304" w:name="_Toc106030905"/>
      <w:bookmarkStart w:id="305" w:name="_Toc17388"/>
      <w:bookmarkStart w:id="306" w:name="_Toc32031"/>
      <w:bookmarkStart w:id="307" w:name="_Toc76462349"/>
      <w:bookmarkStart w:id="308" w:name="_Toc12987"/>
      <w:r>
        <w:rPr>
          <w:rFonts w:hint="eastAsia" w:ascii="宋体" w:hAnsi="宋体" w:eastAsia="宋体" w:cs="宋体"/>
          <w:b/>
          <w:color w:val="auto"/>
          <w:sz w:val="32"/>
          <w:szCs w:val="32"/>
          <w:lang w:bidi="ar"/>
        </w:rPr>
        <w:t>（GF—2017—0201）</w:t>
      </w:r>
    </w:p>
    <w:p w14:paraId="17F40F52">
      <w:pPr>
        <w:spacing w:line="440" w:lineRule="exact"/>
        <w:rPr>
          <w:rFonts w:hint="eastAsia" w:ascii="宋体" w:hAnsi="宋体" w:eastAsia="宋体" w:cs="宋体"/>
          <w:b/>
          <w:color w:val="auto"/>
          <w:sz w:val="52"/>
          <w:szCs w:val="52"/>
        </w:rPr>
      </w:pPr>
    </w:p>
    <w:p w14:paraId="5BF0CFFD">
      <w:pPr>
        <w:spacing w:line="1000" w:lineRule="exact"/>
        <w:jc w:val="center"/>
        <w:rPr>
          <w:rFonts w:hint="eastAsia" w:ascii="宋体" w:hAnsi="宋体" w:eastAsia="宋体" w:cs="宋体"/>
          <w:b/>
          <w:color w:val="auto"/>
          <w:sz w:val="52"/>
          <w:szCs w:val="52"/>
        </w:rPr>
      </w:pPr>
    </w:p>
    <w:p w14:paraId="3C016013">
      <w:pPr>
        <w:spacing w:line="1000" w:lineRule="exact"/>
        <w:jc w:val="center"/>
        <w:rPr>
          <w:rFonts w:hint="eastAsia" w:ascii="宋体" w:hAnsi="宋体" w:eastAsia="宋体" w:cs="宋体"/>
          <w:b/>
          <w:color w:val="auto"/>
          <w:sz w:val="52"/>
          <w:szCs w:val="52"/>
        </w:rPr>
      </w:pPr>
    </w:p>
    <w:p w14:paraId="1DFD99C7">
      <w:pPr>
        <w:spacing w:line="1000" w:lineRule="exact"/>
        <w:jc w:val="center"/>
        <w:rPr>
          <w:rFonts w:hint="eastAsia" w:ascii="宋体" w:hAnsi="宋体" w:eastAsia="宋体" w:cs="宋体"/>
          <w:b/>
          <w:color w:val="auto"/>
          <w:sz w:val="72"/>
          <w:szCs w:val="72"/>
          <w:lang w:bidi="ar"/>
        </w:rPr>
      </w:pPr>
      <w:r>
        <w:rPr>
          <w:rFonts w:hint="eastAsia" w:ascii="宋体" w:hAnsi="宋体" w:eastAsia="宋体" w:cs="宋体"/>
          <w:b/>
          <w:color w:val="auto"/>
          <w:sz w:val="72"/>
          <w:szCs w:val="72"/>
          <w:lang w:bidi="ar"/>
        </w:rPr>
        <w:t>建设工程施工合同</w:t>
      </w:r>
    </w:p>
    <w:p w14:paraId="1E7C69F6">
      <w:pPr>
        <w:spacing w:line="1000" w:lineRule="exact"/>
        <w:jc w:val="center"/>
        <w:rPr>
          <w:rFonts w:hint="eastAsia" w:ascii="宋体" w:hAnsi="宋体" w:eastAsia="宋体" w:cs="宋体"/>
          <w:b/>
          <w:color w:val="auto"/>
          <w:sz w:val="72"/>
          <w:szCs w:val="72"/>
          <w:lang w:bidi="ar"/>
        </w:rPr>
      </w:pPr>
    </w:p>
    <w:p w14:paraId="430058CF">
      <w:pPr>
        <w:spacing w:line="440" w:lineRule="exact"/>
        <w:jc w:val="center"/>
        <w:rPr>
          <w:rFonts w:hint="eastAsia" w:ascii="宋体" w:hAnsi="宋体" w:eastAsia="宋体" w:cs="宋体"/>
          <w:b/>
          <w:color w:val="auto"/>
          <w:sz w:val="72"/>
          <w:szCs w:val="72"/>
        </w:rPr>
      </w:pPr>
    </w:p>
    <w:p w14:paraId="2F797347">
      <w:pPr>
        <w:spacing w:line="440" w:lineRule="exact"/>
        <w:jc w:val="center"/>
        <w:rPr>
          <w:rFonts w:hint="eastAsia" w:ascii="宋体" w:hAnsi="宋体" w:eastAsia="宋体" w:cs="宋体"/>
          <w:b/>
          <w:color w:val="auto"/>
          <w:sz w:val="72"/>
          <w:szCs w:val="72"/>
        </w:rPr>
      </w:pPr>
    </w:p>
    <w:p w14:paraId="7735AC53">
      <w:pPr>
        <w:spacing w:line="440" w:lineRule="exact"/>
        <w:rPr>
          <w:rFonts w:hint="eastAsia" w:ascii="宋体" w:hAnsi="宋体" w:eastAsia="宋体" w:cs="宋体"/>
          <w:b/>
          <w:color w:val="auto"/>
          <w:szCs w:val="28"/>
        </w:rPr>
      </w:pPr>
    </w:p>
    <w:p w14:paraId="0877649A">
      <w:pPr>
        <w:spacing w:line="440" w:lineRule="exact"/>
        <w:rPr>
          <w:rFonts w:hint="eastAsia" w:ascii="宋体" w:hAnsi="宋体" w:eastAsia="宋体" w:cs="宋体"/>
          <w:b/>
          <w:color w:val="auto"/>
          <w:szCs w:val="28"/>
        </w:rPr>
      </w:pPr>
    </w:p>
    <w:p w14:paraId="3E142615">
      <w:pPr>
        <w:spacing w:line="440" w:lineRule="exact"/>
        <w:rPr>
          <w:rFonts w:hint="eastAsia" w:ascii="宋体" w:hAnsi="宋体" w:eastAsia="宋体" w:cs="宋体"/>
          <w:b/>
          <w:color w:val="auto"/>
          <w:szCs w:val="28"/>
        </w:rPr>
      </w:pPr>
    </w:p>
    <w:p w14:paraId="452F22AE">
      <w:pPr>
        <w:spacing w:line="440" w:lineRule="exact"/>
        <w:rPr>
          <w:rFonts w:hint="eastAsia" w:ascii="宋体" w:hAnsi="宋体" w:eastAsia="宋体" w:cs="宋体"/>
          <w:b/>
          <w:color w:val="auto"/>
          <w:szCs w:val="28"/>
        </w:rPr>
      </w:pPr>
    </w:p>
    <w:p w14:paraId="096E9A10">
      <w:pPr>
        <w:spacing w:line="440" w:lineRule="exact"/>
        <w:ind w:right="3626" w:rightChars="1295"/>
        <w:jc w:val="distribute"/>
        <w:rPr>
          <w:rFonts w:hint="eastAsia" w:ascii="宋体" w:hAnsi="宋体" w:eastAsia="宋体" w:cs="宋体"/>
          <w:b/>
          <w:color w:val="auto"/>
          <w:sz w:val="32"/>
          <w:szCs w:val="28"/>
        </w:rPr>
      </w:pPr>
      <w:r>
        <w:rPr>
          <w:rFonts w:hint="eastAsia" w:ascii="宋体" w:hAnsi="宋体" w:eastAsia="宋体" w:cs="宋体"/>
          <w:color w:val="auto"/>
          <w:sz w:val="21"/>
          <w:szCs w:val="22"/>
          <w:lang w:bidi="ar"/>
        </w:rPr>
        <mc:AlternateContent>
          <mc:Choice Requires="wps">
            <w:drawing>
              <wp:anchor distT="0" distB="0" distL="114300" distR="114300" simplePos="0" relativeHeight="251660288" behindDoc="0" locked="0" layoutInCell="1" allowOverlap="1">
                <wp:simplePos x="0" y="0"/>
                <wp:positionH relativeFrom="column">
                  <wp:posOffset>4023360</wp:posOffset>
                </wp:positionH>
                <wp:positionV relativeFrom="paragraph">
                  <wp:posOffset>66675</wp:posOffset>
                </wp:positionV>
                <wp:extent cx="723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FA2D18A">
                            <w:pPr>
                              <w:rPr>
                                <w:b/>
                                <w:sz w:val="32"/>
                                <w:szCs w:val="22"/>
                              </w:rPr>
                            </w:pPr>
                            <w:r>
                              <w:rPr>
                                <w:rFonts w:hint="eastAsia" w:ascii="Calibri" w:hAnsi="Calibri" w:cs="宋体"/>
                                <w:b/>
                                <w:sz w:val="32"/>
                                <w:szCs w:val="22"/>
                                <w:lang w:bidi="ar"/>
                              </w:rPr>
                              <w:t>制定</w:t>
                            </w:r>
                          </w:p>
                        </w:txbxContent>
                      </wps:txbx>
                      <wps:bodyPr upright="0"/>
                    </wps:wsp>
                  </a:graphicData>
                </a:graphic>
              </wp:anchor>
            </w:drawing>
          </mc:Choice>
          <mc:Fallback>
            <w:pict>
              <v:shape id="_x0000_s1026" o:spid="_x0000_s1026" o:spt="202" type="#_x0000_t202" style="position:absolute;left:0pt;margin-left:316.8pt;margin-top:5.25pt;height:36pt;width:57pt;z-index:251660288;mso-width-relative:page;mso-height-relative:page;" filled="f" stroked="t" coordsize="21600,21600" o:gfxdata="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G9tY9gAAAAJAQAADwAAAAAAAAABACAAAAAiAAAAZHJz&#10;L2Rvd25yZXYueG1sUEsBAhQAFAAAAAgAh07iQMrpMqcEAgAADAQAAA4AAAAAAAAAAQAgAAAAJwEA&#10;AGRycy9lMm9Eb2MueG1sUEsFBgAAAAAGAAYAWQEAAJ0FAAAAAA==&#10;">
                <v:fill on="f" focussize="0,0"/>
                <v:stroke color="#FFFFFF" joinstyle="miter"/>
                <v:imagedata o:title=""/>
                <o:lock v:ext="edit" aspectratio="f"/>
                <v:textbox>
                  <w:txbxContent>
                    <w:p w14:paraId="2FA2D18A">
                      <w:pPr>
                        <w:rPr>
                          <w:b/>
                          <w:sz w:val="32"/>
                          <w:szCs w:val="22"/>
                        </w:rPr>
                      </w:pPr>
                      <w:r>
                        <w:rPr>
                          <w:rFonts w:hint="eastAsia" w:ascii="Calibri" w:hAnsi="Calibri" w:cs="宋体"/>
                          <w:b/>
                          <w:sz w:val="32"/>
                          <w:szCs w:val="22"/>
                          <w:lang w:bidi="ar"/>
                        </w:rPr>
                        <w:t>制定</w:t>
                      </w:r>
                    </w:p>
                  </w:txbxContent>
                </v:textbox>
              </v:shape>
            </w:pict>
          </mc:Fallback>
        </mc:AlternateContent>
      </w:r>
      <w:r>
        <w:rPr>
          <w:rFonts w:hint="eastAsia" w:ascii="宋体" w:hAnsi="宋体" w:eastAsia="宋体" w:cs="宋体"/>
          <w:b/>
          <w:color w:val="auto"/>
          <w:sz w:val="32"/>
          <w:szCs w:val="28"/>
        </w:rPr>
        <w:t xml:space="preserve">              住房和城乡建设部</w:t>
      </w:r>
    </w:p>
    <w:p w14:paraId="4FCFC353">
      <w:pPr>
        <w:spacing w:line="440" w:lineRule="exact"/>
        <w:ind w:right="3626" w:rightChars="1295"/>
        <w:jc w:val="distribute"/>
        <w:rPr>
          <w:rFonts w:hint="eastAsia" w:ascii="宋体" w:hAnsi="宋体" w:eastAsia="宋体" w:cs="宋体"/>
          <w:b/>
          <w:color w:val="auto"/>
          <w:sz w:val="32"/>
          <w:szCs w:val="28"/>
        </w:rPr>
      </w:pPr>
      <w:r>
        <w:rPr>
          <w:rFonts w:hint="eastAsia" w:ascii="宋体" w:hAnsi="宋体" w:eastAsia="宋体" w:cs="宋体"/>
          <w:b/>
          <w:color w:val="auto"/>
          <w:sz w:val="32"/>
          <w:szCs w:val="28"/>
          <w:lang w:bidi="ar"/>
        </w:rPr>
        <w:t xml:space="preserve">           </w:t>
      </w:r>
      <w:r>
        <w:rPr>
          <w:rFonts w:hint="eastAsia" w:ascii="宋体" w:hAnsi="宋体" w:eastAsia="宋体" w:cs="宋体"/>
          <w:b/>
          <w:color w:val="auto"/>
          <w:sz w:val="32"/>
          <w:szCs w:val="28"/>
          <w:lang w:val="en-US" w:eastAsia="zh-CN" w:bidi="ar"/>
        </w:rPr>
        <w:t xml:space="preserve">   </w:t>
      </w:r>
      <w:r>
        <w:rPr>
          <w:rFonts w:hint="eastAsia" w:ascii="宋体" w:hAnsi="宋体" w:eastAsia="宋体" w:cs="宋体"/>
          <w:b/>
          <w:color w:val="auto"/>
          <w:sz w:val="32"/>
          <w:szCs w:val="28"/>
          <w:lang w:bidi="ar"/>
        </w:rPr>
        <w:t>国家工商行政管理总局</w:t>
      </w:r>
    </w:p>
    <w:p w14:paraId="733F2EC7">
      <w:pPr>
        <w:spacing w:line="440" w:lineRule="exact"/>
        <w:jc w:val="center"/>
        <w:rPr>
          <w:rFonts w:hint="eastAsia" w:ascii="宋体" w:hAnsi="宋体" w:eastAsia="宋体" w:cs="宋体"/>
          <w:b/>
          <w:color w:val="auto"/>
          <w:sz w:val="24"/>
          <w:szCs w:val="22"/>
        </w:rPr>
      </w:pPr>
    </w:p>
    <w:p w14:paraId="5E83A20D">
      <w:pPr>
        <w:spacing w:line="440" w:lineRule="exact"/>
        <w:jc w:val="center"/>
        <w:rPr>
          <w:rFonts w:hint="eastAsia" w:ascii="宋体" w:hAnsi="宋体" w:eastAsia="宋体" w:cs="宋体"/>
          <w:b/>
          <w:color w:val="auto"/>
          <w:sz w:val="24"/>
          <w:szCs w:val="22"/>
        </w:rPr>
      </w:pPr>
    </w:p>
    <w:p w14:paraId="588FBE38">
      <w:pPr>
        <w:spacing w:line="440" w:lineRule="exact"/>
        <w:ind w:left="854" w:leftChars="305" w:firstLine="200" w:firstLineChars="71"/>
        <w:rPr>
          <w:rFonts w:hint="eastAsia" w:ascii="宋体" w:hAnsi="宋体" w:eastAsia="宋体" w:cs="宋体"/>
          <w:b/>
          <w:color w:val="auto"/>
          <w:szCs w:val="28"/>
        </w:rPr>
      </w:pPr>
    </w:p>
    <w:p w14:paraId="11CB877C">
      <w:pPr>
        <w:rPr>
          <w:rFonts w:hint="eastAsia" w:ascii="宋体" w:hAnsi="宋体" w:eastAsia="宋体" w:cs="宋体"/>
          <w:b/>
          <w:color w:val="auto"/>
          <w:sz w:val="30"/>
          <w:szCs w:val="30"/>
          <w:lang w:bidi="ar"/>
        </w:rPr>
        <w:sectPr>
          <w:footerReference r:id="rId11" w:type="default"/>
          <w:pgSz w:w="11906" w:h="16838"/>
          <w:pgMar w:top="1418" w:right="1555" w:bottom="1418" w:left="1531" w:header="907" w:footer="720" w:gutter="0"/>
          <w:pgNumType w:fmt="numberInDash"/>
          <w:cols w:space="720" w:num="1"/>
          <w:docGrid w:type="lines" w:linePitch="312" w:charSpace="-5735"/>
        </w:sectPr>
      </w:pPr>
    </w:p>
    <w:p w14:paraId="3F5D2398">
      <w:pPr>
        <w:keepNext/>
        <w:keepLines/>
        <w:spacing w:before="260" w:after="260" w:line="440" w:lineRule="exact"/>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lang w:bidi="ar"/>
        </w:rPr>
        <w:t>第一部分 合同协议书</w:t>
      </w:r>
      <w:bookmarkEnd w:id="299"/>
      <w:bookmarkEnd w:id="300"/>
      <w:bookmarkEnd w:id="301"/>
    </w:p>
    <w:bookmarkEnd w:id="302"/>
    <w:p w14:paraId="726ACC55">
      <w:pPr>
        <w:snapToGrid w:val="0"/>
        <w:spacing w:line="440" w:lineRule="exact"/>
        <w:ind w:firstLine="480" w:firstLineChars="200"/>
        <w:rPr>
          <w:rFonts w:hint="eastAsia" w:ascii="宋体" w:hAnsi="宋体" w:eastAsia="宋体" w:cs="宋体"/>
          <w:color w:val="auto"/>
          <w:sz w:val="24"/>
          <w:szCs w:val="24"/>
        </w:rPr>
      </w:pPr>
    </w:p>
    <w:p w14:paraId="55C94E3F">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发包人（全称）：</w:t>
      </w:r>
      <w:r>
        <w:rPr>
          <w:rFonts w:hint="eastAsia" w:ascii="宋体" w:hAnsi="宋体" w:eastAsia="宋体" w:cs="宋体"/>
          <w:b/>
          <w:color w:val="auto"/>
          <w:sz w:val="24"/>
          <w:szCs w:val="24"/>
          <w:u w:val="single"/>
          <w:lang w:bidi="ar"/>
        </w:rPr>
        <w:t xml:space="preserve">重庆市石桥铺殡仪馆     </w:t>
      </w:r>
      <w:r>
        <w:rPr>
          <w:rFonts w:hint="eastAsia" w:ascii="宋体" w:hAnsi="宋体" w:eastAsia="宋体" w:cs="宋体"/>
          <w:color w:val="auto"/>
          <w:sz w:val="24"/>
          <w:szCs w:val="24"/>
          <w:u w:val="single"/>
          <w:lang w:bidi="ar"/>
        </w:rPr>
        <w:t xml:space="preserve">      </w:t>
      </w:r>
    </w:p>
    <w:p w14:paraId="7E59EDA6">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承包人（全称）：</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u w:val="single"/>
          <w:lang w:bidi="ar"/>
        </w:rPr>
        <w:t xml:space="preserve"> </w:t>
      </w:r>
    </w:p>
    <w:p w14:paraId="39697976">
      <w:pPr>
        <w:spacing w:line="44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lang w:bidi="ar"/>
        </w:rPr>
        <w:t>根据《中华人民共和国民法典》、《中华人民共和国建筑法》及有关法律、法规规定，遵循平等、自愿、公平和诚实信用的原则，双方就</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lang w:bidi="ar"/>
        </w:rPr>
        <w:t>工程施工及有关事项协商一致，共同达成如下协议：</w:t>
      </w:r>
    </w:p>
    <w:p w14:paraId="5F87A183">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09" w:name="_Toc532377166"/>
      <w:bookmarkStart w:id="310" w:name="_Toc351203481"/>
      <w:bookmarkStart w:id="311" w:name="_Toc532375573"/>
      <w:r>
        <w:rPr>
          <w:rFonts w:hint="eastAsia" w:ascii="宋体" w:hAnsi="宋体" w:eastAsia="宋体" w:cs="宋体"/>
          <w:b/>
          <w:color w:val="auto"/>
          <w:sz w:val="24"/>
          <w:szCs w:val="24"/>
          <w:lang w:bidi="ar"/>
        </w:rPr>
        <w:t>一、工程概况</w:t>
      </w:r>
      <w:bookmarkEnd w:id="309"/>
      <w:bookmarkEnd w:id="310"/>
      <w:bookmarkEnd w:id="311"/>
    </w:p>
    <w:p w14:paraId="5CD9EF81">
      <w:pPr>
        <w:snapToGrid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lang w:bidi="ar"/>
        </w:rPr>
        <w:t>1.工程名称</w:t>
      </w:r>
      <w:r>
        <w:rPr>
          <w:rFonts w:hint="eastAsia" w:ascii="宋体" w:hAnsi="宋体" w:eastAsia="宋体" w:cs="宋体"/>
          <w:color w:val="auto"/>
          <w:sz w:val="24"/>
          <w:szCs w:val="24"/>
          <w:lang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15447D4">
      <w:pPr>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2.工程地点：</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u w:val="single"/>
          <w:lang w:val="en-US" w:eastAsia="zh-CN" w:bidi="ar"/>
        </w:rPr>
        <w:t xml:space="preserve">      </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u w:val="single"/>
          <w:lang w:val="en-US" w:eastAsia="zh-CN" w:bidi="ar"/>
        </w:rPr>
        <w:t xml:space="preserve"> </w:t>
      </w:r>
      <w:r>
        <w:rPr>
          <w:rFonts w:hint="eastAsia" w:ascii="宋体" w:hAnsi="宋体" w:eastAsia="宋体" w:cs="宋体"/>
          <w:color w:val="auto"/>
          <w:sz w:val="24"/>
          <w:szCs w:val="24"/>
          <w:lang w:bidi="ar"/>
        </w:rPr>
        <w:t>。</w:t>
      </w:r>
    </w:p>
    <w:p w14:paraId="12767CC8">
      <w:pPr>
        <w:snapToGri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3.工程立项批准文号：</w:t>
      </w:r>
      <w:r>
        <w:rPr>
          <w:rFonts w:hint="eastAsia" w:ascii="宋体" w:hAnsi="宋体" w:eastAsia="宋体" w:cs="宋体"/>
          <w:color w:val="auto"/>
          <w:sz w:val="24"/>
          <w:szCs w:val="24"/>
          <w:u w:val="single"/>
          <w:lang w:bidi="ar"/>
        </w:rPr>
        <w:t xml:space="preserve">                                       </w:t>
      </w:r>
      <w:r>
        <w:rPr>
          <w:rFonts w:hint="eastAsia" w:ascii="宋体" w:hAnsi="宋体" w:eastAsia="宋体" w:cs="宋体"/>
          <w:bCs/>
          <w:color w:val="auto"/>
          <w:sz w:val="24"/>
          <w:szCs w:val="24"/>
          <w:lang w:bidi="ar"/>
        </w:rPr>
        <w:t>。</w:t>
      </w:r>
    </w:p>
    <w:p w14:paraId="793E6852">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4.资金来源：</w:t>
      </w:r>
      <w:r>
        <w:rPr>
          <w:rFonts w:hint="eastAsia" w:ascii="宋体" w:hAnsi="宋体" w:eastAsia="宋体" w:cs="宋体"/>
          <w:bCs/>
          <w:color w:val="auto"/>
          <w:sz w:val="24"/>
          <w:szCs w:val="24"/>
          <w:u w:val="single"/>
          <w:lang w:bidi="ar"/>
        </w:rPr>
        <w:t xml:space="preserve">  财政资金                                    </w:t>
      </w:r>
      <w:r>
        <w:rPr>
          <w:rFonts w:hint="eastAsia" w:ascii="宋体" w:hAnsi="宋体" w:eastAsia="宋体" w:cs="宋体"/>
          <w:bCs/>
          <w:color w:val="auto"/>
          <w:sz w:val="24"/>
          <w:szCs w:val="24"/>
          <w:lang w:bidi="ar"/>
        </w:rPr>
        <w:t>。</w:t>
      </w:r>
    </w:p>
    <w:p w14:paraId="3EF94056">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5.工程内容：</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 xml:space="preserve"> 。</w:t>
      </w:r>
    </w:p>
    <w:p w14:paraId="56D56919">
      <w:pPr>
        <w:spacing w:line="44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lang w:bidi="ar"/>
        </w:rPr>
        <w:t>6.工程承包范围：</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w:t>
      </w:r>
    </w:p>
    <w:p w14:paraId="47ABCEF5">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12" w:name="_Toc532377167"/>
      <w:bookmarkStart w:id="313" w:name="_Toc532375574"/>
      <w:bookmarkStart w:id="314" w:name="_Toc351203482"/>
      <w:r>
        <w:rPr>
          <w:rFonts w:hint="eastAsia" w:ascii="宋体" w:hAnsi="宋体" w:eastAsia="宋体" w:cs="宋体"/>
          <w:b/>
          <w:color w:val="auto"/>
          <w:sz w:val="24"/>
          <w:szCs w:val="24"/>
          <w:lang w:bidi="ar"/>
        </w:rPr>
        <w:t>二、合同工期</w:t>
      </w:r>
      <w:bookmarkEnd w:id="312"/>
      <w:bookmarkEnd w:id="313"/>
      <w:bookmarkEnd w:id="314"/>
    </w:p>
    <w:p w14:paraId="65C83B3E">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承包人投标函中承诺的工期：</w:t>
      </w:r>
      <w:r>
        <w:rPr>
          <w:rFonts w:hint="eastAsia" w:ascii="宋体" w:hAnsi="宋体" w:eastAsia="宋体" w:cs="宋体"/>
          <w:bCs/>
          <w:color w:val="auto"/>
          <w:sz w:val="24"/>
          <w:szCs w:val="24"/>
          <w:u w:val="single"/>
          <w:lang w:val="en-US" w:eastAsia="zh-CN" w:bidi="ar"/>
        </w:rPr>
        <w:t xml:space="preserve">           </w:t>
      </w:r>
      <w:r>
        <w:rPr>
          <w:rFonts w:hint="eastAsia" w:ascii="宋体" w:hAnsi="宋体" w:eastAsia="宋体" w:cs="宋体"/>
          <w:bCs/>
          <w:color w:val="auto"/>
          <w:sz w:val="24"/>
          <w:szCs w:val="24"/>
          <w:lang w:bidi="ar"/>
        </w:rPr>
        <w:t>。</w:t>
      </w:r>
    </w:p>
    <w:p w14:paraId="2F5833E2">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计划开工日期：</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年</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月</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日，实际开工日期以监理工程师签发的工程开工通知明确的开工日期为准。</w:t>
      </w:r>
    </w:p>
    <w:p w14:paraId="41F5EA75">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计划竣工日期：</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年</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月</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日，实际竣工日期以工程竣工验收合格之日为准。</w:t>
      </w:r>
    </w:p>
    <w:p w14:paraId="0731E53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bidi="ar"/>
        </w:rPr>
        <w:t>工期总日历天数</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天。工期总日历天数与根据前述计划开竣工日期计算的工期天数不一</w:t>
      </w:r>
      <w:r>
        <w:rPr>
          <w:rFonts w:hint="eastAsia" w:ascii="宋体" w:hAnsi="宋体" w:eastAsia="宋体" w:cs="宋体"/>
          <w:color w:val="auto"/>
          <w:sz w:val="24"/>
          <w:szCs w:val="24"/>
          <w:lang w:bidi="ar"/>
        </w:rPr>
        <w:t>致的，以工期总日历天数为准。</w:t>
      </w:r>
    </w:p>
    <w:p w14:paraId="293FF527">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15" w:name="_Toc532375575"/>
      <w:bookmarkStart w:id="316" w:name="_Toc351203483"/>
      <w:bookmarkStart w:id="317" w:name="_Toc532377168"/>
      <w:r>
        <w:rPr>
          <w:rFonts w:hint="eastAsia" w:ascii="宋体" w:hAnsi="宋体" w:eastAsia="宋体" w:cs="宋体"/>
          <w:b/>
          <w:color w:val="auto"/>
          <w:sz w:val="24"/>
          <w:szCs w:val="24"/>
          <w:lang w:bidi="ar"/>
        </w:rPr>
        <w:t>三、质量标准</w:t>
      </w:r>
      <w:bookmarkEnd w:id="315"/>
      <w:bookmarkEnd w:id="316"/>
      <w:bookmarkEnd w:id="317"/>
    </w:p>
    <w:p w14:paraId="48736BA3">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工程质量</w:t>
      </w:r>
      <w:r>
        <w:rPr>
          <w:rFonts w:hint="eastAsia" w:ascii="宋体" w:hAnsi="宋体" w:eastAsia="宋体" w:cs="宋体"/>
          <w:color w:val="auto"/>
          <w:sz w:val="24"/>
          <w:szCs w:val="24"/>
          <w:u w:val="single"/>
          <w:lang w:bidi="ar"/>
        </w:rPr>
        <w:t>符合国家和重庆市现行有关施工质量验收规范要求，并达到合格标准。</w:t>
      </w:r>
    </w:p>
    <w:p w14:paraId="5126DE38">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18" w:name="_Toc532375576"/>
      <w:bookmarkStart w:id="319" w:name="_Toc351203484"/>
      <w:bookmarkStart w:id="320" w:name="_Toc532377169"/>
      <w:r>
        <w:rPr>
          <w:rFonts w:hint="eastAsia" w:ascii="宋体" w:hAnsi="宋体" w:eastAsia="宋体" w:cs="宋体"/>
          <w:b/>
          <w:color w:val="auto"/>
          <w:sz w:val="24"/>
          <w:szCs w:val="24"/>
          <w:lang w:bidi="ar"/>
        </w:rPr>
        <w:t>四、签约合同价与合同价格形式</w:t>
      </w:r>
      <w:bookmarkEnd w:id="318"/>
      <w:bookmarkEnd w:id="319"/>
      <w:bookmarkEnd w:id="320"/>
      <w:r>
        <w:rPr>
          <w:rFonts w:hint="eastAsia" w:ascii="宋体" w:hAnsi="宋体" w:eastAsia="宋体" w:cs="宋体"/>
          <w:b/>
          <w:color w:val="auto"/>
          <w:sz w:val="24"/>
          <w:szCs w:val="24"/>
          <w:lang w:bidi="ar"/>
        </w:rPr>
        <w:tab/>
      </w:r>
    </w:p>
    <w:p w14:paraId="4D8F9D2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1.承包人投标函中承诺的中标价为：</w:t>
      </w:r>
    </w:p>
    <w:p w14:paraId="1ED0678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人民币（大写）</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元）；</w:t>
      </w:r>
    </w:p>
    <w:p w14:paraId="24850C7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2.签约合同价为：</w:t>
      </w:r>
    </w:p>
    <w:p w14:paraId="21FBC16A">
      <w:pPr>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人民币（大写）</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元）；</w:t>
      </w:r>
    </w:p>
    <w:p w14:paraId="27B79BE6">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其中：</w:t>
      </w:r>
    </w:p>
    <w:p w14:paraId="4924735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（1）安全文明施工费：</w:t>
      </w:r>
    </w:p>
    <w:p w14:paraId="1E9884E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人民币（大写）</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元）；</w:t>
      </w:r>
    </w:p>
    <w:p w14:paraId="38645B3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（2）材料和工程设备暂估价金额：</w:t>
      </w:r>
    </w:p>
    <w:p w14:paraId="70AE203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人民币（大写）</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元）；</w:t>
      </w:r>
    </w:p>
    <w:p w14:paraId="388B169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（3）专业工程暂估价金额：</w:t>
      </w:r>
    </w:p>
    <w:p w14:paraId="3CFB5DF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人民币（大写）</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元）；</w:t>
      </w:r>
    </w:p>
    <w:p w14:paraId="55F5650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（4）暂列金额：</w:t>
      </w:r>
    </w:p>
    <w:p w14:paraId="5F2B4B8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人民币（大写）</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元）。</w:t>
      </w:r>
    </w:p>
    <w:p w14:paraId="186B59B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3.合同价格形式：</w:t>
      </w:r>
      <w:r>
        <w:rPr>
          <w:rFonts w:hint="eastAsia" w:ascii="宋体" w:hAnsi="宋体" w:eastAsia="宋体" w:cs="宋体"/>
          <w:color w:val="auto"/>
          <w:sz w:val="24"/>
          <w:szCs w:val="24"/>
          <w:u w:val="single"/>
          <w:lang w:bidi="ar"/>
        </w:rPr>
        <w:t xml:space="preserve">   清单计价      </w:t>
      </w:r>
      <w:r>
        <w:rPr>
          <w:rFonts w:hint="eastAsia" w:ascii="宋体" w:hAnsi="宋体" w:eastAsia="宋体" w:cs="宋体"/>
          <w:color w:val="auto"/>
          <w:sz w:val="24"/>
          <w:szCs w:val="24"/>
          <w:lang w:bidi="ar"/>
        </w:rPr>
        <w:t>。</w:t>
      </w:r>
    </w:p>
    <w:p w14:paraId="6EA9D1B5">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21" w:name="_Toc351203485"/>
      <w:bookmarkStart w:id="322" w:name="_Toc532375577"/>
      <w:bookmarkStart w:id="323" w:name="_Toc532377170"/>
      <w:r>
        <w:rPr>
          <w:rFonts w:hint="eastAsia" w:ascii="宋体" w:hAnsi="宋体" w:eastAsia="宋体" w:cs="宋体"/>
          <w:b/>
          <w:color w:val="auto"/>
          <w:sz w:val="24"/>
          <w:szCs w:val="24"/>
          <w:lang w:bidi="ar"/>
        </w:rPr>
        <w:t>五、</w:t>
      </w:r>
      <w:bookmarkEnd w:id="321"/>
      <w:r>
        <w:rPr>
          <w:rFonts w:hint="eastAsia" w:ascii="宋体" w:hAnsi="宋体" w:eastAsia="宋体" w:cs="宋体"/>
          <w:b/>
          <w:color w:val="auto"/>
          <w:sz w:val="24"/>
          <w:szCs w:val="24"/>
          <w:lang w:bidi="ar"/>
        </w:rPr>
        <w:t>项目经理及技术负责人</w:t>
      </w:r>
      <w:bookmarkEnd w:id="322"/>
      <w:bookmarkEnd w:id="323"/>
    </w:p>
    <w:p w14:paraId="125E20A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承包人投标文件中承诺的项目经理：</w:t>
      </w:r>
    </w:p>
    <w:p w14:paraId="31EF8AC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姓名：</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88AB48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身份证号码：</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32B801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建造师注册证书号：</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4C73FB6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承包人投标文件中承诺的技术负责人：</w:t>
      </w:r>
    </w:p>
    <w:p w14:paraId="5601C28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姓名：</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19DFB3C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身份证号码：</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5A571297">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证书名称及号码：</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11C20DD3">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24" w:name="_Toc532377171"/>
      <w:bookmarkStart w:id="325" w:name="_Toc351203486"/>
      <w:bookmarkStart w:id="326" w:name="_Toc532375578"/>
      <w:r>
        <w:rPr>
          <w:rFonts w:hint="eastAsia" w:ascii="宋体" w:hAnsi="宋体" w:eastAsia="宋体" w:cs="宋体"/>
          <w:b/>
          <w:color w:val="auto"/>
          <w:sz w:val="24"/>
          <w:szCs w:val="24"/>
          <w:lang w:bidi="ar"/>
        </w:rPr>
        <w:t>六、合同文件构成</w:t>
      </w:r>
      <w:bookmarkEnd w:id="324"/>
      <w:bookmarkEnd w:id="325"/>
      <w:bookmarkEnd w:id="326"/>
    </w:p>
    <w:p w14:paraId="7D8971A1">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合同由以下文件构成：</w:t>
      </w:r>
    </w:p>
    <w:p w14:paraId="72E6927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（1）合同协议书；</w:t>
      </w:r>
    </w:p>
    <w:p w14:paraId="5E8AFD8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（2）成交通知书；</w:t>
      </w:r>
    </w:p>
    <w:p w14:paraId="5A5EC79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（3）最后报价表；</w:t>
      </w:r>
    </w:p>
    <w:p w14:paraId="15C9849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（4）专用合同条款及其附件；</w:t>
      </w:r>
    </w:p>
    <w:p w14:paraId="23F7500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（5）通用合同条款；</w:t>
      </w:r>
    </w:p>
    <w:p w14:paraId="13BA791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（6）响应文件；</w:t>
      </w:r>
    </w:p>
    <w:p w14:paraId="04662B9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（7）竞争性磋商文件及修改文件；</w:t>
      </w:r>
    </w:p>
    <w:p w14:paraId="7A5232A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（8）技术标准和要求；</w:t>
      </w:r>
    </w:p>
    <w:p w14:paraId="60E3A28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（9）图纸；</w:t>
      </w:r>
    </w:p>
    <w:p w14:paraId="4F77E82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（10）其他合同文件。</w:t>
      </w:r>
    </w:p>
    <w:p w14:paraId="5F3B3C3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在合同订立、履行过程中形成的与合同有关的书面形式的文件均构成合同文件组成部分。</w:t>
      </w:r>
    </w:p>
    <w:p w14:paraId="16596EE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上述各项合同文件包括合同当事人就该项合同文件所作出的补充和修改，属于同一类内容的文件，应以最新签署的为准。专用合同条款及其附件须经合同当事人签字或盖章。</w:t>
      </w:r>
    </w:p>
    <w:p w14:paraId="531AE4AC">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27" w:name="_Toc532375579"/>
      <w:bookmarkStart w:id="328" w:name="_Toc532377172"/>
      <w:bookmarkStart w:id="329" w:name="_Toc351203487"/>
      <w:r>
        <w:rPr>
          <w:rFonts w:hint="eastAsia" w:ascii="宋体" w:hAnsi="宋体" w:eastAsia="宋体" w:cs="宋体"/>
          <w:b/>
          <w:color w:val="auto"/>
          <w:sz w:val="24"/>
          <w:szCs w:val="24"/>
          <w:lang w:bidi="ar"/>
        </w:rPr>
        <w:t>七、承诺</w:t>
      </w:r>
      <w:bookmarkEnd w:id="327"/>
      <w:bookmarkEnd w:id="328"/>
      <w:bookmarkEnd w:id="329"/>
    </w:p>
    <w:p w14:paraId="4ECB4933">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1.发包人承诺按照法律规定履行项目审批手续、筹集工程建设资金并按照合同约定的期限和方式支付合同价款。</w:t>
      </w:r>
    </w:p>
    <w:p w14:paraId="4D24AD42">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2.</w:t>
      </w:r>
      <w:r>
        <w:rPr>
          <w:rFonts w:hint="eastAsia" w:ascii="宋体" w:hAnsi="宋体" w:eastAsia="宋体" w:cs="宋体"/>
          <w:color w:val="auto"/>
          <w:sz w:val="24"/>
          <w:szCs w:val="24"/>
          <w:lang w:bidi="ar"/>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auto"/>
          <w:sz w:val="24"/>
          <w:szCs w:val="24"/>
          <w:lang w:bidi="ar"/>
        </w:rPr>
        <w:t>。</w:t>
      </w:r>
    </w:p>
    <w:p w14:paraId="6621E6CD">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3.发包人和承包人通过招投标形式签订合同的，双方理解并承诺不再就同一工程另行签订与合同实质性内容相背离的协议。</w:t>
      </w:r>
    </w:p>
    <w:p w14:paraId="1DF65F18">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30" w:name="_Toc351203488"/>
      <w:bookmarkStart w:id="331" w:name="_Toc532377173"/>
      <w:bookmarkStart w:id="332" w:name="_Toc532375580"/>
      <w:r>
        <w:rPr>
          <w:rFonts w:hint="eastAsia" w:ascii="宋体" w:hAnsi="宋体" w:eastAsia="宋体" w:cs="宋体"/>
          <w:b/>
          <w:color w:val="auto"/>
          <w:sz w:val="24"/>
          <w:szCs w:val="24"/>
          <w:lang w:bidi="ar"/>
        </w:rPr>
        <w:t>八、词语含义</w:t>
      </w:r>
      <w:bookmarkEnd w:id="330"/>
      <w:bookmarkEnd w:id="331"/>
      <w:bookmarkEnd w:id="332"/>
    </w:p>
    <w:p w14:paraId="16875A05">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本协议书中词语含义与专用合同条款及通用合同条款中赋予的含义相同。</w:t>
      </w:r>
    </w:p>
    <w:p w14:paraId="51672987">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33" w:name="_Toc532377174"/>
      <w:bookmarkStart w:id="334" w:name="_Toc532375581"/>
      <w:r>
        <w:rPr>
          <w:rFonts w:hint="eastAsia" w:ascii="宋体" w:hAnsi="宋体" w:eastAsia="宋体" w:cs="宋体"/>
          <w:b/>
          <w:color w:val="auto"/>
          <w:sz w:val="24"/>
          <w:szCs w:val="24"/>
          <w:lang w:bidi="ar"/>
        </w:rPr>
        <w:t>九、签订时间</w:t>
      </w:r>
      <w:bookmarkEnd w:id="333"/>
      <w:bookmarkEnd w:id="334"/>
    </w:p>
    <w:p w14:paraId="01782AA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bidi="ar"/>
        </w:rPr>
        <w:t>合同于</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年</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月</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日签订</w:t>
      </w:r>
    </w:p>
    <w:p w14:paraId="18A4E1B7">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35" w:name="_Toc351203489"/>
      <w:bookmarkStart w:id="336" w:name="_Toc532375582"/>
      <w:bookmarkStart w:id="337" w:name="_Toc532377175"/>
      <w:r>
        <w:rPr>
          <w:rFonts w:hint="eastAsia" w:ascii="宋体" w:hAnsi="宋体" w:eastAsia="宋体" w:cs="宋体"/>
          <w:b/>
          <w:color w:val="auto"/>
          <w:sz w:val="24"/>
          <w:szCs w:val="24"/>
          <w:lang w:bidi="ar"/>
        </w:rPr>
        <w:t>十、</w:t>
      </w:r>
      <w:bookmarkEnd w:id="335"/>
      <w:bookmarkStart w:id="338" w:name="_Toc351203490"/>
      <w:r>
        <w:rPr>
          <w:rFonts w:hint="eastAsia" w:ascii="宋体" w:hAnsi="宋体" w:eastAsia="宋体" w:cs="宋体"/>
          <w:b/>
          <w:color w:val="auto"/>
          <w:sz w:val="24"/>
          <w:szCs w:val="24"/>
          <w:lang w:bidi="ar"/>
        </w:rPr>
        <w:t>签订地点</w:t>
      </w:r>
      <w:bookmarkEnd w:id="336"/>
      <w:bookmarkEnd w:id="337"/>
      <w:bookmarkEnd w:id="338"/>
    </w:p>
    <w:p w14:paraId="0A5ADA65">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合同在</w:t>
      </w:r>
      <w:r>
        <w:rPr>
          <w:rFonts w:hint="eastAsia" w:ascii="宋体" w:hAnsi="宋体" w:eastAsia="宋体" w:cs="宋体"/>
          <w:bCs/>
          <w:color w:val="auto"/>
          <w:sz w:val="24"/>
          <w:szCs w:val="24"/>
          <w:u w:val="single"/>
          <w:lang w:bidi="ar"/>
        </w:rPr>
        <w:t xml:space="preserve">  石桥铺殡仪馆  </w:t>
      </w:r>
      <w:r>
        <w:rPr>
          <w:rFonts w:hint="eastAsia" w:ascii="宋体" w:hAnsi="宋体" w:eastAsia="宋体" w:cs="宋体"/>
          <w:bCs/>
          <w:color w:val="auto"/>
          <w:sz w:val="24"/>
          <w:szCs w:val="24"/>
          <w:lang w:bidi="ar"/>
        </w:rPr>
        <w:t>签订。</w:t>
      </w:r>
    </w:p>
    <w:p w14:paraId="349260AF">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39" w:name="_Toc532375583"/>
      <w:bookmarkStart w:id="340" w:name="_Toc351203491"/>
      <w:bookmarkStart w:id="341" w:name="_Toc532377176"/>
      <w:r>
        <w:rPr>
          <w:rFonts w:hint="eastAsia" w:ascii="宋体" w:hAnsi="宋体" w:eastAsia="宋体" w:cs="宋体"/>
          <w:b/>
          <w:color w:val="auto"/>
          <w:sz w:val="24"/>
          <w:szCs w:val="24"/>
          <w:lang w:bidi="ar"/>
        </w:rPr>
        <w:t>十一、补充协议</w:t>
      </w:r>
      <w:bookmarkEnd w:id="339"/>
      <w:bookmarkEnd w:id="340"/>
      <w:bookmarkEnd w:id="341"/>
    </w:p>
    <w:p w14:paraId="24ADC046">
      <w:pPr>
        <w:spacing w:line="44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lang w:bidi="ar"/>
        </w:rPr>
        <w:t>合同未尽事宜，合同当事人另行签订补充协议，补充协议是合同的组成部分。</w:t>
      </w:r>
    </w:p>
    <w:p w14:paraId="2FA17680">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42" w:name="_Toc532377177"/>
      <w:bookmarkStart w:id="343" w:name="_Toc351203492"/>
      <w:bookmarkStart w:id="344" w:name="_Toc532375584"/>
      <w:r>
        <w:rPr>
          <w:rFonts w:hint="eastAsia" w:ascii="宋体" w:hAnsi="宋体" w:eastAsia="宋体" w:cs="宋体"/>
          <w:b/>
          <w:color w:val="auto"/>
          <w:sz w:val="24"/>
          <w:szCs w:val="24"/>
          <w:lang w:bidi="ar"/>
        </w:rPr>
        <w:t>十二、合同生效</w:t>
      </w:r>
      <w:bookmarkEnd w:id="342"/>
      <w:bookmarkEnd w:id="343"/>
      <w:bookmarkEnd w:id="344"/>
    </w:p>
    <w:p w14:paraId="0BAAEC03">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合同在以下条件全部满足之后生效：</w:t>
      </w:r>
    </w:p>
    <w:p w14:paraId="33581E1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bidi="ar"/>
        </w:rPr>
        <w:t>1.合同</w:t>
      </w:r>
      <w:r>
        <w:rPr>
          <w:rFonts w:hint="eastAsia" w:ascii="宋体" w:hAnsi="宋体" w:eastAsia="宋体" w:cs="宋体"/>
          <w:color w:val="auto"/>
          <w:sz w:val="24"/>
          <w:szCs w:val="24"/>
          <w:lang w:bidi="ar"/>
        </w:rPr>
        <w:t>经双方法定代表人或其委托代理人签字并加盖</w:t>
      </w:r>
      <w:r>
        <w:rPr>
          <w:rFonts w:hint="eastAsia" w:ascii="宋体" w:hAnsi="宋体" w:eastAsia="宋体" w:cs="宋体"/>
          <w:snapToGrid w:val="0"/>
          <w:color w:val="auto"/>
          <w:kern w:val="0"/>
          <w:sz w:val="24"/>
          <w:szCs w:val="24"/>
          <w:lang w:bidi="ar"/>
        </w:rPr>
        <w:t>公章或合同专用章</w:t>
      </w:r>
      <w:r>
        <w:rPr>
          <w:rFonts w:hint="eastAsia" w:ascii="宋体" w:hAnsi="宋体" w:eastAsia="宋体" w:cs="宋体"/>
          <w:color w:val="auto"/>
          <w:sz w:val="24"/>
          <w:szCs w:val="24"/>
          <w:lang w:bidi="ar"/>
        </w:rPr>
        <w:t>；</w:t>
      </w:r>
    </w:p>
    <w:p w14:paraId="6F8A391C">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2.</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4BC7BF1">
      <w:pPr>
        <w:keepNext/>
        <w:keepLines/>
        <w:spacing w:before="120" w:after="120" w:line="440" w:lineRule="exact"/>
        <w:ind w:firstLine="482" w:firstLineChars="200"/>
        <w:outlineLvl w:val="3"/>
        <w:rPr>
          <w:rFonts w:hint="eastAsia" w:ascii="宋体" w:hAnsi="宋体" w:eastAsia="宋体" w:cs="宋体"/>
          <w:b/>
          <w:color w:val="auto"/>
          <w:sz w:val="24"/>
          <w:szCs w:val="24"/>
        </w:rPr>
      </w:pPr>
      <w:bookmarkStart w:id="345" w:name="_Toc532377178"/>
      <w:bookmarkStart w:id="346" w:name="_Toc532375585"/>
      <w:bookmarkStart w:id="347" w:name="_Toc351203493"/>
      <w:r>
        <w:rPr>
          <w:rFonts w:hint="eastAsia" w:ascii="宋体" w:hAnsi="宋体" w:eastAsia="宋体" w:cs="宋体"/>
          <w:b/>
          <w:color w:val="auto"/>
          <w:sz w:val="24"/>
          <w:szCs w:val="24"/>
          <w:lang w:bidi="ar"/>
        </w:rPr>
        <w:t>十三、合同份数</w:t>
      </w:r>
      <w:bookmarkEnd w:id="345"/>
      <w:bookmarkEnd w:id="346"/>
      <w:bookmarkEnd w:id="347"/>
    </w:p>
    <w:p w14:paraId="6BA564C2">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合同一式</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份，其中正本</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份，双方各持</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份，副本</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份，双方各执</w:t>
      </w:r>
      <w:r>
        <w:rPr>
          <w:rFonts w:hint="eastAsia" w:ascii="宋体" w:hAnsi="宋体" w:eastAsia="宋体" w:cs="宋体"/>
          <w:bCs/>
          <w:color w:val="auto"/>
          <w:sz w:val="24"/>
          <w:szCs w:val="24"/>
          <w:u w:val="single"/>
          <w:lang w:bidi="ar"/>
        </w:rPr>
        <w:t xml:space="preserve">    </w:t>
      </w:r>
      <w:r>
        <w:rPr>
          <w:rFonts w:hint="eastAsia" w:ascii="宋体" w:hAnsi="宋体" w:eastAsia="宋体" w:cs="宋体"/>
          <w:bCs/>
          <w:color w:val="auto"/>
          <w:sz w:val="24"/>
          <w:szCs w:val="24"/>
          <w:lang w:bidi="ar"/>
        </w:rPr>
        <w:t>份。副本与正本不一致时，以正本为准。</w:t>
      </w:r>
    </w:p>
    <w:p w14:paraId="3D973FBC">
      <w:pPr>
        <w:spacing w:line="440" w:lineRule="exact"/>
        <w:ind w:firstLine="480" w:firstLineChars="200"/>
        <w:rPr>
          <w:rFonts w:hint="eastAsia" w:ascii="宋体" w:hAnsi="宋体" w:eastAsia="宋体" w:cs="宋体"/>
          <w:bCs/>
          <w:color w:val="auto"/>
          <w:sz w:val="24"/>
          <w:szCs w:val="24"/>
        </w:rPr>
      </w:pPr>
    </w:p>
    <w:p w14:paraId="32FA8AC0">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bidi="ar"/>
        </w:rPr>
        <w:t>（以下为签字盖章页）。</w:t>
      </w:r>
    </w:p>
    <w:p w14:paraId="55EB631F">
      <w:pPr>
        <w:spacing w:line="440" w:lineRule="exact"/>
        <w:ind w:firstLine="480" w:firstLineChars="200"/>
        <w:rPr>
          <w:rFonts w:hint="eastAsia" w:ascii="宋体" w:hAnsi="宋体" w:eastAsia="宋体" w:cs="宋体"/>
          <w:color w:val="auto"/>
          <w:sz w:val="24"/>
          <w:szCs w:val="24"/>
        </w:rPr>
      </w:pPr>
    </w:p>
    <w:p w14:paraId="7833E30C">
      <w:pPr>
        <w:adjustRightInd w:val="0"/>
        <w:spacing w:line="440" w:lineRule="exact"/>
        <w:ind w:firstLine="480" w:firstLineChars="200"/>
        <w:rPr>
          <w:rFonts w:hint="eastAsia" w:ascii="宋体" w:hAnsi="宋体" w:eastAsia="宋体" w:cs="宋体"/>
          <w:color w:val="auto"/>
          <w:kern w:val="0"/>
          <w:sz w:val="24"/>
          <w:szCs w:val="24"/>
        </w:rPr>
      </w:pPr>
      <w:bookmarkStart w:id="348" w:name="_Toc467689623"/>
      <w:r>
        <w:rPr>
          <w:rFonts w:hint="eastAsia" w:ascii="宋体" w:hAnsi="宋体" w:eastAsia="宋体" w:cs="宋体"/>
          <w:snapToGrid w:val="0"/>
          <w:color w:val="auto"/>
          <w:kern w:val="0"/>
          <w:sz w:val="24"/>
          <w:szCs w:val="24"/>
          <w:lang w:bidi="ar"/>
        </w:rPr>
        <w:t>发包人：</w:t>
      </w:r>
      <w:r>
        <w:rPr>
          <w:rFonts w:hint="eastAsia" w:ascii="宋体" w:hAnsi="宋体" w:eastAsia="宋体" w:cs="宋体"/>
          <w:snapToGrid w:val="0"/>
          <w:color w:val="auto"/>
          <w:kern w:val="0"/>
          <w:sz w:val="24"/>
          <w:szCs w:val="24"/>
          <w:u w:val="single"/>
          <w:lang w:bidi="ar"/>
        </w:rPr>
        <w:t>重庆市石桥铺殡仪馆</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（公章或合同专用章）</w:t>
      </w:r>
    </w:p>
    <w:p w14:paraId="69D77C2B">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snapToGrid w:val="0"/>
          <w:color w:val="auto"/>
          <w:kern w:val="0"/>
          <w:sz w:val="24"/>
          <w:szCs w:val="24"/>
          <w:lang w:bidi="ar"/>
        </w:rPr>
        <w:t>法定代表人或其委托代理人：</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（签字）</w:t>
      </w:r>
    </w:p>
    <w:p w14:paraId="2CEF40D2">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统一社会信用代码：</w:t>
      </w:r>
      <w:r>
        <w:rPr>
          <w:rFonts w:hint="eastAsia" w:ascii="宋体" w:hAnsi="宋体" w:eastAsia="宋体" w:cs="宋体"/>
          <w:color w:val="auto"/>
          <w:kern w:val="0"/>
          <w:sz w:val="24"/>
          <w:szCs w:val="24"/>
          <w:lang w:bidi="ar"/>
        </w:rPr>
        <w:t xml:space="preserve">     </w:t>
      </w:r>
      <w:r>
        <w:rPr>
          <w:rFonts w:hint="eastAsia" w:ascii="宋体" w:hAnsi="宋体" w:eastAsia="宋体" w:cs="宋体"/>
          <w:color w:val="auto"/>
          <w:kern w:val="0"/>
          <w:sz w:val="24"/>
          <w:szCs w:val="24"/>
          <w:u w:val="single"/>
          <w:lang w:bidi="ar"/>
        </w:rPr>
        <w:t xml:space="preserve">                             </w:t>
      </w:r>
    </w:p>
    <w:p w14:paraId="0786CD2D">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纳税人识别号：</w:t>
      </w:r>
      <w:r>
        <w:rPr>
          <w:rFonts w:hint="eastAsia" w:ascii="宋体" w:hAnsi="宋体" w:eastAsia="宋体" w:cs="宋体"/>
          <w:color w:val="auto"/>
          <w:kern w:val="0"/>
          <w:sz w:val="24"/>
          <w:szCs w:val="24"/>
          <w:u w:val="single"/>
          <w:lang w:bidi="ar"/>
        </w:rPr>
        <w:t xml:space="preserve">125000004503926039                    </w:t>
      </w:r>
    </w:p>
    <w:p w14:paraId="30BDB79D">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地</w:t>
      </w:r>
      <w:r>
        <w:rPr>
          <w:rFonts w:hint="eastAsia" w:ascii="宋体" w:hAnsi="宋体" w:eastAsia="宋体" w:cs="宋体"/>
          <w:color w:val="auto"/>
          <w:kern w:val="0"/>
          <w:sz w:val="24"/>
          <w:szCs w:val="24"/>
          <w:lang w:bidi="ar"/>
        </w:rPr>
        <w:t xml:space="preserve">    </w:t>
      </w:r>
      <w:r>
        <w:rPr>
          <w:rFonts w:hint="eastAsia" w:ascii="宋体" w:hAnsi="宋体" w:eastAsia="宋体" w:cs="宋体"/>
          <w:snapToGrid w:val="0"/>
          <w:color w:val="auto"/>
          <w:kern w:val="0"/>
          <w:sz w:val="24"/>
          <w:szCs w:val="24"/>
          <w:lang w:bidi="ar"/>
        </w:rPr>
        <w:t>址：</w:t>
      </w:r>
      <w:r>
        <w:rPr>
          <w:rFonts w:hint="eastAsia" w:ascii="宋体" w:hAnsi="宋体" w:eastAsia="宋体" w:cs="宋体"/>
          <w:snapToGrid w:val="0"/>
          <w:color w:val="auto"/>
          <w:kern w:val="0"/>
          <w:sz w:val="24"/>
          <w:szCs w:val="24"/>
          <w:u w:val="single"/>
          <w:lang w:bidi="ar"/>
        </w:rPr>
        <w:t>重庆市沙坪坝区石小路</w:t>
      </w:r>
      <w:r>
        <w:rPr>
          <w:rFonts w:hint="eastAsia" w:ascii="宋体" w:hAnsi="宋体" w:eastAsia="宋体" w:cs="宋体"/>
          <w:color w:val="auto"/>
          <w:kern w:val="0"/>
          <w:sz w:val="24"/>
          <w:szCs w:val="24"/>
          <w:u w:val="single"/>
          <w:lang w:bidi="ar"/>
        </w:rPr>
        <w:t>150</w:t>
      </w:r>
      <w:r>
        <w:rPr>
          <w:rFonts w:hint="eastAsia" w:ascii="宋体" w:hAnsi="宋体" w:eastAsia="宋体" w:cs="宋体"/>
          <w:snapToGrid w:val="0"/>
          <w:color w:val="auto"/>
          <w:kern w:val="0"/>
          <w:sz w:val="24"/>
          <w:szCs w:val="24"/>
          <w:u w:val="single"/>
          <w:lang w:bidi="ar"/>
        </w:rPr>
        <w:t>号</w:t>
      </w:r>
      <w:r>
        <w:rPr>
          <w:rFonts w:hint="eastAsia" w:ascii="宋体" w:hAnsi="宋体" w:eastAsia="宋体" w:cs="宋体"/>
          <w:color w:val="auto"/>
          <w:kern w:val="0"/>
          <w:sz w:val="24"/>
          <w:szCs w:val="24"/>
          <w:u w:val="single"/>
          <w:lang w:bidi="ar"/>
        </w:rPr>
        <w:t xml:space="preserve">                </w:t>
      </w:r>
    </w:p>
    <w:p w14:paraId="0A18D375">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电</w:t>
      </w:r>
      <w:r>
        <w:rPr>
          <w:rFonts w:hint="eastAsia" w:ascii="宋体" w:hAnsi="宋体" w:eastAsia="宋体" w:cs="宋体"/>
          <w:color w:val="auto"/>
          <w:kern w:val="0"/>
          <w:sz w:val="24"/>
          <w:szCs w:val="24"/>
          <w:lang w:bidi="ar"/>
        </w:rPr>
        <w:t xml:space="preserve">    </w:t>
      </w:r>
      <w:r>
        <w:rPr>
          <w:rFonts w:hint="eastAsia" w:ascii="宋体" w:hAnsi="宋体" w:eastAsia="宋体" w:cs="宋体"/>
          <w:snapToGrid w:val="0"/>
          <w:color w:val="auto"/>
          <w:kern w:val="0"/>
          <w:sz w:val="24"/>
          <w:szCs w:val="24"/>
          <w:lang w:bidi="ar"/>
        </w:rPr>
        <w:t>话：</w:t>
      </w:r>
      <w:r>
        <w:rPr>
          <w:rFonts w:hint="eastAsia" w:ascii="宋体" w:hAnsi="宋体" w:eastAsia="宋体" w:cs="宋体"/>
          <w:color w:val="auto"/>
          <w:kern w:val="0"/>
          <w:sz w:val="24"/>
          <w:szCs w:val="24"/>
          <w:u w:val="single"/>
          <w:lang w:bidi="ar"/>
        </w:rPr>
        <w:t xml:space="preserve">                                          </w:t>
      </w:r>
    </w:p>
    <w:p w14:paraId="0FD457C7">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开户银行：</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19C0F1F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bidi="ar"/>
        </w:rPr>
        <w:t>账</w:t>
      </w:r>
      <w:r>
        <w:rPr>
          <w:rFonts w:hint="eastAsia" w:ascii="宋体" w:hAnsi="宋体" w:eastAsia="宋体" w:cs="宋体"/>
          <w:color w:val="auto"/>
          <w:kern w:val="0"/>
          <w:sz w:val="24"/>
          <w:szCs w:val="24"/>
          <w:lang w:bidi="ar"/>
        </w:rPr>
        <w:t xml:space="preserve">    </w:t>
      </w:r>
      <w:r>
        <w:rPr>
          <w:rFonts w:hint="eastAsia" w:ascii="宋体" w:hAnsi="宋体" w:eastAsia="宋体" w:cs="宋体"/>
          <w:snapToGrid w:val="0"/>
          <w:color w:val="auto"/>
          <w:kern w:val="0"/>
          <w:sz w:val="24"/>
          <w:szCs w:val="24"/>
          <w:lang w:bidi="ar"/>
        </w:rPr>
        <w:t>号：</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466DF220">
      <w:pPr>
        <w:spacing w:line="440" w:lineRule="exact"/>
        <w:rPr>
          <w:rFonts w:hint="eastAsia" w:ascii="宋体" w:hAnsi="宋体" w:eastAsia="宋体" w:cs="宋体"/>
          <w:snapToGrid w:val="0"/>
          <w:color w:val="auto"/>
          <w:kern w:val="0"/>
          <w:sz w:val="24"/>
          <w:szCs w:val="24"/>
        </w:rPr>
      </w:pPr>
    </w:p>
    <w:p w14:paraId="1D59C11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bidi="ar"/>
        </w:rPr>
        <w:t>承包人：</w:t>
      </w:r>
      <w:r>
        <w:rPr>
          <w:rFonts w:hint="eastAsia" w:ascii="宋体" w:hAnsi="宋体" w:eastAsia="宋体" w:cs="宋体"/>
          <w:snapToGrid w:val="0"/>
          <w:color w:val="auto"/>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（公章或合同专用章）</w:t>
      </w:r>
    </w:p>
    <w:p w14:paraId="03C7397B">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snapToGrid w:val="0"/>
          <w:color w:val="auto"/>
          <w:kern w:val="0"/>
          <w:sz w:val="24"/>
          <w:szCs w:val="24"/>
          <w:lang w:bidi="ar"/>
        </w:rPr>
        <w:t>法定代表人或其委托代理人：</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snapToGrid w:val="0"/>
          <w:color w:val="auto"/>
          <w:kern w:val="0"/>
          <w:sz w:val="24"/>
          <w:szCs w:val="24"/>
          <w:lang w:bidi="ar"/>
        </w:rPr>
        <w:t>（签字）</w:t>
      </w:r>
    </w:p>
    <w:p w14:paraId="30670FCD">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snapToGrid w:val="0"/>
          <w:color w:val="auto"/>
          <w:kern w:val="0"/>
          <w:sz w:val="24"/>
          <w:szCs w:val="24"/>
          <w:lang w:bidi="ar"/>
        </w:rPr>
        <w:t>统一社会信用代码：</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6D1A96C1">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纳税人识别号：</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58460C65">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地</w:t>
      </w:r>
      <w:r>
        <w:rPr>
          <w:rFonts w:hint="eastAsia" w:ascii="宋体" w:hAnsi="宋体" w:eastAsia="宋体" w:cs="宋体"/>
          <w:color w:val="auto"/>
          <w:kern w:val="0"/>
          <w:sz w:val="24"/>
          <w:szCs w:val="24"/>
          <w:lang w:bidi="ar"/>
        </w:rPr>
        <w:t xml:space="preserve">    </w:t>
      </w:r>
      <w:r>
        <w:rPr>
          <w:rFonts w:hint="eastAsia" w:ascii="宋体" w:hAnsi="宋体" w:eastAsia="宋体" w:cs="宋体"/>
          <w:snapToGrid w:val="0"/>
          <w:color w:val="auto"/>
          <w:kern w:val="0"/>
          <w:sz w:val="24"/>
          <w:szCs w:val="24"/>
          <w:lang w:bidi="ar"/>
        </w:rPr>
        <w:t>址：</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7D3B35A3">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电</w:t>
      </w:r>
      <w:r>
        <w:rPr>
          <w:rFonts w:hint="eastAsia" w:ascii="宋体" w:hAnsi="宋体" w:eastAsia="宋体" w:cs="宋体"/>
          <w:color w:val="auto"/>
          <w:kern w:val="0"/>
          <w:sz w:val="24"/>
          <w:szCs w:val="24"/>
          <w:lang w:bidi="ar"/>
        </w:rPr>
        <w:t xml:space="preserve">    </w:t>
      </w:r>
      <w:r>
        <w:rPr>
          <w:rFonts w:hint="eastAsia" w:ascii="宋体" w:hAnsi="宋体" w:eastAsia="宋体" w:cs="宋体"/>
          <w:snapToGrid w:val="0"/>
          <w:color w:val="auto"/>
          <w:kern w:val="0"/>
          <w:sz w:val="24"/>
          <w:szCs w:val="24"/>
          <w:lang w:bidi="ar"/>
        </w:rPr>
        <w:t>话：</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5E12E471">
      <w:pPr>
        <w:spacing w:line="44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snapToGrid w:val="0"/>
          <w:color w:val="auto"/>
          <w:kern w:val="0"/>
          <w:sz w:val="24"/>
          <w:szCs w:val="24"/>
          <w:lang w:bidi="ar"/>
        </w:rPr>
        <w:t>开户银行：</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7251660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bidi="ar"/>
        </w:rPr>
        <w:t>账</w:t>
      </w:r>
      <w:r>
        <w:rPr>
          <w:rFonts w:hint="eastAsia" w:ascii="宋体" w:hAnsi="宋体" w:eastAsia="宋体" w:cs="宋体"/>
          <w:color w:val="auto"/>
          <w:kern w:val="0"/>
          <w:sz w:val="24"/>
          <w:szCs w:val="24"/>
          <w:lang w:bidi="ar"/>
        </w:rPr>
        <w:t xml:space="preserve">    </w:t>
      </w:r>
      <w:r>
        <w:rPr>
          <w:rFonts w:hint="eastAsia" w:ascii="宋体" w:hAnsi="宋体" w:eastAsia="宋体" w:cs="宋体"/>
          <w:snapToGrid w:val="0"/>
          <w:color w:val="auto"/>
          <w:kern w:val="0"/>
          <w:sz w:val="24"/>
          <w:szCs w:val="24"/>
          <w:lang w:bidi="ar"/>
        </w:rPr>
        <w:t>号：</w:t>
      </w:r>
      <w:r>
        <w:rPr>
          <w:rFonts w:hint="eastAsia" w:ascii="宋体" w:hAnsi="宋体" w:eastAsia="宋体" w:cs="宋体"/>
          <w:color w:val="auto"/>
          <w:w w:val="200"/>
          <w:kern w:val="0"/>
          <w:sz w:val="24"/>
          <w:szCs w:val="24"/>
          <w:u w:val="single"/>
          <w:lang w:bidi="ar"/>
        </w:rPr>
        <w:t xml:space="preserve"> </w:t>
      </w:r>
      <w:r>
        <w:rPr>
          <w:rFonts w:hint="eastAsia" w:ascii="宋体" w:hAnsi="宋体" w:eastAsia="宋体" w:cs="宋体"/>
          <w:color w:val="auto"/>
          <w:kern w:val="0"/>
          <w:sz w:val="24"/>
          <w:szCs w:val="24"/>
          <w:u w:val="single"/>
          <w:lang w:bidi="ar"/>
        </w:rPr>
        <w:t xml:space="preserve">                                          </w:t>
      </w:r>
    </w:p>
    <w:p w14:paraId="5FF19765">
      <w:pPr>
        <w:spacing w:line="440" w:lineRule="exact"/>
        <w:jc w:val="right"/>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bidi="ar"/>
        </w:rPr>
        <w:t xml:space="preserve"> </w:t>
      </w:r>
    </w:p>
    <w:p w14:paraId="6AFB5CC9">
      <w:pPr>
        <w:spacing w:line="440" w:lineRule="exact"/>
        <w:jc w:val="righ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bidi="ar"/>
        </w:rPr>
        <w:t>签约时间：</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年</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月</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日</w:t>
      </w:r>
      <w:bookmarkEnd w:id="348"/>
      <w:bookmarkStart w:id="349" w:name="_Toc529388289"/>
      <w:bookmarkStart w:id="350" w:name="_Toc57820638"/>
      <w:bookmarkStart w:id="351" w:name="_Toc532375586"/>
      <w:bookmarkStart w:id="352" w:name="_Toc532377179"/>
    </w:p>
    <w:p w14:paraId="74ECD5AF">
      <w:pPr>
        <w:widowControl/>
        <w:spacing w:line="440" w:lineRule="exact"/>
        <w:jc w:val="left"/>
        <w:rPr>
          <w:rFonts w:hint="eastAsia" w:ascii="宋体" w:hAnsi="宋体" w:eastAsia="宋体" w:cs="宋体"/>
          <w:b/>
          <w:color w:val="auto"/>
          <w:szCs w:val="28"/>
        </w:rPr>
      </w:pPr>
      <w:r>
        <w:rPr>
          <w:rFonts w:hint="eastAsia" w:ascii="宋体" w:hAnsi="宋体" w:eastAsia="宋体" w:cs="宋体"/>
          <w:b/>
          <w:color w:val="auto"/>
          <w:szCs w:val="28"/>
          <w:lang w:bidi="ar"/>
        </w:rPr>
        <w:br w:type="page"/>
      </w:r>
    </w:p>
    <w:p w14:paraId="6887F642">
      <w:pPr>
        <w:spacing w:line="440" w:lineRule="exact"/>
        <w:jc w:val="center"/>
        <w:rPr>
          <w:rFonts w:hint="eastAsia" w:ascii="宋体" w:hAnsi="宋体" w:eastAsia="宋体" w:cs="宋体"/>
          <w:b/>
          <w:color w:val="auto"/>
          <w:szCs w:val="28"/>
        </w:rPr>
      </w:pPr>
      <w:r>
        <w:rPr>
          <w:rFonts w:hint="eastAsia" w:ascii="宋体" w:hAnsi="宋体" w:eastAsia="宋体" w:cs="宋体"/>
          <w:b/>
          <w:color w:val="auto"/>
          <w:szCs w:val="28"/>
          <w:lang w:bidi="ar"/>
        </w:rPr>
        <w:t>第二部分 通用合同条款</w:t>
      </w:r>
      <w:bookmarkEnd w:id="349"/>
      <w:bookmarkEnd w:id="350"/>
      <w:bookmarkEnd w:id="351"/>
      <w:bookmarkEnd w:id="352"/>
    </w:p>
    <w:p w14:paraId="30896308">
      <w:pPr>
        <w:spacing w:line="440" w:lineRule="exact"/>
        <w:jc w:val="center"/>
        <w:rPr>
          <w:rFonts w:hint="eastAsia" w:ascii="宋体" w:hAnsi="宋体" w:eastAsia="宋体" w:cs="宋体"/>
          <w:b/>
          <w:color w:val="auto"/>
          <w:kern w:val="0"/>
          <w:sz w:val="20"/>
        </w:rPr>
      </w:pPr>
      <w:r>
        <w:rPr>
          <w:rStyle w:val="62"/>
          <w:rFonts w:hint="eastAsia" w:ascii="宋体" w:hAnsi="宋体" w:eastAsia="宋体" w:cs="宋体"/>
          <w:b/>
          <w:color w:val="auto"/>
          <w:kern w:val="0"/>
          <w:sz w:val="20"/>
          <w:lang w:bidi="ar"/>
        </w:rPr>
        <w:t>采用《建设工程施工合同</w:t>
      </w:r>
      <w:r>
        <w:rPr>
          <w:rStyle w:val="62"/>
          <w:rFonts w:hint="eastAsia" w:ascii="宋体" w:hAnsi="宋体" w:cs="宋体"/>
          <w:b/>
          <w:color w:val="auto"/>
          <w:kern w:val="0"/>
          <w:sz w:val="20"/>
          <w:lang w:eastAsia="zh-CN" w:bidi="ar"/>
        </w:rPr>
        <w:t>（</w:t>
      </w:r>
      <w:r>
        <w:rPr>
          <w:rStyle w:val="62"/>
          <w:rFonts w:hint="eastAsia" w:ascii="宋体" w:hAnsi="宋体" w:eastAsia="宋体" w:cs="宋体"/>
          <w:b/>
          <w:color w:val="auto"/>
          <w:kern w:val="0"/>
          <w:sz w:val="20"/>
          <w:lang w:bidi="ar"/>
        </w:rPr>
        <w:t>示范文本</w:t>
      </w:r>
      <w:r>
        <w:rPr>
          <w:rStyle w:val="62"/>
          <w:rFonts w:hint="eastAsia" w:ascii="宋体" w:hAnsi="宋体" w:cs="宋体"/>
          <w:b/>
          <w:color w:val="auto"/>
          <w:kern w:val="0"/>
          <w:sz w:val="20"/>
          <w:lang w:eastAsia="zh-CN" w:bidi="ar"/>
        </w:rPr>
        <w:t>）</w:t>
      </w:r>
      <w:r>
        <w:rPr>
          <w:rStyle w:val="62"/>
          <w:rFonts w:hint="eastAsia" w:ascii="宋体" w:hAnsi="宋体" w:eastAsia="宋体" w:cs="宋体"/>
          <w:b/>
          <w:color w:val="auto"/>
          <w:kern w:val="0"/>
          <w:sz w:val="20"/>
          <w:lang w:bidi="ar"/>
        </w:rPr>
        <w:t>》</w:t>
      </w:r>
      <w:r>
        <w:rPr>
          <w:rStyle w:val="62"/>
          <w:rFonts w:hint="eastAsia" w:ascii="宋体" w:hAnsi="宋体" w:cs="宋体"/>
          <w:b/>
          <w:color w:val="auto"/>
          <w:kern w:val="0"/>
          <w:sz w:val="20"/>
          <w:lang w:eastAsia="zh-CN" w:bidi="ar"/>
        </w:rPr>
        <w:t>（</w:t>
      </w:r>
      <w:r>
        <w:rPr>
          <w:rStyle w:val="62"/>
          <w:rFonts w:hint="eastAsia" w:ascii="宋体" w:hAnsi="宋体" w:eastAsia="宋体" w:cs="宋体"/>
          <w:b/>
          <w:color w:val="auto"/>
          <w:kern w:val="0"/>
          <w:sz w:val="20"/>
          <w:lang w:bidi="ar"/>
        </w:rPr>
        <w:t>GF-2013-0201</w:t>
      </w:r>
      <w:r>
        <w:rPr>
          <w:rStyle w:val="62"/>
          <w:rFonts w:hint="eastAsia" w:ascii="宋体" w:hAnsi="宋体" w:cs="宋体"/>
          <w:b/>
          <w:color w:val="auto"/>
          <w:kern w:val="0"/>
          <w:sz w:val="20"/>
          <w:lang w:eastAsia="zh-CN" w:bidi="ar"/>
        </w:rPr>
        <w:t>）</w:t>
      </w:r>
      <w:r>
        <w:rPr>
          <w:rStyle w:val="62"/>
          <w:rFonts w:hint="eastAsia" w:ascii="宋体" w:hAnsi="宋体" w:eastAsia="宋体" w:cs="宋体"/>
          <w:b/>
          <w:color w:val="auto"/>
          <w:kern w:val="0"/>
          <w:sz w:val="20"/>
          <w:lang w:bidi="ar"/>
        </w:rPr>
        <w:t>中的通用合同条款。（略）</w:t>
      </w:r>
    </w:p>
    <w:p w14:paraId="5291FCD1">
      <w:pPr>
        <w:widowControl/>
        <w:spacing w:line="440" w:lineRule="exact"/>
        <w:jc w:val="center"/>
        <w:rPr>
          <w:rFonts w:hint="eastAsia" w:ascii="宋体" w:hAnsi="宋体" w:eastAsia="宋体" w:cs="宋体"/>
          <w:b/>
          <w:color w:val="auto"/>
          <w:szCs w:val="28"/>
        </w:rPr>
      </w:pPr>
      <w:r>
        <w:rPr>
          <w:rFonts w:hint="eastAsia" w:ascii="宋体" w:hAnsi="宋体" w:eastAsia="宋体" w:cs="宋体"/>
          <w:b/>
          <w:color w:val="auto"/>
          <w:sz w:val="24"/>
          <w:szCs w:val="24"/>
          <w:lang w:val="zh-CN" w:bidi="ar"/>
        </w:rPr>
        <w:br w:type="page"/>
      </w:r>
      <w:bookmarkStart w:id="353" w:name="_Toc32602"/>
      <w:bookmarkStart w:id="354" w:name="_Toc532377320"/>
      <w:bookmarkStart w:id="355" w:name="_Toc532375607"/>
      <w:bookmarkStart w:id="356" w:name="_Toc57820639"/>
      <w:bookmarkStart w:id="357" w:name="_Toc529388290"/>
      <w:r>
        <w:rPr>
          <w:rFonts w:hint="eastAsia" w:ascii="宋体" w:hAnsi="宋体" w:eastAsia="宋体" w:cs="宋体"/>
          <w:b/>
          <w:color w:val="auto"/>
          <w:szCs w:val="28"/>
          <w:lang w:bidi="ar"/>
        </w:rPr>
        <w:t>第三部分 专用合同条款</w:t>
      </w:r>
      <w:bookmarkEnd w:id="353"/>
      <w:bookmarkEnd w:id="354"/>
      <w:bookmarkEnd w:id="355"/>
      <w:bookmarkEnd w:id="356"/>
      <w:bookmarkEnd w:id="357"/>
    </w:p>
    <w:p w14:paraId="7AC428D7">
      <w:pPr>
        <w:keepNext/>
        <w:keepLines/>
        <w:spacing w:before="120" w:beforeLines="50" w:after="120" w:afterLines="50" w:line="440" w:lineRule="exact"/>
        <w:outlineLvl w:val="3"/>
        <w:rPr>
          <w:rFonts w:hint="eastAsia" w:ascii="宋体" w:hAnsi="宋体" w:eastAsia="宋体" w:cs="宋体"/>
          <w:b/>
          <w:color w:val="auto"/>
          <w:sz w:val="24"/>
          <w:szCs w:val="24"/>
        </w:rPr>
      </w:pPr>
      <w:bookmarkStart w:id="358" w:name="_Toc532375608"/>
      <w:bookmarkStart w:id="359" w:name="_Toc532377321"/>
      <w:bookmarkStart w:id="360" w:name="_Toc351203633"/>
      <w:bookmarkStart w:id="361" w:name="_Hlk528927191"/>
      <w:r>
        <w:rPr>
          <w:rFonts w:hint="eastAsia" w:ascii="宋体" w:hAnsi="宋体" w:eastAsia="宋体" w:cs="宋体"/>
          <w:b/>
          <w:color w:val="auto"/>
          <w:sz w:val="24"/>
          <w:szCs w:val="24"/>
          <w:lang w:bidi="ar"/>
        </w:rPr>
        <w:t>1</w:t>
      </w:r>
      <w:bookmarkStart w:id="362" w:name="_Toc296347155"/>
      <w:bookmarkStart w:id="363" w:name="_Toc297120456"/>
      <w:bookmarkStart w:id="364" w:name="_Toc292559361"/>
      <w:bookmarkStart w:id="365" w:name="_Toc292559866"/>
      <w:bookmarkStart w:id="366" w:name="_Toc296890984"/>
      <w:bookmarkStart w:id="367" w:name="_Toc296944495"/>
      <w:bookmarkStart w:id="368" w:name="_Toc296891196"/>
      <w:bookmarkStart w:id="369" w:name="_Toc297048342"/>
      <w:bookmarkStart w:id="370" w:name="_Toc296346657"/>
      <w:bookmarkStart w:id="371" w:name="_Toc296503156"/>
      <w:r>
        <w:rPr>
          <w:rFonts w:hint="eastAsia" w:ascii="宋体" w:hAnsi="宋体" w:eastAsia="宋体" w:cs="宋体"/>
          <w:b/>
          <w:color w:val="auto"/>
          <w:sz w:val="24"/>
          <w:szCs w:val="24"/>
          <w:lang w:bidi="ar"/>
        </w:rPr>
        <w:t>. 一般约定</w:t>
      </w:r>
      <w:bookmarkEnd w:id="358"/>
      <w:bookmarkEnd w:id="359"/>
      <w:bookmarkEnd w:id="360"/>
    </w:p>
    <w:bookmarkEnd w:id="362"/>
    <w:bookmarkEnd w:id="363"/>
    <w:bookmarkEnd w:id="364"/>
    <w:bookmarkEnd w:id="365"/>
    <w:bookmarkEnd w:id="366"/>
    <w:bookmarkEnd w:id="367"/>
    <w:bookmarkEnd w:id="368"/>
    <w:bookmarkEnd w:id="369"/>
    <w:bookmarkEnd w:id="370"/>
    <w:bookmarkEnd w:id="371"/>
    <w:p w14:paraId="13011F05">
      <w:pPr>
        <w:keepNext/>
        <w:keepLines/>
        <w:tabs>
          <w:tab w:val="left" w:pos="2551"/>
        </w:tabs>
        <w:spacing w:line="440" w:lineRule="exact"/>
        <w:outlineLvl w:val="4"/>
        <w:rPr>
          <w:rFonts w:hint="eastAsia" w:ascii="宋体" w:hAnsi="宋体" w:eastAsia="宋体" w:cs="宋体"/>
          <w:b/>
          <w:color w:val="auto"/>
          <w:sz w:val="24"/>
          <w:szCs w:val="24"/>
        </w:rPr>
      </w:pPr>
      <w:bookmarkStart w:id="372" w:name="_Toc532377322"/>
      <w:r>
        <w:rPr>
          <w:rFonts w:hint="eastAsia" w:ascii="宋体" w:hAnsi="宋体" w:eastAsia="宋体" w:cs="宋体"/>
          <w:b/>
          <w:color w:val="auto"/>
          <w:sz w:val="24"/>
          <w:szCs w:val="24"/>
          <w:lang w:bidi="ar"/>
        </w:rPr>
        <w:t>1.1词语定义与解释</w:t>
      </w:r>
      <w:bookmarkEnd w:id="372"/>
    </w:p>
    <w:p w14:paraId="3B5523BA">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1.1.1 合同</w:t>
      </w:r>
    </w:p>
    <w:p w14:paraId="306A55E1">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1.1.1.6技术标准和要求：</w:t>
      </w:r>
      <w:r>
        <w:rPr>
          <w:rFonts w:hint="eastAsia" w:ascii="宋体" w:hAnsi="宋体" w:eastAsia="宋体" w:cs="宋体"/>
          <w:color w:val="auto"/>
          <w:kern w:val="0"/>
          <w:sz w:val="24"/>
          <w:szCs w:val="24"/>
          <w:u w:val="single"/>
          <w:lang w:bidi="ar"/>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eastAsia="宋体" w:cs="宋体"/>
          <w:color w:val="auto"/>
          <w:kern w:val="0"/>
          <w:sz w:val="24"/>
          <w:szCs w:val="24"/>
          <w:lang w:bidi="ar"/>
        </w:rPr>
        <w:t>。</w:t>
      </w:r>
    </w:p>
    <w:p w14:paraId="7BDE72E6">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1.1.1.8 已标价工程量清单：</w:t>
      </w:r>
      <w:r>
        <w:rPr>
          <w:rFonts w:hint="eastAsia" w:ascii="宋体" w:hAnsi="宋体" w:eastAsia="宋体" w:cs="宋体"/>
          <w:color w:val="auto"/>
          <w:kern w:val="0"/>
          <w:sz w:val="24"/>
          <w:szCs w:val="24"/>
          <w:u w:val="single"/>
          <w:lang w:bidi="ar"/>
        </w:rPr>
        <w:t>指构成合同的由承包人按照发包人规定的格式和要求填写并标明价格、经算术性错误修订及其他错误修订（如有）且承包人已确认的工程量清单</w:t>
      </w:r>
      <w:r>
        <w:rPr>
          <w:rFonts w:hint="eastAsia" w:ascii="宋体" w:hAnsi="宋体" w:eastAsia="宋体" w:cs="宋体"/>
          <w:color w:val="auto"/>
          <w:kern w:val="0"/>
          <w:sz w:val="24"/>
          <w:szCs w:val="24"/>
          <w:lang w:bidi="ar"/>
        </w:rPr>
        <w:t>。</w:t>
      </w:r>
    </w:p>
    <w:p w14:paraId="2213A3EC">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1.1.1.10 其他合同文件包括：</w:t>
      </w:r>
      <w:r>
        <w:rPr>
          <w:rFonts w:hint="eastAsia" w:ascii="宋体" w:hAnsi="宋体" w:eastAsia="宋体" w:cs="宋体"/>
          <w:color w:val="auto"/>
          <w:kern w:val="0"/>
          <w:sz w:val="24"/>
          <w:szCs w:val="24"/>
          <w:u w:val="single"/>
          <w:lang w:bidi="ar"/>
        </w:rPr>
        <w:t>按照合同协议书</w:t>
      </w:r>
      <w:r>
        <w:rPr>
          <w:rFonts w:hint="eastAsia" w:ascii="宋体" w:hAnsi="宋体" w:eastAsia="宋体" w:cs="宋体"/>
          <w:bCs/>
          <w:color w:val="auto"/>
          <w:kern w:val="0"/>
          <w:sz w:val="24"/>
          <w:szCs w:val="24"/>
          <w:u w:val="single"/>
          <w:lang w:bidi="ar"/>
        </w:rPr>
        <w:t>〔</w:t>
      </w:r>
      <w:r>
        <w:rPr>
          <w:rFonts w:hint="eastAsia" w:ascii="宋体" w:hAnsi="宋体" w:eastAsia="宋体" w:cs="宋体"/>
          <w:color w:val="auto"/>
          <w:kern w:val="0"/>
          <w:sz w:val="24"/>
          <w:szCs w:val="24"/>
          <w:u w:val="single"/>
          <w:lang w:bidi="ar"/>
        </w:rPr>
        <w:t>第六条</w:t>
      </w:r>
      <w:r>
        <w:rPr>
          <w:rFonts w:hint="eastAsia" w:ascii="宋体" w:hAnsi="宋体" w:eastAsia="宋体" w:cs="宋体"/>
          <w:bCs/>
          <w:color w:val="auto"/>
          <w:kern w:val="0"/>
          <w:sz w:val="24"/>
          <w:szCs w:val="24"/>
          <w:u w:val="single"/>
          <w:lang w:bidi="ar"/>
        </w:rPr>
        <w:t>〕</w:t>
      </w:r>
      <w:r>
        <w:rPr>
          <w:rFonts w:hint="eastAsia" w:ascii="宋体" w:hAnsi="宋体" w:eastAsia="宋体" w:cs="宋体"/>
          <w:color w:val="auto"/>
          <w:kern w:val="0"/>
          <w:sz w:val="24"/>
          <w:szCs w:val="24"/>
          <w:u w:val="single"/>
          <w:lang w:bidi="ar"/>
        </w:rPr>
        <w:t>约定执行</w:t>
      </w:r>
      <w:r>
        <w:rPr>
          <w:rFonts w:hint="eastAsia" w:ascii="宋体" w:hAnsi="宋体" w:eastAsia="宋体" w:cs="宋体"/>
          <w:color w:val="auto"/>
          <w:kern w:val="0"/>
          <w:sz w:val="24"/>
          <w:szCs w:val="24"/>
          <w:lang w:bidi="ar"/>
        </w:rPr>
        <w:t>。</w:t>
      </w:r>
    </w:p>
    <w:p w14:paraId="464B61B2">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本项补充1.1.1.11～1.1.1.16目：</w:t>
      </w:r>
    </w:p>
    <w:p w14:paraId="541DA2B4">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1.1.1.11 竞争性磋商文件：</w:t>
      </w:r>
      <w:r>
        <w:rPr>
          <w:rFonts w:hint="eastAsia" w:ascii="宋体" w:hAnsi="宋体" w:eastAsia="宋体" w:cs="宋体"/>
          <w:color w:val="auto"/>
          <w:kern w:val="0"/>
          <w:sz w:val="24"/>
          <w:szCs w:val="24"/>
          <w:u w:val="single"/>
          <w:lang w:bidi="ar"/>
        </w:rPr>
        <w:t>指本工程的竞争性磋商文件、图纸、其他技术资料及采购人发出的对竞争性磋商文件所作的澄清、修改等资料</w:t>
      </w:r>
      <w:r>
        <w:rPr>
          <w:rFonts w:hint="eastAsia" w:ascii="宋体" w:hAnsi="宋体" w:eastAsia="宋体" w:cs="宋体"/>
          <w:color w:val="auto"/>
          <w:kern w:val="0"/>
          <w:sz w:val="24"/>
          <w:szCs w:val="24"/>
          <w:lang w:bidi="ar"/>
        </w:rPr>
        <w:t>。</w:t>
      </w:r>
    </w:p>
    <w:p w14:paraId="1A9078B7">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1.1.1.12 工作：</w:t>
      </w:r>
      <w:r>
        <w:rPr>
          <w:rFonts w:hint="eastAsia" w:ascii="宋体" w:hAnsi="宋体" w:eastAsia="宋体" w:cs="宋体"/>
          <w:color w:val="auto"/>
          <w:kern w:val="0"/>
          <w:sz w:val="24"/>
          <w:szCs w:val="24"/>
          <w:u w:val="single"/>
          <w:lang w:bidi="ar"/>
        </w:rPr>
        <w:t>指根据合同条款规定，或根据合同合理推及的，为本工程（包括永久工程和临时工程）施工与维护所需要的管理、劳务、材料、施工设备和其他物品的提供</w:t>
      </w:r>
      <w:r>
        <w:rPr>
          <w:rFonts w:hint="eastAsia" w:ascii="宋体" w:hAnsi="宋体" w:eastAsia="宋体" w:cs="宋体"/>
          <w:color w:val="auto"/>
          <w:kern w:val="0"/>
          <w:sz w:val="24"/>
          <w:szCs w:val="24"/>
          <w:lang w:bidi="ar"/>
        </w:rPr>
        <w:t>。</w:t>
      </w:r>
    </w:p>
    <w:p w14:paraId="1A3F2CA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1.1.1.13 重大设计变更：按照规定需要重新报建设行政主管部门批准的设计变更。</w:t>
      </w:r>
    </w:p>
    <w:p w14:paraId="601D91F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1.1.1.14 公章：专指法定单位名称章。</w:t>
      </w:r>
    </w:p>
    <w:bookmarkEnd w:id="361"/>
    <w:p w14:paraId="093E3A4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1.1.1.15 到岗：指承包人按照到岗履职承诺安排满足办理施工许可手续相关要求的项目主要管理人员实际到施工现场就职履约的行为。</w:t>
      </w:r>
    </w:p>
    <w:p w14:paraId="58D7A99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1.1.1.16 项目法人：指具有民事权利能力和民事行为能力，依法独立享有民事权利和承担民事义务，以建设项目为目的，从事项目管理的机构、单位或组织。</w:t>
      </w:r>
    </w:p>
    <w:p w14:paraId="7EF961F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1.1.2 合同当事人及其他相关方</w:t>
      </w:r>
    </w:p>
    <w:p w14:paraId="1C8C6BC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1.1.2.4 监理人：</w:t>
      </w:r>
    </w:p>
    <w:p w14:paraId="2796897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名    称：</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415DAAD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资质类别和等级：</w:t>
      </w:r>
      <w:r>
        <w:rPr>
          <w:rFonts w:hint="eastAsia" w:ascii="宋体" w:hAnsi="宋体" w:eastAsia="宋体" w:cs="宋体"/>
          <w:color w:val="auto"/>
          <w:sz w:val="24"/>
          <w:szCs w:val="24"/>
          <w:u w:val="single"/>
          <w:lang w:bidi="ar"/>
        </w:rPr>
        <w:t></w:t>
      </w:r>
      <w:r>
        <w:rPr>
          <w:rFonts w:hint="eastAsia" w:ascii="宋体" w:hAnsi="宋体" w:eastAsia="宋体" w:cs="宋体"/>
          <w:color w:val="auto"/>
          <w:sz w:val="24"/>
          <w:szCs w:val="24"/>
          <w:lang w:bidi="ar"/>
        </w:rPr>
        <w:t>；</w:t>
      </w:r>
    </w:p>
    <w:p w14:paraId="6D409EF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联系方式：</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5F1AD49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1.1.2.5 设计人：</w:t>
      </w:r>
    </w:p>
    <w:p w14:paraId="66B02E6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名    称：</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1F0085A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资质类别和等级：</w:t>
      </w:r>
      <w:r>
        <w:rPr>
          <w:rFonts w:hint="eastAsia" w:ascii="宋体" w:hAnsi="宋体" w:eastAsia="宋体" w:cs="宋体"/>
          <w:color w:val="auto"/>
          <w:sz w:val="24"/>
          <w:szCs w:val="24"/>
          <w:u w:val="single"/>
          <w:lang w:bidi="ar"/>
        </w:rPr>
        <w:t></w:t>
      </w:r>
      <w:r>
        <w:rPr>
          <w:rFonts w:hint="eastAsia" w:ascii="宋体" w:hAnsi="宋体" w:eastAsia="宋体" w:cs="宋体"/>
          <w:color w:val="auto"/>
          <w:sz w:val="24"/>
          <w:szCs w:val="24"/>
          <w:lang w:bidi="ar"/>
        </w:rPr>
        <w:t>；</w:t>
      </w:r>
    </w:p>
    <w:p w14:paraId="5E76D4E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联系方式：</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C87F08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1.1.3 工程和设备</w:t>
      </w:r>
    </w:p>
    <w:p w14:paraId="25AC5035">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1.1.3.7 作为施工现场组成部分的其他场所包括：</w:t>
      </w:r>
      <w:r>
        <w:rPr>
          <w:rFonts w:hint="eastAsia" w:ascii="宋体" w:hAnsi="宋体" w:eastAsia="宋体" w:cs="宋体"/>
          <w:color w:val="auto"/>
          <w:kern w:val="0"/>
          <w:sz w:val="24"/>
          <w:szCs w:val="24"/>
          <w:u w:val="single"/>
          <w:lang w:bidi="ar"/>
        </w:rPr>
        <w:t>永久占地、临时占地以及为修建临时工程而租用、占用的土地</w:t>
      </w:r>
      <w:r>
        <w:rPr>
          <w:rFonts w:hint="eastAsia" w:ascii="宋体" w:hAnsi="宋体" w:eastAsia="宋体" w:cs="宋体"/>
          <w:color w:val="auto"/>
          <w:kern w:val="0"/>
          <w:sz w:val="24"/>
          <w:szCs w:val="24"/>
          <w:lang w:bidi="ar"/>
        </w:rPr>
        <w:t>。</w:t>
      </w:r>
    </w:p>
    <w:p w14:paraId="6CBAE960">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1.1.3.9 永久占地包括：</w:t>
      </w:r>
      <w:r>
        <w:rPr>
          <w:rFonts w:hint="eastAsia" w:ascii="宋体" w:hAnsi="宋体" w:eastAsia="宋体" w:cs="宋体"/>
          <w:color w:val="auto"/>
          <w:kern w:val="0"/>
          <w:sz w:val="24"/>
          <w:szCs w:val="24"/>
          <w:u w:val="single"/>
          <w:lang w:bidi="ar"/>
        </w:rPr>
        <w:t>为实施合同工程而需要的一切永久占用的土地，即合同工程用地红线范围内的土地</w:t>
      </w:r>
      <w:r>
        <w:rPr>
          <w:rFonts w:hint="eastAsia" w:ascii="宋体" w:hAnsi="宋体" w:eastAsia="宋体" w:cs="宋体"/>
          <w:color w:val="auto"/>
          <w:kern w:val="0"/>
          <w:sz w:val="24"/>
          <w:szCs w:val="24"/>
          <w:lang w:bidi="ar"/>
        </w:rPr>
        <w:t>。</w:t>
      </w:r>
    </w:p>
    <w:p w14:paraId="7D7C88B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1.1.3.10 临时占地包括：</w:t>
      </w:r>
      <w:r>
        <w:rPr>
          <w:rFonts w:hint="eastAsia" w:ascii="宋体" w:hAnsi="宋体" w:eastAsia="宋体" w:cs="宋体"/>
          <w:color w:val="auto"/>
          <w:sz w:val="24"/>
          <w:szCs w:val="24"/>
          <w:u w:val="single"/>
          <w:lang w:bidi="ar"/>
        </w:rPr>
        <w:t>为实施合同工程而需要</w:t>
      </w:r>
      <w:r>
        <w:rPr>
          <w:rFonts w:hint="eastAsia" w:ascii="宋体" w:hAnsi="宋体" w:eastAsia="宋体" w:cs="宋体"/>
          <w:color w:val="auto"/>
          <w:kern w:val="0"/>
          <w:sz w:val="24"/>
          <w:szCs w:val="24"/>
          <w:u w:val="single"/>
          <w:lang w:bidi="ar"/>
        </w:rPr>
        <w:t>的一切临时占用的土地，包括施工所用的临时便道等的临时出入道，以及生产（办公）、生活等临时设施用地</w:t>
      </w:r>
      <w:r>
        <w:rPr>
          <w:rFonts w:hint="eastAsia" w:ascii="宋体" w:hAnsi="宋体" w:eastAsia="宋体" w:cs="宋体"/>
          <w:color w:val="auto"/>
          <w:sz w:val="24"/>
          <w:szCs w:val="24"/>
          <w:lang w:bidi="ar"/>
        </w:rPr>
        <w:t>。</w:t>
      </w:r>
    </w:p>
    <w:p w14:paraId="53814A5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1.1.6 其他</w:t>
      </w:r>
    </w:p>
    <w:p w14:paraId="06946A13">
      <w:pPr>
        <w:spacing w:line="440" w:lineRule="exact"/>
        <w:ind w:firstLine="480" w:firstLineChars="200"/>
        <w:jc w:val="left"/>
        <w:rPr>
          <w:rFonts w:hint="eastAsia" w:ascii="宋体" w:hAnsi="宋体" w:eastAsia="宋体" w:cs="宋体"/>
          <w:color w:val="auto"/>
          <w:sz w:val="24"/>
          <w:szCs w:val="24"/>
        </w:rPr>
      </w:pPr>
      <w:bookmarkStart w:id="373" w:name="_Hlk528927262"/>
      <w:r>
        <w:rPr>
          <w:rFonts w:hint="eastAsia" w:ascii="宋体" w:hAnsi="宋体" w:eastAsia="宋体" w:cs="宋体"/>
          <w:color w:val="auto"/>
          <w:sz w:val="24"/>
          <w:szCs w:val="24"/>
          <w:lang w:bidi="ar"/>
        </w:rPr>
        <w:t>本项补充1.1.6.2～1.1.6.3目：</w:t>
      </w:r>
    </w:p>
    <w:p w14:paraId="1E93F37F">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1.1.6.2 转包、违法分包及挂靠：指符合《住房和城乡建设部关于印发建筑工程施工发包与承包违法行为认定查处管理办法的通知》（建市规〔2019〕1号）规定认定条件的</w:t>
      </w:r>
      <w:r>
        <w:rPr>
          <w:rFonts w:hint="eastAsia" w:ascii="宋体" w:hAnsi="宋体" w:eastAsia="宋体" w:cs="宋体"/>
          <w:color w:val="auto"/>
          <w:kern w:val="0"/>
          <w:sz w:val="24"/>
          <w:szCs w:val="24"/>
          <w:lang w:bidi="ar"/>
        </w:rPr>
        <w:t>违法行为。</w:t>
      </w:r>
    </w:p>
    <w:bookmarkEnd w:id="373"/>
    <w:p w14:paraId="2ED2EB3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47DCED8B">
      <w:pPr>
        <w:keepNext/>
        <w:keepLines/>
        <w:tabs>
          <w:tab w:val="left" w:pos="2551"/>
        </w:tabs>
        <w:spacing w:line="440" w:lineRule="exact"/>
        <w:outlineLvl w:val="4"/>
        <w:rPr>
          <w:rFonts w:hint="eastAsia" w:ascii="宋体" w:hAnsi="宋体" w:eastAsia="宋体" w:cs="宋体"/>
          <w:b/>
          <w:color w:val="auto"/>
          <w:sz w:val="24"/>
          <w:szCs w:val="24"/>
        </w:rPr>
      </w:pPr>
      <w:bookmarkStart w:id="374" w:name="_Toc532377323"/>
      <w:r>
        <w:rPr>
          <w:rFonts w:hint="eastAsia" w:ascii="宋体" w:hAnsi="宋体" w:eastAsia="宋体" w:cs="宋体"/>
          <w:b/>
          <w:color w:val="auto"/>
          <w:sz w:val="24"/>
          <w:szCs w:val="24"/>
          <w:lang w:bidi="ar"/>
        </w:rPr>
        <w:t>1.4 标准和规范</w:t>
      </w:r>
      <w:bookmarkEnd w:id="374"/>
    </w:p>
    <w:p w14:paraId="7B0DB4A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1.4.1 适用于工程的标准规范包括：</w:t>
      </w:r>
    </w:p>
    <w:p w14:paraId="1066EE8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（1）施工图所涉及的技术标准、规范、规程、图集等；</w:t>
      </w:r>
    </w:p>
    <w:p w14:paraId="5A4D8B7B">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（2）国家、行业或重庆市与本工程有关的标准，以及相应的规范、规程等，当这些标准、规范、规程不一致时，以标准、规范、规程要求最高的为准。</w:t>
      </w:r>
    </w:p>
    <w:p w14:paraId="76FBCFA3">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cs="宋体"/>
          <w:color w:val="auto"/>
          <w:sz w:val="24"/>
          <w:szCs w:val="24"/>
          <w:lang w:eastAsia="zh-CN" w:bidi="ar"/>
        </w:rPr>
        <w:t>(</w:t>
      </w:r>
      <w:r>
        <w:rPr>
          <w:rFonts w:hint="eastAsia" w:ascii="宋体" w:hAnsi="宋体" w:eastAsia="宋体" w:cs="宋体"/>
          <w:color w:val="auto"/>
          <w:sz w:val="24"/>
          <w:szCs w:val="24"/>
          <w:lang w:bidi="ar"/>
        </w:rPr>
        <w:t>3</w:t>
      </w:r>
      <w:r>
        <w:rPr>
          <w:rFonts w:hint="eastAsia" w:ascii="宋体" w:hAnsi="宋体" w:cs="宋体"/>
          <w:color w:val="auto"/>
          <w:sz w:val="24"/>
          <w:szCs w:val="24"/>
          <w:lang w:eastAsia="zh-CN" w:bidi="ar"/>
        </w:rPr>
        <w:t>)</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54894A23">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1.4.2 发包人提供国外标准、规范的名称：</w:t>
      </w:r>
      <w:r>
        <w:rPr>
          <w:rFonts w:hint="eastAsia" w:ascii="宋体" w:hAnsi="宋体" w:eastAsia="宋体" w:cs="宋体"/>
          <w:color w:val="auto"/>
          <w:kern w:val="0"/>
          <w:sz w:val="24"/>
          <w:szCs w:val="24"/>
          <w:u w:val="single"/>
          <w:lang w:bidi="ar"/>
        </w:rPr>
        <w:t xml:space="preserve"> / </w:t>
      </w:r>
      <w:r>
        <w:rPr>
          <w:rFonts w:hint="eastAsia" w:ascii="宋体" w:hAnsi="宋体" w:eastAsia="宋体" w:cs="宋体"/>
          <w:color w:val="auto"/>
          <w:kern w:val="0"/>
          <w:sz w:val="24"/>
          <w:szCs w:val="24"/>
          <w:lang w:bidi="ar"/>
        </w:rPr>
        <w:t>；</w:t>
      </w:r>
    </w:p>
    <w:p w14:paraId="6EF48948">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发包人提供国外标准、规范的份数：</w:t>
      </w:r>
      <w:r>
        <w:rPr>
          <w:rFonts w:hint="eastAsia" w:ascii="宋体" w:hAnsi="宋体" w:eastAsia="宋体" w:cs="宋体"/>
          <w:color w:val="auto"/>
          <w:kern w:val="0"/>
          <w:sz w:val="24"/>
          <w:szCs w:val="24"/>
          <w:u w:val="single"/>
          <w:lang w:bidi="ar"/>
        </w:rPr>
        <w:t xml:space="preserve"> / </w:t>
      </w:r>
      <w:r>
        <w:rPr>
          <w:rFonts w:hint="eastAsia" w:ascii="宋体" w:hAnsi="宋体" w:eastAsia="宋体" w:cs="宋体"/>
          <w:color w:val="auto"/>
          <w:kern w:val="0"/>
          <w:sz w:val="24"/>
          <w:szCs w:val="24"/>
          <w:lang w:bidi="ar"/>
        </w:rPr>
        <w:t>；</w:t>
      </w:r>
    </w:p>
    <w:p w14:paraId="30285C91">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发包人提供国外标准、规范的名称：</w:t>
      </w:r>
      <w:r>
        <w:rPr>
          <w:rFonts w:hint="eastAsia" w:ascii="宋体" w:hAnsi="宋体" w:eastAsia="宋体" w:cs="宋体"/>
          <w:color w:val="auto"/>
          <w:kern w:val="0"/>
          <w:sz w:val="24"/>
          <w:szCs w:val="24"/>
          <w:u w:val="single"/>
          <w:lang w:bidi="ar"/>
        </w:rPr>
        <w:t xml:space="preserve"> / </w:t>
      </w:r>
      <w:r>
        <w:rPr>
          <w:rFonts w:hint="eastAsia" w:ascii="宋体" w:hAnsi="宋体" w:eastAsia="宋体" w:cs="宋体"/>
          <w:color w:val="auto"/>
          <w:kern w:val="0"/>
          <w:sz w:val="24"/>
          <w:szCs w:val="24"/>
          <w:lang w:bidi="ar"/>
        </w:rPr>
        <w:t>。</w:t>
      </w:r>
    </w:p>
    <w:p w14:paraId="56FDEB5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1.4.3 发包人对工程的技术标准和功能要求的特殊要求：</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sz w:val="24"/>
          <w:szCs w:val="24"/>
          <w:lang w:bidi="ar"/>
        </w:rPr>
        <w:t>。</w:t>
      </w:r>
    </w:p>
    <w:p w14:paraId="19834044">
      <w:pPr>
        <w:keepNext/>
        <w:keepLines/>
        <w:tabs>
          <w:tab w:val="left" w:pos="2551"/>
        </w:tabs>
        <w:spacing w:line="440" w:lineRule="exact"/>
        <w:outlineLvl w:val="4"/>
        <w:rPr>
          <w:rFonts w:hint="eastAsia" w:ascii="宋体" w:hAnsi="宋体" w:eastAsia="宋体" w:cs="宋体"/>
          <w:b/>
          <w:color w:val="auto"/>
          <w:sz w:val="24"/>
          <w:szCs w:val="24"/>
        </w:rPr>
      </w:pPr>
      <w:bookmarkStart w:id="375" w:name="_Toc532377324"/>
      <w:r>
        <w:rPr>
          <w:rFonts w:hint="eastAsia" w:ascii="宋体" w:hAnsi="宋体" w:eastAsia="宋体" w:cs="宋体"/>
          <w:b/>
          <w:color w:val="auto"/>
          <w:sz w:val="24"/>
          <w:szCs w:val="24"/>
          <w:lang w:bidi="ar"/>
        </w:rPr>
        <w:t>1.5 合同文件的优先顺序</w:t>
      </w:r>
      <w:bookmarkEnd w:id="375"/>
    </w:p>
    <w:p w14:paraId="0A1AA5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合同文件组成及优先顺序为：</w:t>
      </w:r>
      <w:r>
        <w:rPr>
          <w:rFonts w:hint="eastAsia" w:ascii="宋体" w:hAnsi="宋体" w:eastAsia="宋体" w:cs="宋体"/>
          <w:color w:val="auto"/>
          <w:sz w:val="24"/>
          <w:szCs w:val="24"/>
          <w:u w:val="single"/>
          <w:lang w:bidi="ar"/>
        </w:rPr>
        <w:t>按照合同协议书</w:t>
      </w:r>
      <w:r>
        <w:rPr>
          <w:rFonts w:hint="eastAsia" w:ascii="宋体" w:hAnsi="宋体" w:eastAsia="宋体" w:cs="宋体"/>
          <w:bCs/>
          <w:color w:val="auto"/>
          <w:sz w:val="24"/>
          <w:szCs w:val="24"/>
          <w:u w:val="single"/>
          <w:lang w:bidi="ar"/>
        </w:rPr>
        <w:t>〔</w:t>
      </w:r>
      <w:r>
        <w:rPr>
          <w:rFonts w:hint="eastAsia" w:ascii="宋体" w:hAnsi="宋体" w:eastAsia="宋体" w:cs="宋体"/>
          <w:color w:val="auto"/>
          <w:sz w:val="24"/>
          <w:szCs w:val="24"/>
          <w:u w:val="single"/>
          <w:lang w:bidi="ar"/>
        </w:rPr>
        <w:t>第六条</w:t>
      </w:r>
      <w:r>
        <w:rPr>
          <w:rFonts w:hint="eastAsia" w:ascii="宋体" w:hAnsi="宋体" w:eastAsia="宋体" w:cs="宋体"/>
          <w:bCs/>
          <w:color w:val="auto"/>
          <w:sz w:val="24"/>
          <w:szCs w:val="24"/>
          <w:u w:val="single"/>
          <w:lang w:bidi="ar"/>
        </w:rPr>
        <w:t>〕</w:t>
      </w:r>
      <w:r>
        <w:rPr>
          <w:rFonts w:hint="eastAsia" w:ascii="宋体" w:hAnsi="宋体" w:eastAsia="宋体" w:cs="宋体"/>
          <w:color w:val="auto"/>
          <w:sz w:val="24"/>
          <w:szCs w:val="24"/>
          <w:u w:val="single"/>
          <w:lang w:bidi="ar"/>
        </w:rPr>
        <w:t>约定执行</w:t>
      </w:r>
      <w:r>
        <w:rPr>
          <w:rFonts w:hint="eastAsia" w:ascii="宋体" w:hAnsi="宋体" w:eastAsia="宋体" w:cs="宋体"/>
          <w:color w:val="auto"/>
          <w:sz w:val="24"/>
          <w:szCs w:val="24"/>
          <w:lang w:bidi="ar"/>
        </w:rPr>
        <w:t>。</w:t>
      </w:r>
    </w:p>
    <w:p w14:paraId="7ABA1CF5">
      <w:pPr>
        <w:keepNext/>
        <w:keepLines/>
        <w:tabs>
          <w:tab w:val="left" w:pos="2551"/>
        </w:tabs>
        <w:spacing w:line="440" w:lineRule="exact"/>
        <w:outlineLvl w:val="4"/>
        <w:rPr>
          <w:rFonts w:hint="eastAsia" w:ascii="宋体" w:hAnsi="宋体" w:eastAsia="宋体" w:cs="宋体"/>
          <w:b/>
          <w:color w:val="auto"/>
          <w:sz w:val="24"/>
          <w:szCs w:val="24"/>
        </w:rPr>
      </w:pPr>
      <w:bookmarkStart w:id="376" w:name="_Toc532377325"/>
      <w:r>
        <w:rPr>
          <w:rFonts w:hint="eastAsia" w:ascii="宋体" w:hAnsi="宋体" w:eastAsia="宋体" w:cs="宋体"/>
          <w:b/>
          <w:color w:val="auto"/>
          <w:sz w:val="24"/>
          <w:szCs w:val="24"/>
          <w:lang w:bidi="ar"/>
        </w:rPr>
        <w:t>1.6 图纸和承包人文件</w:t>
      </w:r>
      <w:bookmarkEnd w:id="376"/>
    </w:p>
    <w:p w14:paraId="03A840F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1.6.1 图纸的提供和交底</w:t>
      </w:r>
    </w:p>
    <w:p w14:paraId="6D6994D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发包人向承包人提供图纸的期限：</w:t>
      </w:r>
      <w:r>
        <w:rPr>
          <w:rFonts w:hint="eastAsia" w:ascii="宋体" w:hAnsi="宋体" w:eastAsia="宋体" w:cs="宋体"/>
          <w:color w:val="auto"/>
          <w:sz w:val="24"/>
          <w:szCs w:val="24"/>
          <w:u w:val="single"/>
          <w:lang w:bidi="ar"/>
        </w:rPr>
        <w:t>通用合同条款第7.3.2款</w:t>
      </w:r>
      <w:r>
        <w:rPr>
          <w:rFonts w:hint="eastAsia" w:ascii="宋体" w:hAnsi="宋体" w:eastAsia="宋体" w:cs="宋体"/>
          <w:bCs/>
          <w:color w:val="auto"/>
          <w:sz w:val="24"/>
          <w:szCs w:val="24"/>
          <w:u w:val="single"/>
          <w:lang w:bidi="ar"/>
        </w:rPr>
        <w:t>〔</w:t>
      </w:r>
      <w:r>
        <w:rPr>
          <w:rFonts w:hint="eastAsia" w:ascii="宋体" w:hAnsi="宋体" w:eastAsia="宋体" w:cs="宋体"/>
          <w:color w:val="auto"/>
          <w:sz w:val="24"/>
          <w:szCs w:val="24"/>
          <w:u w:val="single"/>
          <w:lang w:bidi="ar"/>
        </w:rPr>
        <w:t>开工通知</w:t>
      </w:r>
      <w:r>
        <w:rPr>
          <w:rFonts w:hint="eastAsia" w:ascii="宋体" w:hAnsi="宋体" w:eastAsia="宋体" w:cs="宋体"/>
          <w:bCs/>
          <w:color w:val="auto"/>
          <w:sz w:val="24"/>
          <w:szCs w:val="24"/>
          <w:u w:val="single"/>
          <w:lang w:bidi="ar"/>
        </w:rPr>
        <w:t>〕</w:t>
      </w:r>
      <w:r>
        <w:rPr>
          <w:rFonts w:hint="eastAsia" w:ascii="宋体" w:hAnsi="宋体" w:eastAsia="宋体" w:cs="宋体"/>
          <w:color w:val="auto"/>
          <w:sz w:val="24"/>
          <w:szCs w:val="24"/>
          <w:u w:val="single"/>
          <w:lang w:bidi="ar"/>
        </w:rPr>
        <w:t>载明的开工日期前14天</w:t>
      </w:r>
      <w:r>
        <w:rPr>
          <w:rFonts w:hint="eastAsia" w:ascii="宋体" w:hAnsi="宋体" w:eastAsia="宋体" w:cs="宋体"/>
          <w:color w:val="auto"/>
          <w:sz w:val="24"/>
          <w:szCs w:val="24"/>
          <w:lang w:bidi="ar"/>
        </w:rPr>
        <w:t>；</w:t>
      </w:r>
    </w:p>
    <w:p w14:paraId="6564050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发包人向承包人提供图纸的数量：</w:t>
      </w:r>
      <w:r>
        <w:rPr>
          <w:rFonts w:hint="eastAsia" w:ascii="宋体" w:hAnsi="宋体" w:eastAsia="宋体" w:cs="宋体"/>
          <w:color w:val="auto"/>
          <w:sz w:val="24"/>
          <w:szCs w:val="24"/>
          <w:u w:val="single"/>
          <w:lang w:bidi="ar"/>
        </w:rPr>
        <w:t xml:space="preserve"> 2 套</w:t>
      </w:r>
      <w:r>
        <w:rPr>
          <w:rFonts w:hint="eastAsia" w:ascii="宋体" w:hAnsi="宋体" w:eastAsia="宋体" w:cs="宋体"/>
          <w:color w:val="auto"/>
          <w:sz w:val="24"/>
          <w:szCs w:val="24"/>
          <w:lang w:bidi="ar"/>
        </w:rPr>
        <w:t xml:space="preserve">； </w:t>
      </w:r>
    </w:p>
    <w:p w14:paraId="38BCCF5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发包人向承包人提供图纸的内容：</w:t>
      </w:r>
      <w:r>
        <w:rPr>
          <w:rFonts w:hint="eastAsia" w:ascii="宋体" w:hAnsi="宋体" w:eastAsia="宋体" w:cs="宋体"/>
          <w:color w:val="auto"/>
          <w:sz w:val="24"/>
          <w:szCs w:val="24"/>
          <w:u w:val="single"/>
          <w:lang w:bidi="ar"/>
        </w:rPr>
        <w:t>工程承包范围内工程的施工图设计文件</w:t>
      </w:r>
      <w:r>
        <w:rPr>
          <w:rFonts w:hint="eastAsia" w:ascii="宋体" w:hAnsi="宋体" w:eastAsia="宋体" w:cs="宋体"/>
          <w:color w:val="auto"/>
          <w:sz w:val="24"/>
          <w:szCs w:val="24"/>
          <w:lang w:bidi="ar"/>
        </w:rPr>
        <w:t>；</w:t>
      </w:r>
    </w:p>
    <w:p w14:paraId="528B19FB">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发包人组织承包人、监理人和设计人进行图纸会审和设计交底的时间：</w:t>
      </w:r>
      <w:r>
        <w:rPr>
          <w:rFonts w:hint="eastAsia" w:ascii="宋体" w:hAnsi="宋体" w:eastAsia="宋体" w:cs="宋体"/>
          <w:color w:val="auto"/>
          <w:sz w:val="24"/>
          <w:szCs w:val="24"/>
          <w:u w:val="single"/>
          <w:lang w:bidi="ar"/>
        </w:rPr>
        <w:t>提供施工图后7天内</w:t>
      </w:r>
      <w:r>
        <w:rPr>
          <w:rFonts w:hint="eastAsia" w:ascii="宋体" w:hAnsi="宋体" w:eastAsia="宋体" w:cs="宋体"/>
          <w:color w:val="auto"/>
          <w:sz w:val="24"/>
          <w:szCs w:val="24"/>
          <w:lang w:bidi="ar"/>
        </w:rPr>
        <w:t>。</w:t>
      </w:r>
    </w:p>
    <w:p w14:paraId="1E989930">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承包人可以书面方式通过监理人向发包人申请进行紧急的设计交底，发包人认为确有必要且条件许可时，应尽快组织实施承包人申请的设计交底。</w:t>
      </w:r>
    </w:p>
    <w:p w14:paraId="6215C1F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1.6.2 图纸的错误</w:t>
      </w:r>
    </w:p>
    <w:p w14:paraId="7580EF8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46EBB62B">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承包人不得利用图纸的差错、遗漏或缺陷，从中获得不正当的利益。</w:t>
      </w:r>
    </w:p>
    <w:p w14:paraId="0F5685F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1.6.4 承包人文件</w:t>
      </w:r>
    </w:p>
    <w:p w14:paraId="77CD01E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需要由承包人提供的书面文件，包括：</w:t>
      </w:r>
      <w:r>
        <w:rPr>
          <w:rFonts w:hint="eastAsia" w:ascii="宋体" w:hAnsi="宋体" w:eastAsia="宋体" w:cs="宋体"/>
          <w:color w:val="auto"/>
          <w:sz w:val="24"/>
          <w:szCs w:val="24"/>
          <w:u w:val="single"/>
          <w:lang w:bidi="ar"/>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宋体"/>
          <w:color w:val="auto"/>
          <w:sz w:val="24"/>
          <w:szCs w:val="24"/>
          <w:lang w:bidi="ar"/>
        </w:rPr>
        <w:t>。</w:t>
      </w:r>
    </w:p>
    <w:p w14:paraId="4048C57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承包人提供文件的期限、数量：</w:t>
      </w:r>
    </w:p>
    <w:p w14:paraId="441E814F">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u w:val="single"/>
          <w:lang w:bidi="ar"/>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宋体"/>
          <w:color w:val="auto"/>
          <w:sz w:val="24"/>
          <w:szCs w:val="24"/>
          <w:lang w:bidi="ar"/>
        </w:rPr>
        <w:t>。</w:t>
      </w:r>
    </w:p>
    <w:p w14:paraId="16BE014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r>
        <w:rPr>
          <w:rFonts w:hint="eastAsia" w:ascii="宋体" w:hAnsi="宋体" w:eastAsia="宋体" w:cs="宋体"/>
          <w:color w:val="auto"/>
          <w:sz w:val="24"/>
          <w:szCs w:val="24"/>
          <w:u w:val="single"/>
          <w:lang w:bidi="ar"/>
        </w:rPr>
        <w:t>每月20日前报送月工程进度完成报表</w:t>
      </w:r>
      <w:r>
        <w:rPr>
          <w:rFonts w:hint="eastAsia" w:ascii="宋体" w:hAnsi="宋体" w:eastAsia="宋体" w:cs="宋体"/>
          <w:color w:val="auto"/>
          <w:sz w:val="24"/>
          <w:szCs w:val="24"/>
          <w:lang w:bidi="ar"/>
        </w:rPr>
        <w:t>。</w:t>
      </w:r>
    </w:p>
    <w:p w14:paraId="3E4155EE">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（3）合同另有约定的，按照其约定。</w:t>
      </w:r>
    </w:p>
    <w:p w14:paraId="6B6E96A3">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eastAsia="宋体" w:cs="宋体"/>
          <w:color w:val="auto"/>
          <w:sz w:val="24"/>
          <w:szCs w:val="24"/>
          <w:u w:val="single"/>
          <w:lang w:bidi="ar"/>
        </w:rPr>
        <w:t>收到施工组织设计和工程总体进度计划及当年年度施工进度计划后7天内；合同另有约定的，从其约定</w:t>
      </w:r>
      <w:r>
        <w:rPr>
          <w:rFonts w:hint="eastAsia" w:ascii="宋体" w:hAnsi="宋体" w:eastAsia="宋体" w:cs="宋体"/>
          <w:color w:val="auto"/>
          <w:sz w:val="24"/>
          <w:szCs w:val="24"/>
          <w:lang w:bidi="ar"/>
        </w:rPr>
        <w:t>。</w:t>
      </w:r>
    </w:p>
    <w:p w14:paraId="626EEDC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承包人提供的文件的费用：</w:t>
      </w:r>
      <w:r>
        <w:rPr>
          <w:rFonts w:hint="eastAsia" w:ascii="宋体" w:hAnsi="宋体" w:eastAsia="宋体" w:cs="宋体"/>
          <w:color w:val="auto"/>
          <w:sz w:val="24"/>
          <w:szCs w:val="24"/>
          <w:u w:val="single"/>
          <w:lang w:bidi="ar"/>
        </w:rPr>
        <w:t>由承包人承担</w:t>
      </w:r>
      <w:r>
        <w:rPr>
          <w:rFonts w:hint="eastAsia" w:ascii="宋体" w:hAnsi="宋体" w:eastAsia="宋体" w:cs="宋体"/>
          <w:color w:val="auto"/>
          <w:sz w:val="24"/>
          <w:szCs w:val="24"/>
          <w:lang w:bidi="ar"/>
        </w:rPr>
        <w:t>。</w:t>
      </w:r>
    </w:p>
    <w:p w14:paraId="64E7A808">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发包人审批承包人文件的期限：</w:t>
      </w:r>
      <w:r>
        <w:rPr>
          <w:rFonts w:hint="eastAsia" w:ascii="宋体" w:hAnsi="宋体" w:eastAsia="宋体" w:cs="宋体"/>
          <w:color w:val="auto"/>
          <w:sz w:val="24"/>
          <w:szCs w:val="24"/>
          <w:u w:val="single"/>
          <w:lang w:bidi="ar"/>
        </w:rPr>
        <w:t>收到后14天内；合同另有约定的，从其约定</w:t>
      </w:r>
      <w:r>
        <w:rPr>
          <w:rFonts w:hint="eastAsia" w:ascii="宋体" w:hAnsi="宋体" w:eastAsia="宋体" w:cs="宋体"/>
          <w:color w:val="auto"/>
          <w:sz w:val="24"/>
          <w:szCs w:val="24"/>
          <w:lang w:bidi="ar"/>
        </w:rPr>
        <w:t>。</w:t>
      </w:r>
    </w:p>
    <w:p w14:paraId="529220C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监理人、发包人的修改意见和审批，不免除或减轻承包人对该工作、工程、材料、工程设备等应承担的责任和义务</w:t>
      </w:r>
      <w:r>
        <w:rPr>
          <w:rFonts w:hint="eastAsia" w:ascii="宋体" w:hAnsi="宋体" w:eastAsia="宋体" w:cs="宋体"/>
          <w:color w:val="auto"/>
          <w:sz w:val="24"/>
          <w:szCs w:val="24"/>
          <w:lang w:bidi="ar"/>
        </w:rPr>
        <w:t>。</w:t>
      </w:r>
    </w:p>
    <w:p w14:paraId="08346555">
      <w:pPr>
        <w:keepNext/>
        <w:keepLines/>
        <w:tabs>
          <w:tab w:val="left" w:pos="2551"/>
        </w:tabs>
        <w:spacing w:line="440" w:lineRule="exact"/>
        <w:outlineLvl w:val="4"/>
        <w:rPr>
          <w:rFonts w:hint="eastAsia" w:ascii="宋体" w:hAnsi="宋体" w:eastAsia="宋体" w:cs="宋体"/>
          <w:b/>
          <w:color w:val="auto"/>
          <w:sz w:val="24"/>
          <w:szCs w:val="24"/>
        </w:rPr>
      </w:pPr>
      <w:bookmarkStart w:id="377" w:name="_Toc532377326"/>
      <w:r>
        <w:rPr>
          <w:rFonts w:hint="eastAsia" w:ascii="宋体" w:hAnsi="宋体" w:eastAsia="宋体" w:cs="宋体"/>
          <w:b/>
          <w:color w:val="auto"/>
          <w:sz w:val="24"/>
          <w:szCs w:val="24"/>
          <w:lang w:bidi="ar"/>
        </w:rPr>
        <w:t>1.7 联络</w:t>
      </w:r>
      <w:bookmarkEnd w:id="377"/>
    </w:p>
    <w:p w14:paraId="7E8E8194">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1.7.1 发包人和承包人应当在</w:t>
      </w:r>
      <w:r>
        <w:rPr>
          <w:rFonts w:hint="eastAsia" w:ascii="宋体" w:hAnsi="宋体" w:eastAsia="宋体" w:cs="宋体"/>
          <w:color w:val="auto"/>
          <w:kern w:val="0"/>
          <w:sz w:val="24"/>
          <w:szCs w:val="24"/>
          <w:u w:val="single"/>
          <w:lang w:bidi="ar"/>
        </w:rPr>
        <w:t xml:space="preserve"> 1 </w:t>
      </w:r>
      <w:r>
        <w:rPr>
          <w:rFonts w:hint="eastAsia" w:ascii="宋体" w:hAnsi="宋体" w:eastAsia="宋体" w:cs="宋体"/>
          <w:color w:val="auto"/>
          <w:kern w:val="0"/>
          <w:sz w:val="24"/>
          <w:szCs w:val="24"/>
          <w:lang w:bidi="ar"/>
        </w:rPr>
        <w:t>天内将与合同有关的通知、批准、证明、证书、指示、指令、要求、请求、同意、意见、确定和决定等书面函件送达对方当事人，并办理书面签收手续。</w:t>
      </w:r>
    </w:p>
    <w:p w14:paraId="77BAB884">
      <w:pPr>
        <w:tabs>
          <w:tab w:val="left" w:pos="7513"/>
        </w:tabs>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1.7.2 发包人接收文件地点：</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557F4DF0">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发包人指定的接收人：</w:t>
      </w:r>
      <w:bookmarkStart w:id="378" w:name="_Hlk528493983"/>
      <w:bookmarkEnd w:id="378"/>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1C39CF56">
      <w:pPr>
        <w:tabs>
          <w:tab w:val="left" w:pos="7513"/>
        </w:tabs>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承包人接收文件地点：</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2A57CF4C">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承包人指定的接收人：</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4D8E4241">
      <w:pPr>
        <w:tabs>
          <w:tab w:val="left" w:pos="7376"/>
        </w:tabs>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监理人接收文件地点：</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0CBD9522">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监理人指定的接收人：</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7A32B5FE">
      <w:pPr>
        <w:keepNext/>
        <w:keepLines/>
        <w:tabs>
          <w:tab w:val="left" w:pos="2551"/>
        </w:tabs>
        <w:spacing w:line="440" w:lineRule="exact"/>
        <w:outlineLvl w:val="4"/>
        <w:rPr>
          <w:rFonts w:hint="eastAsia" w:ascii="宋体" w:hAnsi="宋体" w:eastAsia="宋体" w:cs="宋体"/>
          <w:b/>
          <w:color w:val="auto"/>
          <w:sz w:val="24"/>
          <w:szCs w:val="24"/>
        </w:rPr>
      </w:pPr>
      <w:bookmarkStart w:id="379" w:name="_Toc532377327"/>
      <w:r>
        <w:rPr>
          <w:rFonts w:hint="eastAsia" w:ascii="宋体" w:hAnsi="宋体" w:eastAsia="宋体" w:cs="宋体"/>
          <w:b/>
          <w:color w:val="auto"/>
          <w:sz w:val="24"/>
          <w:szCs w:val="24"/>
          <w:lang w:bidi="ar"/>
        </w:rPr>
        <w:t>1.8 严禁贿赂</w:t>
      </w:r>
      <w:bookmarkEnd w:id="379"/>
    </w:p>
    <w:p w14:paraId="05FC16D7">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本款补充以下内容：</w:t>
      </w:r>
    </w:p>
    <w:p w14:paraId="47F66D30">
      <w:pPr>
        <w:spacing w:line="440" w:lineRule="exact"/>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在合同执行过程中，合同当事人应严格履行附件5《廉洁从业协议》。</w:t>
      </w:r>
    </w:p>
    <w:p w14:paraId="2971A342">
      <w:pPr>
        <w:keepNext/>
        <w:keepLines/>
        <w:tabs>
          <w:tab w:val="left" w:pos="2551"/>
        </w:tabs>
        <w:spacing w:line="440" w:lineRule="exact"/>
        <w:outlineLvl w:val="4"/>
        <w:rPr>
          <w:rFonts w:hint="eastAsia" w:ascii="宋体" w:hAnsi="宋体" w:eastAsia="宋体" w:cs="宋体"/>
          <w:b/>
          <w:color w:val="auto"/>
          <w:sz w:val="24"/>
          <w:szCs w:val="24"/>
        </w:rPr>
      </w:pPr>
      <w:bookmarkStart w:id="380" w:name="_Toc532377328"/>
      <w:r>
        <w:rPr>
          <w:rFonts w:hint="eastAsia" w:ascii="宋体" w:hAnsi="宋体" w:eastAsia="宋体" w:cs="宋体"/>
          <w:b/>
          <w:color w:val="auto"/>
          <w:sz w:val="24"/>
          <w:szCs w:val="24"/>
          <w:lang w:bidi="ar"/>
        </w:rPr>
        <w:t>1.10 交通运输</w:t>
      </w:r>
      <w:bookmarkEnd w:id="380"/>
    </w:p>
    <w:p w14:paraId="424A49E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bookmarkStart w:id="381" w:name="_Toc300934943"/>
      <w:bookmarkStart w:id="382" w:name="_Toc312677986"/>
      <w:bookmarkStart w:id="383" w:name="_Toc303539100"/>
      <w:bookmarkStart w:id="384" w:name="_Toc304295521"/>
      <w:bookmarkStart w:id="385" w:name="_Toc318581155"/>
      <w:r>
        <w:rPr>
          <w:rFonts w:hint="eastAsia" w:ascii="宋体" w:hAnsi="宋体" w:eastAsia="宋体" w:cs="宋体"/>
          <w:color w:val="auto"/>
          <w:sz w:val="24"/>
          <w:szCs w:val="24"/>
          <w:lang w:bidi="ar"/>
        </w:rPr>
        <w:t>.10.1 出入现场的权利</w:t>
      </w:r>
    </w:p>
    <w:p w14:paraId="321CC85A">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关于出入现场的权利的约定：</w:t>
      </w:r>
      <w:r>
        <w:rPr>
          <w:rFonts w:hint="eastAsia" w:ascii="宋体" w:hAnsi="宋体" w:eastAsia="宋体" w:cs="宋体"/>
          <w:color w:val="auto"/>
          <w:sz w:val="24"/>
          <w:szCs w:val="24"/>
          <w:u w:val="single"/>
          <w:lang w:bidi="ar"/>
        </w:rPr>
        <w:t>由承包人按发包人要求负责取得出入施工现场所需的批准手续和全部权利；承包人应在竞标前自行踏勘现场，对进出施工现场的方式、手段、路线作出预估，并在报价时充分考虑完善进出现场条件所需的费用及对工期的影响，否则因此增加的费用和延误工期的责任由承包人承担</w:t>
      </w:r>
      <w:r>
        <w:rPr>
          <w:rFonts w:hint="eastAsia" w:ascii="宋体" w:hAnsi="宋体" w:eastAsia="宋体" w:cs="宋体"/>
          <w:color w:val="auto"/>
          <w:sz w:val="24"/>
          <w:szCs w:val="24"/>
          <w:lang w:bidi="ar"/>
        </w:rPr>
        <w:t>。</w:t>
      </w:r>
    </w:p>
    <w:bookmarkEnd w:id="381"/>
    <w:bookmarkEnd w:id="382"/>
    <w:bookmarkEnd w:id="383"/>
    <w:bookmarkEnd w:id="384"/>
    <w:bookmarkEnd w:id="385"/>
    <w:p w14:paraId="2C81FDD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1.10.2 场外交通</w:t>
      </w:r>
    </w:p>
    <w:p w14:paraId="112CBFBC">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承包人应遵守有关交通法规，执行有关道路限速、限行、禁止超载的规定，并配合交通管理部门的监督和检查。场外交通以施工场地移交时的现状为准。</w:t>
      </w:r>
    </w:p>
    <w:p w14:paraId="32C4956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bookmarkStart w:id="386" w:name="_Toc303539101"/>
      <w:bookmarkStart w:id="387" w:name="_Toc318581156"/>
      <w:bookmarkStart w:id="388" w:name="_Toc304295522"/>
      <w:bookmarkStart w:id="389" w:name="_Toc312677987"/>
      <w:bookmarkStart w:id="390" w:name="_Toc300934944"/>
      <w:r>
        <w:rPr>
          <w:rFonts w:hint="eastAsia" w:ascii="宋体" w:hAnsi="宋体" w:eastAsia="宋体" w:cs="宋体"/>
          <w:color w:val="auto"/>
          <w:sz w:val="24"/>
          <w:szCs w:val="24"/>
          <w:lang w:bidi="ar"/>
        </w:rPr>
        <w:t>.10.3 场内交通</w:t>
      </w:r>
    </w:p>
    <w:p w14:paraId="63514CF4">
      <w:pPr>
        <w:spacing w:line="440" w:lineRule="exact"/>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关于场外交通和场内交通的边界的约定：</w:t>
      </w:r>
      <w:r>
        <w:rPr>
          <w:rFonts w:hint="eastAsia" w:ascii="宋体" w:hAnsi="宋体" w:eastAsia="宋体" w:cs="宋体"/>
          <w:color w:val="auto"/>
          <w:kern w:val="0"/>
          <w:sz w:val="24"/>
          <w:szCs w:val="24"/>
          <w:u w:val="single"/>
          <w:lang w:bidi="ar"/>
        </w:rPr>
        <w:t>以合同工程用地红线为界，用地红线外为场外交通，用地红线范围内为场内交通（场外道路穿越场内的除外）</w:t>
      </w:r>
      <w:r>
        <w:rPr>
          <w:rFonts w:hint="eastAsia" w:ascii="宋体" w:hAnsi="宋体" w:eastAsia="宋体" w:cs="宋体"/>
          <w:color w:val="auto"/>
          <w:kern w:val="0"/>
          <w:sz w:val="24"/>
          <w:szCs w:val="24"/>
          <w:lang w:bidi="ar"/>
        </w:rPr>
        <w:t>。</w:t>
      </w:r>
    </w:p>
    <w:p w14:paraId="746E3D12">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关于发包人向承包人免费提供满足工程施工需要的场内道路和交通设施的约定：</w:t>
      </w:r>
      <w:r>
        <w:rPr>
          <w:rFonts w:hint="eastAsia" w:ascii="宋体" w:hAnsi="宋体" w:eastAsia="宋体" w:cs="宋体"/>
          <w:color w:val="auto"/>
          <w:kern w:val="0"/>
          <w:sz w:val="24"/>
          <w:szCs w:val="24"/>
          <w:u w:val="single"/>
          <w:lang w:bidi="ar"/>
        </w:rPr>
        <w:t>以施工场地移交时的现状为准</w:t>
      </w:r>
      <w:r>
        <w:rPr>
          <w:rFonts w:hint="eastAsia" w:ascii="宋体" w:hAnsi="宋体" w:eastAsia="宋体" w:cs="宋体"/>
          <w:color w:val="auto"/>
          <w:kern w:val="0"/>
          <w:sz w:val="24"/>
          <w:szCs w:val="24"/>
          <w:lang w:bidi="ar"/>
        </w:rPr>
        <w:t>。</w:t>
      </w:r>
    </w:p>
    <w:bookmarkEnd w:id="386"/>
    <w:bookmarkEnd w:id="387"/>
    <w:bookmarkEnd w:id="388"/>
    <w:bookmarkEnd w:id="389"/>
    <w:bookmarkEnd w:id="390"/>
    <w:p w14:paraId="78F864CC">
      <w:pPr>
        <w:spacing w:line="440" w:lineRule="exact"/>
        <w:ind w:firstLine="480" w:firstLineChars="200"/>
        <w:jc w:val="left"/>
        <w:rPr>
          <w:rFonts w:hint="eastAsia" w:ascii="宋体" w:hAnsi="宋体" w:eastAsia="宋体" w:cs="宋体"/>
          <w:color w:val="auto"/>
          <w:sz w:val="24"/>
          <w:szCs w:val="24"/>
        </w:rPr>
      </w:pPr>
      <w:bookmarkStart w:id="391" w:name="_Toc318581157"/>
      <w:r>
        <w:rPr>
          <w:rFonts w:hint="eastAsia" w:ascii="宋体" w:hAnsi="宋体" w:eastAsia="宋体" w:cs="宋体"/>
          <w:color w:val="auto"/>
          <w:sz w:val="24"/>
          <w:szCs w:val="24"/>
          <w:lang w:bidi="ar"/>
        </w:rPr>
        <w:t>1.10.4 超大件和超重件的运输</w:t>
      </w:r>
    </w:p>
    <w:p w14:paraId="5B590E4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运输超大件或超重件所需的道路和桥梁临时加固改造费用和其他有关费用由</w:t>
      </w:r>
      <w:r>
        <w:rPr>
          <w:rFonts w:hint="eastAsia" w:ascii="宋体" w:hAnsi="宋体" w:eastAsia="宋体" w:cs="宋体"/>
          <w:color w:val="auto"/>
          <w:sz w:val="24"/>
          <w:szCs w:val="24"/>
          <w:u w:val="single"/>
          <w:lang w:bidi="ar"/>
        </w:rPr>
        <w:t>承包人</w:t>
      </w:r>
      <w:r>
        <w:rPr>
          <w:rFonts w:hint="eastAsia" w:ascii="宋体" w:hAnsi="宋体" w:eastAsia="宋体" w:cs="宋体"/>
          <w:color w:val="auto"/>
          <w:sz w:val="24"/>
          <w:szCs w:val="24"/>
          <w:lang w:bidi="ar"/>
        </w:rPr>
        <w:t>承担。</w:t>
      </w:r>
    </w:p>
    <w:bookmarkEnd w:id="391"/>
    <w:p w14:paraId="0A6ABC5C">
      <w:pPr>
        <w:keepNext/>
        <w:keepLines/>
        <w:tabs>
          <w:tab w:val="left" w:pos="2551"/>
        </w:tabs>
        <w:spacing w:line="440" w:lineRule="exact"/>
        <w:outlineLvl w:val="4"/>
        <w:rPr>
          <w:rFonts w:hint="eastAsia" w:ascii="宋体" w:hAnsi="宋体" w:eastAsia="宋体" w:cs="宋体"/>
          <w:b/>
          <w:color w:val="auto"/>
          <w:sz w:val="24"/>
          <w:szCs w:val="24"/>
        </w:rPr>
      </w:pPr>
      <w:bookmarkStart w:id="392" w:name="_Toc532377329"/>
      <w:r>
        <w:rPr>
          <w:rFonts w:hint="eastAsia" w:ascii="宋体" w:hAnsi="宋体" w:eastAsia="宋体" w:cs="宋体"/>
          <w:b/>
          <w:color w:val="auto"/>
          <w:sz w:val="24"/>
          <w:szCs w:val="24"/>
          <w:lang w:bidi="ar"/>
        </w:rPr>
        <w:t>1.11 知识产权</w:t>
      </w:r>
      <w:bookmarkEnd w:id="392"/>
    </w:p>
    <w:p w14:paraId="7818C95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lang w:bidi="ar"/>
        </w:rPr>
        <w:t>属于发包人</w:t>
      </w:r>
      <w:r>
        <w:rPr>
          <w:rFonts w:hint="eastAsia" w:ascii="宋体" w:hAnsi="宋体" w:eastAsia="宋体" w:cs="宋体"/>
          <w:color w:val="auto"/>
          <w:sz w:val="24"/>
          <w:szCs w:val="24"/>
          <w:lang w:bidi="ar"/>
        </w:rPr>
        <w:t>。</w:t>
      </w:r>
    </w:p>
    <w:p w14:paraId="5C1BF2A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关于发包人提供的上述文件的使用限制的要求：</w:t>
      </w:r>
      <w:r>
        <w:rPr>
          <w:rFonts w:hint="eastAsia" w:ascii="宋体" w:hAnsi="宋体" w:eastAsia="宋体" w:cs="宋体"/>
          <w:color w:val="auto"/>
          <w:sz w:val="24"/>
          <w:szCs w:val="24"/>
          <w:u w:val="single"/>
          <w:lang w:bidi="ar"/>
        </w:rPr>
        <w:t>按通用合同条款执行</w:t>
      </w:r>
      <w:r>
        <w:rPr>
          <w:rFonts w:hint="eastAsia" w:ascii="宋体" w:hAnsi="宋体" w:eastAsia="宋体" w:cs="宋体"/>
          <w:color w:val="auto"/>
          <w:sz w:val="24"/>
          <w:szCs w:val="24"/>
          <w:lang w:bidi="ar"/>
        </w:rPr>
        <w:t>。</w:t>
      </w:r>
    </w:p>
    <w:p w14:paraId="4DAFC47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1.11.4 承包人在施工过程中所采用的专利、专有技术、技术秘密的使用费的承担方式：</w:t>
      </w:r>
      <w:r>
        <w:rPr>
          <w:rFonts w:hint="eastAsia" w:ascii="宋体" w:hAnsi="宋体" w:eastAsia="宋体" w:cs="宋体"/>
          <w:color w:val="auto"/>
          <w:sz w:val="24"/>
          <w:szCs w:val="24"/>
          <w:u w:val="single"/>
          <w:lang w:bidi="ar"/>
        </w:rPr>
        <w:t xml:space="preserve">  按通用合同条款执行  </w:t>
      </w:r>
      <w:r>
        <w:rPr>
          <w:rFonts w:hint="eastAsia" w:ascii="宋体" w:hAnsi="宋体" w:eastAsia="宋体" w:cs="宋体"/>
          <w:color w:val="auto"/>
          <w:sz w:val="24"/>
          <w:szCs w:val="24"/>
          <w:lang w:bidi="ar"/>
        </w:rPr>
        <w:t>。</w:t>
      </w:r>
    </w:p>
    <w:p w14:paraId="384EABC9">
      <w:pPr>
        <w:keepNext/>
        <w:keepLines/>
        <w:tabs>
          <w:tab w:val="left" w:pos="2551"/>
        </w:tabs>
        <w:spacing w:line="440" w:lineRule="exact"/>
        <w:outlineLvl w:val="4"/>
        <w:rPr>
          <w:rFonts w:hint="eastAsia" w:ascii="宋体" w:hAnsi="宋体" w:eastAsia="宋体" w:cs="宋体"/>
          <w:b/>
          <w:color w:val="auto"/>
          <w:sz w:val="24"/>
          <w:szCs w:val="24"/>
        </w:rPr>
      </w:pPr>
      <w:bookmarkStart w:id="393" w:name="_Toc532377330"/>
      <w:r>
        <w:rPr>
          <w:rFonts w:hint="eastAsia" w:ascii="宋体" w:hAnsi="宋体" w:eastAsia="宋体" w:cs="宋体"/>
          <w:b/>
          <w:color w:val="auto"/>
          <w:sz w:val="24"/>
          <w:szCs w:val="24"/>
          <w:lang w:bidi="ar"/>
        </w:rPr>
        <w:t>1.13工程量清单错误的修正</w:t>
      </w:r>
      <w:bookmarkEnd w:id="393"/>
    </w:p>
    <w:p w14:paraId="49B1564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出现工程量清单错误时，责任和权利划分：</w:t>
      </w:r>
      <w:r>
        <w:rPr>
          <w:rFonts w:hint="eastAsia" w:ascii="宋体" w:hAnsi="宋体" w:eastAsia="宋体" w:cs="宋体"/>
          <w:color w:val="auto"/>
          <w:sz w:val="24"/>
          <w:szCs w:val="24"/>
          <w:u w:val="single"/>
          <w:lang w:bidi="ar"/>
        </w:rPr>
        <w:t xml:space="preserve">  双方协商解决    </w:t>
      </w:r>
      <w:r>
        <w:rPr>
          <w:rFonts w:hint="eastAsia" w:ascii="宋体" w:hAnsi="宋体" w:eastAsia="宋体" w:cs="宋体"/>
          <w:color w:val="auto"/>
          <w:sz w:val="24"/>
          <w:szCs w:val="24"/>
          <w:lang w:bidi="ar"/>
        </w:rPr>
        <w:t>。</w:t>
      </w:r>
    </w:p>
    <w:p w14:paraId="331DBEB3">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出现工程量清单错误时，是否调整合同价格：</w:t>
      </w:r>
      <w:r>
        <w:rPr>
          <w:rFonts w:hint="eastAsia" w:ascii="宋体" w:hAnsi="宋体" w:eastAsia="宋体" w:cs="宋体"/>
          <w:color w:val="auto"/>
          <w:sz w:val="24"/>
          <w:szCs w:val="24"/>
          <w:u w:val="single"/>
          <w:lang w:bidi="ar"/>
        </w:rPr>
        <w:t xml:space="preserve">  不调整  </w:t>
      </w:r>
      <w:r>
        <w:rPr>
          <w:rFonts w:hint="eastAsia" w:ascii="宋体" w:hAnsi="宋体" w:eastAsia="宋体" w:cs="宋体"/>
          <w:color w:val="auto"/>
          <w:kern w:val="0"/>
          <w:sz w:val="24"/>
          <w:szCs w:val="24"/>
          <w:lang w:bidi="ar"/>
        </w:rPr>
        <w:t>。</w:t>
      </w:r>
    </w:p>
    <w:p w14:paraId="5F2D40D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允许调整合同价格的工程量偏差范围：</w:t>
      </w:r>
      <w:r>
        <w:rPr>
          <w:rFonts w:hint="eastAsia" w:ascii="宋体" w:hAnsi="宋体" w:eastAsia="宋体" w:cs="宋体"/>
          <w:color w:val="auto"/>
          <w:sz w:val="24"/>
          <w:szCs w:val="24"/>
          <w:u w:val="single"/>
          <w:lang w:bidi="ar"/>
        </w:rPr>
        <w:t xml:space="preserve">  不调整 </w:t>
      </w:r>
      <w:r>
        <w:rPr>
          <w:rFonts w:hint="eastAsia" w:ascii="宋体" w:hAnsi="宋体" w:eastAsia="宋体" w:cs="宋体"/>
          <w:color w:val="auto"/>
          <w:sz w:val="24"/>
          <w:szCs w:val="24"/>
          <w:lang w:bidi="ar"/>
        </w:rPr>
        <w:t>。</w:t>
      </w:r>
    </w:p>
    <w:p w14:paraId="4B82B616">
      <w:pPr>
        <w:keepNext/>
        <w:keepLines/>
        <w:spacing w:before="120" w:beforeLines="50" w:after="120" w:afterLines="50" w:line="440" w:lineRule="exact"/>
        <w:outlineLvl w:val="3"/>
        <w:rPr>
          <w:rFonts w:hint="eastAsia" w:ascii="宋体" w:hAnsi="宋体" w:eastAsia="宋体" w:cs="宋体"/>
          <w:b/>
          <w:color w:val="auto"/>
          <w:sz w:val="24"/>
          <w:szCs w:val="24"/>
        </w:rPr>
      </w:pPr>
      <w:bookmarkStart w:id="394" w:name="_Toc351203634"/>
      <w:bookmarkStart w:id="395" w:name="_Toc532377331"/>
      <w:bookmarkStart w:id="396" w:name="_Toc532375609"/>
      <w:r>
        <w:rPr>
          <w:rFonts w:hint="eastAsia" w:ascii="宋体" w:hAnsi="宋体" w:eastAsia="宋体" w:cs="宋体"/>
          <w:b/>
          <w:color w:val="auto"/>
          <w:sz w:val="24"/>
          <w:szCs w:val="24"/>
          <w:lang w:bidi="ar"/>
        </w:rPr>
        <w:t>2</w:t>
      </w:r>
      <w:bookmarkStart w:id="397" w:name="_Toc292559362"/>
      <w:bookmarkStart w:id="398" w:name="_Toc296890985"/>
      <w:bookmarkStart w:id="399" w:name="_Toc297048343"/>
      <w:bookmarkStart w:id="400" w:name="_Toc296944496"/>
      <w:bookmarkStart w:id="401" w:name="_Toc292559867"/>
      <w:bookmarkStart w:id="402" w:name="_Toc297120457"/>
      <w:bookmarkStart w:id="403" w:name="_Toc296891197"/>
      <w:bookmarkStart w:id="404" w:name="_Toc296347156"/>
      <w:bookmarkStart w:id="405" w:name="_Toc296346658"/>
      <w:bookmarkStart w:id="406" w:name="_Toc296503157"/>
      <w:r>
        <w:rPr>
          <w:rFonts w:hint="eastAsia" w:ascii="宋体" w:hAnsi="宋体" w:eastAsia="宋体" w:cs="宋体"/>
          <w:b/>
          <w:color w:val="auto"/>
          <w:sz w:val="24"/>
          <w:szCs w:val="24"/>
          <w:lang w:bidi="ar"/>
        </w:rPr>
        <w:t>. 发包人</w:t>
      </w:r>
      <w:bookmarkEnd w:id="394"/>
      <w:bookmarkEnd w:id="395"/>
      <w:bookmarkEnd w:id="396"/>
    </w:p>
    <w:bookmarkEnd w:id="397"/>
    <w:bookmarkEnd w:id="398"/>
    <w:bookmarkEnd w:id="399"/>
    <w:bookmarkEnd w:id="400"/>
    <w:bookmarkEnd w:id="401"/>
    <w:bookmarkEnd w:id="402"/>
    <w:bookmarkEnd w:id="403"/>
    <w:bookmarkEnd w:id="404"/>
    <w:bookmarkEnd w:id="405"/>
    <w:bookmarkEnd w:id="406"/>
    <w:p w14:paraId="306E710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2.2.1 发包人代表</w:t>
      </w:r>
    </w:p>
    <w:p w14:paraId="3BE1143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发包人代表：</w:t>
      </w:r>
    </w:p>
    <w:p w14:paraId="16583E5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姓    名：</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34377D8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身份证号：</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7302C27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职    务：</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5951CA5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联系方式：</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4FF5043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邮    编：</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0E20393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发包人对发包人代表的授权范围如下：</w:t>
      </w:r>
      <w:r>
        <w:rPr>
          <w:rFonts w:hint="eastAsia" w:ascii="宋体" w:hAnsi="宋体" w:eastAsia="宋体" w:cs="宋体"/>
          <w:color w:val="auto"/>
          <w:sz w:val="24"/>
          <w:szCs w:val="24"/>
          <w:u w:val="single"/>
          <w:lang w:bidi="ar"/>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 w:val="24"/>
          <w:szCs w:val="24"/>
          <w:lang w:bidi="ar"/>
        </w:rPr>
        <w:t>。</w:t>
      </w:r>
    </w:p>
    <w:p w14:paraId="0D91C8D6">
      <w:pPr>
        <w:keepNext/>
        <w:keepLines/>
        <w:tabs>
          <w:tab w:val="left" w:pos="2551"/>
        </w:tabs>
        <w:spacing w:line="440" w:lineRule="exact"/>
        <w:outlineLvl w:val="4"/>
        <w:rPr>
          <w:rFonts w:hint="eastAsia" w:ascii="宋体" w:hAnsi="宋体" w:eastAsia="宋体" w:cs="宋体"/>
          <w:b/>
          <w:color w:val="auto"/>
          <w:sz w:val="24"/>
          <w:szCs w:val="24"/>
        </w:rPr>
      </w:pPr>
      <w:bookmarkStart w:id="407" w:name="_Toc532377332"/>
      <w:r>
        <w:rPr>
          <w:rFonts w:hint="eastAsia" w:ascii="宋体" w:hAnsi="宋体" w:eastAsia="宋体" w:cs="宋体"/>
          <w:b/>
          <w:color w:val="auto"/>
          <w:sz w:val="24"/>
          <w:szCs w:val="24"/>
          <w:lang w:bidi="ar"/>
        </w:rPr>
        <w:t>2.4 施工现场、施工条件和基础资料的提供</w:t>
      </w:r>
      <w:bookmarkEnd w:id="407"/>
    </w:p>
    <w:p w14:paraId="13E21A7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2.4.1 提供施工现场</w:t>
      </w:r>
    </w:p>
    <w:p w14:paraId="70A3DFA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2.4.1.1 提供场地：</w:t>
      </w:r>
    </w:p>
    <w:p w14:paraId="65E5F52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施工场地的提供采用以下第</w:t>
      </w:r>
      <w:r>
        <w:rPr>
          <w:rFonts w:hint="eastAsia" w:ascii="宋体" w:hAnsi="宋体" w:eastAsia="宋体" w:cs="宋体"/>
          <w:color w:val="auto"/>
          <w:sz w:val="24"/>
          <w:szCs w:val="24"/>
          <w:u w:val="single"/>
          <w:lang w:bidi="ar"/>
        </w:rPr>
        <w:t xml:space="preserve"> （2） </w:t>
      </w:r>
      <w:r>
        <w:rPr>
          <w:rFonts w:hint="eastAsia" w:ascii="宋体" w:hAnsi="宋体" w:eastAsia="宋体" w:cs="宋体"/>
          <w:color w:val="auto"/>
          <w:sz w:val="24"/>
          <w:szCs w:val="24"/>
          <w:lang w:bidi="ar"/>
        </w:rPr>
        <w:t>种方式：</w:t>
      </w:r>
    </w:p>
    <w:p w14:paraId="07EF781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（1）一次提供全部施工场地：发包人于</w:t>
      </w:r>
      <w:r>
        <w:rPr>
          <w:rFonts w:hint="eastAsia" w:ascii="宋体" w:hAnsi="宋体" w:eastAsia="宋体" w:cs="宋体"/>
          <w:color w:val="auto"/>
          <w:sz w:val="24"/>
          <w:szCs w:val="24"/>
          <w:u w:val="single"/>
          <w:lang w:bidi="ar"/>
        </w:rPr>
        <w:t>开工</w:t>
      </w:r>
      <w:r>
        <w:rPr>
          <w:rFonts w:hint="eastAsia" w:ascii="宋体" w:hAnsi="宋体" w:eastAsia="宋体" w:cs="宋体"/>
          <w:color w:val="auto"/>
          <w:sz w:val="24"/>
          <w:szCs w:val="24"/>
          <w:lang w:bidi="ar"/>
        </w:rPr>
        <w:t>前向承包人提供合同工程用地红线范围内的施工场地。</w:t>
      </w:r>
    </w:p>
    <w:p w14:paraId="38D009A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（2）分次提供全部施工场地：</w:t>
      </w:r>
      <w:r>
        <w:rPr>
          <w:rFonts w:hint="eastAsia" w:ascii="宋体" w:hAnsi="宋体" w:eastAsia="宋体" w:cs="宋体"/>
          <w:color w:val="auto"/>
          <w:sz w:val="24"/>
          <w:szCs w:val="24"/>
          <w:u w:val="single"/>
          <w:lang w:bidi="ar"/>
        </w:rPr>
        <w:t>发包人按约定的时间分次向承包人提供合同工程用地红线范围内的施工场地</w:t>
      </w:r>
      <w:r>
        <w:rPr>
          <w:rFonts w:hint="eastAsia" w:ascii="宋体" w:hAnsi="宋体" w:eastAsia="宋体" w:cs="宋体"/>
          <w:color w:val="auto"/>
          <w:sz w:val="24"/>
          <w:szCs w:val="24"/>
          <w:lang w:bidi="ar"/>
        </w:rPr>
        <w:t>。</w:t>
      </w:r>
    </w:p>
    <w:p w14:paraId="7015FD7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承包人编制的施工组织计划已充分考虑了施工场地提供的因素</w:t>
      </w:r>
      <w:r>
        <w:rPr>
          <w:rFonts w:hint="eastAsia" w:ascii="宋体" w:hAnsi="宋体" w:eastAsia="宋体" w:cs="宋体"/>
          <w:color w:val="auto"/>
          <w:sz w:val="24"/>
          <w:szCs w:val="24"/>
          <w:lang w:bidi="ar"/>
        </w:rPr>
        <w:t>。</w:t>
      </w:r>
    </w:p>
    <w:p w14:paraId="39A587A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宋体"/>
          <w:color w:val="auto"/>
          <w:sz w:val="24"/>
          <w:szCs w:val="24"/>
          <w:lang w:bidi="ar"/>
        </w:rPr>
        <w:t>。</w:t>
      </w:r>
    </w:p>
    <w:p w14:paraId="5DE1C98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2.4.2 提供施工条件</w:t>
      </w:r>
    </w:p>
    <w:p w14:paraId="6CE1440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关于发包人应负责提供施工所需要的条件：</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50813E84">
      <w:pPr>
        <w:keepNext/>
        <w:keepLines/>
        <w:tabs>
          <w:tab w:val="left" w:pos="2551"/>
        </w:tabs>
        <w:spacing w:line="440" w:lineRule="exact"/>
        <w:outlineLvl w:val="4"/>
        <w:rPr>
          <w:rFonts w:hint="eastAsia" w:ascii="宋体" w:hAnsi="宋体" w:eastAsia="宋体" w:cs="宋体"/>
          <w:b/>
          <w:color w:val="auto"/>
          <w:sz w:val="24"/>
          <w:szCs w:val="24"/>
        </w:rPr>
      </w:pPr>
      <w:bookmarkStart w:id="408" w:name="_Toc532377333"/>
      <w:r>
        <w:rPr>
          <w:rFonts w:hint="eastAsia" w:ascii="宋体" w:hAnsi="宋体" w:eastAsia="宋体" w:cs="宋体"/>
          <w:b/>
          <w:color w:val="auto"/>
          <w:sz w:val="24"/>
          <w:szCs w:val="24"/>
          <w:lang w:bidi="ar"/>
        </w:rPr>
        <w:t>2.5 资金来源证明及支付担保</w:t>
      </w:r>
      <w:bookmarkEnd w:id="408"/>
    </w:p>
    <w:p w14:paraId="264993A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发包人提供资金来源证明的期限要求：</w:t>
      </w:r>
      <w:r>
        <w:rPr>
          <w:rFonts w:hint="eastAsia" w:ascii="宋体" w:hAnsi="宋体" w:eastAsia="宋体" w:cs="宋体"/>
          <w:color w:val="auto"/>
          <w:sz w:val="24"/>
          <w:szCs w:val="24"/>
          <w:u w:val="single"/>
          <w:lang w:bidi="ar"/>
        </w:rPr>
        <w:t>不采用</w:t>
      </w:r>
      <w:r>
        <w:rPr>
          <w:rFonts w:hint="eastAsia" w:ascii="宋体" w:hAnsi="宋体" w:eastAsia="宋体" w:cs="宋体"/>
          <w:color w:val="auto"/>
          <w:sz w:val="24"/>
          <w:szCs w:val="24"/>
          <w:lang w:bidi="ar"/>
        </w:rPr>
        <w:t>。</w:t>
      </w:r>
    </w:p>
    <w:p w14:paraId="104AD23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发包人是否提供支付担保：</w:t>
      </w:r>
      <w:r>
        <w:rPr>
          <w:rFonts w:hint="eastAsia" w:ascii="宋体" w:hAnsi="宋体" w:eastAsia="宋体" w:cs="宋体"/>
          <w:color w:val="auto"/>
          <w:sz w:val="24"/>
          <w:szCs w:val="24"/>
          <w:u w:val="single"/>
          <w:lang w:bidi="ar"/>
        </w:rPr>
        <w:t>不提供</w:t>
      </w:r>
      <w:r>
        <w:rPr>
          <w:rFonts w:hint="eastAsia" w:ascii="宋体" w:hAnsi="宋体" w:eastAsia="宋体" w:cs="宋体"/>
          <w:color w:val="auto"/>
          <w:sz w:val="24"/>
          <w:szCs w:val="24"/>
          <w:lang w:bidi="ar"/>
        </w:rPr>
        <w:t>。</w:t>
      </w:r>
    </w:p>
    <w:p w14:paraId="663CE40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支付担保的形式：</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6E4F49A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支付担保的金额：</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48D84F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支付担保的时间：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2A97F40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支付担保的期限：</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8ED053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支付担保的退还时间：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088150B6">
      <w:pPr>
        <w:keepNext/>
        <w:keepLines/>
        <w:spacing w:before="120" w:beforeLines="50" w:after="120" w:afterLines="50" w:line="440" w:lineRule="exact"/>
        <w:outlineLvl w:val="3"/>
        <w:rPr>
          <w:rFonts w:hint="eastAsia" w:ascii="宋体" w:hAnsi="宋体" w:eastAsia="宋体" w:cs="宋体"/>
          <w:b/>
          <w:color w:val="auto"/>
          <w:sz w:val="24"/>
          <w:szCs w:val="24"/>
        </w:rPr>
      </w:pPr>
      <w:bookmarkStart w:id="409" w:name="_Toc532375610"/>
      <w:bookmarkStart w:id="410" w:name="_Toc351203635"/>
      <w:bookmarkStart w:id="411" w:name="_Toc532377334"/>
      <w:r>
        <w:rPr>
          <w:rFonts w:hint="eastAsia" w:ascii="宋体" w:hAnsi="宋体" w:eastAsia="宋体" w:cs="宋体"/>
          <w:b/>
          <w:color w:val="auto"/>
          <w:sz w:val="24"/>
          <w:szCs w:val="24"/>
          <w:lang w:bidi="ar"/>
        </w:rPr>
        <w:t>3</w:t>
      </w:r>
      <w:bookmarkStart w:id="412" w:name="_Toc292559868"/>
      <w:bookmarkStart w:id="413" w:name="_Toc296944497"/>
      <w:bookmarkStart w:id="414" w:name="_Toc296346659"/>
      <w:bookmarkStart w:id="415" w:name="_Toc296891198"/>
      <w:bookmarkStart w:id="416" w:name="_Toc296503158"/>
      <w:bookmarkStart w:id="417" w:name="_Toc292559363"/>
      <w:bookmarkStart w:id="418" w:name="_Toc296890986"/>
      <w:bookmarkStart w:id="419" w:name="_Toc296347157"/>
      <w:bookmarkStart w:id="420" w:name="_Toc297120458"/>
      <w:bookmarkStart w:id="421" w:name="_Toc297048344"/>
      <w:r>
        <w:rPr>
          <w:rFonts w:hint="eastAsia" w:ascii="宋体" w:hAnsi="宋体" w:eastAsia="宋体" w:cs="宋体"/>
          <w:b/>
          <w:color w:val="auto"/>
          <w:sz w:val="24"/>
          <w:szCs w:val="24"/>
          <w:lang w:bidi="ar"/>
        </w:rPr>
        <w:t>. 承包人</w:t>
      </w:r>
      <w:bookmarkEnd w:id="409"/>
      <w:bookmarkEnd w:id="410"/>
      <w:bookmarkEnd w:id="411"/>
    </w:p>
    <w:bookmarkEnd w:id="412"/>
    <w:bookmarkEnd w:id="413"/>
    <w:bookmarkEnd w:id="414"/>
    <w:bookmarkEnd w:id="415"/>
    <w:bookmarkEnd w:id="416"/>
    <w:bookmarkEnd w:id="417"/>
    <w:bookmarkEnd w:id="418"/>
    <w:bookmarkEnd w:id="419"/>
    <w:bookmarkEnd w:id="420"/>
    <w:bookmarkEnd w:id="421"/>
    <w:p w14:paraId="5B9E4294">
      <w:pPr>
        <w:keepNext/>
        <w:keepLines/>
        <w:tabs>
          <w:tab w:val="left" w:pos="2551"/>
        </w:tabs>
        <w:spacing w:line="440" w:lineRule="exact"/>
        <w:outlineLvl w:val="4"/>
        <w:rPr>
          <w:rFonts w:hint="eastAsia" w:ascii="宋体" w:hAnsi="宋体" w:eastAsia="宋体" w:cs="宋体"/>
          <w:b/>
          <w:color w:val="auto"/>
          <w:sz w:val="24"/>
          <w:szCs w:val="24"/>
        </w:rPr>
      </w:pPr>
      <w:bookmarkStart w:id="422" w:name="_Toc532377335"/>
      <w:r>
        <w:rPr>
          <w:rFonts w:hint="eastAsia" w:ascii="宋体" w:hAnsi="宋体" w:eastAsia="宋体" w:cs="宋体"/>
          <w:b/>
          <w:color w:val="auto"/>
          <w:sz w:val="24"/>
          <w:szCs w:val="24"/>
          <w:lang w:bidi="ar"/>
        </w:rPr>
        <w:t>3.1 承包人的一般义务</w:t>
      </w:r>
      <w:bookmarkEnd w:id="422"/>
    </w:p>
    <w:p w14:paraId="76F39C2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本款细化为3.1.1～3.1.10项：</w:t>
      </w:r>
    </w:p>
    <w:p w14:paraId="40A21A9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3.1.1办理法律规定和合同约定应由承包人办理的许可和批准，并将办理结果书面报送发包人留存；协助发包人办理施工所需的工程质量监督、安全监督、施工许可证等相关证件及手续。</w:t>
      </w:r>
    </w:p>
    <w:p w14:paraId="31EC68A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452FF1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1879300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745C491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E60F83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3.1.6按照第6.3款〔环境保护〕约定负责施工场地及其周边环境与生态的保护工作。</w:t>
      </w:r>
    </w:p>
    <w:p w14:paraId="18D2AF5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3.1.7按照第6.1款〔安全文明施工〕约定采取施工安全措施，确保工程及其人员、材料、设备和设施的安全，防止因工程施工造成的人身伤害和财产损失。</w:t>
      </w:r>
    </w:p>
    <w:p w14:paraId="19573538">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3.1.8将发包人按合同约定支付的各项价款专用于合同工程，且应及时支付其雇用人员工资，并及时向分包人支付合同价款。</w:t>
      </w:r>
    </w:p>
    <w:p w14:paraId="32E3742F">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3.1.9承包人提交的竣工资料的内容：</w:t>
      </w:r>
      <w:r>
        <w:rPr>
          <w:rFonts w:hint="eastAsia" w:ascii="宋体" w:hAnsi="宋体" w:eastAsia="宋体" w:cs="宋体"/>
          <w:color w:val="auto"/>
          <w:sz w:val="24"/>
          <w:szCs w:val="24"/>
          <w:u w:val="single"/>
          <w:lang w:bidi="ar"/>
        </w:rPr>
        <w:t>工程施工技术资料、工程质量保证资料、工程检验评定资料、竣工图及其他应交资料，应符合《建设工程文件归档整理规范》（GB/T50328-2014）和重庆市有关文件规定</w:t>
      </w:r>
      <w:r>
        <w:rPr>
          <w:rFonts w:hint="eastAsia" w:ascii="宋体" w:hAnsi="宋体" w:eastAsia="宋体" w:cs="宋体"/>
          <w:color w:val="auto"/>
          <w:sz w:val="24"/>
          <w:szCs w:val="24"/>
          <w:lang w:bidi="ar"/>
        </w:rPr>
        <w:t>。</w:t>
      </w:r>
    </w:p>
    <w:p w14:paraId="188CBBC2">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承包人需要提交的竣工资料套数：完整竣工资料一式</w:t>
      </w:r>
      <w:r>
        <w:rPr>
          <w:rFonts w:hint="eastAsia" w:ascii="宋体" w:hAnsi="宋体" w:eastAsia="宋体" w:cs="宋体"/>
          <w:color w:val="auto"/>
          <w:sz w:val="24"/>
          <w:szCs w:val="24"/>
          <w:u w:val="single"/>
          <w:lang w:bidi="ar"/>
        </w:rPr>
        <w:t xml:space="preserve">  六 </w:t>
      </w:r>
      <w:r>
        <w:rPr>
          <w:rFonts w:hint="eastAsia" w:ascii="宋体" w:hAnsi="宋体" w:eastAsia="宋体" w:cs="宋体"/>
          <w:color w:val="auto"/>
          <w:sz w:val="24"/>
          <w:szCs w:val="24"/>
          <w:lang w:bidi="ar"/>
        </w:rPr>
        <w:t>套（含电子文档）。</w:t>
      </w:r>
    </w:p>
    <w:p w14:paraId="3C4113D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承包人提交的竣工资料的费用承担：</w:t>
      </w:r>
      <w:r>
        <w:rPr>
          <w:rFonts w:hint="eastAsia" w:ascii="宋体" w:hAnsi="宋体" w:eastAsia="宋体" w:cs="宋体"/>
          <w:color w:val="auto"/>
          <w:sz w:val="24"/>
          <w:szCs w:val="24"/>
          <w:u w:val="single"/>
          <w:lang w:bidi="ar"/>
        </w:rPr>
        <w:t>由承包人承担</w:t>
      </w:r>
      <w:r>
        <w:rPr>
          <w:rFonts w:hint="eastAsia" w:ascii="宋体" w:hAnsi="宋体" w:eastAsia="宋体" w:cs="宋体"/>
          <w:color w:val="auto"/>
          <w:sz w:val="24"/>
          <w:szCs w:val="24"/>
          <w:lang w:bidi="ar"/>
        </w:rPr>
        <w:t>。</w:t>
      </w:r>
    </w:p>
    <w:p w14:paraId="5355CE3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承包人提交的竣工资料移交时间：</w:t>
      </w:r>
      <w:r>
        <w:rPr>
          <w:rFonts w:hint="eastAsia" w:ascii="宋体" w:hAnsi="宋体" w:eastAsia="宋体" w:cs="宋体"/>
          <w:color w:val="auto"/>
          <w:sz w:val="24"/>
          <w:szCs w:val="24"/>
          <w:u w:val="single"/>
          <w:lang w:bidi="ar"/>
        </w:rPr>
        <w:t>工程竣工验收合格后1个月内移交给发包人</w:t>
      </w:r>
      <w:r>
        <w:rPr>
          <w:rFonts w:hint="eastAsia" w:ascii="宋体" w:hAnsi="宋体" w:eastAsia="宋体" w:cs="宋体"/>
          <w:color w:val="auto"/>
          <w:sz w:val="24"/>
          <w:szCs w:val="24"/>
          <w:lang w:bidi="ar"/>
        </w:rPr>
        <w:t>。</w:t>
      </w:r>
    </w:p>
    <w:p w14:paraId="5B112C2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承包人提交的竣工资料形式要求：</w:t>
      </w:r>
      <w:r>
        <w:rPr>
          <w:rFonts w:hint="eastAsia" w:ascii="宋体" w:hAnsi="宋体" w:eastAsia="宋体" w:cs="宋体"/>
          <w:color w:val="auto"/>
          <w:sz w:val="24"/>
          <w:szCs w:val="24"/>
          <w:u w:val="single"/>
          <w:lang w:bidi="ar"/>
        </w:rPr>
        <w:t>完整的书面文件及电子文档</w:t>
      </w:r>
      <w:r>
        <w:rPr>
          <w:rFonts w:hint="eastAsia" w:ascii="宋体" w:hAnsi="宋体" w:eastAsia="宋体" w:cs="宋体"/>
          <w:color w:val="auto"/>
          <w:sz w:val="24"/>
          <w:szCs w:val="24"/>
          <w:lang w:bidi="ar"/>
        </w:rPr>
        <w:t>。</w:t>
      </w:r>
    </w:p>
    <w:p w14:paraId="64AF4D2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3.1.10承包人应履行的其他义务：</w:t>
      </w:r>
    </w:p>
    <w:p w14:paraId="5158E01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3.1.10.1在开始施工之前，承包人应核查、复测本工程的各种基准标志。承包人应及时将上述基准标志中存在的错误、不完整或其他缺陷通知发包人，以便发包人核实后重新确认。</w:t>
      </w:r>
    </w:p>
    <w:p w14:paraId="46359B8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4DD0D14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4D3C43F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3.1.10.4承包人应服从发包人要求的管理模式、工作方式和工作要求，同时接受监理人的管理和全程监督，配合项目结、决算的办理。</w:t>
      </w:r>
    </w:p>
    <w:p w14:paraId="6902E13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3.1.10.5</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6CDB12F9">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3.1.10.6</w:t>
      </w:r>
      <w:r>
        <w:rPr>
          <w:rFonts w:hint="eastAsia" w:ascii="宋体" w:hAnsi="宋体" w:eastAsia="宋体" w:cs="宋体"/>
          <w:color w:val="auto"/>
          <w:sz w:val="24"/>
          <w:szCs w:val="24"/>
          <w:u w:val="single"/>
          <w:lang w:bidi="ar"/>
        </w:rPr>
        <w:t xml:space="preserve">        。</w:t>
      </w:r>
    </w:p>
    <w:p w14:paraId="458A614B">
      <w:pPr>
        <w:keepNext/>
        <w:keepLines/>
        <w:tabs>
          <w:tab w:val="left" w:pos="2551"/>
        </w:tabs>
        <w:spacing w:line="440" w:lineRule="exact"/>
        <w:outlineLvl w:val="4"/>
        <w:rPr>
          <w:rFonts w:hint="eastAsia" w:ascii="宋体" w:hAnsi="宋体" w:eastAsia="宋体" w:cs="宋体"/>
          <w:b/>
          <w:color w:val="auto"/>
          <w:sz w:val="24"/>
          <w:szCs w:val="24"/>
        </w:rPr>
      </w:pPr>
      <w:bookmarkStart w:id="423" w:name="_Toc532377336"/>
      <w:r>
        <w:rPr>
          <w:rFonts w:hint="eastAsia" w:ascii="宋体" w:hAnsi="宋体" w:eastAsia="宋体" w:cs="宋体"/>
          <w:b/>
          <w:color w:val="auto"/>
          <w:sz w:val="24"/>
          <w:szCs w:val="24"/>
          <w:lang w:bidi="ar"/>
        </w:rPr>
        <w:t>3.2 项目经理</w:t>
      </w:r>
      <w:bookmarkEnd w:id="423"/>
    </w:p>
    <w:p w14:paraId="51AAE16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3.2.1 </w:t>
      </w:r>
      <w:r>
        <w:rPr>
          <w:rFonts w:hint="eastAsia" w:ascii="宋体" w:hAnsi="宋体" w:eastAsia="宋体" w:cs="宋体"/>
          <w:color w:val="auto"/>
          <w:sz w:val="24"/>
          <w:szCs w:val="24"/>
          <w:lang w:bidi="ar"/>
        </w:rPr>
        <w:t>项目经理：</w:t>
      </w:r>
    </w:p>
    <w:p w14:paraId="4D4B355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姓    名：</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67205E0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身份证号：</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F4996B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建造师执业资格等级：</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5E67420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建造师注册证书号：</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42A18A9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建造师执业印章号：</w:t>
      </w:r>
      <w:r>
        <w:rPr>
          <w:rFonts w:hint="eastAsia" w:ascii="宋体" w:hAnsi="宋体" w:eastAsia="宋体" w:cs="宋体"/>
          <w:color w:val="auto"/>
          <w:sz w:val="24"/>
          <w:szCs w:val="24"/>
          <w:u w:val="single"/>
          <w:lang w:bidi="ar"/>
        </w:rPr>
        <w:t>                     </w:t>
      </w:r>
      <w:r>
        <w:rPr>
          <w:rFonts w:hint="eastAsia" w:ascii="宋体" w:hAnsi="宋体" w:eastAsia="宋体" w:cs="宋体"/>
          <w:color w:val="auto"/>
          <w:sz w:val="24"/>
          <w:szCs w:val="24"/>
          <w:lang w:bidi="ar"/>
        </w:rPr>
        <w:t>；</w:t>
      </w:r>
    </w:p>
    <w:p w14:paraId="5F1191C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安全生产考核合格证书号：</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ACF327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联系方式：</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506969D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承包人对项目经理的授权范围如下：</w:t>
      </w:r>
      <w:r>
        <w:rPr>
          <w:rFonts w:hint="eastAsia" w:ascii="宋体" w:hAnsi="宋体" w:eastAsia="宋体" w:cs="宋体"/>
          <w:color w:val="auto"/>
          <w:sz w:val="24"/>
          <w:szCs w:val="24"/>
          <w:u w:val="single"/>
          <w:lang w:bidi="ar"/>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 w:val="24"/>
          <w:szCs w:val="24"/>
          <w:lang w:bidi="ar"/>
        </w:rPr>
        <w:t>。</w:t>
      </w:r>
    </w:p>
    <w:p w14:paraId="13C6A58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关于项目经理每月在施工现场的时间要求：</w:t>
      </w:r>
      <w:r>
        <w:rPr>
          <w:rFonts w:hint="eastAsia" w:ascii="宋体" w:hAnsi="宋体" w:eastAsia="宋体" w:cs="宋体"/>
          <w:color w:val="auto"/>
          <w:sz w:val="24"/>
          <w:szCs w:val="24"/>
          <w:u w:val="single"/>
          <w:lang w:bidi="ar"/>
        </w:rPr>
        <w:t>不少于22天，由监理人负责项目经理的考勤</w:t>
      </w:r>
      <w:r>
        <w:rPr>
          <w:rFonts w:hint="eastAsia" w:ascii="宋体" w:hAnsi="宋体" w:eastAsia="宋体" w:cs="宋体"/>
          <w:color w:val="auto"/>
          <w:sz w:val="24"/>
          <w:szCs w:val="24"/>
          <w:lang w:bidi="ar"/>
        </w:rPr>
        <w:t>。</w:t>
      </w:r>
    </w:p>
    <w:p w14:paraId="64C62A4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宋体"/>
          <w:color w:val="auto"/>
          <w:sz w:val="24"/>
          <w:szCs w:val="24"/>
          <w:lang w:bidi="ar"/>
        </w:rPr>
        <w:t>。</w:t>
      </w:r>
    </w:p>
    <w:p w14:paraId="73F796D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3.2.2 技术负责人</w:t>
      </w:r>
    </w:p>
    <w:p w14:paraId="7C2F3DA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姓    名：</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2E1D53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身份证号：</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19A793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联系方式：</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3150C0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专     业：</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6FF74E5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证书名称及号码：</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D4DF13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联系方式：</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20750A8">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关于技术负责人每月在施工现场的时间要求：</w:t>
      </w:r>
      <w:r>
        <w:rPr>
          <w:rFonts w:hint="eastAsia" w:ascii="宋体" w:hAnsi="宋体" w:eastAsia="宋体" w:cs="宋体"/>
          <w:color w:val="auto"/>
          <w:kern w:val="0"/>
          <w:sz w:val="24"/>
          <w:szCs w:val="24"/>
          <w:u w:val="single"/>
          <w:lang w:bidi="ar"/>
        </w:rPr>
        <w:t>不少于22天，由监理人负责技术负责人的考勤</w:t>
      </w:r>
      <w:r>
        <w:rPr>
          <w:rFonts w:hint="eastAsia" w:ascii="宋体" w:hAnsi="宋体" w:eastAsia="宋体" w:cs="宋体"/>
          <w:color w:val="auto"/>
          <w:kern w:val="0"/>
          <w:sz w:val="24"/>
          <w:szCs w:val="24"/>
          <w:lang w:bidi="ar"/>
        </w:rPr>
        <w:t>。</w:t>
      </w:r>
    </w:p>
    <w:p w14:paraId="6DC12C2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宋体"/>
          <w:color w:val="auto"/>
          <w:sz w:val="24"/>
          <w:szCs w:val="24"/>
          <w:lang w:bidi="ar"/>
        </w:rPr>
        <w:t>。</w:t>
      </w:r>
      <w:bookmarkStart w:id="424" w:name="_Hlk528927599"/>
    </w:p>
    <w:bookmarkEnd w:id="424"/>
    <w:p w14:paraId="1A7F0796">
      <w:pPr>
        <w:spacing w:line="440" w:lineRule="exact"/>
        <w:ind w:firstLine="480" w:firstLineChars="200"/>
        <w:jc w:val="left"/>
        <w:rPr>
          <w:rFonts w:hint="eastAsia" w:ascii="宋体" w:hAnsi="宋体" w:eastAsia="宋体" w:cs="宋体"/>
          <w:color w:val="auto"/>
          <w:sz w:val="24"/>
          <w:szCs w:val="24"/>
        </w:rPr>
      </w:pPr>
      <w:bookmarkStart w:id="425" w:name="_Hlk528927718"/>
      <w:r>
        <w:rPr>
          <w:rFonts w:hint="eastAsia" w:ascii="宋体" w:hAnsi="宋体" w:eastAsia="宋体" w:cs="宋体"/>
          <w:color w:val="auto"/>
          <w:sz w:val="24"/>
          <w:szCs w:val="24"/>
          <w:lang w:bidi="ar"/>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425"/>
    </w:p>
    <w:p w14:paraId="13B6CB6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若项目经理和技术负责人出现下列情形需更换的，承包人按通用条款第3.2.3项的规定向发包人发出通知，经发包人领导班子集体决策同意后予以批准，并将变更信息推送给行业主管部门：</w:t>
      </w:r>
    </w:p>
    <w:p w14:paraId="534E9F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1、死亡；</w:t>
      </w:r>
    </w:p>
    <w:p w14:paraId="2C46074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2、非承包人原因导致工期延长，而致使项目经理和技术负责人达到法定退休年龄且确需退休；</w:t>
      </w:r>
    </w:p>
    <w:p w14:paraId="6D07742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3、按《职工非因工伤残或因病丧失劳动能力程度鉴定标准（试行）》规定鉴定为完全丧失劳动能力和大部分丧失劳动能力；</w:t>
      </w:r>
    </w:p>
    <w:p w14:paraId="6BEB55F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4、非承包人原因导致中标3个月不能开工；</w:t>
      </w:r>
    </w:p>
    <w:p w14:paraId="3080F9E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5、被公安或者司法机关限制人身自由；</w:t>
      </w:r>
    </w:p>
    <w:p w14:paraId="0843F92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6、被取消职称或者执业资格，不满足项目管理要求；</w:t>
      </w:r>
    </w:p>
    <w:p w14:paraId="11D5516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7、非承包人原因导致确需变更的其它情形。</w:t>
      </w:r>
    </w:p>
    <w:p w14:paraId="7FEBFC8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本款补充3.2.6项</w:t>
      </w:r>
    </w:p>
    <w:p w14:paraId="007E0F8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3.2.6 国有资金投资项目其他主要人员变更参照《重庆市政府投资项目合同变更管理暂行办法》的规定。</w:t>
      </w:r>
    </w:p>
    <w:p w14:paraId="4856C45F">
      <w:pPr>
        <w:keepNext/>
        <w:keepLines/>
        <w:tabs>
          <w:tab w:val="left" w:pos="2551"/>
        </w:tabs>
        <w:spacing w:line="440" w:lineRule="exact"/>
        <w:outlineLvl w:val="4"/>
        <w:rPr>
          <w:rFonts w:hint="eastAsia" w:ascii="宋体" w:hAnsi="宋体" w:eastAsia="宋体" w:cs="宋体"/>
          <w:b/>
          <w:color w:val="auto"/>
          <w:sz w:val="24"/>
          <w:szCs w:val="24"/>
        </w:rPr>
      </w:pPr>
      <w:bookmarkStart w:id="426" w:name="_Toc532377337"/>
      <w:r>
        <w:rPr>
          <w:rFonts w:hint="eastAsia" w:ascii="宋体" w:hAnsi="宋体" w:eastAsia="宋体" w:cs="宋体"/>
          <w:b/>
          <w:color w:val="auto"/>
          <w:sz w:val="24"/>
          <w:szCs w:val="24"/>
          <w:lang w:bidi="ar"/>
        </w:rPr>
        <w:t>3.3 承包人人员</w:t>
      </w:r>
      <w:bookmarkEnd w:id="426"/>
    </w:p>
    <w:p w14:paraId="13D1EAC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3.3.1 承包人应按建设行政主管部门现行规定配备现场施工从业人员，具体要求如下：</w:t>
      </w:r>
      <w:r>
        <w:rPr>
          <w:rFonts w:hint="eastAsia" w:ascii="宋体" w:hAnsi="宋体" w:eastAsia="宋体" w:cs="宋体"/>
          <w:color w:val="auto"/>
          <w:sz w:val="24"/>
          <w:szCs w:val="24"/>
          <w:u w:val="single"/>
          <w:lang w:bidi="ar"/>
        </w:rPr>
        <w:t xml:space="preserve">        </w:t>
      </w:r>
    </w:p>
    <w:p w14:paraId="43C0228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6B2226F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4E18654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3.3.4 承包人主要施工管理人员离开施工现场，指定的临时人员需满足：</w:t>
      </w:r>
      <w:r>
        <w:rPr>
          <w:rFonts w:hint="eastAsia" w:ascii="宋体" w:hAnsi="宋体" w:eastAsia="宋体" w:cs="宋体"/>
          <w:color w:val="auto"/>
          <w:sz w:val="24"/>
          <w:szCs w:val="24"/>
          <w:u w:val="single"/>
          <w:lang w:bidi="ar"/>
        </w:rPr>
        <w:t>《重庆市房屋建筑与市政基础设施工程现场施工从业人员配备标准》（DBJ50-157-2013）的相应要求</w:t>
      </w:r>
      <w:r>
        <w:rPr>
          <w:rFonts w:hint="eastAsia" w:ascii="宋体" w:hAnsi="宋体" w:eastAsia="宋体" w:cs="宋体"/>
          <w:color w:val="auto"/>
          <w:sz w:val="24"/>
          <w:szCs w:val="24"/>
          <w:lang w:bidi="ar"/>
        </w:rPr>
        <w:t>。</w:t>
      </w:r>
    </w:p>
    <w:p w14:paraId="59A713CF">
      <w:pPr>
        <w:keepNext/>
        <w:keepLines/>
        <w:tabs>
          <w:tab w:val="left" w:pos="2551"/>
        </w:tabs>
        <w:spacing w:line="440" w:lineRule="exact"/>
        <w:outlineLvl w:val="4"/>
        <w:rPr>
          <w:rFonts w:hint="eastAsia" w:ascii="宋体" w:hAnsi="宋体" w:eastAsia="宋体" w:cs="宋体"/>
          <w:b/>
          <w:color w:val="auto"/>
          <w:sz w:val="24"/>
          <w:szCs w:val="24"/>
        </w:rPr>
      </w:pPr>
      <w:bookmarkStart w:id="427" w:name="_Toc532377338"/>
      <w:r>
        <w:rPr>
          <w:rFonts w:hint="eastAsia" w:ascii="宋体" w:hAnsi="宋体" w:eastAsia="宋体" w:cs="宋体"/>
          <w:b/>
          <w:color w:val="auto"/>
          <w:sz w:val="24"/>
          <w:szCs w:val="24"/>
          <w:lang w:bidi="ar"/>
        </w:rPr>
        <w:t>3</w:t>
      </w:r>
      <w:bookmarkStart w:id="428" w:name="_Toc296891199"/>
      <w:bookmarkStart w:id="429" w:name="_Toc296944498"/>
      <w:bookmarkStart w:id="430" w:name="_Toc297216151"/>
      <w:bookmarkStart w:id="431" w:name="_Toc304295523"/>
      <w:bookmarkStart w:id="432" w:name="_Toc297123492"/>
      <w:bookmarkStart w:id="433" w:name="_Toc303539102"/>
      <w:bookmarkStart w:id="434" w:name="_Toc312677988"/>
      <w:bookmarkStart w:id="435" w:name="_Toc297120459"/>
      <w:bookmarkStart w:id="436" w:name="_Toc296503159"/>
      <w:bookmarkStart w:id="437" w:name="_Toc297048345"/>
      <w:bookmarkStart w:id="438" w:name="_Toc296347158"/>
      <w:bookmarkStart w:id="439" w:name="_Toc296346660"/>
      <w:bookmarkStart w:id="440" w:name="_Toc292559364"/>
      <w:bookmarkStart w:id="441" w:name="_Toc292559869"/>
      <w:bookmarkStart w:id="442" w:name="_Toc300934945"/>
      <w:bookmarkStart w:id="443" w:name="_Toc296890987"/>
      <w:r>
        <w:rPr>
          <w:rFonts w:hint="eastAsia" w:ascii="宋体" w:hAnsi="宋体" w:eastAsia="宋体" w:cs="宋体"/>
          <w:b/>
          <w:color w:val="auto"/>
          <w:sz w:val="24"/>
          <w:szCs w:val="24"/>
          <w:lang w:bidi="ar"/>
        </w:rPr>
        <w:t>.5 分包</w:t>
      </w:r>
      <w:bookmarkEnd w:id="427"/>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14:paraId="629872D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bookmarkStart w:id="444" w:name="_Toc296503160"/>
      <w:bookmarkStart w:id="445" w:name="_Toc297120460"/>
      <w:bookmarkStart w:id="446" w:name="_Toc303539103"/>
      <w:bookmarkStart w:id="447" w:name="_Toc296891200"/>
      <w:bookmarkStart w:id="448" w:name="_Toc304295524"/>
      <w:bookmarkStart w:id="449" w:name="_Toc292559365"/>
      <w:bookmarkStart w:id="450" w:name="_Toc300934946"/>
      <w:bookmarkStart w:id="451" w:name="_Toc297123493"/>
      <w:bookmarkStart w:id="452" w:name="_Toc296944499"/>
      <w:bookmarkStart w:id="453" w:name="_Toc318581158"/>
      <w:bookmarkStart w:id="454" w:name="_Toc312677989"/>
      <w:bookmarkStart w:id="455" w:name="_Toc296347159"/>
      <w:bookmarkStart w:id="456" w:name="_Toc297048346"/>
      <w:bookmarkStart w:id="457" w:name="_Toc297216152"/>
      <w:bookmarkStart w:id="458" w:name="_Toc296890988"/>
      <w:bookmarkStart w:id="459" w:name="_Toc296346661"/>
      <w:bookmarkStart w:id="460" w:name="_Toc292559870"/>
      <w:r>
        <w:rPr>
          <w:rFonts w:hint="eastAsia" w:ascii="宋体" w:hAnsi="宋体" w:eastAsia="宋体" w:cs="宋体"/>
          <w:color w:val="auto"/>
          <w:sz w:val="24"/>
          <w:szCs w:val="24"/>
          <w:lang w:bidi="ar"/>
        </w:rPr>
        <w:t>.5.1 分包的一般约定</w:t>
      </w:r>
    </w:p>
    <w:p w14:paraId="5FEE3DD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禁止分包的工程包括：主体结构、关键性工作等国家法律、法规禁止分包的工程。</w:t>
      </w:r>
    </w:p>
    <w:p w14:paraId="253FDBA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主体结构、关键性工作的范围：国家法律、法规、规范、标准等所约束的范围。如房建工程主体结构指混凝土工程、砌体工程、钢结构工程（具体有基础、梁、板、柱、砼墙、楼梯工程等）</w:t>
      </w:r>
      <w:bookmarkStart w:id="461" w:name="_Toc297048347"/>
      <w:bookmarkStart w:id="462" w:name="_Toc303539104"/>
      <w:bookmarkStart w:id="463" w:name="_Toc296944500"/>
      <w:bookmarkStart w:id="464" w:name="_Toc297123494"/>
      <w:bookmarkStart w:id="465" w:name="_Toc296347160"/>
      <w:bookmarkStart w:id="466" w:name="_Toc296503161"/>
      <w:bookmarkStart w:id="467" w:name="_Toc300934947"/>
      <w:bookmarkStart w:id="468" w:name="_Toc296346662"/>
      <w:bookmarkStart w:id="469" w:name="_Toc297216153"/>
      <w:bookmarkStart w:id="470" w:name="_Toc296891201"/>
      <w:bookmarkStart w:id="471" w:name="_Toc304295525"/>
      <w:bookmarkStart w:id="472" w:name="_Toc296890989"/>
      <w:bookmarkStart w:id="473" w:name="_Toc297120461"/>
      <w:r>
        <w:rPr>
          <w:rFonts w:hint="eastAsia" w:ascii="宋体" w:hAnsi="宋体" w:eastAsia="宋体" w:cs="宋体"/>
          <w:color w:val="auto"/>
          <w:sz w:val="24"/>
          <w:szCs w:val="24"/>
          <w:lang w:bidi="ar"/>
        </w:rPr>
        <w:t>；关键性工作指梁、板、柱等部位。</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772D0E5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EB2152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bookmarkStart w:id="474" w:name="_Toc318581159"/>
      <w:bookmarkStart w:id="475" w:name="_Toc312677990"/>
      <w:r>
        <w:rPr>
          <w:rFonts w:hint="eastAsia" w:ascii="宋体" w:hAnsi="宋体" w:eastAsia="宋体" w:cs="宋体"/>
          <w:color w:val="auto"/>
          <w:sz w:val="24"/>
          <w:szCs w:val="24"/>
          <w:lang w:bidi="ar"/>
        </w:rPr>
        <w:t>.5.2分包的确定</w:t>
      </w:r>
    </w:p>
    <w:p w14:paraId="67023B0E">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允许分包的专业工程包括：</w:t>
      </w:r>
      <w:r>
        <w:rPr>
          <w:rFonts w:hint="eastAsia" w:ascii="宋体" w:hAnsi="宋体" w:eastAsia="宋体" w:cs="宋体"/>
          <w:color w:val="auto"/>
          <w:sz w:val="24"/>
          <w:szCs w:val="24"/>
          <w:u w:val="single"/>
          <w:lang w:bidi="ar"/>
        </w:rPr>
        <w:t>符合《中华人民共和国建筑法》和《中华人民共和国招标投标法》的相关规定。</w:t>
      </w:r>
    </w:p>
    <w:p w14:paraId="7DE633F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3.5.4 分包合同价款</w:t>
      </w:r>
    </w:p>
    <w:p w14:paraId="548FA31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关于分包合同价款支付的约定：</w:t>
      </w:r>
      <w:bookmarkEnd w:id="474"/>
      <w:bookmarkEnd w:id="475"/>
      <w:r>
        <w:rPr>
          <w:rFonts w:hint="eastAsia" w:ascii="宋体" w:hAnsi="宋体" w:eastAsia="宋体" w:cs="宋体"/>
          <w:color w:val="auto"/>
          <w:sz w:val="24"/>
          <w:szCs w:val="24"/>
          <w:u w:val="single"/>
          <w:lang w:bidi="ar"/>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eastAsia="宋体" w:cs="宋体"/>
          <w:color w:val="auto"/>
          <w:sz w:val="24"/>
          <w:szCs w:val="24"/>
          <w:lang w:bidi="ar"/>
        </w:rPr>
        <w:t>。</w:t>
      </w:r>
    </w:p>
    <w:p w14:paraId="59238D4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本款补充3.5.6项：</w:t>
      </w:r>
    </w:p>
    <w:p w14:paraId="56173AE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3.5.6严禁违法分包</w:t>
      </w:r>
    </w:p>
    <w:p w14:paraId="7B7EEE7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74112353">
      <w:pPr>
        <w:keepNext/>
        <w:keepLines/>
        <w:tabs>
          <w:tab w:val="left" w:pos="2551"/>
        </w:tabs>
        <w:spacing w:line="440" w:lineRule="exact"/>
        <w:outlineLvl w:val="4"/>
        <w:rPr>
          <w:rFonts w:hint="eastAsia" w:ascii="宋体" w:hAnsi="宋体" w:eastAsia="宋体" w:cs="宋体"/>
          <w:b/>
          <w:color w:val="auto"/>
          <w:sz w:val="24"/>
          <w:szCs w:val="24"/>
        </w:rPr>
      </w:pPr>
      <w:bookmarkStart w:id="476" w:name="_Toc532377339"/>
      <w:r>
        <w:rPr>
          <w:rFonts w:hint="eastAsia" w:ascii="宋体" w:hAnsi="宋体" w:eastAsia="宋体" w:cs="宋体"/>
          <w:b/>
          <w:color w:val="auto"/>
          <w:sz w:val="24"/>
          <w:szCs w:val="24"/>
          <w:lang w:bidi="ar"/>
        </w:rPr>
        <w:t>3.7 履约担保</w:t>
      </w:r>
      <w:bookmarkEnd w:id="476"/>
    </w:p>
    <w:p w14:paraId="4F970CE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3.7.1承包人是否提供履约担保：</w:t>
      </w:r>
      <w:r>
        <w:rPr>
          <w:rFonts w:hint="eastAsia" w:ascii="宋体" w:hAnsi="宋体" w:eastAsia="宋体" w:cs="宋体"/>
          <w:color w:val="auto"/>
          <w:sz w:val="24"/>
          <w:szCs w:val="24"/>
          <w:u w:val="single"/>
          <w:lang w:bidi="ar"/>
        </w:rPr>
        <w:t>提供</w:t>
      </w:r>
      <w:r>
        <w:rPr>
          <w:rFonts w:hint="eastAsia" w:ascii="宋体" w:hAnsi="宋体" w:eastAsia="宋体" w:cs="宋体"/>
          <w:color w:val="auto"/>
          <w:sz w:val="24"/>
          <w:szCs w:val="24"/>
          <w:lang w:bidi="ar"/>
        </w:rPr>
        <w:t>。</w:t>
      </w:r>
    </w:p>
    <w:p w14:paraId="186D16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3.7.2承包人提供履约担保的形式、金额及期限：</w:t>
      </w:r>
    </w:p>
    <w:p w14:paraId="73B4173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（1）履约担保的形式：以支票、汇票、本票或者金融机构、担保机构出具的保函等非现金形式提交；</w:t>
      </w:r>
    </w:p>
    <w:p w14:paraId="22FC4739">
      <w:pPr>
        <w:tabs>
          <w:tab w:val="left" w:pos="1135"/>
        </w:tabs>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bidi="ar"/>
        </w:rPr>
        <w:t>（2）履约担保的</w:t>
      </w:r>
      <w:r>
        <w:rPr>
          <w:rFonts w:hint="eastAsia" w:ascii="宋体" w:hAnsi="宋体" w:eastAsia="宋体" w:cs="宋体"/>
          <w:color w:val="auto"/>
          <w:sz w:val="24"/>
          <w:szCs w:val="24"/>
          <w:highlight w:val="none"/>
          <w:lang w:bidi="ar"/>
        </w:rPr>
        <w:t>金额：</w:t>
      </w:r>
      <w:r>
        <w:rPr>
          <w:rFonts w:hint="eastAsia" w:ascii="宋体" w:hAnsi="宋体" w:eastAsia="宋体" w:cs="宋体"/>
          <w:color w:val="auto"/>
          <w:kern w:val="0"/>
          <w:sz w:val="24"/>
          <w:szCs w:val="24"/>
          <w:highlight w:val="none"/>
          <w:u w:val="single"/>
          <w:lang w:bidi="ar"/>
        </w:rPr>
        <w:t>中标合同金额的10%，即         元</w:t>
      </w:r>
      <w:r>
        <w:rPr>
          <w:rFonts w:hint="eastAsia" w:ascii="宋体" w:hAnsi="宋体" w:eastAsia="宋体" w:cs="宋体"/>
          <w:color w:val="auto"/>
          <w:sz w:val="24"/>
          <w:szCs w:val="24"/>
          <w:highlight w:val="none"/>
          <w:lang w:bidi="ar"/>
        </w:rPr>
        <w:t>；</w:t>
      </w:r>
    </w:p>
    <w:p w14:paraId="4159DEBC">
      <w:pPr>
        <w:tabs>
          <w:tab w:val="left" w:pos="1135"/>
        </w:tabs>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（3）履约担保的提交时间：</w:t>
      </w:r>
      <w:r>
        <w:rPr>
          <w:rFonts w:hint="eastAsia" w:ascii="宋体" w:hAnsi="宋体" w:eastAsia="宋体" w:cs="宋体"/>
          <w:color w:val="auto"/>
          <w:sz w:val="24"/>
          <w:szCs w:val="24"/>
          <w:highlight w:val="none"/>
          <w:u w:val="single"/>
          <w:lang w:bidi="ar"/>
        </w:rPr>
        <w:t>在合同签订前，承包人按担保金额向发包人提交履约担保</w:t>
      </w:r>
      <w:r>
        <w:rPr>
          <w:rFonts w:hint="eastAsia" w:ascii="宋体" w:hAnsi="宋体" w:eastAsia="宋体" w:cs="宋体"/>
          <w:color w:val="auto"/>
          <w:sz w:val="24"/>
          <w:szCs w:val="24"/>
          <w:highlight w:val="none"/>
          <w:lang w:bidi="ar"/>
        </w:rPr>
        <w:t>。</w:t>
      </w:r>
    </w:p>
    <w:p w14:paraId="0DCE2EDB">
      <w:pPr>
        <w:tabs>
          <w:tab w:val="left" w:pos="1135"/>
        </w:tabs>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（4）履约担保的期限：</w:t>
      </w:r>
      <w:r>
        <w:rPr>
          <w:rFonts w:hint="eastAsia" w:ascii="宋体" w:hAnsi="宋体" w:eastAsia="宋体" w:cs="宋体"/>
          <w:color w:val="auto"/>
          <w:sz w:val="24"/>
          <w:szCs w:val="24"/>
          <w:highlight w:val="none"/>
          <w:u w:val="single"/>
          <w:lang w:bidi="ar"/>
        </w:rPr>
        <w:t>自我方法定代表人（或其委托代理人）签字并加盖公章之日起至你方签发或应签发工程接收证书之日止</w:t>
      </w:r>
      <w:r>
        <w:rPr>
          <w:rFonts w:hint="eastAsia" w:ascii="宋体" w:hAnsi="宋体" w:eastAsia="宋体" w:cs="宋体"/>
          <w:color w:val="auto"/>
          <w:sz w:val="24"/>
          <w:szCs w:val="24"/>
          <w:highlight w:val="none"/>
          <w:lang w:bidi="ar"/>
        </w:rPr>
        <w:t>。</w:t>
      </w:r>
    </w:p>
    <w:p w14:paraId="479137AD">
      <w:pPr>
        <w:tabs>
          <w:tab w:val="left" w:pos="1135"/>
        </w:tabs>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lang w:bidi="ar"/>
        </w:rPr>
        <w:t>（5）履约担保的退还时间</w:t>
      </w:r>
      <w:r>
        <w:rPr>
          <w:rFonts w:hint="eastAsia" w:ascii="宋体" w:hAnsi="宋体" w:eastAsia="宋体" w:cs="宋体"/>
          <w:color w:val="auto"/>
          <w:sz w:val="24"/>
          <w:szCs w:val="24"/>
          <w:lang w:bidi="ar"/>
        </w:rPr>
        <w:t>：</w:t>
      </w:r>
      <w:r>
        <w:rPr>
          <w:rFonts w:hint="eastAsia" w:ascii="宋体" w:hAnsi="宋体" w:eastAsia="宋体" w:cs="宋体"/>
          <w:color w:val="auto"/>
          <w:sz w:val="24"/>
          <w:szCs w:val="24"/>
          <w:highlight w:val="none"/>
          <w:u w:val="single"/>
          <w:lang w:bidi="ar"/>
        </w:rPr>
        <w:t>本工程竣工验收合格后，发包人在3个工作日内按程序办理退还手续（无息退还）。履约过程中，承包人不能履约或不能完全履约，履约保证金不予退还。</w:t>
      </w:r>
    </w:p>
    <w:p w14:paraId="159C2EB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本款补充3.7.3项：</w:t>
      </w:r>
    </w:p>
    <w:p w14:paraId="1D44036E">
      <w:pPr>
        <w:spacing w:line="440" w:lineRule="exact"/>
        <w:ind w:firstLine="480" w:firstLineChars="200"/>
        <w:jc w:val="left"/>
        <w:rPr>
          <w:rFonts w:hint="eastAsia" w:ascii="宋体" w:hAnsi="宋体" w:eastAsia="宋体" w:cs="宋体"/>
          <w:color w:val="auto"/>
          <w:sz w:val="24"/>
          <w:szCs w:val="24"/>
          <w:u w:val="single"/>
        </w:rPr>
      </w:pPr>
      <w:bookmarkStart w:id="477" w:name="_Toc532377340"/>
      <w:bookmarkStart w:id="478" w:name="_Toc351203636"/>
      <w:bookmarkStart w:id="479" w:name="_Toc532375611"/>
      <w:r>
        <w:rPr>
          <w:rFonts w:hint="eastAsia" w:ascii="宋体" w:hAnsi="宋体" w:eastAsia="宋体" w:cs="宋体"/>
          <w:color w:val="auto"/>
          <w:sz w:val="24"/>
          <w:szCs w:val="24"/>
          <w:u w:val="single"/>
          <w:lang w:bidi="ar"/>
        </w:rPr>
        <w:t>3.7.4 民工工资</w:t>
      </w:r>
    </w:p>
    <w:p w14:paraId="76C35D15">
      <w:pPr>
        <w:keepNext/>
        <w:keepLines/>
        <w:spacing w:before="120" w:beforeLines="50" w:after="120" w:afterLines="50" w:line="440" w:lineRule="exact"/>
        <w:ind w:firstLine="240" w:firstLineChars="100"/>
        <w:outlineLvl w:val="3"/>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按《重庆市工程建设领域农民工工资保证金实施办法》的通知渝人社发〔2022〕5号文件要求执行，若有最新要求，按国家最新要求执行。</w:t>
      </w:r>
    </w:p>
    <w:p w14:paraId="40D12230">
      <w:pPr>
        <w:keepNext/>
        <w:keepLines/>
        <w:spacing w:before="120" w:beforeLines="50" w:after="120" w:afterLines="50" w:line="440" w:lineRule="exact"/>
        <w:ind w:firstLine="241" w:firstLineChars="100"/>
        <w:outlineLvl w:val="3"/>
        <w:rPr>
          <w:rFonts w:hint="eastAsia" w:ascii="宋体" w:hAnsi="宋体" w:eastAsia="宋体" w:cs="宋体"/>
          <w:b/>
          <w:color w:val="auto"/>
          <w:sz w:val="24"/>
          <w:szCs w:val="24"/>
        </w:rPr>
      </w:pPr>
      <w:r>
        <w:rPr>
          <w:rFonts w:hint="eastAsia" w:ascii="宋体" w:hAnsi="宋体" w:eastAsia="宋体" w:cs="宋体"/>
          <w:b/>
          <w:color w:val="auto"/>
          <w:sz w:val="24"/>
          <w:szCs w:val="24"/>
          <w:lang w:bidi="ar"/>
        </w:rPr>
        <w:t>4</w:t>
      </w:r>
      <w:bookmarkStart w:id="480" w:name="_Toc296891202"/>
      <w:bookmarkStart w:id="481" w:name="_Toc296890990"/>
      <w:bookmarkStart w:id="482" w:name="_Toc297120462"/>
      <w:bookmarkStart w:id="483" w:name="_Toc296347161"/>
      <w:bookmarkStart w:id="484" w:name="_Toc267251413"/>
      <w:bookmarkStart w:id="485" w:name="_Toc292559871"/>
      <w:bookmarkStart w:id="486" w:name="_Toc296944501"/>
      <w:bookmarkStart w:id="487" w:name="_Toc297048348"/>
      <w:bookmarkStart w:id="488" w:name="_Toc292559366"/>
      <w:bookmarkStart w:id="489" w:name="_Toc296346663"/>
      <w:bookmarkStart w:id="490" w:name="_Toc296503162"/>
      <w:r>
        <w:rPr>
          <w:rFonts w:hint="eastAsia" w:ascii="宋体" w:hAnsi="宋体" w:eastAsia="宋体" w:cs="宋体"/>
          <w:b/>
          <w:color w:val="auto"/>
          <w:sz w:val="24"/>
          <w:szCs w:val="24"/>
          <w:lang w:bidi="ar"/>
        </w:rPr>
        <w:t>. 监</w:t>
      </w:r>
      <w:bookmarkEnd w:id="480"/>
      <w:bookmarkEnd w:id="481"/>
      <w:bookmarkEnd w:id="482"/>
      <w:bookmarkEnd w:id="483"/>
      <w:bookmarkEnd w:id="484"/>
      <w:bookmarkEnd w:id="485"/>
      <w:bookmarkEnd w:id="486"/>
      <w:bookmarkEnd w:id="487"/>
      <w:bookmarkEnd w:id="488"/>
      <w:bookmarkEnd w:id="489"/>
      <w:bookmarkEnd w:id="490"/>
      <w:r>
        <w:rPr>
          <w:rFonts w:hint="eastAsia" w:ascii="宋体" w:hAnsi="宋体" w:eastAsia="宋体" w:cs="宋体"/>
          <w:b/>
          <w:color w:val="auto"/>
          <w:sz w:val="24"/>
          <w:szCs w:val="24"/>
          <w:lang w:bidi="ar"/>
        </w:rPr>
        <w:t>理人</w:t>
      </w:r>
      <w:bookmarkEnd w:id="477"/>
      <w:bookmarkEnd w:id="478"/>
      <w:bookmarkEnd w:id="479"/>
    </w:p>
    <w:p w14:paraId="75532EFC">
      <w:pPr>
        <w:keepNext/>
        <w:keepLines/>
        <w:tabs>
          <w:tab w:val="left" w:pos="2551"/>
        </w:tabs>
        <w:spacing w:line="440" w:lineRule="exact"/>
        <w:outlineLvl w:val="4"/>
        <w:rPr>
          <w:rFonts w:hint="eastAsia" w:ascii="宋体" w:hAnsi="宋体" w:eastAsia="宋体" w:cs="宋体"/>
          <w:b/>
          <w:color w:val="auto"/>
          <w:sz w:val="24"/>
          <w:szCs w:val="24"/>
        </w:rPr>
      </w:pPr>
      <w:bookmarkStart w:id="491" w:name="_Toc532377341"/>
      <w:r>
        <w:rPr>
          <w:rFonts w:hint="eastAsia" w:ascii="宋体" w:hAnsi="宋体" w:eastAsia="宋体" w:cs="宋体"/>
          <w:b/>
          <w:color w:val="auto"/>
          <w:sz w:val="24"/>
          <w:szCs w:val="24"/>
          <w:lang w:bidi="ar"/>
        </w:rPr>
        <w:t>4.1 监理人的一般规定</w:t>
      </w:r>
      <w:bookmarkEnd w:id="491"/>
    </w:p>
    <w:p w14:paraId="72CCE5D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关于监理人的监理内容：</w:t>
      </w:r>
      <w:r>
        <w:rPr>
          <w:rFonts w:hint="eastAsia" w:ascii="宋体" w:hAnsi="宋体" w:eastAsia="宋体" w:cs="宋体"/>
          <w:color w:val="auto"/>
          <w:sz w:val="24"/>
          <w:szCs w:val="24"/>
          <w:u w:val="single"/>
          <w:lang w:bidi="ar"/>
        </w:rPr>
        <w:t>见发包人与监理人就本工程签订的监理合同</w:t>
      </w:r>
      <w:r>
        <w:rPr>
          <w:rFonts w:hint="eastAsia" w:ascii="宋体" w:hAnsi="宋体" w:eastAsia="宋体" w:cs="宋体"/>
          <w:color w:val="auto"/>
          <w:sz w:val="24"/>
          <w:szCs w:val="24"/>
          <w:lang w:bidi="ar"/>
        </w:rPr>
        <w:t>。</w:t>
      </w:r>
    </w:p>
    <w:p w14:paraId="39858A2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关于监理人的监理权限：</w:t>
      </w:r>
      <w:r>
        <w:rPr>
          <w:rFonts w:hint="eastAsia" w:ascii="宋体" w:hAnsi="宋体" w:eastAsia="宋体" w:cs="宋体"/>
          <w:color w:val="auto"/>
          <w:sz w:val="24"/>
          <w:szCs w:val="24"/>
          <w:u w:val="single"/>
          <w:lang w:bidi="ar"/>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eastAsia="宋体" w:cs="宋体"/>
          <w:color w:val="auto"/>
          <w:sz w:val="24"/>
          <w:szCs w:val="24"/>
          <w:lang w:bidi="ar"/>
        </w:rPr>
        <w:t>。</w:t>
      </w:r>
    </w:p>
    <w:p w14:paraId="0A037B3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关于监理人在施工现场的办公场所、生活场所的提供和费用承担的约定：</w:t>
      </w:r>
      <w:r>
        <w:rPr>
          <w:rFonts w:hint="eastAsia" w:ascii="宋体" w:hAnsi="宋体" w:eastAsia="宋体" w:cs="宋体"/>
          <w:color w:val="auto"/>
          <w:sz w:val="24"/>
          <w:szCs w:val="24"/>
          <w:u w:val="single"/>
          <w:lang w:bidi="ar"/>
        </w:rPr>
        <w:t xml:space="preserve">  按通用合同条款执行</w:t>
      </w:r>
      <w:r>
        <w:rPr>
          <w:rFonts w:hint="eastAsia" w:ascii="宋体" w:hAnsi="宋体" w:eastAsia="宋体" w:cs="宋体"/>
          <w:color w:val="auto"/>
          <w:sz w:val="24"/>
          <w:szCs w:val="24"/>
          <w:lang w:bidi="ar"/>
        </w:rPr>
        <w:t>。</w:t>
      </w:r>
    </w:p>
    <w:p w14:paraId="0BF0B91B">
      <w:pPr>
        <w:keepNext/>
        <w:keepLines/>
        <w:tabs>
          <w:tab w:val="left" w:pos="2551"/>
        </w:tabs>
        <w:spacing w:line="440" w:lineRule="exact"/>
        <w:outlineLvl w:val="4"/>
        <w:rPr>
          <w:rFonts w:hint="eastAsia" w:ascii="宋体" w:hAnsi="宋体" w:eastAsia="宋体" w:cs="宋体"/>
          <w:b/>
          <w:color w:val="auto"/>
          <w:sz w:val="24"/>
          <w:szCs w:val="24"/>
        </w:rPr>
      </w:pPr>
      <w:bookmarkStart w:id="492" w:name="_Toc532377342"/>
      <w:r>
        <w:rPr>
          <w:rFonts w:hint="eastAsia" w:ascii="宋体" w:hAnsi="宋体" w:eastAsia="宋体" w:cs="宋体"/>
          <w:b/>
          <w:color w:val="auto"/>
          <w:sz w:val="24"/>
          <w:szCs w:val="24"/>
          <w:lang w:bidi="ar"/>
        </w:rPr>
        <w:t>4.2 监理人员</w:t>
      </w:r>
      <w:bookmarkEnd w:id="492"/>
    </w:p>
    <w:p w14:paraId="641C306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总监理工程师：</w:t>
      </w:r>
    </w:p>
    <w:p w14:paraId="2EF9275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姓    名：</w:t>
      </w:r>
      <w:r>
        <w:rPr>
          <w:rFonts w:hint="eastAsia" w:ascii="宋体" w:hAnsi="宋体" w:eastAsia="宋体" w:cs="宋体"/>
          <w:color w:val="auto"/>
          <w:sz w:val="24"/>
          <w:szCs w:val="24"/>
          <w:u w:val="single"/>
          <w:lang w:bidi="ar"/>
        </w:rPr>
        <w:t xml:space="preserve">                            </w:t>
      </w:r>
      <w:r>
        <w:rPr>
          <w:rFonts w:hint="eastAsia" w:ascii="宋体" w:hAnsi="宋体" w:eastAsia="宋体" w:cs="宋体"/>
          <w:color w:val="auto"/>
          <w:sz w:val="24"/>
          <w:szCs w:val="24"/>
          <w:lang w:bidi="ar"/>
        </w:rPr>
        <w:t>；</w:t>
      </w:r>
    </w:p>
    <w:p w14:paraId="5DD177D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职    务：</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27AC8F5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监理工程师执业资格证书号：</w:t>
      </w:r>
      <w:r>
        <w:rPr>
          <w:rFonts w:hint="eastAsia" w:ascii="宋体" w:hAnsi="宋体" w:eastAsia="宋体" w:cs="宋体"/>
          <w:color w:val="auto"/>
          <w:sz w:val="24"/>
          <w:szCs w:val="24"/>
          <w:u w:val="single"/>
          <w:lang w:bidi="ar"/>
        </w:rPr>
        <w:t xml:space="preserve">                </w:t>
      </w:r>
      <w:r>
        <w:rPr>
          <w:rFonts w:hint="eastAsia" w:ascii="宋体" w:hAnsi="宋体" w:eastAsia="宋体" w:cs="宋体"/>
          <w:color w:val="auto"/>
          <w:sz w:val="24"/>
          <w:szCs w:val="24"/>
          <w:lang w:bidi="ar"/>
        </w:rPr>
        <w:t>；</w:t>
      </w:r>
    </w:p>
    <w:p w14:paraId="18BF538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联系方式：</w:t>
      </w:r>
      <w:r>
        <w:rPr>
          <w:rFonts w:hint="eastAsia" w:ascii="宋体" w:hAnsi="宋体" w:eastAsia="宋体" w:cs="宋体"/>
          <w:color w:val="auto"/>
          <w:sz w:val="24"/>
          <w:szCs w:val="24"/>
          <w:u w:val="single"/>
          <w:lang w:bidi="ar"/>
        </w:rPr>
        <w:t xml:space="preserve">                              </w:t>
      </w:r>
      <w:r>
        <w:rPr>
          <w:rFonts w:hint="eastAsia" w:ascii="宋体" w:hAnsi="宋体" w:eastAsia="宋体" w:cs="宋体"/>
          <w:color w:val="auto"/>
          <w:sz w:val="24"/>
          <w:szCs w:val="24"/>
          <w:lang w:bidi="ar"/>
        </w:rPr>
        <w:t>；</w:t>
      </w:r>
    </w:p>
    <w:p w14:paraId="512CBEF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关于监理人的其他约定：</w:t>
      </w:r>
      <w:r>
        <w:rPr>
          <w:rFonts w:hint="eastAsia" w:ascii="宋体" w:hAnsi="宋体" w:eastAsia="宋体" w:cs="宋体"/>
          <w:color w:val="auto"/>
          <w:sz w:val="24"/>
          <w:szCs w:val="24"/>
          <w:u w:val="single"/>
          <w:lang w:bidi="ar"/>
        </w:rPr>
        <w:t>见发包人与监理人就本工程签订的监理合同</w:t>
      </w:r>
      <w:r>
        <w:rPr>
          <w:rFonts w:hint="eastAsia" w:ascii="宋体" w:hAnsi="宋体" w:eastAsia="宋体" w:cs="宋体"/>
          <w:color w:val="auto"/>
          <w:sz w:val="24"/>
          <w:szCs w:val="24"/>
          <w:lang w:bidi="ar"/>
        </w:rPr>
        <w:t>。</w:t>
      </w:r>
    </w:p>
    <w:p w14:paraId="0170D440">
      <w:pPr>
        <w:keepNext/>
        <w:keepLines/>
        <w:tabs>
          <w:tab w:val="left" w:pos="2551"/>
        </w:tabs>
        <w:spacing w:line="440" w:lineRule="exact"/>
        <w:outlineLvl w:val="4"/>
        <w:rPr>
          <w:rFonts w:hint="eastAsia" w:ascii="宋体" w:hAnsi="宋体" w:eastAsia="宋体" w:cs="宋体"/>
          <w:color w:val="auto"/>
          <w:sz w:val="24"/>
          <w:szCs w:val="24"/>
        </w:rPr>
      </w:pPr>
      <w:bookmarkStart w:id="493" w:name="_Toc532377343"/>
      <w:r>
        <w:rPr>
          <w:rFonts w:hint="eastAsia" w:ascii="宋体" w:hAnsi="宋体" w:eastAsia="宋体" w:cs="宋体"/>
          <w:color w:val="auto"/>
          <w:sz w:val="24"/>
          <w:szCs w:val="24"/>
          <w:lang w:bidi="ar"/>
        </w:rPr>
        <w:t>4.4 商定或确定</w:t>
      </w:r>
      <w:bookmarkEnd w:id="493"/>
    </w:p>
    <w:p w14:paraId="1985BBA8">
      <w:pPr>
        <w:spacing w:line="440" w:lineRule="exact"/>
        <w:ind w:firstLine="480" w:firstLineChars="200"/>
        <w:jc w:val="left"/>
        <w:rPr>
          <w:rFonts w:hint="eastAsia" w:ascii="宋体" w:hAnsi="宋体" w:eastAsia="宋体" w:cs="宋体"/>
          <w:color w:val="auto"/>
          <w:sz w:val="24"/>
          <w:szCs w:val="24"/>
        </w:rPr>
      </w:pPr>
      <w:bookmarkStart w:id="494" w:name="_Toc267251418"/>
      <w:r>
        <w:rPr>
          <w:rFonts w:hint="eastAsia" w:ascii="宋体" w:hAnsi="宋体" w:eastAsia="宋体" w:cs="宋体"/>
          <w:color w:val="auto"/>
          <w:sz w:val="24"/>
          <w:szCs w:val="24"/>
          <w:lang w:bidi="ar"/>
        </w:rPr>
        <w:t>在发包人和承包人不能通过协商达成一致意见时，发包人授权监理人对以下事项进行确定：</w:t>
      </w:r>
    </w:p>
    <w:p w14:paraId="38726CC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 xml:space="preserve">   按通用合同条款执行 </w:t>
      </w:r>
      <w:r>
        <w:rPr>
          <w:rFonts w:hint="eastAsia" w:ascii="宋体" w:hAnsi="宋体" w:eastAsia="宋体" w:cs="宋体"/>
          <w:color w:val="auto"/>
          <w:sz w:val="24"/>
          <w:szCs w:val="24"/>
          <w:lang w:bidi="ar"/>
        </w:rPr>
        <w:t>。</w:t>
      </w:r>
    </w:p>
    <w:p w14:paraId="0989B647">
      <w:pPr>
        <w:keepNext/>
        <w:keepLines/>
        <w:spacing w:before="120" w:beforeLines="50" w:after="120" w:afterLines="50" w:line="440" w:lineRule="exact"/>
        <w:outlineLvl w:val="3"/>
        <w:rPr>
          <w:rFonts w:hint="eastAsia" w:ascii="宋体" w:hAnsi="宋体" w:eastAsia="宋体" w:cs="宋体"/>
          <w:b/>
          <w:color w:val="auto"/>
          <w:sz w:val="24"/>
          <w:szCs w:val="24"/>
        </w:rPr>
      </w:pPr>
      <w:bookmarkStart w:id="495" w:name="_Toc532377344"/>
      <w:bookmarkStart w:id="496" w:name="_Toc351203637"/>
      <w:bookmarkStart w:id="497" w:name="_Toc532375612"/>
      <w:r>
        <w:rPr>
          <w:rFonts w:hint="eastAsia" w:ascii="宋体" w:hAnsi="宋体" w:eastAsia="宋体" w:cs="宋体"/>
          <w:b/>
          <w:color w:val="auto"/>
          <w:sz w:val="24"/>
          <w:szCs w:val="24"/>
          <w:lang w:bidi="ar"/>
        </w:rPr>
        <w:t>5</w:t>
      </w:r>
      <w:bookmarkEnd w:id="494"/>
      <w:bookmarkStart w:id="498" w:name="_Toc296891203"/>
      <w:bookmarkStart w:id="499" w:name="_Toc297120463"/>
      <w:bookmarkStart w:id="500" w:name="_Toc296346664"/>
      <w:bookmarkStart w:id="501" w:name="_Toc296890991"/>
      <w:bookmarkStart w:id="502" w:name="_Toc292559872"/>
      <w:bookmarkStart w:id="503" w:name="_Toc296347162"/>
      <w:bookmarkStart w:id="504" w:name="_Toc296944502"/>
      <w:bookmarkStart w:id="505" w:name="_Toc292559367"/>
      <w:bookmarkStart w:id="506" w:name="_Toc296503163"/>
      <w:bookmarkStart w:id="507" w:name="_Toc297048349"/>
      <w:r>
        <w:rPr>
          <w:rFonts w:hint="eastAsia" w:ascii="宋体" w:hAnsi="宋体" w:eastAsia="宋体" w:cs="宋体"/>
          <w:b/>
          <w:color w:val="auto"/>
          <w:sz w:val="24"/>
          <w:szCs w:val="24"/>
          <w:lang w:bidi="ar"/>
        </w:rPr>
        <w:t>. 工程质量</w:t>
      </w:r>
      <w:bookmarkEnd w:id="495"/>
      <w:bookmarkEnd w:id="496"/>
      <w:bookmarkEnd w:id="497"/>
    </w:p>
    <w:p w14:paraId="7BD1AEAB">
      <w:pPr>
        <w:keepNext/>
        <w:keepLines/>
        <w:tabs>
          <w:tab w:val="left" w:pos="2551"/>
        </w:tabs>
        <w:spacing w:line="440" w:lineRule="exact"/>
        <w:outlineLvl w:val="4"/>
        <w:rPr>
          <w:rFonts w:hint="eastAsia" w:ascii="宋体" w:hAnsi="宋体" w:eastAsia="宋体" w:cs="宋体"/>
          <w:b/>
          <w:color w:val="auto"/>
          <w:sz w:val="24"/>
          <w:szCs w:val="24"/>
        </w:rPr>
      </w:pPr>
      <w:bookmarkStart w:id="508" w:name="_Toc532377345"/>
      <w:r>
        <w:rPr>
          <w:rFonts w:hint="eastAsia" w:ascii="宋体" w:hAnsi="宋体" w:eastAsia="宋体" w:cs="宋体"/>
          <w:b/>
          <w:color w:val="auto"/>
          <w:sz w:val="24"/>
          <w:szCs w:val="24"/>
          <w:lang w:bidi="ar"/>
        </w:rPr>
        <w:t>5.1 质量要求</w:t>
      </w:r>
      <w:bookmarkEnd w:id="508"/>
      <w:bookmarkStart w:id="509" w:name="_Hlk528909888"/>
      <w:bookmarkStart w:id="510" w:name="_Toc300934949"/>
      <w:bookmarkStart w:id="511" w:name="_Toc297216155"/>
      <w:bookmarkStart w:id="512" w:name="_Toc318581164"/>
      <w:bookmarkStart w:id="513" w:name="_Toc312677997"/>
      <w:bookmarkStart w:id="514" w:name="_Toc303539106"/>
      <w:bookmarkStart w:id="515" w:name="_Toc304295527"/>
      <w:bookmarkStart w:id="516" w:name="_Toc297123496"/>
    </w:p>
    <w:p w14:paraId="3671F4E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工程质量符合国家有关施工质量验收规范和标准要求，达到合格标准</w:t>
      </w:r>
      <w:r>
        <w:rPr>
          <w:rFonts w:hint="eastAsia" w:ascii="宋体" w:hAnsi="宋体" w:eastAsia="宋体" w:cs="宋体"/>
          <w:color w:val="auto"/>
          <w:sz w:val="24"/>
          <w:szCs w:val="24"/>
          <w:lang w:bidi="ar"/>
        </w:rPr>
        <w:t>。</w:t>
      </w:r>
    </w:p>
    <w:bookmarkEnd w:id="509"/>
    <w:p w14:paraId="4034C02D">
      <w:pPr>
        <w:keepNext/>
        <w:keepLines/>
        <w:tabs>
          <w:tab w:val="left" w:pos="2551"/>
        </w:tabs>
        <w:spacing w:line="440" w:lineRule="exact"/>
        <w:outlineLvl w:val="4"/>
        <w:rPr>
          <w:rFonts w:hint="eastAsia" w:ascii="宋体" w:hAnsi="宋体" w:eastAsia="宋体" w:cs="宋体"/>
          <w:b/>
          <w:color w:val="auto"/>
          <w:sz w:val="24"/>
          <w:szCs w:val="24"/>
        </w:rPr>
      </w:pPr>
      <w:bookmarkStart w:id="517" w:name="_Toc532377346"/>
      <w:r>
        <w:rPr>
          <w:rFonts w:hint="eastAsia" w:ascii="宋体" w:hAnsi="宋体" w:eastAsia="宋体" w:cs="宋体"/>
          <w:b/>
          <w:color w:val="auto"/>
          <w:sz w:val="24"/>
          <w:szCs w:val="24"/>
          <w:lang w:bidi="ar"/>
        </w:rPr>
        <w:t>5.2 质量保证措施</w:t>
      </w:r>
      <w:bookmarkEnd w:id="517"/>
    </w:p>
    <w:p w14:paraId="1CFF949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本款补充5.2.4项：</w:t>
      </w:r>
    </w:p>
    <w:p w14:paraId="1BD9DE3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5.2.4 在工程建设中，参建各方应严格执行以下规定（包括但不限于）：</w:t>
      </w:r>
    </w:p>
    <w:p w14:paraId="775611C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u w:val="single"/>
          <w:lang w:bidi="ar"/>
        </w:rPr>
        <w:t>《建筑工程施工质量验收统一标准》（GB50300-2013）</w:t>
      </w:r>
      <w:r>
        <w:rPr>
          <w:rFonts w:hint="eastAsia" w:ascii="宋体" w:hAnsi="宋体" w:eastAsia="宋体" w:cs="宋体"/>
          <w:color w:val="auto"/>
          <w:sz w:val="24"/>
          <w:szCs w:val="24"/>
          <w:lang w:bidi="ar"/>
        </w:rPr>
        <w:t>；</w:t>
      </w:r>
    </w:p>
    <w:p w14:paraId="6D2BAFF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r>
        <w:rPr>
          <w:rFonts w:hint="eastAsia" w:ascii="宋体" w:hAnsi="宋体" w:eastAsia="宋体" w:cs="宋体"/>
          <w:color w:val="auto"/>
          <w:sz w:val="24"/>
          <w:szCs w:val="24"/>
          <w:u w:val="single"/>
          <w:lang w:bidi="ar"/>
        </w:rPr>
        <w:t>《住房城乡建设部关于印发工程质量安全提升行动方案的通知》（建质〔2017〕57号）</w:t>
      </w:r>
      <w:r>
        <w:rPr>
          <w:rFonts w:hint="eastAsia" w:ascii="宋体" w:hAnsi="宋体" w:eastAsia="宋体" w:cs="宋体"/>
          <w:color w:val="auto"/>
          <w:sz w:val="24"/>
          <w:szCs w:val="24"/>
          <w:lang w:bidi="ar"/>
        </w:rPr>
        <w:t>；</w:t>
      </w:r>
    </w:p>
    <w:p w14:paraId="2C634FF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r>
        <w:rPr>
          <w:rFonts w:hint="eastAsia" w:ascii="宋体" w:hAnsi="宋体" w:eastAsia="宋体" w:cs="宋体"/>
          <w:color w:val="auto"/>
          <w:sz w:val="24"/>
          <w:szCs w:val="24"/>
          <w:u w:val="single"/>
          <w:lang w:bidi="ar"/>
        </w:rPr>
        <w:t>《房屋建筑和市政基础设施工程竣工验收规定》（建质〔2013〕171号）</w:t>
      </w:r>
      <w:r>
        <w:rPr>
          <w:rFonts w:hint="eastAsia" w:ascii="宋体" w:hAnsi="宋体" w:eastAsia="宋体" w:cs="宋体"/>
          <w:color w:val="auto"/>
          <w:sz w:val="24"/>
          <w:szCs w:val="24"/>
          <w:lang w:bidi="ar"/>
        </w:rPr>
        <w:t>；</w:t>
      </w:r>
    </w:p>
    <w:p w14:paraId="3985DF7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u w:val="single"/>
          <w:lang w:bidi="ar"/>
        </w:rPr>
        <w:t>《建设部关于贯彻执行建筑工程勘察设计及施工质量验收规范若干问题的通知》（建标〔2002〕212号）</w:t>
      </w:r>
      <w:r>
        <w:rPr>
          <w:rFonts w:hint="eastAsia" w:ascii="宋体" w:hAnsi="宋体" w:eastAsia="宋体" w:cs="宋体"/>
          <w:color w:val="auto"/>
          <w:sz w:val="24"/>
          <w:szCs w:val="24"/>
          <w:lang w:bidi="ar"/>
        </w:rPr>
        <w:t>；</w:t>
      </w:r>
    </w:p>
    <w:p w14:paraId="095F240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w:t>
      </w:r>
      <w:r>
        <w:rPr>
          <w:rFonts w:hint="eastAsia" w:ascii="宋体" w:hAnsi="宋体" w:eastAsia="宋体" w:cs="宋体"/>
          <w:color w:val="auto"/>
          <w:sz w:val="24"/>
          <w:szCs w:val="24"/>
          <w:u w:val="single"/>
          <w:lang w:bidi="ar"/>
        </w:rPr>
        <w:t>《重庆市住房和城乡建设委员会关于印发&lt;重庆市房屋建筑和市政基础设施工程质量常见问题防治要点（2019年版）&gt;的通知》（渝建〔2019〕198号）</w:t>
      </w:r>
      <w:r>
        <w:rPr>
          <w:rFonts w:hint="eastAsia" w:ascii="宋体" w:hAnsi="宋体" w:eastAsia="宋体" w:cs="宋体"/>
          <w:color w:val="auto"/>
          <w:sz w:val="24"/>
          <w:szCs w:val="24"/>
          <w:lang w:bidi="ar"/>
        </w:rPr>
        <w:t>；</w:t>
      </w:r>
    </w:p>
    <w:p w14:paraId="094AD26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r>
        <w:rPr>
          <w:rFonts w:hint="eastAsia" w:ascii="宋体" w:hAnsi="宋体" w:eastAsia="宋体" w:cs="宋体"/>
          <w:color w:val="auto"/>
          <w:sz w:val="24"/>
          <w:szCs w:val="24"/>
          <w:u w:val="single"/>
          <w:lang w:bidi="ar"/>
        </w:rPr>
        <w:t>《关于印发&lt;重庆市房屋建筑和市政基础设施工程预拌商品砂浆应用推进工作方案&gt;的通知》（渝建〔2018〕375号）</w:t>
      </w:r>
      <w:r>
        <w:rPr>
          <w:rFonts w:hint="eastAsia" w:ascii="宋体" w:hAnsi="宋体" w:eastAsia="宋体" w:cs="宋体"/>
          <w:color w:val="auto"/>
          <w:sz w:val="24"/>
          <w:szCs w:val="24"/>
          <w:lang w:bidi="ar"/>
        </w:rPr>
        <w:t>；</w:t>
      </w:r>
    </w:p>
    <w:p w14:paraId="141BA47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w:t>
      </w:r>
      <w:r>
        <w:rPr>
          <w:rFonts w:hint="eastAsia" w:ascii="宋体" w:hAnsi="宋体" w:eastAsia="宋体" w:cs="宋体"/>
          <w:color w:val="auto"/>
          <w:sz w:val="24"/>
          <w:szCs w:val="24"/>
          <w:u w:val="single"/>
          <w:lang w:bidi="ar"/>
        </w:rPr>
        <w:t>《重庆市城乡建设委员会关于印发2018年房屋建筑和市政基础设施工程质量要点的通知》（渝建〔2018〕94号）</w:t>
      </w:r>
      <w:r>
        <w:rPr>
          <w:rFonts w:hint="eastAsia" w:ascii="宋体" w:hAnsi="宋体" w:eastAsia="宋体" w:cs="宋体"/>
          <w:color w:val="auto"/>
          <w:sz w:val="24"/>
          <w:szCs w:val="24"/>
          <w:lang w:bidi="ar"/>
        </w:rPr>
        <w:t>；</w:t>
      </w:r>
    </w:p>
    <w:p w14:paraId="1442CCA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r>
        <w:rPr>
          <w:rFonts w:hint="eastAsia" w:ascii="宋体" w:hAnsi="宋体" w:eastAsia="宋体" w:cs="宋体"/>
          <w:color w:val="auto"/>
          <w:sz w:val="24"/>
          <w:szCs w:val="24"/>
          <w:u w:val="single"/>
          <w:lang w:bidi="ar"/>
        </w:rPr>
        <w:t>《重庆市城乡建设委员会关于进一步推广应用预拌商品砂浆的通知》（渝建〔2016〕318号）</w:t>
      </w:r>
      <w:r>
        <w:rPr>
          <w:rFonts w:hint="eastAsia" w:ascii="宋体" w:hAnsi="宋体" w:eastAsia="宋体" w:cs="宋体"/>
          <w:color w:val="auto"/>
          <w:sz w:val="24"/>
          <w:szCs w:val="24"/>
          <w:lang w:bidi="ar"/>
        </w:rPr>
        <w:t>；</w:t>
      </w:r>
    </w:p>
    <w:p w14:paraId="2101182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w:t>
      </w:r>
      <w:r>
        <w:rPr>
          <w:rFonts w:hint="eastAsia" w:ascii="宋体" w:hAnsi="宋体" w:eastAsia="宋体" w:cs="宋体"/>
          <w:color w:val="auto"/>
          <w:sz w:val="24"/>
          <w:szCs w:val="24"/>
          <w:u w:val="single"/>
          <w:lang w:bidi="ar"/>
        </w:rPr>
        <w:t>《重庆市建设委员会关于发布&lt;建筑工程施工质量验收规范用表（建筑节能分部工程）&gt;和&lt;建设工程技术用表（建筑节能工程）&gt;的通知》（渝建发〔2008〕76号）</w:t>
      </w:r>
      <w:r>
        <w:rPr>
          <w:rFonts w:hint="eastAsia" w:ascii="宋体" w:hAnsi="宋体" w:eastAsia="宋体" w:cs="宋体"/>
          <w:color w:val="auto"/>
          <w:sz w:val="24"/>
          <w:szCs w:val="24"/>
          <w:lang w:bidi="ar"/>
        </w:rPr>
        <w:t>；</w:t>
      </w:r>
    </w:p>
    <w:p w14:paraId="2590F33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w:t>
      </w:r>
      <w:r>
        <w:rPr>
          <w:rFonts w:hint="eastAsia" w:ascii="宋体" w:hAnsi="宋体" w:eastAsia="宋体" w:cs="宋体"/>
          <w:color w:val="auto"/>
          <w:sz w:val="24"/>
          <w:szCs w:val="24"/>
          <w:u w:val="single"/>
          <w:lang w:bidi="ar"/>
        </w:rPr>
        <w:t>国家和本市现行有关建设工程质量验收标准、规范和要求</w:t>
      </w:r>
      <w:r>
        <w:rPr>
          <w:rFonts w:hint="eastAsia" w:ascii="宋体" w:hAnsi="宋体" w:eastAsia="宋体" w:cs="宋体"/>
          <w:color w:val="auto"/>
          <w:sz w:val="24"/>
          <w:szCs w:val="24"/>
          <w:lang w:bidi="ar"/>
        </w:rPr>
        <w:t>；</w:t>
      </w:r>
    </w:p>
    <w:p w14:paraId="3C9308F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2E289BF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承包人、监理人和发包人在工程建设中，应严格执行国家及重庆市现行标准，如上述标准及规范要求有出入则以较严格者为准。</w:t>
      </w:r>
    </w:p>
    <w:p w14:paraId="168DC3C6">
      <w:pPr>
        <w:keepNext/>
        <w:keepLines/>
        <w:tabs>
          <w:tab w:val="left" w:pos="2551"/>
        </w:tabs>
        <w:spacing w:line="440" w:lineRule="exact"/>
        <w:outlineLvl w:val="4"/>
        <w:rPr>
          <w:rFonts w:hint="eastAsia" w:ascii="宋体" w:hAnsi="宋体" w:eastAsia="宋体" w:cs="宋体"/>
          <w:b/>
          <w:color w:val="auto"/>
          <w:sz w:val="24"/>
          <w:szCs w:val="24"/>
        </w:rPr>
      </w:pPr>
      <w:bookmarkStart w:id="518" w:name="_Toc351203536"/>
      <w:bookmarkStart w:id="519" w:name="_Toc532377347"/>
      <w:bookmarkStart w:id="520" w:name="_Hlk528927873"/>
      <w:r>
        <w:rPr>
          <w:rFonts w:hint="eastAsia" w:ascii="宋体" w:hAnsi="宋体" w:eastAsia="宋体" w:cs="宋体"/>
          <w:b/>
          <w:color w:val="auto"/>
          <w:sz w:val="24"/>
          <w:szCs w:val="24"/>
          <w:lang w:bidi="ar"/>
        </w:rPr>
        <w:t>5.3隐蔽工程检查</w:t>
      </w:r>
    </w:p>
    <w:p w14:paraId="170631D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5.3.2检查程序</w:t>
      </w:r>
    </w:p>
    <w:p w14:paraId="3B004B4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工程隐蔽部位经承包人自检确认具备覆盖条件的，承包人应在共同检查前</w:t>
      </w:r>
      <w:r>
        <w:rPr>
          <w:rFonts w:hint="eastAsia" w:ascii="宋体" w:hAnsi="宋体" w:eastAsia="宋体" w:cs="宋体"/>
          <w:color w:val="auto"/>
          <w:sz w:val="24"/>
          <w:szCs w:val="24"/>
          <w:u w:val="single"/>
          <w:lang w:bidi="ar"/>
        </w:rPr>
        <w:t xml:space="preserve"> 48 </w:t>
      </w:r>
      <w:r>
        <w:rPr>
          <w:rFonts w:hint="eastAsia" w:ascii="宋体" w:hAnsi="宋体" w:eastAsia="宋体" w:cs="宋体"/>
          <w:color w:val="auto"/>
          <w:sz w:val="24"/>
          <w:szCs w:val="24"/>
          <w:lang w:bidi="ar"/>
        </w:rPr>
        <w:t>小时书面通知监理人检查，通知中应载明隐蔽检查的内容、时间和地点，并应附有自检记录和必要的检查资料。</w:t>
      </w:r>
    </w:p>
    <w:p w14:paraId="516E4F4A">
      <w:pPr>
        <w:keepNext/>
        <w:keepLines/>
        <w:tabs>
          <w:tab w:val="left" w:pos="2551"/>
        </w:tabs>
        <w:spacing w:line="440" w:lineRule="exact"/>
        <w:outlineLvl w:val="4"/>
        <w:rPr>
          <w:rFonts w:hint="eastAsia" w:ascii="宋体" w:hAnsi="宋体" w:eastAsia="宋体" w:cs="宋体"/>
          <w:b/>
          <w:color w:val="auto"/>
          <w:sz w:val="24"/>
          <w:szCs w:val="24"/>
        </w:rPr>
      </w:pPr>
      <w:r>
        <w:rPr>
          <w:rFonts w:hint="eastAsia" w:ascii="宋体" w:hAnsi="宋体" w:eastAsia="宋体" w:cs="宋体"/>
          <w:b/>
          <w:color w:val="auto"/>
          <w:sz w:val="24"/>
          <w:szCs w:val="24"/>
          <w:lang w:bidi="ar"/>
        </w:rPr>
        <w:t>5</w:t>
      </w:r>
      <w:bookmarkStart w:id="521" w:name="_Toc337558762"/>
      <w:r>
        <w:rPr>
          <w:rFonts w:hint="eastAsia" w:ascii="宋体" w:hAnsi="宋体" w:eastAsia="宋体" w:cs="宋体"/>
          <w:b/>
          <w:color w:val="auto"/>
          <w:sz w:val="24"/>
          <w:szCs w:val="24"/>
          <w:lang w:bidi="ar"/>
        </w:rPr>
        <w:t>.4 不合格工程的处理</w:t>
      </w:r>
      <w:bookmarkEnd w:id="518"/>
      <w:bookmarkEnd w:id="519"/>
    </w:p>
    <w:bookmarkEnd w:id="521"/>
    <w:p w14:paraId="55CBB7C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本款补充5.4.3项：</w:t>
      </w:r>
    </w:p>
    <w:p w14:paraId="2BB9E23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5.4.3 承包人在收到监理人发出的《不合格分项报告》或监理通知单后，必须在监理人规定时间内按要求完成整改，未能在限定时间内完成整改的，须承担相应违约责任。</w:t>
      </w:r>
    </w:p>
    <w:p w14:paraId="48A938F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本条补充5.6款：</w:t>
      </w:r>
    </w:p>
    <w:bookmarkEnd w:id="520"/>
    <w:p w14:paraId="789F06C1">
      <w:pPr>
        <w:keepNext/>
        <w:keepLines/>
        <w:tabs>
          <w:tab w:val="left" w:pos="2551"/>
        </w:tabs>
        <w:spacing w:line="440" w:lineRule="exact"/>
        <w:outlineLvl w:val="4"/>
        <w:rPr>
          <w:rFonts w:hint="eastAsia" w:ascii="宋体" w:hAnsi="宋体" w:eastAsia="宋体" w:cs="宋体"/>
          <w:b/>
          <w:color w:val="auto"/>
          <w:sz w:val="24"/>
          <w:szCs w:val="24"/>
        </w:rPr>
      </w:pPr>
      <w:bookmarkStart w:id="522" w:name="_Toc532377348"/>
      <w:r>
        <w:rPr>
          <w:rFonts w:hint="eastAsia" w:ascii="宋体" w:hAnsi="宋体" w:eastAsia="宋体" w:cs="宋体"/>
          <w:b/>
          <w:color w:val="auto"/>
          <w:sz w:val="24"/>
          <w:szCs w:val="24"/>
          <w:lang w:bidi="ar"/>
        </w:rPr>
        <w:t>5.6 质量事故的处理</w:t>
      </w:r>
      <w:bookmarkEnd w:id="522"/>
    </w:p>
    <w:p w14:paraId="36E67D1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5.6.1 合同履行过程中，发生工程质量事故的调查处理按照国家及重庆市现行规定处理。</w:t>
      </w:r>
    </w:p>
    <w:p w14:paraId="71E8642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498"/>
    <w:bookmarkEnd w:id="499"/>
    <w:bookmarkEnd w:id="500"/>
    <w:bookmarkEnd w:id="501"/>
    <w:bookmarkEnd w:id="502"/>
    <w:bookmarkEnd w:id="503"/>
    <w:bookmarkEnd w:id="504"/>
    <w:bookmarkEnd w:id="505"/>
    <w:bookmarkEnd w:id="506"/>
    <w:bookmarkEnd w:id="507"/>
    <w:bookmarkEnd w:id="510"/>
    <w:bookmarkEnd w:id="511"/>
    <w:bookmarkEnd w:id="512"/>
    <w:bookmarkEnd w:id="513"/>
    <w:bookmarkEnd w:id="514"/>
    <w:bookmarkEnd w:id="515"/>
    <w:bookmarkEnd w:id="516"/>
    <w:p w14:paraId="75B861E8">
      <w:pPr>
        <w:keepNext/>
        <w:keepLines/>
        <w:spacing w:before="120" w:beforeLines="50" w:after="120" w:afterLines="50" w:line="440" w:lineRule="exact"/>
        <w:outlineLvl w:val="3"/>
        <w:rPr>
          <w:rFonts w:hint="eastAsia" w:ascii="宋体" w:hAnsi="宋体" w:eastAsia="宋体" w:cs="宋体"/>
          <w:b/>
          <w:color w:val="auto"/>
          <w:sz w:val="24"/>
          <w:szCs w:val="24"/>
        </w:rPr>
      </w:pPr>
      <w:bookmarkStart w:id="523" w:name="_Toc532375613"/>
      <w:bookmarkStart w:id="524" w:name="_Toc351203638"/>
      <w:bookmarkStart w:id="525" w:name="_Toc532377349"/>
      <w:bookmarkStart w:id="526" w:name="_Toc297048359"/>
      <w:bookmarkStart w:id="527" w:name="_Toc292559883"/>
      <w:bookmarkStart w:id="528" w:name="_Toc351203642"/>
      <w:bookmarkStart w:id="529" w:name="_Toc297120473"/>
      <w:bookmarkStart w:id="530" w:name="_Toc296944512"/>
      <w:bookmarkStart w:id="531" w:name="_Toc296346674"/>
      <w:bookmarkStart w:id="532" w:name="_Toc292559378"/>
      <w:bookmarkStart w:id="533" w:name="_Toc267251428"/>
      <w:bookmarkStart w:id="534" w:name="_Toc296891213"/>
      <w:bookmarkStart w:id="535" w:name="_Toc296891001"/>
      <w:bookmarkStart w:id="536" w:name="_Toc296347172"/>
      <w:bookmarkStart w:id="537" w:name="_Toc267251427"/>
      <w:bookmarkStart w:id="538" w:name="_Toc296503173"/>
      <w:r>
        <w:rPr>
          <w:rFonts w:hint="eastAsia" w:ascii="宋体" w:hAnsi="宋体" w:eastAsia="宋体" w:cs="宋体"/>
          <w:b/>
          <w:color w:val="auto"/>
          <w:sz w:val="24"/>
          <w:szCs w:val="24"/>
          <w:lang w:bidi="ar"/>
        </w:rPr>
        <w:t>6. 安全文明施工与环境保护</w:t>
      </w:r>
      <w:bookmarkEnd w:id="523"/>
      <w:bookmarkEnd w:id="524"/>
      <w:bookmarkEnd w:id="525"/>
    </w:p>
    <w:p w14:paraId="70EBB365">
      <w:pPr>
        <w:keepNext/>
        <w:keepLines/>
        <w:tabs>
          <w:tab w:val="left" w:pos="2551"/>
        </w:tabs>
        <w:spacing w:line="440" w:lineRule="exact"/>
        <w:outlineLvl w:val="4"/>
        <w:rPr>
          <w:rFonts w:hint="eastAsia" w:ascii="宋体" w:hAnsi="宋体" w:eastAsia="宋体" w:cs="宋体"/>
          <w:b/>
          <w:color w:val="auto"/>
          <w:sz w:val="24"/>
          <w:szCs w:val="24"/>
        </w:rPr>
      </w:pPr>
      <w:bookmarkStart w:id="539" w:name="_Toc532375614"/>
      <w:bookmarkStart w:id="540" w:name="_Toc532377350"/>
      <w:r>
        <w:rPr>
          <w:rFonts w:hint="eastAsia" w:ascii="宋体" w:hAnsi="宋体" w:eastAsia="宋体" w:cs="宋体"/>
          <w:b/>
          <w:color w:val="auto"/>
          <w:sz w:val="24"/>
          <w:szCs w:val="24"/>
          <w:lang w:bidi="ar"/>
        </w:rPr>
        <w:t>6.1 安全文明施工</w:t>
      </w:r>
      <w:bookmarkEnd w:id="539"/>
      <w:bookmarkEnd w:id="540"/>
    </w:p>
    <w:p w14:paraId="13611D4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承包人必须认真贯彻执行国家安全生产法律、法规、规章和标准，按照重庆市现行的质量、安全文明施工有关规定和发包人安全管理的有关规定，建立完善的质量、安全、文明施工管理制度。</w:t>
      </w:r>
    </w:p>
    <w:p w14:paraId="611E5FF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2DB1F1D">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6.1.1 项目安全生产的达标目标及相应事项的约定：</w:t>
      </w:r>
      <w:r>
        <w:rPr>
          <w:rFonts w:hint="eastAsia" w:ascii="宋体" w:hAnsi="宋体" w:eastAsia="宋体" w:cs="宋体"/>
          <w:color w:val="auto"/>
          <w:sz w:val="24"/>
          <w:szCs w:val="24"/>
          <w:u w:val="single"/>
          <w:lang w:bidi="ar"/>
        </w:rPr>
        <w:t>达到《建筑施工安全检查标准》（JGJ59-2011）的要求</w:t>
      </w:r>
      <w:r>
        <w:rPr>
          <w:rFonts w:hint="eastAsia" w:ascii="宋体" w:hAnsi="宋体" w:eastAsia="宋体" w:cs="宋体"/>
          <w:color w:val="auto"/>
          <w:sz w:val="24"/>
          <w:szCs w:val="24"/>
          <w:lang w:bidi="ar"/>
        </w:rPr>
        <w:t>。</w:t>
      </w:r>
    </w:p>
    <w:p w14:paraId="5412ECA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（1）按现行安全文明施工费计取及使用管理的政策文件规定及发包人制订的安全管理制度执行</w:t>
      </w:r>
      <w:r>
        <w:rPr>
          <w:rFonts w:hint="eastAsia" w:ascii="宋体" w:hAnsi="宋体" w:eastAsia="宋体" w:cs="宋体"/>
          <w:color w:val="auto"/>
          <w:sz w:val="24"/>
          <w:szCs w:val="24"/>
          <w:lang w:bidi="ar"/>
        </w:rPr>
        <w:t>。</w:t>
      </w:r>
    </w:p>
    <w:p w14:paraId="323F138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（2）承包人的原因造成事故，由此产生的法律责任和事故责任及费用由承包人全部承担</w:t>
      </w:r>
      <w:r>
        <w:rPr>
          <w:rFonts w:hint="eastAsia" w:ascii="宋体" w:hAnsi="宋体" w:eastAsia="宋体" w:cs="宋体"/>
          <w:color w:val="auto"/>
          <w:sz w:val="24"/>
          <w:szCs w:val="24"/>
          <w:lang w:bidi="ar"/>
        </w:rPr>
        <w:t>。</w:t>
      </w:r>
    </w:p>
    <w:p w14:paraId="6EEBB0F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（3）承包人向发包人做出安全承诺，并签订《安全生产目标责任书》和《安全承诺书》</w:t>
      </w:r>
      <w:r>
        <w:rPr>
          <w:rFonts w:hint="eastAsia" w:ascii="宋体" w:hAnsi="宋体" w:eastAsia="宋体" w:cs="宋体"/>
          <w:color w:val="auto"/>
          <w:sz w:val="24"/>
          <w:szCs w:val="24"/>
          <w:lang w:bidi="ar"/>
        </w:rPr>
        <w:t>。</w:t>
      </w:r>
    </w:p>
    <w:p w14:paraId="3619C53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（4）承包人在施工过程中，必须严格执行安全生产法的相关规定，制定切实可靠的安全技术措施</w:t>
      </w:r>
      <w:r>
        <w:rPr>
          <w:rFonts w:hint="eastAsia" w:ascii="宋体" w:hAnsi="宋体" w:eastAsia="宋体" w:cs="宋体"/>
          <w:color w:val="auto"/>
          <w:sz w:val="24"/>
          <w:szCs w:val="24"/>
          <w:lang w:bidi="ar"/>
        </w:rPr>
        <w:t>。</w:t>
      </w:r>
    </w:p>
    <w:p w14:paraId="408FD9D7">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（5）接受发包人安全监督和管理，在施工中违反安全管理规定和操作规程、违章作业的，承担违约责任</w:t>
      </w:r>
      <w:r>
        <w:rPr>
          <w:rFonts w:hint="eastAsia" w:ascii="宋体" w:hAnsi="宋体" w:eastAsia="宋体" w:cs="宋体"/>
          <w:color w:val="auto"/>
          <w:sz w:val="24"/>
          <w:szCs w:val="24"/>
          <w:lang w:bidi="ar"/>
        </w:rPr>
        <w:t>。</w:t>
      </w:r>
    </w:p>
    <w:p w14:paraId="65AF7D2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6.1.4 关于治安保卫的特别约定：</w:t>
      </w:r>
      <w:r>
        <w:rPr>
          <w:rFonts w:hint="eastAsia" w:ascii="宋体" w:hAnsi="宋体" w:eastAsia="宋体" w:cs="宋体"/>
          <w:color w:val="auto"/>
          <w:sz w:val="24"/>
          <w:szCs w:val="24"/>
          <w:u w:val="single"/>
          <w:lang w:bidi="ar"/>
        </w:rPr>
        <w:t>承包人负责组建施工现场治安管理机构或联防组织；承包人负责编制施工场地治安管理计划和突发治安事件紧急预案</w:t>
      </w:r>
      <w:r>
        <w:rPr>
          <w:rFonts w:hint="eastAsia" w:ascii="宋体" w:hAnsi="宋体" w:eastAsia="宋体" w:cs="宋体"/>
          <w:color w:val="auto"/>
          <w:sz w:val="24"/>
          <w:szCs w:val="24"/>
          <w:lang w:bidi="ar"/>
        </w:rPr>
        <w:t>。</w:t>
      </w:r>
    </w:p>
    <w:p w14:paraId="7970482D">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关于编制施工场地治安管理计划的约定：</w:t>
      </w:r>
      <w:r>
        <w:rPr>
          <w:rFonts w:hint="eastAsia" w:ascii="宋体" w:hAnsi="宋体" w:eastAsia="宋体" w:cs="宋体"/>
          <w:color w:val="auto"/>
          <w:sz w:val="24"/>
          <w:szCs w:val="24"/>
          <w:u w:val="single"/>
          <w:lang w:bidi="ar"/>
        </w:rPr>
        <w:t>由承包人负责</w:t>
      </w:r>
      <w:r>
        <w:rPr>
          <w:rFonts w:hint="eastAsia" w:ascii="宋体" w:hAnsi="宋体" w:eastAsia="宋体" w:cs="宋体"/>
          <w:color w:val="auto"/>
          <w:sz w:val="24"/>
          <w:szCs w:val="24"/>
          <w:lang w:bidi="ar"/>
        </w:rPr>
        <w:t>。</w:t>
      </w:r>
    </w:p>
    <w:p w14:paraId="2B379AF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6.1.5 文明施工</w:t>
      </w:r>
    </w:p>
    <w:p w14:paraId="4D8F16DB">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合同当事人对文明施工的要求：</w:t>
      </w:r>
      <w:r>
        <w:rPr>
          <w:rFonts w:hint="eastAsia" w:ascii="宋体" w:hAnsi="宋体" w:eastAsia="宋体" w:cs="宋体"/>
          <w:color w:val="auto"/>
          <w:sz w:val="24"/>
          <w:szCs w:val="24"/>
          <w:u w:val="single"/>
          <w:lang w:bidi="ar"/>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eastAsia="宋体" w:cs="宋体"/>
          <w:color w:val="auto"/>
          <w:sz w:val="24"/>
          <w:szCs w:val="24"/>
          <w:lang w:bidi="ar"/>
        </w:rPr>
        <w:t>。</w:t>
      </w:r>
    </w:p>
    <w:p w14:paraId="03D2E7EB">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eastAsia="宋体" w:cs="宋体"/>
          <w:color w:val="auto"/>
          <w:sz w:val="24"/>
          <w:szCs w:val="24"/>
          <w:lang w:bidi="ar"/>
        </w:rPr>
        <w:t>。</w:t>
      </w:r>
    </w:p>
    <w:p w14:paraId="5F52CA06">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6.1.6 关于安全文明施工费支付比例和支付期限的约定：按照行业主管部门相关规定</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执行。</w:t>
      </w:r>
    </w:p>
    <w:p w14:paraId="0DAD091E">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安全文明施工费的要求与内容、提取支付方法以及违反约定造成损失的赔偿等条款，按照现行规范要求执行，做到专款专用。承包人拒不执行安全文明施工要求的，发包人有权按照相关规定暂停支付承包人安全文明施工费，且将承包人失信行为上报纳入政府采购失信行为名单中。</w:t>
      </w:r>
    </w:p>
    <w:p w14:paraId="4731303E">
      <w:pPr>
        <w:keepNext/>
        <w:keepLines/>
        <w:tabs>
          <w:tab w:val="left" w:pos="2551"/>
        </w:tabs>
        <w:spacing w:line="440" w:lineRule="exact"/>
        <w:outlineLvl w:val="4"/>
        <w:rPr>
          <w:rFonts w:hint="eastAsia" w:ascii="宋体" w:hAnsi="宋体" w:eastAsia="宋体" w:cs="宋体"/>
          <w:b/>
          <w:color w:val="auto"/>
          <w:sz w:val="24"/>
          <w:szCs w:val="24"/>
        </w:rPr>
      </w:pPr>
      <w:bookmarkStart w:id="541" w:name="_Toc532375615"/>
      <w:bookmarkStart w:id="542" w:name="_Toc532377351"/>
      <w:r>
        <w:rPr>
          <w:rFonts w:hint="eastAsia" w:ascii="宋体" w:hAnsi="宋体" w:eastAsia="宋体" w:cs="宋体"/>
          <w:b/>
          <w:color w:val="auto"/>
          <w:sz w:val="24"/>
          <w:szCs w:val="24"/>
          <w:lang w:bidi="ar"/>
        </w:rPr>
        <w:t>6.3 环境保护</w:t>
      </w:r>
      <w:bookmarkEnd w:id="541"/>
      <w:bookmarkEnd w:id="542"/>
    </w:p>
    <w:p w14:paraId="268EB484">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本款补充6.3.1～6.3.8项：</w:t>
      </w:r>
    </w:p>
    <w:p w14:paraId="2261337C">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4C7D928B">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32C64DD2">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6.3.3 承包人应加强生态环境保护工作。施工期间，采取边坡防护，挡渣坝、排水沟、沉淀池、表土剥离和绿化恢复等水土保持措施减少水土流失量，绿化恢复宜采用适于当地生长的植物。</w:t>
      </w:r>
    </w:p>
    <w:p w14:paraId="33630365">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6.3.4 承包人应认真落实水污染防治措施。施工期间，加强机械设备维护，减少跑冒滴漏等现象；做好含油废水处理措施；施工场地生活污水经生化处理后达到《污水综合排放标准》（GB8978-1996）一级标准后排放。</w:t>
      </w:r>
    </w:p>
    <w:p w14:paraId="3123AC5A">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6.3.5 承包人应重视大气污染物污染防治措施。施工期间，严格执行市政府“蓝天行动”方案等有关规定，通过洒水防尘，严格控制施工场地扬尘和运输扬尘污染。</w:t>
      </w:r>
    </w:p>
    <w:p w14:paraId="5303CFA7">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6.3.6 承包人应落实固体废物污染防治措施。施工期间，项目产生的弃方不可合理利用的，应运往指定的弃渣场内堆存；建筑垃圾运至指定的建筑垃圾消纳场处置；生活垃圾由当地环卫部门统一处置。</w:t>
      </w:r>
    </w:p>
    <w:p w14:paraId="40B96281">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6.3.7 承包人应认真落实噪声污染防治措施。施工期间，优选低噪声设备，合理安排施工时间，严格控制夜间施工，昼、夜施工场界需满足《建筑施工场界环境噪声排放标准》（GB12523-2011）。</w:t>
      </w:r>
    </w:p>
    <w:p w14:paraId="6ACAB37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6.3.8 承包人自行负责办理有关施工场地交通、环卫和施工噪音管理等手续，并应按要求结合自身实际和重庆市相关规定，考虑不低于以上标准的此类工作。</w:t>
      </w:r>
    </w:p>
    <w:p w14:paraId="74B726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6.3.9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2D66DA08">
      <w:pPr>
        <w:keepNext/>
        <w:keepLines/>
        <w:spacing w:before="120" w:beforeLines="50" w:after="120" w:afterLines="50" w:line="440" w:lineRule="exact"/>
        <w:outlineLvl w:val="3"/>
        <w:rPr>
          <w:rFonts w:hint="eastAsia" w:ascii="宋体" w:hAnsi="宋体" w:eastAsia="宋体" w:cs="宋体"/>
          <w:b/>
          <w:color w:val="auto"/>
          <w:sz w:val="24"/>
          <w:szCs w:val="24"/>
        </w:rPr>
      </w:pPr>
      <w:bookmarkStart w:id="543" w:name="_Toc351203639"/>
      <w:bookmarkStart w:id="544" w:name="_Toc532375616"/>
      <w:bookmarkStart w:id="545" w:name="_Toc532377352"/>
      <w:r>
        <w:rPr>
          <w:rFonts w:hint="eastAsia" w:ascii="宋体" w:hAnsi="宋体" w:eastAsia="宋体" w:cs="宋体"/>
          <w:b/>
          <w:color w:val="auto"/>
          <w:sz w:val="24"/>
          <w:szCs w:val="24"/>
          <w:lang w:bidi="ar"/>
        </w:rPr>
        <w:t>7. 工期和进度</w:t>
      </w:r>
      <w:bookmarkEnd w:id="543"/>
      <w:bookmarkEnd w:id="544"/>
      <w:bookmarkEnd w:id="545"/>
    </w:p>
    <w:p w14:paraId="1FA3DA43">
      <w:pPr>
        <w:keepNext/>
        <w:keepLines/>
        <w:tabs>
          <w:tab w:val="left" w:pos="2551"/>
        </w:tabs>
        <w:spacing w:line="440" w:lineRule="exact"/>
        <w:outlineLvl w:val="4"/>
        <w:rPr>
          <w:rFonts w:hint="eastAsia" w:ascii="宋体" w:hAnsi="宋体" w:eastAsia="宋体" w:cs="宋体"/>
          <w:b/>
          <w:color w:val="auto"/>
          <w:sz w:val="24"/>
          <w:szCs w:val="24"/>
        </w:rPr>
      </w:pPr>
      <w:bookmarkStart w:id="546" w:name="_Toc532377353"/>
      <w:bookmarkStart w:id="547" w:name="_Toc532375617"/>
      <w:r>
        <w:rPr>
          <w:rFonts w:hint="eastAsia" w:ascii="宋体" w:hAnsi="宋体" w:eastAsia="宋体" w:cs="宋体"/>
          <w:b/>
          <w:color w:val="auto"/>
          <w:sz w:val="24"/>
          <w:szCs w:val="24"/>
          <w:lang w:bidi="ar"/>
        </w:rPr>
        <w:t>7.1 施工组织设计</w:t>
      </w:r>
      <w:bookmarkEnd w:id="546"/>
      <w:bookmarkEnd w:id="547"/>
    </w:p>
    <w:p w14:paraId="3188CFB6">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7.1.1 合同当事人约定的施工组织设计应包括的其他内容：</w:t>
      </w:r>
      <w:r>
        <w:rPr>
          <w:rFonts w:hint="eastAsia" w:ascii="宋体" w:hAnsi="宋体" w:eastAsia="宋体" w:cs="宋体"/>
          <w:color w:val="auto"/>
          <w:sz w:val="24"/>
          <w:szCs w:val="24"/>
          <w:u w:val="single"/>
          <w:lang w:bidi="ar"/>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宋体"/>
          <w:color w:val="auto"/>
          <w:sz w:val="24"/>
          <w:szCs w:val="24"/>
          <w:lang w:bidi="ar"/>
        </w:rPr>
        <w:t>。</w:t>
      </w:r>
    </w:p>
    <w:p w14:paraId="1AC45109">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7.1.2 施工组织设计的提交和修改</w:t>
      </w:r>
    </w:p>
    <w:p w14:paraId="0081ADB6">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承包人提交详细施工组织设计的期限的约定：</w:t>
      </w:r>
      <w:r>
        <w:rPr>
          <w:rFonts w:hint="eastAsia" w:ascii="宋体" w:hAnsi="宋体" w:eastAsia="宋体" w:cs="宋体"/>
          <w:color w:val="auto"/>
          <w:sz w:val="24"/>
          <w:szCs w:val="24"/>
          <w:u w:val="single"/>
          <w:lang w:bidi="ar"/>
        </w:rPr>
        <w:t>合同签订后10天内，但最迟不得晚于开工通知载明的开工日期前7天</w:t>
      </w:r>
      <w:r>
        <w:rPr>
          <w:rFonts w:hint="eastAsia" w:ascii="宋体" w:hAnsi="宋体" w:eastAsia="宋体" w:cs="宋体"/>
          <w:color w:val="auto"/>
          <w:sz w:val="24"/>
          <w:szCs w:val="24"/>
          <w:lang w:bidi="ar"/>
        </w:rPr>
        <w:t>。</w:t>
      </w:r>
    </w:p>
    <w:p w14:paraId="5DF2404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发包人和监理人在收到详细的施工组织设计后确认或提出修改意见的期限：</w:t>
      </w:r>
      <w:r>
        <w:rPr>
          <w:rFonts w:hint="eastAsia" w:ascii="宋体" w:hAnsi="宋体" w:eastAsia="宋体" w:cs="宋体"/>
          <w:color w:val="auto"/>
          <w:sz w:val="24"/>
          <w:szCs w:val="24"/>
          <w:u w:val="single"/>
          <w:lang w:bidi="ar"/>
        </w:rPr>
        <w:t>收到施工组织设计后7天内</w:t>
      </w:r>
      <w:r>
        <w:rPr>
          <w:rFonts w:hint="eastAsia" w:ascii="宋体" w:hAnsi="宋体" w:eastAsia="宋体" w:cs="宋体"/>
          <w:color w:val="auto"/>
          <w:sz w:val="24"/>
          <w:szCs w:val="24"/>
          <w:lang w:bidi="ar"/>
        </w:rPr>
        <w:t>。</w:t>
      </w:r>
    </w:p>
    <w:p w14:paraId="3CC93DE0">
      <w:pPr>
        <w:keepNext/>
        <w:keepLines/>
        <w:tabs>
          <w:tab w:val="left" w:pos="2551"/>
        </w:tabs>
        <w:spacing w:line="440" w:lineRule="exact"/>
        <w:outlineLvl w:val="4"/>
        <w:rPr>
          <w:rFonts w:hint="eastAsia" w:ascii="宋体" w:hAnsi="宋体" w:eastAsia="宋体" w:cs="宋体"/>
          <w:b/>
          <w:color w:val="auto"/>
          <w:sz w:val="24"/>
          <w:szCs w:val="24"/>
        </w:rPr>
      </w:pPr>
      <w:bookmarkStart w:id="548" w:name="_Toc532375618"/>
      <w:bookmarkStart w:id="549" w:name="_Toc532377354"/>
      <w:r>
        <w:rPr>
          <w:rFonts w:hint="eastAsia" w:ascii="宋体" w:hAnsi="宋体" w:eastAsia="宋体" w:cs="宋体"/>
          <w:b/>
          <w:color w:val="auto"/>
          <w:sz w:val="24"/>
          <w:szCs w:val="24"/>
          <w:lang w:bidi="ar"/>
        </w:rPr>
        <w:t>7.2 施工进度计划</w:t>
      </w:r>
      <w:bookmarkEnd w:id="548"/>
      <w:bookmarkEnd w:id="549"/>
    </w:p>
    <w:p w14:paraId="40AEFDA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7.2.2 施工进度计划的修订</w:t>
      </w:r>
    </w:p>
    <w:p w14:paraId="7A00D11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发包人和监理人在收到修订的施工进度计划后确认或提出修改意见的期限：</w:t>
      </w:r>
      <w:r>
        <w:rPr>
          <w:rFonts w:hint="eastAsia" w:ascii="宋体" w:hAnsi="宋体" w:eastAsia="宋体" w:cs="宋体"/>
          <w:color w:val="auto"/>
          <w:sz w:val="24"/>
          <w:szCs w:val="24"/>
          <w:u w:val="single"/>
          <w:lang w:bidi="ar"/>
        </w:rPr>
        <w:t>收到修订的施工进度计划后7天内</w:t>
      </w:r>
      <w:r>
        <w:rPr>
          <w:rFonts w:hint="eastAsia" w:ascii="宋体" w:hAnsi="宋体" w:eastAsia="宋体" w:cs="宋体"/>
          <w:color w:val="auto"/>
          <w:sz w:val="24"/>
          <w:szCs w:val="24"/>
          <w:lang w:bidi="ar"/>
        </w:rPr>
        <w:t>。</w:t>
      </w:r>
    </w:p>
    <w:p w14:paraId="4B91160D">
      <w:pPr>
        <w:keepNext/>
        <w:keepLines/>
        <w:tabs>
          <w:tab w:val="left" w:pos="2551"/>
        </w:tabs>
        <w:spacing w:line="440" w:lineRule="exact"/>
        <w:outlineLvl w:val="4"/>
        <w:rPr>
          <w:rFonts w:hint="eastAsia" w:ascii="宋体" w:hAnsi="宋体" w:eastAsia="宋体" w:cs="宋体"/>
          <w:b/>
          <w:color w:val="auto"/>
          <w:sz w:val="24"/>
          <w:szCs w:val="24"/>
        </w:rPr>
      </w:pPr>
      <w:bookmarkStart w:id="550" w:name="_Toc532375619"/>
      <w:bookmarkStart w:id="551" w:name="_Toc532377355"/>
      <w:bookmarkStart w:id="552" w:name="_Toc312677479"/>
      <w:bookmarkStart w:id="553" w:name="_Toc297123514"/>
      <w:bookmarkStart w:id="554" w:name="_Toc297216173"/>
      <w:bookmarkStart w:id="555" w:name="_Toc300934966"/>
      <w:bookmarkStart w:id="556" w:name="_Toc304295541"/>
      <w:bookmarkStart w:id="557" w:name="_Toc312678005"/>
      <w:bookmarkStart w:id="558" w:name="_Toc303539123"/>
      <w:r>
        <w:rPr>
          <w:rFonts w:hint="eastAsia" w:ascii="宋体" w:hAnsi="宋体" w:eastAsia="宋体" w:cs="宋体"/>
          <w:b/>
          <w:color w:val="auto"/>
          <w:sz w:val="24"/>
          <w:szCs w:val="24"/>
          <w:lang w:bidi="ar"/>
        </w:rPr>
        <w:t>7.3 开工</w:t>
      </w:r>
      <w:bookmarkEnd w:id="550"/>
      <w:bookmarkEnd w:id="551"/>
    </w:p>
    <w:p w14:paraId="680273A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7.3.1 开工准备</w:t>
      </w:r>
    </w:p>
    <w:p w14:paraId="0DD55FF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关于承包人提交工程开工报审表的期限：</w:t>
      </w:r>
      <w:r>
        <w:rPr>
          <w:rFonts w:hint="eastAsia" w:ascii="宋体" w:hAnsi="宋体" w:eastAsia="宋体" w:cs="宋体"/>
          <w:color w:val="auto"/>
          <w:sz w:val="24"/>
          <w:szCs w:val="24"/>
          <w:u w:val="single"/>
          <w:lang w:bidi="ar"/>
        </w:rPr>
        <w:t>不晚于开工前7天</w:t>
      </w:r>
      <w:r>
        <w:rPr>
          <w:rFonts w:hint="eastAsia" w:ascii="宋体" w:hAnsi="宋体" w:eastAsia="宋体" w:cs="宋体"/>
          <w:color w:val="auto"/>
          <w:sz w:val="24"/>
          <w:szCs w:val="24"/>
          <w:lang w:bidi="ar"/>
        </w:rPr>
        <w:t>。</w:t>
      </w:r>
    </w:p>
    <w:p w14:paraId="4CFC9A9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关于发包人应完成的其他开工准备工作及期限：</w:t>
      </w:r>
      <w:r>
        <w:rPr>
          <w:rFonts w:hint="eastAsia" w:ascii="宋体" w:hAnsi="宋体" w:eastAsia="宋体" w:cs="宋体"/>
          <w:color w:val="auto"/>
          <w:sz w:val="24"/>
          <w:szCs w:val="24"/>
          <w:u w:val="single"/>
          <w:lang w:bidi="ar"/>
        </w:rPr>
        <w:t>不晚于开工前7天</w:t>
      </w:r>
      <w:r>
        <w:rPr>
          <w:rFonts w:hint="eastAsia" w:ascii="宋体" w:hAnsi="宋体" w:eastAsia="宋体" w:cs="宋体"/>
          <w:color w:val="auto"/>
          <w:sz w:val="24"/>
          <w:szCs w:val="24"/>
          <w:lang w:bidi="ar"/>
        </w:rPr>
        <w:t>。</w:t>
      </w:r>
    </w:p>
    <w:p w14:paraId="1C4DF66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关于承包人应完成的其他开工准备工作及期限：</w:t>
      </w:r>
      <w:r>
        <w:rPr>
          <w:rFonts w:hint="eastAsia" w:ascii="宋体" w:hAnsi="宋体" w:eastAsia="宋体" w:cs="宋体"/>
          <w:color w:val="auto"/>
          <w:sz w:val="24"/>
          <w:szCs w:val="24"/>
          <w:u w:val="single"/>
          <w:lang w:bidi="ar"/>
        </w:rPr>
        <w:t>不晚于开工前7天</w:t>
      </w:r>
      <w:r>
        <w:rPr>
          <w:rFonts w:hint="eastAsia" w:ascii="宋体" w:hAnsi="宋体" w:eastAsia="宋体" w:cs="宋体"/>
          <w:color w:val="auto"/>
          <w:sz w:val="24"/>
          <w:szCs w:val="24"/>
          <w:lang w:bidi="ar"/>
        </w:rPr>
        <w:t>。</w:t>
      </w:r>
    </w:p>
    <w:bookmarkEnd w:id="552"/>
    <w:bookmarkEnd w:id="553"/>
    <w:bookmarkEnd w:id="554"/>
    <w:bookmarkEnd w:id="555"/>
    <w:bookmarkEnd w:id="556"/>
    <w:bookmarkEnd w:id="557"/>
    <w:bookmarkEnd w:id="558"/>
    <w:p w14:paraId="14EBA95B">
      <w:pPr>
        <w:keepNext/>
        <w:keepLines/>
        <w:tabs>
          <w:tab w:val="left" w:pos="2551"/>
        </w:tabs>
        <w:spacing w:line="440" w:lineRule="exact"/>
        <w:outlineLvl w:val="4"/>
        <w:rPr>
          <w:rFonts w:hint="eastAsia" w:ascii="宋体" w:hAnsi="宋体" w:eastAsia="宋体" w:cs="宋体"/>
          <w:b/>
          <w:color w:val="auto"/>
          <w:sz w:val="24"/>
          <w:szCs w:val="24"/>
        </w:rPr>
      </w:pPr>
      <w:bookmarkStart w:id="559" w:name="_Toc532377356"/>
      <w:bookmarkStart w:id="560" w:name="_Toc532375620"/>
      <w:r>
        <w:rPr>
          <w:rFonts w:hint="eastAsia" w:ascii="宋体" w:hAnsi="宋体" w:eastAsia="宋体" w:cs="宋体"/>
          <w:b/>
          <w:color w:val="auto"/>
          <w:sz w:val="24"/>
          <w:szCs w:val="24"/>
          <w:lang w:bidi="ar"/>
        </w:rPr>
        <w:t>7.4 测量放线</w:t>
      </w:r>
      <w:bookmarkEnd w:id="559"/>
      <w:bookmarkEnd w:id="560"/>
    </w:p>
    <w:p w14:paraId="48A602B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7.4.1 发包人通过监理人向承包人提供测量基准点、基准线和水准点及其书面资料的期限：</w:t>
      </w:r>
      <w:r>
        <w:rPr>
          <w:rFonts w:hint="eastAsia" w:ascii="宋体" w:hAnsi="宋体" w:eastAsia="宋体" w:cs="宋体"/>
          <w:color w:val="auto"/>
          <w:sz w:val="24"/>
          <w:szCs w:val="24"/>
          <w:u w:val="single"/>
          <w:lang w:bidi="ar"/>
        </w:rPr>
        <w:t>不晚于开工前7天</w:t>
      </w:r>
      <w:r>
        <w:rPr>
          <w:rFonts w:hint="eastAsia" w:ascii="宋体" w:hAnsi="宋体" w:eastAsia="宋体" w:cs="宋体"/>
          <w:color w:val="auto"/>
          <w:sz w:val="24"/>
          <w:szCs w:val="24"/>
          <w:lang w:bidi="ar"/>
        </w:rPr>
        <w:t>。</w:t>
      </w:r>
    </w:p>
    <w:p w14:paraId="036158C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承包人报监理人审批施工控制网资料的期限：</w:t>
      </w:r>
      <w:r>
        <w:rPr>
          <w:rFonts w:hint="eastAsia" w:ascii="宋体" w:hAnsi="宋体" w:eastAsia="宋体" w:cs="宋体"/>
          <w:color w:val="auto"/>
          <w:sz w:val="24"/>
          <w:szCs w:val="24"/>
          <w:u w:val="single"/>
          <w:lang w:bidi="ar"/>
        </w:rPr>
        <w:t>发出开工通知后7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宋体"/>
          <w:color w:val="auto"/>
          <w:sz w:val="24"/>
          <w:szCs w:val="24"/>
          <w:lang w:bidi="ar"/>
        </w:rPr>
        <w:t>。</w:t>
      </w:r>
    </w:p>
    <w:p w14:paraId="09314711">
      <w:pPr>
        <w:keepNext/>
        <w:keepLines/>
        <w:tabs>
          <w:tab w:val="left" w:pos="2551"/>
        </w:tabs>
        <w:spacing w:line="440" w:lineRule="exact"/>
        <w:outlineLvl w:val="4"/>
        <w:rPr>
          <w:rFonts w:hint="eastAsia" w:ascii="宋体" w:hAnsi="宋体" w:eastAsia="宋体" w:cs="宋体"/>
          <w:b/>
          <w:color w:val="auto"/>
          <w:sz w:val="24"/>
          <w:szCs w:val="24"/>
        </w:rPr>
      </w:pPr>
      <w:bookmarkStart w:id="561" w:name="_Toc532375621"/>
      <w:bookmarkStart w:id="562" w:name="_Toc532377357"/>
      <w:r>
        <w:rPr>
          <w:rFonts w:hint="eastAsia" w:ascii="宋体" w:hAnsi="宋体" w:eastAsia="宋体" w:cs="宋体"/>
          <w:b/>
          <w:color w:val="auto"/>
          <w:sz w:val="24"/>
          <w:szCs w:val="24"/>
          <w:lang w:bidi="ar"/>
        </w:rPr>
        <w:t>7</w:t>
      </w:r>
      <w:bookmarkStart w:id="563" w:name="_Toc312678010"/>
      <w:bookmarkStart w:id="564" w:name="_Toc304295546"/>
      <w:bookmarkStart w:id="565" w:name="_Toc312677484"/>
      <w:bookmarkStart w:id="566" w:name="_Toc297216175"/>
      <w:bookmarkStart w:id="567" w:name="_Toc303539125"/>
      <w:bookmarkStart w:id="568" w:name="_Toc300934968"/>
      <w:bookmarkStart w:id="569" w:name="_Toc297123516"/>
      <w:r>
        <w:rPr>
          <w:rFonts w:hint="eastAsia" w:ascii="宋体" w:hAnsi="宋体" w:eastAsia="宋体" w:cs="宋体"/>
          <w:b/>
          <w:color w:val="auto"/>
          <w:sz w:val="24"/>
          <w:szCs w:val="24"/>
          <w:lang w:bidi="ar"/>
        </w:rPr>
        <w:t>.5 工期延误</w:t>
      </w:r>
      <w:bookmarkEnd w:id="561"/>
      <w:bookmarkEnd w:id="562"/>
    </w:p>
    <w:bookmarkEnd w:id="563"/>
    <w:bookmarkEnd w:id="564"/>
    <w:bookmarkEnd w:id="565"/>
    <w:bookmarkEnd w:id="566"/>
    <w:bookmarkEnd w:id="567"/>
    <w:bookmarkEnd w:id="568"/>
    <w:bookmarkEnd w:id="569"/>
    <w:p w14:paraId="37C5ECDA">
      <w:pPr>
        <w:spacing w:line="440" w:lineRule="exact"/>
        <w:ind w:firstLine="480" w:firstLineChars="200"/>
        <w:jc w:val="left"/>
        <w:rPr>
          <w:rFonts w:hint="eastAsia" w:ascii="宋体" w:hAnsi="宋体" w:eastAsia="宋体" w:cs="宋体"/>
          <w:color w:val="auto"/>
          <w:sz w:val="24"/>
          <w:szCs w:val="24"/>
        </w:rPr>
      </w:pPr>
      <w:bookmarkStart w:id="570" w:name="_Hlk528927940"/>
      <w:r>
        <w:rPr>
          <w:rFonts w:hint="eastAsia" w:ascii="宋体" w:hAnsi="宋体" w:eastAsia="宋体" w:cs="宋体"/>
          <w:color w:val="auto"/>
          <w:sz w:val="24"/>
          <w:szCs w:val="24"/>
          <w:lang w:bidi="ar"/>
        </w:rPr>
        <w:t>7.5.1 因发包人原因导致工期延误：</w:t>
      </w:r>
    </w:p>
    <w:p w14:paraId="11C58F6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在合同履行过程中，除通用条款约定外，因下列情况导致工期延误和（或）费用增加的，由发包人承担由此延误的工期和（或）增加的费用：</w:t>
      </w:r>
    </w:p>
    <w:p w14:paraId="37C7823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（1）发包人未能按合同约定提供施工场地，且该未提供开工条件直接影响项目关键线路的；</w:t>
      </w:r>
    </w:p>
    <w:p w14:paraId="3A66F65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（2）发包人提供的测量基准点、基准线和水准点及其书面资料存在错误或疏漏，且该错误或疏漏直接影响项目关键线路的；</w:t>
      </w:r>
    </w:p>
    <w:p w14:paraId="37A33FC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（3）监理人未按合同约定发出指示、批准等文件，且该未按合同约定发出指示、批准直接影响项目关键线路的；</w:t>
      </w:r>
    </w:p>
    <w:p w14:paraId="704B771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（4）变更未及时审批，直接影响项目关键线路的；</w:t>
      </w:r>
    </w:p>
    <w:p w14:paraId="70E1EA9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（5）实施变更直接影响项目关键线路的；</w:t>
      </w:r>
    </w:p>
    <w:p w14:paraId="0ABCF01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（6）因发包人原因导致工程暂停施工、停建、缓建的；</w:t>
      </w:r>
    </w:p>
    <w:p w14:paraId="565DC3C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（7）因征地拆迁、当地群众阻工等情形的；</w:t>
      </w:r>
    </w:p>
    <w:p w14:paraId="5F922889">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（8）</w:t>
      </w:r>
      <w:r>
        <w:rPr>
          <w:rFonts w:hint="eastAsia" w:ascii="宋体" w:hAnsi="宋体" w:eastAsia="宋体" w:cs="宋体"/>
          <w:color w:val="auto"/>
          <w:sz w:val="24"/>
          <w:szCs w:val="24"/>
          <w:u w:val="single"/>
          <w:lang w:bidi="ar"/>
        </w:rPr>
        <w:t>合同约定的其他情形</w:t>
      </w:r>
      <w:r>
        <w:rPr>
          <w:rFonts w:hint="eastAsia" w:ascii="宋体" w:hAnsi="宋体" w:eastAsia="宋体" w:cs="宋体"/>
          <w:color w:val="auto"/>
          <w:sz w:val="24"/>
          <w:szCs w:val="24"/>
          <w:lang w:bidi="ar"/>
        </w:rPr>
        <w:t>。</w:t>
      </w:r>
    </w:p>
    <w:p w14:paraId="5D86EE0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宋体"/>
          <w:color w:val="auto"/>
          <w:sz w:val="24"/>
          <w:szCs w:val="24"/>
          <w:lang w:bidi="ar"/>
        </w:rPr>
        <w:t>。</w:t>
      </w:r>
    </w:p>
    <w:p w14:paraId="04F3B71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7.5.2 因承包人原因导致工期延误</w:t>
      </w:r>
    </w:p>
    <w:p w14:paraId="38E1EDA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因承包人原因造成工期延误，逾期竣工按16.2.2（6）目执行。</w:t>
      </w:r>
    </w:p>
    <w:bookmarkEnd w:id="570"/>
    <w:p w14:paraId="121300CC">
      <w:pPr>
        <w:keepNext/>
        <w:keepLines/>
        <w:tabs>
          <w:tab w:val="left" w:pos="2551"/>
        </w:tabs>
        <w:spacing w:line="440" w:lineRule="exact"/>
        <w:outlineLvl w:val="4"/>
        <w:rPr>
          <w:rFonts w:hint="eastAsia" w:ascii="宋体" w:hAnsi="宋体" w:eastAsia="宋体" w:cs="宋体"/>
          <w:b/>
          <w:color w:val="auto"/>
          <w:sz w:val="24"/>
          <w:szCs w:val="24"/>
        </w:rPr>
      </w:pPr>
      <w:bookmarkStart w:id="571" w:name="_Toc532377358"/>
      <w:bookmarkStart w:id="572" w:name="_Toc532375622"/>
      <w:bookmarkStart w:id="573" w:name="_Hlk528927997"/>
      <w:r>
        <w:rPr>
          <w:rFonts w:hint="eastAsia" w:ascii="宋体" w:hAnsi="宋体" w:eastAsia="宋体" w:cs="宋体"/>
          <w:b/>
          <w:color w:val="auto"/>
          <w:sz w:val="24"/>
          <w:szCs w:val="24"/>
          <w:lang w:bidi="ar"/>
        </w:rPr>
        <w:t>7</w:t>
      </w:r>
      <w:bookmarkStart w:id="574" w:name="_Toc304295549"/>
      <w:bookmarkStart w:id="575" w:name="_Toc297216178"/>
      <w:bookmarkStart w:id="576" w:name="_Toc312678015"/>
      <w:bookmarkStart w:id="577" w:name="_Toc303539128"/>
      <w:bookmarkStart w:id="578" w:name="_Toc297123519"/>
      <w:bookmarkStart w:id="579" w:name="_Toc300934971"/>
      <w:r>
        <w:rPr>
          <w:rFonts w:hint="eastAsia" w:ascii="宋体" w:hAnsi="宋体" w:eastAsia="宋体" w:cs="宋体"/>
          <w:b/>
          <w:color w:val="auto"/>
          <w:sz w:val="24"/>
          <w:szCs w:val="24"/>
          <w:lang w:bidi="ar"/>
        </w:rPr>
        <w:t>.6 不</w:t>
      </w:r>
      <w:bookmarkEnd w:id="574"/>
      <w:bookmarkEnd w:id="575"/>
      <w:bookmarkEnd w:id="576"/>
      <w:bookmarkEnd w:id="577"/>
      <w:bookmarkEnd w:id="578"/>
      <w:bookmarkEnd w:id="579"/>
      <w:r>
        <w:rPr>
          <w:rFonts w:hint="eastAsia" w:ascii="宋体" w:hAnsi="宋体" w:eastAsia="宋体" w:cs="宋体"/>
          <w:b/>
          <w:color w:val="auto"/>
          <w:sz w:val="24"/>
          <w:szCs w:val="24"/>
          <w:lang w:bidi="ar"/>
        </w:rPr>
        <w:t>利物质条件</w:t>
      </w:r>
      <w:bookmarkEnd w:id="571"/>
      <w:bookmarkEnd w:id="572"/>
    </w:p>
    <w:bookmarkEnd w:id="573"/>
    <w:p w14:paraId="38A41BF7">
      <w:pPr>
        <w:spacing w:line="440" w:lineRule="exact"/>
        <w:ind w:firstLine="480" w:firstLineChars="200"/>
        <w:jc w:val="left"/>
        <w:rPr>
          <w:rFonts w:hint="eastAsia" w:ascii="宋体" w:hAnsi="宋体" w:eastAsia="宋体" w:cs="宋体"/>
          <w:bCs/>
          <w:color w:val="auto"/>
          <w:sz w:val="24"/>
          <w:szCs w:val="24"/>
        </w:rPr>
      </w:pPr>
      <w:bookmarkStart w:id="580" w:name="_Toc312678016"/>
      <w:bookmarkStart w:id="581" w:name="_Toc303539129"/>
      <w:bookmarkStart w:id="582" w:name="_Toc318581172"/>
      <w:bookmarkStart w:id="583" w:name="_Toc297123520"/>
      <w:bookmarkStart w:id="584" w:name="_Toc300934972"/>
      <w:bookmarkStart w:id="585" w:name="_Toc297216179"/>
      <w:bookmarkStart w:id="586" w:name="_Toc304295550"/>
      <w:r>
        <w:rPr>
          <w:rFonts w:hint="eastAsia" w:ascii="宋体" w:hAnsi="宋体" w:eastAsia="宋体" w:cs="宋体"/>
          <w:color w:val="auto"/>
          <w:sz w:val="24"/>
          <w:szCs w:val="24"/>
          <w:lang w:bidi="ar"/>
        </w:rPr>
        <w:t>不利物质条件的其他情形和有关约定：</w:t>
      </w:r>
      <w:bookmarkStart w:id="587" w:name="_Hlk528910274"/>
      <w:r>
        <w:rPr>
          <w:rFonts w:hint="eastAsia" w:ascii="宋体" w:hAnsi="宋体" w:eastAsia="宋体" w:cs="宋体"/>
          <w:color w:val="auto"/>
          <w:sz w:val="24"/>
          <w:szCs w:val="24"/>
          <w:u w:val="single"/>
          <w:lang w:bidi="ar"/>
        </w:rPr>
        <w:t xml:space="preserve"> 按通用合同条款执行   </w:t>
      </w:r>
      <w:r>
        <w:rPr>
          <w:rFonts w:hint="eastAsia" w:ascii="宋体" w:hAnsi="宋体" w:eastAsia="宋体" w:cs="宋体"/>
          <w:color w:val="auto"/>
          <w:sz w:val="24"/>
          <w:szCs w:val="24"/>
          <w:lang w:bidi="ar"/>
        </w:rPr>
        <w:t>。</w:t>
      </w:r>
    </w:p>
    <w:bookmarkEnd w:id="580"/>
    <w:bookmarkEnd w:id="581"/>
    <w:bookmarkEnd w:id="582"/>
    <w:bookmarkEnd w:id="583"/>
    <w:bookmarkEnd w:id="584"/>
    <w:bookmarkEnd w:id="585"/>
    <w:bookmarkEnd w:id="586"/>
    <w:bookmarkEnd w:id="587"/>
    <w:p w14:paraId="39761938">
      <w:pPr>
        <w:keepNext/>
        <w:keepLines/>
        <w:tabs>
          <w:tab w:val="left" w:pos="2551"/>
        </w:tabs>
        <w:spacing w:line="440" w:lineRule="exact"/>
        <w:outlineLvl w:val="4"/>
        <w:rPr>
          <w:rFonts w:hint="eastAsia" w:ascii="宋体" w:hAnsi="宋体" w:eastAsia="宋体" w:cs="宋体"/>
          <w:b/>
          <w:color w:val="auto"/>
          <w:sz w:val="24"/>
          <w:szCs w:val="24"/>
        </w:rPr>
      </w:pPr>
      <w:bookmarkStart w:id="588" w:name="_Toc532375623"/>
      <w:bookmarkStart w:id="589" w:name="_Toc532377359"/>
      <w:r>
        <w:rPr>
          <w:rFonts w:hint="eastAsia" w:ascii="宋体" w:hAnsi="宋体" w:eastAsia="宋体" w:cs="宋体"/>
          <w:b/>
          <w:color w:val="auto"/>
          <w:sz w:val="24"/>
          <w:szCs w:val="24"/>
          <w:lang w:bidi="ar"/>
        </w:rPr>
        <w:t>7</w:t>
      </w:r>
      <w:bookmarkStart w:id="590" w:name="_Toc303539130"/>
      <w:bookmarkStart w:id="591" w:name="_Toc300934973"/>
      <w:bookmarkStart w:id="592" w:name="_Toc304295551"/>
      <w:bookmarkStart w:id="593" w:name="_Toc297216180"/>
      <w:bookmarkStart w:id="594" w:name="_Toc297123521"/>
      <w:bookmarkStart w:id="595" w:name="_Toc312678017"/>
      <w:r>
        <w:rPr>
          <w:rFonts w:hint="eastAsia" w:ascii="宋体" w:hAnsi="宋体" w:eastAsia="宋体" w:cs="宋体"/>
          <w:b/>
          <w:color w:val="auto"/>
          <w:sz w:val="24"/>
          <w:szCs w:val="24"/>
          <w:lang w:bidi="ar"/>
        </w:rPr>
        <w:t>.7异常恶劣的气候条件</w:t>
      </w:r>
      <w:bookmarkEnd w:id="588"/>
      <w:bookmarkEnd w:id="589"/>
    </w:p>
    <w:bookmarkEnd w:id="590"/>
    <w:bookmarkEnd w:id="591"/>
    <w:bookmarkEnd w:id="592"/>
    <w:bookmarkEnd w:id="593"/>
    <w:bookmarkEnd w:id="594"/>
    <w:bookmarkEnd w:id="595"/>
    <w:p w14:paraId="1D8D48BF">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发包人和承包人同意以下情形视为异常恶劣的气候条件：</w:t>
      </w:r>
      <w:r>
        <w:rPr>
          <w:rFonts w:hint="eastAsia" w:ascii="宋体" w:hAnsi="宋体" w:eastAsia="宋体" w:cs="宋体"/>
          <w:color w:val="auto"/>
          <w:sz w:val="24"/>
          <w:szCs w:val="24"/>
          <w:u w:val="single"/>
          <w:lang w:bidi="ar"/>
        </w:rPr>
        <w:t xml:space="preserve">    （异常气候是指项目所在地50年以上一遇的罕见气候现象）</w:t>
      </w:r>
      <w:r>
        <w:rPr>
          <w:rFonts w:hint="eastAsia" w:ascii="宋体" w:hAnsi="宋体" w:eastAsia="宋体" w:cs="宋体"/>
          <w:color w:val="auto"/>
          <w:sz w:val="24"/>
          <w:szCs w:val="24"/>
          <w:lang w:bidi="ar"/>
        </w:rPr>
        <w:t>。</w:t>
      </w:r>
    </w:p>
    <w:p w14:paraId="4D5CBAAD">
      <w:pPr>
        <w:keepNext/>
        <w:keepLines/>
        <w:tabs>
          <w:tab w:val="left" w:pos="2551"/>
        </w:tabs>
        <w:spacing w:line="440" w:lineRule="exact"/>
        <w:outlineLvl w:val="4"/>
        <w:rPr>
          <w:rFonts w:hint="eastAsia" w:ascii="宋体" w:hAnsi="宋体" w:eastAsia="宋体" w:cs="宋体"/>
          <w:b/>
          <w:color w:val="auto"/>
          <w:sz w:val="24"/>
          <w:szCs w:val="24"/>
        </w:rPr>
      </w:pPr>
      <w:bookmarkStart w:id="596" w:name="_Toc532375624"/>
      <w:bookmarkStart w:id="597" w:name="_Toc532377360"/>
      <w:r>
        <w:rPr>
          <w:rFonts w:hint="eastAsia" w:ascii="宋体" w:hAnsi="宋体" w:eastAsia="宋体" w:cs="宋体"/>
          <w:b/>
          <w:color w:val="auto"/>
          <w:sz w:val="24"/>
          <w:szCs w:val="24"/>
          <w:lang w:bidi="ar"/>
        </w:rPr>
        <w:t>7.9 提前竣工</w:t>
      </w:r>
      <w:bookmarkEnd w:id="596"/>
      <w:bookmarkEnd w:id="597"/>
    </w:p>
    <w:p w14:paraId="6FFC5A8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7.9.1项细化为：</w:t>
      </w:r>
    </w:p>
    <w:p w14:paraId="73C3E03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5C817A2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（2）发包人不得随意要求承包人提前竣工，承包人也不得随意提出提前竣工的建议。如遇特殊情况，确需将工期提前的，发包人和承包人必须采取有效措施，确保工程质量。</w:t>
      </w:r>
    </w:p>
    <w:p w14:paraId="0EF9EA2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（3）如果承包人提前竣工，发包人支付奖金的计算方法在合同条款中约定，时间自竣工验收证书中写明的实际竣工日期起至预定的竣工日期止，按天计算。但奖金最高限额不超过项目7.9.2项的限额。</w:t>
      </w:r>
    </w:p>
    <w:p w14:paraId="703BA6E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7.9.2 提前竣工的奖励：</w:t>
      </w:r>
      <w:r>
        <w:rPr>
          <w:rFonts w:hint="eastAsia" w:ascii="宋体" w:hAnsi="宋体" w:eastAsia="宋体" w:cs="宋体"/>
          <w:color w:val="auto"/>
          <w:sz w:val="24"/>
          <w:szCs w:val="24"/>
          <w:u w:val="single"/>
          <w:lang w:bidi="ar"/>
        </w:rPr>
        <w:t xml:space="preserve">  无 </w:t>
      </w:r>
      <w:r>
        <w:rPr>
          <w:rFonts w:hint="eastAsia" w:ascii="宋体" w:hAnsi="宋体" w:eastAsia="宋体" w:cs="宋体"/>
          <w:color w:val="auto"/>
          <w:sz w:val="24"/>
          <w:szCs w:val="24"/>
          <w:lang w:bidi="ar"/>
        </w:rPr>
        <w:t>。</w:t>
      </w:r>
    </w:p>
    <w:p w14:paraId="647AF2E1">
      <w:pPr>
        <w:keepNext/>
        <w:keepLines/>
        <w:spacing w:before="120" w:beforeLines="50" w:after="120" w:afterLines="50" w:line="440" w:lineRule="exact"/>
        <w:outlineLvl w:val="3"/>
        <w:rPr>
          <w:rFonts w:hint="eastAsia" w:ascii="宋体" w:hAnsi="宋体" w:eastAsia="宋体" w:cs="宋体"/>
          <w:b/>
          <w:color w:val="auto"/>
          <w:sz w:val="24"/>
          <w:szCs w:val="24"/>
        </w:rPr>
      </w:pPr>
      <w:bookmarkStart w:id="598" w:name="_Toc351203640"/>
      <w:bookmarkStart w:id="599" w:name="_Toc532375625"/>
      <w:bookmarkStart w:id="600" w:name="_Toc532377361"/>
      <w:r>
        <w:rPr>
          <w:rFonts w:hint="eastAsia" w:ascii="宋体" w:hAnsi="宋体" w:eastAsia="宋体" w:cs="宋体"/>
          <w:b/>
          <w:color w:val="auto"/>
          <w:sz w:val="24"/>
          <w:szCs w:val="24"/>
          <w:lang w:bidi="ar"/>
        </w:rPr>
        <w:t>8. 材料与设备</w:t>
      </w:r>
      <w:bookmarkEnd w:id="598"/>
      <w:bookmarkEnd w:id="599"/>
      <w:bookmarkEnd w:id="600"/>
    </w:p>
    <w:p w14:paraId="14D1A866">
      <w:pPr>
        <w:keepNext/>
        <w:keepLines/>
        <w:tabs>
          <w:tab w:val="left" w:pos="2551"/>
        </w:tabs>
        <w:spacing w:line="440" w:lineRule="exact"/>
        <w:outlineLvl w:val="4"/>
        <w:rPr>
          <w:rFonts w:hint="eastAsia" w:ascii="宋体" w:hAnsi="宋体" w:eastAsia="宋体" w:cs="宋体"/>
          <w:b/>
          <w:color w:val="auto"/>
          <w:sz w:val="24"/>
          <w:szCs w:val="24"/>
        </w:rPr>
      </w:pPr>
      <w:bookmarkStart w:id="601" w:name="_Toc532375626"/>
      <w:bookmarkStart w:id="602" w:name="_Toc532377362"/>
      <w:r>
        <w:rPr>
          <w:rFonts w:hint="eastAsia" w:ascii="宋体" w:hAnsi="宋体" w:eastAsia="宋体" w:cs="宋体"/>
          <w:b/>
          <w:color w:val="auto"/>
          <w:sz w:val="24"/>
          <w:szCs w:val="24"/>
          <w:lang w:bidi="ar"/>
        </w:rPr>
        <w:t>8.1发包人供应材料与工程设备</w:t>
      </w:r>
      <w:bookmarkEnd w:id="601"/>
      <w:bookmarkEnd w:id="602"/>
    </w:p>
    <w:p w14:paraId="5894261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材料的名称、规格、数量和价格：</w:t>
      </w:r>
      <w:r>
        <w:rPr>
          <w:rFonts w:hint="eastAsia" w:ascii="宋体" w:hAnsi="宋体" w:eastAsia="宋体" w:cs="宋体"/>
          <w:color w:val="auto"/>
          <w:sz w:val="24"/>
          <w:szCs w:val="24"/>
          <w:u w:val="single"/>
          <w:lang w:bidi="ar"/>
        </w:rPr>
        <w:t>发包人应提供甲供材料的明细表，结算时按经监理人、承包人共同确认的供应数量乘以招标时甲供材料暂定价格，在支付工程款时扣除</w:t>
      </w:r>
      <w:r>
        <w:rPr>
          <w:rFonts w:hint="eastAsia" w:ascii="宋体" w:hAnsi="宋体" w:eastAsia="宋体" w:cs="宋体"/>
          <w:color w:val="auto"/>
          <w:sz w:val="24"/>
          <w:szCs w:val="24"/>
          <w:lang w:bidi="ar"/>
        </w:rPr>
        <w:t>。</w:t>
      </w:r>
    </w:p>
    <w:p w14:paraId="1F3B113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宋体"/>
          <w:color w:val="auto"/>
          <w:sz w:val="24"/>
          <w:szCs w:val="24"/>
          <w:lang w:bidi="ar"/>
        </w:rPr>
        <w:t>。</w:t>
      </w:r>
    </w:p>
    <w:p w14:paraId="625A6B30">
      <w:pPr>
        <w:keepNext/>
        <w:keepLines/>
        <w:tabs>
          <w:tab w:val="left" w:pos="2551"/>
        </w:tabs>
        <w:spacing w:line="440" w:lineRule="exact"/>
        <w:outlineLvl w:val="4"/>
        <w:rPr>
          <w:rFonts w:hint="eastAsia" w:ascii="宋体" w:hAnsi="宋体" w:eastAsia="宋体" w:cs="宋体"/>
          <w:b/>
          <w:color w:val="auto"/>
          <w:sz w:val="24"/>
          <w:szCs w:val="24"/>
        </w:rPr>
      </w:pPr>
      <w:bookmarkStart w:id="603" w:name="_Toc532375627"/>
      <w:bookmarkStart w:id="604" w:name="_Toc351203554"/>
      <w:bookmarkStart w:id="605" w:name="_Toc532377363"/>
      <w:r>
        <w:rPr>
          <w:rFonts w:hint="eastAsia" w:ascii="宋体" w:hAnsi="宋体" w:eastAsia="宋体" w:cs="宋体"/>
          <w:b/>
          <w:color w:val="auto"/>
          <w:sz w:val="24"/>
          <w:szCs w:val="24"/>
          <w:lang w:bidi="ar"/>
        </w:rPr>
        <w:t>8</w:t>
      </w:r>
      <w:bookmarkStart w:id="606" w:name="_Toc337558778"/>
      <w:bookmarkStart w:id="607" w:name="_Toc296503060"/>
      <w:bookmarkStart w:id="608" w:name="_Toc296346561"/>
      <w:r>
        <w:rPr>
          <w:rFonts w:hint="eastAsia" w:ascii="宋体" w:hAnsi="宋体" w:eastAsia="宋体" w:cs="宋体"/>
          <w:b/>
          <w:color w:val="auto"/>
          <w:sz w:val="24"/>
          <w:szCs w:val="24"/>
          <w:lang w:bidi="ar"/>
        </w:rPr>
        <w:t>.2 承包人采购材料与工程设备</w:t>
      </w:r>
      <w:bookmarkEnd w:id="603"/>
      <w:bookmarkEnd w:id="604"/>
      <w:bookmarkEnd w:id="605"/>
    </w:p>
    <w:bookmarkEnd w:id="606"/>
    <w:bookmarkEnd w:id="607"/>
    <w:bookmarkEnd w:id="608"/>
    <w:p w14:paraId="06400AD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8.2.1承包人负责采购、运输和保管的材料、工程设备：</w:t>
      </w:r>
      <w:r>
        <w:rPr>
          <w:rFonts w:hint="eastAsia" w:ascii="宋体" w:hAnsi="宋体" w:eastAsia="宋体" w:cs="宋体"/>
          <w:color w:val="auto"/>
          <w:sz w:val="24"/>
          <w:szCs w:val="24"/>
          <w:u w:val="single"/>
          <w:lang w:bidi="ar"/>
        </w:rPr>
        <w:t>由承包人自行采购。承包人采购材料设备必须经监理人和发包人批准，结算时由监理人和发包人按竞争性磋商文件规定审核的数量和合同约定价格计算</w:t>
      </w:r>
      <w:r>
        <w:rPr>
          <w:rFonts w:hint="eastAsia" w:ascii="宋体" w:hAnsi="宋体" w:eastAsia="宋体" w:cs="宋体"/>
          <w:color w:val="auto"/>
          <w:sz w:val="24"/>
          <w:szCs w:val="24"/>
          <w:lang w:bidi="ar"/>
        </w:rPr>
        <w:t>。</w:t>
      </w:r>
    </w:p>
    <w:p w14:paraId="46AC64D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8.2.2承包人报送监理人审批的时间：</w:t>
      </w:r>
      <w:r>
        <w:rPr>
          <w:rFonts w:hint="eastAsia" w:ascii="宋体" w:hAnsi="宋体" w:eastAsia="宋体" w:cs="宋体"/>
          <w:color w:val="auto"/>
          <w:sz w:val="24"/>
          <w:szCs w:val="24"/>
          <w:u w:val="single"/>
          <w:lang w:bidi="ar"/>
        </w:rPr>
        <w:t>按发包人及监理单位的相关规定执行</w:t>
      </w:r>
      <w:r>
        <w:rPr>
          <w:rFonts w:hint="eastAsia" w:ascii="宋体" w:hAnsi="宋体" w:eastAsia="宋体" w:cs="宋体"/>
          <w:color w:val="auto"/>
          <w:sz w:val="24"/>
          <w:szCs w:val="24"/>
          <w:lang w:bidi="ar"/>
        </w:rPr>
        <w:t>。</w:t>
      </w:r>
    </w:p>
    <w:p w14:paraId="13BFD1D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8.2.3承包人选择的生产厂家或供应商满足下列条件：</w:t>
      </w:r>
    </w:p>
    <w:p w14:paraId="0F74875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A.承包人选择的混凝土供应商应满足下列条件：</w:t>
      </w:r>
      <w:r>
        <w:rPr>
          <w:rFonts w:hint="eastAsia" w:ascii="宋体" w:hAnsi="宋体" w:eastAsia="宋体" w:cs="宋体"/>
          <w:color w:val="auto"/>
          <w:sz w:val="24"/>
          <w:szCs w:val="24"/>
          <w:u w:val="single"/>
          <w:lang w:bidi="ar"/>
        </w:rPr>
        <w:t xml:space="preserve"> 按国家相关规定执行</w:t>
      </w:r>
      <w:r>
        <w:rPr>
          <w:rFonts w:hint="eastAsia" w:ascii="宋体" w:hAnsi="宋体" w:eastAsia="宋体" w:cs="宋体"/>
          <w:color w:val="auto"/>
          <w:sz w:val="24"/>
          <w:szCs w:val="24"/>
          <w:lang w:bidi="ar"/>
        </w:rPr>
        <w:t>；</w:t>
      </w:r>
    </w:p>
    <w:p w14:paraId="0118BC5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B.承包人选择的钢材供应商应满足下列条件：</w:t>
      </w:r>
      <w:r>
        <w:rPr>
          <w:rFonts w:hint="eastAsia" w:ascii="宋体" w:hAnsi="宋体" w:eastAsia="宋体" w:cs="宋体"/>
          <w:color w:val="auto"/>
          <w:sz w:val="24"/>
          <w:szCs w:val="24"/>
          <w:u w:val="single"/>
          <w:lang w:bidi="ar"/>
        </w:rPr>
        <w:t>按国家相关规定执行</w:t>
      </w:r>
      <w:r>
        <w:rPr>
          <w:rFonts w:hint="eastAsia" w:ascii="宋体" w:hAnsi="宋体" w:eastAsia="宋体" w:cs="宋体"/>
          <w:color w:val="auto"/>
          <w:sz w:val="24"/>
          <w:szCs w:val="24"/>
          <w:lang w:bidi="ar"/>
        </w:rPr>
        <w:t>；</w:t>
      </w:r>
    </w:p>
    <w:p w14:paraId="102D688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C.承包人选择的水泥供应商应满足下列条件：</w:t>
      </w:r>
      <w:r>
        <w:rPr>
          <w:rFonts w:hint="eastAsia" w:ascii="宋体" w:hAnsi="宋体" w:eastAsia="宋体" w:cs="宋体"/>
          <w:color w:val="auto"/>
          <w:sz w:val="24"/>
          <w:szCs w:val="24"/>
          <w:u w:val="single"/>
          <w:lang w:bidi="ar"/>
        </w:rPr>
        <w:t>按国家相关规定执行</w:t>
      </w:r>
      <w:r>
        <w:rPr>
          <w:rFonts w:hint="eastAsia" w:ascii="宋体" w:hAnsi="宋体" w:eastAsia="宋体" w:cs="宋体"/>
          <w:color w:val="auto"/>
          <w:sz w:val="24"/>
          <w:szCs w:val="24"/>
          <w:lang w:bidi="ar"/>
        </w:rPr>
        <w:t>；</w:t>
      </w:r>
    </w:p>
    <w:p w14:paraId="092BF49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D.承包人采购的材料与设计或标准要求不符时，承包人应按发包人和监理人要求的时间运出施工场地，并重新采购符合要求的产品，并承担由此发生的费用，因此延误的工期不予顺延。</w:t>
      </w:r>
    </w:p>
    <w:p w14:paraId="54962C0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E.承包人采购的材料在使用前，应按发包人和监理人的要求进行检验或试验，不合格的不得使用。</w:t>
      </w:r>
    </w:p>
    <w:p w14:paraId="7F9BB69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F.</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68480870">
      <w:pPr>
        <w:keepNext/>
        <w:keepLines/>
        <w:tabs>
          <w:tab w:val="left" w:pos="2551"/>
        </w:tabs>
        <w:spacing w:line="440" w:lineRule="exact"/>
        <w:outlineLvl w:val="4"/>
        <w:rPr>
          <w:rFonts w:hint="eastAsia" w:ascii="宋体" w:hAnsi="宋体" w:eastAsia="宋体" w:cs="宋体"/>
          <w:b/>
          <w:color w:val="auto"/>
          <w:sz w:val="24"/>
          <w:szCs w:val="24"/>
        </w:rPr>
      </w:pPr>
      <w:bookmarkStart w:id="609" w:name="_Toc532375628"/>
      <w:bookmarkStart w:id="610" w:name="_Toc532377364"/>
      <w:r>
        <w:rPr>
          <w:rFonts w:hint="eastAsia" w:ascii="宋体" w:hAnsi="宋体" w:eastAsia="宋体" w:cs="宋体"/>
          <w:b/>
          <w:color w:val="auto"/>
          <w:sz w:val="24"/>
          <w:szCs w:val="24"/>
          <w:lang w:bidi="ar"/>
        </w:rPr>
        <w:t>8</w:t>
      </w:r>
      <w:bookmarkStart w:id="611" w:name="_Toc296347166"/>
      <w:bookmarkStart w:id="612" w:name="_Toc296890995"/>
      <w:bookmarkStart w:id="613" w:name="_Toc296944506"/>
      <w:bookmarkStart w:id="614" w:name="_Toc312678019"/>
      <w:bookmarkStart w:id="615" w:name="_Toc297120467"/>
      <w:bookmarkStart w:id="616" w:name="_Toc296346668"/>
      <w:bookmarkStart w:id="617" w:name="_Toc292559877"/>
      <w:bookmarkStart w:id="618" w:name="_Toc297048353"/>
      <w:bookmarkStart w:id="619" w:name="_Toc312677493"/>
      <w:bookmarkStart w:id="620" w:name="_Toc296503167"/>
      <w:bookmarkStart w:id="621" w:name="_Toc303539136"/>
      <w:bookmarkStart w:id="622" w:name="_Toc292559372"/>
      <w:bookmarkStart w:id="623" w:name="_Toc297123527"/>
      <w:bookmarkStart w:id="624" w:name="_Toc297216186"/>
      <w:bookmarkStart w:id="625" w:name="_Toc300934979"/>
      <w:bookmarkStart w:id="626" w:name="_Toc304295556"/>
      <w:bookmarkStart w:id="627" w:name="_Toc296891207"/>
      <w:bookmarkStart w:id="628" w:name="_Toc280868654"/>
      <w:bookmarkStart w:id="629" w:name="_Toc280868655"/>
      <w:bookmarkStart w:id="630" w:name="_Toc267251424"/>
      <w:bookmarkStart w:id="631" w:name="_Toc280868656"/>
      <w:r>
        <w:rPr>
          <w:rFonts w:hint="eastAsia" w:ascii="宋体" w:hAnsi="宋体" w:eastAsia="宋体" w:cs="宋体"/>
          <w:b/>
          <w:color w:val="auto"/>
          <w:sz w:val="24"/>
          <w:szCs w:val="24"/>
          <w:lang w:bidi="ar"/>
        </w:rPr>
        <w:t>.4 材料与工程设备的保管与使用</w:t>
      </w:r>
      <w:bookmarkEnd w:id="609"/>
      <w:bookmarkEnd w:id="610"/>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14:paraId="13BE254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bookmarkStart w:id="632" w:name="_Toc292559878"/>
      <w:bookmarkStart w:id="633" w:name="_Toc292559373"/>
      <w:bookmarkStart w:id="634" w:name="_Toc296891208"/>
      <w:bookmarkStart w:id="635" w:name="_Toc297123528"/>
      <w:bookmarkStart w:id="636" w:name="_Toc304295557"/>
      <w:bookmarkStart w:id="637" w:name="_Toc297216187"/>
      <w:bookmarkStart w:id="638" w:name="_Toc296347167"/>
      <w:bookmarkStart w:id="639" w:name="_Toc312677494"/>
      <w:bookmarkStart w:id="640" w:name="_Toc297120468"/>
      <w:bookmarkStart w:id="641" w:name="_Toc296944507"/>
      <w:bookmarkStart w:id="642" w:name="_Toc303539137"/>
      <w:bookmarkStart w:id="643" w:name="_Toc296346669"/>
      <w:bookmarkStart w:id="644" w:name="_Toc296890996"/>
      <w:bookmarkStart w:id="645" w:name="_Toc312678020"/>
      <w:bookmarkStart w:id="646" w:name="_Toc318581173"/>
      <w:bookmarkStart w:id="647" w:name="_Toc297048354"/>
      <w:bookmarkStart w:id="648" w:name="_Toc300934980"/>
      <w:bookmarkStart w:id="649" w:name="_Toc296503168"/>
      <w:r>
        <w:rPr>
          <w:rFonts w:hint="eastAsia" w:ascii="宋体" w:hAnsi="宋体" w:eastAsia="宋体" w:cs="宋体"/>
          <w:color w:val="auto"/>
          <w:sz w:val="24"/>
          <w:szCs w:val="24"/>
          <w:lang w:bidi="ar"/>
        </w:rPr>
        <w:t>.4.1 发包人供应的材料设备的保管费用的承担：</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bookmarkEnd w:id="632"/>
      <w:bookmarkEnd w:id="633"/>
    </w:p>
    <w:p w14:paraId="467AB01B">
      <w:pPr>
        <w:keepNext/>
        <w:keepLines/>
        <w:tabs>
          <w:tab w:val="left" w:pos="2551"/>
        </w:tabs>
        <w:spacing w:line="440" w:lineRule="exact"/>
        <w:outlineLvl w:val="4"/>
        <w:rPr>
          <w:rFonts w:hint="eastAsia" w:ascii="宋体" w:hAnsi="宋体" w:eastAsia="宋体" w:cs="宋体"/>
          <w:b/>
          <w:color w:val="auto"/>
          <w:sz w:val="24"/>
          <w:szCs w:val="24"/>
        </w:rPr>
      </w:pPr>
      <w:bookmarkStart w:id="650" w:name="_Toc532375629"/>
      <w:bookmarkStart w:id="651" w:name="_Toc532377365"/>
      <w:r>
        <w:rPr>
          <w:rFonts w:hint="eastAsia" w:ascii="宋体" w:hAnsi="宋体" w:eastAsia="宋体" w:cs="宋体"/>
          <w:b/>
          <w:color w:val="auto"/>
          <w:sz w:val="24"/>
          <w:szCs w:val="24"/>
          <w:lang w:bidi="ar"/>
        </w:rPr>
        <w:t>8.6 样品</w:t>
      </w:r>
      <w:bookmarkEnd w:id="650"/>
      <w:bookmarkEnd w:id="651"/>
    </w:p>
    <w:p w14:paraId="2222CCB4">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8.6.1 样品的报送与封存</w:t>
      </w:r>
    </w:p>
    <w:p w14:paraId="4AB284A4">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需要承包人报送样品的材料或工程设备，样品的种类、名称、规格、数量要求：</w:t>
      </w:r>
      <w:r>
        <w:rPr>
          <w:rFonts w:hint="eastAsia" w:ascii="宋体" w:hAnsi="宋体" w:eastAsia="宋体" w:cs="宋体"/>
          <w:color w:val="auto"/>
          <w:sz w:val="24"/>
          <w:szCs w:val="24"/>
          <w:u w:val="single"/>
          <w:lang w:bidi="ar"/>
        </w:rPr>
        <w:t>按国家相关规定执行</w:t>
      </w:r>
      <w:r>
        <w:rPr>
          <w:rFonts w:hint="eastAsia" w:ascii="宋体" w:hAnsi="宋体" w:eastAsia="宋体" w:cs="宋体"/>
          <w:color w:val="auto"/>
          <w:sz w:val="24"/>
          <w:szCs w:val="24"/>
          <w:lang w:bidi="ar"/>
        </w:rPr>
        <w:t>。</w:t>
      </w:r>
    </w:p>
    <w:p w14:paraId="1FA37D52">
      <w:pPr>
        <w:keepNext/>
        <w:keepLines/>
        <w:tabs>
          <w:tab w:val="left" w:pos="2551"/>
        </w:tabs>
        <w:spacing w:line="440" w:lineRule="exact"/>
        <w:outlineLvl w:val="4"/>
        <w:rPr>
          <w:rFonts w:hint="eastAsia" w:ascii="宋体" w:hAnsi="宋体" w:eastAsia="宋体" w:cs="宋体"/>
          <w:b/>
          <w:color w:val="auto"/>
          <w:sz w:val="24"/>
          <w:szCs w:val="24"/>
        </w:rPr>
      </w:pPr>
      <w:bookmarkStart w:id="652" w:name="_Toc532377366"/>
      <w:bookmarkStart w:id="653" w:name="_Toc532375630"/>
      <w:r>
        <w:rPr>
          <w:rFonts w:hint="eastAsia" w:ascii="宋体" w:hAnsi="宋体" w:eastAsia="宋体" w:cs="宋体"/>
          <w:b/>
          <w:color w:val="auto"/>
          <w:sz w:val="24"/>
          <w:szCs w:val="24"/>
          <w:lang w:bidi="ar"/>
        </w:rPr>
        <w:t>8.8 施工设备和临时设施</w:t>
      </w:r>
      <w:bookmarkEnd w:id="652"/>
      <w:bookmarkEnd w:id="653"/>
    </w:p>
    <w:p w14:paraId="171FC771">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8.8.1 承包人提供的施工设备和临时设施</w:t>
      </w:r>
    </w:p>
    <w:p w14:paraId="72A6C2FF">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关于修建临时设施费用承担的约定：</w:t>
      </w:r>
      <w:r>
        <w:rPr>
          <w:rFonts w:hint="eastAsia" w:ascii="宋体" w:hAnsi="宋体" w:eastAsia="宋体" w:cs="宋体"/>
          <w:color w:val="auto"/>
          <w:sz w:val="24"/>
          <w:szCs w:val="24"/>
          <w:u w:val="single"/>
          <w:lang w:bidi="ar"/>
        </w:rPr>
        <w:t>由承包人承担</w:t>
      </w:r>
      <w:r>
        <w:rPr>
          <w:rFonts w:hint="eastAsia" w:ascii="宋体" w:hAnsi="宋体" w:eastAsia="宋体" w:cs="宋体"/>
          <w:color w:val="auto"/>
          <w:sz w:val="24"/>
          <w:szCs w:val="24"/>
          <w:lang w:bidi="ar"/>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04B1CFFB">
      <w:pPr>
        <w:keepNext/>
        <w:keepLines/>
        <w:spacing w:before="120" w:beforeLines="50" w:after="120" w:afterLines="50" w:line="440" w:lineRule="exact"/>
        <w:outlineLvl w:val="3"/>
        <w:rPr>
          <w:rFonts w:hint="eastAsia" w:ascii="宋体" w:hAnsi="宋体" w:eastAsia="宋体" w:cs="宋体"/>
          <w:b/>
          <w:color w:val="auto"/>
          <w:sz w:val="24"/>
          <w:szCs w:val="24"/>
        </w:rPr>
      </w:pPr>
      <w:bookmarkStart w:id="654" w:name="_Toc532377367"/>
      <w:bookmarkStart w:id="655" w:name="_Toc532375631"/>
      <w:bookmarkStart w:id="656" w:name="_Toc351203641"/>
      <w:r>
        <w:rPr>
          <w:rFonts w:hint="eastAsia" w:ascii="宋体" w:hAnsi="宋体" w:eastAsia="宋体" w:cs="宋体"/>
          <w:b/>
          <w:color w:val="auto"/>
          <w:sz w:val="24"/>
          <w:szCs w:val="24"/>
          <w:lang w:bidi="ar"/>
        </w:rPr>
        <w:t>9</w:t>
      </w:r>
      <w:bookmarkEnd w:id="629"/>
      <w:bookmarkEnd w:id="630"/>
      <w:bookmarkEnd w:id="631"/>
      <w:bookmarkStart w:id="657" w:name="_Toc297123533"/>
      <w:bookmarkStart w:id="658" w:name="_Toc304295559"/>
      <w:bookmarkStart w:id="659" w:name="_Toc300934982"/>
      <w:bookmarkStart w:id="660" w:name="_Toc312678021"/>
      <w:bookmarkStart w:id="661" w:name="_Toc312677495"/>
      <w:bookmarkStart w:id="662" w:name="_Toc297216192"/>
      <w:bookmarkStart w:id="663" w:name="_Toc303539139"/>
      <w:r>
        <w:rPr>
          <w:rFonts w:hint="eastAsia" w:ascii="宋体" w:hAnsi="宋体" w:eastAsia="宋体" w:cs="宋体"/>
          <w:b/>
          <w:color w:val="auto"/>
          <w:sz w:val="24"/>
          <w:szCs w:val="24"/>
          <w:lang w:bidi="ar"/>
        </w:rPr>
        <w:t>. 试验与检验</w:t>
      </w:r>
      <w:bookmarkEnd w:id="654"/>
      <w:bookmarkEnd w:id="655"/>
      <w:bookmarkEnd w:id="656"/>
    </w:p>
    <w:bookmarkEnd w:id="657"/>
    <w:bookmarkEnd w:id="658"/>
    <w:bookmarkEnd w:id="659"/>
    <w:bookmarkEnd w:id="660"/>
    <w:bookmarkEnd w:id="661"/>
    <w:bookmarkEnd w:id="662"/>
    <w:bookmarkEnd w:id="663"/>
    <w:p w14:paraId="1A498731">
      <w:pPr>
        <w:keepNext/>
        <w:keepLines/>
        <w:tabs>
          <w:tab w:val="left" w:pos="2551"/>
        </w:tabs>
        <w:spacing w:line="440" w:lineRule="exact"/>
        <w:outlineLvl w:val="4"/>
        <w:rPr>
          <w:rFonts w:hint="eastAsia" w:ascii="宋体" w:hAnsi="宋体" w:eastAsia="宋体" w:cs="宋体"/>
          <w:b/>
          <w:color w:val="auto"/>
          <w:sz w:val="24"/>
          <w:szCs w:val="24"/>
        </w:rPr>
      </w:pPr>
      <w:bookmarkStart w:id="664" w:name="_Toc532377368"/>
      <w:bookmarkStart w:id="665" w:name="_Toc532375632"/>
      <w:r>
        <w:rPr>
          <w:rFonts w:hint="eastAsia" w:ascii="宋体" w:hAnsi="宋体" w:eastAsia="宋体" w:cs="宋体"/>
          <w:b/>
          <w:color w:val="auto"/>
          <w:sz w:val="24"/>
          <w:szCs w:val="24"/>
          <w:lang w:bidi="ar"/>
        </w:rPr>
        <w:t>9</w:t>
      </w:r>
      <w:bookmarkStart w:id="666" w:name="_Toc300934983"/>
      <w:bookmarkStart w:id="667" w:name="_Toc312677496"/>
      <w:bookmarkStart w:id="668" w:name="_Toc312678022"/>
      <w:bookmarkStart w:id="669" w:name="_Toc297123534"/>
      <w:bookmarkStart w:id="670" w:name="_Toc303539140"/>
      <w:bookmarkStart w:id="671" w:name="_Toc304295560"/>
      <w:bookmarkStart w:id="672" w:name="_Toc297216193"/>
      <w:r>
        <w:rPr>
          <w:rFonts w:hint="eastAsia" w:ascii="宋体" w:hAnsi="宋体" w:eastAsia="宋体" w:cs="宋体"/>
          <w:b/>
          <w:color w:val="auto"/>
          <w:sz w:val="24"/>
          <w:szCs w:val="24"/>
          <w:lang w:bidi="ar"/>
        </w:rPr>
        <w:t>.1 试验设备与试验人员</w:t>
      </w:r>
      <w:bookmarkEnd w:id="664"/>
      <w:bookmarkEnd w:id="665"/>
    </w:p>
    <w:bookmarkEnd w:id="666"/>
    <w:bookmarkEnd w:id="667"/>
    <w:bookmarkEnd w:id="668"/>
    <w:bookmarkEnd w:id="669"/>
    <w:bookmarkEnd w:id="670"/>
    <w:bookmarkEnd w:id="671"/>
    <w:bookmarkEnd w:id="672"/>
    <w:p w14:paraId="628CF27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w:t>
      </w:r>
      <w:bookmarkStart w:id="673" w:name="_Toc297216194"/>
      <w:bookmarkStart w:id="674" w:name="_Toc312677497"/>
      <w:bookmarkStart w:id="675" w:name="_Toc300934984"/>
      <w:bookmarkStart w:id="676" w:name="_Toc304295561"/>
      <w:bookmarkStart w:id="677" w:name="_Toc303539141"/>
      <w:bookmarkStart w:id="678" w:name="_Toc312678023"/>
      <w:bookmarkStart w:id="679" w:name="_Toc297123535"/>
      <w:bookmarkStart w:id="680" w:name="_Toc318581174"/>
      <w:r>
        <w:rPr>
          <w:rFonts w:hint="eastAsia" w:ascii="宋体" w:hAnsi="宋体" w:eastAsia="宋体" w:cs="宋体"/>
          <w:color w:val="auto"/>
          <w:sz w:val="24"/>
          <w:szCs w:val="24"/>
          <w:lang w:bidi="ar"/>
        </w:rPr>
        <w:t>.1.2 试验设备</w:t>
      </w:r>
    </w:p>
    <w:p w14:paraId="338F32E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施工现场需要配置的试验场所：</w:t>
      </w:r>
      <w:bookmarkEnd w:id="673"/>
      <w:bookmarkEnd w:id="674"/>
      <w:bookmarkEnd w:id="675"/>
      <w:bookmarkEnd w:id="676"/>
      <w:bookmarkEnd w:id="677"/>
      <w:bookmarkEnd w:id="678"/>
      <w:bookmarkEnd w:id="679"/>
      <w:bookmarkStart w:id="681" w:name="_Toc304295562"/>
      <w:bookmarkStart w:id="682" w:name="_Toc303539142"/>
      <w:bookmarkStart w:id="683" w:name="_Toc297123536"/>
      <w:bookmarkStart w:id="684" w:name="_Toc312677498"/>
      <w:bookmarkStart w:id="685" w:name="_Toc300934985"/>
      <w:bookmarkStart w:id="686" w:name="_Toc312678024"/>
      <w:bookmarkStart w:id="687" w:name="_Toc297216195"/>
      <w:r>
        <w:rPr>
          <w:rFonts w:hint="eastAsia" w:ascii="宋体" w:hAnsi="宋体" w:eastAsia="宋体" w:cs="宋体"/>
          <w:color w:val="auto"/>
          <w:sz w:val="24"/>
          <w:szCs w:val="24"/>
          <w:u w:val="single"/>
          <w:lang w:bidi="ar"/>
        </w:rPr>
        <w:t>满足工程施工的需要，由承包人提供</w:t>
      </w:r>
      <w:r>
        <w:rPr>
          <w:rFonts w:hint="eastAsia" w:ascii="宋体" w:hAnsi="宋体" w:eastAsia="宋体" w:cs="宋体"/>
          <w:color w:val="auto"/>
          <w:sz w:val="24"/>
          <w:szCs w:val="24"/>
          <w:lang w:bidi="ar"/>
        </w:rPr>
        <w:t>。</w:t>
      </w:r>
    </w:p>
    <w:p w14:paraId="7110C1E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施工现场需要配备的试验设备：</w:t>
      </w:r>
      <w:r>
        <w:rPr>
          <w:rFonts w:hint="eastAsia" w:ascii="宋体" w:hAnsi="宋体" w:eastAsia="宋体" w:cs="宋体"/>
          <w:color w:val="auto"/>
          <w:sz w:val="24"/>
          <w:szCs w:val="24"/>
          <w:u w:val="single"/>
          <w:lang w:bidi="ar"/>
        </w:rPr>
        <w:t>满足工程施工的需要，由承包人提供</w:t>
      </w:r>
      <w:r>
        <w:rPr>
          <w:rFonts w:hint="eastAsia" w:ascii="宋体" w:hAnsi="宋体" w:eastAsia="宋体" w:cs="宋体"/>
          <w:color w:val="auto"/>
          <w:sz w:val="24"/>
          <w:szCs w:val="24"/>
          <w:lang w:bidi="ar"/>
        </w:rPr>
        <w:t>。</w:t>
      </w:r>
    </w:p>
    <w:p w14:paraId="1D27B0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施工现场需要具备的其他试验条件：</w:t>
      </w:r>
      <w:r>
        <w:rPr>
          <w:rFonts w:hint="eastAsia" w:ascii="宋体" w:hAnsi="宋体" w:eastAsia="宋体" w:cs="宋体"/>
          <w:color w:val="auto"/>
          <w:sz w:val="24"/>
          <w:szCs w:val="24"/>
          <w:u w:val="single"/>
          <w:lang w:bidi="ar"/>
        </w:rPr>
        <w:t>满足工程施工的需要，由承包人提供</w:t>
      </w:r>
      <w:r>
        <w:rPr>
          <w:rFonts w:hint="eastAsia" w:ascii="宋体" w:hAnsi="宋体" w:eastAsia="宋体" w:cs="宋体"/>
          <w:color w:val="auto"/>
          <w:sz w:val="24"/>
          <w:szCs w:val="24"/>
          <w:lang w:bidi="ar"/>
        </w:rPr>
        <w:t>。</w:t>
      </w:r>
    </w:p>
    <w:p w14:paraId="7A3441F7">
      <w:pPr>
        <w:keepNext/>
        <w:keepLines/>
        <w:tabs>
          <w:tab w:val="left" w:pos="2551"/>
        </w:tabs>
        <w:spacing w:line="440" w:lineRule="exact"/>
        <w:outlineLvl w:val="4"/>
        <w:rPr>
          <w:rFonts w:hint="eastAsia" w:ascii="宋体" w:hAnsi="宋体" w:eastAsia="宋体" w:cs="宋体"/>
          <w:b/>
          <w:color w:val="auto"/>
          <w:sz w:val="24"/>
          <w:szCs w:val="24"/>
        </w:rPr>
      </w:pPr>
      <w:bookmarkStart w:id="688" w:name="_Toc532375633"/>
      <w:bookmarkStart w:id="689" w:name="_Toc532377369"/>
      <w:r>
        <w:rPr>
          <w:rFonts w:hint="eastAsia" w:ascii="宋体" w:hAnsi="宋体" w:eastAsia="宋体" w:cs="宋体"/>
          <w:b/>
          <w:color w:val="auto"/>
          <w:sz w:val="24"/>
          <w:szCs w:val="24"/>
          <w:lang w:bidi="ar"/>
        </w:rPr>
        <w:t>9.4 现场工艺试验</w:t>
      </w:r>
      <w:bookmarkEnd w:id="688"/>
      <w:bookmarkEnd w:id="689"/>
    </w:p>
    <w:p w14:paraId="770C98B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本款补充9.4.1～9.4.5项：</w:t>
      </w:r>
    </w:p>
    <w:bookmarkEnd w:id="680"/>
    <w:bookmarkEnd w:id="681"/>
    <w:bookmarkEnd w:id="682"/>
    <w:bookmarkEnd w:id="683"/>
    <w:bookmarkEnd w:id="684"/>
    <w:bookmarkEnd w:id="685"/>
    <w:bookmarkEnd w:id="686"/>
    <w:bookmarkEnd w:id="687"/>
    <w:p w14:paraId="261F0DE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9.4.1一般检验试验：</w:t>
      </w:r>
    </w:p>
    <w:p w14:paraId="3A4D65D7">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40614E2F">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3B567CA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9.4.2特殊检验试验：</w:t>
      </w:r>
    </w:p>
    <w:p w14:paraId="2062E02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B0E7FA9">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发包人委托的第三方检测试验机构检测试验的试件所需的材料、取样、送检及相关配合工作由承包人负责完成并承担由此产生的所有相关费用。</w:t>
      </w:r>
    </w:p>
    <w:p w14:paraId="6E501D73">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（2）施工措施的检测、试验：因施工措施需要而做的相关检测、试验由承包人负责实施，其费用由承包人承担。</w:t>
      </w:r>
    </w:p>
    <w:p w14:paraId="36D5B590">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9.4.3专项检测：</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2C1D2E5A">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9.4.4若因承包人取样、制样、送检及相关配合不及时而导致工程的工期和费用增加，影响的工期不予延长，增加费用由承包人承担。</w:t>
      </w:r>
    </w:p>
    <w:p w14:paraId="35FA0B42">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9.4.5检测试验不合格的项目，其缺陷处理和复测费用由承包人承担，工期不予延长。</w:t>
      </w:r>
    </w:p>
    <w:bookmarkEnd w:id="526"/>
    <w:bookmarkEnd w:id="527"/>
    <w:bookmarkEnd w:id="528"/>
    <w:bookmarkEnd w:id="529"/>
    <w:bookmarkEnd w:id="530"/>
    <w:bookmarkEnd w:id="531"/>
    <w:bookmarkEnd w:id="532"/>
    <w:bookmarkEnd w:id="533"/>
    <w:bookmarkEnd w:id="534"/>
    <w:bookmarkEnd w:id="535"/>
    <w:bookmarkEnd w:id="536"/>
    <w:bookmarkEnd w:id="537"/>
    <w:bookmarkEnd w:id="538"/>
    <w:p w14:paraId="64EFAF24">
      <w:pPr>
        <w:keepNext/>
        <w:keepLines/>
        <w:spacing w:before="120" w:beforeLines="50" w:after="120" w:afterLines="50" w:line="440" w:lineRule="exact"/>
        <w:outlineLvl w:val="3"/>
        <w:rPr>
          <w:rFonts w:hint="eastAsia" w:ascii="宋体" w:hAnsi="宋体" w:eastAsia="宋体" w:cs="宋体"/>
          <w:b/>
          <w:color w:val="auto"/>
          <w:sz w:val="24"/>
          <w:szCs w:val="24"/>
        </w:rPr>
      </w:pPr>
      <w:bookmarkStart w:id="690" w:name="_Toc532377370"/>
      <w:bookmarkStart w:id="691" w:name="_Toc532375634"/>
      <w:bookmarkStart w:id="692" w:name="_Toc267251486"/>
      <w:bookmarkStart w:id="693" w:name="_Toc267251488"/>
      <w:bookmarkStart w:id="694" w:name="_Toc267251482"/>
      <w:bookmarkStart w:id="695" w:name="_Toc267251489"/>
      <w:bookmarkStart w:id="696" w:name="_Toc267251484"/>
      <w:bookmarkStart w:id="697" w:name="_Toc267251490"/>
      <w:bookmarkStart w:id="698" w:name="_Toc267251485"/>
      <w:bookmarkStart w:id="699" w:name="_Hlk524298112"/>
      <w:bookmarkStart w:id="700" w:name="_Toc267251495"/>
      <w:bookmarkStart w:id="701" w:name="_Toc267251514"/>
      <w:bookmarkStart w:id="702" w:name="_Toc267251510"/>
      <w:bookmarkStart w:id="703" w:name="_Toc267251493"/>
      <w:bookmarkStart w:id="704" w:name="_Toc267251506"/>
      <w:bookmarkStart w:id="705" w:name="_Toc267251504"/>
      <w:bookmarkStart w:id="706" w:name="_Toc267251508"/>
      <w:bookmarkStart w:id="707" w:name="_Toc267251492"/>
      <w:bookmarkStart w:id="708" w:name="_Toc267251491"/>
      <w:bookmarkStart w:id="709" w:name="_Toc267251511"/>
      <w:bookmarkStart w:id="710" w:name="_Toc267251507"/>
      <w:bookmarkStart w:id="711" w:name="_Toc267251502"/>
      <w:bookmarkStart w:id="712" w:name="_Toc267251509"/>
      <w:bookmarkStart w:id="713" w:name="_Toc267251515"/>
      <w:bookmarkStart w:id="714" w:name="_Toc267251503"/>
      <w:bookmarkStart w:id="715" w:name="_Toc267251498"/>
      <w:bookmarkStart w:id="716" w:name="_Toc267251494"/>
      <w:bookmarkStart w:id="717" w:name="_Toc267251497"/>
      <w:bookmarkStart w:id="718" w:name="_Toc267251513"/>
      <w:bookmarkStart w:id="719" w:name="_Toc267251496"/>
      <w:bookmarkStart w:id="720" w:name="_Toc267251499"/>
      <w:bookmarkStart w:id="721" w:name="_Toc267251501"/>
      <w:r>
        <w:rPr>
          <w:rFonts w:hint="eastAsia" w:ascii="宋体" w:hAnsi="宋体" w:eastAsia="宋体" w:cs="宋体"/>
          <w:b/>
          <w:color w:val="auto"/>
          <w:sz w:val="24"/>
          <w:szCs w:val="24"/>
          <w:lang w:bidi="ar"/>
        </w:rPr>
        <w:t>1</w:t>
      </w:r>
      <w:bookmarkStart w:id="722" w:name="_Toc300934989"/>
      <w:bookmarkStart w:id="723" w:name="_Toc296891021"/>
      <w:bookmarkStart w:id="724" w:name="_Toc297216199"/>
      <w:bookmarkStart w:id="725" w:name="_Toc296944532"/>
      <w:bookmarkStart w:id="726" w:name="_Toc296346694"/>
      <w:bookmarkStart w:id="727" w:name="_Toc292559903"/>
      <w:bookmarkStart w:id="728" w:name="_Toc297048379"/>
      <w:bookmarkStart w:id="729" w:name="_Toc292559398"/>
      <w:bookmarkStart w:id="730" w:name="_Toc296503193"/>
      <w:bookmarkStart w:id="731" w:name="_Toc297120493"/>
      <w:bookmarkStart w:id="732" w:name="_Toc296891233"/>
      <w:bookmarkStart w:id="733" w:name="_Toc297123540"/>
      <w:bookmarkStart w:id="734" w:name="_Toc296347192"/>
      <w:bookmarkStart w:id="735" w:name="_Toc303539146"/>
      <w:bookmarkStart w:id="736" w:name="_Toc304295566"/>
      <w:bookmarkStart w:id="737" w:name="_Toc312677499"/>
      <w:bookmarkStart w:id="738" w:name="_Toc312678025"/>
      <w:bookmarkStart w:id="739" w:name="_Toc267251439"/>
      <w:bookmarkStart w:id="740" w:name="_Toc267251433"/>
      <w:bookmarkStart w:id="741" w:name="_Toc267251441"/>
      <w:bookmarkStart w:id="742" w:name="_Toc267251437"/>
      <w:bookmarkStart w:id="743" w:name="_Toc267251435"/>
      <w:bookmarkStart w:id="744" w:name="_Toc267251440"/>
      <w:r>
        <w:rPr>
          <w:rFonts w:hint="eastAsia" w:ascii="宋体" w:hAnsi="宋体" w:eastAsia="宋体" w:cs="宋体"/>
          <w:b/>
          <w:color w:val="auto"/>
          <w:sz w:val="24"/>
          <w:szCs w:val="24"/>
          <w:lang w:bidi="ar"/>
        </w:rPr>
        <w:t>0. 变更</w:t>
      </w:r>
      <w:bookmarkEnd w:id="690"/>
      <w:bookmarkEnd w:id="69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bookmarkEnd w:id="737"/>
    <w:bookmarkEnd w:id="738"/>
    <w:p w14:paraId="6184FA4F">
      <w:pPr>
        <w:keepNext/>
        <w:keepLines/>
        <w:tabs>
          <w:tab w:val="left" w:pos="2551"/>
        </w:tabs>
        <w:spacing w:line="440" w:lineRule="exact"/>
        <w:outlineLvl w:val="4"/>
        <w:rPr>
          <w:rFonts w:hint="eastAsia" w:ascii="宋体" w:hAnsi="宋体" w:eastAsia="宋体" w:cs="宋体"/>
          <w:b/>
          <w:color w:val="auto"/>
          <w:sz w:val="24"/>
          <w:szCs w:val="24"/>
        </w:rPr>
      </w:pPr>
      <w:bookmarkStart w:id="745" w:name="_Toc532375635"/>
      <w:bookmarkStart w:id="746" w:name="_Toc532377371"/>
      <w:r>
        <w:rPr>
          <w:rFonts w:hint="eastAsia" w:ascii="宋体" w:hAnsi="宋体" w:eastAsia="宋体" w:cs="宋体"/>
          <w:b/>
          <w:color w:val="auto"/>
          <w:sz w:val="24"/>
          <w:szCs w:val="24"/>
          <w:lang w:bidi="ar"/>
        </w:rPr>
        <w:t>1</w:t>
      </w:r>
      <w:bookmarkStart w:id="747" w:name="_Toc296891022"/>
      <w:bookmarkStart w:id="748" w:name="_Toc312678026"/>
      <w:bookmarkStart w:id="749" w:name="_Toc296346695"/>
      <w:bookmarkStart w:id="750" w:name="_Toc296944533"/>
      <w:bookmarkStart w:id="751" w:name="_Toc300934990"/>
      <w:bookmarkStart w:id="752" w:name="_Toc296503194"/>
      <w:bookmarkStart w:id="753" w:name="_Toc312677500"/>
      <w:bookmarkStart w:id="754" w:name="_Toc304295567"/>
      <w:bookmarkStart w:id="755" w:name="_Toc303539147"/>
      <w:bookmarkStart w:id="756" w:name="_Toc296891234"/>
      <w:bookmarkStart w:id="757" w:name="_Toc296347193"/>
      <w:bookmarkStart w:id="758" w:name="_Toc297120494"/>
      <w:bookmarkStart w:id="759" w:name="_Toc292559399"/>
      <w:bookmarkStart w:id="760" w:name="_Toc297216200"/>
      <w:bookmarkStart w:id="761" w:name="_Toc292559904"/>
      <w:bookmarkStart w:id="762" w:name="_Toc297048380"/>
      <w:bookmarkStart w:id="763" w:name="_Toc297123541"/>
      <w:r>
        <w:rPr>
          <w:rFonts w:hint="eastAsia" w:ascii="宋体" w:hAnsi="宋体" w:eastAsia="宋体" w:cs="宋体"/>
          <w:b/>
          <w:color w:val="auto"/>
          <w:sz w:val="24"/>
          <w:szCs w:val="24"/>
          <w:lang w:bidi="ar"/>
        </w:rPr>
        <w:t>0.1变更的范围</w:t>
      </w:r>
      <w:bookmarkEnd w:id="745"/>
      <w:bookmarkEnd w:id="746"/>
    </w:p>
    <w:p w14:paraId="45524BB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项目实际施工过程中，发包人有权对实际施工内容进行增加或减少，成交供应商应无条件服从采购人的要求。如不接受，采购人有权取消授标或立即终止合同，同时采购人将没收成交供应商的投标保证金或履约保证金，只对已完成合格工程支付70%工程款，并要求退场。</w:t>
      </w:r>
    </w:p>
    <w:p w14:paraId="07FD172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关于变更范围的约定：发包人有权进行工程变更，工程设计变更需经发包人书面认定，承包人应无条件服从发包人的要求。</w:t>
      </w:r>
    </w:p>
    <w:p w14:paraId="6DCED1B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经发包人认可的变更的范围与内容：</w:t>
      </w:r>
    </w:p>
    <w:p w14:paraId="27DAA90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（1）增加或减少合同中任何工作，或追加额外的工作；</w:t>
      </w:r>
    </w:p>
    <w:p w14:paraId="35436FE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（2）取消合同中任何工作；</w:t>
      </w:r>
    </w:p>
    <w:p w14:paraId="4033333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（3）改变合同中任何工作的质量标准或其他特性；</w:t>
      </w:r>
    </w:p>
    <w:p w14:paraId="0480267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（4）改变工程的基线、标高、位置和尺寸；</w:t>
      </w:r>
    </w:p>
    <w:p w14:paraId="210052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（5）适用于工程的标准和（或）规范变化导致需要对工程进行改变，且该改变导致工期和（或）费用变化的；</w:t>
      </w:r>
    </w:p>
    <w:p w14:paraId="63CDD8B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（6）勘察设计变更；</w:t>
      </w:r>
    </w:p>
    <w:p w14:paraId="66CB9FD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（7）实施内容变更，包括因设计变更和非设计变更引起的实施地点、投资规模、结构型式、采购数量、服务内容等进行的调整，以及因此导致的合同价格、工期变更；</w:t>
      </w:r>
    </w:p>
    <w:p w14:paraId="77D05E5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（8）项目管理人员变更；</w:t>
      </w:r>
    </w:p>
    <w:p w14:paraId="2E99ABA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（9）因人工、原材料等价格变化导致的合同总价变更；</w:t>
      </w:r>
    </w:p>
    <w:p w14:paraId="230AA88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（10）非实施内容变化导致的工期变更；</w:t>
      </w:r>
    </w:p>
    <w:p w14:paraId="2608CA7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w:t>
      </w:r>
      <w:r>
        <w:rPr>
          <w:rFonts w:hint="eastAsia" w:ascii="宋体" w:hAnsi="宋体" w:eastAsia="宋体" w:cs="宋体"/>
          <w:color w:val="auto"/>
          <w:sz w:val="24"/>
          <w:szCs w:val="24"/>
          <w:u w:val="single"/>
          <w:lang w:bidi="ar"/>
        </w:rPr>
        <w:t>因施工单位工程原因导致项目合同变更的，增加的工程量由施工单位自行承担，不再追加施工费用</w:t>
      </w:r>
      <w:r>
        <w:rPr>
          <w:rFonts w:hint="eastAsia" w:ascii="宋体" w:hAnsi="宋体" w:eastAsia="宋体" w:cs="宋体"/>
          <w:color w:val="auto"/>
          <w:sz w:val="24"/>
          <w:szCs w:val="24"/>
          <w:lang w:bidi="ar"/>
        </w:rPr>
        <w:t>。</w:t>
      </w:r>
    </w:p>
    <w:p w14:paraId="6C2B870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4AAE361">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承包人对其提供的材料、工程设备、施工、无负荷试车、热负荷试车及图纸参数存在的缺陷，自费修正、调整和完善，不属于变更。</w:t>
      </w:r>
    </w:p>
    <w:p w14:paraId="5D57C25B">
      <w:pPr>
        <w:keepNext/>
        <w:keepLines/>
        <w:tabs>
          <w:tab w:val="left" w:pos="2551"/>
        </w:tabs>
        <w:spacing w:line="440" w:lineRule="exact"/>
        <w:outlineLvl w:val="4"/>
        <w:rPr>
          <w:rFonts w:hint="eastAsia" w:ascii="宋体" w:hAnsi="宋体" w:eastAsia="宋体" w:cs="宋体"/>
          <w:b/>
          <w:color w:val="auto"/>
          <w:sz w:val="24"/>
          <w:szCs w:val="24"/>
        </w:rPr>
      </w:pPr>
      <w:bookmarkStart w:id="764" w:name="_Toc351203569"/>
      <w:bookmarkStart w:id="765" w:name="_Toc532375636"/>
      <w:bookmarkStart w:id="766" w:name="_Toc532377372"/>
      <w:r>
        <w:rPr>
          <w:rFonts w:hint="eastAsia" w:ascii="宋体" w:hAnsi="宋体" w:eastAsia="宋体" w:cs="宋体"/>
          <w:b/>
          <w:color w:val="auto"/>
          <w:sz w:val="24"/>
          <w:szCs w:val="24"/>
          <w:lang w:bidi="ar"/>
        </w:rPr>
        <w:t>1</w:t>
      </w:r>
      <w:bookmarkStart w:id="767" w:name="_Toc296503085"/>
      <w:bookmarkStart w:id="768" w:name="_Toc337558789"/>
      <w:bookmarkStart w:id="769" w:name="_Toc296346586"/>
      <w:r>
        <w:rPr>
          <w:rFonts w:hint="eastAsia" w:ascii="宋体" w:hAnsi="宋体" w:eastAsia="宋体" w:cs="宋体"/>
          <w:b/>
          <w:color w:val="auto"/>
          <w:sz w:val="24"/>
          <w:szCs w:val="24"/>
          <w:lang w:bidi="ar"/>
        </w:rPr>
        <w:t>0.2变更权</w:t>
      </w:r>
      <w:bookmarkEnd w:id="764"/>
      <w:bookmarkEnd w:id="765"/>
      <w:bookmarkEnd w:id="766"/>
    </w:p>
    <w:bookmarkEnd w:id="767"/>
    <w:bookmarkEnd w:id="768"/>
    <w:bookmarkEnd w:id="769"/>
    <w:p w14:paraId="5583E48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10.2.1发包人和监理人提出变更</w:t>
      </w:r>
    </w:p>
    <w:p w14:paraId="527FA43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1F892A3E">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涉及设计变更的，应由设计人提供变更后的图纸和说明，交由发包人同意后由监理人以书面形式发出。如变更超过原设计标准或批准的建设规模时，由发包人及时办理规划、设计变更等审批手续。</w:t>
      </w:r>
    </w:p>
    <w:p w14:paraId="6B660E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若出现重大设计变更，变更后的内容超出承包人资质或能力范围的，发包人将另行依法招标选择承包单位，无需征得承包人同意。</w:t>
      </w:r>
    </w:p>
    <w:p w14:paraId="0802DB9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10.2.2 承包人提出变更建议</w:t>
      </w:r>
    </w:p>
    <w:p w14:paraId="22A2ED9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auto"/>
          <w:sz w:val="24"/>
          <w:szCs w:val="24"/>
          <w:u w:val="single"/>
          <w:lang w:bidi="ar"/>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宋体"/>
          <w:color w:val="auto"/>
          <w:sz w:val="24"/>
          <w:szCs w:val="24"/>
          <w:lang w:bidi="ar"/>
        </w:rPr>
        <w:t>。</w:t>
      </w:r>
    </w:p>
    <w:p w14:paraId="1D8A42F2">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如果发包人对承包人已实施的施工项目在发出重大设计变更之前要求承包人提出一份建议，那么，承包人应尽快提出：</w:t>
      </w:r>
    </w:p>
    <w:p w14:paraId="092F6C05">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（1）对所提方案和（或）待做工作及其实施计划的说明</w:t>
      </w:r>
      <w:r>
        <w:rPr>
          <w:rFonts w:hint="eastAsia" w:ascii="宋体" w:hAnsi="宋体" w:eastAsia="宋体" w:cs="宋体"/>
          <w:color w:val="auto"/>
          <w:sz w:val="24"/>
          <w:szCs w:val="24"/>
          <w:lang w:bidi="ar"/>
        </w:rPr>
        <w:t>；</w:t>
      </w:r>
    </w:p>
    <w:p w14:paraId="60DF022F">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（2）承包人按照对工程进度计划进行必要修改的建议</w:t>
      </w:r>
      <w:r>
        <w:rPr>
          <w:rFonts w:hint="eastAsia" w:ascii="宋体" w:hAnsi="宋体" w:eastAsia="宋体" w:cs="宋体"/>
          <w:color w:val="auto"/>
          <w:sz w:val="24"/>
          <w:szCs w:val="24"/>
          <w:lang w:bidi="ar"/>
        </w:rPr>
        <w:t>；</w:t>
      </w:r>
    </w:p>
    <w:p w14:paraId="502037FF">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（3）承包人发生较大返工损失增加费用的建议</w:t>
      </w:r>
      <w:r>
        <w:rPr>
          <w:rFonts w:hint="eastAsia" w:ascii="宋体" w:hAnsi="宋体" w:eastAsia="宋体" w:cs="宋体"/>
          <w:color w:val="auto"/>
          <w:sz w:val="24"/>
          <w:szCs w:val="24"/>
          <w:lang w:bidi="ar"/>
        </w:rPr>
        <w:t>。</w:t>
      </w:r>
    </w:p>
    <w:p w14:paraId="2DB3CAB5">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发包人在收到上述建议书后，应尽快给予批准、否决或提出意见</w:t>
      </w:r>
      <w:r>
        <w:rPr>
          <w:rFonts w:hint="eastAsia" w:ascii="宋体" w:hAnsi="宋体" w:eastAsia="宋体" w:cs="宋体"/>
          <w:color w:val="auto"/>
          <w:sz w:val="24"/>
          <w:szCs w:val="24"/>
          <w:lang w:bidi="ar"/>
        </w:rPr>
        <w:t>。</w:t>
      </w:r>
    </w:p>
    <w:p w14:paraId="5857082B">
      <w:pPr>
        <w:keepNext/>
        <w:keepLines/>
        <w:tabs>
          <w:tab w:val="left" w:pos="2551"/>
        </w:tabs>
        <w:spacing w:line="440" w:lineRule="exact"/>
        <w:outlineLvl w:val="4"/>
        <w:rPr>
          <w:rFonts w:hint="eastAsia" w:ascii="宋体" w:hAnsi="宋体" w:eastAsia="宋体" w:cs="宋体"/>
          <w:b/>
          <w:color w:val="auto"/>
          <w:sz w:val="24"/>
          <w:szCs w:val="24"/>
        </w:rPr>
      </w:pPr>
      <w:bookmarkStart w:id="770" w:name="_Toc532375637"/>
      <w:bookmarkStart w:id="771" w:name="_Toc532377373"/>
      <w:bookmarkStart w:id="772" w:name="_Toc351203570"/>
      <w:bookmarkStart w:id="773" w:name="_Hlk528928195"/>
      <w:r>
        <w:rPr>
          <w:rFonts w:hint="eastAsia" w:ascii="宋体" w:hAnsi="宋体" w:eastAsia="宋体" w:cs="宋体"/>
          <w:b/>
          <w:color w:val="auto"/>
          <w:sz w:val="24"/>
          <w:szCs w:val="24"/>
          <w:lang w:bidi="ar"/>
        </w:rPr>
        <w:t>1</w:t>
      </w:r>
      <w:bookmarkStart w:id="774" w:name="_Toc296346587"/>
      <w:bookmarkStart w:id="775" w:name="_Toc296503086"/>
      <w:bookmarkStart w:id="776" w:name="_Toc337558790"/>
      <w:r>
        <w:rPr>
          <w:rFonts w:hint="eastAsia" w:ascii="宋体" w:hAnsi="宋体" w:eastAsia="宋体" w:cs="宋体"/>
          <w:b/>
          <w:color w:val="auto"/>
          <w:sz w:val="24"/>
          <w:szCs w:val="24"/>
          <w:lang w:bidi="ar"/>
        </w:rPr>
        <w:t>0.3变更程序</w:t>
      </w:r>
      <w:bookmarkEnd w:id="770"/>
      <w:bookmarkEnd w:id="771"/>
    </w:p>
    <w:bookmarkEnd w:id="774"/>
    <w:bookmarkEnd w:id="775"/>
    <w:bookmarkEnd w:id="776"/>
    <w:p w14:paraId="6951BE47">
      <w:pPr>
        <w:autoSpaceDE w:val="0"/>
        <w:autoSpaceDN w:val="0"/>
        <w:spacing w:line="440" w:lineRule="exact"/>
        <w:ind w:firstLine="480" w:firstLineChars="200"/>
        <w:jc w:val="left"/>
        <w:rPr>
          <w:rFonts w:hint="eastAsia" w:ascii="宋体" w:hAnsi="宋体" w:eastAsia="宋体" w:cs="宋体"/>
          <w:color w:val="auto"/>
          <w:sz w:val="24"/>
          <w:szCs w:val="24"/>
        </w:rPr>
      </w:pPr>
      <w:bookmarkStart w:id="777" w:name="_Hlk524353972"/>
      <w:r>
        <w:rPr>
          <w:rFonts w:hint="eastAsia" w:ascii="宋体" w:hAnsi="宋体" w:eastAsia="宋体" w:cs="宋体"/>
          <w:color w:val="auto"/>
          <w:sz w:val="24"/>
          <w:szCs w:val="24"/>
          <w:lang w:bidi="ar"/>
        </w:rPr>
        <w:t>10.3.3 变更执行</w:t>
      </w:r>
    </w:p>
    <w:p w14:paraId="54E4B958">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一般设计变更：承包人收到监理人下达的变更指示后，应按照监理人下达的变更指示执行，并书面说明实施该变更指示对合同价格和工期的影响，按照第10.4.1项〔变更估价原则〕约定执行。</w:t>
      </w:r>
    </w:p>
    <w:p w14:paraId="3EBF2470">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重大设计变更：需经设计人、监理人和发包人三方签字认可并报相关行业部门审查同意后实施。</w:t>
      </w:r>
    </w:p>
    <w:p w14:paraId="27DFC955">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10.3.3 项增加以下内容：</w:t>
      </w:r>
    </w:p>
    <w:p w14:paraId="18DE2B9F">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521BFD0">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项目的勘察设计、实施内容等作较大变更的，应当按照规定的程序报原审批部门审批；变更导致总投资超概的，应当报原投资概算核定部门核定。</w:t>
      </w:r>
    </w:p>
    <w:p w14:paraId="6C02DD4A">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项目管理人员变更的，应当经发包人领导班子集体决策同意，并将变更信息推送给行业主管部门。变更后的项目管理人员应当符合竞争性磋商文件和行业主管部门的相关规定。</w:t>
      </w:r>
    </w:p>
    <w:p w14:paraId="61B0ACDA">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因人工、原材料市场价格发生大幅度变化导致的合同总价变更，由发包人与承包人按照合同进行变更，并将变更信息推送给行业主管部门。</w:t>
      </w:r>
    </w:p>
    <w:p w14:paraId="7451FF0C">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项目实施内容无变更，因不可抗力导致的工期变更，由发包人领导班子集体决策同意，并将变更信息推送给行业主管部门；因项目实施内容变更导致的工期变更，与项目实施内容变更一并办理。</w:t>
      </w:r>
    </w:p>
    <w:p w14:paraId="54C6B686">
      <w:pPr>
        <w:autoSpaceDE w:val="0"/>
        <w:autoSpaceDN w:val="0"/>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项目合同变更后，增加的实施内容达到依法必须招标的规模标准的，增加的部分应当依法通过招标选择承包单位。</w:t>
      </w:r>
    </w:p>
    <w:bookmarkEnd w:id="772"/>
    <w:bookmarkEnd w:id="773"/>
    <w:bookmarkEnd w:id="777"/>
    <w:p w14:paraId="18C16449">
      <w:pPr>
        <w:keepNext/>
        <w:keepLines/>
        <w:tabs>
          <w:tab w:val="left" w:pos="2551"/>
        </w:tabs>
        <w:spacing w:line="440" w:lineRule="exact"/>
        <w:outlineLvl w:val="4"/>
        <w:rPr>
          <w:rFonts w:hint="eastAsia" w:ascii="宋体" w:hAnsi="宋体" w:eastAsia="宋体" w:cs="宋体"/>
          <w:b/>
          <w:color w:val="auto"/>
          <w:sz w:val="24"/>
          <w:szCs w:val="24"/>
        </w:rPr>
      </w:pPr>
      <w:bookmarkStart w:id="778" w:name="_Toc532375638"/>
      <w:bookmarkStart w:id="779" w:name="_Toc532377374"/>
      <w:r>
        <w:rPr>
          <w:rFonts w:hint="eastAsia" w:ascii="宋体" w:hAnsi="宋体" w:eastAsia="宋体" w:cs="宋体"/>
          <w:b/>
          <w:color w:val="auto"/>
          <w:sz w:val="24"/>
          <w:szCs w:val="24"/>
          <w:lang w:bidi="ar"/>
        </w:rPr>
        <w:t>10.4 变更估价</w:t>
      </w:r>
      <w:bookmarkEnd w:id="778"/>
      <w:bookmarkEnd w:id="779"/>
    </w:p>
    <w:p w14:paraId="576BCD69">
      <w:pPr>
        <w:spacing w:line="440" w:lineRule="exact"/>
        <w:ind w:firstLine="480" w:firstLineChars="200"/>
        <w:jc w:val="left"/>
        <w:rPr>
          <w:rFonts w:hint="eastAsia" w:ascii="宋体" w:hAnsi="宋体" w:eastAsia="宋体" w:cs="宋体"/>
          <w:color w:val="auto"/>
          <w:sz w:val="24"/>
          <w:szCs w:val="24"/>
        </w:rPr>
      </w:pPr>
      <w:bookmarkStart w:id="780" w:name="_Hlk524296629"/>
      <w:r>
        <w:rPr>
          <w:rFonts w:hint="eastAsia" w:ascii="宋体" w:hAnsi="宋体" w:eastAsia="宋体" w:cs="宋体"/>
          <w:color w:val="auto"/>
          <w:sz w:val="24"/>
          <w:szCs w:val="24"/>
          <w:lang w:bidi="ar"/>
        </w:rPr>
        <w:t>10.4.1 变更估价原则</w:t>
      </w:r>
    </w:p>
    <w:p w14:paraId="31231202">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当发生工程变更时，工程量按</w:t>
      </w:r>
      <w:r>
        <w:rPr>
          <w:rFonts w:hint="eastAsia" w:ascii="宋体" w:hAnsi="宋体" w:eastAsia="宋体" w:cs="宋体"/>
          <w:color w:val="auto"/>
          <w:sz w:val="24"/>
          <w:szCs w:val="24"/>
          <w:u w:val="single"/>
          <w:lang w:bidi="ar"/>
        </w:rPr>
        <w:t xml:space="preserve"> 采购文件 </w:t>
      </w:r>
      <w:r>
        <w:rPr>
          <w:rFonts w:hint="eastAsia" w:ascii="宋体" w:hAnsi="宋体" w:eastAsia="宋体" w:cs="宋体"/>
          <w:color w:val="auto"/>
          <w:sz w:val="24"/>
          <w:szCs w:val="24"/>
          <w:lang w:bidi="ar"/>
        </w:rPr>
        <w:t>规定的计算规则及已标价工程量清单规定的工程量计算规则计量，按以下办法计价：</w:t>
      </w:r>
      <w:bookmarkStart w:id="781" w:name="_Hlk524770102"/>
    </w:p>
    <w:bookmarkEnd w:id="781"/>
    <w:p w14:paraId="6B887DC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10.4.1.1已标价工程量清单中有相同项目的，按照相同项目单价计算；</w:t>
      </w:r>
    </w:p>
    <w:p w14:paraId="0FE5AC4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10.4.1.2已标价工程量清单中有类似项目的，参考类似项目单价计算；</w:t>
      </w:r>
    </w:p>
    <w:p w14:paraId="79E8332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10.4.1.3已标价工程量清单中无相同项目亦无类似项目的，按照以下原则执行：</w:t>
      </w:r>
    </w:p>
    <w:p w14:paraId="0C2FE5C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eastAsia="宋体" w:cs="宋体"/>
          <w:color w:val="auto"/>
          <w:sz w:val="24"/>
          <w:szCs w:val="24"/>
          <w:lang w:bidi="ar"/>
        </w:rPr>
        <w:t>。</w:t>
      </w:r>
    </w:p>
    <w:p w14:paraId="2B48413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承包人报价浮动率按下列公式计算：承包人报价浮动率=（1-中标价/最高限价）×100%。</w:t>
      </w:r>
    </w:p>
    <w:p w14:paraId="4D2C72B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（1）人工单价：按开标当期《重庆工程造价信息》发布的项目所在地的人工单价执行。</w:t>
      </w:r>
    </w:p>
    <w:p w14:paraId="493DDF8C">
      <w:pPr>
        <w:spacing w:line="440" w:lineRule="exact"/>
        <w:ind w:firstLine="480" w:firstLineChars="200"/>
        <w:jc w:val="left"/>
        <w:rPr>
          <w:rFonts w:hint="eastAsia" w:ascii="宋体" w:hAnsi="宋体" w:eastAsia="宋体" w:cs="宋体"/>
          <w:color w:val="auto"/>
          <w:sz w:val="24"/>
          <w:szCs w:val="24"/>
        </w:rPr>
      </w:pPr>
      <w:bookmarkStart w:id="782" w:name="_Hlk529023896"/>
      <w:r>
        <w:rPr>
          <w:rFonts w:hint="eastAsia" w:ascii="宋体" w:hAnsi="宋体" w:eastAsia="宋体" w:cs="宋体"/>
          <w:color w:val="auto"/>
          <w:sz w:val="24"/>
          <w:szCs w:val="24"/>
          <w:lang w:bidi="ar"/>
        </w:rPr>
        <w:t>（2）材料单价：</w:t>
      </w:r>
    </w:p>
    <w:p w14:paraId="4A92E45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①按</w:t>
      </w:r>
      <w:bookmarkStart w:id="783" w:name="_Hlk529023354"/>
      <w:r>
        <w:rPr>
          <w:rFonts w:hint="eastAsia" w:ascii="宋体" w:hAnsi="宋体" w:eastAsia="宋体" w:cs="宋体"/>
          <w:color w:val="auto"/>
          <w:sz w:val="24"/>
          <w:szCs w:val="24"/>
          <w:lang w:bidi="ar"/>
        </w:rPr>
        <w:t>开标当期《重庆工程造价信息》发布的项目所在地的信息价</w:t>
      </w:r>
      <w:bookmarkEnd w:id="783"/>
      <w:r>
        <w:rPr>
          <w:rFonts w:hint="eastAsia" w:ascii="宋体" w:hAnsi="宋体" w:eastAsia="宋体" w:cs="宋体"/>
          <w:color w:val="auto"/>
          <w:sz w:val="24"/>
          <w:szCs w:val="24"/>
          <w:lang w:bidi="ar"/>
        </w:rPr>
        <w:t>执行；</w:t>
      </w:r>
    </w:p>
    <w:p w14:paraId="34F6817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②开标当期《重庆工程造价信息》中没有的，承包人投标报价中有的，按承包人投标报价中相同材料单价的最低值执行；</w:t>
      </w:r>
    </w:p>
    <w:p w14:paraId="703A58B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③开标当期《重庆工程造价信息》和承包人投标报价没有的，由承包人申报、监理人会同跟审单位、发包人根据市场行情认质核价确定。</w:t>
      </w:r>
    </w:p>
    <w:bookmarkEnd w:id="782"/>
    <w:p w14:paraId="58B51C1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企业管理费和利润：按承包人投标报价中相同工程分类的费用标准执行（投标报价中费用标准高于《重庆市建设工程费用定额》（CQFYDE-2018）费用标准的，按《重庆市建设工程费用定额》（CQFYDE-2018）费用标准执行）。</w:t>
      </w:r>
    </w:p>
    <w:p w14:paraId="27D6D60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（4）规费：按《重庆市建设工程费用定额》（CQFYDE-2018）费用标准进行计算。</w:t>
      </w:r>
    </w:p>
    <w:p w14:paraId="6CEB6D5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（5）税金：包含增值税、城市维护建设税、教育费附加、地方教育附加以及环境保护税。其中增值税按《重庆市建设工程费用定额》（CQFYDE-2018）规定及配套文件执行。</w:t>
      </w:r>
    </w:p>
    <w:p w14:paraId="3101D40E">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421BFF8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本款补充10.4.3项：</w:t>
      </w:r>
    </w:p>
    <w:p w14:paraId="5CDFA75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5583EDB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u w:val="single"/>
          <w:lang w:bidi="ar"/>
        </w:rPr>
        <w:t>安全文明施工费应按照实际发生变化的措施项目依据现行安全文明施工费计取及管理政策规定及《重庆市建设工程费用定额》（CQFYDE-2018）规定执行</w:t>
      </w:r>
      <w:r>
        <w:rPr>
          <w:rFonts w:hint="eastAsia" w:ascii="宋体" w:hAnsi="宋体" w:eastAsia="宋体" w:cs="宋体"/>
          <w:color w:val="auto"/>
          <w:sz w:val="24"/>
          <w:szCs w:val="24"/>
          <w:lang w:bidi="ar"/>
        </w:rPr>
        <w:t>；</w:t>
      </w:r>
    </w:p>
    <w:p w14:paraId="5FF73EB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r>
        <w:rPr>
          <w:rFonts w:hint="eastAsia" w:ascii="宋体" w:hAnsi="宋体" w:eastAsia="宋体" w:cs="宋体"/>
          <w:color w:val="auto"/>
          <w:sz w:val="24"/>
          <w:szCs w:val="24"/>
          <w:u w:val="single"/>
          <w:lang w:bidi="ar"/>
        </w:rPr>
        <w:t>按照单价计算的措施项目费，应按照实际发生变化的措施项目，按照第10.4.1项〔变更估价原则〕约定执行</w:t>
      </w:r>
      <w:r>
        <w:rPr>
          <w:rFonts w:hint="eastAsia" w:ascii="宋体" w:hAnsi="宋体" w:eastAsia="宋体" w:cs="宋体"/>
          <w:color w:val="auto"/>
          <w:sz w:val="24"/>
          <w:szCs w:val="24"/>
          <w:lang w:bidi="ar"/>
        </w:rPr>
        <w:t>；</w:t>
      </w:r>
    </w:p>
    <w:p w14:paraId="4C3227B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r>
        <w:rPr>
          <w:rFonts w:hint="eastAsia" w:ascii="宋体" w:hAnsi="宋体" w:eastAsia="宋体" w:cs="宋体"/>
          <w:color w:val="auto"/>
          <w:sz w:val="24"/>
          <w:szCs w:val="24"/>
          <w:u w:val="single"/>
          <w:lang w:bidi="ar"/>
        </w:rPr>
        <w:t>按总价（或系数）计算的措施项目费，应按照实际发生变化的措施项目费按承包人报价浮动率下浮后的金额计算</w:t>
      </w:r>
      <w:r>
        <w:rPr>
          <w:rFonts w:hint="eastAsia" w:ascii="宋体" w:hAnsi="宋体" w:eastAsia="宋体" w:cs="宋体"/>
          <w:color w:val="auto"/>
          <w:sz w:val="24"/>
          <w:szCs w:val="24"/>
          <w:lang w:bidi="ar"/>
        </w:rPr>
        <w:t>；</w:t>
      </w:r>
    </w:p>
    <w:p w14:paraId="04E3B1BA">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u w:val="single"/>
          <w:lang w:bidi="ar"/>
        </w:rPr>
        <w:t>如果承包人未事前将拟实施的方案提交给发包人确认，则应视为工程变更不引起措施项目费的调整或承包人放弃调整措施项目费的权利</w:t>
      </w:r>
      <w:r>
        <w:rPr>
          <w:rFonts w:hint="eastAsia" w:ascii="宋体" w:hAnsi="宋体" w:eastAsia="宋体" w:cs="宋体"/>
          <w:color w:val="auto"/>
          <w:sz w:val="24"/>
          <w:szCs w:val="24"/>
          <w:lang w:bidi="ar"/>
        </w:rPr>
        <w:t>。</w:t>
      </w:r>
    </w:p>
    <w:bookmarkEnd w:id="780"/>
    <w:p w14:paraId="6BB4F779">
      <w:pPr>
        <w:keepNext/>
        <w:keepLines/>
        <w:tabs>
          <w:tab w:val="left" w:pos="2551"/>
        </w:tabs>
        <w:spacing w:line="440" w:lineRule="exact"/>
        <w:outlineLvl w:val="4"/>
        <w:rPr>
          <w:rFonts w:hint="eastAsia" w:ascii="宋体" w:hAnsi="宋体" w:eastAsia="宋体" w:cs="宋体"/>
          <w:b/>
          <w:color w:val="auto"/>
          <w:sz w:val="24"/>
          <w:szCs w:val="24"/>
        </w:rPr>
      </w:pPr>
      <w:bookmarkStart w:id="784" w:name="_Toc532375639"/>
      <w:bookmarkStart w:id="785" w:name="_Toc532377375"/>
      <w:r>
        <w:rPr>
          <w:rFonts w:hint="eastAsia" w:ascii="宋体" w:hAnsi="宋体" w:eastAsia="宋体" w:cs="宋体"/>
          <w:b/>
          <w:color w:val="auto"/>
          <w:sz w:val="24"/>
          <w:szCs w:val="24"/>
          <w:lang w:bidi="ar"/>
        </w:rPr>
        <w:t>1</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Start w:id="786" w:name="_Toc296944536"/>
      <w:bookmarkStart w:id="787" w:name="_Toc296891237"/>
      <w:bookmarkStart w:id="788" w:name="_Toc296346698"/>
      <w:bookmarkStart w:id="789" w:name="_Toc296891025"/>
      <w:bookmarkStart w:id="790" w:name="_Toc297048383"/>
      <w:bookmarkStart w:id="791" w:name="_Toc303539150"/>
      <w:bookmarkStart w:id="792" w:name="_Toc297123544"/>
      <w:bookmarkStart w:id="793" w:name="_Toc297120497"/>
      <w:bookmarkStart w:id="794" w:name="_Toc297216203"/>
      <w:bookmarkStart w:id="795" w:name="_Toc296347196"/>
      <w:bookmarkStart w:id="796" w:name="_Toc296503197"/>
      <w:bookmarkStart w:id="797" w:name="_Toc300934993"/>
      <w:bookmarkStart w:id="798" w:name="_Toc292559907"/>
      <w:bookmarkStart w:id="799" w:name="_Toc292559402"/>
      <w:bookmarkStart w:id="800" w:name="_Toc312677503"/>
      <w:bookmarkStart w:id="801" w:name="_Toc304295570"/>
      <w:bookmarkStart w:id="802" w:name="_Toc312678029"/>
      <w:r>
        <w:rPr>
          <w:rFonts w:hint="eastAsia" w:ascii="宋体" w:hAnsi="宋体" w:eastAsia="宋体" w:cs="宋体"/>
          <w:b/>
          <w:color w:val="auto"/>
          <w:sz w:val="24"/>
          <w:szCs w:val="24"/>
          <w:lang w:bidi="ar"/>
        </w:rPr>
        <w:t>0.5承</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Start w:id="803" w:name="_Toc300934994"/>
      <w:bookmarkStart w:id="804" w:name="_Toc297123545"/>
      <w:bookmarkStart w:id="805" w:name="_Toc292559408"/>
      <w:bookmarkStart w:id="806" w:name="_Toc296346704"/>
      <w:bookmarkStart w:id="807" w:name="_Toc296891243"/>
      <w:bookmarkStart w:id="808" w:name="_Toc297216204"/>
      <w:bookmarkStart w:id="809" w:name="_Toc292559913"/>
      <w:bookmarkStart w:id="810" w:name="_Toc303539151"/>
      <w:bookmarkStart w:id="811" w:name="_Toc296891031"/>
      <w:bookmarkStart w:id="812" w:name="_Toc296347202"/>
      <w:bookmarkStart w:id="813" w:name="_Toc297048389"/>
      <w:bookmarkStart w:id="814" w:name="_Toc296503203"/>
      <w:bookmarkStart w:id="815" w:name="_Toc297120503"/>
      <w:bookmarkStart w:id="816" w:name="_Toc296944542"/>
      <w:r>
        <w:rPr>
          <w:rFonts w:hint="eastAsia" w:ascii="宋体" w:hAnsi="宋体" w:eastAsia="宋体" w:cs="宋体"/>
          <w:b/>
          <w:color w:val="auto"/>
          <w:sz w:val="24"/>
          <w:szCs w:val="24"/>
          <w:lang w:bidi="ar"/>
        </w:rPr>
        <w:t>包人的合理化建议</w:t>
      </w:r>
      <w:bookmarkEnd w:id="784"/>
      <w:bookmarkEnd w:id="785"/>
    </w:p>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14:paraId="0639C68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承包人提出合理化建议的，应向监理人提交合理化建议说明，说明建议的内容和理由，以及实施该建议对合同价格和（或）工期和（或）工程经济效益的影响。</w:t>
      </w:r>
    </w:p>
    <w:p w14:paraId="3978FF4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监理人审查承包人合理化建议的期限：</w:t>
      </w:r>
      <w:r>
        <w:rPr>
          <w:rFonts w:hint="eastAsia" w:ascii="宋体" w:hAnsi="宋体" w:eastAsia="宋体" w:cs="宋体"/>
          <w:color w:val="auto"/>
          <w:sz w:val="24"/>
          <w:szCs w:val="24"/>
          <w:u w:val="single"/>
          <w:lang w:bidi="ar"/>
        </w:rPr>
        <w:t>不超过14天</w:t>
      </w:r>
      <w:r>
        <w:rPr>
          <w:rFonts w:hint="eastAsia" w:ascii="宋体" w:hAnsi="宋体" w:eastAsia="宋体" w:cs="宋体"/>
          <w:color w:val="auto"/>
          <w:sz w:val="24"/>
          <w:szCs w:val="24"/>
          <w:lang w:bidi="ar"/>
        </w:rPr>
        <w:t>。</w:t>
      </w:r>
    </w:p>
    <w:p w14:paraId="0466628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发包人审批承包人合理化建议的期限：</w:t>
      </w:r>
      <w:r>
        <w:rPr>
          <w:rFonts w:hint="eastAsia" w:ascii="宋体" w:hAnsi="宋体" w:eastAsia="宋体" w:cs="宋体"/>
          <w:color w:val="auto"/>
          <w:sz w:val="24"/>
          <w:szCs w:val="24"/>
          <w:u w:val="single"/>
          <w:lang w:bidi="ar"/>
        </w:rPr>
        <w:t>不超过14天</w:t>
      </w:r>
      <w:r>
        <w:rPr>
          <w:rFonts w:hint="eastAsia" w:ascii="宋体" w:hAnsi="宋体" w:eastAsia="宋体" w:cs="宋体"/>
          <w:color w:val="auto"/>
          <w:sz w:val="24"/>
          <w:szCs w:val="24"/>
          <w:lang w:bidi="ar"/>
        </w:rPr>
        <w:t>。</w:t>
      </w:r>
    </w:p>
    <w:p w14:paraId="3FDB9828">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承</w:t>
      </w:r>
      <w:bookmarkStart w:id="817" w:name="_Toc296891032"/>
      <w:bookmarkStart w:id="818" w:name="_Toc296346705"/>
      <w:bookmarkStart w:id="819" w:name="_Toc318581175"/>
      <w:bookmarkStart w:id="820" w:name="_Toc312678030"/>
      <w:bookmarkStart w:id="821" w:name="_Toc296347203"/>
      <w:bookmarkStart w:id="822" w:name="_Toc292559409"/>
      <w:bookmarkStart w:id="823" w:name="_Toc296944543"/>
      <w:bookmarkStart w:id="824" w:name="_Toc303539152"/>
      <w:bookmarkStart w:id="825" w:name="_Toc297048390"/>
      <w:bookmarkStart w:id="826" w:name="_Toc312677504"/>
      <w:bookmarkStart w:id="827" w:name="_Toc297120504"/>
      <w:bookmarkStart w:id="828" w:name="_Toc300934995"/>
      <w:bookmarkStart w:id="829" w:name="_Toc292559914"/>
      <w:bookmarkStart w:id="830" w:name="_Toc296891244"/>
      <w:bookmarkStart w:id="831" w:name="_Toc296503204"/>
      <w:bookmarkStart w:id="832" w:name="_Toc297123546"/>
      <w:bookmarkStart w:id="833" w:name="_Toc297216205"/>
      <w:bookmarkStart w:id="834" w:name="_Toc304295571"/>
      <w:r>
        <w:rPr>
          <w:rFonts w:hint="eastAsia" w:ascii="宋体" w:hAnsi="宋体" w:eastAsia="宋体" w:cs="宋体"/>
          <w:color w:val="auto"/>
          <w:sz w:val="24"/>
          <w:szCs w:val="24"/>
          <w:lang w:bidi="ar"/>
        </w:rPr>
        <w:t>包人提出的合理化建议降低了合同价格或缩短了工期或者提高了工程经济效益的奖励的方法和金额为：</w:t>
      </w:r>
      <w:r>
        <w:rPr>
          <w:rFonts w:hint="eastAsia" w:ascii="宋体" w:hAnsi="宋体" w:eastAsia="宋体" w:cs="宋体"/>
          <w:color w:val="auto"/>
          <w:sz w:val="24"/>
          <w:szCs w:val="24"/>
          <w:u w:val="single"/>
          <w:lang w:bidi="ar"/>
        </w:rPr>
        <w:t>无</w:t>
      </w:r>
      <w:r>
        <w:rPr>
          <w:rFonts w:hint="eastAsia" w:ascii="宋体" w:hAnsi="宋体" w:eastAsia="宋体" w:cs="宋体"/>
          <w:color w:val="auto"/>
          <w:sz w:val="24"/>
          <w:szCs w:val="24"/>
          <w:lang w:bidi="ar"/>
        </w:rPr>
        <w:t>。</w:t>
      </w:r>
    </w:p>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14:paraId="790FE0B4">
      <w:pPr>
        <w:keepNext/>
        <w:keepLines/>
        <w:tabs>
          <w:tab w:val="left" w:pos="2551"/>
        </w:tabs>
        <w:spacing w:line="440" w:lineRule="exact"/>
        <w:outlineLvl w:val="4"/>
        <w:rPr>
          <w:rFonts w:hint="eastAsia" w:ascii="宋体" w:hAnsi="宋体" w:eastAsia="宋体" w:cs="宋体"/>
          <w:b/>
          <w:color w:val="auto"/>
          <w:sz w:val="24"/>
          <w:szCs w:val="24"/>
        </w:rPr>
      </w:pPr>
      <w:bookmarkStart w:id="835" w:name="_Toc532375640"/>
      <w:bookmarkStart w:id="836" w:name="_Toc532377376"/>
      <w:r>
        <w:rPr>
          <w:rFonts w:hint="eastAsia" w:ascii="宋体" w:hAnsi="宋体" w:eastAsia="宋体" w:cs="宋体"/>
          <w:b/>
          <w:color w:val="auto"/>
          <w:sz w:val="24"/>
          <w:szCs w:val="24"/>
          <w:lang w:bidi="ar"/>
        </w:rPr>
        <w:t>1</w:t>
      </w:r>
      <w:bookmarkStart w:id="837" w:name="_Toc296346700"/>
      <w:bookmarkStart w:id="838" w:name="_Toc292559404"/>
      <w:bookmarkStart w:id="839" w:name="_Toc296503199"/>
      <w:bookmarkStart w:id="840" w:name="_Toc297120499"/>
      <w:bookmarkStart w:id="841" w:name="_Toc296891027"/>
      <w:bookmarkStart w:id="842" w:name="_Toc296347198"/>
      <w:bookmarkStart w:id="843" w:name="_Toc312677507"/>
      <w:bookmarkStart w:id="844" w:name="_Toc296891239"/>
      <w:bookmarkStart w:id="845" w:name="_Toc312678033"/>
      <w:bookmarkStart w:id="846" w:name="_Toc300934997"/>
      <w:bookmarkStart w:id="847" w:name="_Toc292559909"/>
      <w:bookmarkStart w:id="848" w:name="_Toc297123548"/>
      <w:bookmarkStart w:id="849" w:name="_Toc304295574"/>
      <w:bookmarkStart w:id="850" w:name="_Toc296944538"/>
      <w:bookmarkStart w:id="851" w:name="_Toc297048385"/>
      <w:bookmarkStart w:id="852" w:name="_Toc297216207"/>
      <w:bookmarkStart w:id="853" w:name="_Toc303539154"/>
      <w:r>
        <w:rPr>
          <w:rFonts w:hint="eastAsia" w:ascii="宋体" w:hAnsi="宋体" w:eastAsia="宋体" w:cs="宋体"/>
          <w:b/>
          <w:color w:val="auto"/>
          <w:sz w:val="24"/>
          <w:szCs w:val="24"/>
          <w:lang w:bidi="ar"/>
        </w:rPr>
        <w:t>0.7 暂估价</w:t>
      </w:r>
      <w:bookmarkEnd w:id="835"/>
      <w:bookmarkEnd w:id="836"/>
    </w:p>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025263A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专业工程暂估价：</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万元。</w:t>
      </w:r>
    </w:p>
    <w:p w14:paraId="1CBE1AE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57108416">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单项合同暂估价在国家相关法律法规规定必须招标规模以上的，需依法必须招标的，由承包人、发包人共同招标确定。</w:t>
      </w:r>
    </w:p>
    <w:p w14:paraId="3908EA99">
      <w:pPr>
        <w:keepNext/>
        <w:keepLines/>
        <w:tabs>
          <w:tab w:val="left" w:pos="2551"/>
        </w:tabs>
        <w:spacing w:line="440" w:lineRule="exact"/>
        <w:outlineLvl w:val="4"/>
        <w:rPr>
          <w:rFonts w:hint="eastAsia" w:ascii="宋体" w:hAnsi="宋体" w:eastAsia="宋体" w:cs="宋体"/>
          <w:b/>
          <w:color w:val="auto"/>
          <w:sz w:val="24"/>
          <w:szCs w:val="24"/>
        </w:rPr>
      </w:pPr>
      <w:bookmarkStart w:id="854" w:name="_Toc532375641"/>
      <w:bookmarkStart w:id="855" w:name="_Toc532377377"/>
      <w:r>
        <w:rPr>
          <w:rFonts w:hint="eastAsia" w:ascii="宋体" w:hAnsi="宋体" w:eastAsia="宋体" w:cs="宋体"/>
          <w:b/>
          <w:color w:val="auto"/>
          <w:sz w:val="24"/>
          <w:szCs w:val="24"/>
          <w:lang w:bidi="ar"/>
        </w:rPr>
        <w:t>10.8 暂列金额</w:t>
      </w:r>
      <w:bookmarkEnd w:id="854"/>
      <w:bookmarkEnd w:id="855"/>
    </w:p>
    <w:p w14:paraId="66F43B85">
      <w:pPr>
        <w:autoSpaceDE w:val="0"/>
        <w:autoSpaceDN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合同当事人关于暂列金额使用的约定：</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19717FCF">
      <w:pPr>
        <w:keepNext/>
        <w:keepLines/>
        <w:spacing w:before="120" w:beforeLines="50" w:after="120" w:afterLines="50" w:line="440" w:lineRule="exact"/>
        <w:outlineLvl w:val="3"/>
        <w:rPr>
          <w:rFonts w:hint="eastAsia" w:ascii="宋体" w:hAnsi="宋体" w:eastAsia="宋体" w:cs="宋体"/>
          <w:b/>
          <w:color w:val="auto"/>
          <w:sz w:val="24"/>
          <w:szCs w:val="24"/>
        </w:rPr>
      </w:pPr>
      <w:bookmarkStart w:id="856" w:name="_Toc351203643"/>
      <w:bookmarkStart w:id="857" w:name="_Toc532377378"/>
      <w:bookmarkStart w:id="858" w:name="_Toc532375642"/>
      <w:r>
        <w:rPr>
          <w:rFonts w:hint="eastAsia" w:ascii="宋体" w:hAnsi="宋体" w:eastAsia="宋体" w:cs="宋体"/>
          <w:b/>
          <w:color w:val="auto"/>
          <w:sz w:val="24"/>
          <w:szCs w:val="24"/>
          <w:lang w:bidi="ar"/>
        </w:rPr>
        <w:t>11. 价格调整</w:t>
      </w:r>
      <w:bookmarkEnd w:id="856"/>
      <w:bookmarkEnd w:id="857"/>
      <w:bookmarkEnd w:id="858"/>
    </w:p>
    <w:p w14:paraId="4A46EC5D">
      <w:pPr>
        <w:keepNext/>
        <w:keepLines/>
        <w:tabs>
          <w:tab w:val="left" w:pos="2551"/>
        </w:tabs>
        <w:spacing w:line="440" w:lineRule="exact"/>
        <w:outlineLvl w:val="4"/>
        <w:rPr>
          <w:rFonts w:hint="eastAsia" w:ascii="宋体" w:hAnsi="宋体" w:eastAsia="宋体" w:cs="宋体"/>
          <w:b/>
          <w:color w:val="auto"/>
          <w:sz w:val="24"/>
          <w:szCs w:val="24"/>
        </w:rPr>
      </w:pPr>
      <w:bookmarkStart w:id="859" w:name="_Toc532375643"/>
      <w:bookmarkStart w:id="860" w:name="_Toc532377379"/>
      <w:bookmarkStart w:id="861" w:name="_Toc304295577"/>
      <w:bookmarkStart w:id="862" w:name="_Toc297048387"/>
      <w:bookmarkStart w:id="863" w:name="_Toc296891029"/>
      <w:bookmarkStart w:id="864" w:name="_Toc296347200"/>
      <w:bookmarkStart w:id="865" w:name="_Toc297120501"/>
      <w:bookmarkStart w:id="866" w:name="_Toc300935000"/>
      <w:bookmarkStart w:id="867" w:name="_Toc296944540"/>
      <w:bookmarkStart w:id="868" w:name="_Toc292559911"/>
      <w:bookmarkStart w:id="869" w:name="_Toc292559406"/>
      <w:bookmarkStart w:id="870" w:name="_Toc303539157"/>
      <w:bookmarkStart w:id="871" w:name="_Toc296346702"/>
      <w:bookmarkStart w:id="872" w:name="_Toc312678039"/>
      <w:bookmarkStart w:id="873" w:name="_Toc296891241"/>
      <w:bookmarkStart w:id="874" w:name="_Toc297123550"/>
      <w:bookmarkStart w:id="875" w:name="_Toc297216209"/>
      <w:bookmarkStart w:id="876" w:name="_Toc296503201"/>
      <w:r>
        <w:rPr>
          <w:rFonts w:hint="eastAsia" w:ascii="宋体" w:hAnsi="宋体" w:eastAsia="宋体" w:cs="宋体"/>
          <w:b/>
          <w:color w:val="auto"/>
          <w:sz w:val="24"/>
          <w:szCs w:val="24"/>
          <w:lang w:bidi="ar"/>
        </w:rPr>
        <w:t>11.1 市场价格波动引起的调整</w:t>
      </w:r>
      <w:bookmarkEnd w:id="859"/>
      <w:bookmarkEnd w:id="860"/>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14:paraId="6F93E19B">
      <w:pPr>
        <w:spacing w:line="440" w:lineRule="exact"/>
        <w:ind w:firstLine="480" w:firstLineChars="200"/>
        <w:jc w:val="left"/>
        <w:rPr>
          <w:rFonts w:hint="eastAsia" w:ascii="宋体" w:hAnsi="宋体" w:eastAsia="宋体" w:cs="宋体"/>
          <w:color w:val="auto"/>
          <w:sz w:val="24"/>
          <w:szCs w:val="24"/>
        </w:rPr>
      </w:pPr>
      <w:bookmarkStart w:id="877" w:name="_Toc466913513"/>
      <w:bookmarkStart w:id="878" w:name="_Toc466911545"/>
      <w:bookmarkStart w:id="879" w:name="_Toc466913963"/>
      <w:bookmarkStart w:id="880" w:name="_Toc467689641"/>
      <w:r>
        <w:rPr>
          <w:rFonts w:hint="eastAsia" w:ascii="宋体" w:hAnsi="宋体" w:eastAsia="宋体" w:cs="宋体"/>
          <w:color w:val="auto"/>
          <w:sz w:val="24"/>
          <w:szCs w:val="24"/>
          <w:lang w:bidi="ar"/>
        </w:rPr>
        <w:t>市场价格波动是否调整合同价格的约定：</w:t>
      </w:r>
    </w:p>
    <w:p w14:paraId="4909582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eastAsia="宋体" w:cs="宋体"/>
          <w:color w:val="auto"/>
          <w:sz w:val="24"/>
          <w:szCs w:val="24"/>
          <w:lang w:bidi="ar"/>
        </w:rPr>
        <w:t>。</w:t>
      </w:r>
    </w:p>
    <w:p w14:paraId="03EDA24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合同工期一年以下的，任何市场价格波动均不调整合同价格。</w:t>
      </w:r>
    </w:p>
    <w:p w14:paraId="32833F0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因市场价格波动调整合同价格，采用以下第</w:t>
      </w:r>
      <w:r>
        <w:rPr>
          <w:rFonts w:hint="eastAsia" w:ascii="宋体" w:hAnsi="宋体" w:eastAsia="宋体" w:cs="宋体"/>
          <w:color w:val="auto"/>
          <w:sz w:val="24"/>
          <w:szCs w:val="24"/>
          <w:u w:val="single"/>
          <w:lang w:bidi="ar"/>
        </w:rPr>
        <w:t xml:space="preserve">  2  </w:t>
      </w:r>
      <w:r>
        <w:rPr>
          <w:rFonts w:hint="eastAsia" w:ascii="宋体" w:hAnsi="宋体" w:eastAsia="宋体" w:cs="宋体"/>
          <w:color w:val="auto"/>
          <w:sz w:val="24"/>
          <w:szCs w:val="24"/>
          <w:lang w:bidi="ar"/>
        </w:rPr>
        <w:t>种方式对合同价格进行调整：</w:t>
      </w:r>
    </w:p>
    <w:p w14:paraId="222666E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第1种方式：</w:t>
      </w:r>
      <w:r>
        <w:rPr>
          <w:rFonts w:hint="eastAsia" w:ascii="宋体" w:hAnsi="宋体" w:eastAsia="宋体" w:cs="宋体"/>
          <w:color w:val="auto"/>
          <w:sz w:val="24"/>
          <w:szCs w:val="24"/>
          <w:u w:val="single"/>
          <w:lang w:bidi="ar"/>
        </w:rPr>
        <w:t>采用价格指数进行价格调整</w:t>
      </w:r>
      <w:r>
        <w:rPr>
          <w:rFonts w:hint="eastAsia" w:ascii="宋体" w:hAnsi="宋体" w:eastAsia="宋体" w:cs="宋体"/>
          <w:color w:val="auto"/>
          <w:sz w:val="24"/>
          <w:szCs w:val="24"/>
          <w:lang w:bidi="ar"/>
        </w:rPr>
        <w:t>。</w:t>
      </w:r>
    </w:p>
    <w:p w14:paraId="007BF9E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关于各可调因子、定值和变值权重，以及基本价格指数及其来源的约定：</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601D197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第2种方式：</w:t>
      </w:r>
      <w:r>
        <w:rPr>
          <w:rFonts w:hint="eastAsia" w:ascii="宋体" w:hAnsi="宋体" w:eastAsia="宋体" w:cs="宋体"/>
          <w:color w:val="auto"/>
          <w:sz w:val="24"/>
          <w:szCs w:val="24"/>
          <w:u w:val="single"/>
          <w:lang w:bidi="ar"/>
        </w:rPr>
        <w:t>采用造价信息进行价格调整，调整方法如下</w:t>
      </w:r>
      <w:r>
        <w:rPr>
          <w:rFonts w:hint="eastAsia" w:ascii="宋体" w:hAnsi="宋体" w:eastAsia="宋体" w:cs="宋体"/>
          <w:color w:val="auto"/>
          <w:sz w:val="24"/>
          <w:szCs w:val="24"/>
          <w:lang w:bidi="ar"/>
        </w:rPr>
        <w:t>：</w:t>
      </w:r>
    </w:p>
    <w:p w14:paraId="00EB6FA1">
      <w:pPr>
        <w:spacing w:line="440" w:lineRule="exact"/>
        <w:ind w:firstLine="480" w:firstLineChars="200"/>
        <w:jc w:val="left"/>
        <w:rPr>
          <w:rFonts w:hint="eastAsia" w:ascii="宋体" w:hAnsi="宋体" w:eastAsia="宋体" w:cs="宋体"/>
          <w:color w:val="auto"/>
          <w:sz w:val="24"/>
          <w:szCs w:val="24"/>
        </w:rPr>
      </w:pPr>
      <w:bookmarkStart w:id="881" w:name="_Hlk524296901"/>
      <w:r>
        <w:rPr>
          <w:rFonts w:hint="eastAsia" w:ascii="宋体" w:hAnsi="宋体" w:eastAsia="宋体" w:cs="宋体"/>
          <w:color w:val="auto"/>
          <w:sz w:val="24"/>
          <w:szCs w:val="24"/>
          <w:lang w:bidi="ar"/>
        </w:rPr>
        <w:t>11.1.1人工费价差调整办法</w:t>
      </w:r>
      <w:bookmarkEnd w:id="877"/>
      <w:bookmarkEnd w:id="878"/>
      <w:bookmarkEnd w:id="879"/>
      <w:bookmarkEnd w:id="880"/>
    </w:p>
    <w:p w14:paraId="68B0F2D5">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bookmarkStart w:id="882" w:name="_Toc466911548"/>
      <w:bookmarkStart w:id="883" w:name="_Toc466913516"/>
      <w:bookmarkStart w:id="884" w:name="_Toc467689644"/>
      <w:bookmarkStart w:id="885" w:name="_Toc466913966"/>
      <w:r>
        <w:rPr>
          <w:rFonts w:hint="eastAsia" w:ascii="宋体" w:hAnsi="宋体" w:eastAsia="宋体" w:cs="宋体"/>
          <w:color w:val="auto"/>
          <w:sz w:val="24"/>
          <w:szCs w:val="24"/>
          <w:lang w:bidi="ar"/>
        </w:rPr>
        <w:t>（1）自实际开工时间起至合同约定的工期结束时间止，期间《重庆工程造价信息》发布人工单价的算术平均值较开标当期《重庆工程造价信息》发布的人工单价变化超过</w:t>
      </w:r>
      <w:r>
        <w:rPr>
          <w:rFonts w:hint="eastAsia" w:ascii="宋体" w:hAnsi="宋体" w:eastAsia="宋体" w:cs="宋体"/>
          <w:color w:val="auto"/>
          <w:sz w:val="24"/>
          <w:szCs w:val="24"/>
          <w:u w:val="single"/>
          <w:lang w:bidi="ar"/>
        </w:rPr>
        <w:t>±5%</w:t>
      </w:r>
      <w:r>
        <w:rPr>
          <w:rFonts w:hint="eastAsia" w:ascii="宋体" w:hAnsi="宋体" w:eastAsia="宋体" w:cs="宋体"/>
          <w:color w:val="auto"/>
          <w:sz w:val="24"/>
          <w:szCs w:val="24"/>
          <w:lang w:bidi="ar"/>
        </w:rPr>
        <w:t>时，按以下约定调整：</w:t>
      </w:r>
    </w:p>
    <w:p w14:paraId="1112116D">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eastAsia="宋体" w:cs="宋体"/>
          <w:color w:val="auto"/>
          <w:sz w:val="24"/>
          <w:szCs w:val="24"/>
          <w:u w:val="single"/>
          <w:lang w:bidi="ar"/>
        </w:rPr>
        <w:t>（1±5%）</w:t>
      </w:r>
      <w:r>
        <w:rPr>
          <w:rFonts w:hint="eastAsia" w:ascii="宋体" w:hAnsi="宋体" w:eastAsia="宋体" w:cs="宋体"/>
          <w:color w:val="auto"/>
          <w:sz w:val="24"/>
          <w:szCs w:val="24"/>
          <w:lang w:bidi="ar"/>
        </w:rPr>
        <w:t>调差。</w:t>
      </w:r>
    </w:p>
    <w:p w14:paraId="41C5E304">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eastAsia="宋体" w:cs="宋体"/>
          <w:color w:val="auto"/>
          <w:sz w:val="24"/>
          <w:szCs w:val="24"/>
          <w:u w:val="single"/>
          <w:lang w:bidi="ar"/>
        </w:rPr>
        <w:t>（1±5%）</w:t>
      </w:r>
      <w:r>
        <w:rPr>
          <w:rFonts w:hint="eastAsia" w:ascii="宋体" w:hAnsi="宋体" w:eastAsia="宋体" w:cs="宋体"/>
          <w:color w:val="auto"/>
          <w:sz w:val="24"/>
          <w:szCs w:val="24"/>
          <w:lang w:bidi="ar"/>
        </w:rPr>
        <w:t>调差。</w:t>
      </w:r>
    </w:p>
    <w:p w14:paraId="5B34BF92">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589D4F7B">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bookmarkEnd w:id="881"/>
    <w:p w14:paraId="4E35E41F">
      <w:pPr>
        <w:spacing w:line="440" w:lineRule="exact"/>
        <w:ind w:firstLine="480" w:firstLineChars="200"/>
        <w:jc w:val="left"/>
        <w:rPr>
          <w:rFonts w:hint="eastAsia" w:ascii="宋体" w:hAnsi="宋体" w:eastAsia="宋体" w:cs="宋体"/>
          <w:color w:val="auto"/>
          <w:sz w:val="24"/>
          <w:szCs w:val="24"/>
        </w:rPr>
      </w:pPr>
      <w:bookmarkStart w:id="886" w:name="_Hlk524297138"/>
      <w:r>
        <w:rPr>
          <w:rFonts w:hint="eastAsia" w:ascii="宋体" w:hAnsi="宋体" w:eastAsia="宋体" w:cs="宋体"/>
          <w:color w:val="auto"/>
          <w:sz w:val="24"/>
          <w:szCs w:val="24"/>
          <w:lang w:bidi="ar"/>
        </w:rPr>
        <w:t>11.1.2 材料费价差调整</w:t>
      </w:r>
      <w:bookmarkEnd w:id="882"/>
      <w:bookmarkEnd w:id="883"/>
      <w:bookmarkEnd w:id="884"/>
      <w:bookmarkEnd w:id="885"/>
      <w:r>
        <w:rPr>
          <w:rFonts w:hint="eastAsia" w:ascii="宋体" w:hAnsi="宋体" w:eastAsia="宋体" w:cs="宋体"/>
          <w:color w:val="auto"/>
          <w:sz w:val="24"/>
          <w:szCs w:val="24"/>
          <w:lang w:bidi="ar"/>
        </w:rPr>
        <w:t>办法</w:t>
      </w:r>
    </w:p>
    <w:p w14:paraId="695CE036">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可调价差材料：</w:t>
      </w:r>
      <w:r>
        <w:rPr>
          <w:rFonts w:hint="eastAsia" w:ascii="宋体" w:hAnsi="宋体" w:eastAsia="宋体" w:cs="宋体"/>
          <w:color w:val="auto"/>
          <w:sz w:val="24"/>
          <w:szCs w:val="24"/>
          <w:u w:val="single"/>
          <w:lang w:bidi="ar"/>
        </w:rPr>
        <w:t>水泥、商品砼、碎石、砂、钢筋、型钢、条石、片石、预应力钢绞线、沥青混凝土、水泥稳定碎石拌和料、预拌商品砂浆、砌筑材料等主要材料（可按工程使用的具体材料确定）</w:t>
      </w:r>
      <w:r>
        <w:rPr>
          <w:rFonts w:hint="eastAsia" w:ascii="宋体" w:hAnsi="宋体" w:eastAsia="宋体" w:cs="宋体"/>
          <w:color w:val="auto"/>
          <w:sz w:val="24"/>
          <w:szCs w:val="24"/>
          <w:lang w:bidi="ar"/>
        </w:rPr>
        <w:t>。</w:t>
      </w:r>
    </w:p>
    <w:p w14:paraId="3A44CE10">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可调价差材料的价差调整办法如下：</w:t>
      </w:r>
    </w:p>
    <w:bookmarkEnd w:id="739"/>
    <w:bookmarkEnd w:id="740"/>
    <w:bookmarkEnd w:id="741"/>
    <w:bookmarkEnd w:id="742"/>
    <w:bookmarkEnd w:id="743"/>
    <w:bookmarkEnd w:id="744"/>
    <w:p w14:paraId="60A967AE">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bookmarkStart w:id="887" w:name="_Toc296503205"/>
      <w:bookmarkStart w:id="888" w:name="_Toc296347204"/>
      <w:bookmarkStart w:id="889" w:name="_Toc297048391"/>
      <w:bookmarkStart w:id="890" w:name="_Toc296891245"/>
      <w:bookmarkStart w:id="891" w:name="_Toc292559915"/>
      <w:bookmarkStart w:id="892" w:name="_Toc297120505"/>
      <w:bookmarkStart w:id="893" w:name="_Toc296891033"/>
      <w:bookmarkStart w:id="894" w:name="_Toc296944544"/>
      <w:bookmarkStart w:id="895" w:name="_Toc292559410"/>
      <w:bookmarkStart w:id="896" w:name="_Toc296346706"/>
      <w:bookmarkStart w:id="897" w:name="_Toc351203644"/>
      <w:bookmarkStart w:id="898" w:name="_Toc304295579"/>
      <w:bookmarkStart w:id="899" w:name="_Toc312678040"/>
      <w:bookmarkStart w:id="900" w:name="_Toc300935002"/>
      <w:bookmarkStart w:id="901" w:name="_Toc297123552"/>
      <w:bookmarkStart w:id="902" w:name="_Toc297216211"/>
      <w:bookmarkStart w:id="903" w:name="_Toc303539159"/>
      <w:r>
        <w:rPr>
          <w:rFonts w:hint="eastAsia" w:ascii="宋体" w:hAnsi="宋体" w:eastAsia="宋体" w:cs="宋体"/>
          <w:color w:val="auto"/>
          <w:sz w:val="24"/>
          <w:szCs w:val="24"/>
          <w:lang w:bidi="ar"/>
        </w:rPr>
        <w:t>（1）自实际开工时间起至合同约定的工期结束时间止，期间《重庆工程造价信息》发布的信息价的算术平均值较开标当期《重庆工程造价信息》发布的信息价变化超过</w:t>
      </w:r>
      <w:r>
        <w:rPr>
          <w:rFonts w:hint="eastAsia" w:ascii="宋体" w:hAnsi="宋体" w:eastAsia="宋体" w:cs="宋体"/>
          <w:color w:val="auto"/>
          <w:sz w:val="24"/>
          <w:szCs w:val="24"/>
          <w:u w:val="single"/>
          <w:lang w:bidi="ar"/>
        </w:rPr>
        <w:t>±5%</w:t>
      </w:r>
      <w:r>
        <w:rPr>
          <w:rFonts w:hint="eastAsia" w:ascii="宋体" w:hAnsi="宋体" w:eastAsia="宋体" w:cs="宋体"/>
          <w:color w:val="auto"/>
          <w:sz w:val="24"/>
          <w:szCs w:val="24"/>
          <w:lang w:bidi="ar"/>
        </w:rPr>
        <w:t>时，按以下约定调整：</w:t>
      </w:r>
    </w:p>
    <w:p w14:paraId="29447BF5">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eastAsia="宋体" w:cs="宋体"/>
          <w:color w:val="auto"/>
          <w:sz w:val="24"/>
          <w:szCs w:val="24"/>
          <w:u w:val="single"/>
          <w:lang w:bidi="ar"/>
        </w:rPr>
        <w:t>（1±5%）</w:t>
      </w:r>
      <w:r>
        <w:rPr>
          <w:rFonts w:hint="eastAsia" w:ascii="宋体" w:hAnsi="宋体" w:eastAsia="宋体" w:cs="宋体"/>
          <w:color w:val="auto"/>
          <w:sz w:val="24"/>
          <w:szCs w:val="24"/>
          <w:lang w:bidi="ar"/>
        </w:rPr>
        <w:t>调差。</w:t>
      </w:r>
    </w:p>
    <w:p w14:paraId="4E4FDFDB">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eastAsia="宋体" w:cs="宋体"/>
          <w:color w:val="auto"/>
          <w:sz w:val="24"/>
          <w:szCs w:val="24"/>
          <w:u w:val="single"/>
          <w:lang w:bidi="ar"/>
        </w:rPr>
        <w:t>（1±5%）</w:t>
      </w:r>
      <w:r>
        <w:rPr>
          <w:rFonts w:hint="eastAsia" w:ascii="宋体" w:hAnsi="宋体" w:eastAsia="宋体" w:cs="宋体"/>
          <w:color w:val="auto"/>
          <w:sz w:val="24"/>
          <w:szCs w:val="24"/>
          <w:lang w:bidi="ar"/>
        </w:rPr>
        <w:t>调差。</w:t>
      </w:r>
    </w:p>
    <w:p w14:paraId="147A9171">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4E59C878">
      <w:pPr>
        <w:tabs>
          <w:tab w:val="left" w:pos="711"/>
          <w:tab w:val="left" w:pos="2580"/>
        </w:tabs>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（3）</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bookmarkEnd w:id="886"/>
    <w:p w14:paraId="0A5FA4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第3种方式：其他价格调整方式：</w:t>
      </w:r>
      <w:r>
        <w:rPr>
          <w:rFonts w:hint="eastAsia" w:ascii="宋体" w:hAnsi="宋体" w:eastAsia="宋体" w:cs="宋体"/>
          <w:color w:val="auto"/>
          <w:sz w:val="24"/>
          <w:szCs w:val="24"/>
          <w:u w:val="single"/>
          <w:lang w:bidi="ar"/>
        </w:rPr>
        <w:t>不采用</w:t>
      </w:r>
      <w:r>
        <w:rPr>
          <w:rFonts w:hint="eastAsia" w:ascii="宋体" w:hAnsi="宋体" w:eastAsia="宋体" w:cs="宋体"/>
          <w:color w:val="auto"/>
          <w:sz w:val="24"/>
          <w:szCs w:val="24"/>
          <w:lang w:bidi="ar"/>
        </w:rPr>
        <w:t>。</w:t>
      </w:r>
    </w:p>
    <w:p w14:paraId="69ACE529">
      <w:pPr>
        <w:keepNext/>
        <w:keepLines/>
        <w:tabs>
          <w:tab w:val="left" w:pos="2551"/>
        </w:tabs>
        <w:spacing w:line="440" w:lineRule="exact"/>
        <w:outlineLvl w:val="4"/>
        <w:rPr>
          <w:rFonts w:hint="eastAsia" w:ascii="宋体" w:hAnsi="宋体" w:eastAsia="宋体" w:cs="宋体"/>
          <w:b/>
          <w:color w:val="auto"/>
          <w:sz w:val="24"/>
          <w:szCs w:val="24"/>
        </w:rPr>
      </w:pPr>
      <w:bookmarkStart w:id="904" w:name="_Toc532377380"/>
      <w:bookmarkStart w:id="905" w:name="_Toc532375644"/>
      <w:bookmarkStart w:id="906" w:name="_Hlk528928232"/>
      <w:r>
        <w:rPr>
          <w:rFonts w:hint="eastAsia" w:ascii="宋体" w:hAnsi="宋体" w:eastAsia="宋体" w:cs="宋体"/>
          <w:b/>
          <w:color w:val="auto"/>
          <w:sz w:val="24"/>
          <w:szCs w:val="24"/>
          <w:lang w:bidi="ar"/>
        </w:rPr>
        <w:t>11.2 法律变化引起的调整</w:t>
      </w:r>
      <w:bookmarkEnd w:id="904"/>
      <w:bookmarkEnd w:id="905"/>
    </w:p>
    <w:p w14:paraId="57881E2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465753E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本条补充11.3款</w:t>
      </w:r>
    </w:p>
    <w:bookmarkEnd w:id="906"/>
    <w:p w14:paraId="224413A9">
      <w:pPr>
        <w:keepNext/>
        <w:keepLines/>
        <w:tabs>
          <w:tab w:val="left" w:pos="2551"/>
        </w:tabs>
        <w:spacing w:line="440" w:lineRule="exact"/>
        <w:outlineLvl w:val="4"/>
        <w:rPr>
          <w:rFonts w:hint="eastAsia" w:ascii="宋体" w:hAnsi="宋体" w:eastAsia="宋体" w:cs="宋体"/>
          <w:b/>
          <w:color w:val="auto"/>
          <w:sz w:val="24"/>
          <w:szCs w:val="24"/>
        </w:rPr>
      </w:pPr>
      <w:bookmarkStart w:id="907" w:name="_Toc532377381"/>
      <w:bookmarkStart w:id="908" w:name="_Toc532375645"/>
      <w:r>
        <w:rPr>
          <w:rFonts w:hint="eastAsia" w:ascii="宋体" w:hAnsi="宋体" w:eastAsia="宋体" w:cs="宋体"/>
          <w:b/>
          <w:color w:val="auto"/>
          <w:sz w:val="24"/>
          <w:szCs w:val="24"/>
          <w:lang w:bidi="ar"/>
        </w:rPr>
        <w:t>11.3 严重不平衡报价引起的调整</w:t>
      </w:r>
      <w:bookmarkEnd w:id="907"/>
      <w:bookmarkEnd w:id="908"/>
    </w:p>
    <w:p w14:paraId="23943C7C">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eastAsia="宋体" w:cs="宋体"/>
          <w:color w:val="auto"/>
          <w:sz w:val="24"/>
          <w:szCs w:val="24"/>
          <w:lang w:bidi="ar"/>
        </w:rPr>
        <w:t>。</w:t>
      </w:r>
    </w:p>
    <w:p w14:paraId="4B99066A">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eastAsia="宋体" w:cs="宋体"/>
          <w:color w:val="auto"/>
          <w:sz w:val="24"/>
          <w:szCs w:val="24"/>
          <w:lang w:bidi="ar"/>
        </w:rPr>
        <w:t>。</w:t>
      </w:r>
    </w:p>
    <w:p w14:paraId="26F1056E">
      <w:pPr>
        <w:keepNext/>
        <w:keepLines/>
        <w:spacing w:before="120" w:beforeLines="50" w:after="120" w:afterLines="50" w:line="440" w:lineRule="exact"/>
        <w:outlineLvl w:val="3"/>
        <w:rPr>
          <w:rFonts w:hint="eastAsia" w:ascii="宋体" w:hAnsi="宋体" w:eastAsia="宋体" w:cs="宋体"/>
          <w:b/>
          <w:color w:val="auto"/>
          <w:sz w:val="24"/>
          <w:szCs w:val="24"/>
        </w:rPr>
      </w:pPr>
      <w:bookmarkStart w:id="909" w:name="_Toc532377382"/>
      <w:bookmarkStart w:id="910" w:name="_Toc532375646"/>
      <w:r>
        <w:rPr>
          <w:rFonts w:hint="eastAsia" w:ascii="宋体" w:hAnsi="宋体" w:eastAsia="宋体" w:cs="宋体"/>
          <w:b/>
          <w:color w:val="auto"/>
          <w:sz w:val="24"/>
          <w:szCs w:val="24"/>
          <w:lang w:bidi="ar"/>
        </w:rPr>
        <w:t xml:space="preserve">12. </w:t>
      </w:r>
      <w:bookmarkEnd w:id="887"/>
      <w:bookmarkEnd w:id="888"/>
      <w:bookmarkEnd w:id="889"/>
      <w:bookmarkEnd w:id="890"/>
      <w:bookmarkEnd w:id="891"/>
      <w:bookmarkEnd w:id="892"/>
      <w:bookmarkEnd w:id="893"/>
      <w:bookmarkEnd w:id="894"/>
      <w:bookmarkEnd w:id="895"/>
      <w:bookmarkEnd w:id="896"/>
      <w:r>
        <w:rPr>
          <w:rFonts w:hint="eastAsia" w:ascii="宋体" w:hAnsi="宋体" w:eastAsia="宋体" w:cs="宋体"/>
          <w:b/>
          <w:color w:val="auto"/>
          <w:sz w:val="24"/>
          <w:szCs w:val="24"/>
          <w:lang w:bidi="ar"/>
        </w:rPr>
        <w:t>合同价格、计量与支付</w:t>
      </w:r>
      <w:bookmarkEnd w:id="897"/>
      <w:bookmarkEnd w:id="909"/>
      <w:bookmarkEnd w:id="910"/>
    </w:p>
    <w:bookmarkEnd w:id="898"/>
    <w:bookmarkEnd w:id="899"/>
    <w:bookmarkEnd w:id="900"/>
    <w:bookmarkEnd w:id="901"/>
    <w:bookmarkEnd w:id="902"/>
    <w:bookmarkEnd w:id="903"/>
    <w:p w14:paraId="66E3B78C">
      <w:pPr>
        <w:keepNext/>
        <w:keepLines/>
        <w:tabs>
          <w:tab w:val="left" w:pos="2551"/>
        </w:tabs>
        <w:spacing w:line="440" w:lineRule="exact"/>
        <w:outlineLvl w:val="4"/>
        <w:rPr>
          <w:rFonts w:hint="eastAsia" w:ascii="宋体" w:hAnsi="宋体" w:eastAsia="宋体" w:cs="宋体"/>
          <w:b/>
          <w:color w:val="auto"/>
          <w:sz w:val="24"/>
          <w:szCs w:val="24"/>
        </w:rPr>
      </w:pPr>
      <w:bookmarkStart w:id="911" w:name="_Toc292559411"/>
      <w:bookmarkStart w:id="912" w:name="_Toc267251461"/>
      <w:bookmarkStart w:id="913" w:name="_Toc292559916"/>
      <w:bookmarkStart w:id="914" w:name="_Toc297048392"/>
      <w:bookmarkStart w:id="915" w:name="_Toc296891246"/>
      <w:bookmarkStart w:id="916" w:name="_Toc296346707"/>
      <w:bookmarkStart w:id="917" w:name="_Toc296891034"/>
      <w:bookmarkStart w:id="918" w:name="_Toc296503206"/>
      <w:bookmarkStart w:id="919" w:name="_Toc296347205"/>
      <w:bookmarkStart w:id="920" w:name="_Toc296944545"/>
      <w:bookmarkStart w:id="921" w:name="_Toc297120506"/>
      <w:bookmarkStart w:id="922" w:name="_Toc532375647"/>
      <w:bookmarkStart w:id="923" w:name="_Toc532377383"/>
      <w:bookmarkStart w:id="924" w:name="_Toc300935003"/>
      <w:bookmarkStart w:id="925" w:name="_Toc312678041"/>
      <w:bookmarkStart w:id="926" w:name="_Toc304295580"/>
      <w:bookmarkStart w:id="927" w:name="_Toc297123553"/>
      <w:bookmarkStart w:id="928" w:name="_Toc297216212"/>
      <w:bookmarkStart w:id="929" w:name="_Toc303539160"/>
      <w:r>
        <w:rPr>
          <w:rFonts w:hint="eastAsia" w:ascii="宋体" w:hAnsi="宋体" w:eastAsia="宋体" w:cs="宋体"/>
          <w:b/>
          <w:color w:val="auto"/>
          <w:sz w:val="24"/>
          <w:szCs w:val="24"/>
          <w:lang w:bidi="ar"/>
        </w:rPr>
        <w:t>12.1 合</w:t>
      </w:r>
      <w:bookmarkEnd w:id="911"/>
      <w:bookmarkEnd w:id="912"/>
      <w:bookmarkEnd w:id="913"/>
      <w:r>
        <w:rPr>
          <w:rFonts w:hint="eastAsia" w:ascii="宋体" w:hAnsi="宋体" w:eastAsia="宋体" w:cs="宋体"/>
          <w:b/>
          <w:color w:val="auto"/>
          <w:sz w:val="24"/>
          <w:szCs w:val="24"/>
          <w:lang w:bidi="ar"/>
        </w:rPr>
        <w:t>同价</w:t>
      </w:r>
      <w:bookmarkEnd w:id="914"/>
      <w:bookmarkEnd w:id="915"/>
      <w:bookmarkEnd w:id="916"/>
      <w:bookmarkEnd w:id="917"/>
      <w:bookmarkEnd w:id="918"/>
      <w:bookmarkEnd w:id="919"/>
      <w:bookmarkEnd w:id="920"/>
      <w:bookmarkEnd w:id="921"/>
      <w:r>
        <w:rPr>
          <w:rFonts w:hint="eastAsia" w:ascii="宋体" w:hAnsi="宋体" w:eastAsia="宋体" w:cs="宋体"/>
          <w:b/>
          <w:color w:val="auto"/>
          <w:sz w:val="24"/>
          <w:szCs w:val="24"/>
          <w:lang w:bidi="ar"/>
        </w:rPr>
        <w:t>格形式</w:t>
      </w:r>
      <w:bookmarkEnd w:id="922"/>
      <w:bookmarkEnd w:id="923"/>
    </w:p>
    <w:bookmarkEnd w:id="924"/>
    <w:bookmarkEnd w:id="925"/>
    <w:bookmarkEnd w:id="926"/>
    <w:bookmarkEnd w:id="927"/>
    <w:bookmarkEnd w:id="928"/>
    <w:bookmarkEnd w:id="929"/>
    <w:p w14:paraId="009294C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1、单价合同。</w:t>
      </w:r>
    </w:p>
    <w:p w14:paraId="3B560E97">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综合单价包含的风险范围：</w:t>
      </w:r>
      <w:r>
        <w:rPr>
          <w:rFonts w:hint="eastAsia" w:ascii="宋体" w:hAnsi="宋体" w:eastAsia="宋体" w:cs="宋体"/>
          <w:color w:val="auto"/>
          <w:sz w:val="24"/>
          <w:szCs w:val="24"/>
          <w:u w:val="single"/>
          <w:lang w:bidi="ar"/>
        </w:rPr>
        <w:t>包括但不限于为实施和完成合同工程所需的人工费、材料费、施工机具使用费、企业管理费、利润、风险费、施工技术措施项目费、施工组织措施项目费及缺陷修复等费用，以及</w:t>
      </w:r>
      <w:bookmarkStart w:id="930" w:name="_Hlk528508096"/>
      <w:r>
        <w:rPr>
          <w:rFonts w:hint="eastAsia" w:ascii="宋体" w:hAnsi="宋体" w:eastAsia="宋体" w:cs="宋体"/>
          <w:color w:val="auto"/>
          <w:sz w:val="24"/>
          <w:szCs w:val="24"/>
          <w:u w:val="single"/>
          <w:lang w:bidi="ar"/>
        </w:rPr>
        <w:t>第11.1款〔市场价格波动引起的调整〕约定范围内的市场价格波动风险、政策性文件规定的各项应有费用、</w:t>
      </w:r>
      <w:bookmarkEnd w:id="930"/>
      <w:r>
        <w:rPr>
          <w:rFonts w:hint="eastAsia" w:ascii="宋体" w:hAnsi="宋体" w:eastAsia="宋体" w:cs="宋体"/>
          <w:color w:val="auto"/>
          <w:sz w:val="24"/>
          <w:szCs w:val="24"/>
          <w:u w:val="single"/>
          <w:lang w:bidi="ar"/>
        </w:rPr>
        <w:t>竞争性磋商文件和合同明示或暗示的应由承包人承担的所有责任、义务和风险等所需的费用</w:t>
      </w:r>
      <w:r>
        <w:rPr>
          <w:rFonts w:hint="eastAsia" w:ascii="宋体" w:hAnsi="宋体" w:eastAsia="宋体" w:cs="宋体"/>
          <w:color w:val="auto"/>
          <w:sz w:val="24"/>
          <w:szCs w:val="24"/>
          <w:lang w:bidi="ar"/>
        </w:rPr>
        <w:t>。</w:t>
      </w:r>
    </w:p>
    <w:p w14:paraId="205D67A4">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风险费用的计算方法：</w:t>
      </w:r>
      <w:r>
        <w:rPr>
          <w:rFonts w:hint="eastAsia" w:ascii="宋体" w:hAnsi="宋体" w:eastAsia="宋体" w:cs="宋体"/>
          <w:color w:val="auto"/>
          <w:sz w:val="24"/>
          <w:szCs w:val="24"/>
          <w:u w:val="single"/>
          <w:lang w:bidi="ar"/>
        </w:rPr>
        <w:t>由承包人自行考虑并计入签约合同价格中，包干使用</w:t>
      </w:r>
      <w:r>
        <w:rPr>
          <w:rFonts w:hint="eastAsia" w:ascii="宋体" w:hAnsi="宋体" w:eastAsia="宋体" w:cs="宋体"/>
          <w:color w:val="auto"/>
          <w:sz w:val="24"/>
          <w:szCs w:val="24"/>
          <w:lang w:bidi="ar"/>
        </w:rPr>
        <w:t>。</w:t>
      </w:r>
    </w:p>
    <w:p w14:paraId="155D5909">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风险范围以外合同价格的调整方法：</w:t>
      </w:r>
      <w:r>
        <w:rPr>
          <w:rFonts w:hint="eastAsia" w:ascii="宋体" w:hAnsi="宋体" w:eastAsia="宋体" w:cs="宋体"/>
          <w:color w:val="auto"/>
          <w:sz w:val="24"/>
          <w:szCs w:val="24"/>
          <w:u w:val="single"/>
          <w:lang w:bidi="ar"/>
        </w:rPr>
        <w:t>按照合同相关条款约定执行</w:t>
      </w:r>
      <w:r>
        <w:rPr>
          <w:rFonts w:hint="eastAsia" w:ascii="宋体" w:hAnsi="宋体" w:eastAsia="宋体" w:cs="宋体"/>
          <w:color w:val="auto"/>
          <w:sz w:val="24"/>
          <w:szCs w:val="24"/>
          <w:lang w:bidi="ar"/>
        </w:rPr>
        <w:t>。</w:t>
      </w:r>
    </w:p>
    <w:p w14:paraId="4CE63CC8">
      <w:pPr>
        <w:keepNext/>
        <w:keepLines/>
        <w:tabs>
          <w:tab w:val="left" w:pos="2551"/>
        </w:tabs>
        <w:spacing w:line="440" w:lineRule="exact"/>
        <w:outlineLvl w:val="4"/>
        <w:rPr>
          <w:rFonts w:hint="eastAsia" w:ascii="宋体" w:hAnsi="宋体" w:eastAsia="宋体" w:cs="宋体"/>
          <w:b/>
          <w:color w:val="auto"/>
          <w:sz w:val="24"/>
          <w:szCs w:val="24"/>
        </w:rPr>
      </w:pPr>
      <w:bookmarkStart w:id="931" w:name="_Toc532375648"/>
      <w:bookmarkStart w:id="932" w:name="_Toc532377384"/>
      <w:bookmarkStart w:id="933" w:name="_Toc300935004"/>
      <w:bookmarkStart w:id="934" w:name="_Toc297216213"/>
      <w:bookmarkStart w:id="935" w:name="_Toc297123554"/>
      <w:bookmarkStart w:id="936" w:name="_Toc304295581"/>
      <w:bookmarkStart w:id="937" w:name="_Toc303539161"/>
      <w:bookmarkStart w:id="938" w:name="_Toc312678042"/>
      <w:bookmarkStart w:id="939" w:name="_Toc296503207"/>
      <w:bookmarkStart w:id="940" w:name="_Toc292559412"/>
      <w:bookmarkStart w:id="941" w:name="_Toc296891247"/>
      <w:bookmarkStart w:id="942" w:name="_Toc296346708"/>
      <w:bookmarkStart w:id="943" w:name="_Toc297120507"/>
      <w:bookmarkStart w:id="944" w:name="_Toc296347206"/>
      <w:bookmarkStart w:id="945" w:name="_Toc292559917"/>
      <w:bookmarkStart w:id="946" w:name="_Toc296891035"/>
      <w:bookmarkStart w:id="947" w:name="_Toc297048393"/>
      <w:bookmarkStart w:id="948" w:name="_Toc296944546"/>
      <w:r>
        <w:rPr>
          <w:rFonts w:hint="eastAsia" w:ascii="宋体" w:hAnsi="宋体" w:eastAsia="宋体" w:cs="宋体"/>
          <w:b/>
          <w:color w:val="auto"/>
          <w:sz w:val="24"/>
          <w:szCs w:val="24"/>
          <w:lang w:bidi="ar"/>
        </w:rPr>
        <w:t>12.2 预付款</w:t>
      </w:r>
      <w:bookmarkEnd w:id="931"/>
      <w:bookmarkEnd w:id="932"/>
    </w:p>
    <w:bookmarkEnd w:id="933"/>
    <w:bookmarkEnd w:id="934"/>
    <w:bookmarkEnd w:id="935"/>
    <w:bookmarkEnd w:id="936"/>
    <w:bookmarkEnd w:id="937"/>
    <w:bookmarkEnd w:id="938"/>
    <w:p w14:paraId="2270F2F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12.2.1 预付款的支付</w:t>
      </w:r>
    </w:p>
    <w:p w14:paraId="365DFD1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预付款支付比例或金额：</w:t>
      </w:r>
      <w:r>
        <w:rPr>
          <w:rFonts w:hint="eastAsia" w:ascii="宋体" w:hAnsi="宋体" w:eastAsia="宋体" w:cs="宋体"/>
          <w:color w:val="auto"/>
          <w:sz w:val="24"/>
          <w:szCs w:val="24"/>
          <w:u w:val="single"/>
          <w:lang w:bidi="ar"/>
        </w:rPr>
        <w:t>无预付款</w:t>
      </w:r>
      <w:r>
        <w:rPr>
          <w:rFonts w:hint="eastAsia" w:ascii="宋体" w:hAnsi="宋体" w:eastAsia="宋体" w:cs="宋体"/>
          <w:color w:val="auto"/>
          <w:sz w:val="24"/>
          <w:szCs w:val="24"/>
          <w:lang w:bidi="ar"/>
        </w:rPr>
        <w:t>。</w:t>
      </w:r>
    </w:p>
    <w:bookmarkEnd w:id="939"/>
    <w:bookmarkEnd w:id="940"/>
    <w:bookmarkEnd w:id="941"/>
    <w:bookmarkEnd w:id="942"/>
    <w:bookmarkEnd w:id="943"/>
    <w:bookmarkEnd w:id="944"/>
    <w:bookmarkEnd w:id="945"/>
    <w:bookmarkEnd w:id="946"/>
    <w:bookmarkEnd w:id="947"/>
    <w:bookmarkEnd w:id="948"/>
    <w:p w14:paraId="57C159FD">
      <w:pPr>
        <w:keepNext/>
        <w:keepLines/>
        <w:tabs>
          <w:tab w:val="left" w:pos="2551"/>
        </w:tabs>
        <w:spacing w:line="440" w:lineRule="exact"/>
        <w:outlineLvl w:val="4"/>
        <w:rPr>
          <w:rFonts w:hint="eastAsia" w:ascii="宋体" w:hAnsi="宋体" w:eastAsia="宋体" w:cs="宋体"/>
          <w:b/>
          <w:color w:val="auto"/>
          <w:sz w:val="24"/>
          <w:szCs w:val="24"/>
        </w:rPr>
      </w:pPr>
      <w:bookmarkStart w:id="949" w:name="_Toc532375649"/>
      <w:bookmarkStart w:id="950" w:name="_Toc532377385"/>
      <w:r>
        <w:rPr>
          <w:rFonts w:hint="eastAsia" w:ascii="宋体" w:hAnsi="宋体" w:eastAsia="宋体" w:cs="宋体"/>
          <w:b/>
          <w:color w:val="auto"/>
          <w:sz w:val="24"/>
          <w:szCs w:val="24"/>
          <w:lang w:bidi="ar"/>
        </w:rPr>
        <w:t>12.3 计量</w:t>
      </w:r>
      <w:bookmarkEnd w:id="949"/>
      <w:bookmarkEnd w:id="950"/>
    </w:p>
    <w:p w14:paraId="4A0D0ACC">
      <w:pPr>
        <w:spacing w:line="440" w:lineRule="exact"/>
        <w:ind w:firstLine="480" w:firstLineChars="200"/>
        <w:jc w:val="left"/>
        <w:rPr>
          <w:rFonts w:hint="eastAsia" w:ascii="宋体" w:hAnsi="宋体" w:eastAsia="宋体" w:cs="宋体"/>
          <w:color w:val="auto"/>
          <w:sz w:val="24"/>
          <w:szCs w:val="24"/>
        </w:rPr>
      </w:pPr>
      <w:bookmarkStart w:id="951" w:name="_Hlk528928260"/>
      <w:r>
        <w:rPr>
          <w:rFonts w:hint="eastAsia" w:ascii="宋体" w:hAnsi="宋体" w:eastAsia="宋体" w:cs="宋体"/>
          <w:color w:val="auto"/>
          <w:sz w:val="24"/>
          <w:szCs w:val="24"/>
          <w:lang w:bidi="ar"/>
        </w:rPr>
        <w:t>12.3.1 计量原则</w:t>
      </w:r>
    </w:p>
    <w:p w14:paraId="56A990DD">
      <w:pPr>
        <w:tabs>
          <w:tab w:val="left" w:pos="1135"/>
        </w:tabs>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951"/>
    <w:p w14:paraId="69D072B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12.3.2 计量周期</w:t>
      </w:r>
    </w:p>
    <w:p w14:paraId="1B04F49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关于计量周期的约定：</w:t>
      </w:r>
      <w:r>
        <w:rPr>
          <w:rFonts w:hint="eastAsia" w:ascii="宋体" w:hAnsi="宋体" w:eastAsia="宋体" w:cs="宋体"/>
          <w:color w:val="auto"/>
          <w:sz w:val="24"/>
          <w:szCs w:val="24"/>
          <w:u w:val="single"/>
          <w:lang w:bidi="ar"/>
        </w:rPr>
        <w:t>按进度（根据具体项目实际情况可以按月、按进度、按节点等形式计量，按进度、按节点计量的参考按月计量原则执行）</w:t>
      </w:r>
      <w:r>
        <w:rPr>
          <w:rFonts w:hint="eastAsia" w:ascii="宋体" w:hAnsi="宋体" w:eastAsia="宋体" w:cs="宋体"/>
          <w:color w:val="auto"/>
          <w:sz w:val="24"/>
          <w:szCs w:val="24"/>
          <w:lang w:bidi="ar"/>
        </w:rPr>
        <w:t>。</w:t>
      </w:r>
    </w:p>
    <w:p w14:paraId="163AAE4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12.3.3 单价合同的计量</w:t>
      </w:r>
    </w:p>
    <w:p w14:paraId="310A105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关于单价合同计量的约定：</w:t>
      </w:r>
    </w:p>
    <w:p w14:paraId="08B2780B">
      <w:pPr>
        <w:spacing w:line="440" w:lineRule="exact"/>
        <w:ind w:firstLine="480" w:firstLineChars="200"/>
        <w:jc w:val="left"/>
        <w:rPr>
          <w:rFonts w:hint="eastAsia" w:ascii="宋体" w:hAnsi="宋体" w:eastAsia="宋体" w:cs="宋体"/>
          <w:color w:val="auto"/>
          <w:sz w:val="24"/>
          <w:szCs w:val="24"/>
          <w:u w:val="single"/>
        </w:rPr>
      </w:pPr>
      <w:bookmarkStart w:id="952" w:name="_Hlk528926162"/>
      <w:r>
        <w:rPr>
          <w:rFonts w:hint="eastAsia" w:ascii="宋体" w:hAnsi="宋体" w:eastAsia="宋体" w:cs="宋体"/>
          <w:color w:val="auto"/>
          <w:sz w:val="24"/>
          <w:szCs w:val="24"/>
          <w:u w:val="single"/>
          <w:lang w:bidi="ar"/>
        </w:rPr>
        <w:t>（1）承包人应于当月20日前向监理人报送上月已完成的工程量，并附进度付款申请单、已完成工程量报表和其他有关资料</w:t>
      </w:r>
      <w:r>
        <w:rPr>
          <w:rFonts w:hint="eastAsia" w:ascii="宋体" w:hAnsi="宋体" w:eastAsia="宋体" w:cs="宋体"/>
          <w:color w:val="auto"/>
          <w:sz w:val="24"/>
          <w:szCs w:val="24"/>
          <w:lang w:bidi="ar"/>
        </w:rPr>
        <w:t>。</w:t>
      </w:r>
    </w:p>
    <w:bookmarkEnd w:id="952"/>
    <w:p w14:paraId="734DD30B">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（2）承包人未在已标价的工程量清单中填入单价和（或）总价的子目，视为该子目的费用已包含合同工程的其他子目的单价或总价中，不再另行计量支付</w:t>
      </w:r>
      <w:r>
        <w:rPr>
          <w:rFonts w:hint="eastAsia" w:ascii="宋体" w:hAnsi="宋体" w:eastAsia="宋体" w:cs="宋体"/>
          <w:color w:val="auto"/>
          <w:sz w:val="24"/>
          <w:szCs w:val="24"/>
          <w:lang w:bidi="ar"/>
        </w:rPr>
        <w:t>。</w:t>
      </w:r>
    </w:p>
    <w:p w14:paraId="73AF0E20">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宋体"/>
          <w:color w:val="auto"/>
          <w:sz w:val="24"/>
          <w:szCs w:val="24"/>
          <w:lang w:bidi="ar"/>
        </w:rPr>
        <w:t>。</w:t>
      </w:r>
    </w:p>
    <w:p w14:paraId="057EB62B">
      <w:pPr>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宋体"/>
          <w:color w:val="auto"/>
          <w:sz w:val="24"/>
          <w:szCs w:val="24"/>
          <w:lang w:bidi="ar"/>
        </w:rPr>
        <w:t>。</w:t>
      </w:r>
    </w:p>
    <w:p w14:paraId="7E954DC1">
      <w:pPr>
        <w:keepNext/>
        <w:keepLines/>
        <w:tabs>
          <w:tab w:val="left" w:pos="2551"/>
        </w:tabs>
        <w:spacing w:line="440" w:lineRule="exact"/>
        <w:outlineLvl w:val="4"/>
        <w:rPr>
          <w:rFonts w:hint="eastAsia" w:ascii="宋体" w:hAnsi="宋体" w:eastAsia="宋体" w:cs="宋体"/>
          <w:b/>
          <w:color w:val="auto"/>
          <w:sz w:val="24"/>
          <w:szCs w:val="24"/>
        </w:rPr>
      </w:pPr>
      <w:bookmarkStart w:id="953" w:name="_Toc532375650"/>
      <w:bookmarkStart w:id="954" w:name="_Toc532377386"/>
      <w:bookmarkStart w:id="955" w:name="_Hlk528928289"/>
      <w:r>
        <w:rPr>
          <w:rFonts w:hint="eastAsia" w:ascii="宋体" w:hAnsi="宋体" w:eastAsia="宋体" w:cs="宋体"/>
          <w:b/>
          <w:color w:val="auto"/>
          <w:sz w:val="24"/>
          <w:szCs w:val="24"/>
          <w:lang w:bidi="ar"/>
        </w:rPr>
        <w:t>12.4 工程款支付</w:t>
      </w:r>
      <w:bookmarkEnd w:id="953"/>
      <w:bookmarkEnd w:id="954"/>
    </w:p>
    <w:bookmarkEnd w:id="955"/>
    <w:p w14:paraId="531A143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12.4.1 付款周期</w:t>
      </w:r>
    </w:p>
    <w:p w14:paraId="448CFF1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关于付款周期的约定：</w:t>
      </w:r>
      <w:r>
        <w:rPr>
          <w:rFonts w:hint="eastAsia" w:ascii="宋体" w:hAnsi="宋体" w:eastAsia="宋体" w:cs="宋体"/>
          <w:color w:val="auto"/>
          <w:sz w:val="24"/>
          <w:szCs w:val="24"/>
          <w:u w:val="single"/>
          <w:lang w:bidi="ar"/>
        </w:rPr>
        <w:t xml:space="preserve">  按发包人要求  </w:t>
      </w:r>
      <w:r>
        <w:rPr>
          <w:rFonts w:hint="eastAsia" w:ascii="宋体" w:hAnsi="宋体" w:eastAsia="宋体" w:cs="宋体"/>
          <w:color w:val="auto"/>
          <w:sz w:val="24"/>
          <w:szCs w:val="24"/>
          <w:lang w:bidi="ar"/>
        </w:rPr>
        <w:t>。</w:t>
      </w:r>
    </w:p>
    <w:p w14:paraId="1278295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（2）付款方式：</w:t>
      </w:r>
    </w:p>
    <w:p w14:paraId="1643D835">
      <w:pPr>
        <w:spacing w:line="440" w:lineRule="exact"/>
        <w:ind w:firstLine="480" w:firstLineChars="200"/>
        <w:jc w:val="left"/>
        <w:rPr>
          <w:rFonts w:hint="eastAsia" w:ascii="宋体" w:hAnsi="宋体" w:eastAsia="宋体" w:cs="宋体"/>
          <w:color w:val="auto"/>
          <w:sz w:val="24"/>
          <w:szCs w:val="24"/>
          <w:lang w:bidi="ar"/>
        </w:rPr>
      </w:pPr>
      <w:bookmarkStart w:id="956" w:name="_Toc532377387"/>
      <w:bookmarkStart w:id="957" w:name="_Toc351203585"/>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本工程不支付备料款或预付款。</w:t>
      </w:r>
    </w:p>
    <w:p w14:paraId="27621B64">
      <w:pPr>
        <w:spacing w:line="44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2）本项目工程施工完成并经采购人验收合格后，由承包人向</w:t>
      </w:r>
      <w:r>
        <w:rPr>
          <w:rFonts w:hint="eastAsia" w:ascii="宋体" w:hAnsi="宋体" w:cs="宋体"/>
          <w:color w:val="auto"/>
          <w:sz w:val="24"/>
          <w:szCs w:val="24"/>
          <w:highlight w:val="none"/>
          <w:lang w:val="en-US" w:eastAsia="zh-CN" w:bidi="ar"/>
        </w:rPr>
        <w:t>发包</w:t>
      </w:r>
      <w:r>
        <w:rPr>
          <w:rFonts w:hint="eastAsia" w:ascii="宋体" w:hAnsi="宋体" w:eastAsia="宋体" w:cs="宋体"/>
          <w:color w:val="auto"/>
          <w:sz w:val="24"/>
          <w:szCs w:val="24"/>
          <w:highlight w:val="none"/>
          <w:lang w:val="en-US" w:eastAsia="zh-CN" w:bidi="ar"/>
        </w:rPr>
        <w:t>人缴纳合同金额的3%作为质保金并开具合同金额的全额增值税发票后，</w:t>
      </w:r>
      <w:r>
        <w:rPr>
          <w:rFonts w:hint="eastAsia" w:ascii="宋体" w:hAnsi="宋体" w:cs="宋体"/>
          <w:color w:val="auto"/>
          <w:sz w:val="24"/>
          <w:szCs w:val="24"/>
          <w:highlight w:val="none"/>
          <w:lang w:val="en-US" w:eastAsia="zh-CN" w:bidi="ar"/>
        </w:rPr>
        <w:t>发包</w:t>
      </w:r>
      <w:r>
        <w:rPr>
          <w:rFonts w:hint="eastAsia" w:ascii="宋体" w:hAnsi="宋体" w:eastAsia="宋体" w:cs="宋体"/>
          <w:color w:val="auto"/>
          <w:sz w:val="24"/>
          <w:szCs w:val="24"/>
          <w:highlight w:val="none"/>
          <w:lang w:val="en-US" w:eastAsia="zh-CN" w:bidi="ar"/>
        </w:rPr>
        <w:t>人一次性付清合同约定金额。</w:t>
      </w:r>
    </w:p>
    <w:p w14:paraId="7FA15D3B">
      <w:pPr>
        <w:spacing w:line="440" w:lineRule="exact"/>
        <w:ind w:firstLine="480" w:firstLineChars="200"/>
        <w:jc w:val="lef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工程款均拨付至承</w:t>
      </w:r>
      <w:r>
        <w:rPr>
          <w:rFonts w:hint="eastAsia" w:ascii="宋体" w:hAnsi="宋体" w:eastAsia="宋体" w:cs="宋体"/>
          <w:color w:val="auto"/>
          <w:sz w:val="24"/>
          <w:szCs w:val="24"/>
          <w:lang w:bidi="ar"/>
        </w:rPr>
        <w:t>包人基本账户</w:t>
      </w:r>
      <w:r>
        <w:rPr>
          <w:rFonts w:hint="eastAsia" w:ascii="宋体" w:hAnsi="宋体" w:cs="宋体"/>
          <w:color w:val="auto"/>
          <w:sz w:val="24"/>
          <w:szCs w:val="24"/>
          <w:lang w:eastAsia="zh-CN" w:bidi="ar"/>
        </w:rPr>
        <w:t>。</w:t>
      </w:r>
    </w:p>
    <w:p w14:paraId="318065ED">
      <w:pPr>
        <w:keepNext/>
        <w:keepLines/>
        <w:tabs>
          <w:tab w:val="left" w:pos="2551"/>
        </w:tabs>
        <w:spacing w:line="440" w:lineRule="exact"/>
        <w:outlineLvl w:val="4"/>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xml:space="preserve"> 12.5支付账户</w:t>
      </w:r>
      <w:bookmarkEnd w:id="956"/>
      <w:bookmarkEnd w:id="957"/>
    </w:p>
    <w:p w14:paraId="3888DE0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发包人应将合同价款支付至如下承包人指定的开户银行及银行账户：</w:t>
      </w:r>
    </w:p>
    <w:p w14:paraId="3C9AD469">
      <w:pPr>
        <w:spacing w:line="440" w:lineRule="exact"/>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收款单位名称：</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3B1E59D4">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收款账号：</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7F2E4B4F">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收款开户银行：</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69594785">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发包人应将人工费（工资款）支付至如下承包人指定的农民工工资专用账户：</w:t>
      </w:r>
    </w:p>
    <w:p w14:paraId="6D136CCE">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开户银行：</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2AB41FBE">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农民工工资专用账户名称：</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0EB7C8BB">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农民工工资专用账户账号：</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0C07F14D">
      <w:pPr>
        <w:keepNext/>
        <w:keepLines/>
        <w:spacing w:before="120" w:beforeLines="50" w:after="120" w:afterLines="50" w:line="440" w:lineRule="exact"/>
        <w:outlineLvl w:val="3"/>
        <w:rPr>
          <w:rFonts w:hint="eastAsia" w:ascii="宋体" w:hAnsi="宋体" w:eastAsia="宋体" w:cs="宋体"/>
          <w:b/>
          <w:color w:val="auto"/>
          <w:sz w:val="24"/>
          <w:szCs w:val="24"/>
        </w:rPr>
      </w:pPr>
      <w:bookmarkStart w:id="958" w:name="_Toc351203645"/>
      <w:bookmarkStart w:id="959" w:name="_Toc532377388"/>
      <w:bookmarkStart w:id="960" w:name="_Toc532375651"/>
      <w:bookmarkStart w:id="961" w:name="_Toc300935015"/>
      <w:bookmarkStart w:id="962" w:name="_Toc303539172"/>
      <w:bookmarkStart w:id="963" w:name="_Toc297120519"/>
      <w:bookmarkStart w:id="964" w:name="_Toc297048405"/>
      <w:bookmarkStart w:id="965" w:name="_Toc296891047"/>
      <w:bookmarkStart w:id="966" w:name="_Toc292559929"/>
      <w:bookmarkStart w:id="967" w:name="_Toc292559424"/>
      <w:bookmarkStart w:id="968" w:name="_Toc312678053"/>
      <w:bookmarkStart w:id="969" w:name="_Toc297216223"/>
      <w:bookmarkStart w:id="970" w:name="_Toc297123564"/>
      <w:bookmarkStart w:id="971" w:name="_Toc296503219"/>
      <w:bookmarkStart w:id="972" w:name="_Toc296944558"/>
      <w:bookmarkStart w:id="973" w:name="_Toc296891259"/>
      <w:bookmarkStart w:id="974" w:name="_Toc304295593"/>
      <w:bookmarkStart w:id="975" w:name="_Toc296347218"/>
      <w:bookmarkStart w:id="976" w:name="_Toc296346720"/>
      <w:r>
        <w:rPr>
          <w:rFonts w:hint="eastAsia" w:ascii="宋体" w:hAnsi="宋体" w:eastAsia="宋体" w:cs="宋体"/>
          <w:b/>
          <w:color w:val="auto"/>
          <w:sz w:val="24"/>
          <w:szCs w:val="24"/>
          <w:lang w:bidi="ar"/>
        </w:rPr>
        <w:t>13. 验收和工程试车</w:t>
      </w:r>
      <w:bookmarkEnd w:id="958"/>
      <w:bookmarkEnd w:id="959"/>
      <w:bookmarkEnd w:id="960"/>
    </w:p>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14:paraId="768E7766">
      <w:pPr>
        <w:keepNext/>
        <w:keepLines/>
        <w:tabs>
          <w:tab w:val="left" w:pos="2551"/>
        </w:tabs>
        <w:spacing w:line="440" w:lineRule="exact"/>
        <w:outlineLvl w:val="4"/>
        <w:rPr>
          <w:rFonts w:hint="eastAsia" w:ascii="宋体" w:hAnsi="宋体" w:eastAsia="宋体" w:cs="宋体"/>
          <w:b/>
          <w:color w:val="auto"/>
          <w:sz w:val="24"/>
          <w:szCs w:val="24"/>
        </w:rPr>
      </w:pPr>
      <w:bookmarkStart w:id="977" w:name="_Toc532375652"/>
      <w:bookmarkStart w:id="978" w:name="_Toc532377389"/>
      <w:bookmarkStart w:id="979" w:name="_Toc280868704"/>
      <w:bookmarkStart w:id="980" w:name="_Toc280868705"/>
      <w:bookmarkStart w:id="981" w:name="_Toc280868706"/>
      <w:bookmarkStart w:id="982" w:name="_Toc280868707"/>
      <w:bookmarkStart w:id="983" w:name="_Toc280868708"/>
      <w:bookmarkStart w:id="984" w:name="_Toc267251475"/>
      <w:bookmarkStart w:id="985" w:name="_Toc267251470"/>
      <w:bookmarkStart w:id="986" w:name="_Toc267251474"/>
      <w:bookmarkStart w:id="987" w:name="_Toc280868709"/>
      <w:bookmarkStart w:id="988" w:name="_Toc267251476"/>
      <w:bookmarkStart w:id="989" w:name="_Toc267251472"/>
      <w:bookmarkStart w:id="990" w:name="_Toc267251473"/>
      <w:bookmarkStart w:id="991" w:name="_Toc267251471"/>
      <w:r>
        <w:rPr>
          <w:rFonts w:hint="eastAsia" w:ascii="宋体" w:hAnsi="宋体" w:eastAsia="宋体" w:cs="宋体"/>
          <w:b/>
          <w:color w:val="auto"/>
          <w:sz w:val="24"/>
          <w:szCs w:val="24"/>
          <w:lang w:bidi="ar"/>
        </w:rPr>
        <w:t>13.1 分部分项工程验收</w:t>
      </w:r>
      <w:bookmarkEnd w:id="977"/>
      <w:bookmarkEnd w:id="978"/>
    </w:p>
    <w:p w14:paraId="1ECFB57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13.1.2 监理人不能按时进行验收时，应提前</w:t>
      </w:r>
      <w:r>
        <w:rPr>
          <w:rFonts w:hint="eastAsia" w:ascii="宋体" w:hAnsi="宋体" w:eastAsia="宋体" w:cs="宋体"/>
          <w:color w:val="auto"/>
          <w:sz w:val="24"/>
          <w:szCs w:val="24"/>
          <w:u w:val="single"/>
          <w:lang w:bidi="ar"/>
        </w:rPr>
        <w:t>24</w:t>
      </w:r>
      <w:r>
        <w:rPr>
          <w:rFonts w:hint="eastAsia" w:ascii="宋体" w:hAnsi="宋体" w:eastAsia="宋体" w:cs="宋体"/>
          <w:color w:val="auto"/>
          <w:sz w:val="24"/>
          <w:szCs w:val="24"/>
          <w:lang w:bidi="ar"/>
        </w:rPr>
        <w:t>小时提交书面延期要求。</w:t>
      </w:r>
    </w:p>
    <w:p w14:paraId="400D3B0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关于延期最长不得超过：</w:t>
      </w:r>
      <w:r>
        <w:rPr>
          <w:rFonts w:hint="eastAsia" w:ascii="宋体" w:hAnsi="宋体" w:eastAsia="宋体" w:cs="宋体"/>
          <w:color w:val="auto"/>
          <w:sz w:val="24"/>
          <w:szCs w:val="24"/>
          <w:u w:val="single"/>
          <w:lang w:bidi="ar"/>
        </w:rPr>
        <w:t>48</w:t>
      </w:r>
      <w:r>
        <w:rPr>
          <w:rFonts w:hint="eastAsia" w:ascii="宋体" w:hAnsi="宋体" w:eastAsia="宋体" w:cs="宋体"/>
          <w:color w:val="auto"/>
          <w:sz w:val="24"/>
          <w:szCs w:val="24"/>
          <w:lang w:bidi="ar"/>
        </w:rPr>
        <w:t>小时。</w:t>
      </w:r>
    </w:p>
    <w:p w14:paraId="4D37FB99">
      <w:pPr>
        <w:keepNext/>
        <w:keepLines/>
        <w:tabs>
          <w:tab w:val="left" w:pos="2551"/>
        </w:tabs>
        <w:spacing w:line="440" w:lineRule="exact"/>
        <w:outlineLvl w:val="4"/>
        <w:rPr>
          <w:rFonts w:hint="eastAsia" w:ascii="宋体" w:hAnsi="宋体" w:eastAsia="宋体" w:cs="宋体"/>
          <w:b/>
          <w:color w:val="auto"/>
          <w:sz w:val="24"/>
          <w:szCs w:val="24"/>
        </w:rPr>
      </w:pPr>
      <w:bookmarkStart w:id="992" w:name="_Toc532377390"/>
      <w:bookmarkStart w:id="993" w:name="_Toc532375653"/>
      <w:bookmarkStart w:id="994" w:name="_Toc297120523"/>
      <w:bookmarkStart w:id="995" w:name="_Toc296346724"/>
      <w:bookmarkStart w:id="996" w:name="_Toc296891263"/>
      <w:bookmarkStart w:id="997" w:name="_Toc292559428"/>
      <w:bookmarkStart w:id="998" w:name="_Toc304295596"/>
      <w:bookmarkStart w:id="999" w:name="_Toc297123565"/>
      <w:bookmarkStart w:id="1000" w:name="_Toc297048409"/>
      <w:bookmarkStart w:id="1001" w:name="_Toc296503223"/>
      <w:bookmarkStart w:id="1002" w:name="_Toc300935016"/>
      <w:bookmarkStart w:id="1003" w:name="_Toc303539173"/>
      <w:bookmarkStart w:id="1004" w:name="_Toc296944562"/>
      <w:bookmarkStart w:id="1005" w:name="_Toc296891051"/>
      <w:bookmarkStart w:id="1006" w:name="_Toc312678056"/>
      <w:bookmarkStart w:id="1007" w:name="_Toc296347222"/>
      <w:bookmarkStart w:id="1008" w:name="_Toc292559933"/>
      <w:bookmarkStart w:id="1009" w:name="_Toc297216224"/>
      <w:r>
        <w:rPr>
          <w:rFonts w:hint="eastAsia" w:ascii="宋体" w:hAnsi="宋体" w:eastAsia="宋体" w:cs="宋体"/>
          <w:b/>
          <w:color w:val="auto"/>
          <w:sz w:val="24"/>
          <w:szCs w:val="24"/>
          <w:lang w:bidi="ar"/>
        </w:rPr>
        <w:t>13.2 竣工验收</w:t>
      </w:r>
      <w:bookmarkEnd w:id="992"/>
      <w:bookmarkEnd w:id="993"/>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0DB0104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13.2.2竣工验收程序</w:t>
      </w:r>
    </w:p>
    <w:bookmarkEnd w:id="979"/>
    <w:p w14:paraId="3350B32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关于竣工验收程序的约定：工程完工且符合下列条件时，承包人可向发包人提供竣工报告，并要求验收：</w:t>
      </w:r>
    </w:p>
    <w:p w14:paraId="5A426FA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（1）除发包人同意的甩项工作和缺陷修补工作外，合同范围内的全部工程以及有关工作，包括合同要求的试验、试运行以及检验均已完成，并符合合同要求；</w:t>
      </w:r>
    </w:p>
    <w:p w14:paraId="7FDFD16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（2）已按合同约定编制了甩项工作和缺陷修补工作清单以及相应的施工计划；</w:t>
      </w:r>
    </w:p>
    <w:p w14:paraId="02CB922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（3）已按合同约定的内容和份数备齐竣工资料。</w:t>
      </w:r>
    </w:p>
    <w:p w14:paraId="5C8E7D1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5A9B712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工程竣工及竣工资料：</w:t>
      </w:r>
    </w:p>
    <w:p w14:paraId="6C7D733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（1）发包人应在收到承包人竣工报告后14天内组织设计单位、监理单位、质监等其他部门进行验收，竣工日期以最后一次整改后通过竣工验收的时间为准</w:t>
      </w:r>
      <w:r>
        <w:rPr>
          <w:rFonts w:hint="eastAsia" w:ascii="宋体" w:hAnsi="宋体" w:eastAsia="宋体" w:cs="宋体"/>
          <w:color w:val="auto"/>
          <w:sz w:val="24"/>
          <w:szCs w:val="24"/>
          <w:lang w:bidi="ar"/>
        </w:rPr>
        <w:t>。</w:t>
      </w:r>
    </w:p>
    <w:p w14:paraId="127FD38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宋体"/>
          <w:color w:val="auto"/>
          <w:sz w:val="24"/>
          <w:szCs w:val="24"/>
          <w:lang w:bidi="ar"/>
        </w:rPr>
        <w:t>。</w:t>
      </w:r>
    </w:p>
    <w:p w14:paraId="16A3C183">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（3）承包人提供竣工资料的约定：</w:t>
      </w:r>
      <w:r>
        <w:rPr>
          <w:rFonts w:hint="eastAsia" w:ascii="宋体" w:hAnsi="宋体" w:eastAsia="宋体" w:cs="宋体"/>
          <w:color w:val="auto"/>
          <w:sz w:val="24"/>
          <w:szCs w:val="24"/>
          <w:u w:val="single"/>
          <w:lang w:bidi="ar"/>
        </w:rPr>
        <w:t>承包人提供纸质版竣工图三套，电子版竣工图二套（刻光盘）</w:t>
      </w:r>
      <w:r>
        <w:rPr>
          <w:rFonts w:hint="eastAsia" w:ascii="宋体" w:hAnsi="宋体" w:eastAsia="宋体" w:cs="宋体"/>
          <w:color w:val="auto"/>
          <w:sz w:val="24"/>
          <w:szCs w:val="24"/>
          <w:lang w:bidi="ar"/>
        </w:rPr>
        <w:t>。</w:t>
      </w:r>
    </w:p>
    <w:bookmarkEnd w:id="980"/>
    <w:p w14:paraId="04E79D3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13.2.5 移交、接收全部与部分工程</w:t>
      </w:r>
    </w:p>
    <w:bookmarkEnd w:id="981"/>
    <w:p w14:paraId="2F00DB25">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承包人向发包人移交工程的期限：</w:t>
      </w:r>
      <w:r>
        <w:rPr>
          <w:rFonts w:hint="eastAsia" w:ascii="宋体" w:hAnsi="宋体" w:eastAsia="宋体" w:cs="宋体"/>
          <w:color w:val="auto"/>
          <w:sz w:val="24"/>
          <w:szCs w:val="24"/>
          <w:u w:val="single"/>
          <w:lang w:bidi="ar"/>
        </w:rPr>
        <w:t>颁发工程接收证书后7天内完成工程的移交</w:t>
      </w:r>
      <w:r>
        <w:rPr>
          <w:rFonts w:hint="eastAsia" w:ascii="宋体" w:hAnsi="宋体" w:eastAsia="宋体" w:cs="宋体"/>
          <w:color w:val="auto"/>
          <w:sz w:val="24"/>
          <w:szCs w:val="24"/>
          <w:lang w:bidi="ar"/>
        </w:rPr>
        <w:t>。</w:t>
      </w:r>
    </w:p>
    <w:p w14:paraId="3F490D56">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发包人未按合同约定接收全部或部分工程的，违约金的计算方法为：发包人自应当接收工程之日起承担工程照管、成品保护、保管等与工程有关的各项费用。</w:t>
      </w:r>
    </w:p>
    <w:bookmarkEnd w:id="982"/>
    <w:p w14:paraId="5D084256">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因承包人自身原因未按时移交工程的，违约金的计算方法为：</w:t>
      </w:r>
      <w:r>
        <w:rPr>
          <w:rFonts w:hint="eastAsia" w:ascii="宋体" w:hAnsi="宋体" w:eastAsia="宋体" w:cs="宋体"/>
          <w:color w:val="auto"/>
          <w:sz w:val="24"/>
          <w:szCs w:val="24"/>
          <w:u w:val="single"/>
          <w:lang w:bidi="ar"/>
        </w:rPr>
        <w:t>承包人应承担工程照管、成品保护、保管等与工程有关的各项费用，并按经审定结算金额的0.5‰/天支付违约金</w:t>
      </w:r>
      <w:r>
        <w:rPr>
          <w:rFonts w:hint="eastAsia" w:ascii="宋体" w:hAnsi="宋体" w:eastAsia="宋体" w:cs="宋体"/>
          <w:color w:val="auto"/>
          <w:sz w:val="24"/>
          <w:szCs w:val="24"/>
          <w:lang w:bidi="ar"/>
        </w:rPr>
        <w:t>。</w:t>
      </w:r>
    </w:p>
    <w:p w14:paraId="59278B5A">
      <w:pPr>
        <w:keepNext/>
        <w:keepLines/>
        <w:tabs>
          <w:tab w:val="left" w:pos="2551"/>
        </w:tabs>
        <w:spacing w:line="440" w:lineRule="exact"/>
        <w:outlineLvl w:val="4"/>
        <w:rPr>
          <w:rFonts w:hint="eastAsia" w:ascii="宋体" w:hAnsi="宋体" w:eastAsia="宋体" w:cs="宋体"/>
          <w:b/>
          <w:color w:val="auto"/>
          <w:sz w:val="24"/>
          <w:szCs w:val="24"/>
        </w:rPr>
      </w:pPr>
      <w:bookmarkStart w:id="1010" w:name="_Toc532375654"/>
      <w:bookmarkStart w:id="1011" w:name="_Toc532377391"/>
      <w:r>
        <w:rPr>
          <w:rFonts w:hint="eastAsia" w:ascii="宋体" w:hAnsi="宋体" w:eastAsia="宋体" w:cs="宋体"/>
          <w:b/>
          <w:color w:val="auto"/>
          <w:sz w:val="24"/>
          <w:szCs w:val="24"/>
          <w:lang w:bidi="ar"/>
        </w:rPr>
        <w:t>13.3 工程试车</w:t>
      </w:r>
      <w:bookmarkEnd w:id="1010"/>
      <w:bookmarkEnd w:id="1011"/>
    </w:p>
    <w:p w14:paraId="3B23474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13.3.1 试车程序</w:t>
      </w:r>
    </w:p>
    <w:p w14:paraId="175AC7B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工程试车内容：</w:t>
      </w:r>
      <w:r>
        <w:rPr>
          <w:rFonts w:hint="eastAsia" w:ascii="宋体" w:hAnsi="宋体" w:eastAsia="宋体" w:cs="宋体"/>
          <w:color w:val="auto"/>
          <w:sz w:val="24"/>
          <w:szCs w:val="24"/>
          <w:u w:val="single"/>
          <w:lang w:bidi="ar"/>
        </w:rPr>
        <w:t>按通用合同条款执行</w:t>
      </w:r>
      <w:r>
        <w:rPr>
          <w:rFonts w:hint="eastAsia" w:ascii="宋体" w:hAnsi="宋体" w:eastAsia="宋体" w:cs="宋体"/>
          <w:color w:val="auto"/>
          <w:sz w:val="24"/>
          <w:szCs w:val="24"/>
          <w:lang w:bidi="ar"/>
        </w:rPr>
        <w:t>。</w:t>
      </w:r>
    </w:p>
    <w:p w14:paraId="70D9A75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（1）单机无负荷试车费用由</w:t>
      </w:r>
      <w:r>
        <w:rPr>
          <w:rFonts w:hint="eastAsia" w:ascii="宋体" w:hAnsi="宋体" w:eastAsia="宋体" w:cs="宋体"/>
          <w:color w:val="auto"/>
          <w:sz w:val="24"/>
          <w:szCs w:val="24"/>
          <w:u w:val="single"/>
          <w:lang w:bidi="ar"/>
        </w:rPr>
        <w:t>承包人</w:t>
      </w:r>
      <w:r>
        <w:rPr>
          <w:rFonts w:hint="eastAsia" w:ascii="宋体" w:hAnsi="宋体" w:eastAsia="宋体" w:cs="宋体"/>
          <w:color w:val="auto"/>
          <w:sz w:val="24"/>
          <w:szCs w:val="24"/>
          <w:lang w:bidi="ar"/>
        </w:rPr>
        <w:t>承担；</w:t>
      </w:r>
    </w:p>
    <w:p w14:paraId="3BBAE93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（2）无负荷联动试车费用由</w:t>
      </w:r>
      <w:r>
        <w:rPr>
          <w:rFonts w:hint="eastAsia" w:ascii="宋体" w:hAnsi="宋体" w:eastAsia="宋体" w:cs="宋体"/>
          <w:color w:val="auto"/>
          <w:sz w:val="24"/>
          <w:szCs w:val="24"/>
          <w:u w:val="single"/>
          <w:lang w:bidi="ar"/>
        </w:rPr>
        <w:t>承包人</w:t>
      </w:r>
      <w:r>
        <w:rPr>
          <w:rFonts w:hint="eastAsia" w:ascii="宋体" w:hAnsi="宋体" w:eastAsia="宋体" w:cs="宋体"/>
          <w:color w:val="auto"/>
          <w:sz w:val="24"/>
          <w:szCs w:val="24"/>
          <w:lang w:bidi="ar"/>
        </w:rPr>
        <w:t>承担。</w:t>
      </w:r>
    </w:p>
    <w:p w14:paraId="494D98E0">
      <w:pPr>
        <w:keepNext/>
        <w:keepLines/>
        <w:tabs>
          <w:tab w:val="left" w:pos="2551"/>
        </w:tabs>
        <w:spacing w:line="440" w:lineRule="exact"/>
        <w:outlineLvl w:val="4"/>
        <w:rPr>
          <w:rFonts w:hint="eastAsia" w:ascii="宋体" w:hAnsi="宋体" w:eastAsia="宋体" w:cs="宋体"/>
          <w:b/>
          <w:color w:val="auto"/>
          <w:sz w:val="24"/>
          <w:szCs w:val="24"/>
        </w:rPr>
      </w:pPr>
      <w:bookmarkStart w:id="1012" w:name="_Toc532375655"/>
      <w:bookmarkStart w:id="1013" w:name="_Toc532377392"/>
      <w:r>
        <w:rPr>
          <w:rFonts w:hint="eastAsia" w:ascii="宋体" w:hAnsi="宋体" w:eastAsia="宋体" w:cs="宋体"/>
          <w:b/>
          <w:color w:val="auto"/>
          <w:sz w:val="24"/>
          <w:szCs w:val="24"/>
          <w:lang w:bidi="ar"/>
        </w:rPr>
        <w:t>13.6 竣工退场</w:t>
      </w:r>
      <w:bookmarkEnd w:id="1012"/>
      <w:bookmarkEnd w:id="1013"/>
    </w:p>
    <w:p w14:paraId="69E00B2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13.6.1 竣工退场</w:t>
      </w:r>
    </w:p>
    <w:p w14:paraId="1A5BEB28">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承包人完成竣工退场的期限：</w:t>
      </w:r>
      <w:r>
        <w:rPr>
          <w:rFonts w:hint="eastAsia" w:ascii="宋体" w:hAnsi="宋体" w:eastAsia="宋体" w:cs="宋体"/>
          <w:color w:val="auto"/>
          <w:sz w:val="24"/>
          <w:szCs w:val="24"/>
          <w:u w:val="single"/>
          <w:lang w:bidi="ar"/>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宋体"/>
          <w:color w:val="auto"/>
          <w:sz w:val="24"/>
          <w:szCs w:val="24"/>
          <w:lang w:bidi="ar"/>
        </w:rPr>
        <w:t>。</w:t>
      </w:r>
    </w:p>
    <w:bookmarkEnd w:id="983"/>
    <w:p w14:paraId="48A2D058">
      <w:pPr>
        <w:keepNext/>
        <w:keepLines/>
        <w:spacing w:before="120" w:beforeLines="50" w:after="120" w:afterLines="50" w:line="440" w:lineRule="exact"/>
        <w:outlineLvl w:val="3"/>
        <w:rPr>
          <w:rFonts w:hint="eastAsia" w:ascii="宋体" w:hAnsi="宋体" w:eastAsia="宋体" w:cs="宋体"/>
          <w:b/>
          <w:color w:val="auto"/>
          <w:sz w:val="24"/>
          <w:szCs w:val="24"/>
        </w:rPr>
      </w:pPr>
      <w:bookmarkStart w:id="1014" w:name="_Toc532375656"/>
      <w:bookmarkStart w:id="1015" w:name="_Toc351203646"/>
      <w:bookmarkStart w:id="1016" w:name="_Toc532377393"/>
      <w:r>
        <w:rPr>
          <w:rFonts w:hint="eastAsia" w:ascii="宋体" w:hAnsi="宋体" w:eastAsia="宋体" w:cs="宋体"/>
          <w:b/>
          <w:color w:val="auto"/>
          <w:sz w:val="24"/>
          <w:szCs w:val="24"/>
          <w:lang w:bidi="ar"/>
        </w:rPr>
        <w:t>14. 竣工结算</w:t>
      </w:r>
      <w:bookmarkEnd w:id="1014"/>
      <w:bookmarkEnd w:id="1015"/>
      <w:bookmarkEnd w:id="1016"/>
    </w:p>
    <w:p w14:paraId="11DBA58B">
      <w:pPr>
        <w:keepNext/>
        <w:keepLines/>
        <w:tabs>
          <w:tab w:val="left" w:pos="2551"/>
        </w:tabs>
        <w:spacing w:line="440" w:lineRule="exact"/>
        <w:outlineLvl w:val="4"/>
        <w:rPr>
          <w:rFonts w:hint="eastAsia" w:ascii="宋体" w:hAnsi="宋体" w:eastAsia="宋体" w:cs="宋体"/>
          <w:b/>
          <w:color w:val="auto"/>
          <w:sz w:val="24"/>
          <w:szCs w:val="24"/>
        </w:rPr>
      </w:pPr>
      <w:bookmarkStart w:id="1017" w:name="_Toc532377394"/>
      <w:bookmarkStart w:id="1018" w:name="_Toc532375657"/>
      <w:r>
        <w:rPr>
          <w:rFonts w:hint="eastAsia" w:ascii="宋体" w:hAnsi="宋体" w:eastAsia="宋体" w:cs="宋体"/>
          <w:b/>
          <w:color w:val="auto"/>
          <w:sz w:val="24"/>
          <w:szCs w:val="24"/>
          <w:lang w:bidi="ar"/>
        </w:rPr>
        <w:t>14.1 竣工结算申请</w:t>
      </w:r>
      <w:bookmarkEnd w:id="1017"/>
      <w:bookmarkEnd w:id="1018"/>
    </w:p>
    <w:p w14:paraId="3F078558">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承包人提交竣工结算申请单的期限：</w:t>
      </w:r>
      <w:r>
        <w:rPr>
          <w:rFonts w:hint="eastAsia" w:ascii="宋体" w:hAnsi="宋体" w:eastAsia="宋体" w:cs="宋体"/>
          <w:color w:val="auto"/>
          <w:sz w:val="24"/>
          <w:szCs w:val="24"/>
          <w:u w:val="single"/>
          <w:lang w:bidi="ar"/>
        </w:rPr>
        <w:t>承包人应在工程竣工验收合格且报送完整工程竣工资料之日起28天内向监理人、发包人提交竣工结算申请单，并向发包人报送完整的工程竣工资料及经监理人初审确认的完整的竣工结算资料</w:t>
      </w:r>
      <w:bookmarkStart w:id="1019" w:name="_Hlk524297994"/>
      <w:r>
        <w:rPr>
          <w:rFonts w:hint="eastAsia" w:ascii="宋体" w:hAnsi="宋体" w:eastAsia="宋体" w:cs="宋体"/>
          <w:color w:val="auto"/>
          <w:sz w:val="24"/>
          <w:szCs w:val="24"/>
          <w:u w:val="single"/>
          <w:lang w:bidi="ar"/>
        </w:rPr>
        <w:t>。如承包人未按时向发包人提交完整的结算资料，每逾期一日，按1000元/日计算违约金，累计计算。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518D8A05">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竣工结算申请单包括但不限于以下内容：</w:t>
      </w:r>
    </w:p>
    <w:p w14:paraId="58C1A3A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（1）竣工结算合同价格；</w:t>
      </w:r>
    </w:p>
    <w:p w14:paraId="5E2E660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（2）变更增减金额；</w:t>
      </w:r>
    </w:p>
    <w:p w14:paraId="292B5F0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（3）现场签证增减金额；</w:t>
      </w:r>
    </w:p>
    <w:p w14:paraId="12420C2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（4）索赔增减金额；</w:t>
      </w:r>
    </w:p>
    <w:p w14:paraId="167DCC0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（5）奖励、罚金及违约金；</w:t>
      </w:r>
    </w:p>
    <w:p w14:paraId="089467D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（6）发包人已支付承包人的款项；</w:t>
      </w:r>
    </w:p>
    <w:p w14:paraId="15F12D3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（7）应扣留的质量保证金；</w:t>
      </w:r>
    </w:p>
    <w:p w14:paraId="3A09AD2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（8）发包人应支付承包人的合同价款。</w:t>
      </w:r>
      <w:bookmarkEnd w:id="1019"/>
    </w:p>
    <w:p w14:paraId="69742DB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D1047A7">
      <w:pPr>
        <w:keepNext/>
        <w:keepLines/>
        <w:tabs>
          <w:tab w:val="left" w:pos="2551"/>
        </w:tabs>
        <w:spacing w:line="440" w:lineRule="exact"/>
        <w:outlineLvl w:val="4"/>
        <w:rPr>
          <w:rFonts w:hint="eastAsia" w:ascii="宋体" w:hAnsi="宋体" w:eastAsia="宋体" w:cs="宋体"/>
          <w:b/>
          <w:color w:val="auto"/>
          <w:sz w:val="24"/>
          <w:szCs w:val="24"/>
        </w:rPr>
      </w:pPr>
      <w:bookmarkStart w:id="1020" w:name="_Toc532377395"/>
      <w:bookmarkStart w:id="1021" w:name="_Toc532375658"/>
      <w:r>
        <w:rPr>
          <w:rFonts w:hint="eastAsia" w:ascii="宋体" w:hAnsi="宋体" w:eastAsia="宋体" w:cs="宋体"/>
          <w:b/>
          <w:color w:val="auto"/>
          <w:sz w:val="24"/>
          <w:szCs w:val="24"/>
          <w:lang w:bidi="ar"/>
        </w:rPr>
        <w:t>14.2 竣工结算审核</w:t>
      </w:r>
      <w:bookmarkEnd w:id="1020"/>
      <w:bookmarkEnd w:id="1021"/>
    </w:p>
    <w:p w14:paraId="40F0BE4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14.2.1 竣工结算办法</w:t>
      </w:r>
    </w:p>
    <w:p w14:paraId="78327D4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14.2.1.1计量原则</w:t>
      </w:r>
    </w:p>
    <w:p w14:paraId="51A593EB">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按照第12.3.1项〔计量原则〕约定执行。</w:t>
      </w:r>
    </w:p>
    <w:p w14:paraId="178B6E3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14.2.1.2计价原则</w:t>
      </w:r>
    </w:p>
    <w:p w14:paraId="32C0DB80">
      <w:pPr>
        <w:spacing w:line="440" w:lineRule="exact"/>
        <w:ind w:right="140" w:rightChars="50" w:firstLine="480" w:firstLineChars="200"/>
        <w:jc w:val="left"/>
        <w:rPr>
          <w:rFonts w:hint="eastAsia" w:ascii="宋体" w:hAnsi="宋体" w:eastAsia="宋体" w:cs="宋体"/>
          <w:b/>
          <w:color w:val="auto"/>
          <w:sz w:val="24"/>
          <w:szCs w:val="24"/>
          <w:u w:val="single"/>
        </w:rPr>
      </w:pPr>
      <w:r>
        <w:rPr>
          <w:rFonts w:hint="eastAsia" w:ascii="宋体" w:hAnsi="宋体" w:eastAsia="宋体" w:cs="宋体"/>
          <w:color w:val="auto"/>
          <w:sz w:val="24"/>
          <w:szCs w:val="24"/>
          <w:u w:val="single"/>
          <w:lang w:bidi="ar"/>
        </w:rPr>
        <w:t>合同竣工结算价=Σ分部分项工程结算价+Σ措施项目结算价+Σ其他项目结算价±Σ价格调整（如有）±Σ变更、索赔与现场签证结算价±Σ奖励、罚金、违约金及其他费用+Σ规费+Σ税金。</w:t>
      </w:r>
    </w:p>
    <w:p w14:paraId="6A8793A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具体结算办法如下：</w:t>
      </w:r>
    </w:p>
    <w:p w14:paraId="6BA49EE5">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（1）分部分项工程：</w:t>
      </w:r>
    </w:p>
    <w:p w14:paraId="475BEA42">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eastAsia="宋体" w:cs="宋体"/>
          <w:color w:val="auto"/>
          <w:sz w:val="24"/>
          <w:szCs w:val="24"/>
          <w:lang w:bidi="ar"/>
        </w:rPr>
        <w:t>；</w:t>
      </w:r>
    </w:p>
    <w:p w14:paraId="32FBD71B">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eastAsia="宋体" w:cs="宋体"/>
          <w:color w:val="auto"/>
          <w:sz w:val="24"/>
          <w:szCs w:val="24"/>
          <w:lang w:bidi="ar"/>
        </w:rPr>
        <w:t>；</w:t>
      </w:r>
    </w:p>
    <w:p w14:paraId="4FC290A5">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③需要对没有填入综合单价或总额价的子目项目进行扣减的，第12.3.1项〔计量原则〕约定确定的工程量乘以按照10.4.1〔变更估价原则〕（3）目约定的综合单价进行扣减</w:t>
      </w:r>
      <w:r>
        <w:rPr>
          <w:rFonts w:hint="eastAsia" w:ascii="宋体" w:hAnsi="宋体" w:eastAsia="宋体" w:cs="宋体"/>
          <w:color w:val="auto"/>
          <w:sz w:val="24"/>
          <w:szCs w:val="24"/>
          <w:lang w:bidi="ar"/>
        </w:rPr>
        <w:t>；</w:t>
      </w:r>
    </w:p>
    <w:p w14:paraId="0C244B12">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④合同、已标价工程量清单和竞争性磋商文件另有约定的，按照其约定执行</w:t>
      </w:r>
      <w:r>
        <w:rPr>
          <w:rFonts w:hint="eastAsia" w:ascii="宋体" w:hAnsi="宋体" w:eastAsia="宋体" w:cs="宋体"/>
          <w:color w:val="auto"/>
          <w:sz w:val="24"/>
          <w:szCs w:val="24"/>
          <w:lang w:bidi="ar"/>
        </w:rPr>
        <w:t>。</w:t>
      </w:r>
    </w:p>
    <w:p w14:paraId="181BF290">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（2）措施项目：</w:t>
      </w:r>
    </w:p>
    <w:p w14:paraId="4771058A">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eastAsia="宋体" w:cs="宋体"/>
          <w:color w:val="auto"/>
          <w:sz w:val="24"/>
          <w:szCs w:val="24"/>
          <w:lang w:bidi="ar"/>
        </w:rPr>
        <w:t>。</w:t>
      </w:r>
    </w:p>
    <w:p w14:paraId="345028D4">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②工程变更引起施工方案改变使措施项目发生变化的，经监理人、发包人确定后可对按第10.4.3项约定执行</w:t>
      </w:r>
      <w:r>
        <w:rPr>
          <w:rFonts w:hint="eastAsia" w:ascii="宋体" w:hAnsi="宋体" w:eastAsia="宋体" w:cs="宋体"/>
          <w:color w:val="auto"/>
          <w:sz w:val="24"/>
          <w:szCs w:val="24"/>
          <w:lang w:bidi="ar"/>
        </w:rPr>
        <w:t>。</w:t>
      </w:r>
    </w:p>
    <w:p w14:paraId="3A2E02E7">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eastAsia="宋体" w:cs="宋体"/>
          <w:color w:val="auto"/>
          <w:sz w:val="24"/>
          <w:szCs w:val="24"/>
          <w:lang w:bidi="ar"/>
        </w:rPr>
        <w:t>。</w:t>
      </w:r>
    </w:p>
    <w:p w14:paraId="0D4D094D">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（3）其他项目：</w:t>
      </w:r>
    </w:p>
    <w:p w14:paraId="08634D2C">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①材料（工程设备）暂估价：</w:t>
      </w:r>
      <w:r>
        <w:rPr>
          <w:rFonts w:hint="eastAsia" w:ascii="宋体" w:hAnsi="宋体" w:eastAsia="宋体" w:cs="宋体"/>
          <w:color w:val="auto"/>
          <w:sz w:val="24"/>
          <w:szCs w:val="24"/>
          <w:u w:val="single"/>
          <w:lang w:bidi="ar"/>
        </w:rPr>
        <w:t>按照第12.3.1项〔计量原则〕约定及对应定额消耗量确定的数量乘以监理人、跟审单位、发包人根据市场行情认质核价确定的价格进行结算</w:t>
      </w:r>
      <w:r>
        <w:rPr>
          <w:rFonts w:hint="eastAsia" w:ascii="宋体" w:hAnsi="宋体" w:eastAsia="宋体" w:cs="宋体"/>
          <w:color w:val="auto"/>
          <w:sz w:val="24"/>
          <w:szCs w:val="24"/>
          <w:lang w:bidi="ar"/>
        </w:rPr>
        <w:t>。</w:t>
      </w:r>
    </w:p>
    <w:p w14:paraId="080731D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②专业工程暂估价：</w:t>
      </w:r>
    </w:p>
    <w:p w14:paraId="20F779B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1）对于不属于依法必须招标的暂估价项目：按发包人审定的价格进行结算</w:t>
      </w:r>
      <w:r>
        <w:rPr>
          <w:rFonts w:hint="eastAsia" w:ascii="宋体" w:hAnsi="宋体" w:eastAsia="宋体" w:cs="宋体"/>
          <w:color w:val="auto"/>
          <w:sz w:val="24"/>
          <w:szCs w:val="24"/>
          <w:lang w:bidi="ar"/>
        </w:rPr>
        <w:t>。</w:t>
      </w:r>
    </w:p>
    <w:p w14:paraId="6E90C4D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2）对于依法必须招标的暂估价项目：达到招标规模标准的暂估价内容，包括专业工程暂估价和材料设备暂估价均应招标确定，并按暂估价竞争性磋商文件约定结算</w:t>
      </w:r>
      <w:r>
        <w:rPr>
          <w:rFonts w:hint="eastAsia" w:ascii="宋体" w:hAnsi="宋体" w:eastAsia="宋体" w:cs="宋体"/>
          <w:color w:val="auto"/>
          <w:sz w:val="24"/>
          <w:szCs w:val="24"/>
          <w:lang w:bidi="ar"/>
        </w:rPr>
        <w:t>。</w:t>
      </w:r>
    </w:p>
    <w:p w14:paraId="5621ED8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3）总承包服务费：总承包服务费包干使用，结算时不作调整</w:t>
      </w:r>
      <w:r>
        <w:rPr>
          <w:rFonts w:hint="eastAsia" w:ascii="宋体" w:hAnsi="宋体" w:eastAsia="宋体" w:cs="宋体"/>
          <w:color w:val="auto"/>
          <w:sz w:val="24"/>
          <w:szCs w:val="24"/>
          <w:lang w:bidi="ar"/>
        </w:rPr>
        <w:t>。</w:t>
      </w:r>
    </w:p>
    <w:p w14:paraId="39088C08">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bidi="ar"/>
        </w:rPr>
        <w:t>（4）价格调整：</w:t>
      </w:r>
      <w:r>
        <w:rPr>
          <w:rFonts w:hint="eastAsia" w:ascii="宋体" w:hAnsi="宋体" w:eastAsia="宋体" w:cs="宋体"/>
          <w:color w:val="auto"/>
          <w:sz w:val="24"/>
          <w:szCs w:val="24"/>
          <w:u w:val="single"/>
          <w:lang w:bidi="ar"/>
        </w:rPr>
        <w:t>按照第11条〔价格调整〕约定执行</w:t>
      </w:r>
      <w:r>
        <w:rPr>
          <w:rFonts w:hint="eastAsia" w:ascii="宋体" w:hAnsi="宋体" w:eastAsia="宋体" w:cs="宋体"/>
          <w:color w:val="auto"/>
          <w:sz w:val="24"/>
          <w:szCs w:val="24"/>
          <w:lang w:bidi="ar"/>
        </w:rPr>
        <w:t>。</w:t>
      </w:r>
    </w:p>
    <w:p w14:paraId="60458F56">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（5）工程变更、索赔与现场签证：</w:t>
      </w:r>
    </w:p>
    <w:p w14:paraId="718B90E9">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C2744A7">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2）索赔：按照第10.4.1项〔变更估价原则〕和第14.2.1项〔竣工结算办法〕约定执行。</w:t>
      </w:r>
    </w:p>
    <w:p w14:paraId="717D0B54">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3）现场签证：按照第10.4.1项〔变更估价原则〕和第14.2.1项〔竣工结算办法〕约定执行。</w:t>
      </w:r>
    </w:p>
    <w:p w14:paraId="2E30FF6C">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（6）奖励、罚金、违约金及其他费用：</w:t>
      </w:r>
      <w:r>
        <w:rPr>
          <w:rFonts w:hint="eastAsia" w:ascii="宋体" w:hAnsi="宋体" w:eastAsia="宋体" w:cs="宋体"/>
          <w:color w:val="auto"/>
          <w:sz w:val="24"/>
          <w:szCs w:val="24"/>
          <w:u w:val="single"/>
          <w:lang w:bidi="ar"/>
        </w:rPr>
        <w:t>按实进行结算</w:t>
      </w:r>
      <w:r>
        <w:rPr>
          <w:rFonts w:hint="eastAsia" w:ascii="宋体" w:hAnsi="宋体" w:eastAsia="宋体" w:cs="宋体"/>
          <w:color w:val="auto"/>
          <w:sz w:val="24"/>
          <w:szCs w:val="24"/>
          <w:lang w:bidi="ar"/>
        </w:rPr>
        <w:t>。</w:t>
      </w:r>
    </w:p>
    <w:p w14:paraId="0D5263E5">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（7）规费：已标价工程量清单中规费费用按《重庆市建设工程费用定额》（CQFYDE-2018）执行。</w:t>
      </w:r>
    </w:p>
    <w:p w14:paraId="692DC7C6">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6498410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14.2.1.3竣工结算价</w:t>
      </w:r>
    </w:p>
    <w:p w14:paraId="6BAF82C8">
      <w:pPr>
        <w:tabs>
          <w:tab w:val="left" w:pos="711"/>
          <w:tab w:val="left" w:pos="2580"/>
        </w:tabs>
        <w:spacing w:line="440" w:lineRule="exact"/>
        <w:ind w:right="140" w:rightChars="50" w:firstLine="480" w:firstLineChars="200"/>
        <w:jc w:val="left"/>
        <w:textAlignment w:val="baseline"/>
        <w:rPr>
          <w:rFonts w:hint="eastAsia" w:ascii="宋体" w:hAnsi="宋体" w:eastAsia="宋体" w:cs="宋体"/>
          <w:color w:val="auto"/>
          <w:sz w:val="24"/>
          <w:szCs w:val="24"/>
          <w:u w:val="single"/>
        </w:rPr>
      </w:pPr>
      <w:bookmarkStart w:id="1022" w:name="_Hlk528660512"/>
      <w:r>
        <w:rPr>
          <w:rFonts w:hint="eastAsia" w:ascii="宋体" w:hAnsi="宋体" w:eastAsia="宋体" w:cs="宋体"/>
          <w:color w:val="auto"/>
          <w:sz w:val="24"/>
          <w:szCs w:val="24"/>
          <w:u w:val="single"/>
          <w:lang w:bidi="ar"/>
        </w:rPr>
        <w:t>以发包人会同跟审单位、监理人、承包人根据有效资料共同确定竣工结算金额作为合同竣工结算价</w:t>
      </w:r>
      <w:r>
        <w:rPr>
          <w:rFonts w:hint="eastAsia" w:ascii="宋体" w:hAnsi="宋体" w:eastAsia="宋体" w:cs="宋体"/>
          <w:color w:val="auto"/>
          <w:sz w:val="24"/>
          <w:szCs w:val="24"/>
          <w:lang w:bidi="ar"/>
        </w:rPr>
        <w:t>。</w:t>
      </w:r>
    </w:p>
    <w:bookmarkEnd w:id="1022"/>
    <w:p w14:paraId="3B51EA4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14.2.2 竣工结算审核期限</w:t>
      </w:r>
    </w:p>
    <w:p w14:paraId="5EF05C1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监理人审核竣工付款申请单的期限：</w:t>
      </w:r>
      <w:r>
        <w:rPr>
          <w:rFonts w:hint="eastAsia" w:ascii="宋体" w:hAnsi="宋体" w:eastAsia="宋体" w:cs="宋体"/>
          <w:color w:val="auto"/>
          <w:sz w:val="24"/>
          <w:szCs w:val="24"/>
          <w:u w:val="single"/>
          <w:lang w:bidi="ar"/>
        </w:rPr>
        <w:t>不超过  日</w:t>
      </w:r>
      <w:r>
        <w:rPr>
          <w:rFonts w:hint="eastAsia" w:ascii="宋体" w:hAnsi="宋体" w:eastAsia="宋体" w:cs="宋体"/>
          <w:color w:val="auto"/>
          <w:sz w:val="24"/>
          <w:szCs w:val="24"/>
          <w:lang w:bidi="ar"/>
        </w:rPr>
        <w:t>。</w:t>
      </w:r>
    </w:p>
    <w:p w14:paraId="68B2A65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发包人审核竣工付款申请单的期限：</w:t>
      </w:r>
      <w:r>
        <w:rPr>
          <w:rFonts w:hint="eastAsia" w:ascii="宋体" w:hAnsi="宋体" w:eastAsia="宋体" w:cs="宋体"/>
          <w:color w:val="auto"/>
          <w:sz w:val="24"/>
          <w:szCs w:val="24"/>
          <w:u w:val="single"/>
          <w:lang w:bidi="ar"/>
        </w:rPr>
        <w:t>不超过  日</w:t>
      </w:r>
      <w:r>
        <w:rPr>
          <w:rFonts w:hint="eastAsia" w:ascii="宋体" w:hAnsi="宋体" w:eastAsia="宋体" w:cs="宋体"/>
          <w:color w:val="auto"/>
          <w:sz w:val="24"/>
          <w:szCs w:val="24"/>
          <w:lang w:bidi="ar"/>
        </w:rPr>
        <w:t>。</w:t>
      </w:r>
    </w:p>
    <w:p w14:paraId="04B2467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发包人完成竣工付款的期限：</w:t>
      </w:r>
      <w:r>
        <w:rPr>
          <w:rFonts w:hint="eastAsia" w:ascii="宋体" w:hAnsi="宋体" w:eastAsia="宋体" w:cs="宋体"/>
          <w:color w:val="auto"/>
          <w:sz w:val="24"/>
          <w:szCs w:val="24"/>
          <w:u w:val="single"/>
          <w:lang w:bidi="ar"/>
        </w:rPr>
        <w:t>完成竣工付款申请单审核后  天内</w:t>
      </w:r>
      <w:r>
        <w:rPr>
          <w:rFonts w:hint="eastAsia" w:ascii="宋体" w:hAnsi="宋体" w:eastAsia="宋体" w:cs="宋体"/>
          <w:color w:val="auto"/>
          <w:sz w:val="24"/>
          <w:szCs w:val="24"/>
          <w:lang w:bidi="ar"/>
        </w:rPr>
        <w:t>。</w:t>
      </w:r>
    </w:p>
    <w:p w14:paraId="3946256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关于竣工付款证书异议部分复核的方式和程序： 按照第20条〔争议解决〕约定处理。</w:t>
      </w:r>
    </w:p>
    <w:p w14:paraId="21747720">
      <w:pPr>
        <w:keepNext/>
        <w:keepLines/>
        <w:tabs>
          <w:tab w:val="left" w:pos="2551"/>
        </w:tabs>
        <w:spacing w:line="440" w:lineRule="exact"/>
        <w:outlineLvl w:val="4"/>
        <w:rPr>
          <w:rFonts w:hint="eastAsia" w:ascii="宋体" w:hAnsi="宋体" w:eastAsia="宋体" w:cs="宋体"/>
          <w:b/>
          <w:color w:val="auto"/>
          <w:sz w:val="24"/>
          <w:szCs w:val="24"/>
        </w:rPr>
      </w:pPr>
      <w:bookmarkStart w:id="1023" w:name="_Toc532377396"/>
      <w:bookmarkStart w:id="1024" w:name="_Toc532375659"/>
      <w:r>
        <w:rPr>
          <w:rFonts w:hint="eastAsia" w:ascii="宋体" w:hAnsi="宋体" w:eastAsia="宋体" w:cs="宋体"/>
          <w:b/>
          <w:color w:val="auto"/>
          <w:sz w:val="24"/>
          <w:szCs w:val="24"/>
          <w:lang w:bidi="ar"/>
        </w:rPr>
        <w:t>14.4 最终结清</w:t>
      </w:r>
      <w:bookmarkEnd w:id="1023"/>
      <w:bookmarkEnd w:id="1024"/>
    </w:p>
    <w:p w14:paraId="097DDD4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14.4.1 最终结清申请单</w:t>
      </w:r>
    </w:p>
    <w:p w14:paraId="1143498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承包人提交最终结清申请单的份数：</w:t>
      </w:r>
      <w:r>
        <w:rPr>
          <w:rFonts w:hint="eastAsia" w:ascii="宋体" w:hAnsi="宋体" w:eastAsia="宋体" w:cs="宋体"/>
          <w:color w:val="auto"/>
          <w:sz w:val="24"/>
          <w:szCs w:val="24"/>
          <w:u w:val="single"/>
          <w:lang w:bidi="ar"/>
        </w:rPr>
        <w:t>3份</w:t>
      </w:r>
      <w:r>
        <w:rPr>
          <w:rFonts w:hint="eastAsia" w:ascii="宋体" w:hAnsi="宋体" w:eastAsia="宋体" w:cs="宋体"/>
          <w:color w:val="auto"/>
          <w:sz w:val="24"/>
          <w:szCs w:val="24"/>
          <w:lang w:bidi="ar"/>
        </w:rPr>
        <w:t>。</w:t>
      </w:r>
    </w:p>
    <w:p w14:paraId="5AB986F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承包人提交最终结算申请单的期限：</w:t>
      </w:r>
      <w:r>
        <w:rPr>
          <w:rFonts w:hint="eastAsia" w:ascii="宋体" w:hAnsi="宋体" w:eastAsia="宋体" w:cs="宋体"/>
          <w:color w:val="auto"/>
          <w:sz w:val="24"/>
          <w:szCs w:val="24"/>
          <w:u w:val="single"/>
          <w:lang w:bidi="ar"/>
        </w:rPr>
        <w:t>缺陷责任期终止证书颁发后14天内</w:t>
      </w:r>
      <w:r>
        <w:rPr>
          <w:rFonts w:hint="eastAsia" w:ascii="宋体" w:hAnsi="宋体" w:eastAsia="宋体" w:cs="宋体"/>
          <w:color w:val="auto"/>
          <w:sz w:val="24"/>
          <w:szCs w:val="24"/>
          <w:lang w:bidi="ar"/>
        </w:rPr>
        <w:t>。</w:t>
      </w:r>
    </w:p>
    <w:p w14:paraId="10317817">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14.4.2 最终结清证书和支付</w:t>
      </w:r>
    </w:p>
    <w:p w14:paraId="397EFFE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（1）发包人完成最终结清申请单的审批并颁发最终结清证书的期限：</w:t>
      </w:r>
      <w:r>
        <w:rPr>
          <w:rFonts w:hint="eastAsia" w:ascii="宋体" w:hAnsi="宋体" w:eastAsia="宋体" w:cs="宋体"/>
          <w:color w:val="auto"/>
          <w:sz w:val="24"/>
          <w:szCs w:val="24"/>
          <w:u w:val="single"/>
          <w:lang w:bidi="ar"/>
        </w:rPr>
        <w:t>发包人收到完整资料后14天内完成审批并颁发最终结清证书</w:t>
      </w:r>
      <w:r>
        <w:rPr>
          <w:rFonts w:hint="eastAsia" w:ascii="宋体" w:hAnsi="宋体" w:eastAsia="宋体" w:cs="宋体"/>
          <w:color w:val="auto"/>
          <w:sz w:val="24"/>
          <w:szCs w:val="24"/>
          <w:lang w:bidi="ar"/>
        </w:rPr>
        <w:t>。</w:t>
      </w:r>
    </w:p>
    <w:p w14:paraId="551E517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（2）发包人完成支付的期限：</w:t>
      </w:r>
      <w:r>
        <w:rPr>
          <w:rFonts w:hint="eastAsia" w:ascii="宋体" w:hAnsi="宋体" w:eastAsia="宋体" w:cs="宋体"/>
          <w:color w:val="auto"/>
          <w:sz w:val="24"/>
          <w:szCs w:val="24"/>
          <w:u w:val="single"/>
          <w:lang w:bidi="ar"/>
        </w:rPr>
        <w:t>颁发最终结清证书的14天内</w:t>
      </w:r>
      <w:r>
        <w:rPr>
          <w:rFonts w:hint="eastAsia" w:ascii="宋体" w:hAnsi="宋体" w:eastAsia="宋体" w:cs="宋体"/>
          <w:color w:val="auto"/>
          <w:sz w:val="24"/>
          <w:szCs w:val="24"/>
          <w:lang w:bidi="ar"/>
        </w:rPr>
        <w:t>。</w:t>
      </w:r>
    </w:p>
    <w:p w14:paraId="44ABA53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本条补充14.5款：</w:t>
      </w:r>
    </w:p>
    <w:bookmarkEnd w:id="984"/>
    <w:bookmarkEnd w:id="985"/>
    <w:bookmarkEnd w:id="986"/>
    <w:bookmarkEnd w:id="987"/>
    <w:bookmarkEnd w:id="988"/>
    <w:bookmarkEnd w:id="989"/>
    <w:bookmarkEnd w:id="990"/>
    <w:bookmarkEnd w:id="991"/>
    <w:p w14:paraId="023DB475">
      <w:pPr>
        <w:keepNext/>
        <w:keepLines/>
        <w:tabs>
          <w:tab w:val="left" w:pos="2551"/>
        </w:tabs>
        <w:spacing w:line="440" w:lineRule="exact"/>
        <w:outlineLvl w:val="4"/>
        <w:rPr>
          <w:rFonts w:hint="eastAsia" w:ascii="宋体" w:hAnsi="宋体" w:eastAsia="宋体" w:cs="宋体"/>
          <w:b/>
          <w:color w:val="auto"/>
          <w:sz w:val="24"/>
          <w:szCs w:val="24"/>
        </w:rPr>
      </w:pPr>
      <w:bookmarkStart w:id="1025" w:name="_Toc532377397"/>
      <w:bookmarkStart w:id="1026" w:name="_Toc532375660"/>
      <w:r>
        <w:rPr>
          <w:rFonts w:hint="eastAsia" w:ascii="宋体" w:hAnsi="宋体" w:eastAsia="宋体" w:cs="宋体"/>
          <w:b/>
          <w:color w:val="auto"/>
          <w:sz w:val="24"/>
          <w:szCs w:val="24"/>
          <w:lang w:bidi="ar"/>
        </w:rPr>
        <w:t>14.5 逾期办理或不配合办理竣工结算的处理</w:t>
      </w:r>
      <w:bookmarkEnd w:id="1025"/>
      <w:bookmarkEnd w:id="1026"/>
    </w:p>
    <w:p w14:paraId="6AB8D335">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有下列情形之一的，视为承包人放弃与发包人共同办理竣工结算的权利，发包人有权会同跟审单位、监理人根据有效资料共同确定竣工结算金额。</w:t>
      </w:r>
    </w:p>
    <w:p w14:paraId="4BA9F9E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（1）承包人逾期未报送竣工结算资料，亦未获得发包人批准延期报送，经发包人两</w:t>
      </w:r>
      <w:bookmarkStart w:id="1027" w:name="_Hlk529133622"/>
      <w:r>
        <w:rPr>
          <w:rFonts w:hint="eastAsia" w:ascii="宋体" w:hAnsi="宋体" w:eastAsia="宋体" w:cs="宋体"/>
          <w:color w:val="auto"/>
          <w:sz w:val="24"/>
          <w:szCs w:val="24"/>
          <w:lang w:bidi="ar"/>
        </w:rPr>
        <w:t>次书面催告仍未在限期内报送的</w:t>
      </w:r>
      <w:bookmarkEnd w:id="1027"/>
      <w:r>
        <w:rPr>
          <w:rFonts w:hint="eastAsia" w:ascii="宋体" w:hAnsi="宋体" w:eastAsia="宋体" w:cs="宋体"/>
          <w:color w:val="auto"/>
          <w:sz w:val="24"/>
          <w:szCs w:val="24"/>
          <w:lang w:bidi="ar"/>
        </w:rPr>
        <w:t>；</w:t>
      </w:r>
    </w:p>
    <w:p w14:paraId="7D235C7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2126D24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（3）承包人不配合发包人、跟审单位、监理人、发包人委托的工程造价咨询服务单位办理竣工结算的，经发包人两次书面函告仍未改正的。</w:t>
      </w:r>
    </w:p>
    <w:p w14:paraId="1C41A16A">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116C20CC">
      <w:pPr>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宋体"/>
          <w:color w:val="auto"/>
          <w:sz w:val="24"/>
          <w:szCs w:val="24"/>
          <w:lang w:bidi="ar"/>
        </w:rPr>
        <w:t>。</w:t>
      </w:r>
    </w:p>
    <w:bookmarkEnd w:id="692"/>
    <w:bookmarkEnd w:id="693"/>
    <w:bookmarkEnd w:id="694"/>
    <w:bookmarkEnd w:id="695"/>
    <w:bookmarkEnd w:id="696"/>
    <w:bookmarkEnd w:id="697"/>
    <w:bookmarkEnd w:id="698"/>
    <w:bookmarkEnd w:id="699"/>
    <w:p w14:paraId="11E9B4E5">
      <w:pPr>
        <w:keepNext/>
        <w:keepLines/>
        <w:spacing w:before="120" w:beforeLines="50" w:after="120" w:afterLines="50" w:line="440" w:lineRule="exact"/>
        <w:outlineLvl w:val="3"/>
        <w:rPr>
          <w:rFonts w:hint="eastAsia" w:ascii="宋体" w:hAnsi="宋体" w:eastAsia="宋体" w:cs="宋体"/>
          <w:b/>
          <w:color w:val="auto"/>
          <w:sz w:val="24"/>
          <w:szCs w:val="24"/>
        </w:rPr>
      </w:pPr>
      <w:bookmarkStart w:id="1028" w:name="_Toc532377398"/>
      <w:bookmarkStart w:id="1029" w:name="_Toc351203647"/>
      <w:bookmarkStart w:id="1030" w:name="_Toc532375661"/>
      <w:bookmarkStart w:id="1031" w:name="_Toc267251483"/>
      <w:bookmarkStart w:id="1032" w:name="_Toc280868718"/>
      <w:bookmarkStart w:id="1033" w:name="_Toc280868717"/>
      <w:r>
        <w:rPr>
          <w:rFonts w:hint="eastAsia" w:ascii="宋体" w:hAnsi="宋体" w:eastAsia="宋体" w:cs="宋体"/>
          <w:b/>
          <w:color w:val="auto"/>
          <w:sz w:val="24"/>
          <w:szCs w:val="24"/>
          <w:lang w:bidi="ar"/>
        </w:rPr>
        <w:t>15. 缺陷责任期与保修</w:t>
      </w:r>
      <w:bookmarkEnd w:id="1028"/>
      <w:bookmarkEnd w:id="1029"/>
      <w:bookmarkEnd w:id="1030"/>
    </w:p>
    <w:bookmarkEnd w:id="1031"/>
    <w:p w14:paraId="12A01747">
      <w:pPr>
        <w:keepNext/>
        <w:keepLines/>
        <w:tabs>
          <w:tab w:val="left" w:pos="2551"/>
        </w:tabs>
        <w:spacing w:line="440" w:lineRule="exact"/>
        <w:outlineLvl w:val="4"/>
        <w:rPr>
          <w:rFonts w:hint="eastAsia" w:ascii="宋体" w:hAnsi="宋体" w:eastAsia="宋体" w:cs="宋体"/>
          <w:b/>
          <w:color w:val="auto"/>
          <w:sz w:val="24"/>
          <w:szCs w:val="24"/>
        </w:rPr>
      </w:pPr>
      <w:bookmarkStart w:id="1034" w:name="_Toc532377399"/>
      <w:bookmarkStart w:id="1035" w:name="_Toc532375662"/>
      <w:r>
        <w:rPr>
          <w:rFonts w:hint="eastAsia" w:ascii="宋体" w:hAnsi="宋体" w:eastAsia="宋体" w:cs="宋体"/>
          <w:b/>
          <w:color w:val="auto"/>
          <w:sz w:val="24"/>
          <w:szCs w:val="24"/>
          <w:lang w:bidi="ar"/>
        </w:rPr>
        <w:t>15.3 质量保证金</w:t>
      </w:r>
      <w:bookmarkEnd w:id="1034"/>
      <w:bookmarkEnd w:id="1035"/>
    </w:p>
    <w:p w14:paraId="4D0E671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15.3.1 承包人提供质量保证金的方式</w:t>
      </w:r>
    </w:p>
    <w:p w14:paraId="35E32275">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质量保证金采用以下第</w:t>
      </w:r>
      <w:r>
        <w:rPr>
          <w:rFonts w:hint="eastAsia" w:ascii="宋体" w:hAnsi="宋体" w:eastAsia="宋体" w:cs="宋体"/>
          <w:color w:val="auto"/>
          <w:sz w:val="24"/>
          <w:szCs w:val="24"/>
          <w:u w:val="single"/>
          <w:lang w:bidi="ar"/>
        </w:rPr>
        <w:t xml:space="preserve">  </w:t>
      </w:r>
      <w:r>
        <w:rPr>
          <w:rFonts w:hint="eastAsia" w:ascii="宋体" w:hAnsi="宋体" w:cs="宋体"/>
          <w:color w:val="auto"/>
          <w:sz w:val="24"/>
          <w:szCs w:val="24"/>
          <w:u w:val="single"/>
          <w:lang w:val="en-US" w:eastAsia="zh-CN"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种方式：</w:t>
      </w:r>
    </w:p>
    <w:p w14:paraId="61AE57D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（1）质量保证金保函</w:t>
      </w:r>
    </w:p>
    <w:p w14:paraId="633454F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1）按竞争性磋商文件载明的格式或发包人认可的格式向发包人提交不可撤销的见索即付银行保函</w:t>
      </w:r>
      <w:r>
        <w:rPr>
          <w:rFonts w:hint="eastAsia" w:ascii="宋体" w:hAnsi="宋体" w:eastAsia="宋体" w:cs="宋体"/>
          <w:color w:val="auto"/>
          <w:sz w:val="24"/>
          <w:szCs w:val="24"/>
          <w:lang w:bidi="ar"/>
        </w:rPr>
        <w:t>；</w:t>
      </w:r>
    </w:p>
    <w:p w14:paraId="509E4AFA">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2）出具保函的银行级别：</w:t>
      </w:r>
      <w:r>
        <w:rPr>
          <w:rFonts w:hint="eastAsia" w:ascii="宋体" w:hAnsi="宋体" w:eastAsia="宋体" w:cs="宋体"/>
          <w:color w:val="auto"/>
          <w:sz w:val="24"/>
          <w:szCs w:val="24"/>
          <w:u w:val="single"/>
          <w:lang w:bidi="ar"/>
        </w:rPr>
        <w:t>地市级及以上国家政策性银行或股份制商业银行的支行或其上级银行</w:t>
      </w:r>
      <w:r>
        <w:rPr>
          <w:rFonts w:hint="eastAsia" w:ascii="宋体" w:hAnsi="宋体" w:eastAsia="宋体" w:cs="宋体"/>
          <w:color w:val="auto"/>
          <w:sz w:val="24"/>
          <w:szCs w:val="24"/>
          <w:lang w:bidi="ar"/>
        </w:rPr>
        <w:t>；</w:t>
      </w:r>
    </w:p>
    <w:p w14:paraId="4DB77E6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3）保函金额为：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5F63BE85">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4）提交时间：</w:t>
      </w:r>
      <w:r>
        <w:rPr>
          <w:rFonts w:hint="eastAsia" w:ascii="宋体" w:hAnsi="宋体" w:eastAsia="宋体" w:cs="宋体"/>
          <w:color w:val="auto"/>
          <w:sz w:val="24"/>
          <w:szCs w:val="24"/>
          <w:u w:val="single"/>
          <w:lang w:bidi="ar"/>
        </w:rPr>
        <w:t>工程竣工验收合格后14天内</w:t>
      </w:r>
      <w:r>
        <w:rPr>
          <w:rFonts w:hint="eastAsia" w:ascii="宋体" w:hAnsi="宋体" w:eastAsia="宋体" w:cs="宋体"/>
          <w:color w:val="auto"/>
          <w:sz w:val="24"/>
          <w:szCs w:val="24"/>
          <w:lang w:bidi="ar"/>
        </w:rPr>
        <w:t>。</w:t>
      </w:r>
    </w:p>
    <w:p w14:paraId="1FD271C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承包人提交质量保证金保函的，发包人应同时退还（若有）扣留的作为质量保证金的工程价款、履约担保、低价风险担保；保函金额不得超过工程价款结算总额的3%</w:t>
      </w:r>
      <w:r>
        <w:rPr>
          <w:rFonts w:hint="eastAsia" w:ascii="宋体" w:hAnsi="宋体" w:eastAsia="宋体" w:cs="宋体"/>
          <w:color w:val="auto"/>
          <w:sz w:val="24"/>
          <w:szCs w:val="24"/>
          <w:lang w:bidi="ar"/>
        </w:rPr>
        <w:t>。</w:t>
      </w:r>
    </w:p>
    <w:p w14:paraId="3308354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（2）竣工结算价的</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w:t>
      </w:r>
    </w:p>
    <w:p w14:paraId="3B9F61D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（3）其他方式：</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0189CB5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15.3.2 质量保证金的扣留</w:t>
      </w:r>
    </w:p>
    <w:p w14:paraId="0E82BE8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质量保证金的扣留采取以下第</w:t>
      </w:r>
      <w:r>
        <w:rPr>
          <w:rFonts w:hint="eastAsia" w:ascii="宋体" w:hAnsi="宋体" w:eastAsia="宋体" w:cs="宋体"/>
          <w:color w:val="auto"/>
          <w:sz w:val="24"/>
          <w:szCs w:val="24"/>
          <w:u w:val="single"/>
          <w:lang w:bidi="ar"/>
        </w:rPr>
        <w:t xml:space="preserve">  </w:t>
      </w:r>
      <w:r>
        <w:rPr>
          <w:rFonts w:hint="eastAsia" w:ascii="宋体" w:hAnsi="宋体" w:cs="宋体"/>
          <w:color w:val="auto"/>
          <w:sz w:val="24"/>
          <w:szCs w:val="24"/>
          <w:u w:val="single"/>
          <w:lang w:val="en-US" w:eastAsia="zh-CN"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种方式：</w:t>
      </w:r>
    </w:p>
    <w:p w14:paraId="57B99FE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（1）在支付工程进度款时逐次扣留，在此情形下，质量保证金的计算基数不包括预付款的支付、扣回以及价格调整的金额；</w:t>
      </w:r>
    </w:p>
    <w:p w14:paraId="6CF160A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（2）工程竣工结算时一次性扣留质量保证金；</w:t>
      </w:r>
    </w:p>
    <w:p w14:paraId="2D5786C9">
      <w:pPr>
        <w:autoSpaceDE w:val="0"/>
        <w:autoSpaceDN w:val="0"/>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（3）</w:t>
      </w:r>
      <w:r>
        <w:rPr>
          <w:rFonts w:hint="eastAsia" w:ascii="宋体" w:hAnsi="宋体" w:eastAsia="宋体" w:cs="宋体"/>
          <w:color w:val="auto"/>
          <w:sz w:val="24"/>
          <w:szCs w:val="24"/>
          <w:u w:val="single"/>
          <w:lang w:bidi="ar"/>
        </w:rPr>
        <w:t xml:space="preserve">其他扣留方式：        </w:t>
      </w:r>
      <w:r>
        <w:rPr>
          <w:rFonts w:hint="eastAsia" w:ascii="宋体" w:hAnsi="宋体" w:eastAsia="宋体" w:cs="宋体"/>
          <w:color w:val="auto"/>
          <w:sz w:val="24"/>
          <w:szCs w:val="24"/>
          <w:lang w:bidi="ar"/>
        </w:rPr>
        <w:t>。</w:t>
      </w:r>
    </w:p>
    <w:p w14:paraId="371383D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15.3.3质量保证金的退还</w:t>
      </w:r>
    </w:p>
    <w:p w14:paraId="1568B49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（1）在发包人颁发缺陷责任期终止证书之日起14天内退还。</w:t>
      </w:r>
    </w:p>
    <w:p w14:paraId="0AD72B15">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（2）缺陷责任期内，承包人认真履行合同约定的责任，到期后，承包人可向发包人申请返还质量保证金。</w:t>
      </w:r>
    </w:p>
    <w:p w14:paraId="65FC0D5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（3）质量保证金是否支付利息采取以下</w:t>
      </w:r>
      <w:r>
        <w:rPr>
          <w:rFonts w:hint="eastAsia" w:ascii="宋体" w:hAnsi="宋体" w:eastAsia="宋体" w:cs="宋体"/>
          <w:color w:val="auto"/>
          <w:sz w:val="24"/>
          <w:szCs w:val="24"/>
          <w:u w:val="single"/>
          <w:lang w:bidi="ar"/>
        </w:rPr>
        <w:t>第②种</w:t>
      </w:r>
      <w:r>
        <w:rPr>
          <w:rFonts w:hint="eastAsia" w:ascii="宋体" w:hAnsi="宋体" w:eastAsia="宋体" w:cs="宋体"/>
          <w:color w:val="auto"/>
          <w:sz w:val="24"/>
          <w:szCs w:val="24"/>
          <w:lang w:bidi="ar"/>
        </w:rPr>
        <w:t>方式：</w:t>
      </w:r>
    </w:p>
    <w:p w14:paraId="5D67195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①按照中国人民银行  年  月公布的5年期贷款市场报价利率支付利息</w:t>
      </w:r>
      <w:r>
        <w:rPr>
          <w:rFonts w:hint="eastAsia" w:ascii="宋体" w:hAnsi="宋体" w:eastAsia="宋体" w:cs="宋体"/>
          <w:color w:val="auto"/>
          <w:sz w:val="24"/>
          <w:szCs w:val="24"/>
          <w:lang w:bidi="ar"/>
        </w:rPr>
        <w:t>。</w:t>
      </w:r>
    </w:p>
    <w:p w14:paraId="634AF9B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②不采用</w:t>
      </w:r>
      <w:r>
        <w:rPr>
          <w:rFonts w:hint="eastAsia" w:ascii="宋体" w:hAnsi="宋体" w:eastAsia="宋体" w:cs="宋体"/>
          <w:color w:val="auto"/>
          <w:sz w:val="24"/>
          <w:szCs w:val="24"/>
          <w:lang w:bidi="ar"/>
        </w:rPr>
        <w:t>。</w:t>
      </w:r>
    </w:p>
    <w:p w14:paraId="6B44DCC3">
      <w:pPr>
        <w:keepNext/>
        <w:keepLines/>
        <w:tabs>
          <w:tab w:val="left" w:pos="2551"/>
        </w:tabs>
        <w:spacing w:line="440" w:lineRule="exact"/>
        <w:outlineLvl w:val="4"/>
        <w:rPr>
          <w:rFonts w:hint="eastAsia" w:ascii="宋体" w:hAnsi="宋体" w:eastAsia="宋体" w:cs="宋体"/>
          <w:b/>
          <w:color w:val="auto"/>
          <w:sz w:val="24"/>
          <w:szCs w:val="24"/>
        </w:rPr>
      </w:pPr>
      <w:bookmarkStart w:id="1036" w:name="_Toc532375663"/>
      <w:bookmarkStart w:id="1037" w:name="_Toc532377400"/>
      <w:r>
        <w:rPr>
          <w:rFonts w:hint="eastAsia" w:ascii="宋体" w:hAnsi="宋体" w:eastAsia="宋体" w:cs="宋体"/>
          <w:b/>
          <w:color w:val="auto"/>
          <w:sz w:val="24"/>
          <w:szCs w:val="24"/>
          <w:lang w:bidi="ar"/>
        </w:rPr>
        <w:t>15.4 保修</w:t>
      </w:r>
      <w:bookmarkEnd w:id="1036"/>
      <w:bookmarkEnd w:id="1037"/>
    </w:p>
    <w:p w14:paraId="14B33EE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15.4.1 保修责任</w:t>
      </w:r>
    </w:p>
    <w:p w14:paraId="3EE23F0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工程保修期为：</w:t>
      </w:r>
      <w:bookmarkStart w:id="1038" w:name="_Hlk524381274"/>
      <w:r>
        <w:rPr>
          <w:rFonts w:hint="eastAsia" w:ascii="宋体" w:hAnsi="宋体" w:eastAsia="宋体" w:cs="宋体"/>
          <w:color w:val="auto"/>
          <w:sz w:val="24"/>
          <w:szCs w:val="24"/>
          <w:lang w:bidi="ar"/>
        </w:rPr>
        <w:t>按照附件1《工程质量保修书》的规定执行。</w:t>
      </w:r>
      <w:bookmarkEnd w:id="1038"/>
    </w:p>
    <w:p w14:paraId="6CCD335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15.4.3 修复通知</w:t>
      </w:r>
    </w:p>
    <w:p w14:paraId="66889DA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承包人收到保修通知并到达工程现场的合理时间：</w:t>
      </w:r>
      <w:r>
        <w:rPr>
          <w:rFonts w:hint="eastAsia" w:ascii="宋体" w:hAnsi="宋体" w:eastAsia="宋体" w:cs="宋体"/>
          <w:color w:val="auto"/>
          <w:sz w:val="24"/>
          <w:szCs w:val="24"/>
          <w:u w:val="single"/>
          <w:lang w:bidi="ar"/>
        </w:rPr>
        <w:t xml:space="preserve"> 12小时内，最长不能超过24小时</w:t>
      </w:r>
      <w:r>
        <w:rPr>
          <w:rFonts w:hint="eastAsia" w:ascii="宋体" w:hAnsi="宋体" w:eastAsia="宋体" w:cs="宋体"/>
          <w:color w:val="auto"/>
          <w:sz w:val="24"/>
          <w:szCs w:val="24"/>
          <w:lang w:bidi="ar"/>
        </w:rPr>
        <w:t>。</w:t>
      </w:r>
    </w:p>
    <w:p w14:paraId="391C26CE">
      <w:pPr>
        <w:keepNext/>
        <w:keepLines/>
        <w:spacing w:before="120" w:beforeLines="50" w:after="120" w:afterLines="50" w:line="440" w:lineRule="exact"/>
        <w:outlineLvl w:val="3"/>
        <w:rPr>
          <w:rFonts w:hint="eastAsia" w:ascii="宋体" w:hAnsi="宋体" w:eastAsia="宋体" w:cs="宋体"/>
          <w:b/>
          <w:color w:val="auto"/>
          <w:sz w:val="24"/>
          <w:szCs w:val="24"/>
        </w:rPr>
      </w:pPr>
      <w:bookmarkStart w:id="1039" w:name="_Toc532375664"/>
      <w:bookmarkStart w:id="1040" w:name="_Toc532377401"/>
      <w:bookmarkStart w:id="1041" w:name="_Toc351203648"/>
      <w:r>
        <w:rPr>
          <w:rFonts w:hint="eastAsia" w:ascii="宋体" w:hAnsi="宋体" w:eastAsia="宋体" w:cs="宋体"/>
          <w:b/>
          <w:color w:val="auto"/>
          <w:sz w:val="24"/>
          <w:szCs w:val="24"/>
          <w:lang w:bidi="ar"/>
        </w:rPr>
        <w:t>16. 违约</w:t>
      </w:r>
      <w:bookmarkEnd w:id="1039"/>
      <w:bookmarkEnd w:id="1040"/>
      <w:bookmarkEnd w:id="1041"/>
    </w:p>
    <w:p w14:paraId="27E43F2A">
      <w:pPr>
        <w:keepNext/>
        <w:keepLines/>
        <w:tabs>
          <w:tab w:val="left" w:pos="2551"/>
        </w:tabs>
        <w:spacing w:line="440" w:lineRule="exact"/>
        <w:outlineLvl w:val="4"/>
        <w:rPr>
          <w:rFonts w:hint="eastAsia" w:ascii="宋体" w:hAnsi="宋体" w:eastAsia="宋体" w:cs="宋体"/>
          <w:b/>
          <w:color w:val="auto"/>
          <w:sz w:val="24"/>
          <w:szCs w:val="24"/>
        </w:rPr>
      </w:pPr>
      <w:bookmarkStart w:id="1042" w:name="_Toc532377402"/>
      <w:r>
        <w:rPr>
          <w:rFonts w:hint="eastAsia" w:ascii="宋体" w:hAnsi="宋体" w:eastAsia="宋体" w:cs="宋体"/>
          <w:b/>
          <w:color w:val="auto"/>
          <w:sz w:val="24"/>
          <w:szCs w:val="24"/>
          <w:lang w:bidi="ar"/>
        </w:rPr>
        <w:t>16.1 发包人违约</w:t>
      </w:r>
      <w:bookmarkEnd w:id="1042"/>
    </w:p>
    <w:p w14:paraId="2E20D560">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按通用合同条款执行。</w:t>
      </w:r>
    </w:p>
    <w:p w14:paraId="2CC22599">
      <w:pPr>
        <w:keepNext/>
        <w:keepLines/>
        <w:tabs>
          <w:tab w:val="left" w:pos="2551"/>
        </w:tabs>
        <w:spacing w:line="440" w:lineRule="exact"/>
        <w:outlineLvl w:val="4"/>
        <w:rPr>
          <w:rFonts w:hint="eastAsia" w:ascii="宋体" w:hAnsi="宋体" w:eastAsia="宋体" w:cs="宋体"/>
          <w:b/>
          <w:color w:val="auto"/>
          <w:sz w:val="24"/>
          <w:szCs w:val="24"/>
        </w:rPr>
      </w:pPr>
      <w:bookmarkStart w:id="1043" w:name="_Toc532377403"/>
      <w:r>
        <w:rPr>
          <w:rFonts w:hint="eastAsia" w:ascii="宋体" w:hAnsi="宋体" w:eastAsia="宋体" w:cs="宋体"/>
          <w:b/>
          <w:color w:val="auto"/>
          <w:sz w:val="24"/>
          <w:szCs w:val="24"/>
          <w:lang w:bidi="ar"/>
        </w:rPr>
        <w:t>16.2 承包人违约</w:t>
      </w:r>
      <w:bookmarkEnd w:id="1043"/>
    </w:p>
    <w:p w14:paraId="46A5BA94">
      <w:pPr>
        <w:snapToGrid w:val="0"/>
        <w:spacing w:line="440" w:lineRule="exact"/>
        <w:ind w:firstLine="480" w:firstLineChars="200"/>
        <w:jc w:val="left"/>
        <w:rPr>
          <w:rFonts w:hint="eastAsia" w:ascii="宋体" w:hAnsi="宋体" w:eastAsia="宋体" w:cs="宋体"/>
          <w:color w:val="auto"/>
          <w:kern w:val="0"/>
          <w:sz w:val="24"/>
          <w:szCs w:val="24"/>
        </w:rPr>
      </w:pPr>
      <w:bookmarkStart w:id="1044" w:name="_Hlk524380579"/>
      <w:r>
        <w:rPr>
          <w:rFonts w:hint="eastAsia" w:ascii="宋体" w:hAnsi="宋体" w:eastAsia="宋体" w:cs="宋体"/>
          <w:color w:val="auto"/>
          <w:kern w:val="0"/>
          <w:sz w:val="24"/>
          <w:szCs w:val="24"/>
          <w:lang w:bidi="ar"/>
        </w:rPr>
        <w:t>16.2.1 承包人违约的情形</w:t>
      </w:r>
    </w:p>
    <w:p w14:paraId="7346191A">
      <w:pPr>
        <w:snapToGrid w:val="0"/>
        <w:spacing w:line="440" w:lineRule="exact"/>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除通用合同条款约定外，承包人违约的其他情形：</w:t>
      </w:r>
    </w:p>
    <w:p w14:paraId="7ECDDA58">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（1）承包人未按合同约定提交履约担保或质量保证金的；</w:t>
      </w:r>
    </w:p>
    <w:p w14:paraId="281A8766">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（2）承包人未能按期开工的；</w:t>
      </w:r>
    </w:p>
    <w:p w14:paraId="5032EC42">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（3）承包人未按投标文件或监理人的要求及时配备称职的主要管理人员，或承包人未按经审定的施工组织设计配备或更换关键施工设备的；</w:t>
      </w:r>
    </w:p>
    <w:p w14:paraId="75A26AD3">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（4）承包人有安全问题或有违反安全管理规章制度情况的；</w:t>
      </w:r>
    </w:p>
    <w:p w14:paraId="544D1DE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（5）承包人在缺陷责任期及保修期内，未能在合理期限对工程缺陷进行修复，或拒绝按发包人要求进行修复的；</w:t>
      </w:r>
    </w:p>
    <w:p w14:paraId="50931CA6">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（6）承包人拖欠其工人或所雇人员工资或报酬，导致其工人或所雇人员向有关部门投诉、控告、检举或以聚集等方式讨要工资或报酬的；</w:t>
      </w:r>
    </w:p>
    <w:p w14:paraId="7DB70BD1">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（7）承包人不配合发包人、监理人及发包人委托的工程造价咨询服务单位结算审核或承包人其他原因导致未按期完成工程竣工结算的；</w:t>
      </w:r>
    </w:p>
    <w:p w14:paraId="5A0832CE">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（8）承包人违反合同约定进行转包或违法分包的；</w:t>
      </w:r>
    </w:p>
    <w:p w14:paraId="1136A062">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（9）承包人未按合同约定移交全部或部分工作的；</w:t>
      </w:r>
    </w:p>
    <w:p w14:paraId="5F8BF29C">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（10）承包人未按合同约定购买保险的；</w:t>
      </w:r>
    </w:p>
    <w:p w14:paraId="2901F2E9">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（11）项目经理若有以下情形，属于承包人违约：</w:t>
      </w:r>
    </w:p>
    <w:p w14:paraId="6A00EC26">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1）项目经理不按承诺到岗的；</w:t>
      </w:r>
    </w:p>
    <w:p w14:paraId="46AAA75D">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2）每月在施工现场的天数少于约定天数的；</w:t>
      </w:r>
    </w:p>
    <w:p w14:paraId="3590BAD1">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3）承包人未提交项目经理劳动合同和社会保险证明的；</w:t>
      </w:r>
    </w:p>
    <w:p w14:paraId="78EA6306">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4）未经批准，擅自离开施工现场（超过约定时间）的；</w:t>
      </w:r>
    </w:p>
    <w:p w14:paraId="4E28EA48">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5）未经批准，擅自变更项目经理的；</w:t>
      </w:r>
    </w:p>
    <w:p w14:paraId="74C1CAA0">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6）按照渝建发〔2015〕35号文的要求，施工期间，项目经理因在一个记分周期内累计记分达到12分，被建设行政主管部门依法责令停止执业的；</w:t>
      </w:r>
    </w:p>
    <w:p w14:paraId="0CA33CF7">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7）发包人有正当理由认为项目经理不称职/不履职，且承包人在约定时间内不予更换的；</w:t>
      </w:r>
    </w:p>
    <w:p w14:paraId="0BA3561D">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8）其他双方约定的情形：</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3F390822">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（12）技术负责人若有以下情形，属于承包人违约：</w:t>
      </w:r>
    </w:p>
    <w:p w14:paraId="2159E134">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1）每月在施工现场的天数少于约定天数的；</w:t>
      </w:r>
    </w:p>
    <w:p w14:paraId="4793AC06">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2）承包人未提交技术负责人劳动合同和社会保险证明的；</w:t>
      </w:r>
    </w:p>
    <w:p w14:paraId="24FAFA6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3）未经批准，擅自离开施工现场（超过约定时间）的；</w:t>
      </w:r>
    </w:p>
    <w:p w14:paraId="71343DA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4）未经批准，擅自变更技术负责人的；</w:t>
      </w:r>
    </w:p>
    <w:p w14:paraId="7AEAD47D">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5）发包人有正当理由认为技术负责人不称职/不履职，且承包人在约定时间内不予更换的；</w:t>
      </w:r>
    </w:p>
    <w:p w14:paraId="764871A0">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6）其他双方约定的情形：</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40F11BFE">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（13）主要施工管理人员若有以下情形，属于承包人违约：</w:t>
      </w:r>
    </w:p>
    <w:p w14:paraId="0F4891B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1）承包人未提交主要管理人员劳动合同和社会保险证明的；</w:t>
      </w:r>
    </w:p>
    <w:p w14:paraId="0C1DC507">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2）未经批准，擅自离开施工现场（超过约定时间）的；</w:t>
      </w:r>
    </w:p>
    <w:p w14:paraId="715D6E49">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3）未经批准，擅自变更主要施工管理人员的；</w:t>
      </w:r>
    </w:p>
    <w:p w14:paraId="27874DF9">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4）发包人有正当理由认为主要施工管理人员不称职/不履职，且承包人在约定时间内不予更换的；</w:t>
      </w:r>
    </w:p>
    <w:p w14:paraId="2530D71D">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5）其他双方约定的情形：</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6CD29664">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（14）</w:t>
      </w:r>
      <w:r>
        <w:rPr>
          <w:rFonts w:hint="eastAsia" w:ascii="宋体" w:hAnsi="宋体" w:eastAsia="宋体" w:cs="宋体"/>
          <w:color w:val="auto"/>
          <w:kern w:val="0"/>
          <w:sz w:val="24"/>
          <w:szCs w:val="24"/>
          <w:u w:val="single"/>
          <w:lang w:bidi="ar"/>
        </w:rPr>
        <w:t xml:space="preserve">        。</w:t>
      </w:r>
    </w:p>
    <w:bookmarkEnd w:id="1044"/>
    <w:p w14:paraId="6263603D">
      <w:pPr>
        <w:adjustRightInd w:val="0"/>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16.2.2 承包人违约的责任</w:t>
      </w:r>
    </w:p>
    <w:p w14:paraId="3CCB012F">
      <w:pPr>
        <w:adjustRightInd w:val="0"/>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承包人违约责任的承担方式和计算方法：</w:t>
      </w:r>
    </w:p>
    <w:p w14:paraId="2336BCF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（1）承包人未按合同约定提交履约担保、质量保证金的违约责任：承包人应支付违约金，违约金的计算方法：每延误1天，承包人按</w:t>
      </w:r>
      <w:r>
        <w:rPr>
          <w:rFonts w:hint="eastAsia" w:ascii="宋体" w:hAnsi="宋体" w:eastAsia="宋体" w:cs="宋体"/>
          <w:color w:val="auto"/>
          <w:kern w:val="0"/>
          <w:sz w:val="24"/>
          <w:szCs w:val="24"/>
          <w:u w:val="single"/>
          <w:lang w:bidi="ar"/>
        </w:rPr>
        <w:t xml:space="preserve">  （5000～50000）元/天</w:t>
      </w:r>
      <w:r>
        <w:rPr>
          <w:rFonts w:hint="eastAsia" w:ascii="宋体" w:hAnsi="宋体" w:eastAsia="宋体" w:cs="宋体"/>
          <w:color w:val="auto"/>
          <w:kern w:val="0"/>
          <w:sz w:val="24"/>
          <w:szCs w:val="24"/>
          <w:lang w:bidi="ar"/>
        </w:rPr>
        <w:t>计算违约金，累计违约金上限：</w:t>
      </w:r>
      <w:r>
        <w:rPr>
          <w:rFonts w:hint="eastAsia" w:ascii="宋体" w:hAnsi="宋体" w:eastAsia="宋体" w:cs="宋体"/>
          <w:color w:val="auto"/>
          <w:kern w:val="0"/>
          <w:sz w:val="24"/>
          <w:szCs w:val="24"/>
          <w:u w:val="single"/>
          <w:lang w:bidi="ar"/>
        </w:rPr>
        <w:t xml:space="preserve">  万元（不超过签约合同价的3%）</w:t>
      </w:r>
      <w:r>
        <w:rPr>
          <w:rFonts w:hint="eastAsia" w:ascii="宋体" w:hAnsi="宋体" w:eastAsia="宋体" w:cs="宋体"/>
          <w:color w:val="auto"/>
          <w:kern w:val="0"/>
          <w:sz w:val="24"/>
          <w:szCs w:val="24"/>
          <w:lang w:val="zh-CN" w:bidi="ar"/>
        </w:rPr>
        <w:t>。</w:t>
      </w:r>
    </w:p>
    <w:p w14:paraId="0B81F445">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4"/>
          <w:szCs w:val="24"/>
          <w:u w:val="single"/>
          <w:lang w:bidi="ar"/>
        </w:rPr>
        <w:t xml:space="preserve">  （5～10）%</w:t>
      </w:r>
      <w:r>
        <w:rPr>
          <w:rFonts w:hint="eastAsia" w:ascii="宋体" w:hAnsi="宋体" w:eastAsia="宋体" w:cs="宋体"/>
          <w:color w:val="auto"/>
          <w:kern w:val="0"/>
          <w:sz w:val="24"/>
          <w:szCs w:val="24"/>
          <w:lang w:bidi="ar"/>
        </w:rPr>
        <w:t>支付违约金，违法转/分包商应在7天内撤离出场。</w:t>
      </w:r>
    </w:p>
    <w:p w14:paraId="2CF67A8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4"/>
          <w:szCs w:val="24"/>
          <w:u w:val="single"/>
          <w:lang w:bidi="ar"/>
        </w:rPr>
        <w:t xml:space="preserve">  （5～10）%</w:t>
      </w:r>
      <w:r>
        <w:rPr>
          <w:rFonts w:hint="eastAsia" w:ascii="宋体" w:hAnsi="宋体" w:eastAsia="宋体" w:cs="宋体"/>
          <w:color w:val="auto"/>
          <w:kern w:val="0"/>
          <w:sz w:val="24"/>
          <w:szCs w:val="24"/>
          <w:lang w:bidi="ar"/>
        </w:rPr>
        <w:t>支付违约金。</w:t>
      </w:r>
    </w:p>
    <w:p w14:paraId="2D9CA707">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4"/>
          <w:szCs w:val="24"/>
          <w:u w:val="single"/>
          <w:lang w:bidi="ar"/>
        </w:rPr>
        <w:t xml:space="preserve">  （5～10）%</w:t>
      </w:r>
      <w:r>
        <w:rPr>
          <w:rFonts w:hint="eastAsia" w:ascii="宋体" w:hAnsi="宋体" w:eastAsia="宋体" w:cs="宋体"/>
          <w:color w:val="auto"/>
          <w:kern w:val="0"/>
          <w:sz w:val="24"/>
          <w:szCs w:val="24"/>
          <w:lang w:bidi="ar"/>
        </w:rPr>
        <w:t>支付违约金。</w:t>
      </w:r>
    </w:p>
    <w:p w14:paraId="28CB881F">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4"/>
          <w:szCs w:val="24"/>
          <w:u w:val="single"/>
          <w:lang w:bidi="ar"/>
        </w:rPr>
        <w:t xml:space="preserve">  （1～5）%</w:t>
      </w:r>
      <w:r>
        <w:rPr>
          <w:rFonts w:hint="eastAsia" w:ascii="宋体" w:hAnsi="宋体" w:eastAsia="宋体" w:cs="宋体"/>
          <w:color w:val="auto"/>
          <w:kern w:val="0"/>
          <w:sz w:val="24"/>
          <w:szCs w:val="24"/>
          <w:lang w:bidi="ar"/>
        </w:rPr>
        <w:t>支付违约金。</w:t>
      </w:r>
    </w:p>
    <w:p w14:paraId="0ED90F6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（6）因承包人原因造成工期延误的违约承担方式和计算方法：由承包人承担由此增加的费用，由此导致工期延误的，工期不予顺延；逾期竣工违约金的计算方法：每延误1天，承包人按</w:t>
      </w:r>
      <w:r>
        <w:rPr>
          <w:rFonts w:hint="eastAsia" w:ascii="宋体" w:hAnsi="宋体" w:eastAsia="宋体" w:cs="宋体"/>
          <w:color w:val="auto"/>
          <w:kern w:val="0"/>
          <w:sz w:val="24"/>
          <w:szCs w:val="24"/>
          <w:u w:val="single"/>
          <w:lang w:bidi="ar"/>
        </w:rPr>
        <w:t xml:space="preserve">  （5000～50000）元/天</w:t>
      </w:r>
      <w:r>
        <w:rPr>
          <w:rFonts w:hint="eastAsia" w:ascii="宋体" w:hAnsi="宋体" w:eastAsia="宋体" w:cs="宋体"/>
          <w:color w:val="auto"/>
          <w:kern w:val="0"/>
          <w:sz w:val="24"/>
          <w:szCs w:val="24"/>
          <w:lang w:bidi="ar"/>
        </w:rPr>
        <w:t>计算逾期竣工违约金，累计违约金上限：</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万元（不超过签约合同价的3%）</w:t>
      </w:r>
      <w:r>
        <w:rPr>
          <w:rFonts w:hint="eastAsia" w:ascii="宋体" w:hAnsi="宋体" w:eastAsia="宋体" w:cs="宋体"/>
          <w:color w:val="auto"/>
          <w:kern w:val="0"/>
          <w:sz w:val="24"/>
          <w:szCs w:val="24"/>
          <w:lang w:val="zh-CN" w:bidi="ar"/>
        </w:rPr>
        <w:t>；</w:t>
      </w:r>
      <w:r>
        <w:rPr>
          <w:rFonts w:hint="eastAsia" w:ascii="宋体" w:hAnsi="宋体" w:eastAsia="宋体" w:cs="宋体"/>
          <w:color w:val="auto"/>
          <w:kern w:val="0"/>
          <w:sz w:val="24"/>
          <w:szCs w:val="24"/>
          <w:lang w:bidi="ar"/>
        </w:rPr>
        <w:t>承包人支付逾期竣工违约金后，不免除承包人继续完成工程及修补缺陷的义务。若延误工期超出约定工期30日历天，采购人有权取消授标或立即终止合同，同时采购人将没收成交供应商的投标保证金或履约保证金，只对已完成合格工程支付70%工程款，并要求退场。</w:t>
      </w:r>
    </w:p>
    <w:p w14:paraId="477774D1">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4"/>
          <w:szCs w:val="24"/>
          <w:u w:val="single"/>
          <w:lang w:bidi="ar"/>
        </w:rPr>
        <w:t xml:space="preserve">  （0.5～2）%</w:t>
      </w:r>
      <w:r>
        <w:rPr>
          <w:rFonts w:hint="eastAsia" w:ascii="宋体" w:hAnsi="宋体" w:eastAsia="宋体" w:cs="宋体"/>
          <w:color w:val="auto"/>
          <w:kern w:val="0"/>
          <w:sz w:val="24"/>
          <w:szCs w:val="24"/>
          <w:lang w:bidi="ar"/>
        </w:rPr>
        <w:t>支付违约金。</w:t>
      </w:r>
    </w:p>
    <w:p w14:paraId="42B1030E">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（8）承包人明确表示或者以其行为表明不履行合同主要义务的违约责任：按签约合同价的</w:t>
      </w:r>
      <w:r>
        <w:rPr>
          <w:rFonts w:hint="eastAsia" w:ascii="宋体" w:hAnsi="宋体" w:eastAsia="宋体" w:cs="宋体"/>
          <w:color w:val="auto"/>
          <w:kern w:val="0"/>
          <w:sz w:val="24"/>
          <w:szCs w:val="24"/>
          <w:u w:val="single"/>
          <w:lang w:bidi="ar"/>
        </w:rPr>
        <w:t xml:space="preserve">  （5～10）%</w:t>
      </w:r>
      <w:r>
        <w:rPr>
          <w:rFonts w:hint="eastAsia" w:ascii="宋体" w:hAnsi="宋体" w:eastAsia="宋体" w:cs="宋体"/>
          <w:color w:val="auto"/>
          <w:kern w:val="0"/>
          <w:sz w:val="24"/>
          <w:szCs w:val="24"/>
          <w:lang w:bidi="ar"/>
        </w:rPr>
        <w:t>支付违约金。</w:t>
      </w:r>
    </w:p>
    <w:p w14:paraId="4E7E3C2F">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（9）承包人未能按照合同约定履行其他义务的违约责任：按</w:t>
      </w:r>
      <w:r>
        <w:rPr>
          <w:rFonts w:hint="eastAsia" w:ascii="宋体" w:hAnsi="宋体" w:eastAsia="宋体" w:cs="宋体"/>
          <w:color w:val="auto"/>
          <w:kern w:val="0"/>
          <w:sz w:val="24"/>
          <w:szCs w:val="24"/>
          <w:u w:val="single"/>
          <w:lang w:bidi="ar"/>
        </w:rPr>
        <w:t>（500～5000）元/次</w:t>
      </w:r>
      <w:r>
        <w:rPr>
          <w:rFonts w:hint="eastAsia" w:ascii="宋体" w:hAnsi="宋体" w:eastAsia="宋体" w:cs="宋体"/>
          <w:color w:val="auto"/>
          <w:kern w:val="0"/>
          <w:sz w:val="24"/>
          <w:szCs w:val="24"/>
          <w:lang w:bidi="ar"/>
        </w:rPr>
        <w:t>支付违约金。</w:t>
      </w:r>
    </w:p>
    <w:p w14:paraId="452D24FC">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（10）承包人未能按期开工的违约责任：按合同价</w:t>
      </w:r>
      <w:r>
        <w:rPr>
          <w:rFonts w:hint="eastAsia" w:ascii="宋体" w:hAnsi="宋体" w:eastAsia="宋体" w:cs="宋体"/>
          <w:color w:val="auto"/>
          <w:kern w:val="0"/>
          <w:sz w:val="24"/>
          <w:szCs w:val="24"/>
          <w:u w:val="single"/>
          <w:lang w:bidi="ar"/>
        </w:rPr>
        <w:t>0.2‰/天</w:t>
      </w:r>
      <w:r>
        <w:rPr>
          <w:rFonts w:hint="eastAsia" w:ascii="宋体" w:hAnsi="宋体" w:eastAsia="宋体" w:cs="宋体"/>
          <w:color w:val="auto"/>
          <w:kern w:val="0"/>
          <w:sz w:val="24"/>
          <w:szCs w:val="24"/>
          <w:lang w:bidi="ar"/>
        </w:rPr>
        <w:t>支付违约金，本项违约金累计限额为签约合同价的</w:t>
      </w:r>
      <w:r>
        <w:rPr>
          <w:rFonts w:hint="eastAsia" w:ascii="宋体" w:hAnsi="宋体" w:eastAsia="宋体" w:cs="宋体"/>
          <w:color w:val="auto"/>
          <w:kern w:val="0"/>
          <w:sz w:val="24"/>
          <w:szCs w:val="24"/>
          <w:u w:val="single"/>
          <w:lang w:bidi="ar"/>
        </w:rPr>
        <w:t xml:space="preserve"> 1 %</w:t>
      </w:r>
      <w:r>
        <w:rPr>
          <w:rFonts w:hint="eastAsia" w:ascii="宋体" w:hAnsi="宋体" w:eastAsia="宋体" w:cs="宋体"/>
          <w:color w:val="auto"/>
          <w:kern w:val="0"/>
          <w:sz w:val="24"/>
          <w:szCs w:val="24"/>
          <w:lang w:bidi="ar"/>
        </w:rPr>
        <w:t>。</w:t>
      </w:r>
    </w:p>
    <w:p w14:paraId="20ED683D">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（11）承包人未按经审定的施工组织设计配备或更换关键施工设备的违约责任：按</w:t>
      </w:r>
      <w:r>
        <w:rPr>
          <w:rFonts w:hint="eastAsia" w:ascii="宋体" w:hAnsi="宋体" w:eastAsia="宋体" w:cs="宋体"/>
          <w:color w:val="auto"/>
          <w:kern w:val="0"/>
          <w:sz w:val="24"/>
          <w:szCs w:val="24"/>
          <w:u w:val="single"/>
          <w:lang w:bidi="ar"/>
        </w:rPr>
        <w:t xml:space="preserve">  （5000～50000）元/台·次</w:t>
      </w:r>
      <w:r>
        <w:rPr>
          <w:rFonts w:hint="eastAsia" w:ascii="宋体" w:hAnsi="宋体" w:eastAsia="宋体" w:cs="宋体"/>
          <w:color w:val="auto"/>
          <w:kern w:val="0"/>
          <w:sz w:val="24"/>
          <w:szCs w:val="24"/>
          <w:lang w:bidi="ar"/>
        </w:rPr>
        <w:t>支付违约金。</w:t>
      </w:r>
    </w:p>
    <w:p w14:paraId="69EA845F">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（12）承包人有安全问题或有违反安全管理规章制度情况的违约责任：根据具体情节，按签约合同价的</w:t>
      </w:r>
      <w:r>
        <w:rPr>
          <w:rFonts w:hint="eastAsia" w:ascii="宋体" w:hAnsi="宋体" w:eastAsia="宋体" w:cs="宋体"/>
          <w:color w:val="auto"/>
          <w:kern w:val="0"/>
          <w:sz w:val="24"/>
          <w:szCs w:val="24"/>
          <w:u w:val="single"/>
          <w:lang w:bidi="ar"/>
        </w:rPr>
        <w:t>0.5‰～4‰/次</w:t>
      </w:r>
      <w:r>
        <w:rPr>
          <w:rFonts w:hint="eastAsia" w:ascii="宋体" w:hAnsi="宋体" w:eastAsia="宋体" w:cs="宋体"/>
          <w:color w:val="auto"/>
          <w:kern w:val="0"/>
          <w:sz w:val="24"/>
          <w:szCs w:val="24"/>
          <w:lang w:bidi="ar"/>
        </w:rPr>
        <w:t>支付违约金（累计不超过签约合同价的1%，详见附件6安全管理协议）。</w:t>
      </w:r>
    </w:p>
    <w:p w14:paraId="3883D31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4"/>
          <w:szCs w:val="24"/>
          <w:u w:val="single"/>
          <w:lang w:bidi="ar"/>
        </w:rPr>
        <w:t xml:space="preserve">  （50000～200000）元/次</w:t>
      </w:r>
      <w:r>
        <w:rPr>
          <w:rFonts w:hint="eastAsia" w:ascii="宋体" w:hAnsi="宋体" w:eastAsia="宋体" w:cs="宋体"/>
          <w:color w:val="auto"/>
          <w:kern w:val="0"/>
          <w:sz w:val="24"/>
          <w:szCs w:val="24"/>
          <w:lang w:bidi="ar"/>
        </w:rPr>
        <w:t>支付违约金。</w:t>
      </w:r>
    </w:p>
    <w:p w14:paraId="61B514D3">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（14）承包人不配合发包人、监理人及发包人委托的工程造价咨询服务单位结算审核的违约责任：根据具体情节，按</w:t>
      </w:r>
      <w:r>
        <w:rPr>
          <w:rFonts w:hint="eastAsia" w:ascii="宋体" w:hAnsi="宋体" w:eastAsia="宋体" w:cs="宋体"/>
          <w:color w:val="auto"/>
          <w:kern w:val="0"/>
          <w:sz w:val="24"/>
          <w:szCs w:val="24"/>
          <w:u w:val="single"/>
          <w:lang w:bidi="ar"/>
        </w:rPr>
        <w:t xml:space="preserve">  （10000～100000）元/次</w:t>
      </w:r>
      <w:r>
        <w:rPr>
          <w:rFonts w:hint="eastAsia" w:ascii="宋体" w:hAnsi="宋体" w:eastAsia="宋体" w:cs="宋体"/>
          <w:color w:val="auto"/>
          <w:kern w:val="0"/>
          <w:sz w:val="24"/>
          <w:szCs w:val="24"/>
          <w:lang w:bidi="ar"/>
        </w:rPr>
        <w:t>支付违约金。</w:t>
      </w:r>
    </w:p>
    <w:p w14:paraId="79CA1C83">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4"/>
          <w:szCs w:val="24"/>
          <w:u w:val="single"/>
          <w:lang w:bidi="ar"/>
        </w:rPr>
        <w:t>0.5～1‰</w:t>
      </w:r>
      <w:r>
        <w:rPr>
          <w:rFonts w:hint="eastAsia" w:ascii="宋体" w:hAnsi="宋体" w:eastAsia="宋体" w:cs="宋体"/>
          <w:color w:val="auto"/>
          <w:kern w:val="0"/>
          <w:sz w:val="24"/>
          <w:szCs w:val="24"/>
          <w:lang w:bidi="ar"/>
        </w:rPr>
        <w:t>支付违约金。</w:t>
      </w:r>
    </w:p>
    <w:p w14:paraId="365FA6D2">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（16）承包人未按合同约定购买保险的违约责任：除按18.6.2项约定执行外，每延迟1天，按</w:t>
      </w:r>
      <w:r>
        <w:rPr>
          <w:rFonts w:hint="eastAsia" w:ascii="宋体" w:hAnsi="宋体" w:eastAsia="宋体" w:cs="宋体"/>
          <w:color w:val="auto"/>
          <w:sz w:val="24"/>
          <w:szCs w:val="24"/>
          <w:u w:val="single"/>
          <w:lang w:bidi="ar"/>
        </w:rPr>
        <w:t>500元/天</w:t>
      </w:r>
      <w:r>
        <w:rPr>
          <w:rFonts w:hint="eastAsia" w:ascii="宋体" w:hAnsi="宋体" w:eastAsia="宋体" w:cs="宋体"/>
          <w:color w:val="auto"/>
          <w:sz w:val="24"/>
          <w:szCs w:val="24"/>
          <w:lang w:bidi="ar"/>
        </w:rPr>
        <w:t>支付违约金。</w:t>
      </w:r>
    </w:p>
    <w:p w14:paraId="6E2316E1">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（17）发生第16.2.1项（11）目、16.2.1项（12）目、16.2.1项（13）目违约情形的违约责任：除承担由此增加的费用和工期延误的责任，承包人应向发包人支付违约金：</w:t>
      </w:r>
    </w:p>
    <w:p w14:paraId="303A255D">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1）项目经理违约承担方式和计算方法：对于第16.2.1项（11）目的情形，每发现一次，根据具体情节，按</w:t>
      </w:r>
      <w:r>
        <w:rPr>
          <w:rFonts w:hint="eastAsia" w:ascii="宋体" w:hAnsi="宋体" w:eastAsia="宋体" w:cs="宋体"/>
          <w:color w:val="auto"/>
          <w:kern w:val="0"/>
          <w:sz w:val="24"/>
          <w:szCs w:val="24"/>
          <w:u w:val="single"/>
          <w:lang w:bidi="ar"/>
        </w:rPr>
        <w:t>1000～30000元/天·次</w:t>
      </w:r>
      <w:r>
        <w:rPr>
          <w:rFonts w:hint="eastAsia" w:ascii="宋体" w:hAnsi="宋体" w:eastAsia="宋体" w:cs="宋体"/>
          <w:color w:val="auto"/>
          <w:kern w:val="0"/>
          <w:sz w:val="24"/>
          <w:szCs w:val="24"/>
          <w:lang w:bidi="ar"/>
        </w:rPr>
        <w:t>计算违约金；项目经理不按承诺到岗的（3.2.3项约定的情形除外），按履约保证金的</w:t>
      </w:r>
      <w:r>
        <w:rPr>
          <w:rFonts w:hint="eastAsia" w:ascii="宋体" w:hAnsi="宋体" w:eastAsia="宋体" w:cs="宋体"/>
          <w:color w:val="auto"/>
          <w:kern w:val="0"/>
          <w:sz w:val="24"/>
          <w:szCs w:val="24"/>
          <w:u w:val="single"/>
          <w:lang w:bidi="ar"/>
        </w:rPr>
        <w:t>（50～100）%</w:t>
      </w:r>
      <w:r>
        <w:rPr>
          <w:rFonts w:hint="eastAsia" w:ascii="宋体" w:hAnsi="宋体" w:eastAsia="宋体" w:cs="宋体"/>
          <w:color w:val="auto"/>
          <w:kern w:val="0"/>
          <w:sz w:val="24"/>
          <w:szCs w:val="24"/>
          <w:lang w:bidi="ar"/>
        </w:rPr>
        <w:t>支付违约金，并解除合同；擅自更换项目经理的，按签约合同价的</w:t>
      </w:r>
      <w:r>
        <w:rPr>
          <w:rFonts w:hint="eastAsia" w:ascii="宋体" w:hAnsi="宋体" w:eastAsia="宋体" w:cs="宋体"/>
          <w:color w:val="auto"/>
          <w:kern w:val="0"/>
          <w:sz w:val="24"/>
          <w:szCs w:val="24"/>
          <w:u w:val="single"/>
          <w:lang w:bidi="ar"/>
        </w:rPr>
        <w:t>（0.5～3）%/人·次</w:t>
      </w:r>
      <w:r>
        <w:rPr>
          <w:rFonts w:hint="eastAsia" w:ascii="宋体" w:hAnsi="宋体" w:eastAsia="宋体" w:cs="宋体"/>
          <w:color w:val="auto"/>
          <w:kern w:val="0"/>
          <w:sz w:val="24"/>
          <w:szCs w:val="24"/>
          <w:lang w:bidi="ar"/>
        </w:rPr>
        <w:t>支付违约金，每次不低于</w:t>
      </w:r>
      <w:r>
        <w:rPr>
          <w:rFonts w:hint="eastAsia" w:ascii="宋体" w:hAnsi="宋体" w:eastAsia="宋体" w:cs="宋体"/>
          <w:color w:val="auto"/>
          <w:kern w:val="0"/>
          <w:sz w:val="24"/>
          <w:szCs w:val="24"/>
          <w:u w:val="single"/>
          <w:lang w:bidi="ar"/>
        </w:rPr>
        <w:t>20万</w:t>
      </w:r>
      <w:r>
        <w:rPr>
          <w:rFonts w:hint="eastAsia" w:ascii="宋体" w:hAnsi="宋体" w:eastAsia="宋体" w:cs="宋体"/>
          <w:color w:val="auto"/>
          <w:kern w:val="0"/>
          <w:sz w:val="24"/>
          <w:szCs w:val="24"/>
          <w:lang w:bidi="ar"/>
        </w:rPr>
        <w:t>，累计不超过</w:t>
      </w:r>
      <w:r>
        <w:rPr>
          <w:rFonts w:hint="eastAsia" w:ascii="宋体" w:hAnsi="宋体" w:eastAsia="宋体" w:cs="宋体"/>
          <w:color w:val="auto"/>
          <w:kern w:val="0"/>
          <w:sz w:val="24"/>
          <w:szCs w:val="24"/>
          <w:u w:val="single"/>
          <w:lang w:bidi="ar"/>
        </w:rPr>
        <w:t>200万</w:t>
      </w:r>
      <w:r>
        <w:rPr>
          <w:rFonts w:hint="eastAsia" w:ascii="宋体" w:hAnsi="宋体" w:eastAsia="宋体" w:cs="宋体"/>
          <w:color w:val="auto"/>
          <w:kern w:val="0"/>
          <w:sz w:val="24"/>
          <w:szCs w:val="24"/>
          <w:lang w:bidi="ar"/>
        </w:rPr>
        <w:t>；项目经理被责令停止执业的，按签约合同价的</w:t>
      </w:r>
      <w:r>
        <w:rPr>
          <w:rFonts w:hint="eastAsia" w:ascii="宋体" w:hAnsi="宋体" w:eastAsia="宋体" w:cs="宋体"/>
          <w:color w:val="auto"/>
          <w:kern w:val="0"/>
          <w:sz w:val="24"/>
          <w:szCs w:val="24"/>
          <w:u w:val="single"/>
          <w:lang w:bidi="ar"/>
        </w:rPr>
        <w:t>（0.5～3）%/人·次</w:t>
      </w:r>
      <w:r>
        <w:rPr>
          <w:rFonts w:hint="eastAsia" w:ascii="宋体" w:hAnsi="宋体" w:eastAsia="宋体" w:cs="宋体"/>
          <w:color w:val="auto"/>
          <w:kern w:val="0"/>
          <w:sz w:val="24"/>
          <w:szCs w:val="24"/>
          <w:lang w:bidi="ar"/>
        </w:rPr>
        <w:t>支付违约金，每次不低于</w:t>
      </w:r>
      <w:r>
        <w:rPr>
          <w:rFonts w:hint="eastAsia" w:ascii="宋体" w:hAnsi="宋体" w:eastAsia="宋体" w:cs="宋体"/>
          <w:color w:val="auto"/>
          <w:kern w:val="0"/>
          <w:sz w:val="24"/>
          <w:szCs w:val="24"/>
          <w:u w:val="single"/>
          <w:lang w:bidi="ar"/>
        </w:rPr>
        <w:t>20万</w:t>
      </w:r>
      <w:r>
        <w:rPr>
          <w:rFonts w:hint="eastAsia" w:ascii="宋体" w:hAnsi="宋体" w:eastAsia="宋体" w:cs="宋体"/>
          <w:color w:val="auto"/>
          <w:kern w:val="0"/>
          <w:sz w:val="24"/>
          <w:szCs w:val="24"/>
          <w:lang w:bidi="ar"/>
        </w:rPr>
        <w:t>，累计不超过</w:t>
      </w:r>
      <w:r>
        <w:rPr>
          <w:rFonts w:hint="eastAsia" w:ascii="宋体" w:hAnsi="宋体" w:eastAsia="宋体" w:cs="宋体"/>
          <w:color w:val="auto"/>
          <w:kern w:val="0"/>
          <w:sz w:val="24"/>
          <w:szCs w:val="24"/>
          <w:u w:val="single"/>
          <w:lang w:bidi="ar"/>
        </w:rPr>
        <w:t>200万</w:t>
      </w:r>
      <w:r>
        <w:rPr>
          <w:rFonts w:hint="eastAsia" w:ascii="宋体" w:hAnsi="宋体" w:eastAsia="宋体" w:cs="宋体"/>
          <w:color w:val="auto"/>
          <w:kern w:val="0"/>
          <w:sz w:val="24"/>
          <w:szCs w:val="24"/>
          <w:lang w:bidi="ar"/>
        </w:rPr>
        <w:t>；项目经理被责令停止执业的，按签约合同价的</w:t>
      </w:r>
      <w:r>
        <w:rPr>
          <w:rFonts w:hint="eastAsia" w:ascii="宋体" w:hAnsi="宋体" w:eastAsia="宋体" w:cs="宋体"/>
          <w:color w:val="auto"/>
          <w:kern w:val="0"/>
          <w:sz w:val="24"/>
          <w:szCs w:val="24"/>
          <w:u w:val="single"/>
          <w:lang w:bidi="ar"/>
        </w:rPr>
        <w:t>（0.5～3）%/人•次</w:t>
      </w:r>
      <w:r>
        <w:rPr>
          <w:rFonts w:hint="eastAsia" w:ascii="宋体" w:hAnsi="宋体" w:eastAsia="宋体" w:cs="宋体"/>
          <w:color w:val="auto"/>
          <w:kern w:val="0"/>
          <w:sz w:val="24"/>
          <w:szCs w:val="24"/>
          <w:lang w:bidi="ar"/>
        </w:rPr>
        <w:t>支付违约金，每次不低于</w:t>
      </w:r>
      <w:r>
        <w:rPr>
          <w:rFonts w:hint="eastAsia" w:ascii="宋体" w:hAnsi="宋体" w:eastAsia="宋体" w:cs="宋体"/>
          <w:color w:val="auto"/>
          <w:kern w:val="0"/>
          <w:sz w:val="24"/>
          <w:szCs w:val="24"/>
          <w:u w:val="single"/>
          <w:lang w:bidi="ar"/>
        </w:rPr>
        <w:t>20</w:t>
      </w:r>
      <w:r>
        <w:rPr>
          <w:rFonts w:hint="eastAsia" w:ascii="宋体" w:hAnsi="宋体" w:eastAsia="宋体" w:cs="宋体"/>
          <w:color w:val="auto"/>
          <w:kern w:val="0"/>
          <w:sz w:val="24"/>
          <w:szCs w:val="24"/>
          <w:lang w:bidi="ar"/>
        </w:rPr>
        <w:t>万，累计不超过</w:t>
      </w:r>
      <w:r>
        <w:rPr>
          <w:rFonts w:hint="eastAsia" w:ascii="宋体" w:hAnsi="宋体" w:eastAsia="宋体" w:cs="宋体"/>
          <w:color w:val="auto"/>
          <w:kern w:val="0"/>
          <w:sz w:val="24"/>
          <w:szCs w:val="24"/>
          <w:u w:val="single"/>
          <w:lang w:bidi="ar"/>
        </w:rPr>
        <w:t>200</w:t>
      </w:r>
      <w:r>
        <w:rPr>
          <w:rFonts w:hint="eastAsia" w:ascii="宋体" w:hAnsi="宋体" w:eastAsia="宋体" w:cs="宋体"/>
          <w:color w:val="auto"/>
          <w:kern w:val="0"/>
          <w:sz w:val="24"/>
          <w:szCs w:val="24"/>
          <w:lang w:bidi="ar"/>
        </w:rPr>
        <w:t>万。</w:t>
      </w:r>
    </w:p>
    <w:p w14:paraId="0C0F28BF">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2）主要技术负责人违约承担方式和计算方法：对于第16.2.1项（12）目的六种情形，每发现一次，根据具体情节，按</w:t>
      </w:r>
      <w:r>
        <w:rPr>
          <w:rFonts w:hint="eastAsia" w:ascii="宋体" w:hAnsi="宋体" w:eastAsia="宋体" w:cs="宋体"/>
          <w:color w:val="auto"/>
          <w:kern w:val="0"/>
          <w:sz w:val="24"/>
          <w:szCs w:val="24"/>
          <w:u w:val="single"/>
          <w:lang w:bidi="ar"/>
        </w:rPr>
        <w:t>1000～30000元/天·次</w:t>
      </w:r>
      <w:r>
        <w:rPr>
          <w:rFonts w:hint="eastAsia" w:ascii="宋体" w:hAnsi="宋体" w:eastAsia="宋体" w:cs="宋体"/>
          <w:color w:val="auto"/>
          <w:kern w:val="0"/>
          <w:sz w:val="24"/>
          <w:szCs w:val="24"/>
          <w:lang w:bidi="ar"/>
        </w:rPr>
        <w:t>计算违约金；擅自更换主要技术负责人的，按签约合同价的</w:t>
      </w:r>
      <w:r>
        <w:rPr>
          <w:rFonts w:hint="eastAsia" w:ascii="宋体" w:hAnsi="宋体" w:eastAsia="宋体" w:cs="宋体"/>
          <w:color w:val="auto"/>
          <w:kern w:val="0"/>
          <w:sz w:val="24"/>
          <w:szCs w:val="24"/>
          <w:u w:val="single"/>
          <w:lang w:bidi="ar"/>
        </w:rPr>
        <w:t>（0.5～2）%/人·次</w:t>
      </w:r>
      <w:r>
        <w:rPr>
          <w:rFonts w:hint="eastAsia" w:ascii="宋体" w:hAnsi="宋体" w:eastAsia="宋体" w:cs="宋体"/>
          <w:color w:val="auto"/>
          <w:kern w:val="0"/>
          <w:sz w:val="24"/>
          <w:szCs w:val="24"/>
          <w:lang w:bidi="ar"/>
        </w:rPr>
        <w:t>支付违约金，每次不低于</w:t>
      </w:r>
      <w:r>
        <w:rPr>
          <w:rFonts w:hint="eastAsia" w:ascii="宋体" w:hAnsi="宋体" w:eastAsia="宋体" w:cs="宋体"/>
          <w:color w:val="auto"/>
          <w:kern w:val="0"/>
          <w:sz w:val="24"/>
          <w:szCs w:val="24"/>
          <w:u w:val="single"/>
          <w:lang w:bidi="ar"/>
        </w:rPr>
        <w:t>10万</w:t>
      </w:r>
      <w:r>
        <w:rPr>
          <w:rFonts w:hint="eastAsia" w:ascii="宋体" w:hAnsi="宋体" w:eastAsia="宋体" w:cs="宋体"/>
          <w:color w:val="auto"/>
          <w:kern w:val="0"/>
          <w:sz w:val="24"/>
          <w:szCs w:val="24"/>
          <w:lang w:bidi="ar"/>
        </w:rPr>
        <w:t>，累计不超过</w:t>
      </w:r>
      <w:r>
        <w:rPr>
          <w:rFonts w:hint="eastAsia" w:ascii="宋体" w:hAnsi="宋体" w:eastAsia="宋体" w:cs="宋体"/>
          <w:color w:val="auto"/>
          <w:kern w:val="0"/>
          <w:sz w:val="24"/>
          <w:szCs w:val="24"/>
          <w:u w:val="single"/>
          <w:lang w:bidi="ar"/>
        </w:rPr>
        <w:t>100万</w:t>
      </w:r>
      <w:r>
        <w:rPr>
          <w:rFonts w:hint="eastAsia" w:ascii="宋体" w:hAnsi="宋体" w:eastAsia="宋体" w:cs="宋体"/>
          <w:color w:val="auto"/>
          <w:kern w:val="0"/>
          <w:sz w:val="24"/>
          <w:szCs w:val="24"/>
          <w:lang w:bidi="ar"/>
        </w:rPr>
        <w:t>。</w:t>
      </w:r>
    </w:p>
    <w:p w14:paraId="654539A0">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3）主要施工管理人员违约承担方式和计算方法：对于第16.2.1项（13）目的五种情形，每发现一次，根据具体情节，按</w:t>
      </w:r>
      <w:r>
        <w:rPr>
          <w:rFonts w:hint="eastAsia" w:ascii="宋体" w:hAnsi="宋体" w:eastAsia="宋体" w:cs="宋体"/>
          <w:color w:val="auto"/>
          <w:kern w:val="0"/>
          <w:sz w:val="24"/>
          <w:szCs w:val="24"/>
          <w:u w:val="single"/>
          <w:lang w:bidi="ar"/>
        </w:rPr>
        <w:t>500～10000元/天·次</w:t>
      </w:r>
      <w:r>
        <w:rPr>
          <w:rFonts w:hint="eastAsia" w:ascii="宋体" w:hAnsi="宋体" w:eastAsia="宋体" w:cs="宋体"/>
          <w:color w:val="auto"/>
          <w:kern w:val="0"/>
          <w:sz w:val="24"/>
          <w:szCs w:val="24"/>
          <w:lang w:bidi="ar"/>
        </w:rPr>
        <w:t>计算违约金。</w:t>
      </w:r>
    </w:p>
    <w:p w14:paraId="3A4BC263">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（18）</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bookmarkStart w:id="1045" w:name="_Hlk524380347"/>
    </w:p>
    <w:p w14:paraId="05D96E86">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宋体"/>
          <w:color w:val="auto"/>
          <w:kern w:val="0"/>
          <w:sz w:val="24"/>
          <w:szCs w:val="24"/>
          <w:lang w:bidi="ar"/>
        </w:rPr>
        <w:t>16.2.2项第（1）目承担违约责任，并从应付或到期应付给承包人的任何款项中或采用其他方法，扣除该违约金。</w:t>
      </w:r>
    </w:p>
    <w:p w14:paraId="48E06854">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宋体"/>
          <w:color w:val="auto"/>
          <w:kern w:val="0"/>
          <w:sz w:val="24"/>
          <w:szCs w:val="24"/>
          <w:lang w:bidi="ar"/>
        </w:rPr>
        <w:t>，承担由此给发包人造成的经济损失。</w:t>
      </w:r>
    </w:p>
    <w:p w14:paraId="68D3AC2B">
      <w:pPr>
        <w:snapToGrid w:val="0"/>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承包人承担承包范围的工程质量、安全、环保责任，因承包人原因引起的质量、安全、环保等事故由承包人承担相应的法律后果。</w:t>
      </w:r>
    </w:p>
    <w:bookmarkEnd w:id="1045"/>
    <w:p w14:paraId="1B749749">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16.2.3 因承包人违约解除合同</w:t>
      </w:r>
    </w:p>
    <w:p w14:paraId="338D0902">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因承包人违约并致使合同目的不能实现的，发包人有权解除合同：</w:t>
      </w:r>
    </w:p>
    <w:p w14:paraId="17E0898F">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（1）未按合同约定延迟提供履约担保、质量保证金超过14天的；</w:t>
      </w:r>
    </w:p>
    <w:p w14:paraId="465058C8">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（2）未按合同约定购买保险且经催告后超过56天的；</w:t>
      </w:r>
    </w:p>
    <w:p w14:paraId="6FF3C8D5">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（3）因承包人原因导致开工时间累计延误超过56天的；</w:t>
      </w:r>
    </w:p>
    <w:p w14:paraId="306C6361">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（4）因承包人原因导致工期延误超过30天的；</w:t>
      </w:r>
    </w:p>
    <w:p w14:paraId="46D42F16">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（5）发生第21.2款〔退出机制〕约定的情形的；</w:t>
      </w:r>
    </w:p>
    <w:p w14:paraId="3B375594">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（6）监理人发出整改通知后，承包人在监理人限定的期限内仍不纠正违约行为的；</w:t>
      </w:r>
    </w:p>
    <w:p w14:paraId="7CB480BB">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（7）承包人进入清算或者严重资不抵债且无法履行合同的；</w:t>
      </w:r>
    </w:p>
    <w:p w14:paraId="15A320A6">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（8）违反适用法律而被相关政府部门依法吊销营业执照、责令停业、清算或宣布破产、责令关闭的；</w:t>
      </w:r>
    </w:p>
    <w:p w14:paraId="7D653C3A">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（9）承包人未履行合同项下的义务构成对合同的实质性违约，并且在收到发包人要求说明其违约并予以补救的通知后56天内仍未能补救该实质性违约的；</w:t>
      </w:r>
    </w:p>
    <w:p w14:paraId="225A1ADE">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（10）合</w:t>
      </w:r>
      <w:r>
        <w:rPr>
          <w:rFonts w:hint="eastAsia" w:ascii="宋体" w:hAnsi="宋体" w:eastAsia="宋体" w:cs="宋体"/>
          <w:color w:val="auto"/>
          <w:kern w:val="0"/>
          <w:sz w:val="24"/>
          <w:szCs w:val="24"/>
          <w:u w:val="single"/>
          <w:lang w:bidi="ar"/>
        </w:rPr>
        <w:t>同约定的发包人有权解除合同的其他情形</w:t>
      </w:r>
      <w:r>
        <w:rPr>
          <w:rFonts w:hint="eastAsia" w:ascii="宋体" w:hAnsi="宋体" w:eastAsia="宋体" w:cs="宋体"/>
          <w:color w:val="auto"/>
          <w:kern w:val="0"/>
          <w:sz w:val="24"/>
          <w:szCs w:val="24"/>
          <w:lang w:bidi="ar"/>
        </w:rPr>
        <w:t>。</w:t>
      </w:r>
    </w:p>
    <w:p w14:paraId="3057A34B">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16.2.4因承包人违约解除合同后的处理</w:t>
      </w:r>
    </w:p>
    <w:p w14:paraId="5CE795EA">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因承包人违约导致合同解除的，合同当事人应在合同解除后56天内完成估价、付款和清算，并按以下约定执行：</w:t>
      </w:r>
    </w:p>
    <w:p w14:paraId="5510892C">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（1）合同解除后，按第14.2款结算审定方式确定承包人实际完成工作对应的合同价款，以及承包人已提供的材料、工程设备、施工设备和临时工程等的价值；</w:t>
      </w:r>
    </w:p>
    <w:p w14:paraId="2BFA17A1">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（2）合同解除后，承包人应支付违约金；</w:t>
      </w:r>
    </w:p>
    <w:p w14:paraId="301C1927">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（3）合同解除后，赔偿因解除合同给发包人造成的损失；</w:t>
      </w:r>
    </w:p>
    <w:p w14:paraId="2096C982">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（4）合同解除后，承包人应按照发包人要求和监理人的指示完成现场的清理和撤离。</w:t>
      </w:r>
    </w:p>
    <w:p w14:paraId="687ACC1F">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4F57B2E1">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因承包人违约导致解除合同的，发包人有权暂停对承包人的付款，查清各项付款和已扣款项。发包人和承包人未能就合同解除后的清算和款项支付达成一致的，按照第20条〔争议解决〕的约定处理。</w:t>
      </w:r>
    </w:p>
    <w:p w14:paraId="0B30DE60">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1032"/>
    <w:bookmarkEnd w:id="1033"/>
    <w:p w14:paraId="0E1436D0">
      <w:pPr>
        <w:keepNext/>
        <w:keepLines/>
        <w:spacing w:before="120" w:beforeLines="50" w:after="120" w:afterLines="50" w:line="440" w:lineRule="exact"/>
        <w:outlineLvl w:val="3"/>
        <w:rPr>
          <w:rFonts w:hint="eastAsia" w:ascii="宋体" w:hAnsi="宋体" w:eastAsia="宋体" w:cs="宋体"/>
          <w:b/>
          <w:color w:val="auto"/>
          <w:sz w:val="24"/>
          <w:szCs w:val="24"/>
        </w:rPr>
      </w:pPr>
      <w:bookmarkStart w:id="1046" w:name="_Toc351203649"/>
      <w:bookmarkStart w:id="1047" w:name="_Toc532377404"/>
      <w:bookmarkStart w:id="1048" w:name="_Toc532375665"/>
      <w:bookmarkStart w:id="1049" w:name="_Hlk528928440"/>
      <w:r>
        <w:rPr>
          <w:rFonts w:hint="eastAsia" w:ascii="宋体" w:hAnsi="宋体" w:eastAsia="宋体" w:cs="宋体"/>
          <w:b/>
          <w:color w:val="auto"/>
          <w:sz w:val="24"/>
          <w:szCs w:val="24"/>
          <w:lang w:bidi="ar"/>
        </w:rPr>
        <w:t>17. 不可抗力</w:t>
      </w:r>
      <w:bookmarkEnd w:id="1046"/>
      <w:bookmarkEnd w:id="1047"/>
      <w:bookmarkEnd w:id="1048"/>
    </w:p>
    <w:p w14:paraId="7662CE45">
      <w:pPr>
        <w:keepNext/>
        <w:keepLines/>
        <w:tabs>
          <w:tab w:val="left" w:pos="2551"/>
        </w:tabs>
        <w:spacing w:line="440" w:lineRule="exact"/>
        <w:outlineLvl w:val="4"/>
        <w:rPr>
          <w:rFonts w:hint="eastAsia" w:ascii="宋体" w:hAnsi="宋体" w:eastAsia="宋体" w:cs="宋体"/>
          <w:b/>
          <w:color w:val="auto"/>
          <w:sz w:val="24"/>
          <w:szCs w:val="24"/>
        </w:rPr>
      </w:pPr>
      <w:bookmarkStart w:id="1050" w:name="_Toc532377405"/>
      <w:bookmarkStart w:id="1051" w:name="_Toc532375666"/>
      <w:r>
        <w:rPr>
          <w:rFonts w:hint="eastAsia" w:ascii="宋体" w:hAnsi="宋体" w:eastAsia="宋体" w:cs="宋体"/>
          <w:b/>
          <w:color w:val="auto"/>
          <w:sz w:val="24"/>
          <w:szCs w:val="24"/>
          <w:lang w:bidi="ar"/>
        </w:rPr>
        <w:t>17.1 不可抗力的确认</w:t>
      </w:r>
      <w:bookmarkEnd w:id="1050"/>
      <w:bookmarkEnd w:id="1051"/>
    </w:p>
    <w:p w14:paraId="4A95220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除通用合同条款约定的不可抗力事件之外，视为不可抗力的其他情形：</w:t>
      </w:r>
      <w:bookmarkStart w:id="1052" w:name="_Hlk524379638"/>
    </w:p>
    <w:p w14:paraId="5CC4E4F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（1）洪水、火山爆发、山崩、山体滑坡、泥石流、龙卷风、隧道内不可预测的突发性地质灾害等自然灾害；</w:t>
      </w:r>
    </w:p>
    <w:p w14:paraId="5F2E1727">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（2）骚乱、戒严、封锁、禁运、恐怖行为、等社会行为，但承包人或其分包人派遣与雇佣的人员由于合同工程施工原因引起的除外；</w:t>
      </w:r>
    </w:p>
    <w:p w14:paraId="4434EF2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（3）不能合理预见的重大交通阻滞、停运、交通事故，非双方责任引起的火灾、爆炸、船舶撞击等情形；</w:t>
      </w:r>
    </w:p>
    <w:p w14:paraId="670D653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（4）化学或放射性污染或核辐射；</w:t>
      </w:r>
    </w:p>
    <w:p w14:paraId="07322A1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（5）环保治理等政府行为导致项目停工的。</w:t>
      </w:r>
      <w:bookmarkEnd w:id="1052"/>
    </w:p>
    <w:p w14:paraId="40EDDF8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3B89712B">
      <w:pPr>
        <w:keepNext/>
        <w:keepLines/>
        <w:tabs>
          <w:tab w:val="left" w:pos="2551"/>
        </w:tabs>
        <w:spacing w:line="440" w:lineRule="exact"/>
        <w:outlineLvl w:val="4"/>
        <w:rPr>
          <w:rFonts w:hint="eastAsia" w:ascii="宋体" w:hAnsi="宋体" w:eastAsia="宋体" w:cs="宋体"/>
          <w:b/>
          <w:color w:val="auto"/>
          <w:sz w:val="24"/>
          <w:szCs w:val="24"/>
        </w:rPr>
      </w:pPr>
      <w:bookmarkStart w:id="1053" w:name="_Toc351203610"/>
      <w:bookmarkStart w:id="1054" w:name="_Toc532377406"/>
      <w:bookmarkStart w:id="1055" w:name="_Toc532375667"/>
      <w:bookmarkStart w:id="1056" w:name="_Toc337558826"/>
      <w:bookmarkStart w:id="1057" w:name="_Toc296346620"/>
      <w:bookmarkStart w:id="1058" w:name="_Toc296503119"/>
      <w:r>
        <w:rPr>
          <w:rFonts w:hint="eastAsia" w:ascii="宋体" w:hAnsi="宋体" w:eastAsia="宋体" w:cs="宋体"/>
          <w:b/>
          <w:color w:val="auto"/>
          <w:sz w:val="24"/>
          <w:szCs w:val="24"/>
          <w:lang w:bidi="ar"/>
        </w:rPr>
        <w:t>17.3 不可抗力后果的承担</w:t>
      </w:r>
      <w:bookmarkEnd w:id="1053"/>
      <w:bookmarkEnd w:id="1054"/>
      <w:bookmarkEnd w:id="1055"/>
    </w:p>
    <w:bookmarkEnd w:id="1056"/>
    <w:bookmarkEnd w:id="1057"/>
    <w:bookmarkEnd w:id="1058"/>
    <w:p w14:paraId="200C480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17.3.1 不可抗力引起的后果及造成的损失由合同当事人按照法律规定及合同约定各自承担。不可抗力发生前已完成的工程应当按照合同约定进行计量支付。</w:t>
      </w:r>
    </w:p>
    <w:p w14:paraId="65170839">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17.3.2 不可抗力导致的人员伤亡、财产损失、费用增加和（或）工期延误等后果，由合同当事人按以下原则承担：</w:t>
      </w:r>
    </w:p>
    <w:p w14:paraId="20A3C1F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（1）永久工程、已运至施工现场的施工材料和工程设备的损坏，以及因工程损坏造成的第三方人员伤亡和财产损失由发包人承担；</w:t>
      </w:r>
    </w:p>
    <w:p w14:paraId="74C139F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（2）承包人施工设备的损坏由承包人承担；</w:t>
      </w:r>
    </w:p>
    <w:p w14:paraId="6F3A2BBC">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（3）发包人和承包人承担各自人员伤亡和财产的损失；</w:t>
      </w:r>
    </w:p>
    <w:p w14:paraId="380F814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（4）因不可抗力影响承包人履行合同约定的义务，已经引起或将引起工期延误的，应当顺延工期，由此导致承包人停工的费用损失由发包人和承包人合理共担；</w:t>
      </w:r>
    </w:p>
    <w:p w14:paraId="592FCEA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（5）因不可抗力引起或将引起工期延误，发包人要求赶工的，由此增加的赶工费用由发包人承担；</w:t>
      </w:r>
    </w:p>
    <w:p w14:paraId="0CE42FD8">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（6）承包人在停工期间按照发包人要求照管、清理和修复工程的费用由发包人承担；</w:t>
      </w:r>
    </w:p>
    <w:p w14:paraId="371EDD3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（7）不可抗力事件发生后，合同当事人均应采取措施尽量避免和减少损失的扩大，任何一方当事人没有采取有效措施导致损失扩大的，应对扩大的损失承担责任。</w:t>
      </w:r>
    </w:p>
    <w:p w14:paraId="30A7134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5820E88A">
      <w:pPr>
        <w:keepNext/>
        <w:keepLines/>
        <w:tabs>
          <w:tab w:val="left" w:pos="2551"/>
        </w:tabs>
        <w:spacing w:line="440" w:lineRule="exact"/>
        <w:outlineLvl w:val="4"/>
        <w:rPr>
          <w:rFonts w:hint="eastAsia" w:ascii="宋体" w:hAnsi="宋体" w:eastAsia="宋体" w:cs="宋体"/>
          <w:b/>
          <w:color w:val="auto"/>
          <w:sz w:val="24"/>
          <w:szCs w:val="24"/>
        </w:rPr>
      </w:pPr>
      <w:bookmarkStart w:id="1059" w:name="_Toc532377407"/>
      <w:bookmarkStart w:id="1060" w:name="_Toc532375668"/>
      <w:r>
        <w:rPr>
          <w:rFonts w:hint="eastAsia" w:ascii="宋体" w:hAnsi="宋体" w:eastAsia="宋体" w:cs="宋体"/>
          <w:b/>
          <w:color w:val="auto"/>
          <w:sz w:val="24"/>
          <w:szCs w:val="24"/>
          <w:lang w:bidi="ar"/>
        </w:rPr>
        <w:t>17.4 因不可抗力解除合同</w:t>
      </w:r>
      <w:bookmarkEnd w:id="1059"/>
      <w:bookmarkEnd w:id="1060"/>
    </w:p>
    <w:p w14:paraId="4EA9872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合同解除后，发包人应在商定或确定发包人应支付款项后</w:t>
      </w:r>
      <w:r>
        <w:rPr>
          <w:rFonts w:hint="eastAsia" w:ascii="宋体" w:hAnsi="宋体" w:eastAsia="宋体" w:cs="宋体"/>
          <w:color w:val="auto"/>
          <w:sz w:val="24"/>
          <w:szCs w:val="24"/>
          <w:u w:val="single"/>
          <w:lang w:bidi="ar"/>
        </w:rPr>
        <w:t>28</w:t>
      </w:r>
      <w:r>
        <w:rPr>
          <w:rFonts w:hint="eastAsia" w:ascii="宋体" w:hAnsi="宋体" w:eastAsia="宋体" w:cs="宋体"/>
          <w:color w:val="auto"/>
          <w:sz w:val="24"/>
          <w:szCs w:val="24"/>
          <w:lang w:bidi="ar"/>
        </w:rPr>
        <w:t>天内完成款项的支付。</w:t>
      </w:r>
    </w:p>
    <w:p w14:paraId="7585D9FA">
      <w:pPr>
        <w:keepNext/>
        <w:keepLines/>
        <w:spacing w:before="120" w:beforeLines="50" w:after="120" w:afterLines="50" w:line="440" w:lineRule="exact"/>
        <w:outlineLvl w:val="3"/>
        <w:rPr>
          <w:rFonts w:hint="eastAsia" w:ascii="宋体" w:hAnsi="宋体" w:eastAsia="宋体" w:cs="宋体"/>
          <w:b/>
          <w:color w:val="auto"/>
          <w:sz w:val="24"/>
          <w:szCs w:val="24"/>
        </w:rPr>
      </w:pPr>
      <w:bookmarkStart w:id="1061" w:name="_Toc532377408"/>
      <w:bookmarkStart w:id="1062" w:name="_Toc351203650"/>
      <w:bookmarkStart w:id="1063" w:name="_Toc532375669"/>
      <w:r>
        <w:rPr>
          <w:rFonts w:hint="eastAsia" w:ascii="宋体" w:hAnsi="宋体" w:eastAsia="宋体" w:cs="宋体"/>
          <w:b/>
          <w:color w:val="auto"/>
          <w:sz w:val="24"/>
          <w:szCs w:val="24"/>
          <w:lang w:bidi="ar"/>
        </w:rPr>
        <w:t>18. 保险</w:t>
      </w:r>
      <w:bookmarkEnd w:id="1061"/>
      <w:bookmarkEnd w:id="1062"/>
      <w:bookmarkEnd w:id="1063"/>
    </w:p>
    <w:p w14:paraId="691F610E">
      <w:pPr>
        <w:keepNext/>
        <w:keepLines/>
        <w:tabs>
          <w:tab w:val="left" w:pos="2551"/>
        </w:tabs>
        <w:spacing w:line="440" w:lineRule="exact"/>
        <w:outlineLvl w:val="4"/>
        <w:rPr>
          <w:rFonts w:hint="eastAsia" w:ascii="宋体" w:hAnsi="宋体" w:eastAsia="宋体" w:cs="宋体"/>
          <w:b/>
          <w:color w:val="auto"/>
          <w:sz w:val="24"/>
          <w:szCs w:val="24"/>
        </w:rPr>
      </w:pPr>
      <w:bookmarkStart w:id="1064" w:name="_Toc532375671"/>
      <w:bookmarkStart w:id="1065" w:name="_Toc532377410"/>
      <w:r>
        <w:rPr>
          <w:rFonts w:hint="eastAsia" w:ascii="宋体" w:hAnsi="宋体" w:eastAsia="宋体" w:cs="宋体"/>
          <w:b/>
          <w:color w:val="auto"/>
          <w:sz w:val="24"/>
          <w:szCs w:val="24"/>
          <w:lang w:bidi="ar"/>
        </w:rPr>
        <w:t>18.3 其他保险</w:t>
      </w:r>
      <w:bookmarkEnd w:id="1064"/>
      <w:bookmarkEnd w:id="1065"/>
    </w:p>
    <w:p w14:paraId="0472264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关于其他保险的约定：</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02AE2EBC">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承包人是否应为其施工设备等办理财产保险：</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71AEBBA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安全生产责任险：</w:t>
      </w:r>
      <w:r>
        <w:rPr>
          <w:rFonts w:hint="eastAsia" w:ascii="宋体" w:hAnsi="宋体" w:eastAsia="宋体" w:cs="宋体"/>
          <w:color w:val="auto"/>
          <w:sz w:val="24"/>
          <w:szCs w:val="24"/>
          <w:u w:val="single"/>
          <w:lang w:bidi="ar"/>
        </w:rPr>
        <w:t>承包人应按《重庆市人民政府办公厅关于在高危行业领域强制推行安全生产责任保险的实施意见》（渝府办法〔2017〕182号）的要求办理安全生产责任保险</w:t>
      </w:r>
      <w:r>
        <w:rPr>
          <w:rFonts w:hint="eastAsia" w:ascii="宋体" w:hAnsi="宋体" w:eastAsia="宋体" w:cs="宋体"/>
          <w:color w:val="auto"/>
          <w:sz w:val="24"/>
          <w:szCs w:val="24"/>
          <w:lang w:bidi="ar"/>
        </w:rPr>
        <w:t>。</w:t>
      </w:r>
    </w:p>
    <w:p w14:paraId="65B21D29">
      <w:pPr>
        <w:keepNext/>
        <w:keepLines/>
        <w:tabs>
          <w:tab w:val="left" w:pos="2551"/>
        </w:tabs>
        <w:spacing w:line="440" w:lineRule="exact"/>
        <w:outlineLvl w:val="4"/>
        <w:rPr>
          <w:rFonts w:hint="eastAsia" w:ascii="宋体" w:hAnsi="宋体" w:eastAsia="宋体" w:cs="宋体"/>
          <w:b/>
          <w:color w:val="auto"/>
          <w:sz w:val="24"/>
          <w:szCs w:val="24"/>
        </w:rPr>
      </w:pPr>
      <w:bookmarkStart w:id="1066" w:name="_Toc532375672"/>
      <w:bookmarkStart w:id="1067" w:name="_Toc532377411"/>
      <w:r>
        <w:rPr>
          <w:rFonts w:hint="eastAsia" w:ascii="宋体" w:hAnsi="宋体" w:eastAsia="宋体" w:cs="宋体"/>
          <w:b/>
          <w:color w:val="auto"/>
          <w:sz w:val="24"/>
          <w:szCs w:val="24"/>
          <w:lang w:bidi="ar"/>
        </w:rPr>
        <w:t>18.7 通知义务</w:t>
      </w:r>
      <w:bookmarkEnd w:id="1066"/>
      <w:bookmarkEnd w:id="1067"/>
    </w:p>
    <w:p w14:paraId="5C2F376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关于变更保险合同时的通知义务的约定：</w:t>
      </w:r>
      <w:r>
        <w:rPr>
          <w:rFonts w:hint="eastAsia" w:ascii="宋体" w:hAnsi="宋体" w:eastAsia="宋体" w:cs="宋体"/>
          <w:color w:val="auto"/>
          <w:sz w:val="24"/>
          <w:szCs w:val="24"/>
          <w:u w:val="single"/>
          <w:lang w:bidi="ar"/>
        </w:rPr>
        <w:t>按通用合同条款执行</w:t>
      </w:r>
      <w:r>
        <w:rPr>
          <w:rFonts w:hint="eastAsia" w:ascii="宋体" w:hAnsi="宋体" w:eastAsia="宋体" w:cs="宋体"/>
          <w:color w:val="auto"/>
          <w:sz w:val="24"/>
          <w:szCs w:val="24"/>
          <w:lang w:bidi="ar"/>
        </w:rPr>
        <w:t>。</w:t>
      </w:r>
    </w:p>
    <w:p w14:paraId="76C49CE3">
      <w:pPr>
        <w:keepNext/>
        <w:keepLines/>
        <w:tabs>
          <w:tab w:val="left" w:pos="2551"/>
        </w:tabs>
        <w:spacing w:line="440" w:lineRule="exact"/>
        <w:outlineLvl w:val="4"/>
        <w:rPr>
          <w:rFonts w:hint="eastAsia" w:ascii="宋体" w:hAnsi="宋体" w:eastAsia="宋体" w:cs="宋体"/>
          <w:b/>
          <w:color w:val="auto"/>
          <w:sz w:val="24"/>
          <w:szCs w:val="24"/>
        </w:rPr>
      </w:pPr>
      <w:bookmarkStart w:id="1068" w:name="_Toc532377412"/>
      <w:bookmarkStart w:id="1069" w:name="_Toc532375673"/>
      <w:r>
        <w:rPr>
          <w:rFonts w:hint="eastAsia" w:ascii="宋体" w:hAnsi="宋体" w:eastAsia="宋体" w:cs="宋体"/>
          <w:b/>
          <w:color w:val="auto"/>
          <w:sz w:val="24"/>
          <w:szCs w:val="24"/>
          <w:lang w:bidi="ar"/>
        </w:rPr>
        <w:t>18.8 其他</w:t>
      </w:r>
      <w:bookmarkEnd w:id="1068"/>
      <w:bookmarkEnd w:id="1069"/>
    </w:p>
    <w:p w14:paraId="52FA1E55">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18.8.1 工程开工日前，承包人向发包人提交各项生效的保险证据和保险单副本。未按本项约定提交的，每延后1天，承包人按500元/天支付违约金。</w:t>
      </w:r>
    </w:p>
    <w:p w14:paraId="637674B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18.8.2 承包人保险赔偿金不足以补偿发包人损失时，</w:t>
      </w:r>
      <w:bookmarkStart w:id="1070" w:name="_Hlk524378346"/>
      <w:r>
        <w:rPr>
          <w:rFonts w:hint="eastAsia" w:ascii="宋体" w:hAnsi="宋体" w:eastAsia="宋体" w:cs="宋体"/>
          <w:color w:val="auto"/>
          <w:sz w:val="24"/>
          <w:szCs w:val="24"/>
          <w:lang w:bidi="ar"/>
        </w:rPr>
        <w:t>差额由承包人负责补足</w:t>
      </w:r>
      <w:bookmarkEnd w:id="1070"/>
      <w:r>
        <w:rPr>
          <w:rFonts w:hint="eastAsia" w:ascii="宋体" w:hAnsi="宋体" w:eastAsia="宋体" w:cs="宋体"/>
          <w:color w:val="auto"/>
          <w:sz w:val="24"/>
          <w:szCs w:val="24"/>
          <w:lang w:bidi="ar"/>
        </w:rPr>
        <w:t>。</w:t>
      </w:r>
    </w:p>
    <w:p w14:paraId="5A33C687">
      <w:pPr>
        <w:keepNext/>
        <w:keepLines/>
        <w:spacing w:before="120" w:beforeLines="50" w:after="120" w:afterLines="50" w:line="440" w:lineRule="exact"/>
        <w:outlineLvl w:val="3"/>
        <w:rPr>
          <w:rFonts w:hint="eastAsia" w:ascii="宋体" w:hAnsi="宋体" w:eastAsia="宋体" w:cs="宋体"/>
          <w:b/>
          <w:color w:val="auto"/>
          <w:sz w:val="24"/>
          <w:szCs w:val="24"/>
        </w:rPr>
      </w:pPr>
      <w:bookmarkStart w:id="1071" w:name="_Toc351203620"/>
      <w:bookmarkStart w:id="1072" w:name="_Toc532375674"/>
      <w:bookmarkStart w:id="1073" w:name="_Toc532377413"/>
      <w:bookmarkStart w:id="1074" w:name="_Toc296503140"/>
      <w:bookmarkStart w:id="1075" w:name="_Toc337558835"/>
      <w:bookmarkStart w:id="1076" w:name="_Toc296346641"/>
      <w:r>
        <w:rPr>
          <w:rFonts w:hint="eastAsia" w:ascii="宋体" w:hAnsi="宋体" w:eastAsia="宋体" w:cs="宋体"/>
          <w:b/>
          <w:color w:val="auto"/>
          <w:sz w:val="24"/>
          <w:szCs w:val="24"/>
          <w:lang w:bidi="ar"/>
        </w:rPr>
        <w:t>19. 索赔</w:t>
      </w:r>
      <w:bookmarkEnd w:id="1071"/>
      <w:bookmarkEnd w:id="1072"/>
      <w:bookmarkEnd w:id="1073"/>
    </w:p>
    <w:bookmarkEnd w:id="1074"/>
    <w:bookmarkEnd w:id="1075"/>
    <w:bookmarkEnd w:id="1076"/>
    <w:p w14:paraId="34843E53">
      <w:pPr>
        <w:keepNext/>
        <w:keepLines/>
        <w:tabs>
          <w:tab w:val="left" w:pos="2551"/>
        </w:tabs>
        <w:spacing w:line="440" w:lineRule="exact"/>
        <w:outlineLvl w:val="4"/>
        <w:rPr>
          <w:rFonts w:hint="eastAsia" w:ascii="宋体" w:hAnsi="宋体" w:eastAsia="宋体" w:cs="宋体"/>
          <w:b/>
          <w:color w:val="auto"/>
          <w:sz w:val="24"/>
          <w:szCs w:val="24"/>
        </w:rPr>
      </w:pPr>
      <w:bookmarkStart w:id="1077" w:name="_Toc532375675"/>
      <w:bookmarkStart w:id="1078" w:name="_Toc532377414"/>
      <w:bookmarkStart w:id="1079" w:name="_Toc351203621"/>
      <w:bookmarkStart w:id="1080" w:name="_Toc296503141"/>
      <w:bookmarkStart w:id="1081" w:name="_Toc337558836"/>
      <w:bookmarkStart w:id="1082" w:name="_Toc296346642"/>
      <w:r>
        <w:rPr>
          <w:rFonts w:hint="eastAsia" w:ascii="宋体" w:hAnsi="宋体" w:eastAsia="宋体" w:cs="宋体"/>
          <w:b/>
          <w:color w:val="auto"/>
          <w:sz w:val="24"/>
          <w:szCs w:val="24"/>
          <w:lang w:bidi="ar"/>
        </w:rPr>
        <w:t>19.1 承包人的索赔</w:t>
      </w:r>
      <w:bookmarkEnd w:id="1077"/>
      <w:bookmarkEnd w:id="1078"/>
    </w:p>
    <w:p w14:paraId="79531621">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根据合同约定，承包人认为有权得到追加付款和（或）延长工期的，应按以下程序向发包人提出索赔：</w:t>
      </w:r>
    </w:p>
    <w:p w14:paraId="196055E8">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（1）承包人应在索赔事件发生后28天内，向监理人递交索赔意向通知书，并说明发生索赔事件的事由；承包人未在前述28天内发出索赔意向通知书的，丧失要求追加付款和（或）延长工期的权利；</w:t>
      </w:r>
    </w:p>
    <w:p w14:paraId="18D02F6B">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（2）承包人应在发出索赔意向通知书后28天内，向监理人正式递交索赔报告；索赔报告应详细说明索赔理由以及要求追加的付款金额和（或）延长的工期，并附必要的记录和证明材料；</w:t>
      </w:r>
    </w:p>
    <w:p w14:paraId="34075ED5">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（3）索赔事件具有持续影响的，承包人应按监理人要求的合理时间间隔继续递交延续索赔通知，说明持续影响的实际情况和记录，列出累计的追加付款金额和（或）工期延长天数；</w:t>
      </w:r>
    </w:p>
    <w:p w14:paraId="5D36F151">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（4）在索赔事件影响结束后28天内，承包人应向监理人递交最终索赔报告，说明最终要求索赔的追加付款金额和（或）延长的工期，并附必要的记录和证明材料。</w:t>
      </w:r>
    </w:p>
    <w:p w14:paraId="753783BA">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w:t>
      </w:r>
    </w:p>
    <w:p w14:paraId="70E49DF8">
      <w:pPr>
        <w:keepNext/>
        <w:keepLines/>
        <w:tabs>
          <w:tab w:val="left" w:pos="2551"/>
        </w:tabs>
        <w:spacing w:line="440" w:lineRule="exact"/>
        <w:outlineLvl w:val="4"/>
        <w:rPr>
          <w:rFonts w:hint="eastAsia" w:ascii="宋体" w:hAnsi="宋体" w:eastAsia="宋体" w:cs="宋体"/>
          <w:b/>
          <w:color w:val="auto"/>
          <w:sz w:val="24"/>
          <w:szCs w:val="24"/>
        </w:rPr>
      </w:pPr>
      <w:bookmarkStart w:id="1083" w:name="_Toc532377415"/>
      <w:bookmarkStart w:id="1084" w:name="_Toc532375676"/>
      <w:r>
        <w:rPr>
          <w:rFonts w:hint="eastAsia" w:ascii="宋体" w:hAnsi="宋体" w:eastAsia="宋体" w:cs="宋体"/>
          <w:b/>
          <w:color w:val="auto"/>
          <w:sz w:val="24"/>
          <w:szCs w:val="24"/>
          <w:lang w:bidi="ar"/>
        </w:rPr>
        <w:t>19.2 对承包人索赔的处理</w:t>
      </w:r>
      <w:bookmarkEnd w:id="1083"/>
      <w:bookmarkEnd w:id="1084"/>
    </w:p>
    <w:p w14:paraId="2A86856D">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对承包人索赔的处理如下：</w:t>
      </w:r>
    </w:p>
    <w:p w14:paraId="29728FCC">
      <w:pPr>
        <w:autoSpaceDE w:val="0"/>
        <w:autoSpaceDN w:val="0"/>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（1）监理人应在收到索赔报告后14天内完成审查并报送发包人。监理人对索赔报告存在异议的，有权要求承包人提交全部原始记录副本</w:t>
      </w:r>
      <w:r>
        <w:rPr>
          <w:rFonts w:hint="eastAsia" w:ascii="宋体" w:hAnsi="宋体" w:eastAsia="宋体" w:cs="宋体"/>
          <w:color w:val="auto"/>
          <w:sz w:val="24"/>
          <w:szCs w:val="24"/>
          <w:lang w:bidi="ar"/>
        </w:rPr>
        <w:t>；</w:t>
      </w:r>
    </w:p>
    <w:p w14:paraId="01CF5554">
      <w:pPr>
        <w:autoSpaceDE w:val="0"/>
        <w:autoSpaceDN w:val="0"/>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宋体"/>
          <w:color w:val="auto"/>
          <w:sz w:val="24"/>
          <w:szCs w:val="24"/>
          <w:lang w:bidi="ar"/>
        </w:rPr>
        <w:t>；</w:t>
      </w:r>
    </w:p>
    <w:p w14:paraId="01092115">
      <w:pPr>
        <w:autoSpaceDE w:val="0"/>
        <w:autoSpaceDN w:val="0"/>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（3）承包人接受索赔处理结果的，索赔款项在当期进度款中进行支付；承包人不接受索赔处理结果的，按照第20条〔争议解决〕约定处理</w:t>
      </w:r>
      <w:r>
        <w:rPr>
          <w:rFonts w:hint="eastAsia" w:ascii="宋体" w:hAnsi="宋体" w:eastAsia="宋体" w:cs="宋体"/>
          <w:color w:val="auto"/>
          <w:sz w:val="24"/>
          <w:szCs w:val="24"/>
          <w:lang w:bidi="ar"/>
        </w:rPr>
        <w:t>；</w:t>
      </w:r>
    </w:p>
    <w:p w14:paraId="08A742A5">
      <w:pPr>
        <w:autoSpaceDE w:val="0"/>
        <w:autoSpaceDN w:val="0"/>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bidi="ar"/>
        </w:rPr>
        <w:t>（4）工期延误的关键线路按照经监理人、发包人审批同意的施工组织设计计算</w:t>
      </w:r>
      <w:r>
        <w:rPr>
          <w:rFonts w:hint="eastAsia" w:ascii="宋体" w:hAnsi="宋体" w:eastAsia="宋体" w:cs="宋体"/>
          <w:color w:val="auto"/>
          <w:sz w:val="24"/>
          <w:szCs w:val="24"/>
          <w:lang w:bidi="ar"/>
        </w:rPr>
        <w:t>。</w:t>
      </w:r>
    </w:p>
    <w:p w14:paraId="49F894C1">
      <w:pPr>
        <w:keepNext/>
        <w:keepLines/>
        <w:tabs>
          <w:tab w:val="left" w:pos="2551"/>
        </w:tabs>
        <w:spacing w:line="440" w:lineRule="exact"/>
        <w:outlineLvl w:val="4"/>
        <w:rPr>
          <w:rFonts w:hint="eastAsia" w:ascii="宋体" w:hAnsi="宋体" w:eastAsia="宋体" w:cs="宋体"/>
          <w:b/>
          <w:color w:val="auto"/>
          <w:sz w:val="24"/>
          <w:szCs w:val="24"/>
        </w:rPr>
      </w:pPr>
      <w:bookmarkStart w:id="1085" w:name="_Toc532375677"/>
      <w:bookmarkStart w:id="1086" w:name="_Toc532377416"/>
      <w:r>
        <w:rPr>
          <w:rFonts w:hint="eastAsia" w:ascii="宋体" w:hAnsi="宋体" w:eastAsia="宋体" w:cs="宋体"/>
          <w:b/>
          <w:color w:val="auto"/>
          <w:sz w:val="24"/>
          <w:szCs w:val="24"/>
          <w:lang w:bidi="ar"/>
        </w:rPr>
        <w:t>19.3发包人的索赔</w:t>
      </w:r>
      <w:bookmarkEnd w:id="1085"/>
      <w:bookmarkEnd w:id="1086"/>
    </w:p>
    <w:p w14:paraId="086ACAC2">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根据合同约定，发包人认为有权得到赔付金额和（或）延长缺陷责任期的，监理人应向承包人发出通知并附有详细的证明。</w:t>
      </w:r>
    </w:p>
    <w:p w14:paraId="5ADA0B83">
      <w:pPr>
        <w:autoSpaceDE w:val="0"/>
        <w:autoSpaceDN w:val="0"/>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087" w:name="_Hlk528652769"/>
      <w:r>
        <w:rPr>
          <w:rFonts w:hint="eastAsia" w:ascii="宋体" w:hAnsi="宋体" w:eastAsia="宋体" w:cs="宋体"/>
          <w:color w:val="auto"/>
          <w:sz w:val="24"/>
          <w:szCs w:val="24"/>
          <w:lang w:bidi="ar"/>
        </w:rPr>
        <w:t>通过监理人向承包人正式递交最终索赔报告</w:t>
      </w:r>
      <w:bookmarkEnd w:id="1087"/>
      <w:r>
        <w:rPr>
          <w:rFonts w:hint="eastAsia" w:ascii="宋体" w:hAnsi="宋体" w:eastAsia="宋体" w:cs="宋体"/>
          <w:color w:val="auto"/>
          <w:sz w:val="24"/>
          <w:szCs w:val="24"/>
          <w:lang w:bidi="ar"/>
        </w:rPr>
        <w:t>。</w:t>
      </w:r>
    </w:p>
    <w:p w14:paraId="064CBA56">
      <w:pPr>
        <w:keepNext/>
        <w:keepLines/>
        <w:tabs>
          <w:tab w:val="left" w:pos="2551"/>
        </w:tabs>
        <w:spacing w:line="440" w:lineRule="exact"/>
        <w:outlineLvl w:val="4"/>
        <w:rPr>
          <w:rFonts w:hint="eastAsia" w:ascii="宋体" w:hAnsi="宋体" w:eastAsia="宋体" w:cs="宋体"/>
          <w:b/>
          <w:color w:val="auto"/>
          <w:sz w:val="24"/>
          <w:szCs w:val="24"/>
        </w:rPr>
      </w:pPr>
      <w:bookmarkStart w:id="1088" w:name="_Toc532377417"/>
      <w:bookmarkStart w:id="1089" w:name="_Toc532375678"/>
      <w:r>
        <w:rPr>
          <w:rFonts w:hint="eastAsia" w:ascii="宋体" w:hAnsi="宋体" w:eastAsia="宋体" w:cs="宋体"/>
          <w:b/>
          <w:color w:val="auto"/>
          <w:sz w:val="24"/>
          <w:szCs w:val="24"/>
          <w:lang w:bidi="ar"/>
        </w:rPr>
        <w:t>19.4 对发包人索赔的处理</w:t>
      </w:r>
      <w:bookmarkEnd w:id="1088"/>
      <w:bookmarkEnd w:id="1089"/>
    </w:p>
    <w:p w14:paraId="65E358A2">
      <w:pPr>
        <w:autoSpaceDE w:val="0"/>
        <w:autoSpaceDN w:val="0"/>
        <w:spacing w:line="440" w:lineRule="exact"/>
        <w:ind w:right="140" w:rightChars="5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对发包人索赔的处理如下：</w:t>
      </w:r>
    </w:p>
    <w:p w14:paraId="3FC62BCA">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（1）承包人收到发包人提交的索赔报告后，应及时审查索赔报告的内容、查验发包人证明材料；</w:t>
      </w:r>
    </w:p>
    <w:p w14:paraId="27F26DD7">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1F8EF41C">
      <w:pPr>
        <w:autoSpaceDE w:val="0"/>
        <w:autoSpaceDN w:val="0"/>
        <w:spacing w:line="440" w:lineRule="exact"/>
        <w:ind w:right="140" w:rightChars="50"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（3）承包人接受索赔处理结果的，发包人可从应支付给承包人的合同价款中扣除赔付的金额或延长缺陷责任期；发包人不接受索赔处理结果的，按第20条〔争议解决〕约定处理。</w:t>
      </w:r>
    </w:p>
    <w:p w14:paraId="21A70010">
      <w:pPr>
        <w:keepNext/>
        <w:keepLines/>
        <w:tabs>
          <w:tab w:val="left" w:pos="2551"/>
        </w:tabs>
        <w:spacing w:line="440" w:lineRule="exact"/>
        <w:outlineLvl w:val="4"/>
        <w:rPr>
          <w:rFonts w:hint="eastAsia" w:ascii="宋体" w:hAnsi="宋体" w:eastAsia="宋体" w:cs="宋体"/>
          <w:b/>
          <w:color w:val="auto"/>
          <w:sz w:val="24"/>
          <w:szCs w:val="24"/>
        </w:rPr>
      </w:pPr>
      <w:bookmarkStart w:id="1090" w:name="_Toc532375679"/>
      <w:bookmarkStart w:id="1091" w:name="_Toc532377418"/>
      <w:bookmarkStart w:id="1092" w:name="_Hlk528928420"/>
      <w:r>
        <w:rPr>
          <w:rFonts w:hint="eastAsia" w:ascii="宋体" w:hAnsi="宋体" w:eastAsia="宋体" w:cs="宋体"/>
          <w:b/>
          <w:color w:val="auto"/>
          <w:sz w:val="24"/>
          <w:szCs w:val="24"/>
          <w:lang w:bidi="ar"/>
        </w:rPr>
        <w:t>19.5 提出索赔的期限</w:t>
      </w:r>
      <w:bookmarkEnd w:id="1090"/>
      <w:bookmarkEnd w:id="1091"/>
    </w:p>
    <w:p w14:paraId="6BD72961">
      <w:pPr>
        <w:autoSpaceDE w:val="0"/>
        <w:autoSpaceDN w:val="0"/>
        <w:spacing w:line="440" w:lineRule="exact"/>
        <w:ind w:right="140" w:rightChars="50" w:firstLine="480" w:firstLineChars="200"/>
        <w:jc w:val="left"/>
        <w:rPr>
          <w:rFonts w:hint="eastAsia" w:ascii="宋体" w:hAnsi="宋体" w:eastAsia="宋体" w:cs="宋体"/>
          <w:color w:val="auto"/>
          <w:sz w:val="24"/>
          <w:szCs w:val="24"/>
        </w:rPr>
      </w:pPr>
      <w:bookmarkStart w:id="1093" w:name="_Hlk524298376"/>
      <w:r>
        <w:rPr>
          <w:rFonts w:hint="eastAsia" w:ascii="宋体" w:hAnsi="宋体" w:eastAsia="宋体" w:cs="宋体"/>
          <w:color w:val="auto"/>
          <w:sz w:val="24"/>
          <w:szCs w:val="24"/>
          <w:lang w:bidi="ar"/>
        </w:rPr>
        <w:t>任一索赔事件发生后28天内，承包人/发包人未向对方发出索赔意向通知书的，视为其已放弃索赔权，无权再就该索赔事项提出任何索赔。</w:t>
      </w:r>
    </w:p>
    <w:bookmarkEnd w:id="1079"/>
    <w:bookmarkEnd w:id="1080"/>
    <w:bookmarkEnd w:id="1081"/>
    <w:bookmarkEnd w:id="1082"/>
    <w:bookmarkEnd w:id="1092"/>
    <w:bookmarkEnd w:id="1093"/>
    <w:p w14:paraId="768CF361">
      <w:pPr>
        <w:keepNext/>
        <w:keepLines/>
        <w:spacing w:before="120" w:beforeLines="50" w:after="120" w:afterLines="50" w:line="440" w:lineRule="exact"/>
        <w:outlineLvl w:val="3"/>
        <w:rPr>
          <w:rFonts w:hint="eastAsia" w:ascii="宋体" w:hAnsi="宋体" w:eastAsia="宋体" w:cs="宋体"/>
          <w:b/>
          <w:color w:val="auto"/>
          <w:sz w:val="24"/>
          <w:szCs w:val="24"/>
        </w:rPr>
      </w:pPr>
      <w:bookmarkStart w:id="1094" w:name="_Toc532375680"/>
      <w:bookmarkStart w:id="1095" w:name="_Toc351203651"/>
      <w:bookmarkStart w:id="1096" w:name="_Toc532377419"/>
      <w:r>
        <w:rPr>
          <w:rFonts w:hint="eastAsia" w:ascii="宋体" w:hAnsi="宋体" w:eastAsia="宋体" w:cs="宋体"/>
          <w:b/>
          <w:color w:val="auto"/>
          <w:sz w:val="24"/>
          <w:szCs w:val="24"/>
          <w:lang w:bidi="ar"/>
        </w:rPr>
        <w:t>20. 争议解决</w:t>
      </w:r>
      <w:bookmarkEnd w:id="1094"/>
      <w:bookmarkEnd w:id="1095"/>
      <w:bookmarkEnd w:id="1096"/>
    </w:p>
    <w:p w14:paraId="2A2AC3A1">
      <w:pPr>
        <w:keepNext/>
        <w:keepLines/>
        <w:tabs>
          <w:tab w:val="left" w:pos="2551"/>
        </w:tabs>
        <w:spacing w:line="440" w:lineRule="exact"/>
        <w:outlineLvl w:val="4"/>
        <w:rPr>
          <w:rFonts w:hint="eastAsia" w:ascii="宋体" w:hAnsi="宋体" w:eastAsia="宋体" w:cs="宋体"/>
          <w:b/>
          <w:color w:val="auto"/>
          <w:sz w:val="24"/>
          <w:szCs w:val="24"/>
        </w:rPr>
      </w:pPr>
      <w:bookmarkStart w:id="1097" w:name="_Toc532375681"/>
      <w:bookmarkStart w:id="1098" w:name="_Toc532377420"/>
      <w:r>
        <w:rPr>
          <w:rFonts w:hint="eastAsia" w:ascii="宋体" w:hAnsi="宋体" w:eastAsia="宋体" w:cs="宋体"/>
          <w:b/>
          <w:color w:val="auto"/>
          <w:sz w:val="24"/>
          <w:szCs w:val="24"/>
          <w:lang w:bidi="ar"/>
        </w:rPr>
        <w:t>20.3 争议评审</w:t>
      </w:r>
      <w:bookmarkEnd w:id="1097"/>
      <w:bookmarkEnd w:id="1098"/>
    </w:p>
    <w:p w14:paraId="7AAC6ABD">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合同当事人是否同意将工程争议提交争议评审小组决定：</w:t>
      </w:r>
      <w:r>
        <w:rPr>
          <w:rFonts w:hint="eastAsia" w:ascii="宋体" w:hAnsi="宋体" w:eastAsia="宋体" w:cs="宋体"/>
          <w:color w:val="auto"/>
          <w:sz w:val="24"/>
          <w:szCs w:val="24"/>
          <w:u w:val="single"/>
          <w:lang w:bidi="ar"/>
        </w:rPr>
        <w:t xml:space="preserve">  /  </w:t>
      </w:r>
      <w:r>
        <w:rPr>
          <w:rFonts w:hint="eastAsia" w:ascii="宋体" w:hAnsi="宋体" w:eastAsia="宋体" w:cs="宋体"/>
          <w:color w:val="auto"/>
          <w:sz w:val="24"/>
          <w:szCs w:val="24"/>
          <w:lang w:bidi="ar"/>
        </w:rPr>
        <w:t>。</w:t>
      </w:r>
    </w:p>
    <w:p w14:paraId="1DE45BCB">
      <w:pPr>
        <w:keepNext/>
        <w:keepLines/>
        <w:tabs>
          <w:tab w:val="left" w:pos="2551"/>
        </w:tabs>
        <w:spacing w:line="440" w:lineRule="exact"/>
        <w:outlineLvl w:val="4"/>
        <w:rPr>
          <w:rFonts w:hint="eastAsia" w:ascii="宋体" w:hAnsi="宋体" w:eastAsia="宋体" w:cs="宋体"/>
          <w:b/>
          <w:color w:val="auto"/>
          <w:sz w:val="24"/>
          <w:szCs w:val="24"/>
        </w:rPr>
      </w:pPr>
      <w:bookmarkStart w:id="1099" w:name="_Toc532377421"/>
      <w:bookmarkStart w:id="1100" w:name="_Toc532375682"/>
      <w:r>
        <w:rPr>
          <w:rFonts w:hint="eastAsia" w:ascii="宋体" w:hAnsi="宋体" w:eastAsia="宋体" w:cs="宋体"/>
          <w:b/>
          <w:color w:val="auto"/>
          <w:sz w:val="24"/>
          <w:szCs w:val="24"/>
          <w:lang w:bidi="ar"/>
        </w:rPr>
        <w:t>20.4 仲裁或诉讼</w:t>
      </w:r>
      <w:bookmarkEnd w:id="1099"/>
      <w:bookmarkEnd w:id="1100"/>
    </w:p>
    <w:p w14:paraId="1FFA9681">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因合同及合同有关事项发生的争议，按下列第</w:t>
      </w:r>
      <w:r>
        <w:rPr>
          <w:rFonts w:hint="eastAsia" w:ascii="宋体" w:hAnsi="宋体" w:eastAsia="宋体" w:cs="宋体"/>
          <w:color w:val="auto"/>
          <w:sz w:val="24"/>
          <w:szCs w:val="24"/>
          <w:u w:val="single"/>
          <w:lang w:bidi="ar"/>
        </w:rPr>
        <w:t xml:space="preserve"> 2 </w:t>
      </w:r>
      <w:r>
        <w:rPr>
          <w:rFonts w:hint="eastAsia" w:ascii="宋体" w:hAnsi="宋体" w:eastAsia="宋体" w:cs="宋体"/>
          <w:color w:val="auto"/>
          <w:sz w:val="24"/>
          <w:szCs w:val="24"/>
          <w:lang w:bidi="ar"/>
        </w:rPr>
        <w:t>种方式解决：</w:t>
      </w:r>
    </w:p>
    <w:p w14:paraId="7553DA32">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（1）向</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仲裁委员会申请仲裁；</w:t>
      </w:r>
    </w:p>
    <w:p w14:paraId="590DAC0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（2）向</w:t>
      </w:r>
      <w:r>
        <w:rPr>
          <w:rFonts w:hint="eastAsia" w:ascii="宋体" w:hAnsi="宋体" w:eastAsia="宋体" w:cs="宋体"/>
          <w:color w:val="auto"/>
          <w:sz w:val="24"/>
          <w:szCs w:val="24"/>
          <w:u w:val="single"/>
          <w:lang w:bidi="ar"/>
        </w:rPr>
        <w:t xml:space="preserve">  项目所在地  </w:t>
      </w:r>
      <w:r>
        <w:rPr>
          <w:rFonts w:hint="eastAsia" w:ascii="宋体" w:hAnsi="宋体" w:eastAsia="宋体" w:cs="宋体"/>
          <w:color w:val="auto"/>
          <w:sz w:val="24"/>
          <w:szCs w:val="24"/>
          <w:lang w:bidi="ar"/>
        </w:rPr>
        <w:t>人民法院起诉。</w:t>
      </w:r>
    </w:p>
    <w:p w14:paraId="212C3695">
      <w:pPr>
        <w:keepNext/>
        <w:keepLines/>
        <w:spacing w:before="120" w:beforeLines="50" w:after="120" w:afterLines="50" w:line="440" w:lineRule="exact"/>
        <w:outlineLvl w:val="3"/>
        <w:rPr>
          <w:rFonts w:hint="eastAsia" w:ascii="宋体" w:hAnsi="宋体" w:eastAsia="宋体" w:cs="宋体"/>
          <w:b/>
          <w:color w:val="auto"/>
          <w:sz w:val="24"/>
          <w:szCs w:val="24"/>
        </w:rPr>
      </w:pPr>
      <w:bookmarkStart w:id="1101" w:name="_Toc532375683"/>
      <w:bookmarkStart w:id="1102" w:name="_Toc532377422"/>
      <w:r>
        <w:rPr>
          <w:rFonts w:hint="eastAsia" w:ascii="宋体" w:hAnsi="宋体" w:eastAsia="宋体" w:cs="宋体"/>
          <w:b/>
          <w:color w:val="auto"/>
          <w:sz w:val="24"/>
          <w:szCs w:val="24"/>
          <w:lang w:bidi="ar"/>
        </w:rPr>
        <w:t>21. 补充条款</w:t>
      </w:r>
      <w:bookmarkEnd w:id="1101"/>
      <w:bookmarkEnd w:id="1102"/>
    </w:p>
    <w:p w14:paraId="670215A9">
      <w:pPr>
        <w:keepNext/>
        <w:keepLines/>
        <w:tabs>
          <w:tab w:val="left" w:pos="2551"/>
        </w:tabs>
        <w:spacing w:line="440" w:lineRule="exact"/>
        <w:outlineLvl w:val="4"/>
        <w:rPr>
          <w:rFonts w:hint="eastAsia" w:ascii="宋体" w:hAnsi="宋体" w:eastAsia="宋体" w:cs="宋体"/>
          <w:b/>
          <w:color w:val="auto"/>
          <w:sz w:val="24"/>
          <w:szCs w:val="24"/>
        </w:rPr>
      </w:pPr>
      <w:bookmarkStart w:id="1103" w:name="_Toc532377423"/>
      <w:bookmarkStart w:id="1104" w:name="_Toc532375684"/>
      <w:r>
        <w:rPr>
          <w:rFonts w:hint="eastAsia" w:ascii="宋体" w:hAnsi="宋体" w:eastAsia="宋体" w:cs="宋体"/>
          <w:b/>
          <w:color w:val="auto"/>
          <w:sz w:val="24"/>
          <w:szCs w:val="24"/>
          <w:lang w:bidi="ar"/>
        </w:rPr>
        <w:t>21.1 退出机制</w:t>
      </w:r>
      <w:bookmarkEnd w:id="1103"/>
      <w:bookmarkEnd w:id="1104"/>
    </w:p>
    <w:p w14:paraId="55DEA922">
      <w:pPr>
        <w:spacing w:line="440" w:lineRule="exact"/>
        <w:ind w:right="140" w:rightChars="5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21.1.1有下列情形之一的，发包人有权解除合同，亦有权兑付履约担保，并对承包人做清退出场处理</w:t>
      </w:r>
      <w:r>
        <w:rPr>
          <w:rFonts w:hint="eastAsia" w:ascii="宋体" w:hAnsi="宋体" w:eastAsia="宋体" w:cs="宋体"/>
          <w:color w:val="auto"/>
          <w:kern w:val="0"/>
          <w:sz w:val="24"/>
          <w:szCs w:val="24"/>
          <w:lang w:bidi="ar"/>
        </w:rPr>
        <w:t>：</w:t>
      </w:r>
    </w:p>
    <w:p w14:paraId="010B6A6C">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（1）因承包人原因造成较大及以上等级生产安全事故或工程质量事故的；</w:t>
      </w:r>
    </w:p>
    <w:p w14:paraId="52723E69">
      <w:pPr>
        <w:spacing w:line="440" w:lineRule="exact"/>
        <w:ind w:right="140" w:rightChars="5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（2）因承包人债权债务纠纷或其他纠纷导致工程无法正常施工的。</w:t>
      </w:r>
    </w:p>
    <w:p w14:paraId="15B311A3">
      <w:pPr>
        <w:spacing w:line="440" w:lineRule="exact"/>
        <w:ind w:right="140" w:rightChars="5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137991F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21.1.2有下列情形之一的，承包人有权解除合同，并按16.1.4约定执行：</w:t>
      </w:r>
    </w:p>
    <w:p w14:paraId="442AC3DA">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（1）因发包人征地、拆迁、补偿、审批手续等原因致使本工程延期开工超过90天的。</w:t>
      </w:r>
    </w:p>
    <w:p w14:paraId="23D0BF39">
      <w:pPr>
        <w:spacing w:line="440" w:lineRule="exact"/>
        <w:ind w:right="140" w:rightChars="5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w:t>
      </w:r>
    </w:p>
    <w:p w14:paraId="55069457">
      <w:pPr>
        <w:keepNext/>
        <w:keepLines/>
        <w:tabs>
          <w:tab w:val="left" w:pos="2551"/>
        </w:tabs>
        <w:spacing w:line="440" w:lineRule="exact"/>
        <w:outlineLvl w:val="4"/>
        <w:rPr>
          <w:rFonts w:hint="eastAsia" w:ascii="宋体" w:hAnsi="宋体" w:eastAsia="宋体" w:cs="宋体"/>
          <w:b/>
          <w:color w:val="auto"/>
          <w:sz w:val="24"/>
          <w:szCs w:val="24"/>
        </w:rPr>
      </w:pPr>
      <w:bookmarkStart w:id="1105" w:name="_Toc532375685"/>
      <w:bookmarkStart w:id="1106" w:name="_Toc532377424"/>
      <w:r>
        <w:rPr>
          <w:rFonts w:hint="eastAsia" w:ascii="宋体" w:hAnsi="宋体" w:eastAsia="宋体" w:cs="宋体"/>
          <w:b/>
          <w:color w:val="auto"/>
          <w:sz w:val="24"/>
          <w:szCs w:val="24"/>
          <w:lang w:bidi="ar"/>
        </w:rPr>
        <w:t>21.2智慧工地</w:t>
      </w:r>
      <w:bookmarkEnd w:id="1105"/>
      <w:bookmarkEnd w:id="1106"/>
    </w:p>
    <w:p w14:paraId="34C520A0">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工地建设可参照重庆市城乡建设委员会《关于印发“智慧工地”建设工作方案的通知》（渝建〔2017〕414号）的相关要求建设。</w:t>
      </w:r>
      <w:bookmarkEnd w:id="1049"/>
    </w:p>
    <w:p w14:paraId="26A0720F">
      <w:pPr>
        <w:keepNext/>
        <w:keepLines/>
        <w:tabs>
          <w:tab w:val="left" w:pos="2551"/>
        </w:tabs>
        <w:spacing w:line="440" w:lineRule="exact"/>
        <w:outlineLvl w:val="4"/>
        <w:rPr>
          <w:rFonts w:hint="eastAsia" w:ascii="宋体" w:hAnsi="宋体" w:eastAsia="宋体" w:cs="宋体"/>
          <w:b/>
          <w:color w:val="auto"/>
          <w:sz w:val="24"/>
          <w:szCs w:val="24"/>
        </w:rPr>
      </w:pPr>
      <w:r>
        <w:rPr>
          <w:rFonts w:hint="eastAsia" w:ascii="宋体" w:hAnsi="宋体" w:eastAsia="宋体" w:cs="宋体"/>
          <w:b/>
          <w:color w:val="auto"/>
          <w:sz w:val="24"/>
          <w:szCs w:val="24"/>
          <w:lang w:bidi="ar"/>
        </w:rPr>
        <w:t xml:space="preserve">21.3 </w:t>
      </w:r>
      <w:r>
        <w:rPr>
          <w:rFonts w:hint="eastAsia" w:ascii="宋体" w:hAnsi="宋体" w:eastAsia="宋体" w:cs="宋体"/>
          <w:b/>
          <w:color w:val="auto"/>
          <w:sz w:val="24"/>
          <w:szCs w:val="24"/>
          <w:u w:val="single"/>
          <w:lang w:bidi="ar"/>
        </w:rPr>
        <w:t xml:space="preserve">       </w:t>
      </w:r>
    </w:p>
    <w:p w14:paraId="1EAFAC24">
      <w:pPr>
        <w:keepNext/>
        <w:keepLines/>
        <w:spacing w:before="120" w:beforeLines="50" w:after="120" w:afterLines="50" w:line="440" w:lineRule="exact"/>
        <w:outlineLvl w:val="3"/>
        <w:rPr>
          <w:rFonts w:hint="eastAsia" w:ascii="宋体" w:hAnsi="宋体" w:eastAsia="宋体" w:cs="宋体"/>
          <w:b/>
          <w:color w:val="auto"/>
          <w:sz w:val="24"/>
          <w:szCs w:val="24"/>
        </w:rPr>
      </w:pPr>
      <w:bookmarkStart w:id="1107" w:name="baidusnap7"/>
      <w:bookmarkEnd w:id="1107"/>
      <w:bookmarkStart w:id="1108" w:name="baidusnap3"/>
      <w:bookmarkEnd w:id="1108"/>
      <w:bookmarkStart w:id="1109" w:name="_Toc532375686"/>
      <w:bookmarkStart w:id="1110" w:name="_Toc532377425"/>
      <w:bookmarkStart w:id="1111" w:name="_Toc351203652"/>
      <w:r>
        <w:rPr>
          <w:rFonts w:hint="eastAsia" w:ascii="宋体" w:hAnsi="宋体" w:eastAsia="宋体" w:cs="宋体"/>
          <w:b/>
          <w:color w:val="auto"/>
          <w:sz w:val="24"/>
          <w:szCs w:val="24"/>
          <w:lang w:bidi="ar"/>
        </w:rPr>
        <w:t>22. 合同附件</w:t>
      </w:r>
      <w:bookmarkEnd w:id="1109"/>
      <w:bookmarkEnd w:id="1110"/>
    </w:p>
    <w:p w14:paraId="2E520FCF">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以下附件是本合同的有效组成部分：</w:t>
      </w:r>
    </w:p>
    <w:p w14:paraId="78B63A46">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附件1：工程质量保修书</w:t>
      </w:r>
    </w:p>
    <w:p w14:paraId="40BB37BE">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附件2：主要建设工程文件目录</w:t>
      </w:r>
    </w:p>
    <w:p w14:paraId="2C519F9B">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附件3：承包人项目管理机构组成表</w:t>
      </w:r>
    </w:p>
    <w:p w14:paraId="294AD6D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附件4：履约担保</w:t>
      </w:r>
    </w:p>
    <w:p w14:paraId="1761C653">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附件5：廉洁从业协议</w:t>
      </w:r>
    </w:p>
    <w:p w14:paraId="3657210C">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附件6：安全管理协议</w:t>
      </w:r>
    </w:p>
    <w:p w14:paraId="5D327C2A">
      <w:pPr>
        <w:spacing w:line="440" w:lineRule="exact"/>
        <w:ind w:right="140" w:rightChars="5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附件7：保障农民工工资支付协议</w:t>
      </w:r>
    </w:p>
    <w:bookmarkEnd w:id="1111"/>
    <w:p w14:paraId="5E1D72F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br w:type="page"/>
      </w:r>
      <w:r>
        <w:rPr>
          <w:rFonts w:hint="eastAsia" w:ascii="宋体" w:hAnsi="宋体" w:eastAsia="宋体" w:cs="宋体"/>
          <w:color w:val="auto"/>
          <w:sz w:val="24"/>
          <w:szCs w:val="24"/>
          <w:lang w:bidi="ar"/>
        </w:rPr>
        <w:t>附</w:t>
      </w:r>
      <w:bookmarkStart w:id="1112" w:name="_Toc296944565"/>
      <w:bookmarkStart w:id="1113" w:name="_Toc296891266"/>
      <w:bookmarkStart w:id="1114" w:name="_Toc296891054"/>
      <w:bookmarkStart w:id="1115" w:name="_Toc296503226"/>
      <w:bookmarkStart w:id="1116" w:name="_Toc296346727"/>
      <w:bookmarkStart w:id="1117" w:name="_Toc296347225"/>
      <w:bookmarkStart w:id="1118" w:name="_Toc267261693"/>
      <w:r>
        <w:rPr>
          <w:rFonts w:hint="eastAsia" w:ascii="宋体" w:hAnsi="宋体" w:eastAsia="宋体" w:cs="宋体"/>
          <w:color w:val="auto"/>
          <w:sz w:val="24"/>
          <w:szCs w:val="24"/>
          <w:lang w:bidi="ar"/>
        </w:rPr>
        <w:t>件1：</w:t>
      </w:r>
      <w:bookmarkEnd w:id="1112"/>
      <w:bookmarkEnd w:id="1113"/>
      <w:bookmarkEnd w:id="1114"/>
      <w:bookmarkEnd w:id="1115"/>
      <w:bookmarkEnd w:id="1116"/>
      <w:bookmarkEnd w:id="1117"/>
      <w:bookmarkEnd w:id="1118"/>
    </w:p>
    <w:p w14:paraId="6613F93C">
      <w:pPr>
        <w:spacing w:before="120" w:beforeLines="50" w:after="120"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工程质量保修书</w:t>
      </w:r>
    </w:p>
    <w:p w14:paraId="6FDB6C7E">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发包人（全称）：</w:t>
      </w:r>
      <w:r>
        <w:rPr>
          <w:rFonts w:hint="eastAsia" w:ascii="宋体" w:hAnsi="宋体" w:eastAsia="宋体" w:cs="宋体"/>
          <w:b/>
          <w:color w:val="auto"/>
          <w:sz w:val="24"/>
          <w:szCs w:val="24"/>
          <w:u w:val="single"/>
          <w:lang w:bidi="ar"/>
        </w:rPr>
        <w:t xml:space="preserve">重庆市石桥铺殡仪馆     </w:t>
      </w:r>
      <w:r>
        <w:rPr>
          <w:rFonts w:hint="eastAsia" w:ascii="宋体" w:hAnsi="宋体" w:eastAsia="宋体" w:cs="宋体"/>
          <w:color w:val="auto"/>
          <w:sz w:val="24"/>
          <w:szCs w:val="24"/>
          <w:u w:val="single"/>
          <w:lang w:bidi="ar"/>
        </w:rPr>
        <w:t xml:space="preserve">      </w:t>
      </w:r>
    </w:p>
    <w:p w14:paraId="351B1C08">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承包人（全称）：</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u w:val="single"/>
          <w:lang w:bidi="ar"/>
        </w:rPr>
        <w:t xml:space="preserve"> </w:t>
      </w:r>
    </w:p>
    <w:p w14:paraId="3294A68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发包人和承包人根据《中华人民共和国建筑法》和《建设工程质量管理条例》，经协商一致就</w:t>
      </w:r>
      <w:r>
        <w:rPr>
          <w:rFonts w:hint="eastAsia" w:ascii="宋体" w:hAnsi="宋体" w:eastAsia="宋体" w:cs="宋体"/>
          <w:color w:val="auto"/>
          <w:sz w:val="24"/>
          <w:szCs w:val="24"/>
          <w:u w:val="single"/>
          <w:lang w:bidi="ar"/>
        </w:rPr>
        <w:t xml:space="preserve">  </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lang w:bidi="ar"/>
        </w:rPr>
        <w:t>（工程全称）签订工程质量保修书。</w:t>
      </w:r>
    </w:p>
    <w:p w14:paraId="0B23321D">
      <w:pPr>
        <w:spacing w:line="440" w:lineRule="exact"/>
        <w:ind w:firstLine="480" w:firstLineChars="200"/>
        <w:rPr>
          <w:rFonts w:hint="eastAsia" w:ascii="宋体" w:hAnsi="宋体" w:eastAsia="宋体" w:cs="宋体"/>
          <w:color w:val="auto"/>
          <w:sz w:val="24"/>
          <w:szCs w:val="24"/>
        </w:rPr>
      </w:pPr>
      <w:bookmarkStart w:id="1119" w:name="_Toc532375687"/>
      <w:r>
        <w:rPr>
          <w:rFonts w:hint="eastAsia" w:ascii="宋体" w:hAnsi="宋体" w:eastAsia="宋体" w:cs="宋体"/>
          <w:color w:val="auto"/>
          <w:sz w:val="24"/>
          <w:szCs w:val="24"/>
          <w:lang w:bidi="ar"/>
        </w:rPr>
        <w:t>一、工程质量保修范围和内容</w:t>
      </w:r>
      <w:bookmarkEnd w:id="1119"/>
    </w:p>
    <w:p w14:paraId="07DF7ED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承包人在质量保修期内，按照有关法律规定和合同约定，承担工程质量保修责任。</w:t>
      </w:r>
    </w:p>
    <w:p w14:paraId="2BDF899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1BC31B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承包人承包范围内容均属质量保修范围内容；其中：</w:t>
      </w:r>
    </w:p>
    <w:p w14:paraId="6BE5C2E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1.属于设计原因造成的质量问题，承包人负责维修，不留隐患，费用由发包人承担；</w:t>
      </w:r>
    </w:p>
    <w:p w14:paraId="48C14A1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2.属于施工造成的质量问题，承包人负责维修，不留隐患；</w:t>
      </w:r>
    </w:p>
    <w:p w14:paraId="27EBD8C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3.属于业主使用不当造成的质量问题，配合抢修，费用由发包人承担。</w:t>
      </w:r>
    </w:p>
    <w:p w14:paraId="11EF7940">
      <w:pPr>
        <w:spacing w:line="440" w:lineRule="exact"/>
        <w:ind w:firstLine="480" w:firstLineChars="200"/>
        <w:rPr>
          <w:rFonts w:hint="eastAsia" w:ascii="宋体" w:hAnsi="宋体" w:eastAsia="宋体" w:cs="宋体"/>
          <w:color w:val="auto"/>
          <w:sz w:val="24"/>
          <w:szCs w:val="24"/>
        </w:rPr>
      </w:pPr>
      <w:bookmarkStart w:id="1120" w:name="_Toc532375688"/>
      <w:r>
        <w:rPr>
          <w:rFonts w:hint="eastAsia" w:ascii="宋体" w:hAnsi="宋体" w:eastAsia="宋体" w:cs="宋体"/>
          <w:color w:val="auto"/>
          <w:sz w:val="24"/>
          <w:szCs w:val="24"/>
          <w:lang w:bidi="ar"/>
        </w:rPr>
        <w:t>二、质量保修期</w:t>
      </w:r>
      <w:bookmarkEnd w:id="1120"/>
    </w:p>
    <w:p w14:paraId="4A06073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根据《建设工程质量管理条例》及有关规定，本工程质量保修期约定如下：</w:t>
      </w:r>
    </w:p>
    <w:p w14:paraId="3E617B4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1.基础设施工程、房屋建筑的地基基础工程和主体结构工程，为设计文件规定的该工程的合理使用年限；</w:t>
      </w:r>
    </w:p>
    <w:p w14:paraId="437E0C9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2.屋面防水工程、有防水要求的卫生间、房间和外墙面的防渗漏，为5年；</w:t>
      </w:r>
    </w:p>
    <w:p w14:paraId="4704A70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3.供热与供冷系统，为2个采暖期、供冷期；</w:t>
      </w:r>
    </w:p>
    <w:p w14:paraId="5D4258B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4.电气管线、给排水管道、设备安装和装修工程，为2年；</w:t>
      </w:r>
    </w:p>
    <w:p w14:paraId="34FA2E7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5.绿化植物包成活期1年；</w:t>
      </w:r>
    </w:p>
    <w:p w14:paraId="1AC4D16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6.其他项目保修期限：2年；</w:t>
      </w:r>
    </w:p>
    <w:p w14:paraId="7631A87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建设工程的保修期，自工程竣工验收合格之日起计算。</w:t>
      </w:r>
    </w:p>
    <w:p w14:paraId="154BBAC8">
      <w:pPr>
        <w:spacing w:line="440" w:lineRule="exact"/>
        <w:ind w:firstLine="480" w:firstLineChars="200"/>
        <w:rPr>
          <w:rFonts w:hint="eastAsia" w:ascii="宋体" w:hAnsi="宋体" w:eastAsia="宋体" w:cs="宋体"/>
          <w:color w:val="auto"/>
          <w:sz w:val="24"/>
          <w:szCs w:val="24"/>
        </w:rPr>
      </w:pPr>
      <w:bookmarkStart w:id="1121" w:name="_Toc532375689"/>
      <w:r>
        <w:rPr>
          <w:rFonts w:hint="eastAsia" w:ascii="宋体" w:hAnsi="宋体" w:eastAsia="宋体" w:cs="宋体"/>
          <w:color w:val="auto"/>
          <w:sz w:val="24"/>
          <w:szCs w:val="24"/>
          <w:lang w:bidi="ar"/>
        </w:rPr>
        <w:t>三、质量保修责任</w:t>
      </w:r>
      <w:bookmarkEnd w:id="1121"/>
    </w:p>
    <w:p w14:paraId="0E88314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1.属于保修范围、内容的项目，承包人应当在接到保修通知之日起7天内派人保修。承包人不在约定期限内派人保修的，发包人可以委托他人修理。</w:t>
      </w:r>
    </w:p>
    <w:p w14:paraId="1AC69EB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2.发生紧急事故需抢修的，承包人在接到事故通知后，应当立即到达事故现场抢修。</w:t>
      </w:r>
    </w:p>
    <w:p w14:paraId="5766EA0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E72328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4.质量保修完成后，由发包人组织验收。</w:t>
      </w:r>
    </w:p>
    <w:p w14:paraId="0B2F5911">
      <w:pPr>
        <w:spacing w:line="440" w:lineRule="exact"/>
        <w:ind w:firstLine="480" w:firstLineChars="200"/>
        <w:rPr>
          <w:rFonts w:hint="eastAsia" w:ascii="宋体" w:hAnsi="宋体" w:eastAsia="宋体" w:cs="宋体"/>
          <w:color w:val="auto"/>
          <w:sz w:val="24"/>
          <w:szCs w:val="24"/>
        </w:rPr>
      </w:pPr>
      <w:bookmarkStart w:id="1122" w:name="_Toc532375690"/>
      <w:r>
        <w:rPr>
          <w:rFonts w:hint="eastAsia" w:ascii="宋体" w:hAnsi="宋体" w:eastAsia="宋体" w:cs="宋体"/>
          <w:color w:val="auto"/>
          <w:sz w:val="24"/>
          <w:szCs w:val="24"/>
          <w:lang w:bidi="ar"/>
        </w:rPr>
        <w:t>四、保修费用</w:t>
      </w:r>
      <w:bookmarkEnd w:id="1122"/>
    </w:p>
    <w:p w14:paraId="7D458B1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保修费用由质量缺陷的责任方承担。</w:t>
      </w:r>
    </w:p>
    <w:p w14:paraId="21300138">
      <w:pPr>
        <w:spacing w:line="440" w:lineRule="exact"/>
        <w:ind w:firstLine="480" w:firstLineChars="200"/>
        <w:rPr>
          <w:rFonts w:hint="eastAsia" w:ascii="宋体" w:hAnsi="宋体" w:eastAsia="宋体" w:cs="宋体"/>
          <w:color w:val="auto"/>
          <w:sz w:val="24"/>
          <w:szCs w:val="24"/>
        </w:rPr>
      </w:pPr>
      <w:bookmarkStart w:id="1123" w:name="_Toc532375691"/>
      <w:r>
        <w:rPr>
          <w:rFonts w:hint="eastAsia" w:ascii="宋体" w:hAnsi="宋体" w:eastAsia="宋体" w:cs="宋体"/>
          <w:color w:val="auto"/>
          <w:sz w:val="24"/>
          <w:szCs w:val="24"/>
          <w:lang w:bidi="ar"/>
        </w:rPr>
        <w:t>五、双方约定的其他工程质量保修事项</w:t>
      </w:r>
    </w:p>
    <w:p w14:paraId="5128AAD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按国家相关法律和规定执行</w:t>
      </w:r>
      <w:r>
        <w:rPr>
          <w:rFonts w:hint="eastAsia" w:ascii="宋体" w:hAnsi="宋体" w:eastAsia="宋体" w:cs="宋体"/>
          <w:color w:val="auto"/>
          <w:sz w:val="24"/>
          <w:szCs w:val="24"/>
          <w:lang w:bidi="ar"/>
        </w:rPr>
        <w:t>。</w:t>
      </w:r>
      <w:bookmarkEnd w:id="1123"/>
    </w:p>
    <w:p w14:paraId="4817C91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本工程质量保修书由发包人、承包人在工程竣工验收前共同签署，作为施工合同附件，其有效期限至保修期满。</w:t>
      </w:r>
    </w:p>
    <w:p w14:paraId="2AD5569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六、本文件生效</w:t>
      </w:r>
    </w:p>
    <w:p w14:paraId="6E5BC96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本工程质量保修书经发包人与承包人盖章后生效。</w:t>
      </w:r>
    </w:p>
    <w:p w14:paraId="21D4A5AB">
      <w:pPr>
        <w:spacing w:line="440" w:lineRule="exact"/>
        <w:ind w:firstLine="480" w:firstLineChars="200"/>
        <w:rPr>
          <w:rFonts w:hint="eastAsia" w:ascii="宋体" w:hAnsi="宋体" w:eastAsia="宋体" w:cs="宋体"/>
          <w:color w:val="auto"/>
          <w:sz w:val="24"/>
          <w:szCs w:val="24"/>
        </w:rPr>
      </w:pPr>
    </w:p>
    <w:p w14:paraId="07AFEB10">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snapToGrid w:val="0"/>
          <w:color w:val="auto"/>
          <w:kern w:val="0"/>
          <w:sz w:val="24"/>
          <w:szCs w:val="24"/>
          <w:lang w:bidi="ar"/>
        </w:rPr>
        <w:t>发包人：</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sz w:val="24"/>
          <w:szCs w:val="24"/>
          <w:u w:val="single"/>
          <w:lang w:bidi="ar"/>
        </w:rPr>
        <w:t>重庆市石桥铺殡仪馆</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（盖单位公章）</w:t>
      </w:r>
    </w:p>
    <w:p w14:paraId="45A6F80B">
      <w:pPr>
        <w:spacing w:line="440" w:lineRule="exact"/>
        <w:ind w:firstLine="480" w:firstLineChars="200"/>
        <w:rPr>
          <w:rFonts w:hint="eastAsia" w:ascii="宋体" w:hAnsi="宋体" w:eastAsia="宋体" w:cs="宋体"/>
          <w:snapToGrid w:val="0"/>
          <w:color w:val="auto"/>
          <w:kern w:val="0"/>
          <w:sz w:val="24"/>
          <w:szCs w:val="24"/>
        </w:rPr>
      </w:pPr>
    </w:p>
    <w:p w14:paraId="4C02CFF5">
      <w:pPr>
        <w:spacing w:line="440" w:lineRule="exact"/>
        <w:ind w:firstLine="480" w:firstLineChars="200"/>
        <w:rPr>
          <w:rFonts w:hint="eastAsia" w:ascii="宋体" w:hAnsi="宋体" w:eastAsia="宋体" w:cs="宋体"/>
          <w:snapToGrid w:val="0"/>
          <w:color w:val="auto"/>
          <w:kern w:val="0"/>
          <w:sz w:val="24"/>
          <w:szCs w:val="24"/>
        </w:rPr>
      </w:pPr>
    </w:p>
    <w:p w14:paraId="23A0D2BA">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snapToGrid w:val="0"/>
          <w:color w:val="auto"/>
          <w:kern w:val="0"/>
          <w:sz w:val="24"/>
          <w:szCs w:val="24"/>
          <w:lang w:bidi="ar"/>
        </w:rPr>
        <w:t>法定代表人或其委托代理人：</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（签字）</w:t>
      </w:r>
    </w:p>
    <w:p w14:paraId="38CDDC54">
      <w:pPr>
        <w:spacing w:line="440" w:lineRule="exact"/>
        <w:ind w:firstLine="480" w:firstLineChars="200"/>
        <w:rPr>
          <w:rFonts w:hint="eastAsia" w:ascii="宋体" w:hAnsi="宋体" w:eastAsia="宋体" w:cs="宋体"/>
          <w:snapToGrid w:val="0"/>
          <w:color w:val="auto"/>
          <w:kern w:val="0"/>
          <w:sz w:val="24"/>
          <w:szCs w:val="24"/>
        </w:rPr>
      </w:pPr>
    </w:p>
    <w:p w14:paraId="15E21910">
      <w:pPr>
        <w:spacing w:line="440" w:lineRule="exact"/>
        <w:ind w:firstLine="480" w:firstLineChars="200"/>
        <w:rPr>
          <w:rFonts w:hint="eastAsia" w:ascii="宋体" w:hAnsi="宋体" w:eastAsia="宋体" w:cs="宋体"/>
          <w:snapToGrid w:val="0"/>
          <w:color w:val="auto"/>
          <w:kern w:val="0"/>
          <w:sz w:val="24"/>
          <w:szCs w:val="24"/>
        </w:rPr>
      </w:pPr>
    </w:p>
    <w:p w14:paraId="335297D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bidi="ar"/>
        </w:rPr>
        <w:t>承包人：</w:t>
      </w:r>
      <w:r>
        <w:rPr>
          <w:rFonts w:hint="eastAsia" w:ascii="宋体" w:hAnsi="宋体" w:eastAsia="宋体" w:cs="宋体"/>
          <w:snapToGrid w:val="0"/>
          <w:color w:val="auto"/>
          <w:kern w:val="0"/>
          <w:sz w:val="24"/>
          <w:szCs w:val="24"/>
          <w:u w:val="single"/>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（盖单位公章）</w:t>
      </w:r>
    </w:p>
    <w:p w14:paraId="33BD668E">
      <w:pPr>
        <w:spacing w:line="440" w:lineRule="exact"/>
        <w:ind w:firstLine="480" w:firstLineChars="200"/>
        <w:rPr>
          <w:rFonts w:hint="eastAsia" w:ascii="宋体" w:hAnsi="宋体" w:eastAsia="宋体" w:cs="宋体"/>
          <w:snapToGrid w:val="0"/>
          <w:color w:val="auto"/>
          <w:kern w:val="0"/>
          <w:sz w:val="24"/>
          <w:szCs w:val="24"/>
        </w:rPr>
      </w:pPr>
    </w:p>
    <w:p w14:paraId="29BECB3C">
      <w:pPr>
        <w:spacing w:line="440" w:lineRule="exact"/>
        <w:ind w:firstLine="480" w:firstLineChars="200"/>
        <w:rPr>
          <w:rFonts w:hint="eastAsia" w:ascii="宋体" w:hAnsi="宋体" w:eastAsia="宋体" w:cs="宋体"/>
          <w:snapToGrid w:val="0"/>
          <w:color w:val="auto"/>
          <w:kern w:val="0"/>
          <w:sz w:val="24"/>
          <w:szCs w:val="24"/>
        </w:rPr>
      </w:pPr>
    </w:p>
    <w:p w14:paraId="3BEB6E6E">
      <w:pPr>
        <w:spacing w:line="440" w:lineRule="exact"/>
        <w:ind w:firstLine="480" w:firstLineChars="200"/>
        <w:rPr>
          <w:rFonts w:hint="eastAsia" w:ascii="宋体" w:hAnsi="宋体" w:eastAsia="宋体" w:cs="宋体"/>
          <w:color w:val="auto"/>
          <w:spacing w:val="1"/>
          <w:w w:val="99"/>
          <w:kern w:val="0"/>
          <w:position w:val="-2"/>
          <w:sz w:val="24"/>
          <w:szCs w:val="24"/>
        </w:rPr>
      </w:pPr>
      <w:r>
        <w:rPr>
          <w:rFonts w:hint="eastAsia" w:ascii="宋体" w:hAnsi="宋体" w:eastAsia="宋体" w:cs="宋体"/>
          <w:snapToGrid w:val="0"/>
          <w:color w:val="auto"/>
          <w:kern w:val="0"/>
          <w:sz w:val="24"/>
          <w:szCs w:val="24"/>
          <w:lang w:bidi="ar"/>
        </w:rPr>
        <w:t>法定代表人或其委托代理人：</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（签字）</w:t>
      </w:r>
    </w:p>
    <w:p w14:paraId="2B50C2BF">
      <w:pPr>
        <w:spacing w:line="440" w:lineRule="exact"/>
        <w:ind w:firstLine="478" w:firstLineChars="200"/>
        <w:rPr>
          <w:rFonts w:hint="eastAsia" w:ascii="宋体" w:hAnsi="宋体" w:eastAsia="宋体" w:cs="宋体"/>
          <w:snapToGrid w:val="0"/>
          <w:color w:val="auto"/>
          <w:spacing w:val="1"/>
          <w:w w:val="99"/>
          <w:kern w:val="0"/>
          <w:position w:val="-2"/>
          <w:sz w:val="24"/>
          <w:szCs w:val="24"/>
        </w:rPr>
      </w:pPr>
    </w:p>
    <w:p w14:paraId="213EBD33">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snapToGrid w:val="0"/>
          <w:color w:val="auto"/>
          <w:kern w:val="0"/>
          <w:sz w:val="24"/>
          <w:szCs w:val="24"/>
          <w:lang w:bidi="ar"/>
        </w:rPr>
        <w:t>签约时间：</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年</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月</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snapToGrid w:val="0"/>
          <w:color w:val="auto"/>
          <w:kern w:val="0"/>
          <w:sz w:val="24"/>
          <w:szCs w:val="24"/>
          <w:lang w:bidi="ar"/>
        </w:rPr>
        <w:t>日</w:t>
      </w:r>
    </w:p>
    <w:p w14:paraId="5FAAB76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br w:type="page"/>
      </w:r>
      <w:r>
        <w:rPr>
          <w:rFonts w:hint="eastAsia" w:ascii="宋体" w:hAnsi="宋体" w:eastAsia="宋体" w:cs="宋体"/>
          <w:color w:val="auto"/>
          <w:sz w:val="24"/>
          <w:szCs w:val="24"/>
          <w:lang w:bidi="ar"/>
        </w:rPr>
        <w:t>附件2：</w:t>
      </w:r>
    </w:p>
    <w:p w14:paraId="78F545A0">
      <w:pPr>
        <w:spacing w:before="120" w:beforeLines="50" w:after="120"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主要建设工程文件目录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30AA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40DD102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文件名称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60F05C">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套数</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05B7F0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移交时间</w:t>
            </w:r>
          </w:p>
        </w:tc>
        <w:tc>
          <w:tcPr>
            <w:tcW w:w="2917" w:type="dxa"/>
            <w:tcBorders>
              <w:top w:val="single" w:color="auto" w:sz="4" w:space="0"/>
              <w:left w:val="single" w:color="auto" w:sz="4" w:space="0"/>
              <w:bottom w:val="single" w:color="auto" w:sz="4" w:space="0"/>
              <w:right w:val="single" w:color="auto" w:sz="4" w:space="0"/>
            </w:tcBorders>
            <w:noWrap w:val="0"/>
            <w:vAlign w:val="top"/>
          </w:tcPr>
          <w:p w14:paraId="6760B83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责任人</w:t>
            </w:r>
          </w:p>
        </w:tc>
      </w:tr>
      <w:tr w14:paraId="7365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23894873">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B1609B">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93AEFD">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61B6879">
            <w:pPr>
              <w:spacing w:line="440" w:lineRule="exact"/>
              <w:ind w:firstLine="480" w:firstLineChars="200"/>
              <w:rPr>
                <w:rFonts w:hint="eastAsia" w:ascii="宋体" w:hAnsi="宋体" w:eastAsia="宋体" w:cs="宋体"/>
                <w:color w:val="auto"/>
                <w:sz w:val="24"/>
                <w:szCs w:val="24"/>
              </w:rPr>
            </w:pPr>
          </w:p>
        </w:tc>
      </w:tr>
      <w:tr w14:paraId="6407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5ADDC521">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C476F4">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5EE653">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33E584D0">
            <w:pPr>
              <w:spacing w:line="440" w:lineRule="exact"/>
              <w:ind w:firstLine="480" w:firstLineChars="200"/>
              <w:rPr>
                <w:rFonts w:hint="eastAsia" w:ascii="宋体" w:hAnsi="宋体" w:eastAsia="宋体" w:cs="宋体"/>
                <w:color w:val="auto"/>
                <w:sz w:val="24"/>
                <w:szCs w:val="24"/>
              </w:rPr>
            </w:pPr>
          </w:p>
        </w:tc>
      </w:tr>
      <w:tr w14:paraId="2B44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6FCEF02B">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C518788">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30ACD3">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7B0FD19">
            <w:pPr>
              <w:spacing w:line="440" w:lineRule="exact"/>
              <w:ind w:firstLine="480" w:firstLineChars="200"/>
              <w:rPr>
                <w:rFonts w:hint="eastAsia" w:ascii="宋体" w:hAnsi="宋体" w:eastAsia="宋体" w:cs="宋体"/>
                <w:color w:val="auto"/>
                <w:sz w:val="24"/>
                <w:szCs w:val="24"/>
              </w:rPr>
            </w:pPr>
          </w:p>
        </w:tc>
      </w:tr>
      <w:tr w14:paraId="530D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43711689">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C8F3D1">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B27CE1">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19A7AC8">
            <w:pPr>
              <w:spacing w:line="440" w:lineRule="exact"/>
              <w:ind w:firstLine="480" w:firstLineChars="200"/>
              <w:rPr>
                <w:rFonts w:hint="eastAsia" w:ascii="宋体" w:hAnsi="宋体" w:eastAsia="宋体" w:cs="宋体"/>
                <w:color w:val="auto"/>
                <w:sz w:val="24"/>
                <w:szCs w:val="24"/>
              </w:rPr>
            </w:pPr>
          </w:p>
        </w:tc>
      </w:tr>
      <w:tr w14:paraId="650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1D321CDE">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71527A">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956E1F">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D5E7BF2">
            <w:pPr>
              <w:spacing w:line="440" w:lineRule="exact"/>
              <w:ind w:firstLine="480" w:firstLineChars="200"/>
              <w:rPr>
                <w:rFonts w:hint="eastAsia" w:ascii="宋体" w:hAnsi="宋体" w:eastAsia="宋体" w:cs="宋体"/>
                <w:color w:val="auto"/>
                <w:sz w:val="24"/>
                <w:szCs w:val="24"/>
              </w:rPr>
            </w:pPr>
          </w:p>
        </w:tc>
      </w:tr>
      <w:tr w14:paraId="6FFE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11D8DA83">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BA485B">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76C5B9">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597195A5">
            <w:pPr>
              <w:spacing w:line="440" w:lineRule="exact"/>
              <w:ind w:firstLine="480" w:firstLineChars="200"/>
              <w:rPr>
                <w:rFonts w:hint="eastAsia" w:ascii="宋体" w:hAnsi="宋体" w:eastAsia="宋体" w:cs="宋体"/>
                <w:color w:val="auto"/>
                <w:sz w:val="24"/>
                <w:szCs w:val="24"/>
              </w:rPr>
            </w:pPr>
          </w:p>
        </w:tc>
      </w:tr>
      <w:tr w14:paraId="4B89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442A1214">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70049C">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D7818A">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15D8836">
            <w:pPr>
              <w:spacing w:line="440" w:lineRule="exact"/>
              <w:ind w:firstLine="480" w:firstLineChars="200"/>
              <w:rPr>
                <w:rFonts w:hint="eastAsia" w:ascii="宋体" w:hAnsi="宋体" w:eastAsia="宋体" w:cs="宋体"/>
                <w:color w:val="auto"/>
                <w:sz w:val="24"/>
                <w:szCs w:val="24"/>
              </w:rPr>
            </w:pPr>
          </w:p>
        </w:tc>
      </w:tr>
      <w:tr w14:paraId="67E6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703F5813">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3F50C5">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526D33">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0B9B7231">
            <w:pPr>
              <w:spacing w:line="440" w:lineRule="exact"/>
              <w:ind w:firstLine="480" w:firstLineChars="200"/>
              <w:rPr>
                <w:rFonts w:hint="eastAsia" w:ascii="宋体" w:hAnsi="宋体" w:eastAsia="宋体" w:cs="宋体"/>
                <w:color w:val="auto"/>
                <w:sz w:val="24"/>
                <w:szCs w:val="24"/>
              </w:rPr>
            </w:pPr>
          </w:p>
        </w:tc>
      </w:tr>
      <w:tr w14:paraId="1A96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51B1C46D">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5FA4809">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364554">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45BD199B">
            <w:pPr>
              <w:spacing w:line="440" w:lineRule="exact"/>
              <w:ind w:firstLine="480" w:firstLineChars="200"/>
              <w:rPr>
                <w:rFonts w:hint="eastAsia" w:ascii="宋体" w:hAnsi="宋体" w:eastAsia="宋体" w:cs="宋体"/>
                <w:color w:val="auto"/>
                <w:sz w:val="24"/>
                <w:szCs w:val="24"/>
              </w:rPr>
            </w:pPr>
          </w:p>
        </w:tc>
      </w:tr>
      <w:tr w14:paraId="4A6B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center"/>
          </w:tcPr>
          <w:p w14:paraId="79F809D2">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641904">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E13982">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1939A9B1">
            <w:pPr>
              <w:spacing w:line="440" w:lineRule="exact"/>
              <w:ind w:firstLine="480" w:firstLineChars="200"/>
              <w:rPr>
                <w:rFonts w:hint="eastAsia" w:ascii="宋体" w:hAnsi="宋体" w:eastAsia="宋体" w:cs="宋体"/>
                <w:color w:val="auto"/>
                <w:sz w:val="24"/>
                <w:szCs w:val="24"/>
              </w:rPr>
            </w:pPr>
          </w:p>
        </w:tc>
      </w:tr>
      <w:tr w14:paraId="54E8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5FC4B525">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0BD9C4B">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35D363">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53A79455">
            <w:pPr>
              <w:spacing w:line="440" w:lineRule="exact"/>
              <w:ind w:firstLine="480" w:firstLineChars="200"/>
              <w:rPr>
                <w:rFonts w:hint="eastAsia" w:ascii="宋体" w:hAnsi="宋体" w:eastAsia="宋体" w:cs="宋体"/>
                <w:color w:val="auto"/>
                <w:sz w:val="24"/>
                <w:szCs w:val="24"/>
              </w:rPr>
            </w:pPr>
          </w:p>
        </w:tc>
      </w:tr>
      <w:tr w14:paraId="3F99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005BDA10">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67AB8B0">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6BF1190">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022CB4AF">
            <w:pPr>
              <w:spacing w:line="440" w:lineRule="exact"/>
              <w:ind w:firstLine="480" w:firstLineChars="200"/>
              <w:rPr>
                <w:rFonts w:hint="eastAsia" w:ascii="宋体" w:hAnsi="宋体" w:eastAsia="宋体" w:cs="宋体"/>
                <w:color w:val="auto"/>
                <w:sz w:val="24"/>
                <w:szCs w:val="24"/>
              </w:rPr>
            </w:pPr>
          </w:p>
        </w:tc>
      </w:tr>
      <w:tr w14:paraId="6CDB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2E8BD1AC">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6A26B47">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4572CBB">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05998F01">
            <w:pPr>
              <w:spacing w:line="440" w:lineRule="exact"/>
              <w:ind w:firstLine="480" w:firstLineChars="200"/>
              <w:rPr>
                <w:rFonts w:hint="eastAsia" w:ascii="宋体" w:hAnsi="宋体" w:eastAsia="宋体" w:cs="宋体"/>
                <w:color w:val="auto"/>
                <w:sz w:val="24"/>
                <w:szCs w:val="24"/>
              </w:rPr>
            </w:pPr>
          </w:p>
        </w:tc>
      </w:tr>
      <w:tr w14:paraId="0F4D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1415C934">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27BD665">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E045CF">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2F5C8A5F">
            <w:pPr>
              <w:spacing w:line="440" w:lineRule="exact"/>
              <w:ind w:firstLine="480" w:firstLineChars="200"/>
              <w:rPr>
                <w:rFonts w:hint="eastAsia" w:ascii="宋体" w:hAnsi="宋体" w:eastAsia="宋体" w:cs="宋体"/>
                <w:color w:val="auto"/>
                <w:sz w:val="24"/>
                <w:szCs w:val="24"/>
              </w:rPr>
            </w:pPr>
          </w:p>
        </w:tc>
      </w:tr>
      <w:tr w14:paraId="2C5F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68B69AB0">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5731F85">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E8CEAEF">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5B3810FF">
            <w:pPr>
              <w:spacing w:line="440" w:lineRule="exact"/>
              <w:ind w:firstLine="480" w:firstLineChars="200"/>
              <w:rPr>
                <w:rFonts w:hint="eastAsia" w:ascii="宋体" w:hAnsi="宋体" w:eastAsia="宋体" w:cs="宋体"/>
                <w:color w:val="auto"/>
                <w:sz w:val="24"/>
                <w:szCs w:val="24"/>
              </w:rPr>
            </w:pPr>
          </w:p>
        </w:tc>
      </w:tr>
      <w:tr w14:paraId="4DDD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42BDC687">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414285A">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AC10E13">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747A71C9">
            <w:pPr>
              <w:spacing w:line="440" w:lineRule="exact"/>
              <w:ind w:firstLine="480" w:firstLineChars="200"/>
              <w:rPr>
                <w:rFonts w:hint="eastAsia" w:ascii="宋体" w:hAnsi="宋体" w:eastAsia="宋体" w:cs="宋体"/>
                <w:color w:val="auto"/>
                <w:sz w:val="24"/>
                <w:szCs w:val="24"/>
              </w:rPr>
            </w:pPr>
          </w:p>
        </w:tc>
      </w:tr>
      <w:tr w14:paraId="503C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0421A6A6">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8E79394">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86961CD">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3E0318DA">
            <w:pPr>
              <w:spacing w:line="440" w:lineRule="exact"/>
              <w:ind w:firstLine="480" w:firstLineChars="200"/>
              <w:rPr>
                <w:rFonts w:hint="eastAsia" w:ascii="宋体" w:hAnsi="宋体" w:eastAsia="宋体" w:cs="宋体"/>
                <w:color w:val="auto"/>
                <w:sz w:val="24"/>
                <w:szCs w:val="24"/>
              </w:rPr>
            </w:pPr>
          </w:p>
        </w:tc>
      </w:tr>
      <w:tr w14:paraId="5A39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noWrap w:val="0"/>
            <w:vAlign w:val="top"/>
          </w:tcPr>
          <w:p w14:paraId="77600692">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AE5F149">
            <w:pPr>
              <w:spacing w:line="440" w:lineRule="exact"/>
              <w:ind w:firstLine="480" w:firstLineChars="200"/>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BFC1F5D">
            <w:pPr>
              <w:spacing w:line="440" w:lineRule="exact"/>
              <w:ind w:firstLine="480" w:firstLineChars="200"/>
              <w:rPr>
                <w:rFonts w:hint="eastAsia" w:ascii="宋体" w:hAnsi="宋体" w:eastAsia="宋体" w:cs="宋体"/>
                <w:color w:val="auto"/>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top"/>
          </w:tcPr>
          <w:p w14:paraId="0BE6A365">
            <w:pPr>
              <w:spacing w:line="440" w:lineRule="exact"/>
              <w:ind w:firstLine="480" w:firstLineChars="200"/>
              <w:rPr>
                <w:rFonts w:hint="eastAsia" w:ascii="宋体" w:hAnsi="宋体" w:eastAsia="宋体" w:cs="宋体"/>
                <w:color w:val="auto"/>
                <w:sz w:val="24"/>
                <w:szCs w:val="24"/>
              </w:rPr>
            </w:pPr>
          </w:p>
        </w:tc>
      </w:tr>
    </w:tbl>
    <w:p w14:paraId="0AB87E01">
      <w:pPr>
        <w:spacing w:line="440" w:lineRule="exact"/>
        <w:ind w:firstLine="480" w:firstLineChars="200"/>
        <w:rPr>
          <w:rFonts w:hint="eastAsia" w:ascii="宋体" w:hAnsi="宋体" w:eastAsia="宋体" w:cs="宋体"/>
          <w:color w:val="auto"/>
          <w:sz w:val="24"/>
          <w:szCs w:val="24"/>
        </w:rPr>
      </w:pPr>
    </w:p>
    <w:p w14:paraId="1389853E">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br w:type="page"/>
      </w:r>
      <w:r>
        <w:rPr>
          <w:rFonts w:hint="eastAsia" w:ascii="宋体" w:hAnsi="宋体" w:eastAsia="宋体" w:cs="宋体"/>
          <w:color w:val="auto"/>
          <w:sz w:val="24"/>
          <w:szCs w:val="24"/>
          <w:lang w:bidi="ar"/>
        </w:rPr>
        <w:t>附</w:t>
      </w:r>
      <w:bookmarkStart w:id="1124" w:name="_Toc296503228"/>
      <w:bookmarkStart w:id="1125" w:name="_Toc296346729"/>
      <w:bookmarkStart w:id="1126" w:name="_Toc296891056"/>
      <w:bookmarkStart w:id="1127" w:name="_Toc267261699"/>
      <w:bookmarkStart w:id="1128" w:name="_Toc296944567"/>
      <w:bookmarkStart w:id="1129" w:name="_Toc296347227"/>
      <w:bookmarkStart w:id="1130" w:name="_Toc296891268"/>
      <w:r>
        <w:rPr>
          <w:rFonts w:hint="eastAsia" w:ascii="宋体" w:hAnsi="宋体" w:eastAsia="宋体" w:cs="宋体"/>
          <w:color w:val="auto"/>
          <w:sz w:val="24"/>
          <w:szCs w:val="24"/>
          <w:lang w:bidi="ar"/>
        </w:rPr>
        <w:t>件3：</w:t>
      </w:r>
    </w:p>
    <w:bookmarkEnd w:id="1124"/>
    <w:bookmarkEnd w:id="1125"/>
    <w:bookmarkEnd w:id="1126"/>
    <w:bookmarkEnd w:id="1127"/>
    <w:bookmarkEnd w:id="1128"/>
    <w:bookmarkEnd w:id="1129"/>
    <w:bookmarkEnd w:id="1130"/>
    <w:p w14:paraId="2127B239">
      <w:pPr>
        <w:spacing w:before="120" w:beforeLines="50" w:after="120"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承包人项目管理机构组成表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5"/>
        <w:gridCol w:w="1135"/>
        <w:gridCol w:w="4252"/>
      </w:tblGrid>
      <w:tr w14:paraId="7B10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699B9D1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名    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8B4EF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姓名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2503DD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职务</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B6EA29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职称</w:t>
            </w:r>
          </w:p>
        </w:tc>
        <w:tc>
          <w:tcPr>
            <w:tcW w:w="4252" w:type="dxa"/>
            <w:tcBorders>
              <w:top w:val="single" w:color="auto" w:sz="4" w:space="0"/>
              <w:left w:val="single" w:color="auto" w:sz="4" w:space="0"/>
              <w:bottom w:val="single" w:color="auto" w:sz="4" w:space="0"/>
              <w:right w:val="single" w:color="auto" w:sz="4" w:space="0"/>
            </w:tcBorders>
            <w:noWrap w:val="0"/>
            <w:vAlign w:val="center"/>
          </w:tcPr>
          <w:p w14:paraId="1AF48DC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主要资历、经验及承担过的项目</w:t>
            </w:r>
          </w:p>
        </w:tc>
      </w:tr>
      <w:tr w14:paraId="7106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14:paraId="5A82E086">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一、总部人员</w:t>
            </w:r>
          </w:p>
        </w:tc>
      </w:tr>
      <w:tr w14:paraId="4CBE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46E21EB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项目主管</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C3C92F">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2BB08AD">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FF5CB90">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3DFF7F12">
            <w:pPr>
              <w:spacing w:line="440" w:lineRule="exact"/>
              <w:ind w:firstLine="480" w:firstLineChars="200"/>
              <w:rPr>
                <w:rFonts w:hint="eastAsia" w:ascii="宋体" w:hAnsi="宋体" w:eastAsia="宋体" w:cs="宋体"/>
                <w:color w:val="auto"/>
                <w:sz w:val="24"/>
                <w:szCs w:val="24"/>
              </w:rPr>
            </w:pPr>
          </w:p>
        </w:tc>
      </w:tr>
      <w:tr w14:paraId="2902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232761EC">
            <w:pPr>
              <w:spacing w:line="440" w:lineRule="exact"/>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0CA560">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08F8691">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A96EFCE">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2C528AD5">
            <w:pPr>
              <w:spacing w:line="440" w:lineRule="exact"/>
              <w:ind w:firstLine="480" w:firstLineChars="200"/>
              <w:rPr>
                <w:rFonts w:hint="eastAsia" w:ascii="宋体" w:hAnsi="宋体" w:eastAsia="宋体" w:cs="宋体"/>
                <w:color w:val="auto"/>
                <w:sz w:val="24"/>
                <w:szCs w:val="24"/>
              </w:rPr>
            </w:pPr>
          </w:p>
        </w:tc>
      </w:tr>
      <w:tr w14:paraId="6D9C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37D98782">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D407DE">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9DBF05C">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992B3BB">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5AB9B86A">
            <w:pPr>
              <w:spacing w:line="440" w:lineRule="exact"/>
              <w:ind w:firstLine="480" w:firstLineChars="200"/>
              <w:rPr>
                <w:rFonts w:hint="eastAsia" w:ascii="宋体" w:hAnsi="宋体" w:eastAsia="宋体" w:cs="宋体"/>
                <w:color w:val="auto"/>
                <w:sz w:val="24"/>
                <w:szCs w:val="24"/>
              </w:rPr>
            </w:pPr>
          </w:p>
        </w:tc>
      </w:tr>
      <w:tr w14:paraId="1F2F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09A67485">
            <w:pPr>
              <w:spacing w:line="440" w:lineRule="exact"/>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5FA97A">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A56B069">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E770A98">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1FC95980">
            <w:pPr>
              <w:spacing w:line="440" w:lineRule="exact"/>
              <w:ind w:firstLine="480" w:firstLineChars="200"/>
              <w:rPr>
                <w:rFonts w:hint="eastAsia" w:ascii="宋体" w:hAnsi="宋体" w:eastAsia="宋体" w:cs="宋体"/>
                <w:color w:val="auto"/>
                <w:sz w:val="24"/>
                <w:szCs w:val="24"/>
              </w:rPr>
            </w:pPr>
          </w:p>
        </w:tc>
      </w:tr>
      <w:tr w14:paraId="4834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14:paraId="07F23C61">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二、现场人员</w:t>
            </w:r>
          </w:p>
        </w:tc>
      </w:tr>
      <w:tr w14:paraId="383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120162D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项目经理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5A0F050">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25C6F80">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3441F50">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36594389">
            <w:pPr>
              <w:spacing w:line="440" w:lineRule="exact"/>
              <w:ind w:firstLine="480" w:firstLineChars="200"/>
              <w:rPr>
                <w:rFonts w:hint="eastAsia" w:ascii="宋体" w:hAnsi="宋体" w:eastAsia="宋体" w:cs="宋体"/>
                <w:color w:val="auto"/>
                <w:sz w:val="24"/>
                <w:szCs w:val="24"/>
              </w:rPr>
            </w:pPr>
          </w:p>
        </w:tc>
      </w:tr>
      <w:tr w14:paraId="42BA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3CFC2B0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项目副经理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40B918">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D6D723C">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F9D44A6">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6DB721D4">
            <w:pPr>
              <w:spacing w:line="440" w:lineRule="exact"/>
              <w:ind w:firstLine="480" w:firstLineChars="200"/>
              <w:rPr>
                <w:rFonts w:hint="eastAsia" w:ascii="宋体" w:hAnsi="宋体" w:eastAsia="宋体" w:cs="宋体"/>
                <w:color w:val="auto"/>
                <w:sz w:val="24"/>
                <w:szCs w:val="24"/>
              </w:rPr>
            </w:pPr>
          </w:p>
        </w:tc>
      </w:tr>
      <w:tr w14:paraId="1345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4190142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技术负责人</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A62B8C">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68B2884">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586B922">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2DF09CB0">
            <w:pPr>
              <w:spacing w:line="440" w:lineRule="exact"/>
              <w:ind w:firstLine="480" w:firstLineChars="200"/>
              <w:rPr>
                <w:rFonts w:hint="eastAsia" w:ascii="宋体" w:hAnsi="宋体" w:eastAsia="宋体" w:cs="宋体"/>
                <w:color w:val="auto"/>
                <w:sz w:val="24"/>
                <w:szCs w:val="24"/>
              </w:rPr>
            </w:pPr>
          </w:p>
        </w:tc>
      </w:tr>
      <w:tr w14:paraId="7B80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69F6EF7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造价管理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424777">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318198D">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5F65AF8">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55BCDA85">
            <w:pPr>
              <w:spacing w:line="440" w:lineRule="exact"/>
              <w:ind w:firstLine="480" w:firstLineChars="200"/>
              <w:rPr>
                <w:rFonts w:hint="eastAsia" w:ascii="宋体" w:hAnsi="宋体" w:eastAsia="宋体" w:cs="宋体"/>
                <w:color w:val="auto"/>
                <w:sz w:val="24"/>
                <w:szCs w:val="24"/>
              </w:rPr>
            </w:pPr>
          </w:p>
        </w:tc>
      </w:tr>
      <w:tr w14:paraId="68BB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2022E5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质量管理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6F3568">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06FDA29">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EAF3C86">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558CB28B">
            <w:pPr>
              <w:spacing w:line="440" w:lineRule="exact"/>
              <w:ind w:firstLine="480" w:firstLineChars="200"/>
              <w:rPr>
                <w:rFonts w:hint="eastAsia" w:ascii="宋体" w:hAnsi="宋体" w:eastAsia="宋体" w:cs="宋体"/>
                <w:color w:val="auto"/>
                <w:sz w:val="24"/>
                <w:szCs w:val="24"/>
              </w:rPr>
            </w:pPr>
          </w:p>
        </w:tc>
      </w:tr>
      <w:tr w14:paraId="6770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46CFD3B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材料管理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F3ADB9">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8553760">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752D736">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4B0C21A7">
            <w:pPr>
              <w:spacing w:line="440" w:lineRule="exact"/>
              <w:ind w:firstLine="480" w:firstLineChars="200"/>
              <w:rPr>
                <w:rFonts w:hint="eastAsia" w:ascii="宋体" w:hAnsi="宋体" w:eastAsia="宋体" w:cs="宋体"/>
                <w:color w:val="auto"/>
                <w:sz w:val="24"/>
                <w:szCs w:val="24"/>
              </w:rPr>
            </w:pPr>
          </w:p>
        </w:tc>
      </w:tr>
      <w:tr w14:paraId="2311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2EF80F7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计划管理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84E8FF">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6347A9">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9CCA11F">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2887BA56">
            <w:pPr>
              <w:spacing w:line="440" w:lineRule="exact"/>
              <w:ind w:firstLine="480" w:firstLineChars="200"/>
              <w:rPr>
                <w:rFonts w:hint="eastAsia" w:ascii="宋体" w:hAnsi="宋体" w:eastAsia="宋体" w:cs="宋体"/>
                <w:color w:val="auto"/>
                <w:sz w:val="24"/>
                <w:szCs w:val="24"/>
              </w:rPr>
            </w:pPr>
          </w:p>
        </w:tc>
      </w:tr>
      <w:tr w14:paraId="1AE5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206E83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安全管理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7B2750">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723AA23">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BBF72D5">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2B78E0AB">
            <w:pPr>
              <w:spacing w:line="440" w:lineRule="exact"/>
              <w:ind w:firstLine="480" w:firstLineChars="200"/>
              <w:rPr>
                <w:rFonts w:hint="eastAsia" w:ascii="宋体" w:hAnsi="宋体" w:eastAsia="宋体" w:cs="宋体"/>
                <w:color w:val="auto"/>
                <w:sz w:val="24"/>
                <w:szCs w:val="24"/>
              </w:rPr>
            </w:pPr>
          </w:p>
        </w:tc>
      </w:tr>
      <w:tr w14:paraId="3623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14:paraId="68333F2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7FABFC">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BD8626C">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24EAF57">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1C9D15C5">
            <w:pPr>
              <w:spacing w:line="440" w:lineRule="exact"/>
              <w:ind w:firstLine="480" w:firstLineChars="200"/>
              <w:rPr>
                <w:rFonts w:hint="eastAsia" w:ascii="宋体" w:hAnsi="宋体" w:eastAsia="宋体" w:cs="宋体"/>
                <w:color w:val="auto"/>
                <w:sz w:val="24"/>
                <w:szCs w:val="24"/>
              </w:rPr>
            </w:pPr>
          </w:p>
        </w:tc>
      </w:tr>
      <w:tr w14:paraId="1390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14:paraId="620FC7D0">
            <w:pPr>
              <w:rPr>
                <w:rFonts w:hint="eastAsia" w:ascii="宋体" w:hAnsi="宋体" w:eastAsia="宋体" w:cs="宋体"/>
                <w:color w:val="auto"/>
                <w:sz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FD0D59">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E3DD7A8">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B6EE5C4">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504D5658">
            <w:pPr>
              <w:spacing w:line="440" w:lineRule="exact"/>
              <w:ind w:firstLine="480" w:firstLineChars="200"/>
              <w:rPr>
                <w:rFonts w:hint="eastAsia" w:ascii="宋体" w:hAnsi="宋体" w:eastAsia="宋体" w:cs="宋体"/>
                <w:color w:val="auto"/>
                <w:sz w:val="24"/>
                <w:szCs w:val="24"/>
              </w:rPr>
            </w:pPr>
          </w:p>
        </w:tc>
      </w:tr>
      <w:tr w14:paraId="1282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14:paraId="7B70C144">
            <w:pPr>
              <w:rPr>
                <w:rFonts w:hint="eastAsia" w:ascii="宋体" w:hAnsi="宋体" w:eastAsia="宋体" w:cs="宋体"/>
                <w:color w:val="auto"/>
                <w:sz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3F216FE">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881FE5B">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D7115D0">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387A65BE">
            <w:pPr>
              <w:spacing w:line="440" w:lineRule="exact"/>
              <w:ind w:firstLine="480" w:firstLineChars="200"/>
              <w:rPr>
                <w:rFonts w:hint="eastAsia" w:ascii="宋体" w:hAnsi="宋体" w:eastAsia="宋体" w:cs="宋体"/>
                <w:color w:val="auto"/>
                <w:sz w:val="24"/>
                <w:szCs w:val="24"/>
              </w:rPr>
            </w:pPr>
          </w:p>
        </w:tc>
      </w:tr>
      <w:tr w14:paraId="2681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14:paraId="5189698B">
            <w:pPr>
              <w:rPr>
                <w:rFonts w:hint="eastAsia" w:ascii="宋体" w:hAnsi="宋体" w:eastAsia="宋体" w:cs="宋体"/>
                <w:color w:val="auto"/>
                <w:sz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6001E5">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5F5A31F">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AD7DD47">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031E0E81">
            <w:pPr>
              <w:spacing w:line="440" w:lineRule="exact"/>
              <w:ind w:firstLine="480" w:firstLineChars="200"/>
              <w:rPr>
                <w:rFonts w:hint="eastAsia" w:ascii="宋体" w:hAnsi="宋体" w:eastAsia="宋体" w:cs="宋体"/>
                <w:color w:val="auto"/>
                <w:sz w:val="24"/>
                <w:szCs w:val="24"/>
              </w:rPr>
            </w:pPr>
          </w:p>
        </w:tc>
      </w:tr>
      <w:tr w14:paraId="5471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14:paraId="1450A9EF">
            <w:pPr>
              <w:rPr>
                <w:rFonts w:hint="eastAsia" w:ascii="宋体" w:hAnsi="宋体" w:eastAsia="宋体" w:cs="宋体"/>
                <w:color w:val="auto"/>
                <w:sz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249125">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8C3526B">
            <w:pPr>
              <w:spacing w:line="440" w:lineRule="exact"/>
              <w:ind w:firstLine="480" w:firstLineChars="200"/>
              <w:rPr>
                <w:rFonts w:hint="eastAsia" w:ascii="宋体" w:hAnsi="宋体" w:eastAsia="宋体" w:cs="宋体"/>
                <w:color w:val="auto"/>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CD0214C">
            <w:pPr>
              <w:spacing w:line="440" w:lineRule="exact"/>
              <w:ind w:firstLine="480" w:firstLineChars="200"/>
              <w:rPr>
                <w:rFonts w:hint="eastAsia" w:ascii="宋体" w:hAnsi="宋体" w:eastAsia="宋体" w:cs="宋体"/>
                <w:color w:val="auto"/>
                <w:sz w:val="24"/>
                <w:szCs w:val="24"/>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14:paraId="4993FDD3">
            <w:pPr>
              <w:spacing w:line="440" w:lineRule="exact"/>
              <w:ind w:firstLine="480" w:firstLineChars="200"/>
              <w:rPr>
                <w:rFonts w:hint="eastAsia" w:ascii="宋体" w:hAnsi="宋体" w:eastAsia="宋体" w:cs="宋体"/>
                <w:color w:val="auto"/>
                <w:sz w:val="24"/>
                <w:szCs w:val="24"/>
              </w:rPr>
            </w:pPr>
          </w:p>
        </w:tc>
      </w:tr>
    </w:tbl>
    <w:p w14:paraId="4E6C111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br w:type="page"/>
      </w:r>
      <w:bookmarkStart w:id="1131" w:name="_Toc267261701"/>
      <w:r>
        <w:rPr>
          <w:rFonts w:hint="eastAsia" w:ascii="宋体" w:hAnsi="宋体" w:eastAsia="宋体" w:cs="宋体"/>
          <w:color w:val="auto"/>
          <w:sz w:val="24"/>
          <w:szCs w:val="24"/>
          <w:lang w:bidi="ar"/>
        </w:rPr>
        <w:t>附</w:t>
      </w:r>
      <w:bookmarkStart w:id="1132" w:name="_Toc296944570"/>
      <w:bookmarkStart w:id="1133" w:name="_Toc296347230"/>
      <w:bookmarkStart w:id="1134" w:name="_Toc296503231"/>
      <w:bookmarkStart w:id="1135" w:name="_Toc296891271"/>
      <w:bookmarkStart w:id="1136" w:name="_Toc296891059"/>
      <w:bookmarkStart w:id="1137" w:name="_Toc296346732"/>
      <w:r>
        <w:rPr>
          <w:rFonts w:hint="eastAsia" w:ascii="宋体" w:hAnsi="宋体" w:eastAsia="宋体" w:cs="宋体"/>
          <w:color w:val="auto"/>
          <w:sz w:val="24"/>
          <w:szCs w:val="24"/>
          <w:lang w:bidi="ar"/>
        </w:rPr>
        <w:t>件4：</w:t>
      </w:r>
    </w:p>
    <w:bookmarkEnd w:id="1131"/>
    <w:bookmarkEnd w:id="1132"/>
    <w:bookmarkEnd w:id="1133"/>
    <w:bookmarkEnd w:id="1134"/>
    <w:bookmarkEnd w:id="1135"/>
    <w:bookmarkEnd w:id="1136"/>
    <w:bookmarkEnd w:id="1137"/>
    <w:p w14:paraId="2AF5AA62">
      <w:pPr>
        <w:spacing w:before="120" w:beforeLines="50" w:after="120"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履约担保</w:t>
      </w:r>
    </w:p>
    <w:p w14:paraId="494EEAD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ab/>
      </w:r>
      <w:r>
        <w:rPr>
          <w:rFonts w:hint="eastAsia" w:ascii="宋体" w:hAnsi="宋体" w:eastAsia="宋体" w:cs="宋体"/>
          <w:color w:val="auto"/>
          <w:sz w:val="24"/>
          <w:szCs w:val="24"/>
          <w:u w:val="single"/>
          <w:lang w:bidi="ar"/>
        </w:rPr>
        <w:t xml:space="preserve">重庆市石桥铺殡仪馆       </w:t>
      </w:r>
      <w:r>
        <w:rPr>
          <w:rFonts w:hint="eastAsia" w:ascii="宋体" w:hAnsi="宋体" w:eastAsia="宋体" w:cs="宋体"/>
          <w:color w:val="auto"/>
          <w:sz w:val="24"/>
          <w:szCs w:val="24"/>
          <w:lang w:bidi="ar"/>
        </w:rPr>
        <w:t>（发包人名称）：</w:t>
      </w:r>
    </w:p>
    <w:p w14:paraId="6AEE80B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鉴于</w:t>
      </w:r>
      <w:r>
        <w:rPr>
          <w:rFonts w:hint="eastAsia" w:ascii="宋体" w:hAnsi="宋体" w:eastAsia="宋体" w:cs="宋体"/>
          <w:color w:val="auto"/>
          <w:sz w:val="24"/>
          <w:szCs w:val="24"/>
          <w:u w:val="single"/>
          <w:lang w:bidi="ar"/>
        </w:rPr>
        <w:t xml:space="preserve">    重庆市石桥铺殡仪馆</w:t>
      </w:r>
      <w:r>
        <w:rPr>
          <w:rFonts w:hint="eastAsia" w:ascii="宋体" w:hAnsi="宋体" w:eastAsia="宋体" w:cs="宋体"/>
          <w:color w:val="auto"/>
          <w:sz w:val="24"/>
          <w:szCs w:val="24"/>
          <w:lang w:bidi="ar"/>
        </w:rPr>
        <w:t>（发包人名称，以下简称“发包人”）与</w:t>
      </w:r>
    </w:p>
    <w:p w14:paraId="39ADD444">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（承包人名称）（以下称“承包人”）于</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月</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日就</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（工程名称）施工及有关事项协商一致共同签订《建设工程施工合同》。我方愿意无条件地、不可撤销地就承包人履行与你方签订的合同，向你方提供连带责任担保。</w:t>
      </w:r>
    </w:p>
    <w:p w14:paraId="7998368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 担保金额人民币（大写）</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元（¥</w:t>
      </w:r>
      <w:r>
        <w:rPr>
          <w:rFonts w:hint="eastAsia" w:ascii="宋体" w:hAnsi="宋体" w:eastAsia="宋体" w:cs="宋体"/>
          <w:color w:val="auto"/>
          <w:sz w:val="24"/>
          <w:szCs w:val="24"/>
          <w:u w:val="single"/>
          <w:lang w:bidi="ar"/>
        </w:rPr>
        <w:t xml:space="preserve">          元 </w:t>
      </w:r>
      <w:r>
        <w:rPr>
          <w:rFonts w:hint="eastAsia" w:ascii="宋体" w:hAnsi="宋体" w:eastAsia="宋体" w:cs="宋体"/>
          <w:color w:val="auto"/>
          <w:sz w:val="24"/>
          <w:szCs w:val="24"/>
          <w:lang w:bidi="ar"/>
        </w:rPr>
        <w:t>）。</w:t>
      </w:r>
    </w:p>
    <w:p w14:paraId="3AC2F44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 担保有效期：</w:t>
      </w:r>
      <w:r>
        <w:rPr>
          <w:rFonts w:hint="eastAsia" w:ascii="宋体" w:hAnsi="宋体" w:eastAsia="宋体" w:cs="宋体"/>
          <w:color w:val="auto"/>
          <w:sz w:val="24"/>
          <w:szCs w:val="24"/>
          <w:u w:val="single"/>
          <w:lang w:bidi="ar"/>
        </w:rPr>
        <w:t>自</w:t>
      </w:r>
      <w:r>
        <w:rPr>
          <w:rFonts w:hint="eastAsia" w:ascii="宋体" w:hAnsi="宋体" w:eastAsia="宋体" w:cs="宋体"/>
          <w:color w:val="auto"/>
          <w:sz w:val="24"/>
          <w:szCs w:val="24"/>
          <w:lang w:bidi="ar"/>
        </w:rPr>
        <w:t>我</w:t>
      </w:r>
      <w:r>
        <w:rPr>
          <w:rFonts w:hint="eastAsia" w:ascii="宋体" w:hAnsi="宋体" w:eastAsia="宋体" w:cs="宋体"/>
          <w:color w:val="auto"/>
          <w:sz w:val="24"/>
          <w:szCs w:val="24"/>
          <w:u w:val="single"/>
          <w:lang w:bidi="ar"/>
        </w:rPr>
        <w:t>方法定代表人（或其委托代理人）签字并加盖公章之日起至你方签发或应签发工程接收证书之日止</w:t>
      </w:r>
      <w:r>
        <w:rPr>
          <w:rFonts w:hint="eastAsia" w:ascii="宋体" w:hAnsi="宋体" w:eastAsia="宋体" w:cs="宋体"/>
          <w:color w:val="auto"/>
          <w:sz w:val="24"/>
          <w:szCs w:val="24"/>
          <w:lang w:bidi="ar"/>
        </w:rPr>
        <w:t>。</w:t>
      </w:r>
    </w:p>
    <w:p w14:paraId="72FE8BB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 在本担保有效期内，因承包人违反合同约定的义务给你方造成经济损失时，我方在收到你方以书面形式提出的在担保金额内的赔偿要求后，在7天内无条件支付。</w:t>
      </w:r>
    </w:p>
    <w:p w14:paraId="5C80ABB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 你方和承包人按合同约定变更合同时，我方承担本担保规定的义务不变。</w:t>
      </w:r>
    </w:p>
    <w:p w14:paraId="6C02079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 因本保函发生的纠纷，可由双方协商解决，协商不成的，按下列第</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种方式解决：</w:t>
      </w:r>
    </w:p>
    <w:p w14:paraId="5CB56B8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（1）向</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仲裁委员会申请仲裁；</w:t>
      </w:r>
    </w:p>
    <w:p w14:paraId="00E06D2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（2）向</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人民法院起诉。</w:t>
      </w:r>
    </w:p>
    <w:p w14:paraId="527A08E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 本保函自我方法定代表人（或其委托代理人）签字并加盖公章之日起生效。</w:t>
      </w:r>
    </w:p>
    <w:p w14:paraId="1AA390D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担 保 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14:paraId="29A046D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法定代表人或其委托代理人：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14:paraId="3113A837">
      <w:pPr>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地    址：</w:t>
      </w:r>
      <w:r>
        <w:rPr>
          <w:rFonts w:hint="eastAsia" w:ascii="宋体" w:hAnsi="宋体" w:eastAsia="宋体" w:cs="宋体"/>
          <w:color w:val="auto"/>
          <w:sz w:val="24"/>
          <w:szCs w:val="24"/>
          <w:u w:val="single"/>
          <w:lang w:bidi="ar"/>
        </w:rPr>
        <w:t xml:space="preserve">                                      </w:t>
      </w:r>
    </w:p>
    <w:p w14:paraId="5AE2F53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邮政编码：</w:t>
      </w:r>
      <w:r>
        <w:rPr>
          <w:rFonts w:hint="eastAsia" w:ascii="宋体" w:hAnsi="宋体" w:eastAsia="宋体" w:cs="宋体"/>
          <w:color w:val="auto"/>
          <w:sz w:val="24"/>
          <w:szCs w:val="24"/>
          <w:u w:val="single"/>
          <w:lang w:bidi="ar"/>
        </w:rPr>
        <w:t xml:space="preserve">                                      </w:t>
      </w:r>
    </w:p>
    <w:p w14:paraId="0D42A656">
      <w:pPr>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电    话：</w:t>
      </w:r>
      <w:r>
        <w:rPr>
          <w:rFonts w:hint="eastAsia" w:ascii="宋体" w:hAnsi="宋体" w:eastAsia="宋体" w:cs="宋体"/>
          <w:color w:val="auto"/>
          <w:sz w:val="24"/>
          <w:szCs w:val="24"/>
          <w:u w:val="single"/>
          <w:lang w:bidi="ar"/>
        </w:rPr>
        <w:t xml:space="preserve">                                      </w:t>
      </w:r>
    </w:p>
    <w:p w14:paraId="6B99C0C9">
      <w:pPr>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传    真：</w:t>
      </w:r>
      <w:r>
        <w:rPr>
          <w:rFonts w:hint="eastAsia" w:ascii="宋体" w:hAnsi="宋体" w:eastAsia="宋体" w:cs="宋体"/>
          <w:color w:val="auto"/>
          <w:sz w:val="24"/>
          <w:szCs w:val="24"/>
          <w:u w:val="single"/>
          <w:lang w:bidi="ar"/>
        </w:rPr>
        <w:t xml:space="preserve">                                      </w:t>
      </w:r>
    </w:p>
    <w:p w14:paraId="1DC3EE8C">
      <w:pPr>
        <w:spacing w:line="440" w:lineRule="exact"/>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月</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日</w:t>
      </w:r>
    </w:p>
    <w:p w14:paraId="2BB18CA1">
      <w:pPr>
        <w:widowControl/>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br w:type="page"/>
      </w:r>
      <w:r>
        <w:rPr>
          <w:rFonts w:hint="eastAsia" w:ascii="宋体" w:hAnsi="宋体" w:eastAsia="宋体" w:cs="宋体"/>
          <w:color w:val="auto"/>
          <w:sz w:val="24"/>
          <w:szCs w:val="24"/>
          <w:lang w:bidi="ar"/>
        </w:rPr>
        <w:t>附件5：廉洁从业协议</w:t>
      </w:r>
    </w:p>
    <w:p w14:paraId="2FD7063F">
      <w:pPr>
        <w:spacing w:before="120" w:beforeLines="50" w:after="120"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廉洁从业协议</w:t>
      </w:r>
    </w:p>
    <w:p w14:paraId="466DDAD1">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发包人（全称）：</w:t>
      </w:r>
      <w:r>
        <w:rPr>
          <w:rFonts w:hint="eastAsia" w:ascii="宋体" w:hAnsi="宋体" w:eastAsia="宋体" w:cs="宋体"/>
          <w:b/>
          <w:color w:val="auto"/>
          <w:sz w:val="24"/>
          <w:szCs w:val="24"/>
          <w:u w:val="single"/>
          <w:lang w:bidi="ar"/>
        </w:rPr>
        <w:t xml:space="preserve">重庆市石桥铺殡仪馆     </w:t>
      </w:r>
      <w:r>
        <w:rPr>
          <w:rFonts w:hint="eastAsia" w:ascii="宋体" w:hAnsi="宋体" w:eastAsia="宋体" w:cs="宋体"/>
          <w:color w:val="auto"/>
          <w:sz w:val="24"/>
          <w:szCs w:val="24"/>
          <w:u w:val="single"/>
          <w:lang w:bidi="ar"/>
        </w:rPr>
        <w:t xml:space="preserve">      </w:t>
      </w:r>
    </w:p>
    <w:p w14:paraId="3A46FDA7">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承包人（全称）：</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u w:val="single"/>
          <w:lang w:bidi="ar"/>
        </w:rPr>
        <w:t xml:space="preserve"> </w:t>
      </w:r>
    </w:p>
    <w:p w14:paraId="3FA150C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8E7F0E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1. 发包人承包人的权利和义务</w:t>
      </w:r>
    </w:p>
    <w:p w14:paraId="29084B5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（1）严格遵守党的政策规定和国家有关法律法规及相关部门的有关规定。</w:t>
      </w:r>
    </w:p>
    <w:p w14:paraId="076FECF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（2）严格执行 工程的合同文件，自觉按合同办事。</w:t>
      </w:r>
    </w:p>
    <w:p w14:paraId="761153F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（3）双方的业务活动坚持公开、公正、诚信、透明的原则（法律认定的商业秘密和合同文件另有规定除外），不得损害国家和集体利益，违反工程建设管理规章制度。</w:t>
      </w:r>
    </w:p>
    <w:p w14:paraId="1039ECF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（4）建立健全廉政制度，开展廉政教育，设立廉政告示牌，公布举报电话，监督并认真查处违法违纪行为。</w:t>
      </w:r>
    </w:p>
    <w:p w14:paraId="453D0A2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（5）发现对方在业务活动中有违反廉政规定的行为，有及时提醒对方纠正的权利和义务。</w:t>
      </w:r>
    </w:p>
    <w:p w14:paraId="3A89D64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（6）发现对方严重违反协议义务条款的行为，有向其上级有关部门举报、建议给予处理并要求告知处理结果的权利。</w:t>
      </w:r>
    </w:p>
    <w:p w14:paraId="7CBEFDF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 发包人的义务</w:t>
      </w:r>
    </w:p>
    <w:p w14:paraId="2E04C37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（1）发包人及其工作人员不得索要或接受承包人的礼金、有价证券和贵重物品，不得在承包人报销任何应由发包人或发包人工作人员个人支付的费用等。</w:t>
      </w:r>
    </w:p>
    <w:p w14:paraId="079BF21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（2）发包人工作人员不得参加承包人安排的超标准宴请和娱乐活动；不得接受承包人提供的通讯工具、交通工具和高档办公用品等。</w:t>
      </w:r>
    </w:p>
    <w:p w14:paraId="466B734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（3）发包人及其工作人员不得要求或者接受承包人为其住房装修、婚丧嫁娶活动、配偶子女的工作安排以及出国出境、旅游等提供方便等。</w:t>
      </w:r>
    </w:p>
    <w:p w14:paraId="351FE34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（4）发包人工作人员及其配偶、子女不得从事与发包人工程有关的材料设备供应、工程分包、劳务等经济活动等。</w:t>
      </w:r>
    </w:p>
    <w:p w14:paraId="0206CD8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（5）发包人及其工作人员不得以任何理由向承包人推荐分包单位或推销材料，不得要求承包人购买合同规定外的材料和设备。</w:t>
      </w:r>
    </w:p>
    <w:p w14:paraId="5B85405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（6）发包人工作人员要秉公办事，不准营私舞弊，不准利用职权从事各种个人有偿中介活动和安排个人施工队伍。</w:t>
      </w:r>
    </w:p>
    <w:p w14:paraId="6C64459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 承包人义务</w:t>
      </w:r>
    </w:p>
    <w:p w14:paraId="29C50AE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（1）承包人不得以任何理由向发包人及其工作人员行贿或馈赠礼金、有价证券、贵重礼品。</w:t>
      </w:r>
    </w:p>
    <w:p w14:paraId="4208165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（2）承包人不得以任何名义为发包人及其工作人员报销应由发包人单位或个人支付的任何费用。</w:t>
      </w:r>
    </w:p>
    <w:p w14:paraId="57B426B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（3）承包人不得以任何理由安排发包人工作人员参加超标准宴请及娱乐活动。</w:t>
      </w:r>
    </w:p>
    <w:p w14:paraId="145A983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（4）承包人不得为发包人单位和个人购置或提供通讯工具、交通工具和高档办公用品等。</w:t>
      </w:r>
    </w:p>
    <w:p w14:paraId="1ABF3AC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 违约责任</w:t>
      </w:r>
    </w:p>
    <w:p w14:paraId="530B911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（1）发包人及其工作人员违反合同第1、2条，按管理权限，依据有关规定给予党纪、政纪或组织处理；涉嫌犯罪的，移交司法机关追究刑事责任；给承包人单位造成经济损失的，应予以赔偿。</w:t>
      </w:r>
    </w:p>
    <w:p w14:paraId="23AD445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（2）承包人及其工作人员违反合同第1、3条，按管理权限，依据有关规定给予党纪、政纪或组织处理；给发包人单位造成经济损失的，应予以赔偿。</w:t>
      </w:r>
    </w:p>
    <w:p w14:paraId="4A691EC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01D84A0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 协议有效期为甲乙双方签署之日起至该工程项目竣工验收后止。</w:t>
      </w:r>
    </w:p>
    <w:p w14:paraId="25E6D0A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7.协议作为 工程施工合同的附件，与工程施工合同具有同等的法律效力，经合同双方签署立即生效。</w:t>
      </w:r>
    </w:p>
    <w:p w14:paraId="5398648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（以下无正文）</w:t>
      </w:r>
    </w:p>
    <w:p w14:paraId="5CE9C23E">
      <w:pPr>
        <w:spacing w:line="440" w:lineRule="exact"/>
        <w:rPr>
          <w:rFonts w:hint="eastAsia" w:ascii="宋体" w:hAnsi="宋体" w:eastAsia="宋体" w:cs="宋体"/>
          <w:color w:val="auto"/>
          <w:sz w:val="24"/>
          <w:szCs w:val="24"/>
        </w:rPr>
      </w:pPr>
    </w:p>
    <w:p w14:paraId="7561FC6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甲     方：                         乙     方：</w:t>
      </w:r>
    </w:p>
    <w:p w14:paraId="7D2DCB63">
      <w:pPr>
        <w:spacing w:line="440" w:lineRule="exact"/>
        <w:rPr>
          <w:rFonts w:hint="eastAsia" w:ascii="宋体" w:hAnsi="宋体" w:eastAsia="宋体" w:cs="宋体"/>
          <w:color w:val="auto"/>
          <w:sz w:val="24"/>
          <w:szCs w:val="24"/>
        </w:rPr>
      </w:pPr>
    </w:p>
    <w:p w14:paraId="0A580010">
      <w:pPr>
        <w:spacing w:line="440" w:lineRule="exact"/>
        <w:rPr>
          <w:rFonts w:hint="eastAsia" w:ascii="宋体" w:hAnsi="宋体" w:eastAsia="宋体" w:cs="宋体"/>
          <w:color w:val="auto"/>
          <w:sz w:val="24"/>
          <w:szCs w:val="24"/>
        </w:rPr>
      </w:pPr>
    </w:p>
    <w:p w14:paraId="70329D7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14:paraId="6CE40FA8">
      <w:pPr>
        <w:spacing w:line="440" w:lineRule="exact"/>
        <w:rPr>
          <w:rFonts w:hint="eastAsia" w:ascii="宋体" w:hAnsi="宋体" w:eastAsia="宋体" w:cs="宋体"/>
          <w:color w:val="auto"/>
          <w:sz w:val="24"/>
          <w:szCs w:val="24"/>
        </w:rPr>
      </w:pPr>
    </w:p>
    <w:p w14:paraId="5ACFF802">
      <w:pPr>
        <w:spacing w:line="440" w:lineRule="exact"/>
        <w:rPr>
          <w:rFonts w:hint="eastAsia" w:ascii="宋体" w:hAnsi="宋体" w:eastAsia="宋体" w:cs="宋体"/>
          <w:color w:val="auto"/>
          <w:sz w:val="24"/>
          <w:szCs w:val="24"/>
        </w:rPr>
      </w:pPr>
    </w:p>
    <w:p w14:paraId="15B6F97A">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或其授权的代理人：                  或授权的代理人：</w:t>
      </w:r>
      <w:r>
        <w:rPr>
          <w:rFonts w:hint="eastAsia" w:ascii="宋体" w:hAnsi="宋体" w:eastAsia="宋体" w:cs="宋体"/>
          <w:color w:val="auto"/>
          <w:sz w:val="24"/>
          <w:szCs w:val="24"/>
          <w:lang w:bidi="ar"/>
        </w:rPr>
        <w:br w:type="page"/>
      </w:r>
      <w:r>
        <w:rPr>
          <w:rFonts w:hint="eastAsia" w:ascii="宋体" w:hAnsi="宋体" w:eastAsia="宋体" w:cs="宋体"/>
          <w:color w:val="auto"/>
          <w:sz w:val="24"/>
          <w:szCs w:val="24"/>
          <w:lang w:bidi="ar"/>
        </w:rPr>
        <w:t>附件6：安全管理协议</w:t>
      </w:r>
    </w:p>
    <w:p w14:paraId="5015E32C">
      <w:pPr>
        <w:spacing w:before="120" w:beforeLines="50" w:after="120" w:afterLines="50" w:line="440" w:lineRule="exact"/>
        <w:jc w:val="center"/>
        <w:rPr>
          <w:rFonts w:hint="eastAsia" w:ascii="宋体" w:hAnsi="宋体" w:eastAsia="宋体" w:cs="宋体"/>
          <w:color w:val="auto"/>
          <w:sz w:val="24"/>
          <w:szCs w:val="24"/>
        </w:rPr>
      </w:pPr>
      <w:bookmarkStart w:id="1138" w:name="_Toc239510288"/>
      <w:bookmarkStart w:id="1139" w:name="_Toc336680145"/>
      <w:bookmarkStart w:id="1140" w:name="_Toc448406299"/>
      <w:bookmarkStart w:id="1141" w:name="_Toc435690184"/>
      <w:bookmarkStart w:id="1142" w:name="_Toc435689499"/>
      <w:bookmarkStart w:id="1143" w:name="_Toc247431422"/>
      <w:r>
        <w:rPr>
          <w:rFonts w:hint="eastAsia" w:ascii="宋体" w:hAnsi="宋体" w:eastAsia="宋体" w:cs="宋体"/>
          <w:color w:val="auto"/>
          <w:sz w:val="24"/>
          <w:szCs w:val="24"/>
          <w:lang w:bidi="ar"/>
        </w:rPr>
        <w:t>安全管理协议</w:t>
      </w:r>
      <w:bookmarkEnd w:id="1138"/>
      <w:bookmarkEnd w:id="1139"/>
      <w:bookmarkEnd w:id="1140"/>
      <w:bookmarkEnd w:id="1141"/>
      <w:bookmarkEnd w:id="1142"/>
      <w:bookmarkEnd w:id="1143"/>
    </w:p>
    <w:p w14:paraId="741A33AC">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发包人（全称）：</w:t>
      </w:r>
      <w:r>
        <w:rPr>
          <w:rFonts w:hint="eastAsia" w:ascii="宋体" w:hAnsi="宋体" w:eastAsia="宋体" w:cs="宋体"/>
          <w:b/>
          <w:color w:val="auto"/>
          <w:sz w:val="24"/>
          <w:szCs w:val="24"/>
          <w:u w:val="single"/>
          <w:lang w:bidi="ar"/>
        </w:rPr>
        <w:t xml:space="preserve">重庆市石桥铺殡仪馆     </w:t>
      </w:r>
      <w:r>
        <w:rPr>
          <w:rFonts w:hint="eastAsia" w:ascii="宋体" w:hAnsi="宋体" w:eastAsia="宋体" w:cs="宋体"/>
          <w:color w:val="auto"/>
          <w:sz w:val="24"/>
          <w:szCs w:val="24"/>
          <w:u w:val="single"/>
          <w:lang w:bidi="ar"/>
        </w:rPr>
        <w:t xml:space="preserve">      </w:t>
      </w:r>
    </w:p>
    <w:p w14:paraId="421E15D8">
      <w:pPr>
        <w:snapToGrid w:val="0"/>
        <w:spacing w:line="44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lang w:bidi="ar"/>
        </w:rPr>
        <w:t>承包人（全称）：</w:t>
      </w:r>
      <w:r>
        <w:rPr>
          <w:rFonts w:hint="eastAsia" w:ascii="宋体" w:hAnsi="宋体" w:eastAsia="宋体" w:cs="宋体"/>
          <w:b/>
          <w:color w:val="auto"/>
          <w:sz w:val="24"/>
          <w:szCs w:val="24"/>
          <w:u w:val="single"/>
          <w:lang w:bidi="ar"/>
        </w:rPr>
        <w:t xml:space="preserve">                            </w:t>
      </w:r>
      <w:r>
        <w:rPr>
          <w:rFonts w:hint="eastAsia" w:ascii="宋体" w:hAnsi="宋体" w:eastAsia="宋体" w:cs="宋体"/>
          <w:color w:val="auto"/>
          <w:sz w:val="24"/>
          <w:szCs w:val="24"/>
          <w:u w:val="single"/>
          <w:lang w:bidi="ar"/>
        </w:rPr>
        <w:t xml:space="preserve"> </w:t>
      </w:r>
    </w:p>
    <w:p w14:paraId="24F9324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为了确保实现</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安全生产目标，进一步明确双方的安全管理责任，加强安全生产管理工作的协调、管理力度，</w:t>
      </w:r>
      <w:r>
        <w:rPr>
          <w:rFonts w:hint="eastAsia" w:ascii="宋体" w:hAnsi="宋体" w:eastAsia="宋体" w:cs="宋体"/>
          <w:color w:val="auto"/>
          <w:sz w:val="24"/>
          <w:szCs w:val="24"/>
          <w:u w:val="single"/>
          <w:lang w:bidi="ar"/>
        </w:rPr>
        <w:t xml:space="preserve">重庆市石桥铺殡仪馆  </w:t>
      </w:r>
      <w:r>
        <w:rPr>
          <w:rFonts w:hint="eastAsia" w:ascii="宋体" w:hAnsi="宋体" w:eastAsia="宋体" w:cs="宋体"/>
          <w:color w:val="auto"/>
          <w:sz w:val="24"/>
          <w:szCs w:val="24"/>
          <w:lang w:bidi="ar"/>
        </w:rPr>
        <w:t>（以下简称“发包人”）与</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5F59B4A">
      <w:pPr>
        <w:spacing w:line="440" w:lineRule="exact"/>
        <w:ind w:firstLine="480" w:firstLineChars="200"/>
        <w:rPr>
          <w:rFonts w:hint="eastAsia" w:ascii="宋体" w:hAnsi="宋体" w:eastAsia="宋体" w:cs="宋体"/>
          <w:color w:val="auto"/>
          <w:sz w:val="24"/>
          <w:szCs w:val="24"/>
        </w:rPr>
      </w:pPr>
      <w:bookmarkStart w:id="1144" w:name="_Toc247418263"/>
      <w:bookmarkStart w:id="1145" w:name="_Toc532375700"/>
      <w:bookmarkStart w:id="1146" w:name="_Toc239510289"/>
      <w:bookmarkStart w:id="1147" w:name="_Toc247431423"/>
      <w:r>
        <w:rPr>
          <w:rFonts w:hint="eastAsia" w:ascii="宋体" w:hAnsi="宋体" w:eastAsia="宋体" w:cs="宋体"/>
          <w:color w:val="auto"/>
          <w:sz w:val="24"/>
          <w:szCs w:val="24"/>
          <w:lang w:bidi="ar"/>
        </w:rPr>
        <w:t>一、协议有效期限</w:t>
      </w:r>
      <w:bookmarkEnd w:id="1144"/>
      <w:bookmarkEnd w:id="1145"/>
      <w:bookmarkEnd w:id="1146"/>
      <w:bookmarkEnd w:id="1147"/>
    </w:p>
    <w:p w14:paraId="78A56DC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本协议中所涉及的安全管理责任自合同签订之日起开始生效，至合同工程全部完工验收且经发包人与承包人签订移交协议生效后之日终止。</w:t>
      </w:r>
    </w:p>
    <w:p w14:paraId="716F013C">
      <w:pPr>
        <w:spacing w:line="440" w:lineRule="exact"/>
        <w:ind w:firstLine="480" w:firstLineChars="200"/>
        <w:rPr>
          <w:rFonts w:hint="eastAsia" w:ascii="宋体" w:hAnsi="宋体" w:eastAsia="宋体" w:cs="宋体"/>
          <w:color w:val="auto"/>
          <w:sz w:val="24"/>
          <w:szCs w:val="24"/>
        </w:rPr>
      </w:pPr>
      <w:bookmarkStart w:id="1148" w:name="_Toc247418264"/>
      <w:bookmarkStart w:id="1149" w:name="_Toc239510290"/>
      <w:bookmarkStart w:id="1150" w:name="_Toc247431424"/>
      <w:bookmarkStart w:id="1151" w:name="_Toc532375701"/>
      <w:r>
        <w:rPr>
          <w:rFonts w:hint="eastAsia" w:ascii="宋体" w:hAnsi="宋体" w:eastAsia="宋体" w:cs="宋体"/>
          <w:color w:val="auto"/>
          <w:sz w:val="24"/>
          <w:szCs w:val="24"/>
          <w:lang w:bidi="ar"/>
        </w:rPr>
        <w:t>二、责任目标</w:t>
      </w:r>
      <w:bookmarkEnd w:id="1148"/>
      <w:bookmarkEnd w:id="1149"/>
      <w:bookmarkEnd w:id="1150"/>
      <w:bookmarkEnd w:id="1151"/>
    </w:p>
    <w:p w14:paraId="75E87A2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（一）承包人承诺承担和履行合同和发包人所规定的安全责任，且满足要求。</w:t>
      </w:r>
    </w:p>
    <w:p w14:paraId="3B9514B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（二）承包人的安全控制目标是确保本工程在实施过程中：</w:t>
      </w:r>
    </w:p>
    <w:p w14:paraId="7402F05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1．不发生人身重伤事故；</w:t>
      </w:r>
    </w:p>
    <w:p w14:paraId="5DDA61B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2．不发生火灾事故；</w:t>
      </w:r>
    </w:p>
    <w:p w14:paraId="033B979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3．不发生负有同等及以上事故责任的造成人身重伤的一般交通事故；</w:t>
      </w:r>
    </w:p>
    <w:p w14:paraId="06F61B7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4．不发生集体食物中毒事件（同时5人及以上的食物中毒）；</w:t>
      </w:r>
    </w:p>
    <w:p w14:paraId="1BB73C7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5．不发生流行性传染病 （无甲型传染病、其他常见传染病未形成多人同时患病）；</w:t>
      </w:r>
    </w:p>
    <w:p w14:paraId="1175625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6．不发生重大环境污染事件（生活、工业垃圾及其他污染物造成环境污染和大面积水土流失）；</w:t>
      </w:r>
    </w:p>
    <w:p w14:paraId="6D89C79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7．不发生对施工区附近生产、生活造成重大影响的事件（如造成重大设备损坏、重大财产损失、人员伤害等）；</w:t>
      </w:r>
    </w:p>
    <w:p w14:paraId="0EE84ED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8．不发生治安保卫事件（构成刑事拘留及以上的事件、盗窃直接损失超过1万元人民币的事件）。</w:t>
      </w:r>
    </w:p>
    <w:p w14:paraId="4A5F7D73">
      <w:pPr>
        <w:spacing w:line="440" w:lineRule="exact"/>
        <w:ind w:firstLine="480" w:firstLineChars="200"/>
        <w:jc w:val="left"/>
        <w:rPr>
          <w:rFonts w:hint="eastAsia" w:ascii="宋体" w:hAnsi="宋体" w:eastAsia="宋体" w:cs="宋体"/>
          <w:color w:val="auto"/>
          <w:sz w:val="24"/>
          <w:szCs w:val="24"/>
        </w:rPr>
      </w:pPr>
      <w:bookmarkStart w:id="1152" w:name="_Toc247418265"/>
      <w:bookmarkStart w:id="1153" w:name="_Toc239510291"/>
      <w:bookmarkStart w:id="1154" w:name="_Toc247431425"/>
      <w:r>
        <w:rPr>
          <w:rFonts w:hint="eastAsia" w:ascii="宋体" w:hAnsi="宋体" w:eastAsia="宋体" w:cs="宋体"/>
          <w:color w:val="auto"/>
          <w:sz w:val="24"/>
          <w:szCs w:val="24"/>
          <w:lang w:bidi="ar"/>
        </w:rPr>
        <w:t>（三）承包人承诺在施工中控制以下安全事故的发生：</w:t>
      </w:r>
      <w:bookmarkEnd w:id="1152"/>
      <w:bookmarkEnd w:id="1153"/>
      <w:bookmarkEnd w:id="1154"/>
    </w:p>
    <w:p w14:paraId="7432554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1．人员轻伤事故。</w:t>
      </w:r>
    </w:p>
    <w:p w14:paraId="747531B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2．负有同等及以上事故责任的人身轻伤交通事故。</w:t>
      </w:r>
    </w:p>
    <w:p w14:paraId="4D0C176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3．其他安全未遂事故和异常事件。</w:t>
      </w:r>
    </w:p>
    <w:p w14:paraId="1FF11E6D">
      <w:pPr>
        <w:spacing w:line="440" w:lineRule="exact"/>
        <w:ind w:firstLine="480" w:firstLineChars="200"/>
        <w:rPr>
          <w:rFonts w:hint="eastAsia" w:ascii="宋体" w:hAnsi="宋体" w:eastAsia="宋体" w:cs="宋体"/>
          <w:color w:val="auto"/>
          <w:sz w:val="24"/>
          <w:szCs w:val="24"/>
        </w:rPr>
      </w:pPr>
      <w:bookmarkStart w:id="1155" w:name="_Toc247431426"/>
      <w:bookmarkStart w:id="1156" w:name="_Toc247418266"/>
      <w:bookmarkStart w:id="1157" w:name="_Toc532375702"/>
      <w:bookmarkStart w:id="1158" w:name="_Toc239510292"/>
      <w:r>
        <w:rPr>
          <w:rFonts w:hint="eastAsia" w:ascii="宋体" w:hAnsi="宋体" w:eastAsia="宋体" w:cs="宋体"/>
          <w:color w:val="auto"/>
          <w:sz w:val="24"/>
          <w:szCs w:val="24"/>
          <w:lang w:bidi="ar"/>
        </w:rPr>
        <w:t>三、安全责任</w:t>
      </w:r>
      <w:bookmarkEnd w:id="1155"/>
      <w:bookmarkEnd w:id="1156"/>
      <w:bookmarkEnd w:id="1157"/>
      <w:bookmarkEnd w:id="1158"/>
    </w:p>
    <w:p w14:paraId="16901CE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1．承包人负有安全生产的管理责任和直接责任。</w:t>
      </w:r>
    </w:p>
    <w:p w14:paraId="5C66484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2．承包人的法人或签署合同的公司总经理或受委托的代理人对合同安全负有全面的领导责任。</w:t>
      </w:r>
    </w:p>
    <w:p w14:paraId="69D0D5E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3．承包人项目经理对施工现场的安全工作负有全面的直接领导责任。</w:t>
      </w:r>
    </w:p>
    <w:p w14:paraId="6E07FC0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4．承包人保证执行“谁施工、谁负责”的施工安全原则。</w:t>
      </w:r>
    </w:p>
    <w:p w14:paraId="1DE486C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5．承包人保证服从发包人对安全工作的统一协调和管理。</w:t>
      </w:r>
    </w:p>
    <w:p w14:paraId="3809CD8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6．承包人保证对本工程项目安全生产条件及其管理资源自行投入，保证安全资金的专款专用。</w:t>
      </w:r>
    </w:p>
    <w:p w14:paraId="5DC2122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7．承包人保证建立本工程项目的安全管理体系及安全保证体系（注：项目安全管理大纲/手册、管理性的程序文件等）。</w:t>
      </w:r>
    </w:p>
    <w:p w14:paraId="17ADF44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8．承包人保证现场的安全管理专职人员必须持有建设主管部门安全生产培训考核合格证书。</w:t>
      </w:r>
    </w:p>
    <w:p w14:paraId="4572F53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9．承包人保证为现场所有工作人员（含分包商员工及劳务人员）配备符合国家标准的有承包人和/或其下属分包商标志的个人基本劳动保护用品。</w:t>
      </w:r>
    </w:p>
    <w:p w14:paraId="686A970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10．承包人保证按照国家法律规定为现场所有工作人员（含分包商员工及劳务人员）购买意外伤害保险。</w:t>
      </w:r>
    </w:p>
    <w:p w14:paraId="63AB1D9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11．承包人保证施工生活营地（包括自建的和租用的营地）满足消防、安全用电、卫生防疫、防暴雨、防雷击等方面的安全要求。</w:t>
      </w:r>
    </w:p>
    <w:p w14:paraId="5F77FCE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12．承包人保证对带入现场的设备、工具、材料按照国家法规和标准进行检测、试验，并持有法定部门出具的检验证书。</w:t>
      </w:r>
    </w:p>
    <w:p w14:paraId="2D629F2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13．承包人保证制订施工现场的文明施工措施，保护环境、树木和植被，保持施工现场的良好秩序和整洁的作业环境。</w:t>
      </w:r>
    </w:p>
    <w:p w14:paraId="302AB81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14．承包人负责在施工过程中与当地政府、周边群众及其他承包商保持良好的沟通和交流。承包人遇到与周边群众发生纠纷时，应负责协调工作，确保工程能够顺利进行。</w:t>
      </w:r>
    </w:p>
    <w:p w14:paraId="10262B7C">
      <w:pPr>
        <w:spacing w:line="440" w:lineRule="exact"/>
        <w:ind w:firstLine="480" w:firstLineChars="200"/>
        <w:rPr>
          <w:rFonts w:hint="eastAsia" w:ascii="宋体" w:hAnsi="宋体" w:eastAsia="宋体" w:cs="宋体"/>
          <w:color w:val="auto"/>
          <w:sz w:val="24"/>
          <w:szCs w:val="24"/>
        </w:rPr>
      </w:pPr>
      <w:bookmarkStart w:id="1159" w:name="_Toc239510293"/>
      <w:bookmarkStart w:id="1160" w:name="_Toc532375703"/>
      <w:bookmarkStart w:id="1161" w:name="_Toc247431427"/>
      <w:bookmarkStart w:id="1162" w:name="_Toc247418267"/>
      <w:r>
        <w:rPr>
          <w:rFonts w:hint="eastAsia" w:ascii="宋体" w:hAnsi="宋体" w:eastAsia="宋体" w:cs="宋体"/>
          <w:color w:val="auto"/>
          <w:sz w:val="24"/>
          <w:szCs w:val="24"/>
          <w:lang w:bidi="ar"/>
        </w:rPr>
        <w:t>四、接口及协调</w:t>
      </w:r>
      <w:bookmarkEnd w:id="1159"/>
      <w:bookmarkEnd w:id="1160"/>
      <w:bookmarkEnd w:id="1161"/>
      <w:bookmarkEnd w:id="1162"/>
    </w:p>
    <w:p w14:paraId="162CE28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1．发包人委托监理公司对该工程实施监理，监理公司在安全管理方面代表发包人行使监督检查职能，承包人必须给予配合和支持。</w:t>
      </w:r>
    </w:p>
    <w:p w14:paraId="482C6BF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2．承包人人员、车辆的出入，带入现场的设备、机具、材料，在现场使用的或直接管理的办公、生活、生产性设施的安全管理须满足发包人现场管理的基本要求。</w:t>
      </w:r>
    </w:p>
    <w:p w14:paraId="2D38A76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3．承包人应指定专职安全管理人员与发包人委托的监理公司接口，参与安全协调和管理。安全协调和管理的内容包括职业健康、工业安全、消防安全、卫生防疫、交通安全、环境保护、治安保卫等各方面。</w:t>
      </w:r>
    </w:p>
    <w:p w14:paraId="585C93F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04BBD9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5．承包人指定的专职安全管理人员应与发包人委托的监理公司建立联系，在业务上接受发包人委托的监理公司的协调和指导。</w:t>
      </w:r>
    </w:p>
    <w:p w14:paraId="00F8F9A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6．开工后承包人的专职安全管理人员应按照发包人委托的监理公司的规定，定期报送安全月度快报、季报、年报和各种专项事故报告等。</w:t>
      </w:r>
    </w:p>
    <w:p w14:paraId="2A12BC6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7．在工程实体未全部正式移交发包人施工管理部门之前，承包人依旧对施工范围内的安全管理负责。</w:t>
      </w:r>
    </w:p>
    <w:p w14:paraId="31CA2FC7">
      <w:pPr>
        <w:spacing w:line="440" w:lineRule="exact"/>
        <w:ind w:firstLine="480" w:firstLineChars="200"/>
        <w:rPr>
          <w:rFonts w:hint="eastAsia" w:ascii="宋体" w:hAnsi="宋体" w:eastAsia="宋体" w:cs="宋体"/>
          <w:color w:val="auto"/>
          <w:sz w:val="24"/>
          <w:szCs w:val="24"/>
        </w:rPr>
      </w:pPr>
      <w:bookmarkStart w:id="1163" w:name="_Toc247431428"/>
      <w:bookmarkStart w:id="1164" w:name="_Toc532375704"/>
      <w:bookmarkStart w:id="1165" w:name="_Toc239510294"/>
      <w:bookmarkStart w:id="1166" w:name="_Toc247418268"/>
      <w:r>
        <w:rPr>
          <w:rFonts w:hint="eastAsia" w:ascii="宋体" w:hAnsi="宋体" w:eastAsia="宋体" w:cs="宋体"/>
          <w:color w:val="auto"/>
          <w:sz w:val="24"/>
          <w:szCs w:val="24"/>
          <w:lang w:bidi="ar"/>
        </w:rPr>
        <w:t>五、安全资质审查</w:t>
      </w:r>
      <w:bookmarkEnd w:id="1163"/>
      <w:bookmarkEnd w:id="1164"/>
      <w:bookmarkEnd w:id="1165"/>
      <w:bookmarkEnd w:id="1166"/>
    </w:p>
    <w:p w14:paraId="724EF40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承包人在项目开工前5个工作天内向发包人委托的监理公司提供以下安全资质供审查和存档：</w:t>
      </w:r>
    </w:p>
    <w:p w14:paraId="6ABC7A9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1．企业安全生产许可证书复印件。</w:t>
      </w:r>
    </w:p>
    <w:p w14:paraId="2826F13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2．企业近三年的施工简历及安全施工业绩证明文件。</w:t>
      </w:r>
    </w:p>
    <w:p w14:paraId="7E7CBEA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3．企业主要安全管理人员（包括项目经理、专职安全管理人员）经建设主管部门安全生产知识考核合格证书。</w:t>
      </w:r>
    </w:p>
    <w:p w14:paraId="51229F1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4．特种作业人员资格证书。</w:t>
      </w:r>
    </w:p>
    <w:p w14:paraId="5CF921D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5．项目安全管理机构及其人员配备（承包人必须配有专职的安全员）。</w:t>
      </w:r>
    </w:p>
    <w:p w14:paraId="09422DE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6．适用于项目的安全管理体系及保证体系文件（安全管理大纲及管理程序文件）。</w:t>
      </w:r>
    </w:p>
    <w:p w14:paraId="4D16A9C8">
      <w:pPr>
        <w:spacing w:line="440" w:lineRule="exact"/>
        <w:ind w:firstLine="480" w:firstLineChars="200"/>
        <w:rPr>
          <w:rFonts w:hint="eastAsia" w:ascii="宋体" w:hAnsi="宋体" w:eastAsia="宋体" w:cs="宋体"/>
          <w:color w:val="auto"/>
          <w:sz w:val="24"/>
          <w:szCs w:val="24"/>
        </w:rPr>
      </w:pPr>
      <w:bookmarkStart w:id="1167" w:name="_Toc239510295"/>
      <w:bookmarkStart w:id="1168" w:name="_Toc247431429"/>
      <w:bookmarkStart w:id="1169" w:name="_Toc532375705"/>
      <w:bookmarkStart w:id="1170" w:name="_Toc247418269"/>
      <w:r>
        <w:rPr>
          <w:rFonts w:hint="eastAsia" w:ascii="宋体" w:hAnsi="宋体" w:eastAsia="宋体" w:cs="宋体"/>
          <w:color w:val="auto"/>
          <w:sz w:val="24"/>
          <w:szCs w:val="24"/>
          <w:lang w:bidi="ar"/>
        </w:rPr>
        <w:t>六、人员基本素质</w:t>
      </w:r>
      <w:bookmarkEnd w:id="1167"/>
      <w:bookmarkEnd w:id="1168"/>
      <w:bookmarkEnd w:id="1169"/>
      <w:bookmarkEnd w:id="1170"/>
    </w:p>
    <w:p w14:paraId="62FC87D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承包人提供的人员必须满足下列要求：</w:t>
      </w:r>
    </w:p>
    <w:p w14:paraId="3DA2BEE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939A22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2．无刑事案件牵连。</w:t>
      </w:r>
    </w:p>
    <w:p w14:paraId="30BB091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3．无吸毒、酗酒、赌博、嫖娼等恶习及违法行为。</w:t>
      </w:r>
    </w:p>
    <w:p w14:paraId="4EE6EDC1">
      <w:pPr>
        <w:spacing w:line="440" w:lineRule="exact"/>
        <w:ind w:firstLine="480" w:firstLineChars="200"/>
        <w:rPr>
          <w:rFonts w:hint="eastAsia" w:ascii="宋体" w:hAnsi="宋体" w:eastAsia="宋体" w:cs="宋体"/>
          <w:color w:val="auto"/>
          <w:sz w:val="24"/>
          <w:szCs w:val="24"/>
        </w:rPr>
      </w:pPr>
      <w:bookmarkStart w:id="1171" w:name="_Toc239510296"/>
      <w:bookmarkStart w:id="1172" w:name="_Toc247418270"/>
      <w:bookmarkStart w:id="1173" w:name="_Toc247431430"/>
      <w:bookmarkStart w:id="1174" w:name="_Toc532375706"/>
      <w:r>
        <w:rPr>
          <w:rFonts w:hint="eastAsia" w:ascii="宋体" w:hAnsi="宋体" w:eastAsia="宋体" w:cs="宋体"/>
          <w:color w:val="auto"/>
          <w:sz w:val="24"/>
          <w:szCs w:val="24"/>
          <w:lang w:bidi="ar"/>
        </w:rPr>
        <w:t>七、劳动保护</w:t>
      </w:r>
      <w:bookmarkEnd w:id="1171"/>
      <w:bookmarkEnd w:id="1172"/>
      <w:bookmarkEnd w:id="1173"/>
      <w:bookmarkEnd w:id="1174"/>
    </w:p>
    <w:p w14:paraId="15E3E86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1．承包人负责为本单位任何用工形式的员工提供个人劳动保护用品（包括工作服、安全帽、安全鞋等）。</w:t>
      </w:r>
    </w:p>
    <w:p w14:paraId="3D55E4A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2．承包人负责向特殊工种的员工提供特殊劳动保护，否则不得从事特殊工种作业。</w:t>
      </w:r>
    </w:p>
    <w:p w14:paraId="67210BE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3．发包人委托的监理公司有权检查承包人的个人劳动保护用品是否符合国家的相应标准。</w:t>
      </w:r>
    </w:p>
    <w:p w14:paraId="6C8C710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 承包人在特殊风险场所作业而需要特殊防护用品或安全仪表时，必须在上述防护用品全部到位后才能开工。</w:t>
      </w:r>
    </w:p>
    <w:p w14:paraId="0750389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5．承包人应配备临时安全围栏、警示带、警告标志、防火布等集体防护用品。</w:t>
      </w:r>
    </w:p>
    <w:p w14:paraId="45BB1720">
      <w:pPr>
        <w:spacing w:line="440" w:lineRule="exact"/>
        <w:ind w:firstLine="480" w:firstLineChars="200"/>
        <w:rPr>
          <w:rFonts w:hint="eastAsia" w:ascii="宋体" w:hAnsi="宋体" w:eastAsia="宋体" w:cs="宋体"/>
          <w:color w:val="auto"/>
          <w:sz w:val="24"/>
          <w:szCs w:val="24"/>
        </w:rPr>
      </w:pPr>
      <w:bookmarkStart w:id="1175" w:name="_Toc247431431"/>
      <w:bookmarkStart w:id="1176" w:name="_Toc239510297"/>
      <w:bookmarkStart w:id="1177" w:name="_Toc247418271"/>
      <w:bookmarkStart w:id="1178" w:name="_Toc532375707"/>
      <w:r>
        <w:rPr>
          <w:rFonts w:hint="eastAsia" w:ascii="宋体" w:hAnsi="宋体" w:eastAsia="宋体" w:cs="宋体"/>
          <w:color w:val="auto"/>
          <w:sz w:val="24"/>
          <w:szCs w:val="24"/>
          <w:lang w:bidi="ar"/>
        </w:rPr>
        <w:t>八、施工机具与材料</w:t>
      </w:r>
      <w:bookmarkEnd w:id="1175"/>
      <w:bookmarkEnd w:id="1176"/>
      <w:bookmarkEnd w:id="1177"/>
      <w:bookmarkEnd w:id="1178"/>
    </w:p>
    <w:p w14:paraId="27B1D30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1．承包人对带入现场的施工机械和工器具的安全负责。</w:t>
      </w:r>
    </w:p>
    <w:p w14:paraId="027CE8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2．对于承包人带入现场的特殊工器具，如起重设备、索具、机动车辆、压缩气瓶等，承包人必须按国家法规和标准进行检测、试验，并持有法定部门出具的检验证书。</w:t>
      </w:r>
    </w:p>
    <w:p w14:paraId="2BDDF46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3．对于不属于法定检测的工器具，承包人也必须建立相应的管理、检测制度，这些工器具包括登高工具、脚手架材料、电动工具、安全防护设备及用具等。</w:t>
      </w:r>
    </w:p>
    <w:p w14:paraId="58CF73F0">
      <w:pPr>
        <w:spacing w:line="440" w:lineRule="exact"/>
        <w:ind w:firstLine="480" w:firstLineChars="200"/>
        <w:rPr>
          <w:rFonts w:hint="eastAsia" w:ascii="宋体" w:hAnsi="宋体" w:eastAsia="宋体" w:cs="宋体"/>
          <w:color w:val="auto"/>
          <w:sz w:val="24"/>
          <w:szCs w:val="24"/>
        </w:rPr>
      </w:pPr>
      <w:bookmarkStart w:id="1179" w:name="_Toc247431432"/>
      <w:bookmarkStart w:id="1180" w:name="_Toc239510298"/>
      <w:bookmarkStart w:id="1181" w:name="_Toc532375708"/>
      <w:bookmarkStart w:id="1182" w:name="_Toc247418272"/>
      <w:r>
        <w:rPr>
          <w:rFonts w:hint="eastAsia" w:ascii="宋体" w:hAnsi="宋体" w:eastAsia="宋体" w:cs="宋体"/>
          <w:color w:val="auto"/>
          <w:sz w:val="24"/>
          <w:szCs w:val="24"/>
          <w:lang w:bidi="ar"/>
        </w:rPr>
        <w:t>九、开工前安全条件检查</w:t>
      </w:r>
      <w:bookmarkEnd w:id="1179"/>
      <w:bookmarkEnd w:id="1180"/>
      <w:bookmarkEnd w:id="1181"/>
      <w:bookmarkEnd w:id="1182"/>
    </w:p>
    <w:p w14:paraId="4A06E72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468DF5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FC115C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3．发包人委托的监理公司检查发现的缺陷，承包人应在规定期限内完成整改。对于重大缺陷，发包人委托的监理公司有权要求承包人推迟开工，由此对工期产生的影响或经济损失，由承包人承担。</w:t>
      </w:r>
    </w:p>
    <w:p w14:paraId="044D9017">
      <w:pPr>
        <w:spacing w:line="440" w:lineRule="exact"/>
        <w:ind w:firstLine="480" w:firstLineChars="200"/>
        <w:rPr>
          <w:rFonts w:hint="eastAsia" w:ascii="宋体" w:hAnsi="宋体" w:eastAsia="宋体" w:cs="宋体"/>
          <w:color w:val="auto"/>
          <w:sz w:val="24"/>
          <w:szCs w:val="24"/>
        </w:rPr>
      </w:pPr>
      <w:bookmarkStart w:id="1183" w:name="_Toc247418273"/>
      <w:bookmarkStart w:id="1184" w:name="_Toc532375709"/>
      <w:bookmarkStart w:id="1185" w:name="_Toc239510299"/>
      <w:bookmarkStart w:id="1186" w:name="_Toc247431433"/>
      <w:r>
        <w:rPr>
          <w:rFonts w:hint="eastAsia" w:ascii="宋体" w:hAnsi="宋体" w:eastAsia="宋体" w:cs="宋体"/>
          <w:color w:val="auto"/>
          <w:sz w:val="24"/>
          <w:szCs w:val="24"/>
          <w:lang w:bidi="ar"/>
        </w:rPr>
        <w:t>十、安全监督</w:t>
      </w:r>
      <w:bookmarkEnd w:id="1183"/>
      <w:bookmarkEnd w:id="1184"/>
      <w:bookmarkEnd w:id="1185"/>
      <w:bookmarkEnd w:id="1186"/>
    </w:p>
    <w:p w14:paraId="438DDA3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1．承包人应配备有满足项目安全管理需要的专职安全管理人员。</w:t>
      </w:r>
    </w:p>
    <w:p w14:paraId="4177FBA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2．承包人的专职安全管理人员必须持建设主管部门颁发的安全生产知识考核合格证书。</w:t>
      </w:r>
    </w:p>
    <w:p w14:paraId="38636D2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3．承包人的专职安全管理人员在业务上接受发包人委托的监理公司和发包人安全管理部门的协调和指导。</w:t>
      </w:r>
    </w:p>
    <w:p w14:paraId="6809683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4．承包人应建立班前安全交底制度；施工期间坚持开展安全检查和日常安全监督并形成相应的记录。</w:t>
      </w:r>
    </w:p>
    <w:p w14:paraId="4DD953A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5．承包人应在每个作业区任命兼职安全员，赋予兼职安全员相应的授权和义务，并对兼职安全员进行定期考核。</w:t>
      </w:r>
    </w:p>
    <w:p w14:paraId="1CEA1D1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6．承包人应接受和配合发包人专业部门及委托的监理公司的监督与安全评价。</w:t>
      </w:r>
    </w:p>
    <w:p w14:paraId="0422241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151BF3A">
      <w:pPr>
        <w:spacing w:line="440" w:lineRule="exact"/>
        <w:ind w:firstLine="480" w:firstLineChars="200"/>
        <w:rPr>
          <w:rFonts w:hint="eastAsia" w:ascii="宋体" w:hAnsi="宋体" w:eastAsia="宋体" w:cs="宋体"/>
          <w:color w:val="auto"/>
          <w:sz w:val="24"/>
          <w:szCs w:val="24"/>
        </w:rPr>
      </w:pPr>
      <w:bookmarkStart w:id="1187" w:name="_Toc247418274"/>
      <w:bookmarkStart w:id="1188" w:name="_Toc532375710"/>
      <w:bookmarkStart w:id="1189" w:name="_Toc239510300"/>
      <w:bookmarkStart w:id="1190" w:name="_Toc247431434"/>
      <w:r>
        <w:rPr>
          <w:rFonts w:hint="eastAsia" w:ascii="宋体" w:hAnsi="宋体" w:eastAsia="宋体" w:cs="宋体"/>
          <w:color w:val="auto"/>
          <w:sz w:val="24"/>
          <w:szCs w:val="24"/>
          <w:lang w:bidi="ar"/>
        </w:rPr>
        <w:t>十一、安全培训与授权</w:t>
      </w:r>
      <w:bookmarkEnd w:id="1187"/>
      <w:bookmarkEnd w:id="1188"/>
      <w:bookmarkEnd w:id="1189"/>
      <w:bookmarkEnd w:id="1190"/>
    </w:p>
    <w:p w14:paraId="2AFC959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1．承包人所有特殊工种人员必须持证上岗，发包人和发包人委托的监理公司有权对其进行抽查。承包人要建立特殊工种定期培训和检查计划，这些工种包括但不限于：机动车驾驶员、焊工、起重工、电工等。</w:t>
      </w:r>
    </w:p>
    <w:p w14:paraId="4D84520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2．承包人应在特殊工种之外的其他工种中，筛选出高风险工种，并对其开展针对性的专题安全培训。</w:t>
      </w:r>
    </w:p>
    <w:p w14:paraId="68ED60A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3．承包人应组织 “入场培训”和考核。发包人委托的监理公司有权监督培训、考核情况或组织抽查考核。</w:t>
      </w:r>
    </w:p>
    <w:p w14:paraId="257FCE1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4．承包人应建立安全培训和考核机制，编制培训教材和培训滚动计划。承包人应组织安全考试/考核，建立培训考核记录，发包人委托的监理公司有权查看这些记录。</w:t>
      </w:r>
    </w:p>
    <w:p w14:paraId="54545801">
      <w:pPr>
        <w:spacing w:line="440" w:lineRule="exact"/>
        <w:ind w:firstLine="480" w:firstLineChars="200"/>
        <w:rPr>
          <w:rFonts w:hint="eastAsia" w:ascii="宋体" w:hAnsi="宋体" w:eastAsia="宋体" w:cs="宋体"/>
          <w:color w:val="auto"/>
          <w:sz w:val="24"/>
          <w:szCs w:val="24"/>
        </w:rPr>
      </w:pPr>
      <w:bookmarkStart w:id="1191" w:name="_Toc239510301"/>
      <w:bookmarkStart w:id="1192" w:name="_Toc247431435"/>
      <w:bookmarkStart w:id="1193" w:name="_Toc247418275"/>
      <w:bookmarkStart w:id="1194" w:name="_Toc532375711"/>
      <w:r>
        <w:rPr>
          <w:rFonts w:hint="eastAsia" w:ascii="宋体" w:hAnsi="宋体" w:eastAsia="宋体" w:cs="宋体"/>
          <w:color w:val="auto"/>
          <w:sz w:val="24"/>
          <w:szCs w:val="24"/>
          <w:lang w:bidi="ar"/>
        </w:rPr>
        <w:t>十二、职业健康与卫生防疫</w:t>
      </w:r>
      <w:bookmarkEnd w:id="1191"/>
      <w:bookmarkEnd w:id="1192"/>
      <w:bookmarkEnd w:id="1193"/>
      <w:bookmarkEnd w:id="1194"/>
    </w:p>
    <w:p w14:paraId="43E9F75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1．承包人应有特殊健康检查制度，预防有禁忌症患者从事有关职业，如恐高症患者不得从事高空作业，患有心血管疾病的人员不得从事繁重的体力劳动，特殊工种人员的体检应符合国家的规定。</w:t>
      </w:r>
    </w:p>
    <w:p w14:paraId="658428C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2．承包人应保证卫生防疫基本设施的投入，以满足医疗、急救的要求，建立外部医疗支持渠道。</w:t>
      </w:r>
    </w:p>
    <w:p w14:paraId="69D6A8A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4BEF7E92">
      <w:pPr>
        <w:spacing w:line="440" w:lineRule="exact"/>
        <w:ind w:firstLine="480" w:firstLineChars="200"/>
        <w:rPr>
          <w:rFonts w:hint="eastAsia" w:ascii="宋体" w:hAnsi="宋体" w:eastAsia="宋体" w:cs="宋体"/>
          <w:color w:val="auto"/>
          <w:sz w:val="24"/>
          <w:szCs w:val="24"/>
        </w:rPr>
      </w:pPr>
      <w:bookmarkStart w:id="1195" w:name="_Toc247431436"/>
      <w:bookmarkStart w:id="1196" w:name="_Toc239510302"/>
      <w:bookmarkStart w:id="1197" w:name="_Toc532375712"/>
      <w:bookmarkStart w:id="1198" w:name="_Toc247418276"/>
      <w:r>
        <w:rPr>
          <w:rFonts w:hint="eastAsia" w:ascii="宋体" w:hAnsi="宋体" w:eastAsia="宋体" w:cs="宋体"/>
          <w:color w:val="auto"/>
          <w:sz w:val="24"/>
          <w:szCs w:val="24"/>
          <w:lang w:bidi="ar"/>
        </w:rPr>
        <w:t>十三、文明施工与环保要求</w:t>
      </w:r>
      <w:bookmarkEnd w:id="1195"/>
      <w:bookmarkEnd w:id="1196"/>
      <w:bookmarkEnd w:id="1197"/>
      <w:bookmarkEnd w:id="1198"/>
    </w:p>
    <w:p w14:paraId="2A2C0D3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1．承包人需制订施工现场的文明施工措施，保持良好的施工现场秩序。施工现场的物料堆放要摆放整齐，安全标志和宣传标志要清楚醒目，废料、废物要分类收集，安全通道要畅通。</w:t>
      </w:r>
    </w:p>
    <w:p w14:paraId="1DB4909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2．承包人作业时应避免建筑材料抛洒、飞扬、流淌；应尽可能降低噪音、震动。</w:t>
      </w:r>
    </w:p>
    <w:p w14:paraId="622B65B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3．承包人应根据实际需要，在施工现场布置临时卫生设施（洗手间、卫生间等），施工作业不破坏环境卫生，不污染现场环境。</w:t>
      </w:r>
    </w:p>
    <w:p w14:paraId="1E98C47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4．承包人在施工中应充分重视对环境的保护，保护绿色植被，保护古树。施工如需伤害古树，必须报告发包人委托的监理公司，在未得到指令前，禁止擅自伤害古树。</w:t>
      </w:r>
    </w:p>
    <w:p w14:paraId="2F2D786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18CEF4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6．承包人在施工中应禁止向环境，排放工业污水、生活污水、废油或其他有害物质。</w:t>
      </w:r>
    </w:p>
    <w:p w14:paraId="2052FBC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E762CDD">
      <w:pPr>
        <w:spacing w:line="440" w:lineRule="exact"/>
        <w:ind w:firstLine="480" w:firstLineChars="200"/>
        <w:rPr>
          <w:rFonts w:hint="eastAsia" w:ascii="宋体" w:hAnsi="宋体" w:eastAsia="宋体" w:cs="宋体"/>
          <w:color w:val="auto"/>
          <w:sz w:val="24"/>
          <w:szCs w:val="24"/>
        </w:rPr>
      </w:pPr>
      <w:bookmarkStart w:id="1199" w:name="_Toc239510303"/>
      <w:bookmarkStart w:id="1200" w:name="_Toc247418277"/>
      <w:bookmarkStart w:id="1201" w:name="_Toc247431437"/>
      <w:bookmarkStart w:id="1202" w:name="_Toc532375713"/>
      <w:r>
        <w:rPr>
          <w:rFonts w:hint="eastAsia" w:ascii="宋体" w:hAnsi="宋体" w:eastAsia="宋体" w:cs="宋体"/>
          <w:color w:val="auto"/>
          <w:sz w:val="24"/>
          <w:szCs w:val="24"/>
          <w:lang w:bidi="ar"/>
        </w:rPr>
        <w:t>十四、工程风险管理与事故预防</w:t>
      </w:r>
      <w:bookmarkEnd w:id="1199"/>
      <w:bookmarkEnd w:id="1200"/>
      <w:bookmarkEnd w:id="1201"/>
      <w:bookmarkEnd w:id="1202"/>
    </w:p>
    <w:p w14:paraId="5D3181A8">
      <w:pPr>
        <w:spacing w:line="440" w:lineRule="exact"/>
        <w:ind w:firstLine="480" w:firstLineChars="200"/>
        <w:jc w:val="left"/>
        <w:rPr>
          <w:rFonts w:hint="eastAsia" w:ascii="宋体" w:hAnsi="宋体" w:eastAsia="宋体" w:cs="宋体"/>
          <w:color w:val="auto"/>
          <w:sz w:val="24"/>
          <w:szCs w:val="24"/>
        </w:rPr>
      </w:pPr>
      <w:bookmarkStart w:id="1203" w:name="_Toc247431438"/>
      <w:bookmarkStart w:id="1204" w:name="_Toc239510304"/>
      <w:bookmarkStart w:id="1205" w:name="_Toc247418278"/>
      <w:r>
        <w:rPr>
          <w:rFonts w:hint="eastAsia" w:ascii="宋体" w:hAnsi="宋体" w:eastAsia="宋体" w:cs="宋体"/>
          <w:color w:val="auto"/>
          <w:sz w:val="24"/>
          <w:szCs w:val="24"/>
          <w:lang w:bidi="ar"/>
        </w:rPr>
        <w:t>（一）基本要求</w:t>
      </w:r>
      <w:bookmarkEnd w:id="1203"/>
      <w:bookmarkEnd w:id="1204"/>
      <w:bookmarkEnd w:id="1205"/>
    </w:p>
    <w:p w14:paraId="18199BFA">
      <w:pPr>
        <w:spacing w:line="440" w:lineRule="exact"/>
        <w:ind w:firstLine="480" w:firstLineChars="200"/>
        <w:jc w:val="left"/>
        <w:rPr>
          <w:rFonts w:hint="eastAsia" w:ascii="宋体" w:hAnsi="宋体" w:eastAsia="宋体" w:cs="宋体"/>
          <w:color w:val="auto"/>
          <w:sz w:val="24"/>
          <w:szCs w:val="24"/>
        </w:rPr>
      </w:pPr>
      <w:bookmarkStart w:id="1206" w:name="_Toc532375714"/>
      <w:r>
        <w:rPr>
          <w:rFonts w:hint="eastAsia" w:ascii="宋体" w:hAnsi="宋体" w:eastAsia="宋体" w:cs="宋体"/>
          <w:color w:val="auto"/>
          <w:sz w:val="24"/>
          <w:szCs w:val="24"/>
          <w:lang w:bidi="ar"/>
        </w:rPr>
        <w:t>1．承包人应对施工过程进行全面、深入的危险源识别和风险分析。在施工安全组织设计中提供危险源及重要危险源清单、作业风险分析报告，该报告应包括（但不限于）如下信息：</w:t>
      </w:r>
      <w:bookmarkEnd w:id="1206"/>
    </w:p>
    <w:p w14:paraId="5A33137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（1）高风险作业和工种清单：作业名称、类别和数量、主要事故风险。</w:t>
      </w:r>
    </w:p>
    <w:p w14:paraId="138FACE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（2）施工能源和机械的种类、数量和主要事故风险。</w:t>
      </w:r>
    </w:p>
    <w:p w14:paraId="6743731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（3）施工作业条件的类型和主要事故风险。</w:t>
      </w:r>
    </w:p>
    <w:p w14:paraId="74F4BCE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（4）主要工艺过程（或施工活动）的类别及其相关的事故风险。</w:t>
      </w:r>
    </w:p>
    <w:p w14:paraId="48C3050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（5）主要火灾危险（可燃物、点火源）。</w:t>
      </w:r>
    </w:p>
    <w:p w14:paraId="31CF4BA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（6）主要自然灾害（洪水、大风、雷暴、暴雨、地质灾害等）。</w:t>
      </w:r>
    </w:p>
    <w:p w14:paraId="0BAF37E7">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（7）主要环境保护事件（有害垃圾、机械的跑冒滴漏、原材料流失、水土流失等）。</w:t>
      </w:r>
    </w:p>
    <w:p w14:paraId="177086F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（8）其他。</w:t>
      </w:r>
    </w:p>
    <w:p w14:paraId="2C2D609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2．承包人应针对识别出的危险源制定有针对性的事故预防措施并确保在施工中得到有效落实。</w:t>
      </w:r>
    </w:p>
    <w:p w14:paraId="6899CAC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3．承包人应建立日常施工活动的动态作业风险分析和安全交底制度。该制度应明确规定风险分析的方法、责任和交底的内容、时间及记录。</w:t>
      </w:r>
    </w:p>
    <w:p w14:paraId="20582E73">
      <w:pPr>
        <w:spacing w:line="440" w:lineRule="exact"/>
        <w:ind w:firstLine="480" w:firstLineChars="200"/>
        <w:jc w:val="left"/>
        <w:rPr>
          <w:rFonts w:hint="eastAsia" w:ascii="宋体" w:hAnsi="宋体" w:eastAsia="宋体" w:cs="宋体"/>
          <w:color w:val="auto"/>
          <w:sz w:val="24"/>
          <w:szCs w:val="24"/>
        </w:rPr>
      </w:pPr>
      <w:bookmarkStart w:id="1207" w:name="_Toc239510305"/>
      <w:bookmarkStart w:id="1208" w:name="_Toc247431439"/>
      <w:bookmarkStart w:id="1209" w:name="_Toc247418279"/>
      <w:r>
        <w:rPr>
          <w:rFonts w:hint="eastAsia" w:ascii="宋体" w:hAnsi="宋体" w:eastAsia="宋体" w:cs="宋体"/>
          <w:color w:val="auto"/>
          <w:sz w:val="24"/>
          <w:szCs w:val="24"/>
          <w:lang w:bidi="ar"/>
        </w:rPr>
        <w:t>（二）现场作业基本安全条件</w:t>
      </w:r>
      <w:bookmarkEnd w:id="1207"/>
      <w:bookmarkEnd w:id="1208"/>
      <w:bookmarkEnd w:id="1209"/>
    </w:p>
    <w:p w14:paraId="7246F72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6D94769">
      <w:pPr>
        <w:spacing w:line="440" w:lineRule="exact"/>
        <w:ind w:firstLine="480" w:firstLineChars="200"/>
        <w:rPr>
          <w:rFonts w:hint="eastAsia" w:ascii="宋体" w:hAnsi="宋体" w:eastAsia="宋体" w:cs="宋体"/>
          <w:color w:val="auto"/>
          <w:sz w:val="24"/>
          <w:szCs w:val="24"/>
        </w:rPr>
      </w:pPr>
      <w:bookmarkStart w:id="1210" w:name="_Toc247431440"/>
      <w:bookmarkStart w:id="1211" w:name="_Toc532375715"/>
      <w:bookmarkStart w:id="1212" w:name="_Toc247418280"/>
      <w:bookmarkStart w:id="1213" w:name="_Toc239510306"/>
      <w:r>
        <w:rPr>
          <w:rFonts w:hint="eastAsia" w:ascii="宋体" w:hAnsi="宋体" w:eastAsia="宋体" w:cs="宋体"/>
          <w:color w:val="auto"/>
          <w:sz w:val="24"/>
          <w:szCs w:val="24"/>
          <w:lang w:bidi="ar"/>
        </w:rPr>
        <w:t>十五、事故报告与应急救援</w:t>
      </w:r>
      <w:bookmarkEnd w:id="1210"/>
      <w:bookmarkEnd w:id="1211"/>
      <w:bookmarkEnd w:id="1212"/>
      <w:bookmarkEnd w:id="1213"/>
    </w:p>
    <w:p w14:paraId="5629CF7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1．承包人应制定对于未遂事故及以上级别的安全事件和事故，定期报送安全月度快报、季报、年报和各种专项事故报告等。</w:t>
      </w:r>
    </w:p>
    <w:p w14:paraId="12BC9E4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2．承包人应建立安全事故统计记录、未遂事故统计记录、违章统计记录，并根据统计情况进行分析，并就分析结果制定相应的预防措施。</w:t>
      </w:r>
    </w:p>
    <w:p w14:paraId="357B0DD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3．承包人应建立事故应急救援机制，明确事故处置的基本原则，即现场发生事故时，首先抢救生命，向救援组织报警，并采取措施限制事故扩大。</w:t>
      </w:r>
    </w:p>
    <w:p w14:paraId="5ACB1EE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4．承包人应建立相应的应急响应组织，以便能迅速处理突发意外。</w:t>
      </w:r>
    </w:p>
    <w:p w14:paraId="2EEBB79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5．承包人应建立专项应急响应预案，包括重大人身伤亡事故的救护预案、火灾响应预案、“四防”预案（防风、防冻、防雷、防暴雨）、重大疫病防护预案、环境污染防护预案、地质灾害防护预案等。</w:t>
      </w:r>
    </w:p>
    <w:p w14:paraId="5C89752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6．承包人应对应急预案进行适当演练，保证应急预案的可操作性。</w:t>
      </w:r>
    </w:p>
    <w:p w14:paraId="10F2D6BB">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7．在工地的其他施工单位发生重大事故时，承包人应无条件立即配合、支持事故抢险。</w:t>
      </w:r>
    </w:p>
    <w:p w14:paraId="76A2D4C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8．承包人必须为事故处置支付各项费用，包括受伤者的抚恤、补偿等费用，并按合同要求赔偿对发包人造成的损失。</w:t>
      </w:r>
    </w:p>
    <w:p w14:paraId="42023A8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9．由于发包人原因而造成的事故，发包人应负责按事故的具体损失情况给予承包人经济赔偿。</w:t>
      </w:r>
    </w:p>
    <w:p w14:paraId="44D3F6C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10．涉及承包人员工的伤害事故，承包人除要报告发包人委托的监理公司外，还应负责按照国家、行业和本单位上级公司的要求，上报事故。</w:t>
      </w:r>
    </w:p>
    <w:p w14:paraId="6FC951CF">
      <w:pPr>
        <w:spacing w:line="440" w:lineRule="exact"/>
        <w:ind w:firstLine="480" w:firstLineChars="200"/>
        <w:rPr>
          <w:rFonts w:hint="eastAsia" w:ascii="宋体" w:hAnsi="宋体" w:eastAsia="宋体" w:cs="宋体"/>
          <w:color w:val="auto"/>
          <w:sz w:val="24"/>
          <w:szCs w:val="24"/>
        </w:rPr>
      </w:pPr>
      <w:bookmarkStart w:id="1214" w:name="_Toc247431441"/>
      <w:bookmarkStart w:id="1215" w:name="_Toc239510307"/>
      <w:bookmarkStart w:id="1216" w:name="_Toc247418281"/>
      <w:bookmarkStart w:id="1217" w:name="_Toc532375716"/>
      <w:r>
        <w:rPr>
          <w:rFonts w:hint="eastAsia" w:ascii="宋体" w:hAnsi="宋体" w:eastAsia="宋体" w:cs="宋体"/>
          <w:color w:val="auto"/>
          <w:sz w:val="24"/>
          <w:szCs w:val="24"/>
          <w:lang w:bidi="ar"/>
        </w:rPr>
        <w:t>十六、安全业绩考核</w:t>
      </w:r>
      <w:bookmarkEnd w:id="1214"/>
      <w:bookmarkEnd w:id="1215"/>
      <w:bookmarkEnd w:id="1216"/>
      <w:bookmarkEnd w:id="1217"/>
    </w:p>
    <w:p w14:paraId="60471FC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为了落实安全管理的责任，承包人在施工过程中发生安全事故时，承包人除应按国家有关规定承担责任和处罚外，发包人还将按照以下标准进行考核：</w:t>
      </w:r>
    </w:p>
    <w:tbl>
      <w:tblPr>
        <w:tblStyle w:val="31"/>
        <w:tblW w:w="0" w:type="auto"/>
        <w:jc w:val="center"/>
        <w:tblLayout w:type="fixed"/>
        <w:tblCellMar>
          <w:top w:w="0" w:type="dxa"/>
          <w:left w:w="0" w:type="dxa"/>
          <w:bottom w:w="0" w:type="dxa"/>
          <w:right w:w="0" w:type="dxa"/>
        </w:tblCellMar>
      </w:tblPr>
      <w:tblGrid>
        <w:gridCol w:w="3240"/>
        <w:gridCol w:w="3765"/>
      </w:tblGrid>
      <w:tr w14:paraId="10A2197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ADFC9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事件类型</w:t>
            </w:r>
          </w:p>
        </w:tc>
        <w:tc>
          <w:tcPr>
            <w:tcW w:w="376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18D51D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违约金额</w:t>
            </w:r>
          </w:p>
        </w:tc>
      </w:tr>
      <w:tr w14:paraId="214C0D70">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648A34">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较大事故</w:t>
            </w:r>
          </w:p>
        </w:tc>
        <w:tc>
          <w:tcPr>
            <w:tcW w:w="3765" w:type="dxa"/>
            <w:tcBorders>
              <w:top w:val="single" w:color="auto" w:sz="8" w:space="0"/>
              <w:left w:val="nil"/>
              <w:bottom w:val="single" w:color="auto" w:sz="8" w:space="0"/>
              <w:right w:val="single" w:color="auto" w:sz="8" w:space="0"/>
            </w:tcBorders>
            <w:noWrap w:val="0"/>
            <w:vAlign w:val="center"/>
          </w:tcPr>
          <w:p w14:paraId="344C51D9">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签约合同价的0.5‰</w:t>
            </w:r>
          </w:p>
        </w:tc>
      </w:tr>
      <w:tr w14:paraId="3D845FB0">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8F8AE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重大事故</w:t>
            </w:r>
          </w:p>
        </w:tc>
        <w:tc>
          <w:tcPr>
            <w:tcW w:w="3765" w:type="dxa"/>
            <w:tcBorders>
              <w:top w:val="single" w:color="auto" w:sz="8" w:space="0"/>
              <w:left w:val="nil"/>
              <w:bottom w:val="single" w:color="auto" w:sz="8" w:space="0"/>
              <w:right w:val="single" w:color="auto" w:sz="8" w:space="0"/>
            </w:tcBorders>
            <w:noWrap w:val="0"/>
            <w:vAlign w:val="center"/>
          </w:tcPr>
          <w:p w14:paraId="4DAC5BC9">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签约合同价的2‰</w:t>
            </w:r>
          </w:p>
        </w:tc>
      </w:tr>
      <w:tr w14:paraId="3B183707">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A284E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456C0A7D">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签约合同价的4‰</w:t>
            </w:r>
          </w:p>
        </w:tc>
      </w:tr>
    </w:tbl>
    <w:p w14:paraId="4C61539F">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（1）较大事故，是指造成3人以上10人以下死亡，或者10人以上50人以下重伤，或者1000万元以上5000万元以下直接经济损失的事故；</w:t>
      </w:r>
    </w:p>
    <w:p w14:paraId="2ED8853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（2）重大事故，是指造成10人以上30人以下死亡，或者50人以上100人以下重伤，或者5000万元以上1亿元以下直接经济损失的事故；</w:t>
      </w:r>
    </w:p>
    <w:p w14:paraId="7141A1E2">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（3）特别重大事故，是指造成30人以上死亡，或者100人以上重伤（包括急性工业中毒，下同），或者1亿元以上直接经济损失的事故；</w:t>
      </w:r>
    </w:p>
    <w:p w14:paraId="4873E68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（4）所称的“以上”包括本数，所称的“以下”不包括本数。</w:t>
      </w:r>
    </w:p>
    <w:p w14:paraId="6B177F7C">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（5）如整个施工过程未发生以上安全事故，则给予承包人建安费总额的1‰的安全奖励。</w:t>
      </w:r>
    </w:p>
    <w:p w14:paraId="4CADA856">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1DC27011">
      <w:pPr>
        <w:spacing w:line="440" w:lineRule="exact"/>
        <w:ind w:firstLine="480" w:firstLineChars="200"/>
        <w:rPr>
          <w:rFonts w:hint="eastAsia" w:ascii="宋体" w:hAnsi="宋体" w:eastAsia="宋体" w:cs="宋体"/>
          <w:color w:val="auto"/>
          <w:sz w:val="24"/>
          <w:szCs w:val="24"/>
        </w:rPr>
      </w:pPr>
      <w:bookmarkStart w:id="1218" w:name="_Toc247431442"/>
      <w:bookmarkStart w:id="1219" w:name="_Toc532375717"/>
      <w:bookmarkStart w:id="1220" w:name="_Toc239510308"/>
      <w:bookmarkStart w:id="1221" w:name="_Toc247418282"/>
      <w:r>
        <w:rPr>
          <w:rFonts w:hint="eastAsia" w:ascii="宋体" w:hAnsi="宋体" w:eastAsia="宋体" w:cs="宋体"/>
          <w:color w:val="auto"/>
          <w:sz w:val="24"/>
          <w:szCs w:val="24"/>
          <w:lang w:bidi="ar"/>
        </w:rPr>
        <w:t>十七、协议条款的修订</w:t>
      </w:r>
      <w:bookmarkEnd w:id="1218"/>
      <w:bookmarkEnd w:id="1219"/>
      <w:bookmarkEnd w:id="1220"/>
      <w:bookmarkEnd w:id="1221"/>
    </w:p>
    <w:p w14:paraId="1EAC9F31">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在项目实施过程中，经双方友好协商，本协议的有关条款也可做出相应的修改。</w:t>
      </w:r>
    </w:p>
    <w:p w14:paraId="7EF14240">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本工程安全管理协议，由发包人、承包人双方在施工承包合同签订后7天内共同签署，作为施工合同附件。</w:t>
      </w:r>
    </w:p>
    <w:p w14:paraId="797A49F5">
      <w:pPr>
        <w:spacing w:line="440" w:lineRule="exact"/>
        <w:ind w:firstLine="480" w:firstLineChars="200"/>
        <w:jc w:val="left"/>
        <w:rPr>
          <w:rFonts w:hint="eastAsia" w:ascii="宋体" w:hAnsi="宋体" w:eastAsia="宋体" w:cs="宋体"/>
          <w:color w:val="auto"/>
          <w:sz w:val="24"/>
          <w:szCs w:val="24"/>
        </w:rPr>
      </w:pPr>
    </w:p>
    <w:p w14:paraId="740E2EFB">
      <w:pPr>
        <w:spacing w:line="440" w:lineRule="exact"/>
        <w:ind w:firstLine="480" w:firstLineChars="200"/>
        <w:jc w:val="left"/>
        <w:rPr>
          <w:rFonts w:hint="eastAsia" w:ascii="宋体" w:hAnsi="宋体" w:eastAsia="宋体" w:cs="宋体"/>
          <w:color w:val="auto"/>
          <w:sz w:val="24"/>
          <w:szCs w:val="24"/>
        </w:rPr>
      </w:pPr>
    </w:p>
    <w:p w14:paraId="4DDBE4FA">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  包  人（公章）：</w:t>
      </w:r>
      <w:r>
        <w:rPr>
          <w:rFonts w:hint="eastAsia" w:ascii="宋体" w:hAnsi="宋体" w:eastAsia="宋体" w:cs="宋体"/>
          <w:color w:val="auto"/>
          <w:sz w:val="24"/>
          <w:szCs w:val="24"/>
          <w:u w:val="single"/>
          <w:lang w:bidi="ar"/>
        </w:rPr>
        <w:t xml:space="preserve">  重庆市石桥铺殡仪馆  </w:t>
      </w:r>
    </w:p>
    <w:p w14:paraId="0DC2BDD8">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法定代表人（签字）：</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  </w:t>
      </w:r>
    </w:p>
    <w:p w14:paraId="2C8F676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或其委托代理人（签字）：</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  </w:t>
      </w:r>
    </w:p>
    <w:p w14:paraId="24432F13">
      <w:pPr>
        <w:spacing w:line="440" w:lineRule="exact"/>
        <w:ind w:firstLine="480" w:firstLineChars="200"/>
        <w:jc w:val="left"/>
        <w:rPr>
          <w:rFonts w:hint="eastAsia" w:ascii="宋体" w:hAnsi="宋体" w:eastAsia="宋体" w:cs="宋体"/>
          <w:color w:val="auto"/>
          <w:sz w:val="24"/>
          <w:szCs w:val="24"/>
        </w:rPr>
      </w:pPr>
    </w:p>
    <w:p w14:paraId="18F26ED9">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承  包  人（公章）：</w:t>
      </w:r>
      <w:r>
        <w:rPr>
          <w:rFonts w:hint="eastAsia" w:ascii="宋体" w:hAnsi="宋体" w:eastAsia="宋体" w:cs="宋体"/>
          <w:color w:val="auto"/>
          <w:sz w:val="24"/>
          <w:szCs w:val="24"/>
          <w:u w:val="single"/>
          <w:lang w:bidi="ar"/>
        </w:rPr>
        <w:t xml:space="preserve">                       </w:t>
      </w:r>
    </w:p>
    <w:p w14:paraId="7159706E">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法定代表人（签字）：</w:t>
      </w:r>
      <w:r>
        <w:rPr>
          <w:rFonts w:hint="eastAsia" w:ascii="宋体" w:hAnsi="宋体" w:eastAsia="宋体" w:cs="宋体"/>
          <w:color w:val="auto"/>
          <w:sz w:val="24"/>
          <w:szCs w:val="24"/>
          <w:u w:val="single"/>
          <w:lang w:bidi="ar"/>
        </w:rPr>
        <w:t xml:space="preserve">                       </w:t>
      </w:r>
    </w:p>
    <w:p w14:paraId="36480396">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或其委托代理人（签字）：</w:t>
      </w:r>
      <w:r>
        <w:rPr>
          <w:rFonts w:hint="eastAsia" w:ascii="宋体" w:hAnsi="宋体" w:eastAsia="宋体" w:cs="宋体"/>
          <w:color w:val="auto"/>
          <w:sz w:val="24"/>
          <w:szCs w:val="24"/>
          <w:u w:val="single"/>
          <w:lang w:bidi="ar"/>
        </w:rPr>
        <w:t xml:space="preserve">                   </w:t>
      </w:r>
    </w:p>
    <w:p w14:paraId="71FD1B86">
      <w:pPr>
        <w:snapToGrid w:val="0"/>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br w:type="page"/>
      </w:r>
    </w:p>
    <w:p w14:paraId="60E59C6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附件7  保障农民工工资支付协议</w:t>
      </w:r>
    </w:p>
    <w:p w14:paraId="00BA7B24">
      <w:pPr>
        <w:spacing w:before="120" w:beforeLines="50" w:after="120" w:afterLines="50"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保障农民工工资支付协议</w:t>
      </w:r>
    </w:p>
    <w:p w14:paraId="4974C819">
      <w:pPr>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发包人：</w:t>
      </w:r>
      <w:r>
        <w:rPr>
          <w:rFonts w:hint="eastAsia" w:ascii="宋体" w:hAnsi="宋体" w:eastAsia="宋体" w:cs="宋体"/>
          <w:color w:val="auto"/>
          <w:sz w:val="24"/>
          <w:szCs w:val="24"/>
          <w:u w:val="single"/>
          <w:lang w:bidi="ar"/>
        </w:rPr>
        <w:t xml:space="preserve">重庆市石桥铺殡仪馆                   </w:t>
      </w:r>
      <w:r>
        <w:rPr>
          <w:rFonts w:hint="eastAsia" w:ascii="宋体" w:hAnsi="宋体" w:eastAsia="宋体" w:cs="宋体"/>
          <w:color w:val="auto"/>
          <w:sz w:val="24"/>
          <w:szCs w:val="24"/>
          <w:lang w:bidi="ar"/>
        </w:rPr>
        <w:t>（发包人）</w:t>
      </w:r>
    </w:p>
    <w:p w14:paraId="1644A5D8">
      <w:pPr>
        <w:snapToGrid w:val="0"/>
        <w:spacing w:line="440" w:lineRule="exact"/>
        <w:ind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（承包人）</w:t>
      </w:r>
    </w:p>
    <w:p w14:paraId="5480CFC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7C5DB14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4E03B18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625B6E8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6758CD03">
      <w:pPr>
        <w:spacing w:line="44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四、若发现承包人有下列事项的，发包人在支付当期进度款时暂扣当期应支付进度款5%比例的款项。</w:t>
      </w:r>
    </w:p>
    <w:p w14:paraId="340E4BA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（一）现场检查发现项目存在拖欠农民工工资情况并经核查属实的；</w:t>
      </w:r>
    </w:p>
    <w:p w14:paraId="769B98AC">
      <w:pPr>
        <w:spacing w:line="44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（二）相关行政管理部门检查发现存在拖欠农民工工资情况并经核查属实的；</w:t>
      </w:r>
    </w:p>
    <w:p w14:paraId="2F2793B6">
      <w:pPr>
        <w:spacing w:line="44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    （三）有拖欠农民工工资投诉事项并经核查属实的。</w:t>
      </w:r>
    </w:p>
    <w:p w14:paraId="3D91D04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4B767D25">
      <w:pPr>
        <w:tabs>
          <w:tab w:val="left" w:pos="1080"/>
          <w:tab w:val="left" w:pos="1260"/>
          <w:tab w:val="left" w:pos="1440"/>
        </w:tabs>
        <w:spacing w:line="440" w:lineRule="exact"/>
        <w:ind w:firstLine="480" w:firstLineChars="200"/>
        <w:rPr>
          <w:rFonts w:hint="eastAsia" w:ascii="宋体" w:hAnsi="宋体" w:eastAsia="宋体" w:cs="宋体"/>
          <w:snapToGrid w:val="0"/>
          <w:color w:val="auto"/>
          <w:spacing w:val="-4"/>
          <w:kern w:val="0"/>
          <w:sz w:val="24"/>
          <w:szCs w:val="24"/>
        </w:rPr>
      </w:pPr>
      <w:r>
        <w:rPr>
          <w:rFonts w:hint="eastAsia" w:ascii="宋体" w:hAnsi="宋体" w:eastAsia="宋体" w:cs="宋体"/>
          <w:color w:val="auto"/>
          <w:sz w:val="24"/>
          <w:szCs w:val="24"/>
          <w:lang w:bidi="ar"/>
        </w:rPr>
        <w:t>六、本协议经双方法定代表人或委托代理人签字并加盖公章后生效，履行完毕后自然失效。</w:t>
      </w:r>
    </w:p>
    <w:p w14:paraId="0623AB8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附件：</w:t>
      </w:r>
    </w:p>
    <w:p w14:paraId="4BBD5F4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1、关于农民工工资发放情况的说明表</w:t>
      </w:r>
    </w:p>
    <w:p w14:paraId="3F7AE7BD">
      <w:pPr>
        <w:spacing w:line="440" w:lineRule="exact"/>
        <w:ind w:firstLine="480" w:firstLineChars="200"/>
        <w:rPr>
          <w:rFonts w:hint="eastAsia" w:ascii="宋体" w:hAnsi="宋体" w:eastAsia="宋体" w:cs="宋体"/>
          <w:color w:val="auto"/>
          <w:sz w:val="24"/>
          <w:szCs w:val="24"/>
        </w:rPr>
      </w:pPr>
    </w:p>
    <w:p w14:paraId="20DEF8DC">
      <w:pPr>
        <w:spacing w:line="440" w:lineRule="exact"/>
        <w:ind w:firstLine="480" w:firstLineChars="200"/>
        <w:rPr>
          <w:rFonts w:hint="eastAsia" w:ascii="宋体" w:hAnsi="宋体" w:eastAsia="宋体" w:cs="宋体"/>
          <w:color w:val="auto"/>
          <w:sz w:val="24"/>
          <w:szCs w:val="24"/>
        </w:rPr>
      </w:pPr>
    </w:p>
    <w:p w14:paraId="7BAFBCD4">
      <w:pPr>
        <w:spacing w:line="440" w:lineRule="exact"/>
        <w:ind w:firstLine="480" w:firstLineChars="200"/>
        <w:rPr>
          <w:rFonts w:hint="eastAsia" w:ascii="宋体" w:hAnsi="宋体" w:eastAsia="宋体" w:cs="宋体"/>
          <w:color w:val="auto"/>
          <w:sz w:val="24"/>
          <w:szCs w:val="24"/>
        </w:rPr>
      </w:pPr>
    </w:p>
    <w:p w14:paraId="512FB78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（以下无正文）</w:t>
      </w:r>
    </w:p>
    <w:p w14:paraId="4D6A5E69">
      <w:pPr>
        <w:spacing w:line="440" w:lineRule="exact"/>
        <w:ind w:firstLine="480" w:firstLineChars="200"/>
        <w:rPr>
          <w:rFonts w:hint="eastAsia" w:ascii="宋体" w:hAnsi="宋体" w:eastAsia="宋体" w:cs="宋体"/>
          <w:color w:val="auto"/>
          <w:sz w:val="24"/>
          <w:szCs w:val="24"/>
        </w:rPr>
      </w:pPr>
    </w:p>
    <w:p w14:paraId="304D648F">
      <w:pPr>
        <w:spacing w:line="440" w:lineRule="exact"/>
        <w:ind w:firstLine="480" w:firstLineChars="200"/>
        <w:rPr>
          <w:rFonts w:hint="eastAsia" w:ascii="宋体" w:hAnsi="宋体" w:eastAsia="宋体" w:cs="宋体"/>
          <w:color w:val="auto"/>
          <w:sz w:val="24"/>
          <w:szCs w:val="24"/>
        </w:rPr>
      </w:pPr>
    </w:p>
    <w:p w14:paraId="5437DDCA">
      <w:pPr>
        <w:spacing w:line="440" w:lineRule="exact"/>
        <w:rPr>
          <w:rFonts w:hint="eastAsia" w:ascii="宋体" w:hAnsi="宋体" w:eastAsia="宋体" w:cs="宋体"/>
          <w:color w:val="auto"/>
          <w:sz w:val="24"/>
          <w:szCs w:val="24"/>
        </w:rPr>
      </w:pPr>
    </w:p>
    <w:p w14:paraId="2D31304A">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重庆市石桥铺殡仪馆     </w:t>
      </w:r>
      <w:r>
        <w:rPr>
          <w:rFonts w:hint="eastAsia" w:ascii="宋体" w:hAnsi="宋体" w:eastAsia="宋体" w:cs="宋体"/>
          <w:color w:val="auto"/>
          <w:sz w:val="24"/>
          <w:szCs w:val="24"/>
          <w:lang w:bidi="ar"/>
        </w:rPr>
        <w:t>（发包人）</w:t>
      </w:r>
    </w:p>
    <w:p w14:paraId="0E8FE5A4">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p>
    <w:p w14:paraId="4FE4A23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或委托代理人：</w:t>
      </w:r>
      <w:r>
        <w:rPr>
          <w:rFonts w:hint="eastAsia" w:ascii="宋体" w:hAnsi="宋体" w:eastAsia="宋体" w:cs="宋体"/>
          <w:color w:val="auto"/>
          <w:sz w:val="24"/>
          <w:szCs w:val="24"/>
          <w:u w:val="single"/>
          <w:lang w:bidi="ar"/>
        </w:rPr>
        <w:t xml:space="preserve">       </w:t>
      </w:r>
    </w:p>
    <w:p w14:paraId="6BBFA916">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u w:val="single"/>
          <w:lang w:bidi="ar"/>
        </w:rPr>
        <w:t xml:space="preserve">       </w:t>
      </w:r>
    </w:p>
    <w:p w14:paraId="3C54075B">
      <w:pPr>
        <w:spacing w:line="440" w:lineRule="exact"/>
        <w:rPr>
          <w:rFonts w:hint="eastAsia" w:ascii="宋体" w:hAnsi="宋体" w:eastAsia="宋体" w:cs="宋体"/>
          <w:color w:val="auto"/>
          <w:sz w:val="24"/>
          <w:szCs w:val="24"/>
        </w:rPr>
      </w:pPr>
    </w:p>
    <w:p w14:paraId="172DBEF5">
      <w:pPr>
        <w:spacing w:line="440" w:lineRule="exact"/>
        <w:rPr>
          <w:rFonts w:hint="eastAsia" w:ascii="宋体" w:hAnsi="宋体" w:eastAsia="宋体" w:cs="宋体"/>
          <w:color w:val="auto"/>
          <w:sz w:val="24"/>
          <w:szCs w:val="24"/>
        </w:rPr>
      </w:pPr>
    </w:p>
    <w:p w14:paraId="59CBC16C">
      <w:pPr>
        <w:spacing w:line="440" w:lineRule="exact"/>
        <w:rPr>
          <w:rFonts w:hint="eastAsia" w:ascii="宋体" w:hAnsi="宋体" w:eastAsia="宋体" w:cs="宋体"/>
          <w:color w:val="auto"/>
          <w:sz w:val="24"/>
          <w:szCs w:val="24"/>
        </w:rPr>
      </w:pPr>
    </w:p>
    <w:p w14:paraId="361BD82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（承包人）</w:t>
      </w:r>
    </w:p>
    <w:p w14:paraId="615D1A34">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p>
    <w:p w14:paraId="6AF17AA5">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或委托代理人：</w:t>
      </w:r>
      <w:r>
        <w:rPr>
          <w:rFonts w:hint="eastAsia" w:ascii="宋体" w:hAnsi="宋体" w:eastAsia="宋体" w:cs="宋体"/>
          <w:color w:val="auto"/>
          <w:sz w:val="24"/>
          <w:szCs w:val="24"/>
          <w:u w:val="single"/>
          <w:lang w:bidi="ar"/>
        </w:rPr>
        <w:t xml:space="preserve">       </w:t>
      </w:r>
    </w:p>
    <w:p w14:paraId="58578975">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u w:val="single"/>
          <w:lang w:bidi="ar"/>
        </w:rPr>
        <w:t xml:space="preserve">       </w:t>
      </w:r>
    </w:p>
    <w:p w14:paraId="06EC723A">
      <w:pPr>
        <w:snapToGrid w:val="0"/>
        <w:spacing w:line="440" w:lineRule="exact"/>
        <w:ind w:firstLine="560"/>
        <w:rPr>
          <w:rFonts w:hint="eastAsia" w:ascii="宋体" w:hAnsi="宋体" w:eastAsia="宋体" w:cs="宋体"/>
          <w:color w:val="auto"/>
          <w:sz w:val="24"/>
          <w:szCs w:val="24"/>
        </w:rPr>
      </w:pPr>
    </w:p>
    <w:p w14:paraId="29EF65E8">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br w:type="page"/>
      </w:r>
      <w:r>
        <w:rPr>
          <w:rFonts w:hint="eastAsia" w:ascii="宋体" w:hAnsi="宋体" w:eastAsia="宋体" w:cs="宋体"/>
          <w:color w:val="auto"/>
          <w:sz w:val="24"/>
          <w:szCs w:val="24"/>
          <w:lang w:bidi="ar"/>
        </w:rPr>
        <w:t>保障农民工工资支付协议附件1：</w:t>
      </w:r>
    </w:p>
    <w:p w14:paraId="6A937AC1">
      <w:pPr>
        <w:widowControl/>
        <w:snapToGrid w:val="0"/>
        <w:spacing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关于农民工工资发放情况的说明表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145E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Borders>
              <w:top w:val="single" w:color="auto" w:sz="4" w:space="0"/>
              <w:left w:val="single" w:color="auto" w:sz="4" w:space="0"/>
              <w:bottom w:val="single" w:color="auto" w:sz="4" w:space="0"/>
              <w:right w:val="single" w:color="auto" w:sz="4" w:space="0"/>
            </w:tcBorders>
            <w:noWrap w:val="0"/>
            <w:vAlign w:val="top"/>
          </w:tcPr>
          <w:p w14:paraId="6D4FCE73">
            <w:pPr>
              <w:widowControl/>
              <w:snapToGrid w:val="0"/>
              <w:spacing w:after="100" w:afterAutospacing="1"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 xml:space="preserve">工程名称： </w:t>
            </w:r>
          </w:p>
        </w:tc>
      </w:tr>
      <w:tr w14:paraId="163E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Borders>
              <w:top w:val="single" w:color="auto" w:sz="4" w:space="0"/>
              <w:left w:val="single" w:color="auto" w:sz="4" w:space="0"/>
              <w:bottom w:val="single" w:color="auto" w:sz="4" w:space="0"/>
              <w:right w:val="single" w:color="auto" w:sz="4" w:space="0"/>
            </w:tcBorders>
            <w:noWrap w:val="0"/>
            <w:vAlign w:val="top"/>
          </w:tcPr>
          <w:p w14:paraId="13D6063A">
            <w:pPr>
              <w:widowControl/>
              <w:snapToGrid w:val="0"/>
              <w:spacing w:after="100" w:afterAutospacing="1" w:line="4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施工单位：</w:t>
            </w:r>
          </w:p>
        </w:tc>
        <w:tc>
          <w:tcPr>
            <w:tcW w:w="6201" w:type="dxa"/>
            <w:tcBorders>
              <w:top w:val="single" w:color="auto" w:sz="4" w:space="0"/>
              <w:left w:val="single" w:color="auto" w:sz="4" w:space="0"/>
              <w:bottom w:val="single" w:color="auto" w:sz="4" w:space="0"/>
              <w:right w:val="single" w:color="auto" w:sz="4" w:space="0"/>
            </w:tcBorders>
            <w:noWrap w:val="0"/>
            <w:vAlign w:val="top"/>
          </w:tcPr>
          <w:p w14:paraId="45995A12">
            <w:pPr>
              <w:widowControl/>
              <w:snapToGrid w:val="0"/>
              <w:spacing w:after="100" w:afterAutospacing="1" w:line="440" w:lineRule="exact"/>
              <w:rPr>
                <w:rFonts w:hint="eastAsia" w:ascii="宋体" w:hAnsi="宋体" w:eastAsia="宋体" w:cs="宋体"/>
                <w:color w:val="auto"/>
                <w:kern w:val="0"/>
                <w:sz w:val="24"/>
                <w:szCs w:val="24"/>
              </w:rPr>
            </w:pPr>
          </w:p>
        </w:tc>
      </w:tr>
      <w:tr w14:paraId="21E9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Borders>
              <w:top w:val="single" w:color="auto" w:sz="4" w:space="0"/>
              <w:left w:val="single" w:color="auto" w:sz="4" w:space="0"/>
              <w:bottom w:val="single" w:color="auto" w:sz="4" w:space="0"/>
              <w:right w:val="single" w:color="auto" w:sz="4" w:space="0"/>
            </w:tcBorders>
            <w:noWrap w:val="0"/>
            <w:vAlign w:val="top"/>
          </w:tcPr>
          <w:p w14:paraId="707FB3B8">
            <w:pPr>
              <w:widowControl/>
              <w:snapToGrid w:val="0"/>
              <w:spacing w:after="100" w:afterAutospacing="1" w:line="4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监理单位：</w:t>
            </w:r>
          </w:p>
        </w:tc>
        <w:tc>
          <w:tcPr>
            <w:tcW w:w="6201" w:type="dxa"/>
            <w:tcBorders>
              <w:top w:val="single" w:color="auto" w:sz="4" w:space="0"/>
              <w:left w:val="single" w:color="auto" w:sz="4" w:space="0"/>
              <w:bottom w:val="single" w:color="auto" w:sz="4" w:space="0"/>
              <w:right w:val="single" w:color="auto" w:sz="4" w:space="0"/>
            </w:tcBorders>
            <w:noWrap w:val="0"/>
            <w:vAlign w:val="top"/>
          </w:tcPr>
          <w:p w14:paraId="092E6BDE">
            <w:pPr>
              <w:widowControl/>
              <w:snapToGrid w:val="0"/>
              <w:spacing w:after="100" w:afterAutospacing="1" w:line="440" w:lineRule="exact"/>
              <w:rPr>
                <w:rFonts w:hint="eastAsia" w:ascii="宋体" w:hAnsi="宋体" w:eastAsia="宋体" w:cs="宋体"/>
                <w:color w:val="auto"/>
                <w:kern w:val="0"/>
                <w:sz w:val="24"/>
                <w:szCs w:val="24"/>
              </w:rPr>
            </w:pPr>
          </w:p>
        </w:tc>
      </w:tr>
      <w:tr w14:paraId="3D8A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Borders>
              <w:top w:val="single" w:color="auto" w:sz="4" w:space="0"/>
              <w:left w:val="single" w:color="auto" w:sz="4" w:space="0"/>
              <w:bottom w:val="single" w:color="auto" w:sz="4" w:space="0"/>
              <w:right w:val="single" w:color="auto" w:sz="4" w:space="0"/>
            </w:tcBorders>
            <w:noWrap w:val="0"/>
            <w:vAlign w:val="top"/>
          </w:tcPr>
          <w:p w14:paraId="238C0653">
            <w:pPr>
              <w:widowControl/>
              <w:snapToGrid w:val="0"/>
              <w:spacing w:after="100" w:afterAutospacing="1" w:line="440" w:lineRule="exact"/>
              <w:rPr>
                <w:rFonts w:hint="eastAsia" w:ascii="宋体" w:hAnsi="宋体" w:eastAsia="宋体" w:cs="宋体"/>
                <w:color w:val="auto"/>
                <w:kern w:val="0"/>
                <w:sz w:val="24"/>
                <w:szCs w:val="24"/>
                <w:u w:val="single"/>
              </w:rPr>
            </w:pPr>
          </w:p>
          <w:p w14:paraId="26F2F55D">
            <w:pPr>
              <w:widowControl/>
              <w:snapToGrid w:val="0"/>
              <w:spacing w:after="100" w:afterAutospacing="1" w:line="440" w:lineRule="exact"/>
              <w:rPr>
                <w:rFonts w:hint="eastAsia" w:ascii="宋体" w:hAnsi="宋体" w:eastAsia="宋体" w:cs="宋体"/>
                <w:color w:val="auto"/>
                <w:kern w:val="0"/>
                <w:sz w:val="24"/>
                <w:szCs w:val="24"/>
                <w:lang w:bidi="ar"/>
              </w:rPr>
            </w:pPr>
            <w:r>
              <w:rPr>
                <w:rFonts w:hint="eastAsia" w:ascii="宋体" w:hAnsi="宋体" w:eastAsia="宋体" w:cs="宋体"/>
                <w:color w:val="auto"/>
                <w:sz w:val="24"/>
                <w:szCs w:val="24"/>
                <w:u w:val="single"/>
                <w:lang w:bidi="ar"/>
              </w:rPr>
              <w:t>重庆市石桥铺殡仪馆</w:t>
            </w:r>
            <w:r>
              <w:rPr>
                <w:rFonts w:hint="eastAsia" w:ascii="宋体" w:hAnsi="宋体" w:eastAsia="宋体" w:cs="宋体"/>
                <w:color w:val="auto"/>
                <w:kern w:val="0"/>
                <w:sz w:val="24"/>
                <w:szCs w:val="24"/>
                <w:lang w:bidi="ar"/>
              </w:rPr>
              <w:t>：</w:t>
            </w:r>
          </w:p>
          <w:p w14:paraId="068C03C2">
            <w:pPr>
              <w:widowControl/>
              <w:snapToGrid w:val="0"/>
              <w:spacing w:after="100" w:afterAutospacing="1" w:line="440" w:lineRule="exac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    我单位负责承建的（工程名称）无拖欠农民工资的情况，贵单位先期支付我单位的工程款已优先用于支付了农民工工资，农民工工资全部按时足额进行了发放，请贵单位予以审核。</w:t>
            </w:r>
          </w:p>
          <w:p w14:paraId="1447F2DE">
            <w:pPr>
              <w:widowControl/>
              <w:snapToGrid w:val="0"/>
              <w:spacing w:after="100" w:afterAutospacing="1" w:line="440" w:lineRule="exact"/>
              <w:rPr>
                <w:rFonts w:hint="eastAsia" w:ascii="宋体" w:hAnsi="宋体" w:eastAsia="宋体" w:cs="宋体"/>
                <w:color w:val="auto"/>
                <w:kern w:val="0"/>
                <w:sz w:val="24"/>
                <w:szCs w:val="24"/>
                <w:lang w:bidi="ar"/>
              </w:rPr>
            </w:pPr>
          </w:p>
          <w:p w14:paraId="47C3FF9A">
            <w:pPr>
              <w:widowControl/>
              <w:snapToGrid w:val="0"/>
              <w:spacing w:after="100" w:afterAutospacing="1" w:line="440" w:lineRule="exact"/>
              <w:ind w:firstLine="1440" w:firstLineChars="6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施工单位项目负责人签字（加盖项目章）：</w:t>
            </w:r>
            <w:r>
              <w:rPr>
                <w:rFonts w:hint="eastAsia" w:ascii="宋体" w:hAnsi="宋体" w:eastAsia="宋体" w:cs="宋体"/>
                <w:color w:val="auto"/>
                <w:kern w:val="0"/>
                <w:sz w:val="24"/>
                <w:szCs w:val="24"/>
                <w:u w:val="single"/>
                <w:lang w:bidi="ar"/>
              </w:rPr>
              <w:t xml:space="preserve">        </w:t>
            </w:r>
          </w:p>
        </w:tc>
      </w:tr>
      <w:tr w14:paraId="3382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tcBorders>
              <w:top w:val="single" w:color="auto" w:sz="4" w:space="0"/>
              <w:left w:val="single" w:color="auto" w:sz="4" w:space="0"/>
              <w:bottom w:val="single" w:color="auto" w:sz="4" w:space="0"/>
              <w:right w:val="single" w:color="auto" w:sz="4" w:space="0"/>
            </w:tcBorders>
            <w:noWrap w:val="0"/>
            <w:vAlign w:val="center"/>
          </w:tcPr>
          <w:p w14:paraId="04D063E0">
            <w:pPr>
              <w:widowControl/>
              <w:snapToGrid w:val="0"/>
              <w:spacing w:after="100" w:afterAutospacing="1"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监理单位意见：</w:t>
            </w:r>
          </w:p>
        </w:tc>
        <w:tc>
          <w:tcPr>
            <w:tcW w:w="6201" w:type="dxa"/>
            <w:tcBorders>
              <w:top w:val="single" w:color="auto" w:sz="4" w:space="0"/>
              <w:left w:val="single" w:color="auto" w:sz="4" w:space="0"/>
              <w:bottom w:val="single" w:color="auto" w:sz="4" w:space="0"/>
              <w:right w:val="single" w:color="auto" w:sz="4" w:space="0"/>
            </w:tcBorders>
            <w:noWrap w:val="0"/>
            <w:vAlign w:val="top"/>
          </w:tcPr>
          <w:p w14:paraId="481C2BA0">
            <w:pPr>
              <w:widowControl/>
              <w:snapToGrid w:val="0"/>
              <w:spacing w:after="100" w:afterAutospacing="1" w:line="440" w:lineRule="exact"/>
              <w:rPr>
                <w:rFonts w:hint="eastAsia" w:ascii="宋体" w:hAnsi="宋体" w:eastAsia="宋体" w:cs="宋体"/>
                <w:color w:val="auto"/>
                <w:kern w:val="0"/>
                <w:sz w:val="24"/>
                <w:szCs w:val="24"/>
                <w:u w:val="single"/>
              </w:rPr>
            </w:pPr>
          </w:p>
          <w:p w14:paraId="05FCB459">
            <w:pPr>
              <w:widowControl/>
              <w:snapToGrid w:val="0"/>
              <w:spacing w:after="100" w:afterAutospacing="1" w:line="44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 xml:space="preserve">             总监签字并加盖项目章：</w:t>
            </w:r>
            <w:r>
              <w:rPr>
                <w:rFonts w:hint="eastAsia" w:ascii="宋体" w:hAnsi="宋体" w:eastAsia="宋体" w:cs="宋体"/>
                <w:color w:val="auto"/>
                <w:kern w:val="0"/>
                <w:sz w:val="24"/>
                <w:szCs w:val="24"/>
                <w:u w:val="single"/>
                <w:lang w:bidi="ar"/>
              </w:rPr>
              <w:t xml:space="preserve">        </w:t>
            </w:r>
          </w:p>
        </w:tc>
      </w:tr>
      <w:tr w14:paraId="62DA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tcBorders>
              <w:top w:val="single" w:color="auto" w:sz="4" w:space="0"/>
              <w:left w:val="single" w:color="auto" w:sz="4" w:space="0"/>
              <w:bottom w:val="single" w:color="auto" w:sz="4" w:space="0"/>
              <w:right w:val="single" w:color="auto" w:sz="4" w:space="0"/>
            </w:tcBorders>
            <w:noWrap w:val="0"/>
            <w:vAlign w:val="center"/>
          </w:tcPr>
          <w:p w14:paraId="7384D99C">
            <w:pPr>
              <w:widowControl/>
              <w:snapToGrid w:val="0"/>
              <w:spacing w:after="100" w:afterAutospacing="1"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工程部项目负责人意见：</w:t>
            </w:r>
          </w:p>
        </w:tc>
        <w:tc>
          <w:tcPr>
            <w:tcW w:w="6201" w:type="dxa"/>
            <w:tcBorders>
              <w:top w:val="single" w:color="auto" w:sz="4" w:space="0"/>
              <w:left w:val="single" w:color="auto" w:sz="4" w:space="0"/>
              <w:bottom w:val="single" w:color="auto" w:sz="4" w:space="0"/>
              <w:right w:val="single" w:color="auto" w:sz="4" w:space="0"/>
            </w:tcBorders>
            <w:noWrap w:val="0"/>
            <w:vAlign w:val="top"/>
          </w:tcPr>
          <w:p w14:paraId="68849F64">
            <w:pPr>
              <w:widowControl/>
              <w:snapToGrid w:val="0"/>
              <w:spacing w:after="100" w:afterAutospacing="1" w:line="440" w:lineRule="exact"/>
              <w:rPr>
                <w:rFonts w:hint="eastAsia" w:ascii="宋体" w:hAnsi="宋体" w:eastAsia="宋体" w:cs="宋体"/>
                <w:color w:val="auto"/>
                <w:kern w:val="0"/>
                <w:sz w:val="24"/>
                <w:szCs w:val="24"/>
                <w:u w:val="single"/>
              </w:rPr>
            </w:pPr>
          </w:p>
          <w:p w14:paraId="43B6A72D">
            <w:pPr>
              <w:widowControl/>
              <w:snapToGrid w:val="0"/>
              <w:spacing w:after="100" w:afterAutospacing="1" w:line="44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 xml:space="preserve">                   项目负责人签字：</w:t>
            </w:r>
            <w:r>
              <w:rPr>
                <w:rFonts w:hint="eastAsia" w:ascii="宋体" w:hAnsi="宋体" w:eastAsia="宋体" w:cs="宋体"/>
                <w:color w:val="auto"/>
                <w:kern w:val="0"/>
                <w:sz w:val="24"/>
                <w:szCs w:val="24"/>
                <w:u w:val="single"/>
                <w:lang w:bidi="ar"/>
              </w:rPr>
              <w:t xml:space="preserve">        </w:t>
            </w:r>
          </w:p>
        </w:tc>
      </w:tr>
    </w:tbl>
    <w:p w14:paraId="09C929FD">
      <w:pPr>
        <w:pStyle w:val="4"/>
        <w:numPr>
          <w:ilvl w:val="1"/>
          <w:numId w:val="0"/>
        </w:numPr>
        <w:spacing w:line="360" w:lineRule="auto"/>
        <w:jc w:val="center"/>
        <w:rPr>
          <w:rFonts w:hint="eastAsia" w:ascii="宋体" w:hAnsi="宋体" w:eastAsia="宋体" w:cs="宋体"/>
          <w:color w:val="auto"/>
          <w:sz w:val="36"/>
          <w:szCs w:val="30"/>
        </w:rPr>
      </w:pPr>
    </w:p>
    <w:p w14:paraId="3EC8CAE5">
      <w:pPr>
        <w:pStyle w:val="4"/>
        <w:numPr>
          <w:ilvl w:val="1"/>
          <w:numId w:val="0"/>
        </w:numPr>
        <w:spacing w:line="360" w:lineRule="auto"/>
        <w:jc w:val="center"/>
        <w:rPr>
          <w:rFonts w:hint="eastAsia" w:ascii="宋体" w:hAnsi="宋体" w:eastAsia="宋体" w:cs="宋体"/>
          <w:color w:val="auto"/>
          <w:sz w:val="36"/>
          <w:szCs w:val="30"/>
        </w:rPr>
      </w:pPr>
    </w:p>
    <w:p w14:paraId="7FD63A77">
      <w:pPr>
        <w:pStyle w:val="4"/>
        <w:numPr>
          <w:ilvl w:val="1"/>
          <w:numId w:val="0"/>
        </w:numPr>
        <w:spacing w:line="360" w:lineRule="auto"/>
        <w:jc w:val="center"/>
        <w:rPr>
          <w:rFonts w:hint="eastAsia" w:ascii="宋体" w:hAnsi="宋体" w:eastAsia="宋体" w:cs="宋体"/>
          <w:color w:val="auto"/>
          <w:sz w:val="36"/>
          <w:szCs w:val="30"/>
        </w:rPr>
      </w:pPr>
    </w:p>
    <w:p w14:paraId="6AC48303">
      <w:pPr>
        <w:pStyle w:val="4"/>
        <w:numPr>
          <w:ilvl w:val="1"/>
          <w:numId w:val="0"/>
        </w:numPr>
        <w:spacing w:line="360" w:lineRule="auto"/>
        <w:jc w:val="center"/>
        <w:rPr>
          <w:rFonts w:hint="eastAsia" w:ascii="宋体" w:hAnsi="宋体" w:eastAsia="宋体" w:cs="宋体"/>
          <w:color w:val="auto"/>
          <w:sz w:val="36"/>
          <w:szCs w:val="30"/>
        </w:rPr>
      </w:pPr>
    </w:p>
    <w:p w14:paraId="27371FAA">
      <w:pPr>
        <w:rPr>
          <w:rFonts w:hint="eastAsia" w:ascii="宋体" w:hAnsi="宋体" w:eastAsia="宋体" w:cs="宋体"/>
          <w:color w:val="auto"/>
          <w:sz w:val="36"/>
          <w:szCs w:val="30"/>
        </w:rPr>
      </w:pPr>
    </w:p>
    <w:p w14:paraId="1EC0202B">
      <w:pPr>
        <w:pStyle w:val="4"/>
        <w:numPr>
          <w:ilvl w:val="1"/>
          <w:numId w:val="0"/>
        </w:numPr>
        <w:spacing w:line="360" w:lineRule="auto"/>
        <w:jc w:val="both"/>
        <w:rPr>
          <w:rFonts w:hint="eastAsia" w:ascii="宋体" w:hAnsi="宋体" w:eastAsia="宋体" w:cs="宋体"/>
          <w:color w:val="auto"/>
          <w:sz w:val="36"/>
          <w:szCs w:val="30"/>
        </w:rPr>
      </w:pPr>
    </w:p>
    <w:p w14:paraId="464713E2">
      <w:pPr>
        <w:rPr>
          <w:rFonts w:hint="eastAsia"/>
          <w:color w:val="auto"/>
        </w:rPr>
      </w:pPr>
    </w:p>
    <w:p w14:paraId="4E4C3163">
      <w:pPr>
        <w:pStyle w:val="4"/>
        <w:numPr>
          <w:ilvl w:val="1"/>
          <w:numId w:val="0"/>
        </w:numPr>
        <w:spacing w:line="360" w:lineRule="auto"/>
        <w:jc w:val="center"/>
        <w:rPr>
          <w:rFonts w:hint="eastAsia" w:ascii="宋体" w:hAnsi="宋体" w:eastAsia="宋体" w:cs="宋体"/>
          <w:color w:val="auto"/>
          <w:sz w:val="36"/>
          <w:szCs w:val="30"/>
        </w:rPr>
      </w:pPr>
      <w:bookmarkStart w:id="1222" w:name="_Toc1719"/>
      <w:r>
        <w:rPr>
          <w:rFonts w:hint="eastAsia" w:ascii="宋体" w:hAnsi="宋体" w:eastAsia="宋体" w:cs="宋体"/>
          <w:color w:val="auto"/>
          <w:sz w:val="36"/>
          <w:szCs w:val="30"/>
        </w:rPr>
        <w:t>第七篇  响应文件编制要求</w:t>
      </w:r>
      <w:bookmarkEnd w:id="303"/>
      <w:bookmarkEnd w:id="304"/>
      <w:bookmarkEnd w:id="305"/>
      <w:bookmarkEnd w:id="306"/>
      <w:bookmarkEnd w:id="307"/>
      <w:bookmarkEnd w:id="308"/>
      <w:bookmarkEnd w:id="1222"/>
    </w:p>
    <w:p w14:paraId="3DBF9FF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一、经济部分</w:t>
      </w:r>
    </w:p>
    <w:p w14:paraId="4CAD6FA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3B2C01F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（二）分项报价明细表</w:t>
      </w:r>
    </w:p>
    <w:p w14:paraId="6DFE242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二、服务部分</w:t>
      </w:r>
    </w:p>
    <w:p w14:paraId="1F9B645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（一）服务响应偏离表</w:t>
      </w:r>
    </w:p>
    <w:p w14:paraId="0436EE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（二）其他资料（格式自定）</w:t>
      </w:r>
    </w:p>
    <w:p w14:paraId="233D9AA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三、商务部分</w:t>
      </w:r>
    </w:p>
    <w:p w14:paraId="58C2BB7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22A0333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（二）其它优惠服务承诺（格式自定）</w:t>
      </w:r>
    </w:p>
    <w:p w14:paraId="5686348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四、资格条件及其他</w:t>
      </w:r>
    </w:p>
    <w:p w14:paraId="342D110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0D95D50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068BE82A">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437E2CA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14:paraId="64E49F7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（五）特定资格条件证书或证明文件</w:t>
      </w:r>
    </w:p>
    <w:p w14:paraId="38334F84">
      <w:pPr>
        <w:spacing w:line="4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五、其他资料</w:t>
      </w:r>
    </w:p>
    <w:p w14:paraId="5DB0747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）其他与项目有关的资料</w:t>
      </w:r>
    </w:p>
    <w:p w14:paraId="4263E4F5">
      <w:pPr>
        <w:spacing w:line="400" w:lineRule="exact"/>
        <w:ind w:left="476" w:leftChars="170"/>
        <w:rPr>
          <w:rFonts w:hint="eastAsia" w:ascii="宋体" w:hAnsi="宋体" w:eastAsia="宋体" w:cs="宋体"/>
          <w:color w:val="auto"/>
          <w:sz w:val="24"/>
          <w:szCs w:val="24"/>
        </w:rPr>
        <w:sectPr>
          <w:footerReference r:id="rId12" w:type="default"/>
          <w:pgSz w:w="11907" w:h="16840"/>
          <w:pgMar w:top="1134" w:right="1191" w:bottom="1134" w:left="1304" w:header="624" w:footer="992" w:gutter="0"/>
          <w:pgNumType w:fmt="numberInDash"/>
          <w:cols w:space="720" w:num="1"/>
          <w:docGrid w:linePitch="380" w:charSpace="-5735"/>
        </w:sectPr>
      </w:pPr>
      <w:r>
        <w:rPr>
          <w:rFonts w:hint="eastAsia" w:ascii="宋体" w:hAnsi="宋体" w:eastAsia="宋体" w:cs="宋体"/>
          <w:color w:val="auto"/>
          <w:sz w:val="24"/>
          <w:szCs w:val="24"/>
        </w:rPr>
        <w:br w:type="textWrapping"/>
      </w:r>
    </w:p>
    <w:p w14:paraId="16AE4A39">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223" w:name="_Toc342913419"/>
      <w:bookmarkStart w:id="1224" w:name="_Toc13360"/>
      <w:bookmarkStart w:id="1225" w:name="_Toc106030906"/>
      <w:bookmarkStart w:id="1226" w:name="_Toc23464"/>
      <w:bookmarkStart w:id="1227" w:name="_Toc12836"/>
      <w:bookmarkStart w:id="1228" w:name="_Toc31217"/>
      <w:bookmarkStart w:id="1229" w:name="_Toc313888360"/>
      <w:bookmarkStart w:id="1230" w:name="_Toc313008356"/>
      <w:bookmarkStart w:id="1231" w:name="_Toc76462350"/>
      <w:bookmarkStart w:id="1232" w:name="_Toc3692"/>
      <w:bookmarkStart w:id="1233" w:name="_Toc12789073"/>
      <w:bookmarkStart w:id="1234" w:name="_Toc283382454"/>
      <w:r>
        <w:rPr>
          <w:rFonts w:hint="eastAsia" w:ascii="宋体" w:hAnsi="宋体" w:eastAsia="宋体" w:cs="宋体"/>
          <w:b/>
          <w:bCs w:val="0"/>
          <w:color w:val="auto"/>
          <w:sz w:val="24"/>
        </w:rPr>
        <w:t>一、经济部分</w:t>
      </w:r>
      <w:bookmarkEnd w:id="1223"/>
      <w:bookmarkEnd w:id="1224"/>
      <w:bookmarkEnd w:id="1225"/>
      <w:bookmarkEnd w:id="1226"/>
      <w:bookmarkEnd w:id="1227"/>
      <w:bookmarkEnd w:id="1228"/>
      <w:bookmarkEnd w:id="1229"/>
      <w:bookmarkEnd w:id="1230"/>
      <w:bookmarkEnd w:id="1231"/>
      <w:bookmarkEnd w:id="1232"/>
    </w:p>
    <w:bookmarkEnd w:id="1233"/>
    <w:bookmarkEnd w:id="1234"/>
    <w:p w14:paraId="140659F7">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25FEEE60">
      <w:pPr>
        <w:jc w:val="center"/>
        <w:rPr>
          <w:rFonts w:hint="eastAsia" w:ascii="宋体" w:hAnsi="宋体" w:eastAsia="宋体" w:cs="宋体"/>
          <w:b/>
          <w:color w:val="auto"/>
          <w:szCs w:val="28"/>
        </w:rPr>
      </w:pPr>
      <w:r>
        <w:rPr>
          <w:rFonts w:hint="eastAsia" w:ascii="宋体" w:hAnsi="宋体" w:eastAsia="宋体" w:cs="宋体"/>
          <w:b/>
          <w:color w:val="auto"/>
          <w:szCs w:val="28"/>
        </w:rPr>
        <w:t>竞争性磋商报价函</w:t>
      </w:r>
    </w:p>
    <w:p w14:paraId="162C4EC8">
      <w:pPr>
        <w:tabs>
          <w:tab w:val="left" w:pos="6300"/>
        </w:tabs>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785D23A4">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我方收到____________________________（磋商项目名称）的竞争性磋商文件，经详细研究，决定参加该项目的磋商。</w:t>
      </w:r>
    </w:p>
    <w:p w14:paraId="14615CFC">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1.愿意按照竞争性磋商文件中的一切要求，提供本项目的服务，初始报价为人民币大写：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元整，人民币小写：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元（其中安全文明施工费：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元）。以我公司最后报价为准。</w:t>
      </w:r>
    </w:p>
    <w:p w14:paraId="1E2B60A5">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份，电子文档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1E48A5B1">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3.我方承诺：本次磋商的有效期为提交响应文件截止时间起90天。</w:t>
      </w:r>
    </w:p>
    <w:p w14:paraId="34E4AD63">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4.我方完全理解和接受贵方竞争性磋商文件的一切规定和要求及评审办法。</w:t>
      </w:r>
    </w:p>
    <w:p w14:paraId="385B74AD">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5.在整个竞争性磋商过程中，我方若有违规行为，接受按照《中华人民共和国政府采购法》和《竞争性磋商文件》之规定给予惩罚。</w:t>
      </w:r>
    </w:p>
    <w:p w14:paraId="6DDB5D29">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6.我方若成为成交供应商，将按照最终磋商结果签订合同，并且严格履行合同义务。本承诺函将成为合同不可分割的一部分，与合同具有同等的法律效力。</w:t>
      </w:r>
    </w:p>
    <w:p w14:paraId="743623D5">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7.如果我方成为成交供应商，保证在接到成交通知书后，向采购代理机构</w:t>
      </w:r>
      <w:r>
        <w:rPr>
          <w:rFonts w:hint="eastAsia" w:ascii="宋体" w:hAnsi="宋体" w:eastAsia="宋体" w:cs="宋体"/>
          <w:color w:val="auto"/>
          <w:sz w:val="24"/>
        </w:rPr>
        <w:t>缴纳</w:t>
      </w:r>
      <w:r>
        <w:rPr>
          <w:rFonts w:hint="eastAsia" w:ascii="宋体" w:hAnsi="宋体" w:eastAsia="宋体" w:cs="宋体"/>
          <w:color w:val="auto"/>
          <w:sz w:val="24"/>
          <w:szCs w:val="24"/>
        </w:rPr>
        <w:t>竞争性磋商文件规定的采购代理服务费。</w:t>
      </w:r>
    </w:p>
    <w:p w14:paraId="09D49B3F">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8"/>
        </w:rPr>
        <w:t>我方未</w:t>
      </w:r>
      <w:r>
        <w:rPr>
          <w:rFonts w:hint="eastAsia" w:ascii="宋体" w:hAnsi="宋体" w:eastAsia="宋体" w:cs="宋体"/>
          <w:color w:val="auto"/>
          <w:sz w:val="24"/>
          <w:szCs w:val="24"/>
        </w:rPr>
        <w:t>为采购项目提供整体设计、规范编制或者项目管理、监理、检测等服务。</w:t>
      </w:r>
    </w:p>
    <w:p w14:paraId="5972187D">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供应商（公章）或自然人签署：</w:t>
      </w:r>
    </w:p>
    <w:p w14:paraId="5E7B6D47">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4A2102A7">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137860CA">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068EE8E6">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405933D0">
      <w:pPr>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0BABA5EC">
      <w:pPr>
        <w:pStyle w:val="24"/>
        <w:rPr>
          <w:rFonts w:hint="eastAsia" w:ascii="宋体" w:hAnsi="宋体" w:eastAsia="宋体" w:cs="宋体"/>
          <w:color w:val="auto"/>
          <w:sz w:val="24"/>
          <w:szCs w:val="24"/>
        </w:rPr>
      </w:pPr>
    </w:p>
    <w:p w14:paraId="439788B6">
      <w:pPr>
        <w:rPr>
          <w:rFonts w:hint="eastAsia" w:ascii="宋体" w:hAnsi="宋体" w:eastAsia="宋体" w:cs="宋体"/>
          <w:color w:val="auto"/>
          <w:sz w:val="24"/>
          <w:szCs w:val="24"/>
        </w:rPr>
      </w:pPr>
    </w:p>
    <w:p w14:paraId="4A05DDA6">
      <w:pPr>
        <w:pStyle w:val="24"/>
        <w:rPr>
          <w:rFonts w:hint="eastAsia" w:ascii="宋体" w:hAnsi="宋体" w:eastAsia="宋体" w:cs="宋体"/>
          <w:color w:val="auto"/>
          <w:sz w:val="24"/>
          <w:szCs w:val="24"/>
        </w:rPr>
      </w:pPr>
    </w:p>
    <w:p w14:paraId="5518EB29">
      <w:pPr>
        <w:bidi w:val="0"/>
        <w:rPr>
          <w:rFonts w:hint="eastAsia" w:ascii="宋体" w:hAnsi="宋体" w:eastAsia="宋体" w:cs="宋体"/>
          <w:color w:val="auto"/>
        </w:rPr>
      </w:pPr>
    </w:p>
    <w:p w14:paraId="3022DF4D">
      <w:pPr>
        <w:bidi w:val="0"/>
        <w:rPr>
          <w:rFonts w:hint="eastAsia" w:ascii="宋体" w:hAnsi="宋体" w:eastAsia="宋体" w:cs="宋体"/>
          <w:color w:val="auto"/>
        </w:rPr>
      </w:pPr>
    </w:p>
    <w:p w14:paraId="2B507432">
      <w:pPr>
        <w:bidi w:val="0"/>
        <w:rPr>
          <w:rFonts w:hint="eastAsia" w:ascii="宋体" w:hAnsi="宋体" w:eastAsia="宋体" w:cs="宋体"/>
          <w:color w:val="auto"/>
        </w:rPr>
      </w:pPr>
    </w:p>
    <w:p w14:paraId="05AEF29C">
      <w:pPr>
        <w:bidi w:val="0"/>
        <w:rPr>
          <w:rFonts w:hint="eastAsia" w:ascii="宋体" w:hAnsi="宋体" w:eastAsia="宋体" w:cs="宋体"/>
          <w:color w:val="auto"/>
        </w:rPr>
      </w:pPr>
    </w:p>
    <w:p w14:paraId="083AA457">
      <w:pPr>
        <w:bidi w:val="0"/>
        <w:rPr>
          <w:rFonts w:hint="eastAsia" w:ascii="宋体" w:hAnsi="宋体" w:eastAsia="宋体" w:cs="宋体"/>
          <w:color w:val="auto"/>
        </w:rPr>
      </w:pPr>
    </w:p>
    <w:p w14:paraId="539AAAA8">
      <w:pPr>
        <w:bidi w:val="0"/>
        <w:rPr>
          <w:rFonts w:hint="eastAsia" w:ascii="宋体" w:hAnsi="宋体" w:eastAsia="宋体" w:cs="宋体"/>
          <w:color w:val="auto"/>
        </w:rPr>
      </w:pPr>
    </w:p>
    <w:p w14:paraId="01ABD2CA">
      <w:pPr>
        <w:bidi w:val="0"/>
        <w:rPr>
          <w:rFonts w:hint="eastAsia" w:ascii="宋体" w:hAnsi="宋体" w:eastAsia="宋体" w:cs="宋体"/>
          <w:color w:val="auto"/>
        </w:rPr>
      </w:pPr>
    </w:p>
    <w:p w14:paraId="127781D5">
      <w:pPr>
        <w:bidi w:val="0"/>
        <w:rPr>
          <w:rFonts w:hint="eastAsia" w:ascii="宋体" w:hAnsi="宋体" w:eastAsia="宋体" w:cs="宋体"/>
          <w:color w:val="auto"/>
        </w:rPr>
      </w:pPr>
    </w:p>
    <w:p w14:paraId="68FCB803">
      <w:pPr>
        <w:bidi w:val="0"/>
        <w:rPr>
          <w:rFonts w:hint="eastAsia" w:ascii="宋体" w:hAnsi="宋体" w:eastAsia="宋体" w:cs="宋体"/>
          <w:color w:val="auto"/>
        </w:rPr>
      </w:pPr>
    </w:p>
    <w:p w14:paraId="7E5F9490">
      <w:pPr>
        <w:snapToGrid w:val="0"/>
        <w:spacing w:line="4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（二）分项报价明细表</w:t>
      </w:r>
    </w:p>
    <w:p w14:paraId="25304BAF">
      <w:pPr>
        <w:tabs>
          <w:tab w:val="left" w:pos="6300"/>
        </w:tabs>
        <w:snapToGrid w:val="0"/>
        <w:spacing w:line="312" w:lineRule="auto"/>
        <w:ind w:firstLine="480" w:firstLineChars="200"/>
        <w:rPr>
          <w:rFonts w:hint="eastAsia" w:ascii="宋体" w:hAnsi="宋体" w:eastAsia="宋体" w:cs="宋体"/>
          <w:color w:val="auto"/>
          <w:sz w:val="24"/>
          <w:szCs w:val="24"/>
        </w:rPr>
      </w:pPr>
    </w:p>
    <w:p w14:paraId="4B61D13B">
      <w:pPr>
        <w:tabs>
          <w:tab w:val="left" w:pos="6300"/>
        </w:tabs>
        <w:snapToGrid w:val="0"/>
        <w:spacing w:line="312" w:lineRule="auto"/>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根据提供的工程量清单</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报价</w:t>
      </w:r>
      <w:r>
        <w:rPr>
          <w:rFonts w:hint="eastAsia" w:ascii="宋体" w:hAnsi="宋体" w:eastAsia="宋体" w:cs="宋体"/>
          <w:color w:val="auto"/>
          <w:sz w:val="24"/>
          <w:szCs w:val="24"/>
          <w:lang w:eastAsia="zh-CN"/>
        </w:rPr>
        <w:t>。</w:t>
      </w:r>
    </w:p>
    <w:p w14:paraId="0BAC99CB">
      <w:pPr>
        <w:snapToGrid w:val="0"/>
        <w:spacing w:line="500" w:lineRule="exact"/>
        <w:ind w:firstLine="480" w:firstLineChars="200"/>
        <w:rPr>
          <w:rFonts w:hint="eastAsia" w:ascii="宋体" w:hAnsi="宋体" w:eastAsia="宋体" w:cs="宋体"/>
          <w:color w:val="auto"/>
          <w:sz w:val="24"/>
          <w:szCs w:val="28"/>
        </w:rPr>
      </w:pPr>
    </w:p>
    <w:p w14:paraId="60713DA4">
      <w:pPr>
        <w:rPr>
          <w:rFonts w:hint="eastAsia" w:ascii="宋体" w:hAnsi="宋体" w:eastAsia="宋体" w:cs="宋体"/>
          <w:color w:val="auto"/>
        </w:rPr>
        <w:sectPr>
          <w:pgSz w:w="11907" w:h="16840"/>
          <w:pgMar w:top="1134" w:right="1191" w:bottom="1134" w:left="1304" w:header="624" w:footer="992" w:gutter="0"/>
          <w:pgNumType w:fmt="numberInDash"/>
          <w:cols w:space="720" w:num="1"/>
          <w:docGrid w:linePitch="380" w:charSpace="-5735"/>
        </w:sectPr>
      </w:pPr>
    </w:p>
    <w:p w14:paraId="50DF8EC5">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235" w:name="_Toc21115"/>
      <w:bookmarkStart w:id="1236" w:name="_Toc106030907"/>
      <w:bookmarkStart w:id="1237" w:name="_Toc76462351"/>
      <w:bookmarkStart w:id="1238" w:name="_Toc10029"/>
      <w:bookmarkStart w:id="1239" w:name="_Toc313888361"/>
      <w:bookmarkStart w:id="1240" w:name="_Toc6100"/>
      <w:bookmarkStart w:id="1241" w:name="_Toc313008357"/>
      <w:bookmarkStart w:id="1242" w:name="_Toc342913420"/>
      <w:bookmarkStart w:id="1243" w:name="_Toc23030"/>
      <w:bookmarkStart w:id="1244" w:name="_Toc18748"/>
      <w:r>
        <w:rPr>
          <w:rFonts w:hint="eastAsia" w:ascii="宋体" w:hAnsi="宋体" w:eastAsia="宋体" w:cs="宋体"/>
          <w:b/>
          <w:bCs w:val="0"/>
          <w:color w:val="auto"/>
          <w:sz w:val="24"/>
        </w:rPr>
        <w:t>二、服务部分</w:t>
      </w:r>
      <w:bookmarkEnd w:id="1235"/>
      <w:bookmarkEnd w:id="1236"/>
      <w:bookmarkEnd w:id="1237"/>
      <w:bookmarkEnd w:id="1238"/>
      <w:bookmarkEnd w:id="1239"/>
      <w:bookmarkEnd w:id="1240"/>
      <w:bookmarkEnd w:id="1241"/>
      <w:bookmarkEnd w:id="1242"/>
      <w:bookmarkEnd w:id="1243"/>
      <w:bookmarkEnd w:id="1244"/>
    </w:p>
    <w:p w14:paraId="5B0068FA">
      <w:pPr>
        <w:tabs>
          <w:tab w:val="left" w:pos="6300"/>
        </w:tabs>
        <w:snapToGrid w:val="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 w:val="24"/>
          <w:szCs w:val="24"/>
        </w:rPr>
        <w:t>（一）服务响应偏离表</w:t>
      </w:r>
    </w:p>
    <w:p w14:paraId="0457BB4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5134654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52D8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59CA29EC">
            <w:pPr>
              <w:tabs>
                <w:tab w:val="left" w:pos="6300"/>
              </w:tabs>
              <w:snapToGrid w:val="0"/>
              <w:spacing w:line="500" w:lineRule="exact"/>
              <w:jc w:val="center"/>
              <w:outlineLvl w:val="0"/>
              <w:rPr>
                <w:rFonts w:hint="eastAsia" w:ascii="宋体" w:hAnsi="宋体" w:eastAsia="宋体" w:cs="宋体"/>
                <w:color w:val="auto"/>
                <w:sz w:val="24"/>
                <w:szCs w:val="24"/>
              </w:rPr>
            </w:pPr>
            <w:bookmarkStart w:id="1245" w:name="_Toc18309"/>
            <w:r>
              <w:rPr>
                <w:rFonts w:hint="eastAsia" w:ascii="宋体" w:hAnsi="宋体" w:eastAsia="宋体" w:cs="宋体"/>
                <w:color w:val="auto"/>
                <w:sz w:val="24"/>
                <w:szCs w:val="24"/>
              </w:rPr>
              <w:t>序号</w:t>
            </w:r>
            <w:bookmarkEnd w:id="1245"/>
          </w:p>
        </w:tc>
        <w:tc>
          <w:tcPr>
            <w:tcW w:w="2967" w:type="dxa"/>
            <w:vAlign w:val="center"/>
          </w:tcPr>
          <w:p w14:paraId="18058A7C">
            <w:pPr>
              <w:tabs>
                <w:tab w:val="left" w:pos="6300"/>
              </w:tabs>
              <w:snapToGrid w:val="0"/>
              <w:spacing w:line="500" w:lineRule="exact"/>
              <w:jc w:val="center"/>
              <w:outlineLvl w:val="0"/>
              <w:rPr>
                <w:rFonts w:hint="eastAsia" w:ascii="宋体" w:hAnsi="宋体" w:eastAsia="宋体" w:cs="宋体"/>
                <w:color w:val="auto"/>
                <w:sz w:val="24"/>
                <w:szCs w:val="24"/>
              </w:rPr>
            </w:pPr>
            <w:bookmarkStart w:id="1246" w:name="_Toc7159"/>
            <w:r>
              <w:rPr>
                <w:rFonts w:hint="eastAsia" w:ascii="宋体" w:hAnsi="宋体" w:eastAsia="宋体" w:cs="宋体"/>
                <w:color w:val="auto"/>
                <w:sz w:val="24"/>
                <w:szCs w:val="24"/>
              </w:rPr>
              <w:t>采购需求</w:t>
            </w:r>
            <w:bookmarkEnd w:id="1246"/>
          </w:p>
        </w:tc>
        <w:tc>
          <w:tcPr>
            <w:tcW w:w="3081" w:type="dxa"/>
            <w:vAlign w:val="center"/>
          </w:tcPr>
          <w:p w14:paraId="031BEC3D">
            <w:pPr>
              <w:tabs>
                <w:tab w:val="left" w:pos="6300"/>
              </w:tabs>
              <w:snapToGrid w:val="0"/>
              <w:spacing w:line="500" w:lineRule="exact"/>
              <w:jc w:val="center"/>
              <w:outlineLvl w:val="0"/>
              <w:rPr>
                <w:rFonts w:hint="eastAsia" w:ascii="宋体" w:hAnsi="宋体" w:eastAsia="宋体" w:cs="宋体"/>
                <w:color w:val="auto"/>
                <w:sz w:val="24"/>
                <w:szCs w:val="24"/>
              </w:rPr>
            </w:pPr>
            <w:bookmarkStart w:id="1247" w:name="_Toc8879"/>
            <w:r>
              <w:rPr>
                <w:rFonts w:hint="eastAsia" w:ascii="宋体" w:hAnsi="宋体" w:eastAsia="宋体" w:cs="宋体"/>
                <w:color w:val="auto"/>
                <w:sz w:val="24"/>
                <w:szCs w:val="24"/>
              </w:rPr>
              <w:t>响应情况</w:t>
            </w:r>
            <w:bookmarkEnd w:id="1247"/>
          </w:p>
        </w:tc>
        <w:tc>
          <w:tcPr>
            <w:tcW w:w="2309" w:type="dxa"/>
            <w:vAlign w:val="center"/>
          </w:tcPr>
          <w:p w14:paraId="4EC74E25">
            <w:pPr>
              <w:tabs>
                <w:tab w:val="left" w:pos="6300"/>
              </w:tabs>
              <w:snapToGrid w:val="0"/>
              <w:spacing w:line="500" w:lineRule="exact"/>
              <w:jc w:val="center"/>
              <w:outlineLvl w:val="0"/>
              <w:rPr>
                <w:rFonts w:hint="eastAsia" w:ascii="宋体" w:hAnsi="宋体" w:eastAsia="宋体" w:cs="宋体"/>
                <w:color w:val="auto"/>
                <w:sz w:val="24"/>
                <w:szCs w:val="24"/>
              </w:rPr>
            </w:pPr>
            <w:bookmarkStart w:id="1248" w:name="_Toc12296"/>
            <w:r>
              <w:rPr>
                <w:rFonts w:hint="eastAsia" w:ascii="宋体" w:hAnsi="宋体" w:eastAsia="宋体" w:cs="宋体"/>
                <w:color w:val="auto"/>
                <w:sz w:val="24"/>
                <w:szCs w:val="24"/>
              </w:rPr>
              <w:t>差异说明</w:t>
            </w:r>
            <w:bookmarkEnd w:id="1248"/>
          </w:p>
        </w:tc>
      </w:tr>
      <w:tr w14:paraId="3EE4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92DC99">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75EA234C">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748CF2EF">
            <w:pPr>
              <w:tabs>
                <w:tab w:val="left" w:pos="6300"/>
              </w:tabs>
              <w:snapToGrid w:val="0"/>
              <w:spacing w:line="500" w:lineRule="exact"/>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提醒：请注明具体内容以及响应文件中具体内容的位置（页码）</w:t>
            </w:r>
          </w:p>
        </w:tc>
        <w:tc>
          <w:tcPr>
            <w:tcW w:w="2309" w:type="dxa"/>
            <w:vAlign w:val="center"/>
          </w:tcPr>
          <w:p w14:paraId="14BAE9F1">
            <w:pPr>
              <w:tabs>
                <w:tab w:val="left" w:pos="6300"/>
              </w:tabs>
              <w:snapToGrid w:val="0"/>
              <w:spacing w:line="500" w:lineRule="exact"/>
              <w:jc w:val="center"/>
              <w:outlineLvl w:val="0"/>
              <w:rPr>
                <w:rFonts w:hint="eastAsia" w:ascii="宋体" w:hAnsi="宋体" w:eastAsia="宋体" w:cs="宋体"/>
                <w:color w:val="auto"/>
                <w:kern w:val="2"/>
                <w:sz w:val="21"/>
                <w:szCs w:val="21"/>
                <w:lang w:val="en-US" w:eastAsia="zh-CN" w:bidi="ar-SA"/>
              </w:rPr>
            </w:pPr>
          </w:p>
        </w:tc>
      </w:tr>
      <w:tr w14:paraId="4B2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28FF58">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19B8293D">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3C86F2EE">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26CE1F23">
            <w:pPr>
              <w:tabs>
                <w:tab w:val="left" w:pos="6300"/>
              </w:tabs>
              <w:snapToGrid w:val="0"/>
              <w:spacing w:line="500" w:lineRule="exact"/>
              <w:jc w:val="center"/>
              <w:outlineLvl w:val="0"/>
              <w:rPr>
                <w:rFonts w:hint="eastAsia" w:ascii="宋体" w:hAnsi="宋体" w:eastAsia="宋体" w:cs="宋体"/>
                <w:color w:val="auto"/>
                <w:sz w:val="24"/>
                <w:szCs w:val="24"/>
              </w:rPr>
            </w:pPr>
          </w:p>
        </w:tc>
      </w:tr>
      <w:tr w14:paraId="4C8E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EB5AA82">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0B69CC91">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529BF4F3">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6E72323A">
            <w:pPr>
              <w:tabs>
                <w:tab w:val="left" w:pos="6300"/>
              </w:tabs>
              <w:snapToGrid w:val="0"/>
              <w:spacing w:line="500" w:lineRule="exact"/>
              <w:jc w:val="center"/>
              <w:outlineLvl w:val="0"/>
              <w:rPr>
                <w:rFonts w:hint="eastAsia" w:ascii="宋体" w:hAnsi="宋体" w:eastAsia="宋体" w:cs="宋体"/>
                <w:color w:val="auto"/>
                <w:sz w:val="24"/>
                <w:szCs w:val="24"/>
              </w:rPr>
            </w:pPr>
          </w:p>
        </w:tc>
      </w:tr>
      <w:tr w14:paraId="4B90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6675F82">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724F2E9E">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1896CDC8">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2382F0AF">
            <w:pPr>
              <w:tabs>
                <w:tab w:val="left" w:pos="6300"/>
              </w:tabs>
              <w:snapToGrid w:val="0"/>
              <w:spacing w:line="500" w:lineRule="exact"/>
              <w:jc w:val="center"/>
              <w:outlineLvl w:val="0"/>
              <w:rPr>
                <w:rFonts w:hint="eastAsia" w:ascii="宋体" w:hAnsi="宋体" w:eastAsia="宋体" w:cs="宋体"/>
                <w:color w:val="auto"/>
                <w:sz w:val="24"/>
                <w:szCs w:val="24"/>
              </w:rPr>
            </w:pPr>
          </w:p>
        </w:tc>
      </w:tr>
      <w:tr w14:paraId="7DD7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223A59">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3F3372DB">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4EE14C8F">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719D4AA9">
            <w:pPr>
              <w:tabs>
                <w:tab w:val="left" w:pos="6300"/>
              </w:tabs>
              <w:snapToGrid w:val="0"/>
              <w:spacing w:line="500" w:lineRule="exact"/>
              <w:jc w:val="center"/>
              <w:outlineLvl w:val="0"/>
              <w:rPr>
                <w:rFonts w:hint="eastAsia" w:ascii="宋体" w:hAnsi="宋体" w:eastAsia="宋体" w:cs="宋体"/>
                <w:color w:val="auto"/>
                <w:sz w:val="24"/>
                <w:szCs w:val="24"/>
              </w:rPr>
            </w:pPr>
          </w:p>
        </w:tc>
      </w:tr>
      <w:tr w14:paraId="45DE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7112906">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085F3BB7">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5219EC8A">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579BBD34">
            <w:pPr>
              <w:tabs>
                <w:tab w:val="left" w:pos="6300"/>
              </w:tabs>
              <w:snapToGrid w:val="0"/>
              <w:spacing w:line="500" w:lineRule="exact"/>
              <w:jc w:val="center"/>
              <w:outlineLvl w:val="0"/>
              <w:rPr>
                <w:rFonts w:hint="eastAsia" w:ascii="宋体" w:hAnsi="宋体" w:eastAsia="宋体" w:cs="宋体"/>
                <w:color w:val="auto"/>
                <w:sz w:val="24"/>
                <w:szCs w:val="24"/>
              </w:rPr>
            </w:pPr>
          </w:p>
        </w:tc>
      </w:tr>
      <w:tr w14:paraId="680A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657ADA">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529A5C3C">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62CF3731">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7FD1ECC2">
            <w:pPr>
              <w:tabs>
                <w:tab w:val="left" w:pos="6300"/>
              </w:tabs>
              <w:snapToGrid w:val="0"/>
              <w:spacing w:line="500" w:lineRule="exact"/>
              <w:jc w:val="center"/>
              <w:outlineLvl w:val="0"/>
              <w:rPr>
                <w:rFonts w:hint="eastAsia" w:ascii="宋体" w:hAnsi="宋体" w:eastAsia="宋体" w:cs="宋体"/>
                <w:color w:val="auto"/>
                <w:sz w:val="24"/>
                <w:szCs w:val="24"/>
              </w:rPr>
            </w:pPr>
          </w:p>
        </w:tc>
      </w:tr>
      <w:tr w14:paraId="11F1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E7B4987">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79A5A7FA">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726B8154">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3B46046F">
            <w:pPr>
              <w:tabs>
                <w:tab w:val="left" w:pos="6300"/>
              </w:tabs>
              <w:snapToGrid w:val="0"/>
              <w:spacing w:line="500" w:lineRule="exact"/>
              <w:jc w:val="center"/>
              <w:outlineLvl w:val="0"/>
              <w:rPr>
                <w:rFonts w:hint="eastAsia" w:ascii="宋体" w:hAnsi="宋体" w:eastAsia="宋体" w:cs="宋体"/>
                <w:color w:val="auto"/>
                <w:sz w:val="24"/>
                <w:szCs w:val="24"/>
              </w:rPr>
            </w:pPr>
          </w:p>
        </w:tc>
      </w:tr>
      <w:tr w14:paraId="6D52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993997">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62FA9D36">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43535A61">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226743DC">
            <w:pPr>
              <w:tabs>
                <w:tab w:val="left" w:pos="6300"/>
              </w:tabs>
              <w:snapToGrid w:val="0"/>
              <w:spacing w:line="500" w:lineRule="exact"/>
              <w:jc w:val="center"/>
              <w:outlineLvl w:val="0"/>
              <w:rPr>
                <w:rFonts w:hint="eastAsia" w:ascii="宋体" w:hAnsi="宋体" w:eastAsia="宋体" w:cs="宋体"/>
                <w:color w:val="auto"/>
                <w:sz w:val="24"/>
                <w:szCs w:val="24"/>
              </w:rPr>
            </w:pPr>
          </w:p>
        </w:tc>
      </w:tr>
      <w:tr w14:paraId="0758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7D33581">
            <w:pPr>
              <w:tabs>
                <w:tab w:val="left" w:pos="6300"/>
              </w:tabs>
              <w:snapToGrid w:val="0"/>
              <w:spacing w:line="500" w:lineRule="exact"/>
              <w:jc w:val="center"/>
              <w:outlineLvl w:val="0"/>
              <w:rPr>
                <w:rFonts w:hint="eastAsia" w:ascii="宋体" w:hAnsi="宋体" w:eastAsia="宋体" w:cs="宋体"/>
                <w:color w:val="auto"/>
                <w:sz w:val="24"/>
                <w:szCs w:val="24"/>
              </w:rPr>
            </w:pPr>
          </w:p>
        </w:tc>
        <w:tc>
          <w:tcPr>
            <w:tcW w:w="2967" w:type="dxa"/>
            <w:vAlign w:val="center"/>
          </w:tcPr>
          <w:p w14:paraId="7350CB7C">
            <w:pPr>
              <w:tabs>
                <w:tab w:val="left" w:pos="6300"/>
              </w:tabs>
              <w:snapToGrid w:val="0"/>
              <w:spacing w:line="500" w:lineRule="exact"/>
              <w:jc w:val="center"/>
              <w:outlineLvl w:val="0"/>
              <w:rPr>
                <w:rFonts w:hint="eastAsia" w:ascii="宋体" w:hAnsi="宋体" w:eastAsia="宋体" w:cs="宋体"/>
                <w:color w:val="auto"/>
                <w:sz w:val="24"/>
                <w:szCs w:val="24"/>
              </w:rPr>
            </w:pPr>
          </w:p>
        </w:tc>
        <w:tc>
          <w:tcPr>
            <w:tcW w:w="3081" w:type="dxa"/>
            <w:vAlign w:val="center"/>
          </w:tcPr>
          <w:p w14:paraId="2932353F">
            <w:pPr>
              <w:tabs>
                <w:tab w:val="left" w:pos="6300"/>
              </w:tabs>
              <w:snapToGrid w:val="0"/>
              <w:spacing w:line="500" w:lineRule="exact"/>
              <w:jc w:val="center"/>
              <w:outlineLvl w:val="0"/>
              <w:rPr>
                <w:rFonts w:hint="eastAsia" w:ascii="宋体" w:hAnsi="宋体" w:eastAsia="宋体" w:cs="宋体"/>
                <w:color w:val="auto"/>
                <w:sz w:val="24"/>
                <w:szCs w:val="24"/>
              </w:rPr>
            </w:pPr>
          </w:p>
        </w:tc>
        <w:tc>
          <w:tcPr>
            <w:tcW w:w="2309" w:type="dxa"/>
            <w:vAlign w:val="center"/>
          </w:tcPr>
          <w:p w14:paraId="502DF86F">
            <w:pPr>
              <w:tabs>
                <w:tab w:val="left" w:pos="6300"/>
              </w:tabs>
              <w:snapToGrid w:val="0"/>
              <w:spacing w:line="500" w:lineRule="exact"/>
              <w:jc w:val="center"/>
              <w:outlineLvl w:val="0"/>
              <w:rPr>
                <w:rFonts w:hint="eastAsia" w:ascii="宋体" w:hAnsi="宋体" w:eastAsia="宋体" w:cs="宋体"/>
                <w:color w:val="auto"/>
                <w:sz w:val="24"/>
                <w:szCs w:val="24"/>
              </w:rPr>
            </w:pPr>
          </w:p>
        </w:tc>
      </w:tr>
    </w:tbl>
    <w:p w14:paraId="751473BB">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p>
    <w:p w14:paraId="2EC6DD66">
      <w:pPr>
        <w:spacing w:line="500" w:lineRule="exact"/>
        <w:rPr>
          <w:rFonts w:hint="eastAsia" w:ascii="宋体" w:hAnsi="宋体" w:eastAsia="宋体" w:cs="宋体"/>
          <w:color w:val="auto"/>
          <w:sz w:val="24"/>
          <w:szCs w:val="28"/>
        </w:rPr>
      </w:pPr>
    </w:p>
    <w:p w14:paraId="1D85F85A">
      <w:pPr>
        <w:spacing w:line="500" w:lineRule="exact"/>
        <w:ind w:firstLine="720" w:firstLineChars="300"/>
        <w:rPr>
          <w:rFonts w:hint="eastAsia"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594D247B">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45E1F3C5">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2324C1B6">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本表即为对本项目“第二篇  项目服务需求”中所列条款进行比较和响应；</w:t>
      </w:r>
    </w:p>
    <w:p w14:paraId="2C52C7F5">
      <w:pPr>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2.本表可扩展。</w:t>
      </w:r>
    </w:p>
    <w:p w14:paraId="2FCDCB27">
      <w:pPr>
        <w:tabs>
          <w:tab w:val="left" w:pos="6300"/>
        </w:tabs>
        <w:snapToGrid w:val="0"/>
        <w:spacing w:line="400" w:lineRule="exact"/>
        <w:ind w:firstLine="480" w:firstLineChars="200"/>
        <w:rPr>
          <w:rFonts w:hint="eastAsia" w:ascii="宋体" w:hAnsi="宋体" w:eastAsia="宋体" w:cs="宋体"/>
          <w:color w:val="auto"/>
          <w:sz w:val="24"/>
          <w:szCs w:val="24"/>
        </w:rPr>
      </w:pPr>
    </w:p>
    <w:p w14:paraId="57119224">
      <w:pPr>
        <w:tabs>
          <w:tab w:val="left" w:pos="6300"/>
        </w:tabs>
        <w:snapToGrid w:val="0"/>
        <w:spacing w:line="400" w:lineRule="exact"/>
        <w:ind w:firstLine="480" w:firstLineChars="200"/>
        <w:rPr>
          <w:rFonts w:hint="eastAsia" w:ascii="宋体" w:hAnsi="宋体" w:eastAsia="宋体" w:cs="宋体"/>
          <w:color w:val="auto"/>
          <w:sz w:val="24"/>
          <w:szCs w:val="24"/>
        </w:rPr>
      </w:pPr>
    </w:p>
    <w:p w14:paraId="139BE4FC">
      <w:pPr>
        <w:tabs>
          <w:tab w:val="left" w:pos="6300"/>
        </w:tabs>
        <w:snapToGrid w:val="0"/>
        <w:spacing w:line="400" w:lineRule="exact"/>
        <w:ind w:firstLine="480" w:firstLineChars="200"/>
        <w:rPr>
          <w:rFonts w:hint="eastAsia" w:ascii="宋体" w:hAnsi="宋体" w:eastAsia="宋体" w:cs="宋体"/>
          <w:color w:val="auto"/>
          <w:sz w:val="24"/>
          <w:szCs w:val="24"/>
        </w:rPr>
      </w:pPr>
    </w:p>
    <w:p w14:paraId="14593D2A">
      <w:pPr>
        <w:tabs>
          <w:tab w:val="left" w:pos="6300"/>
        </w:tabs>
        <w:snapToGrid w:val="0"/>
        <w:spacing w:line="400" w:lineRule="exact"/>
        <w:ind w:firstLine="480" w:firstLineChars="200"/>
        <w:rPr>
          <w:rFonts w:hint="eastAsia" w:ascii="宋体" w:hAnsi="宋体" w:eastAsia="宋体" w:cs="宋体"/>
          <w:color w:val="auto"/>
          <w:sz w:val="24"/>
          <w:szCs w:val="24"/>
        </w:rPr>
      </w:pPr>
    </w:p>
    <w:p w14:paraId="20C77887">
      <w:pPr>
        <w:pStyle w:val="13"/>
        <w:rPr>
          <w:rFonts w:hint="eastAsia" w:ascii="宋体" w:hAnsi="宋体" w:eastAsia="宋体" w:cs="宋体"/>
          <w:color w:val="auto"/>
        </w:rPr>
      </w:pPr>
    </w:p>
    <w:p w14:paraId="5652CE89">
      <w:pPr>
        <w:tabs>
          <w:tab w:val="left" w:pos="6300"/>
        </w:tabs>
        <w:snapToGrid w:val="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 w:val="24"/>
          <w:szCs w:val="24"/>
        </w:rPr>
        <w:t>（二）其他服务资料（格式自定）</w:t>
      </w:r>
    </w:p>
    <w:p w14:paraId="1F429012">
      <w:pPr>
        <w:pStyle w:val="4"/>
        <w:numPr>
          <w:ilvl w:val="1"/>
          <w:numId w:val="0"/>
        </w:numPr>
        <w:adjustRightInd w:val="0"/>
        <w:snapToGrid w:val="0"/>
        <w:spacing w:line="400" w:lineRule="exact"/>
        <w:ind w:left="560" w:leftChars="200"/>
        <w:rPr>
          <w:rFonts w:hint="eastAsia" w:ascii="宋体" w:hAnsi="宋体" w:eastAsia="宋体" w:cs="宋体"/>
          <w:color w:val="auto"/>
          <w:sz w:val="24"/>
        </w:rPr>
      </w:pPr>
      <w:r>
        <w:rPr>
          <w:rFonts w:hint="eastAsia" w:ascii="宋体" w:hAnsi="宋体" w:eastAsia="宋体" w:cs="宋体"/>
          <w:color w:val="auto"/>
        </w:rPr>
        <w:br w:type="page"/>
      </w:r>
      <w:bookmarkStart w:id="1249" w:name="_Toc313008358"/>
      <w:bookmarkStart w:id="1250" w:name="_Toc106030908"/>
      <w:bookmarkStart w:id="1251" w:name="_Toc27486"/>
      <w:bookmarkStart w:id="1252" w:name="_Toc32555"/>
      <w:bookmarkStart w:id="1253" w:name="_Toc30485"/>
      <w:bookmarkStart w:id="1254" w:name="_Toc342913421"/>
      <w:bookmarkStart w:id="1255" w:name="_Toc313888362"/>
      <w:bookmarkStart w:id="1256" w:name="_Toc76462352"/>
      <w:bookmarkStart w:id="1257" w:name="_Toc13584"/>
      <w:bookmarkStart w:id="1258" w:name="_Toc22642"/>
      <w:r>
        <w:rPr>
          <w:rFonts w:hint="eastAsia" w:ascii="宋体" w:hAnsi="宋体" w:eastAsia="宋体" w:cs="宋体"/>
          <w:b/>
          <w:bCs w:val="0"/>
          <w:color w:val="auto"/>
          <w:sz w:val="24"/>
        </w:rPr>
        <w:t>三、商务部分</w:t>
      </w:r>
      <w:bookmarkEnd w:id="1249"/>
      <w:bookmarkEnd w:id="1250"/>
      <w:bookmarkEnd w:id="1251"/>
      <w:bookmarkEnd w:id="1252"/>
      <w:bookmarkEnd w:id="1253"/>
      <w:bookmarkEnd w:id="1254"/>
      <w:bookmarkEnd w:id="1255"/>
      <w:bookmarkEnd w:id="1256"/>
      <w:bookmarkEnd w:id="1257"/>
      <w:bookmarkEnd w:id="1258"/>
    </w:p>
    <w:p w14:paraId="1FA3459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7A21C30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5CF9107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3019"/>
        <w:gridCol w:w="3075"/>
        <w:gridCol w:w="2254"/>
      </w:tblGrid>
      <w:tr w14:paraId="24BD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0" w:type="dxa"/>
            <w:vAlign w:val="center"/>
          </w:tcPr>
          <w:p w14:paraId="4985488C">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19" w:type="dxa"/>
            <w:vAlign w:val="center"/>
          </w:tcPr>
          <w:p w14:paraId="7AC0D0A7">
            <w:pPr>
              <w:tabs>
                <w:tab w:val="left" w:pos="6300"/>
              </w:tabs>
              <w:snapToGrid w:val="0"/>
              <w:spacing w:line="240" w:lineRule="auto"/>
              <w:jc w:val="center"/>
              <w:outlineLvl w:val="0"/>
              <w:rPr>
                <w:rFonts w:hint="eastAsia" w:ascii="宋体" w:hAnsi="宋体" w:eastAsia="宋体" w:cs="宋体"/>
                <w:color w:val="auto"/>
                <w:sz w:val="24"/>
                <w:szCs w:val="24"/>
              </w:rPr>
            </w:pPr>
            <w:bookmarkStart w:id="1259" w:name="_Toc5023"/>
            <w:r>
              <w:rPr>
                <w:rFonts w:hint="eastAsia" w:ascii="宋体" w:hAnsi="宋体" w:eastAsia="宋体" w:cs="宋体"/>
                <w:color w:val="auto"/>
                <w:sz w:val="24"/>
                <w:szCs w:val="24"/>
              </w:rPr>
              <w:t>磋商项目商务需求</w:t>
            </w:r>
            <w:bookmarkEnd w:id="1259"/>
          </w:p>
        </w:tc>
        <w:tc>
          <w:tcPr>
            <w:tcW w:w="3075" w:type="dxa"/>
            <w:vAlign w:val="center"/>
          </w:tcPr>
          <w:p w14:paraId="2CC8B15D">
            <w:pPr>
              <w:tabs>
                <w:tab w:val="left" w:pos="6300"/>
              </w:tabs>
              <w:snapToGrid w:val="0"/>
              <w:spacing w:line="240" w:lineRule="auto"/>
              <w:jc w:val="center"/>
              <w:outlineLvl w:val="0"/>
              <w:rPr>
                <w:rFonts w:hint="eastAsia" w:ascii="宋体" w:hAnsi="宋体" w:eastAsia="宋体" w:cs="宋体"/>
                <w:color w:val="auto"/>
                <w:sz w:val="24"/>
                <w:szCs w:val="24"/>
              </w:rPr>
            </w:pPr>
            <w:bookmarkStart w:id="1260" w:name="_Toc17107"/>
            <w:r>
              <w:rPr>
                <w:rFonts w:hint="eastAsia" w:ascii="宋体" w:hAnsi="宋体" w:eastAsia="宋体" w:cs="宋体"/>
                <w:color w:val="auto"/>
                <w:sz w:val="24"/>
                <w:szCs w:val="24"/>
              </w:rPr>
              <w:t>响应情况</w:t>
            </w:r>
            <w:bookmarkEnd w:id="1260"/>
          </w:p>
        </w:tc>
        <w:tc>
          <w:tcPr>
            <w:tcW w:w="2254" w:type="dxa"/>
            <w:vAlign w:val="center"/>
          </w:tcPr>
          <w:p w14:paraId="3FEBA375">
            <w:pPr>
              <w:tabs>
                <w:tab w:val="left" w:pos="6300"/>
              </w:tabs>
              <w:snapToGrid w:val="0"/>
              <w:spacing w:line="24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差异说明</w:t>
            </w:r>
          </w:p>
        </w:tc>
      </w:tr>
      <w:tr w14:paraId="39DC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3144D50A">
            <w:pPr>
              <w:tabs>
                <w:tab w:val="left" w:pos="6300"/>
              </w:tabs>
              <w:snapToGrid w:val="0"/>
              <w:spacing w:line="240" w:lineRule="auto"/>
              <w:jc w:val="center"/>
              <w:outlineLvl w:val="0"/>
              <w:rPr>
                <w:rFonts w:hint="eastAsia" w:ascii="宋体" w:hAnsi="宋体" w:eastAsia="宋体" w:cs="宋体"/>
                <w:color w:val="auto"/>
                <w:sz w:val="24"/>
                <w:szCs w:val="24"/>
              </w:rPr>
            </w:pPr>
          </w:p>
        </w:tc>
        <w:tc>
          <w:tcPr>
            <w:tcW w:w="3019" w:type="dxa"/>
            <w:vAlign w:val="center"/>
          </w:tcPr>
          <w:p w14:paraId="5FD0E819">
            <w:pPr>
              <w:tabs>
                <w:tab w:val="left" w:pos="6300"/>
              </w:tabs>
              <w:snapToGrid w:val="0"/>
              <w:spacing w:line="240" w:lineRule="auto"/>
              <w:jc w:val="center"/>
              <w:outlineLvl w:val="0"/>
              <w:rPr>
                <w:rFonts w:hint="eastAsia" w:ascii="宋体" w:hAnsi="宋体" w:eastAsia="宋体" w:cs="宋体"/>
                <w:color w:val="auto"/>
                <w:sz w:val="24"/>
                <w:szCs w:val="24"/>
              </w:rPr>
            </w:pPr>
          </w:p>
        </w:tc>
        <w:tc>
          <w:tcPr>
            <w:tcW w:w="3075" w:type="dxa"/>
            <w:vAlign w:val="center"/>
          </w:tcPr>
          <w:p w14:paraId="158295D2">
            <w:pPr>
              <w:tabs>
                <w:tab w:val="left" w:pos="6300"/>
              </w:tabs>
              <w:snapToGrid w:val="0"/>
              <w:spacing w:line="500" w:lineRule="exact"/>
              <w:outlineLvl w:val="0"/>
              <w:rPr>
                <w:rFonts w:hint="eastAsia" w:ascii="宋体" w:hAnsi="宋体" w:eastAsia="宋体" w:cs="宋体"/>
                <w:color w:val="auto"/>
                <w:sz w:val="24"/>
                <w:szCs w:val="24"/>
              </w:rPr>
            </w:pPr>
            <w:r>
              <w:rPr>
                <w:rFonts w:hint="eastAsia" w:ascii="宋体" w:hAnsi="宋体" w:eastAsia="宋体" w:cs="宋体"/>
                <w:color w:val="auto"/>
                <w:sz w:val="21"/>
                <w:szCs w:val="21"/>
              </w:rPr>
              <w:t>提醒：请注明具体内容以及响应文件中具体内容的位置（页码）</w:t>
            </w:r>
          </w:p>
        </w:tc>
        <w:tc>
          <w:tcPr>
            <w:tcW w:w="2254" w:type="dxa"/>
            <w:vAlign w:val="center"/>
          </w:tcPr>
          <w:p w14:paraId="401AE364">
            <w:pPr>
              <w:tabs>
                <w:tab w:val="left" w:pos="6300"/>
              </w:tabs>
              <w:snapToGrid w:val="0"/>
              <w:spacing w:line="500" w:lineRule="exact"/>
              <w:jc w:val="center"/>
              <w:outlineLvl w:val="0"/>
              <w:rPr>
                <w:rFonts w:hint="eastAsia" w:ascii="宋体" w:hAnsi="宋体" w:eastAsia="宋体" w:cs="宋体"/>
                <w:color w:val="auto"/>
                <w:sz w:val="24"/>
                <w:szCs w:val="24"/>
              </w:rPr>
            </w:pPr>
          </w:p>
        </w:tc>
      </w:tr>
      <w:tr w14:paraId="6B5E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1F7A2316">
            <w:pPr>
              <w:tabs>
                <w:tab w:val="left" w:pos="6300"/>
              </w:tabs>
              <w:snapToGrid w:val="0"/>
              <w:spacing w:line="240" w:lineRule="auto"/>
              <w:jc w:val="center"/>
              <w:outlineLvl w:val="0"/>
              <w:rPr>
                <w:rFonts w:hint="eastAsia" w:ascii="宋体" w:hAnsi="宋体" w:eastAsia="宋体" w:cs="宋体"/>
                <w:color w:val="auto"/>
                <w:sz w:val="24"/>
                <w:szCs w:val="24"/>
              </w:rPr>
            </w:pPr>
          </w:p>
        </w:tc>
        <w:tc>
          <w:tcPr>
            <w:tcW w:w="3019" w:type="dxa"/>
            <w:vAlign w:val="center"/>
          </w:tcPr>
          <w:p w14:paraId="7338EDD5">
            <w:pPr>
              <w:tabs>
                <w:tab w:val="left" w:pos="6300"/>
              </w:tabs>
              <w:snapToGrid w:val="0"/>
              <w:spacing w:line="240" w:lineRule="auto"/>
              <w:jc w:val="center"/>
              <w:outlineLvl w:val="0"/>
              <w:rPr>
                <w:rFonts w:hint="eastAsia" w:ascii="宋体" w:hAnsi="宋体" w:eastAsia="宋体" w:cs="宋体"/>
                <w:color w:val="auto"/>
                <w:sz w:val="24"/>
                <w:szCs w:val="24"/>
              </w:rPr>
            </w:pPr>
          </w:p>
        </w:tc>
        <w:tc>
          <w:tcPr>
            <w:tcW w:w="3075" w:type="dxa"/>
            <w:vAlign w:val="center"/>
          </w:tcPr>
          <w:p w14:paraId="5DDFD561">
            <w:pPr>
              <w:tabs>
                <w:tab w:val="left" w:pos="6300"/>
              </w:tabs>
              <w:snapToGrid w:val="0"/>
              <w:spacing w:line="240" w:lineRule="auto"/>
              <w:jc w:val="center"/>
              <w:outlineLvl w:val="0"/>
              <w:rPr>
                <w:rFonts w:hint="eastAsia" w:ascii="宋体" w:hAnsi="宋体" w:eastAsia="宋体" w:cs="宋体"/>
                <w:color w:val="auto"/>
                <w:sz w:val="24"/>
                <w:szCs w:val="24"/>
              </w:rPr>
            </w:pPr>
          </w:p>
        </w:tc>
        <w:tc>
          <w:tcPr>
            <w:tcW w:w="2254" w:type="dxa"/>
            <w:vAlign w:val="center"/>
          </w:tcPr>
          <w:p w14:paraId="0E1D9BEA">
            <w:pPr>
              <w:tabs>
                <w:tab w:val="left" w:pos="6300"/>
              </w:tabs>
              <w:snapToGrid w:val="0"/>
              <w:spacing w:line="240" w:lineRule="auto"/>
              <w:jc w:val="center"/>
              <w:outlineLvl w:val="0"/>
              <w:rPr>
                <w:rFonts w:hint="eastAsia" w:ascii="宋体" w:hAnsi="宋体" w:eastAsia="宋体" w:cs="宋体"/>
                <w:color w:val="auto"/>
                <w:sz w:val="24"/>
                <w:szCs w:val="24"/>
              </w:rPr>
            </w:pPr>
          </w:p>
        </w:tc>
      </w:tr>
      <w:tr w14:paraId="03FB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4CE66CCB">
            <w:pPr>
              <w:tabs>
                <w:tab w:val="left" w:pos="6300"/>
              </w:tabs>
              <w:snapToGrid w:val="0"/>
              <w:spacing w:line="240" w:lineRule="auto"/>
              <w:jc w:val="center"/>
              <w:outlineLvl w:val="0"/>
              <w:rPr>
                <w:rFonts w:hint="eastAsia" w:ascii="宋体" w:hAnsi="宋体" w:eastAsia="宋体" w:cs="宋体"/>
                <w:color w:val="auto"/>
                <w:sz w:val="24"/>
                <w:szCs w:val="24"/>
              </w:rPr>
            </w:pPr>
          </w:p>
        </w:tc>
        <w:tc>
          <w:tcPr>
            <w:tcW w:w="3019" w:type="dxa"/>
            <w:vAlign w:val="center"/>
          </w:tcPr>
          <w:p w14:paraId="32455A6E">
            <w:pPr>
              <w:tabs>
                <w:tab w:val="left" w:pos="6300"/>
              </w:tabs>
              <w:snapToGrid w:val="0"/>
              <w:spacing w:line="240" w:lineRule="auto"/>
              <w:jc w:val="center"/>
              <w:outlineLvl w:val="0"/>
              <w:rPr>
                <w:rFonts w:hint="eastAsia" w:ascii="宋体" w:hAnsi="宋体" w:eastAsia="宋体" w:cs="宋体"/>
                <w:color w:val="auto"/>
                <w:sz w:val="24"/>
                <w:szCs w:val="24"/>
              </w:rPr>
            </w:pPr>
          </w:p>
        </w:tc>
        <w:tc>
          <w:tcPr>
            <w:tcW w:w="3075" w:type="dxa"/>
            <w:vAlign w:val="center"/>
          </w:tcPr>
          <w:p w14:paraId="3073AC8A">
            <w:pPr>
              <w:tabs>
                <w:tab w:val="left" w:pos="6300"/>
              </w:tabs>
              <w:snapToGrid w:val="0"/>
              <w:spacing w:line="240" w:lineRule="auto"/>
              <w:jc w:val="center"/>
              <w:outlineLvl w:val="0"/>
              <w:rPr>
                <w:rFonts w:hint="eastAsia" w:ascii="宋体" w:hAnsi="宋体" w:eastAsia="宋体" w:cs="宋体"/>
                <w:color w:val="auto"/>
                <w:sz w:val="24"/>
                <w:szCs w:val="24"/>
              </w:rPr>
            </w:pPr>
          </w:p>
        </w:tc>
        <w:tc>
          <w:tcPr>
            <w:tcW w:w="2254" w:type="dxa"/>
            <w:vAlign w:val="center"/>
          </w:tcPr>
          <w:p w14:paraId="285B7A7D">
            <w:pPr>
              <w:tabs>
                <w:tab w:val="left" w:pos="6300"/>
              </w:tabs>
              <w:snapToGrid w:val="0"/>
              <w:spacing w:line="240" w:lineRule="auto"/>
              <w:jc w:val="center"/>
              <w:outlineLvl w:val="0"/>
              <w:rPr>
                <w:rFonts w:hint="eastAsia" w:ascii="宋体" w:hAnsi="宋体" w:eastAsia="宋体" w:cs="宋体"/>
                <w:color w:val="auto"/>
                <w:sz w:val="24"/>
                <w:szCs w:val="24"/>
              </w:rPr>
            </w:pPr>
          </w:p>
        </w:tc>
      </w:tr>
      <w:tr w14:paraId="097D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49469CA5">
            <w:pPr>
              <w:tabs>
                <w:tab w:val="left" w:pos="6300"/>
              </w:tabs>
              <w:snapToGrid w:val="0"/>
              <w:spacing w:line="240" w:lineRule="auto"/>
              <w:jc w:val="center"/>
              <w:outlineLvl w:val="0"/>
              <w:rPr>
                <w:rFonts w:hint="eastAsia" w:ascii="宋体" w:hAnsi="宋体" w:eastAsia="宋体" w:cs="宋体"/>
                <w:color w:val="auto"/>
                <w:sz w:val="24"/>
                <w:szCs w:val="24"/>
              </w:rPr>
            </w:pPr>
          </w:p>
        </w:tc>
        <w:tc>
          <w:tcPr>
            <w:tcW w:w="3019" w:type="dxa"/>
            <w:vAlign w:val="center"/>
          </w:tcPr>
          <w:p w14:paraId="05B3C7F2">
            <w:pPr>
              <w:tabs>
                <w:tab w:val="left" w:pos="6300"/>
              </w:tabs>
              <w:snapToGrid w:val="0"/>
              <w:spacing w:line="240" w:lineRule="auto"/>
              <w:jc w:val="center"/>
              <w:outlineLvl w:val="0"/>
              <w:rPr>
                <w:rFonts w:hint="eastAsia" w:ascii="宋体" w:hAnsi="宋体" w:eastAsia="宋体" w:cs="宋体"/>
                <w:color w:val="auto"/>
                <w:sz w:val="24"/>
                <w:szCs w:val="24"/>
              </w:rPr>
            </w:pPr>
          </w:p>
        </w:tc>
        <w:tc>
          <w:tcPr>
            <w:tcW w:w="3075" w:type="dxa"/>
            <w:vAlign w:val="center"/>
          </w:tcPr>
          <w:p w14:paraId="330AB2BE">
            <w:pPr>
              <w:tabs>
                <w:tab w:val="left" w:pos="6300"/>
              </w:tabs>
              <w:snapToGrid w:val="0"/>
              <w:spacing w:line="240" w:lineRule="auto"/>
              <w:jc w:val="center"/>
              <w:outlineLvl w:val="0"/>
              <w:rPr>
                <w:rFonts w:hint="eastAsia" w:ascii="宋体" w:hAnsi="宋体" w:eastAsia="宋体" w:cs="宋体"/>
                <w:color w:val="auto"/>
                <w:sz w:val="24"/>
                <w:szCs w:val="24"/>
              </w:rPr>
            </w:pPr>
          </w:p>
        </w:tc>
        <w:tc>
          <w:tcPr>
            <w:tcW w:w="2254" w:type="dxa"/>
            <w:vAlign w:val="center"/>
          </w:tcPr>
          <w:p w14:paraId="6D77A124">
            <w:pPr>
              <w:tabs>
                <w:tab w:val="left" w:pos="6300"/>
              </w:tabs>
              <w:snapToGrid w:val="0"/>
              <w:spacing w:line="240" w:lineRule="auto"/>
              <w:jc w:val="center"/>
              <w:outlineLvl w:val="0"/>
              <w:rPr>
                <w:rFonts w:hint="eastAsia" w:ascii="宋体" w:hAnsi="宋体" w:eastAsia="宋体" w:cs="宋体"/>
                <w:color w:val="auto"/>
                <w:sz w:val="24"/>
                <w:szCs w:val="24"/>
              </w:rPr>
            </w:pPr>
          </w:p>
        </w:tc>
      </w:tr>
      <w:tr w14:paraId="7034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1B30CFE4">
            <w:pPr>
              <w:tabs>
                <w:tab w:val="left" w:pos="6300"/>
              </w:tabs>
              <w:snapToGrid w:val="0"/>
              <w:spacing w:line="240" w:lineRule="auto"/>
              <w:jc w:val="center"/>
              <w:outlineLvl w:val="0"/>
              <w:rPr>
                <w:rFonts w:hint="eastAsia" w:ascii="宋体" w:hAnsi="宋体" w:eastAsia="宋体" w:cs="宋体"/>
                <w:color w:val="auto"/>
                <w:sz w:val="24"/>
                <w:szCs w:val="24"/>
              </w:rPr>
            </w:pPr>
          </w:p>
        </w:tc>
        <w:tc>
          <w:tcPr>
            <w:tcW w:w="3019" w:type="dxa"/>
            <w:vAlign w:val="center"/>
          </w:tcPr>
          <w:p w14:paraId="09E61586">
            <w:pPr>
              <w:tabs>
                <w:tab w:val="left" w:pos="6300"/>
              </w:tabs>
              <w:snapToGrid w:val="0"/>
              <w:spacing w:line="240" w:lineRule="auto"/>
              <w:jc w:val="center"/>
              <w:outlineLvl w:val="0"/>
              <w:rPr>
                <w:rFonts w:hint="eastAsia" w:ascii="宋体" w:hAnsi="宋体" w:eastAsia="宋体" w:cs="宋体"/>
                <w:color w:val="auto"/>
                <w:sz w:val="24"/>
                <w:szCs w:val="24"/>
              </w:rPr>
            </w:pPr>
          </w:p>
        </w:tc>
        <w:tc>
          <w:tcPr>
            <w:tcW w:w="3075" w:type="dxa"/>
            <w:vAlign w:val="center"/>
          </w:tcPr>
          <w:p w14:paraId="5841B1CA">
            <w:pPr>
              <w:tabs>
                <w:tab w:val="left" w:pos="6300"/>
              </w:tabs>
              <w:snapToGrid w:val="0"/>
              <w:spacing w:line="240" w:lineRule="auto"/>
              <w:jc w:val="center"/>
              <w:outlineLvl w:val="0"/>
              <w:rPr>
                <w:rFonts w:hint="eastAsia" w:ascii="宋体" w:hAnsi="宋体" w:eastAsia="宋体" w:cs="宋体"/>
                <w:color w:val="auto"/>
                <w:sz w:val="24"/>
                <w:szCs w:val="24"/>
              </w:rPr>
            </w:pPr>
          </w:p>
        </w:tc>
        <w:tc>
          <w:tcPr>
            <w:tcW w:w="2254" w:type="dxa"/>
            <w:vAlign w:val="center"/>
          </w:tcPr>
          <w:p w14:paraId="035CC1DB">
            <w:pPr>
              <w:tabs>
                <w:tab w:val="left" w:pos="6300"/>
              </w:tabs>
              <w:snapToGrid w:val="0"/>
              <w:spacing w:line="240" w:lineRule="auto"/>
              <w:jc w:val="center"/>
              <w:outlineLvl w:val="0"/>
              <w:rPr>
                <w:rFonts w:hint="eastAsia" w:ascii="宋体" w:hAnsi="宋体" w:eastAsia="宋体" w:cs="宋体"/>
                <w:color w:val="auto"/>
                <w:sz w:val="24"/>
                <w:szCs w:val="24"/>
              </w:rPr>
            </w:pPr>
          </w:p>
        </w:tc>
      </w:tr>
      <w:tr w14:paraId="067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0" w:type="dxa"/>
            <w:vAlign w:val="center"/>
          </w:tcPr>
          <w:p w14:paraId="1561C329">
            <w:pPr>
              <w:tabs>
                <w:tab w:val="left" w:pos="6300"/>
              </w:tabs>
              <w:snapToGrid w:val="0"/>
              <w:spacing w:line="240" w:lineRule="auto"/>
              <w:jc w:val="center"/>
              <w:outlineLvl w:val="0"/>
              <w:rPr>
                <w:rFonts w:hint="eastAsia" w:ascii="宋体" w:hAnsi="宋体" w:eastAsia="宋体" w:cs="宋体"/>
                <w:color w:val="auto"/>
                <w:sz w:val="24"/>
                <w:szCs w:val="24"/>
              </w:rPr>
            </w:pPr>
          </w:p>
        </w:tc>
        <w:tc>
          <w:tcPr>
            <w:tcW w:w="3019" w:type="dxa"/>
            <w:vAlign w:val="center"/>
          </w:tcPr>
          <w:p w14:paraId="3177CDA0">
            <w:pPr>
              <w:tabs>
                <w:tab w:val="left" w:pos="6300"/>
              </w:tabs>
              <w:snapToGrid w:val="0"/>
              <w:spacing w:line="240" w:lineRule="auto"/>
              <w:jc w:val="center"/>
              <w:outlineLvl w:val="0"/>
              <w:rPr>
                <w:rFonts w:hint="eastAsia" w:ascii="宋体" w:hAnsi="宋体" w:eastAsia="宋体" w:cs="宋体"/>
                <w:color w:val="auto"/>
                <w:sz w:val="24"/>
                <w:szCs w:val="24"/>
              </w:rPr>
            </w:pPr>
          </w:p>
        </w:tc>
        <w:tc>
          <w:tcPr>
            <w:tcW w:w="3075" w:type="dxa"/>
            <w:vAlign w:val="center"/>
          </w:tcPr>
          <w:p w14:paraId="65179AD1">
            <w:pPr>
              <w:tabs>
                <w:tab w:val="left" w:pos="6300"/>
              </w:tabs>
              <w:snapToGrid w:val="0"/>
              <w:spacing w:line="240" w:lineRule="auto"/>
              <w:jc w:val="center"/>
              <w:outlineLvl w:val="0"/>
              <w:rPr>
                <w:rFonts w:hint="eastAsia" w:ascii="宋体" w:hAnsi="宋体" w:eastAsia="宋体" w:cs="宋体"/>
                <w:color w:val="auto"/>
                <w:sz w:val="24"/>
                <w:szCs w:val="24"/>
              </w:rPr>
            </w:pPr>
          </w:p>
        </w:tc>
        <w:tc>
          <w:tcPr>
            <w:tcW w:w="2254" w:type="dxa"/>
            <w:vAlign w:val="center"/>
          </w:tcPr>
          <w:p w14:paraId="21B51C73">
            <w:pPr>
              <w:tabs>
                <w:tab w:val="left" w:pos="6300"/>
              </w:tabs>
              <w:snapToGrid w:val="0"/>
              <w:spacing w:line="240" w:lineRule="auto"/>
              <w:jc w:val="center"/>
              <w:outlineLvl w:val="0"/>
              <w:rPr>
                <w:rFonts w:hint="eastAsia" w:ascii="宋体" w:hAnsi="宋体" w:eastAsia="宋体" w:cs="宋体"/>
                <w:color w:val="auto"/>
                <w:sz w:val="24"/>
                <w:szCs w:val="24"/>
              </w:rPr>
            </w:pPr>
          </w:p>
        </w:tc>
      </w:tr>
    </w:tbl>
    <w:p w14:paraId="19179938">
      <w:pPr>
        <w:snapToGrid w:val="0"/>
        <w:spacing w:line="360" w:lineRule="auto"/>
        <w:ind w:firstLine="465"/>
        <w:rPr>
          <w:rFonts w:hint="eastAsia" w:ascii="宋体" w:hAnsi="宋体" w:eastAsia="宋体" w:cs="宋体"/>
          <w:color w:val="auto"/>
          <w:sz w:val="24"/>
          <w:szCs w:val="24"/>
        </w:rPr>
      </w:pPr>
    </w:p>
    <w:p w14:paraId="25FB6FE0">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p>
    <w:p w14:paraId="683BC150">
      <w:pPr>
        <w:spacing w:line="500" w:lineRule="exact"/>
        <w:rPr>
          <w:rFonts w:hint="eastAsia" w:ascii="宋体" w:hAnsi="宋体" w:eastAsia="宋体" w:cs="宋体"/>
          <w:color w:val="auto"/>
          <w:sz w:val="24"/>
          <w:szCs w:val="28"/>
        </w:rPr>
      </w:pPr>
    </w:p>
    <w:p w14:paraId="3D346A48">
      <w:pPr>
        <w:spacing w:line="500" w:lineRule="exact"/>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67DEF332">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73421943">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1D58585F">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本表即为对本项目“第三篇  项目商务需求”中所列条款进行比较和响应；</w:t>
      </w:r>
    </w:p>
    <w:p w14:paraId="747C1B96">
      <w:pPr>
        <w:snapToGrid w:val="0"/>
        <w:spacing w:line="400" w:lineRule="exact"/>
        <w:ind w:firstLine="480" w:firstLineChars="200"/>
        <w:rPr>
          <w:rFonts w:hint="eastAsia" w:ascii="宋体" w:hAnsi="宋体" w:eastAsia="宋体" w:cs="宋体"/>
          <w:b/>
          <w:color w:val="auto"/>
        </w:rPr>
        <w:sectPr>
          <w:headerReference r:id="rId13" w:type="default"/>
          <w:pgSz w:w="11907" w:h="16840"/>
          <w:pgMar w:top="1134" w:right="1191" w:bottom="1134" w:left="1304" w:header="624" w:footer="992" w:gutter="0"/>
          <w:pgNumType w:fmt="numberInDash"/>
          <w:cols w:space="720" w:num="1"/>
          <w:docGrid w:linePitch="380" w:charSpace="-5735"/>
        </w:sectPr>
      </w:pPr>
      <w:r>
        <w:rPr>
          <w:rFonts w:hint="eastAsia" w:ascii="宋体" w:hAnsi="宋体" w:eastAsia="宋体" w:cs="宋体"/>
          <w:color w:val="auto"/>
          <w:sz w:val="24"/>
        </w:rPr>
        <w:t>2.本表可扩展。</w:t>
      </w:r>
    </w:p>
    <w:p w14:paraId="1B8C66AB">
      <w:pPr>
        <w:snapToGrid w:val="0"/>
        <w:spacing w:line="400" w:lineRule="exact"/>
        <w:ind w:firstLine="480" w:firstLineChars="200"/>
        <w:rPr>
          <w:rFonts w:hint="eastAsia" w:ascii="宋体" w:hAnsi="宋体" w:eastAsia="宋体" w:cs="宋体"/>
          <w:color w:val="auto"/>
          <w:sz w:val="24"/>
          <w:szCs w:val="24"/>
        </w:rPr>
      </w:pPr>
      <w:bookmarkStart w:id="1261" w:name="_Toc283382459"/>
      <w:r>
        <w:rPr>
          <w:rFonts w:hint="eastAsia" w:ascii="宋体" w:hAnsi="宋体" w:eastAsia="宋体" w:cs="宋体"/>
          <w:color w:val="auto"/>
          <w:sz w:val="24"/>
          <w:szCs w:val="24"/>
        </w:rPr>
        <w:t>（二）其它优惠服务承诺（格式自定）</w:t>
      </w:r>
    </w:p>
    <w:p w14:paraId="590FFB49">
      <w:pPr>
        <w:snapToGrid w:val="0"/>
        <w:spacing w:line="400" w:lineRule="exact"/>
        <w:ind w:firstLine="480" w:firstLineChars="200"/>
        <w:rPr>
          <w:rFonts w:hint="eastAsia" w:ascii="宋体" w:hAnsi="宋体" w:eastAsia="宋体" w:cs="宋体"/>
          <w:color w:val="auto"/>
          <w:sz w:val="24"/>
          <w:szCs w:val="24"/>
        </w:rPr>
      </w:pPr>
    </w:p>
    <w:p w14:paraId="0B23B195">
      <w:pPr>
        <w:pStyle w:val="4"/>
        <w:numPr>
          <w:ilvl w:val="1"/>
          <w:numId w:val="0"/>
        </w:numPr>
        <w:adjustRightInd w:val="0"/>
        <w:snapToGrid w:val="0"/>
        <w:spacing w:line="400" w:lineRule="exact"/>
        <w:ind w:left="560" w:leftChars="200"/>
        <w:rPr>
          <w:rFonts w:hint="eastAsia" w:ascii="宋体" w:hAnsi="宋体" w:eastAsia="宋体" w:cs="宋体"/>
          <w:color w:val="auto"/>
          <w:sz w:val="24"/>
        </w:rPr>
      </w:pPr>
      <w:r>
        <w:rPr>
          <w:rFonts w:hint="eastAsia" w:ascii="宋体" w:hAnsi="宋体" w:eastAsia="宋体" w:cs="宋体"/>
          <w:color w:val="auto"/>
          <w:sz w:val="24"/>
          <w:szCs w:val="24"/>
        </w:rPr>
        <w:br w:type="page"/>
      </w:r>
      <w:bookmarkEnd w:id="1261"/>
      <w:bookmarkStart w:id="1262" w:name="_Toc16296"/>
      <w:bookmarkStart w:id="1263" w:name="_Toc76462353"/>
      <w:bookmarkStart w:id="1264" w:name="_Toc313888363"/>
      <w:bookmarkStart w:id="1265" w:name="_Toc342913422"/>
      <w:bookmarkStart w:id="1266" w:name="_Toc30837"/>
      <w:bookmarkStart w:id="1267" w:name="_Toc106030909"/>
      <w:bookmarkStart w:id="1268" w:name="_Toc17489"/>
      <w:bookmarkStart w:id="1269" w:name="_Toc313008359"/>
      <w:bookmarkStart w:id="1270" w:name="_Toc16979"/>
      <w:bookmarkStart w:id="1271" w:name="_Toc2963"/>
      <w:r>
        <w:rPr>
          <w:rFonts w:hint="eastAsia" w:ascii="宋体" w:hAnsi="宋体" w:eastAsia="宋体" w:cs="宋体"/>
          <w:b/>
          <w:bCs w:val="0"/>
          <w:color w:val="auto"/>
          <w:sz w:val="24"/>
        </w:rPr>
        <w:t>四、资格条件</w:t>
      </w:r>
      <w:bookmarkEnd w:id="1262"/>
      <w:bookmarkEnd w:id="1263"/>
      <w:bookmarkEnd w:id="1264"/>
      <w:bookmarkEnd w:id="1265"/>
      <w:bookmarkEnd w:id="1266"/>
      <w:bookmarkEnd w:id="1267"/>
      <w:bookmarkEnd w:id="1268"/>
      <w:bookmarkEnd w:id="1269"/>
      <w:bookmarkEnd w:id="1270"/>
      <w:bookmarkEnd w:id="1271"/>
    </w:p>
    <w:p w14:paraId="623FFFCA">
      <w:pPr>
        <w:tabs>
          <w:tab w:val="left" w:pos="6300"/>
        </w:tabs>
        <w:snapToGrid w:val="0"/>
        <w:spacing w:line="4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7CE48613">
      <w:pPr>
        <w:tabs>
          <w:tab w:val="left" w:pos="6300"/>
        </w:tabs>
        <w:snapToGrid w:val="0"/>
        <w:spacing w:line="400" w:lineRule="exact"/>
        <w:ind w:firstLine="570"/>
        <w:rPr>
          <w:rFonts w:hint="eastAsia" w:ascii="宋体" w:hAnsi="宋体" w:eastAsia="宋体" w:cs="宋体"/>
          <w:color w:val="auto"/>
        </w:rPr>
      </w:pPr>
    </w:p>
    <w:p w14:paraId="440EA70E">
      <w:pPr>
        <w:tabs>
          <w:tab w:val="left" w:pos="6300"/>
        </w:tabs>
        <w:snapToGrid w:val="0"/>
        <w:spacing w:line="500" w:lineRule="exact"/>
        <w:ind w:firstLine="570"/>
        <w:rPr>
          <w:rFonts w:hint="eastAsia" w:ascii="宋体" w:hAnsi="宋体" w:eastAsia="宋体" w:cs="宋体"/>
          <w:color w:val="auto"/>
        </w:rPr>
      </w:pPr>
    </w:p>
    <w:p w14:paraId="752E39DF">
      <w:pPr>
        <w:tabs>
          <w:tab w:val="left" w:pos="6300"/>
        </w:tabs>
        <w:snapToGrid w:val="0"/>
        <w:spacing w:line="500" w:lineRule="exact"/>
        <w:ind w:firstLine="570"/>
        <w:rPr>
          <w:rFonts w:hint="eastAsia" w:ascii="宋体" w:hAnsi="宋体" w:eastAsia="宋体" w:cs="宋体"/>
          <w:color w:val="auto"/>
        </w:rPr>
      </w:pPr>
    </w:p>
    <w:p w14:paraId="189687AD">
      <w:pPr>
        <w:tabs>
          <w:tab w:val="left" w:pos="6300"/>
        </w:tabs>
        <w:snapToGrid w:val="0"/>
        <w:spacing w:line="500" w:lineRule="exact"/>
        <w:ind w:firstLine="570"/>
        <w:rPr>
          <w:rFonts w:hint="eastAsia" w:ascii="宋体" w:hAnsi="宋体" w:eastAsia="宋体" w:cs="宋体"/>
          <w:color w:val="auto"/>
        </w:rPr>
      </w:pPr>
    </w:p>
    <w:p w14:paraId="6400279E">
      <w:pPr>
        <w:tabs>
          <w:tab w:val="left" w:pos="6300"/>
        </w:tabs>
        <w:snapToGrid w:val="0"/>
        <w:spacing w:line="500" w:lineRule="exact"/>
        <w:ind w:firstLine="570"/>
        <w:rPr>
          <w:rFonts w:hint="eastAsia" w:ascii="宋体" w:hAnsi="宋体" w:eastAsia="宋体" w:cs="宋体"/>
          <w:color w:val="auto"/>
        </w:rPr>
      </w:pPr>
    </w:p>
    <w:p w14:paraId="4BCF3729">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（二）法定代表人身份证明书（格式）</w:t>
      </w:r>
    </w:p>
    <w:p w14:paraId="65331FFE">
      <w:pPr>
        <w:tabs>
          <w:tab w:val="left" w:pos="6300"/>
        </w:tabs>
        <w:snapToGrid w:val="0"/>
        <w:spacing w:line="500" w:lineRule="exact"/>
        <w:ind w:firstLine="570"/>
        <w:rPr>
          <w:rFonts w:hint="eastAsia" w:ascii="宋体" w:hAnsi="宋体" w:eastAsia="宋体" w:cs="宋体"/>
          <w:color w:val="auto"/>
          <w:sz w:val="24"/>
        </w:rPr>
      </w:pPr>
    </w:p>
    <w:p w14:paraId="0FC455EA">
      <w:pPr>
        <w:tabs>
          <w:tab w:val="left" w:pos="6300"/>
        </w:tabs>
        <w:snapToGrid w:val="0"/>
        <w:spacing w:line="500" w:lineRule="exact"/>
        <w:ind w:firstLine="570"/>
        <w:rPr>
          <w:rFonts w:hint="eastAsia" w:ascii="宋体" w:hAnsi="宋体" w:eastAsia="宋体" w:cs="宋体"/>
          <w:color w:val="auto"/>
          <w:sz w:val="24"/>
          <w:u w:val="single"/>
        </w:rPr>
      </w:pPr>
      <w:r>
        <w:rPr>
          <w:rFonts w:hint="eastAsia" w:ascii="宋体" w:hAnsi="宋体" w:eastAsia="宋体" w:cs="宋体"/>
          <w:color w:val="auto"/>
          <w:sz w:val="24"/>
        </w:rPr>
        <w:t xml:space="preserve">磋商项目名称： </w:t>
      </w:r>
      <w:r>
        <w:rPr>
          <w:rFonts w:hint="eastAsia" w:ascii="宋体" w:hAnsi="宋体" w:eastAsia="宋体" w:cs="宋体"/>
          <w:color w:val="auto"/>
          <w:sz w:val="24"/>
          <w:u w:val="single"/>
        </w:rPr>
        <w:t xml:space="preserve">                        </w:t>
      </w:r>
    </w:p>
    <w:p w14:paraId="0E3DF5B1">
      <w:pPr>
        <w:tabs>
          <w:tab w:val="left" w:pos="6300"/>
        </w:tabs>
        <w:snapToGrid w:val="0"/>
        <w:spacing w:line="500" w:lineRule="exact"/>
        <w:ind w:firstLine="570"/>
        <w:rPr>
          <w:rFonts w:hint="eastAsia" w:ascii="宋体" w:hAnsi="宋体" w:eastAsia="宋体" w:cs="宋体"/>
          <w:color w:val="auto"/>
          <w:sz w:val="24"/>
        </w:rPr>
      </w:pPr>
    </w:p>
    <w:p w14:paraId="36C9FDD3">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0A505F0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（供应商名称）任</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（职务名称）职务，是</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w:t>
      </w:r>
    </w:p>
    <w:p w14:paraId="5DB74319">
      <w:pPr>
        <w:tabs>
          <w:tab w:val="left" w:pos="6300"/>
        </w:tabs>
        <w:snapToGrid w:val="0"/>
        <w:spacing w:line="500" w:lineRule="exact"/>
        <w:ind w:firstLine="570"/>
        <w:rPr>
          <w:rFonts w:hint="eastAsia" w:ascii="宋体" w:hAnsi="宋体" w:eastAsia="宋体" w:cs="宋体"/>
          <w:color w:val="auto"/>
          <w:sz w:val="24"/>
        </w:rPr>
      </w:pPr>
    </w:p>
    <w:p w14:paraId="5E5564B4">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特此证明。</w:t>
      </w:r>
    </w:p>
    <w:p w14:paraId="326BE80A">
      <w:pPr>
        <w:tabs>
          <w:tab w:val="left" w:pos="6300"/>
        </w:tabs>
        <w:snapToGrid w:val="0"/>
        <w:spacing w:line="500" w:lineRule="exact"/>
        <w:ind w:firstLine="570"/>
        <w:rPr>
          <w:rFonts w:hint="eastAsia" w:ascii="宋体" w:hAnsi="宋体" w:eastAsia="宋体" w:cs="宋体"/>
          <w:color w:val="auto"/>
          <w:sz w:val="24"/>
        </w:rPr>
      </w:pPr>
    </w:p>
    <w:p w14:paraId="536F075E">
      <w:pPr>
        <w:tabs>
          <w:tab w:val="left" w:pos="6300"/>
        </w:tabs>
        <w:snapToGrid w:val="0"/>
        <w:spacing w:line="500" w:lineRule="exact"/>
        <w:ind w:firstLine="570"/>
        <w:rPr>
          <w:rFonts w:hint="eastAsia" w:ascii="宋体" w:hAnsi="宋体" w:eastAsia="宋体" w:cs="宋体"/>
          <w:color w:val="auto"/>
          <w:sz w:val="24"/>
        </w:rPr>
      </w:pPr>
    </w:p>
    <w:p w14:paraId="32A8A20F">
      <w:pPr>
        <w:tabs>
          <w:tab w:val="left" w:pos="6300"/>
        </w:tabs>
        <w:snapToGrid w:val="0"/>
        <w:spacing w:line="500" w:lineRule="exact"/>
        <w:ind w:firstLine="570"/>
        <w:rPr>
          <w:rFonts w:hint="eastAsia" w:ascii="宋体" w:hAnsi="宋体" w:eastAsia="宋体" w:cs="宋体"/>
          <w:color w:val="auto"/>
          <w:sz w:val="24"/>
        </w:rPr>
      </w:pPr>
    </w:p>
    <w:p w14:paraId="17E6B510">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（供应商公章）</w:t>
      </w:r>
    </w:p>
    <w:p w14:paraId="4F27E423">
      <w:pPr>
        <w:tabs>
          <w:tab w:val="left" w:pos="6300"/>
        </w:tabs>
        <w:snapToGrid w:val="0"/>
        <w:spacing w:line="500" w:lineRule="exact"/>
        <w:ind w:firstLine="570"/>
        <w:rPr>
          <w:rFonts w:hint="eastAsia" w:ascii="宋体" w:hAnsi="宋体" w:eastAsia="宋体" w:cs="宋体"/>
          <w:color w:val="auto"/>
          <w:sz w:val="24"/>
        </w:rPr>
      </w:pPr>
    </w:p>
    <w:p w14:paraId="18C86A8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09E4880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法定代表人电话：XXXXXXX      电子邮箱：XXXXXX@XXXXX（若授权他人办理并签署响应文件的可不填写）</w:t>
      </w:r>
    </w:p>
    <w:p w14:paraId="508D0BCB">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（附：法定代表人身份证正反面复印件）</w:t>
      </w:r>
    </w:p>
    <w:p w14:paraId="443A0DB2">
      <w:pPr>
        <w:tabs>
          <w:tab w:val="left" w:pos="6300"/>
        </w:tabs>
        <w:snapToGrid w:val="0"/>
        <w:spacing w:line="500" w:lineRule="exact"/>
        <w:ind w:firstLine="570"/>
        <w:rPr>
          <w:rFonts w:hint="eastAsia" w:ascii="宋体" w:hAnsi="宋体" w:eastAsia="宋体" w:cs="宋体"/>
          <w:color w:val="auto"/>
          <w:sz w:val="24"/>
        </w:rPr>
      </w:pPr>
    </w:p>
    <w:p w14:paraId="47835055">
      <w:pPr>
        <w:tabs>
          <w:tab w:val="left" w:pos="6300"/>
        </w:tabs>
        <w:snapToGrid w:val="0"/>
        <w:spacing w:line="500" w:lineRule="exact"/>
        <w:ind w:firstLine="570"/>
        <w:rPr>
          <w:rFonts w:hint="eastAsia" w:ascii="宋体" w:hAnsi="宋体" w:eastAsia="宋体" w:cs="宋体"/>
          <w:color w:val="auto"/>
          <w:sz w:val="24"/>
        </w:rPr>
      </w:pPr>
    </w:p>
    <w:p w14:paraId="06D9ADD0">
      <w:pPr>
        <w:tabs>
          <w:tab w:val="left" w:pos="6300"/>
        </w:tabs>
        <w:snapToGrid w:val="0"/>
        <w:spacing w:line="500" w:lineRule="exact"/>
        <w:ind w:firstLine="570"/>
        <w:rPr>
          <w:rFonts w:hint="eastAsia" w:ascii="宋体" w:hAnsi="宋体" w:eastAsia="宋体" w:cs="宋体"/>
          <w:color w:val="auto"/>
          <w:sz w:val="24"/>
        </w:rPr>
      </w:pPr>
    </w:p>
    <w:p w14:paraId="298179F9">
      <w:pPr>
        <w:tabs>
          <w:tab w:val="left" w:pos="6300"/>
        </w:tabs>
        <w:snapToGrid w:val="0"/>
        <w:spacing w:line="500" w:lineRule="exact"/>
        <w:ind w:firstLine="570"/>
        <w:rPr>
          <w:rFonts w:hint="eastAsia" w:ascii="宋体" w:hAnsi="宋体" w:eastAsia="宋体" w:cs="宋体"/>
          <w:color w:val="auto"/>
          <w:sz w:val="24"/>
        </w:rPr>
      </w:pPr>
    </w:p>
    <w:p w14:paraId="2358EE94">
      <w:pPr>
        <w:tabs>
          <w:tab w:val="left" w:pos="6300"/>
        </w:tabs>
        <w:snapToGrid w:val="0"/>
        <w:spacing w:line="500" w:lineRule="exact"/>
        <w:ind w:firstLine="570"/>
        <w:rPr>
          <w:rFonts w:hint="eastAsia" w:ascii="宋体" w:hAnsi="宋体" w:eastAsia="宋体" w:cs="宋体"/>
          <w:color w:val="auto"/>
          <w:sz w:val="24"/>
        </w:rPr>
      </w:pPr>
    </w:p>
    <w:p w14:paraId="5672F071">
      <w:pPr>
        <w:tabs>
          <w:tab w:val="left" w:pos="6300"/>
        </w:tabs>
        <w:snapToGrid w:val="0"/>
        <w:spacing w:line="500" w:lineRule="exact"/>
        <w:ind w:firstLine="570"/>
        <w:rPr>
          <w:rFonts w:hint="eastAsia" w:ascii="宋体" w:hAnsi="宋体" w:eastAsia="宋体" w:cs="宋体"/>
          <w:color w:val="auto"/>
          <w:sz w:val="24"/>
        </w:rPr>
      </w:pPr>
    </w:p>
    <w:p w14:paraId="3E14934E">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（三）法定代表人授权委托书（格式）</w:t>
      </w:r>
    </w:p>
    <w:p w14:paraId="2D71C69F">
      <w:pPr>
        <w:tabs>
          <w:tab w:val="left" w:pos="6300"/>
        </w:tabs>
        <w:snapToGrid w:val="0"/>
        <w:spacing w:line="500" w:lineRule="exact"/>
        <w:ind w:firstLine="570"/>
        <w:rPr>
          <w:rFonts w:hint="eastAsia" w:ascii="宋体" w:hAnsi="宋体" w:eastAsia="宋体" w:cs="宋体"/>
          <w:color w:val="auto"/>
          <w:sz w:val="24"/>
        </w:rPr>
      </w:pPr>
    </w:p>
    <w:p w14:paraId="02D68B42">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8"/>
        </w:rPr>
        <w:t>磋商项目名称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14:paraId="624A9B88">
      <w:pPr>
        <w:tabs>
          <w:tab w:val="left" w:pos="6300"/>
        </w:tabs>
        <w:snapToGrid w:val="0"/>
        <w:spacing w:line="500" w:lineRule="exact"/>
        <w:ind w:firstLine="570"/>
        <w:rPr>
          <w:rFonts w:hint="eastAsia" w:ascii="宋体" w:hAnsi="宋体" w:eastAsia="宋体" w:cs="宋体"/>
          <w:color w:val="auto"/>
          <w:sz w:val="24"/>
        </w:rPr>
      </w:pPr>
    </w:p>
    <w:p w14:paraId="58C0797F">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5CD45242">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（供应商法定代表人名称）是</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（供应商名称）的法定代表人，特授权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（被授权人姓名及身份证代码）代表我单位全权办理上述项目的磋商、签约等具体工作，并签署全部有关文件、协议及合同。</w:t>
      </w:r>
    </w:p>
    <w:p w14:paraId="6233F074">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我单位对被授权人的</w:t>
      </w:r>
      <w:r>
        <w:rPr>
          <w:rFonts w:hint="eastAsia" w:ascii="宋体" w:hAnsi="宋体" w:eastAsia="宋体" w:cs="宋体"/>
          <w:color w:val="auto"/>
          <w:sz w:val="24"/>
          <w:szCs w:val="28"/>
        </w:rPr>
        <w:t>签署</w:t>
      </w:r>
      <w:r>
        <w:rPr>
          <w:rFonts w:hint="eastAsia" w:ascii="宋体" w:hAnsi="宋体" w:eastAsia="宋体" w:cs="宋体"/>
          <w:color w:val="auto"/>
          <w:sz w:val="24"/>
        </w:rPr>
        <w:t>负全部责任。</w:t>
      </w:r>
    </w:p>
    <w:p w14:paraId="054FB011">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在撤销授权的书面通知以前，本授权书一直有效。被授权人在授权书有效期内签署的所有文件不因授权的撤销而失效。</w:t>
      </w:r>
    </w:p>
    <w:p w14:paraId="2811E9CC">
      <w:pPr>
        <w:tabs>
          <w:tab w:val="left" w:pos="6300"/>
        </w:tabs>
        <w:snapToGrid w:val="0"/>
        <w:spacing w:line="500" w:lineRule="exact"/>
        <w:ind w:firstLine="570"/>
        <w:rPr>
          <w:rFonts w:hint="eastAsia" w:ascii="宋体" w:hAnsi="宋体" w:eastAsia="宋体" w:cs="宋体"/>
          <w:color w:val="auto"/>
          <w:sz w:val="24"/>
        </w:rPr>
      </w:pPr>
    </w:p>
    <w:p w14:paraId="3256D4C4">
      <w:pPr>
        <w:tabs>
          <w:tab w:val="left" w:pos="6300"/>
        </w:tabs>
        <w:snapToGrid w:val="0"/>
        <w:spacing w:line="500" w:lineRule="exact"/>
        <w:ind w:firstLine="570"/>
        <w:rPr>
          <w:rFonts w:hint="eastAsia" w:ascii="宋体" w:hAnsi="宋体" w:eastAsia="宋体" w:cs="宋体"/>
          <w:color w:val="auto"/>
          <w:sz w:val="24"/>
        </w:rPr>
      </w:pPr>
    </w:p>
    <w:p w14:paraId="6BE799A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被授权人：                                 供应商法定代表人：</w:t>
      </w:r>
    </w:p>
    <w:p w14:paraId="37FB2154">
      <w:pPr>
        <w:tabs>
          <w:tab w:val="left" w:pos="6300"/>
        </w:tabs>
        <w:snapToGrid w:val="0"/>
        <w:spacing w:line="500" w:lineRule="exact"/>
        <w:ind w:firstLine="570"/>
        <w:rPr>
          <w:rFonts w:hint="eastAsia" w:ascii="宋体" w:hAnsi="宋体" w:eastAsia="宋体" w:cs="宋体"/>
          <w:color w:val="auto"/>
          <w:sz w:val="24"/>
          <w:szCs w:val="28"/>
        </w:rPr>
      </w:pPr>
      <w:r>
        <w:rPr>
          <w:rFonts w:hint="eastAsia" w:ascii="宋体" w:hAnsi="宋体" w:eastAsia="宋体" w:cs="宋体"/>
          <w:color w:val="auto"/>
          <w:sz w:val="24"/>
          <w:szCs w:val="28"/>
        </w:rPr>
        <w:t>（签署或盖章）                                （签署或盖章）</w:t>
      </w:r>
    </w:p>
    <w:p w14:paraId="10F74ED2">
      <w:pPr>
        <w:tabs>
          <w:tab w:val="left" w:pos="6300"/>
        </w:tabs>
        <w:snapToGrid w:val="0"/>
        <w:spacing w:line="500" w:lineRule="exact"/>
        <w:ind w:firstLine="570"/>
        <w:rPr>
          <w:rFonts w:hint="eastAsia" w:ascii="宋体" w:hAnsi="宋体" w:eastAsia="宋体" w:cs="宋体"/>
          <w:color w:val="auto"/>
          <w:sz w:val="24"/>
          <w:szCs w:val="28"/>
        </w:rPr>
      </w:pPr>
    </w:p>
    <w:p w14:paraId="7E713BDC">
      <w:pPr>
        <w:tabs>
          <w:tab w:val="left" w:pos="6300"/>
        </w:tabs>
        <w:snapToGrid w:val="0"/>
        <w:spacing w:line="500" w:lineRule="exact"/>
        <w:ind w:firstLine="570"/>
        <w:rPr>
          <w:rFonts w:hint="eastAsia" w:ascii="宋体" w:hAnsi="宋体" w:eastAsia="宋体" w:cs="宋体"/>
          <w:color w:val="auto"/>
          <w:sz w:val="24"/>
        </w:rPr>
      </w:pPr>
    </w:p>
    <w:p w14:paraId="7A91CAE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（附：被授权人身份证正反面复印件）</w:t>
      </w:r>
    </w:p>
    <w:p w14:paraId="31DC79E9">
      <w:pPr>
        <w:tabs>
          <w:tab w:val="left" w:pos="6300"/>
        </w:tabs>
        <w:snapToGrid w:val="0"/>
        <w:spacing w:line="500" w:lineRule="exact"/>
        <w:ind w:firstLine="570"/>
        <w:rPr>
          <w:rFonts w:hint="eastAsia" w:ascii="宋体" w:hAnsi="宋体" w:eastAsia="宋体" w:cs="宋体"/>
          <w:color w:val="auto"/>
          <w:sz w:val="24"/>
        </w:rPr>
      </w:pPr>
    </w:p>
    <w:p w14:paraId="2F304005">
      <w:pPr>
        <w:tabs>
          <w:tab w:val="left" w:pos="6300"/>
        </w:tabs>
        <w:snapToGrid w:val="0"/>
        <w:spacing w:line="500" w:lineRule="exact"/>
        <w:ind w:firstLine="570"/>
        <w:rPr>
          <w:rFonts w:hint="eastAsia" w:ascii="宋体" w:hAnsi="宋体" w:eastAsia="宋体" w:cs="宋体"/>
          <w:color w:val="auto"/>
          <w:sz w:val="24"/>
        </w:rPr>
      </w:pPr>
    </w:p>
    <w:p w14:paraId="3EC45BF0">
      <w:pPr>
        <w:tabs>
          <w:tab w:val="left" w:pos="6300"/>
        </w:tabs>
        <w:snapToGrid w:val="0"/>
        <w:spacing w:line="500" w:lineRule="exact"/>
        <w:ind w:firstLine="570"/>
        <w:rPr>
          <w:rFonts w:hint="eastAsia" w:ascii="宋体" w:hAnsi="宋体" w:eastAsia="宋体" w:cs="宋体"/>
          <w:color w:val="auto"/>
          <w:sz w:val="24"/>
        </w:rPr>
      </w:pPr>
    </w:p>
    <w:p w14:paraId="7B6E5D91">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7363D16C">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14:paraId="463B93F2">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被授权人电话：XXXXXXX     电子邮箱：XXXXXX@XXXXX（若法定代表人办理并签署响应文件的可不填写）</w:t>
      </w:r>
    </w:p>
    <w:p w14:paraId="70D6985F">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注：若为法定代表人办理并签署响应文件的，不提供此文件。</w:t>
      </w:r>
    </w:p>
    <w:p w14:paraId="118B5025">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（四）</w:t>
      </w:r>
      <w:r>
        <w:rPr>
          <w:rFonts w:hint="eastAsia" w:ascii="宋体" w:hAnsi="宋体" w:eastAsia="宋体" w:cs="宋体"/>
          <w:color w:val="auto"/>
          <w:sz w:val="24"/>
          <w:szCs w:val="28"/>
        </w:rPr>
        <w:t>基本资格条件承诺函</w:t>
      </w:r>
    </w:p>
    <w:p w14:paraId="33A65872">
      <w:pPr>
        <w:tabs>
          <w:tab w:val="left" w:pos="6300"/>
        </w:tabs>
        <w:snapToGrid w:val="0"/>
        <w:spacing w:line="50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基本资格条件承诺函</w:t>
      </w:r>
    </w:p>
    <w:p w14:paraId="4FB60288">
      <w:pPr>
        <w:tabs>
          <w:tab w:val="left" w:pos="6300"/>
        </w:tabs>
        <w:snapToGrid w:val="0"/>
        <w:spacing w:line="530" w:lineRule="exact"/>
        <w:rPr>
          <w:rFonts w:hint="eastAsia" w:ascii="宋体" w:hAnsi="宋体" w:eastAsia="宋体" w:cs="宋体"/>
          <w:color w:val="auto"/>
          <w:sz w:val="24"/>
        </w:rPr>
      </w:pPr>
    </w:p>
    <w:p w14:paraId="79B29111">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6B96510B">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（供应商名称）郑重承诺：</w:t>
      </w:r>
    </w:p>
    <w:p w14:paraId="54269D6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1.我方具有良好的商业信誉和健全的财务会计制度，具有履行合同所必需的设备和专业技术能力，具</w:t>
      </w:r>
      <w:r>
        <w:rPr>
          <w:rFonts w:hint="eastAsia" w:ascii="宋体" w:hAnsi="宋体" w:eastAsia="宋体" w:cs="宋体"/>
          <w:color w:val="auto"/>
          <w:sz w:val="24"/>
          <w:lang w:val="zh-CN"/>
        </w:rPr>
        <w:t>有依法缴纳税收和社会保障金的良好记录</w:t>
      </w:r>
      <w:r>
        <w:rPr>
          <w:rFonts w:hint="eastAsia" w:ascii="宋体" w:hAnsi="宋体" w:eastAsia="宋体" w:cs="宋体"/>
          <w:color w:val="auto"/>
          <w:sz w:val="24"/>
        </w:rPr>
        <w:t>，参加本项目采购活动前三年内无重大违法活动记录。</w:t>
      </w:r>
    </w:p>
    <w:p w14:paraId="3D31B371">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F9AC4E2">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1EB8843A">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57B38FF5">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14:paraId="50FBB7D3">
      <w:pPr>
        <w:tabs>
          <w:tab w:val="left" w:pos="6300"/>
        </w:tabs>
        <w:snapToGrid w:val="0"/>
        <w:spacing w:line="500" w:lineRule="exact"/>
        <w:ind w:firstLine="480" w:firstLineChars="200"/>
        <w:rPr>
          <w:rFonts w:hint="eastAsia" w:ascii="宋体" w:hAnsi="宋体" w:eastAsia="宋体" w:cs="宋体"/>
          <w:color w:val="auto"/>
          <w:sz w:val="24"/>
        </w:rPr>
      </w:pPr>
    </w:p>
    <w:p w14:paraId="01E3BA4E">
      <w:pPr>
        <w:tabs>
          <w:tab w:val="left" w:pos="6300"/>
        </w:tabs>
        <w:snapToGrid w:val="0"/>
        <w:spacing w:line="5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4B92349C">
      <w:pPr>
        <w:tabs>
          <w:tab w:val="left" w:pos="6300"/>
        </w:tabs>
        <w:snapToGrid w:val="0"/>
        <w:spacing w:line="500" w:lineRule="exact"/>
        <w:ind w:firstLine="7920" w:firstLineChars="3300"/>
        <w:rPr>
          <w:rFonts w:hint="eastAsia" w:ascii="宋体" w:hAnsi="宋体" w:eastAsia="宋体" w:cs="宋体"/>
          <w:color w:val="auto"/>
          <w:sz w:val="24"/>
          <w:szCs w:val="24"/>
        </w:rPr>
      </w:pPr>
      <w:r>
        <w:rPr>
          <w:rFonts w:hint="eastAsia" w:ascii="宋体" w:hAnsi="宋体" w:eastAsia="宋体" w:cs="宋体"/>
          <w:color w:val="auto"/>
          <w:sz w:val="24"/>
        </w:rPr>
        <w:t>年   月   日</w:t>
      </w:r>
    </w:p>
    <w:p w14:paraId="2AF3B6AF">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（五）特定资格条件证书或证明文件</w:t>
      </w:r>
    </w:p>
    <w:p w14:paraId="1E72EE0A">
      <w:pPr>
        <w:tabs>
          <w:tab w:val="left" w:pos="6300"/>
        </w:tabs>
        <w:snapToGrid w:val="0"/>
        <w:spacing w:line="400" w:lineRule="exact"/>
        <w:ind w:firstLine="480" w:firstLineChars="200"/>
        <w:rPr>
          <w:rFonts w:hint="eastAsia" w:ascii="宋体" w:hAnsi="宋体" w:eastAsia="宋体" w:cs="宋体"/>
          <w:color w:val="auto"/>
          <w:sz w:val="24"/>
          <w:szCs w:val="24"/>
        </w:rPr>
      </w:pPr>
    </w:p>
    <w:p w14:paraId="0082A702">
      <w:pPr>
        <w:pStyle w:val="4"/>
        <w:numPr>
          <w:ilvl w:val="1"/>
          <w:numId w:val="0"/>
        </w:numPr>
        <w:adjustRightInd w:val="0"/>
        <w:snapToGrid w:val="0"/>
        <w:spacing w:line="400" w:lineRule="exact"/>
        <w:ind w:left="560" w:leftChars="200"/>
        <w:rPr>
          <w:rFonts w:hint="eastAsia" w:ascii="宋体" w:hAnsi="宋体" w:eastAsia="宋体" w:cs="宋体"/>
          <w:color w:val="auto"/>
          <w:sz w:val="28"/>
        </w:rPr>
        <w:sectPr>
          <w:pgSz w:w="11907" w:h="16840"/>
          <w:pgMar w:top="1134" w:right="1191" w:bottom="1134" w:left="1304" w:header="851" w:footer="992" w:gutter="0"/>
          <w:pgNumType w:fmt="numberInDash"/>
          <w:cols w:space="720" w:num="1"/>
          <w:docGrid w:linePitch="380" w:charSpace="-5735"/>
        </w:sectPr>
      </w:pPr>
      <w:bookmarkStart w:id="1272" w:name="_Toc14422"/>
      <w:r>
        <w:rPr>
          <w:rFonts w:hint="eastAsia" w:ascii="宋体" w:hAnsi="宋体" w:eastAsia="宋体" w:cs="宋体"/>
          <w:color w:val="auto"/>
          <w:sz w:val="28"/>
        </w:rPr>
        <w:br w:type="page"/>
      </w:r>
      <w:bookmarkStart w:id="1273" w:name="_Toc31035"/>
      <w:bookmarkStart w:id="1274" w:name="_Toc106030910"/>
      <w:bookmarkStart w:id="1275" w:name="_Toc18889"/>
      <w:bookmarkStart w:id="1276" w:name="_Toc21904"/>
      <w:bookmarkStart w:id="1277" w:name="_Toc76462354"/>
      <w:bookmarkStart w:id="1278" w:name="_Toc19332"/>
      <w:bookmarkStart w:id="1279" w:name="_Toc25441"/>
    </w:p>
    <w:p w14:paraId="1239F08D">
      <w:pPr>
        <w:pStyle w:val="4"/>
        <w:numPr>
          <w:ilvl w:val="1"/>
          <w:numId w:val="0"/>
        </w:numPr>
        <w:adjustRightInd w:val="0"/>
        <w:snapToGrid w:val="0"/>
        <w:spacing w:line="400" w:lineRule="exact"/>
        <w:ind w:left="560" w:leftChars="200"/>
        <w:rPr>
          <w:rFonts w:hint="eastAsia" w:ascii="宋体" w:hAnsi="宋体" w:eastAsia="宋体" w:cs="宋体"/>
          <w:color w:val="auto"/>
          <w:sz w:val="24"/>
        </w:rPr>
      </w:pPr>
      <w:bookmarkStart w:id="1280" w:name="_Toc12500"/>
      <w:r>
        <w:rPr>
          <w:rFonts w:hint="eastAsia" w:ascii="宋体" w:hAnsi="宋体" w:eastAsia="宋体" w:cs="宋体"/>
          <w:b/>
          <w:bCs w:val="0"/>
          <w:color w:val="auto"/>
          <w:sz w:val="24"/>
        </w:rPr>
        <w:t>五、其他资料</w:t>
      </w:r>
      <w:bookmarkEnd w:id="1272"/>
      <w:bookmarkEnd w:id="1273"/>
      <w:bookmarkEnd w:id="1274"/>
      <w:bookmarkEnd w:id="1275"/>
      <w:bookmarkEnd w:id="1276"/>
      <w:bookmarkEnd w:id="1277"/>
      <w:bookmarkEnd w:id="1278"/>
      <w:bookmarkEnd w:id="1279"/>
      <w:bookmarkEnd w:id="1280"/>
    </w:p>
    <w:p w14:paraId="1ED6450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其他与项目有关的资料</w:t>
      </w:r>
    </w:p>
    <w:p w14:paraId="592DAB0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其他与项目有关的资料（自附）：供应商总体情况介绍、其他与本项目有关的资料等。</w:t>
      </w:r>
    </w:p>
    <w:p w14:paraId="532E177C">
      <w:pPr>
        <w:spacing w:line="400" w:lineRule="exact"/>
        <w:ind w:firstLine="480" w:firstLineChars="200"/>
        <w:rPr>
          <w:rFonts w:hint="eastAsia" w:ascii="宋体" w:hAnsi="宋体" w:eastAsia="宋体" w:cs="宋体"/>
          <w:color w:val="auto"/>
          <w:sz w:val="24"/>
          <w:szCs w:val="24"/>
        </w:rPr>
      </w:pPr>
    </w:p>
    <w:p w14:paraId="2B899833">
      <w:pPr>
        <w:bidi w:val="0"/>
        <w:rPr>
          <w:rFonts w:hint="eastAsia" w:ascii="宋体" w:hAnsi="宋体" w:eastAsia="宋体" w:cs="宋体"/>
          <w:color w:val="auto"/>
        </w:rPr>
      </w:pPr>
    </w:p>
    <w:p w14:paraId="5CD7282A">
      <w:pPr>
        <w:bidi w:val="0"/>
        <w:rPr>
          <w:rFonts w:hint="eastAsia" w:ascii="宋体" w:hAnsi="宋体" w:eastAsia="宋体" w:cs="宋体"/>
          <w:color w:val="auto"/>
        </w:rPr>
      </w:pPr>
    </w:p>
    <w:p w14:paraId="499A7CF0">
      <w:pPr>
        <w:bidi w:val="0"/>
        <w:rPr>
          <w:rFonts w:hint="eastAsia" w:ascii="宋体" w:hAnsi="宋体" w:eastAsia="宋体" w:cs="宋体"/>
          <w:color w:val="auto"/>
        </w:rPr>
      </w:pPr>
    </w:p>
    <w:p w14:paraId="6D98EF25">
      <w:pPr>
        <w:bidi w:val="0"/>
        <w:rPr>
          <w:rFonts w:hint="eastAsia" w:ascii="宋体" w:hAnsi="宋体" w:eastAsia="宋体" w:cs="宋体"/>
          <w:color w:val="auto"/>
        </w:rPr>
      </w:pPr>
    </w:p>
    <w:p w14:paraId="6858C0D8">
      <w:pPr>
        <w:bidi w:val="0"/>
        <w:rPr>
          <w:rFonts w:hint="eastAsia" w:ascii="宋体" w:hAnsi="宋体" w:eastAsia="宋体" w:cs="宋体"/>
          <w:color w:val="auto"/>
        </w:rPr>
      </w:pPr>
    </w:p>
    <w:p w14:paraId="711477CD">
      <w:pPr>
        <w:bidi w:val="0"/>
        <w:rPr>
          <w:rFonts w:hint="eastAsia" w:ascii="宋体" w:hAnsi="宋体" w:eastAsia="宋体" w:cs="宋体"/>
          <w:color w:val="auto"/>
        </w:rPr>
      </w:pPr>
    </w:p>
    <w:p w14:paraId="041475CA">
      <w:pPr>
        <w:bidi w:val="0"/>
        <w:rPr>
          <w:rFonts w:hint="eastAsia" w:ascii="宋体" w:hAnsi="宋体" w:eastAsia="宋体" w:cs="宋体"/>
          <w:color w:val="auto"/>
        </w:rPr>
      </w:pPr>
    </w:p>
    <w:p w14:paraId="643D16EC">
      <w:pPr>
        <w:bidi w:val="0"/>
        <w:rPr>
          <w:rFonts w:hint="eastAsia" w:ascii="宋体" w:hAnsi="宋体" w:eastAsia="宋体" w:cs="宋体"/>
          <w:color w:val="auto"/>
        </w:rPr>
      </w:pPr>
    </w:p>
    <w:p w14:paraId="1BE46BFE">
      <w:pPr>
        <w:bidi w:val="0"/>
        <w:rPr>
          <w:rFonts w:hint="eastAsia" w:ascii="宋体" w:hAnsi="宋体" w:eastAsia="宋体" w:cs="宋体"/>
          <w:color w:val="auto"/>
        </w:rPr>
      </w:pPr>
    </w:p>
    <w:p w14:paraId="68DF9DF1">
      <w:pPr>
        <w:bidi w:val="0"/>
        <w:rPr>
          <w:rFonts w:hint="eastAsia" w:ascii="宋体" w:hAnsi="宋体" w:eastAsia="宋体" w:cs="宋体"/>
          <w:color w:val="auto"/>
        </w:rPr>
      </w:pPr>
    </w:p>
    <w:p w14:paraId="2DD5C0DD">
      <w:pPr>
        <w:spacing w:line="360" w:lineRule="auto"/>
        <w:ind w:firstLine="480" w:firstLineChars="200"/>
        <w:rPr>
          <w:rFonts w:hint="eastAsia" w:ascii="宋体" w:hAnsi="宋体" w:eastAsia="宋体" w:cs="宋体"/>
          <w:color w:val="auto"/>
          <w:sz w:val="24"/>
          <w:szCs w:val="24"/>
        </w:rPr>
      </w:pPr>
    </w:p>
    <w:p w14:paraId="1054FFF8">
      <w:pPr>
        <w:spacing w:line="360" w:lineRule="auto"/>
        <w:ind w:firstLine="480" w:firstLineChars="200"/>
        <w:rPr>
          <w:rFonts w:hint="eastAsia" w:ascii="宋体" w:hAnsi="宋体" w:eastAsia="宋体" w:cs="宋体"/>
          <w:color w:val="auto"/>
          <w:sz w:val="24"/>
          <w:szCs w:val="24"/>
        </w:rPr>
      </w:pPr>
    </w:p>
    <w:p w14:paraId="598B9F91">
      <w:pPr>
        <w:bidi w:val="0"/>
        <w:rPr>
          <w:rFonts w:hint="eastAsia" w:ascii="宋体" w:hAnsi="宋体" w:eastAsia="宋体" w:cs="宋体"/>
          <w:color w:val="auto"/>
        </w:rPr>
      </w:pPr>
    </w:p>
    <w:p w14:paraId="7BBEBC82">
      <w:pPr>
        <w:bidi w:val="0"/>
        <w:rPr>
          <w:rFonts w:hint="eastAsia" w:ascii="宋体" w:hAnsi="宋体" w:eastAsia="宋体" w:cs="宋体"/>
          <w:color w:val="auto"/>
        </w:rPr>
      </w:pPr>
    </w:p>
    <w:p w14:paraId="4832D823">
      <w:pPr>
        <w:bidi w:val="0"/>
        <w:rPr>
          <w:rFonts w:hint="eastAsia" w:ascii="宋体" w:hAnsi="宋体" w:eastAsia="宋体" w:cs="宋体"/>
          <w:color w:val="auto"/>
        </w:rPr>
      </w:pPr>
    </w:p>
    <w:p w14:paraId="697DF78E">
      <w:pPr>
        <w:bidi w:val="0"/>
        <w:rPr>
          <w:rFonts w:hint="eastAsia" w:ascii="宋体" w:hAnsi="宋体" w:eastAsia="宋体" w:cs="宋体"/>
          <w:color w:val="auto"/>
        </w:rPr>
      </w:pPr>
    </w:p>
    <w:p w14:paraId="6B1FE1CE">
      <w:pPr>
        <w:bidi w:val="0"/>
        <w:rPr>
          <w:rFonts w:hint="eastAsia" w:ascii="宋体" w:hAnsi="宋体" w:eastAsia="宋体" w:cs="宋体"/>
          <w:color w:val="auto"/>
        </w:rPr>
      </w:pPr>
    </w:p>
    <w:p w14:paraId="0EECA77A">
      <w:pPr>
        <w:bidi w:val="0"/>
        <w:rPr>
          <w:rFonts w:hint="eastAsia" w:ascii="宋体" w:hAnsi="宋体" w:eastAsia="宋体" w:cs="宋体"/>
          <w:color w:val="auto"/>
        </w:rPr>
      </w:pPr>
    </w:p>
    <w:p w14:paraId="2D129B29">
      <w:pPr>
        <w:bidi w:val="0"/>
        <w:rPr>
          <w:rFonts w:hint="eastAsia" w:ascii="宋体" w:hAnsi="宋体" w:eastAsia="宋体" w:cs="宋体"/>
          <w:color w:val="auto"/>
        </w:rPr>
      </w:pPr>
    </w:p>
    <w:p w14:paraId="4F85E72F">
      <w:pPr>
        <w:bidi w:val="0"/>
        <w:rPr>
          <w:rFonts w:hint="eastAsia" w:ascii="宋体" w:hAnsi="宋体" w:eastAsia="宋体" w:cs="宋体"/>
          <w:color w:val="auto"/>
        </w:rPr>
      </w:pPr>
    </w:p>
    <w:p w14:paraId="434C1855">
      <w:pPr>
        <w:bidi w:val="0"/>
        <w:rPr>
          <w:rFonts w:hint="eastAsia" w:ascii="宋体" w:hAnsi="宋体" w:eastAsia="宋体" w:cs="宋体"/>
          <w:color w:val="auto"/>
        </w:rPr>
      </w:pPr>
    </w:p>
    <w:p w14:paraId="576B614C">
      <w:pPr>
        <w:bidi w:val="0"/>
        <w:rPr>
          <w:rFonts w:hint="eastAsia" w:ascii="宋体" w:hAnsi="宋体" w:eastAsia="宋体" w:cs="宋体"/>
          <w:color w:val="auto"/>
        </w:rPr>
      </w:pPr>
    </w:p>
    <w:p w14:paraId="35327ADA">
      <w:pPr>
        <w:bidi w:val="0"/>
        <w:rPr>
          <w:rFonts w:hint="eastAsia" w:ascii="宋体" w:hAnsi="宋体" w:eastAsia="宋体" w:cs="宋体"/>
          <w:color w:val="auto"/>
        </w:rPr>
      </w:pPr>
    </w:p>
    <w:p w14:paraId="00F9B8C4">
      <w:pPr>
        <w:bidi w:val="0"/>
        <w:rPr>
          <w:rFonts w:hint="eastAsia" w:ascii="宋体" w:hAnsi="宋体" w:eastAsia="宋体" w:cs="宋体"/>
          <w:color w:val="auto"/>
        </w:rPr>
      </w:pPr>
    </w:p>
    <w:p w14:paraId="6E65576F">
      <w:pPr>
        <w:bidi w:val="0"/>
        <w:rPr>
          <w:rFonts w:hint="eastAsia" w:ascii="宋体" w:hAnsi="宋体" w:eastAsia="宋体" w:cs="宋体"/>
          <w:color w:val="auto"/>
        </w:rPr>
      </w:pPr>
    </w:p>
    <w:p w14:paraId="41F1DB52">
      <w:pPr>
        <w:bidi w:val="0"/>
        <w:rPr>
          <w:rFonts w:hint="eastAsia" w:ascii="宋体" w:hAnsi="宋体" w:eastAsia="宋体" w:cs="宋体"/>
          <w:color w:val="auto"/>
        </w:rPr>
      </w:pPr>
    </w:p>
    <w:p w14:paraId="1E863E6C">
      <w:pPr>
        <w:bidi w:val="0"/>
        <w:rPr>
          <w:rFonts w:hint="eastAsia" w:ascii="宋体" w:hAnsi="宋体" w:eastAsia="宋体" w:cs="宋体"/>
          <w:color w:val="auto"/>
        </w:rPr>
      </w:pPr>
    </w:p>
    <w:p w14:paraId="1AE3C31E">
      <w:pPr>
        <w:bidi w:val="0"/>
        <w:rPr>
          <w:rFonts w:hint="eastAsia" w:ascii="宋体" w:hAnsi="宋体" w:eastAsia="宋体" w:cs="宋体"/>
          <w:color w:val="auto"/>
        </w:rPr>
      </w:pPr>
    </w:p>
    <w:p w14:paraId="7D615175">
      <w:pPr>
        <w:spacing w:line="360" w:lineRule="auto"/>
        <w:ind w:firstLine="480" w:firstLineChars="200"/>
        <w:rPr>
          <w:rFonts w:hint="eastAsia" w:ascii="宋体" w:hAnsi="宋体" w:eastAsia="宋体" w:cs="宋体"/>
          <w:color w:val="auto"/>
          <w:sz w:val="24"/>
          <w:szCs w:val="24"/>
        </w:rPr>
      </w:pPr>
    </w:p>
    <w:p w14:paraId="2248FE8F">
      <w:pPr>
        <w:spacing w:line="360" w:lineRule="auto"/>
        <w:jc w:val="center"/>
        <w:outlineLvl w:val="0"/>
        <w:rPr>
          <w:rFonts w:hint="eastAsia" w:ascii="宋体" w:hAnsi="宋体" w:eastAsia="宋体" w:cs="宋体"/>
          <w:color w:val="auto"/>
        </w:rPr>
      </w:pPr>
      <w:bookmarkStart w:id="1281" w:name="_Toc4009"/>
      <w:r>
        <w:rPr>
          <w:rFonts w:hint="eastAsia" w:ascii="宋体" w:hAnsi="宋体" w:eastAsia="宋体" w:cs="宋体"/>
          <w:color w:val="auto"/>
          <w:sz w:val="24"/>
          <w:szCs w:val="24"/>
        </w:rPr>
        <w:t>（结束）</w:t>
      </w:r>
      <w:bookmarkEnd w:id="1281"/>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FEF892B-A670-4BD7-9676-91B0A862F1DB}"/>
  </w:font>
  <w:font w:name="方正小标宋_GBK">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79C017F-5E05-47ED-9976-C3FFA737B0C7}"/>
  </w:font>
  <w:font w:name="Calibri Light">
    <w:panose1 w:val="020F0302020204030204"/>
    <w:charset w:val="00"/>
    <w:family w:val="swiss"/>
    <w:pitch w:val="default"/>
    <w:sig w:usb0="A00002EF" w:usb1="4000207B" w:usb2="00000000" w:usb3="00000000" w:csb0="2000019F"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3" w:fontKey="{813ACD68-0D9A-43EC-886D-BD0FECEED807}"/>
  </w:font>
  <w:font w:name="仿宋_GB2312">
    <w:altName w:val="宋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E97BC">
    <w:pPr>
      <w:pStyle w:val="22"/>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4590A4A4">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AE2A">
    <w:pPr>
      <w:pStyle w:val="22"/>
      <w:framePr w:wrap="around" w:vAnchor="text" w:hAnchor="margin" w:xAlign="center" w:y="1"/>
      <w:rPr>
        <w:rStyle w:val="34"/>
      </w:rPr>
    </w:pPr>
    <w:r>
      <w:fldChar w:fldCharType="begin"/>
    </w:r>
    <w:r>
      <w:rPr>
        <w:rStyle w:val="34"/>
      </w:rPr>
      <w:instrText xml:space="preserve">PAGE  </w:instrText>
    </w:r>
    <w:r>
      <w:fldChar w:fldCharType="end"/>
    </w:r>
  </w:p>
  <w:p w14:paraId="7846EDD9">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3B95">
    <w:pPr>
      <w:pStyle w:val="22"/>
      <w:framePr w:wrap="around" w:vAnchor="text" w:hAnchor="margin" w:xAlign="center" w:y="1"/>
      <w:rPr>
        <w:rStyle w:val="34"/>
      </w:rPr>
    </w:pPr>
  </w:p>
  <w:p w14:paraId="1C70F173">
    <w:pPr>
      <w:pStyle w:val="2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1468">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5CEA">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43A98">
                          <w:pPr>
                            <w:pStyle w:val="2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043A98">
                    <w:pPr>
                      <w:pStyle w:val="2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91B0">
    <w:pPr>
      <w:pStyle w:val="22"/>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ECD77">
                          <w:pPr>
                            <w:pStyle w:val="2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7ECD77">
                    <w:pPr>
                      <w:pStyle w:val="2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E8BE">
    <w:pPr>
      <w:pStyle w:val="22"/>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B660">
                          <w:pPr>
                            <w:pStyle w:val="22"/>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A9B660">
                    <w:pPr>
                      <w:pStyle w:val="22"/>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156A8">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2"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微软雅黑" w:hAnsi="微软雅黑" w:eastAsia="微软雅黑" w:cs="微软雅黑"/>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D2C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C212">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微软雅黑" w:hAnsi="微软雅黑" w:eastAsia="微软雅黑" w:cs="微软雅黑"/>
        <w:sz w:val="24"/>
        <w:szCs w:val="24"/>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B7D8">
    <w:pPr>
      <w:pBdr>
        <w:bottom w:val="single" w:color="auto" w:sz="4" w:space="0"/>
      </w:pBdr>
    </w:pPr>
    <w:r>
      <w:rPr>
        <w:rFonts w:hint="eastAsia" w:ascii="宋体" w:hAnsi="宋体" w:cs="宋体"/>
        <w:sz w:val="21"/>
        <w:szCs w:val="21"/>
      </w:rPr>
      <w:drawing>
        <wp:inline distT="0" distB="0" distL="114300" distR="114300">
          <wp:extent cx="1035685" cy="238760"/>
          <wp:effectExtent l="0" t="0" r="5715" b="254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微软雅黑" w:hAnsi="微软雅黑" w:eastAsia="微软雅黑" w:cs="微软雅黑"/>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1D7F3596"/>
    <w:multiLevelType w:val="multilevel"/>
    <w:tmpl w:val="1D7F3596"/>
    <w:lvl w:ilvl="0" w:tentative="0">
      <w:start w:val="1"/>
      <w:numFmt w:val="decimal"/>
      <w:pStyle w:val="5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ZGYxY2IyNzMzY2RmZTNiZWJiNjEzZDdkZjdiNTcifQ=="/>
  </w:docVars>
  <w:rsids>
    <w:rsidRoot w:val="00172A27"/>
    <w:rsid w:val="00017C56"/>
    <w:rsid w:val="00050588"/>
    <w:rsid w:val="000D3604"/>
    <w:rsid w:val="00167988"/>
    <w:rsid w:val="00191800"/>
    <w:rsid w:val="001C53E5"/>
    <w:rsid w:val="001C7358"/>
    <w:rsid w:val="001D1EEA"/>
    <w:rsid w:val="002730CC"/>
    <w:rsid w:val="002C6DA8"/>
    <w:rsid w:val="002D269B"/>
    <w:rsid w:val="002D5271"/>
    <w:rsid w:val="00327CB1"/>
    <w:rsid w:val="0036524A"/>
    <w:rsid w:val="003B7625"/>
    <w:rsid w:val="00451057"/>
    <w:rsid w:val="004A5238"/>
    <w:rsid w:val="00515917"/>
    <w:rsid w:val="005244CB"/>
    <w:rsid w:val="00562D76"/>
    <w:rsid w:val="0057268B"/>
    <w:rsid w:val="0058523E"/>
    <w:rsid w:val="005E393E"/>
    <w:rsid w:val="005F5FE1"/>
    <w:rsid w:val="00651E47"/>
    <w:rsid w:val="00657739"/>
    <w:rsid w:val="006B35AD"/>
    <w:rsid w:val="006D6F3B"/>
    <w:rsid w:val="006F606B"/>
    <w:rsid w:val="007265F7"/>
    <w:rsid w:val="007727BE"/>
    <w:rsid w:val="007E39A0"/>
    <w:rsid w:val="008444A8"/>
    <w:rsid w:val="009933B6"/>
    <w:rsid w:val="009B3F6E"/>
    <w:rsid w:val="00A7403C"/>
    <w:rsid w:val="00AA7F72"/>
    <w:rsid w:val="00AB5930"/>
    <w:rsid w:val="00AC49D0"/>
    <w:rsid w:val="00B653A6"/>
    <w:rsid w:val="00B76409"/>
    <w:rsid w:val="00BA18F9"/>
    <w:rsid w:val="00BF4BFC"/>
    <w:rsid w:val="00C10A2E"/>
    <w:rsid w:val="00C328C9"/>
    <w:rsid w:val="00C518CE"/>
    <w:rsid w:val="00C97D31"/>
    <w:rsid w:val="00CB0FCC"/>
    <w:rsid w:val="00CB4CB2"/>
    <w:rsid w:val="00CC0FC8"/>
    <w:rsid w:val="00CE742E"/>
    <w:rsid w:val="00D13EBD"/>
    <w:rsid w:val="00D93D2E"/>
    <w:rsid w:val="00DD1090"/>
    <w:rsid w:val="00E07CEE"/>
    <w:rsid w:val="00E15234"/>
    <w:rsid w:val="00EF368D"/>
    <w:rsid w:val="00F31EFB"/>
    <w:rsid w:val="00F4626F"/>
    <w:rsid w:val="00F6003B"/>
    <w:rsid w:val="00F7412C"/>
    <w:rsid w:val="00F97D15"/>
    <w:rsid w:val="01145609"/>
    <w:rsid w:val="016F6068"/>
    <w:rsid w:val="017F1D14"/>
    <w:rsid w:val="01A0313A"/>
    <w:rsid w:val="01D442DC"/>
    <w:rsid w:val="01F43073"/>
    <w:rsid w:val="020F1E93"/>
    <w:rsid w:val="021F06C0"/>
    <w:rsid w:val="02757A66"/>
    <w:rsid w:val="029A48D9"/>
    <w:rsid w:val="032A1114"/>
    <w:rsid w:val="034F5A2A"/>
    <w:rsid w:val="036A59B4"/>
    <w:rsid w:val="0374238F"/>
    <w:rsid w:val="037A60D6"/>
    <w:rsid w:val="039C3694"/>
    <w:rsid w:val="03C36BA6"/>
    <w:rsid w:val="04093993"/>
    <w:rsid w:val="04340E81"/>
    <w:rsid w:val="04440D70"/>
    <w:rsid w:val="04792C91"/>
    <w:rsid w:val="0482288A"/>
    <w:rsid w:val="04937D91"/>
    <w:rsid w:val="04A31AD1"/>
    <w:rsid w:val="04DA0EA4"/>
    <w:rsid w:val="04DE7A42"/>
    <w:rsid w:val="04ED7685"/>
    <w:rsid w:val="051A773B"/>
    <w:rsid w:val="052F2A11"/>
    <w:rsid w:val="05393890"/>
    <w:rsid w:val="058B170D"/>
    <w:rsid w:val="05B64EE1"/>
    <w:rsid w:val="05DF0E99"/>
    <w:rsid w:val="05FA3A43"/>
    <w:rsid w:val="06620BC5"/>
    <w:rsid w:val="06B1334E"/>
    <w:rsid w:val="06B50A71"/>
    <w:rsid w:val="06B65CE0"/>
    <w:rsid w:val="06E710CA"/>
    <w:rsid w:val="07862691"/>
    <w:rsid w:val="07D1439F"/>
    <w:rsid w:val="07FB307F"/>
    <w:rsid w:val="08341A2A"/>
    <w:rsid w:val="085831B1"/>
    <w:rsid w:val="086E1AA3"/>
    <w:rsid w:val="089D6010"/>
    <w:rsid w:val="08EB4EA1"/>
    <w:rsid w:val="08F16999"/>
    <w:rsid w:val="090072C8"/>
    <w:rsid w:val="093E57A8"/>
    <w:rsid w:val="095333E0"/>
    <w:rsid w:val="095D4648"/>
    <w:rsid w:val="098A6F7A"/>
    <w:rsid w:val="09E65669"/>
    <w:rsid w:val="0A014251"/>
    <w:rsid w:val="0A35625E"/>
    <w:rsid w:val="0A751338"/>
    <w:rsid w:val="0A7B014E"/>
    <w:rsid w:val="0B553D58"/>
    <w:rsid w:val="0B616C99"/>
    <w:rsid w:val="0BBC48D3"/>
    <w:rsid w:val="0BD240F7"/>
    <w:rsid w:val="0BEC3432"/>
    <w:rsid w:val="0C364685"/>
    <w:rsid w:val="0C590374"/>
    <w:rsid w:val="0C676F35"/>
    <w:rsid w:val="0C7451AE"/>
    <w:rsid w:val="0C9B2E03"/>
    <w:rsid w:val="0CC9374C"/>
    <w:rsid w:val="0D8E3EAD"/>
    <w:rsid w:val="0DA112D5"/>
    <w:rsid w:val="0DA47D15"/>
    <w:rsid w:val="0DA90E87"/>
    <w:rsid w:val="0DF30354"/>
    <w:rsid w:val="0E2F12B5"/>
    <w:rsid w:val="0E2F5830"/>
    <w:rsid w:val="0EA819F6"/>
    <w:rsid w:val="0EC31D58"/>
    <w:rsid w:val="0ED40186"/>
    <w:rsid w:val="0EE71CB8"/>
    <w:rsid w:val="0EEE7499"/>
    <w:rsid w:val="0EF72689"/>
    <w:rsid w:val="0F095EF3"/>
    <w:rsid w:val="0F167A9F"/>
    <w:rsid w:val="0F1D6E95"/>
    <w:rsid w:val="0F2A5FF8"/>
    <w:rsid w:val="0F71204C"/>
    <w:rsid w:val="0F7C2CF7"/>
    <w:rsid w:val="0FA3628F"/>
    <w:rsid w:val="108C51BC"/>
    <w:rsid w:val="10AB148B"/>
    <w:rsid w:val="11717F0E"/>
    <w:rsid w:val="11B0574F"/>
    <w:rsid w:val="11CD31BE"/>
    <w:rsid w:val="11E60178"/>
    <w:rsid w:val="12226D0D"/>
    <w:rsid w:val="12252310"/>
    <w:rsid w:val="122D02D9"/>
    <w:rsid w:val="128A74D9"/>
    <w:rsid w:val="12900868"/>
    <w:rsid w:val="130410D3"/>
    <w:rsid w:val="13547F36"/>
    <w:rsid w:val="138B1C06"/>
    <w:rsid w:val="13954C4F"/>
    <w:rsid w:val="13955417"/>
    <w:rsid w:val="13AE085B"/>
    <w:rsid w:val="13D757E0"/>
    <w:rsid w:val="13DD640C"/>
    <w:rsid w:val="13DF5603"/>
    <w:rsid w:val="140908D1"/>
    <w:rsid w:val="142179C9"/>
    <w:rsid w:val="143771ED"/>
    <w:rsid w:val="14A10B0A"/>
    <w:rsid w:val="14BF20C8"/>
    <w:rsid w:val="14D00297"/>
    <w:rsid w:val="152A0AFF"/>
    <w:rsid w:val="156E702A"/>
    <w:rsid w:val="158349C9"/>
    <w:rsid w:val="158521DA"/>
    <w:rsid w:val="15A00DC2"/>
    <w:rsid w:val="15A21529"/>
    <w:rsid w:val="161D0664"/>
    <w:rsid w:val="163E4C2A"/>
    <w:rsid w:val="167A1994"/>
    <w:rsid w:val="168D27FF"/>
    <w:rsid w:val="16EB4178"/>
    <w:rsid w:val="16FB6BF7"/>
    <w:rsid w:val="170A5DE4"/>
    <w:rsid w:val="17175058"/>
    <w:rsid w:val="174437BC"/>
    <w:rsid w:val="178D5376"/>
    <w:rsid w:val="17967527"/>
    <w:rsid w:val="17C302A9"/>
    <w:rsid w:val="17D91E17"/>
    <w:rsid w:val="17EA27C8"/>
    <w:rsid w:val="17F325E9"/>
    <w:rsid w:val="182F0130"/>
    <w:rsid w:val="184620F4"/>
    <w:rsid w:val="18721A3A"/>
    <w:rsid w:val="187A7324"/>
    <w:rsid w:val="189015C1"/>
    <w:rsid w:val="18B23D75"/>
    <w:rsid w:val="18B63C84"/>
    <w:rsid w:val="18B74DA0"/>
    <w:rsid w:val="18C62E6C"/>
    <w:rsid w:val="18F753A4"/>
    <w:rsid w:val="19224379"/>
    <w:rsid w:val="193A1CDB"/>
    <w:rsid w:val="19573E8D"/>
    <w:rsid w:val="198253AE"/>
    <w:rsid w:val="198D5379"/>
    <w:rsid w:val="19A60971"/>
    <w:rsid w:val="19BC75D9"/>
    <w:rsid w:val="19C37774"/>
    <w:rsid w:val="19E80F89"/>
    <w:rsid w:val="19F416DC"/>
    <w:rsid w:val="1A095231"/>
    <w:rsid w:val="1A18186E"/>
    <w:rsid w:val="1A200723"/>
    <w:rsid w:val="1A4B621C"/>
    <w:rsid w:val="1A4E703E"/>
    <w:rsid w:val="1AA80E44"/>
    <w:rsid w:val="1ADF05DE"/>
    <w:rsid w:val="1ADF24D1"/>
    <w:rsid w:val="1AF1038D"/>
    <w:rsid w:val="1B0E67CD"/>
    <w:rsid w:val="1B397CEE"/>
    <w:rsid w:val="1B610933"/>
    <w:rsid w:val="1B96095E"/>
    <w:rsid w:val="1BB82AD4"/>
    <w:rsid w:val="1BEF2AE3"/>
    <w:rsid w:val="1C71170A"/>
    <w:rsid w:val="1CAA584A"/>
    <w:rsid w:val="1CB03FE0"/>
    <w:rsid w:val="1CBB0AD9"/>
    <w:rsid w:val="1CF8755F"/>
    <w:rsid w:val="1CFD4D4B"/>
    <w:rsid w:val="1D7C1F07"/>
    <w:rsid w:val="1D882867"/>
    <w:rsid w:val="1E166CD1"/>
    <w:rsid w:val="1E4D585F"/>
    <w:rsid w:val="1E6432D4"/>
    <w:rsid w:val="1E85324A"/>
    <w:rsid w:val="1EA96F39"/>
    <w:rsid w:val="1EC46B1A"/>
    <w:rsid w:val="1F2912B7"/>
    <w:rsid w:val="1F4B2A70"/>
    <w:rsid w:val="1F5F1CED"/>
    <w:rsid w:val="1F841754"/>
    <w:rsid w:val="1FE17F3F"/>
    <w:rsid w:val="1FE23785"/>
    <w:rsid w:val="1FE64151"/>
    <w:rsid w:val="20126D60"/>
    <w:rsid w:val="20270A5D"/>
    <w:rsid w:val="202B14FE"/>
    <w:rsid w:val="2034561D"/>
    <w:rsid w:val="208F03B0"/>
    <w:rsid w:val="2103718B"/>
    <w:rsid w:val="214271D1"/>
    <w:rsid w:val="214E4024"/>
    <w:rsid w:val="21507B40"/>
    <w:rsid w:val="21DB7773"/>
    <w:rsid w:val="21F7620D"/>
    <w:rsid w:val="222039B6"/>
    <w:rsid w:val="226807CF"/>
    <w:rsid w:val="22CA019D"/>
    <w:rsid w:val="22F97D63"/>
    <w:rsid w:val="23D649DA"/>
    <w:rsid w:val="24101808"/>
    <w:rsid w:val="24611807"/>
    <w:rsid w:val="247B1377"/>
    <w:rsid w:val="24861ACA"/>
    <w:rsid w:val="24877D1C"/>
    <w:rsid w:val="2492569B"/>
    <w:rsid w:val="253A5E11"/>
    <w:rsid w:val="253B28B5"/>
    <w:rsid w:val="2547125A"/>
    <w:rsid w:val="258424AE"/>
    <w:rsid w:val="25943CEA"/>
    <w:rsid w:val="25E666AB"/>
    <w:rsid w:val="25EB6089"/>
    <w:rsid w:val="25F20AD9"/>
    <w:rsid w:val="260770CA"/>
    <w:rsid w:val="26121868"/>
    <w:rsid w:val="264B50B3"/>
    <w:rsid w:val="267A11BB"/>
    <w:rsid w:val="26972B0E"/>
    <w:rsid w:val="26A94D1C"/>
    <w:rsid w:val="26BB39A8"/>
    <w:rsid w:val="26D7077D"/>
    <w:rsid w:val="26E45600"/>
    <w:rsid w:val="27A01F78"/>
    <w:rsid w:val="27BC01D7"/>
    <w:rsid w:val="27D15A9A"/>
    <w:rsid w:val="27FF406E"/>
    <w:rsid w:val="2816219C"/>
    <w:rsid w:val="28650375"/>
    <w:rsid w:val="287B5AA5"/>
    <w:rsid w:val="28844573"/>
    <w:rsid w:val="288F719F"/>
    <w:rsid w:val="28BE1833"/>
    <w:rsid w:val="28DD172C"/>
    <w:rsid w:val="2A0508FD"/>
    <w:rsid w:val="2A306760"/>
    <w:rsid w:val="2A612DBE"/>
    <w:rsid w:val="2A6E6792"/>
    <w:rsid w:val="2AB70C30"/>
    <w:rsid w:val="2AE005DE"/>
    <w:rsid w:val="2B0F45C8"/>
    <w:rsid w:val="2B2E4693"/>
    <w:rsid w:val="2B674404"/>
    <w:rsid w:val="2B8013BB"/>
    <w:rsid w:val="2B896186"/>
    <w:rsid w:val="2B8A6CC9"/>
    <w:rsid w:val="2BDB06E9"/>
    <w:rsid w:val="2BF40509"/>
    <w:rsid w:val="2C2C53D1"/>
    <w:rsid w:val="2C6C3308"/>
    <w:rsid w:val="2C8D7E9A"/>
    <w:rsid w:val="2CD86C3B"/>
    <w:rsid w:val="2CE675AA"/>
    <w:rsid w:val="2CFA3055"/>
    <w:rsid w:val="2D035D18"/>
    <w:rsid w:val="2D113C66"/>
    <w:rsid w:val="2D2A393B"/>
    <w:rsid w:val="2D460049"/>
    <w:rsid w:val="2D8F7C42"/>
    <w:rsid w:val="2DC07DFB"/>
    <w:rsid w:val="2DC31B9F"/>
    <w:rsid w:val="2DE97352"/>
    <w:rsid w:val="2DFB7085"/>
    <w:rsid w:val="2E0F2B31"/>
    <w:rsid w:val="2E2C36E3"/>
    <w:rsid w:val="2E4E5407"/>
    <w:rsid w:val="2E8E720E"/>
    <w:rsid w:val="2EBF00B3"/>
    <w:rsid w:val="2ECF7828"/>
    <w:rsid w:val="2F511653"/>
    <w:rsid w:val="2F6F1AD9"/>
    <w:rsid w:val="2F8D1F5F"/>
    <w:rsid w:val="302032A1"/>
    <w:rsid w:val="307F28A2"/>
    <w:rsid w:val="30986E0D"/>
    <w:rsid w:val="309A2B85"/>
    <w:rsid w:val="30B86263"/>
    <w:rsid w:val="30C300FB"/>
    <w:rsid w:val="30F71D86"/>
    <w:rsid w:val="31395673"/>
    <w:rsid w:val="31457DBA"/>
    <w:rsid w:val="31865912"/>
    <w:rsid w:val="318A10D1"/>
    <w:rsid w:val="31C73C21"/>
    <w:rsid w:val="31CF761B"/>
    <w:rsid w:val="31D219B6"/>
    <w:rsid w:val="31DB32DE"/>
    <w:rsid w:val="31F84007"/>
    <w:rsid w:val="31FA51BC"/>
    <w:rsid w:val="324E076E"/>
    <w:rsid w:val="326D7CE5"/>
    <w:rsid w:val="32B54CE3"/>
    <w:rsid w:val="32D57EA5"/>
    <w:rsid w:val="32F56799"/>
    <w:rsid w:val="33105381"/>
    <w:rsid w:val="33713887"/>
    <w:rsid w:val="33995376"/>
    <w:rsid w:val="33B10912"/>
    <w:rsid w:val="3437693D"/>
    <w:rsid w:val="3442764E"/>
    <w:rsid w:val="346A0A60"/>
    <w:rsid w:val="34775FD7"/>
    <w:rsid w:val="3489363D"/>
    <w:rsid w:val="34A71D15"/>
    <w:rsid w:val="34B47F8E"/>
    <w:rsid w:val="35262C3A"/>
    <w:rsid w:val="355435F3"/>
    <w:rsid w:val="359F29EC"/>
    <w:rsid w:val="35D703D8"/>
    <w:rsid w:val="35F9034E"/>
    <w:rsid w:val="362720CB"/>
    <w:rsid w:val="364F4412"/>
    <w:rsid w:val="3652180C"/>
    <w:rsid w:val="36660DCA"/>
    <w:rsid w:val="36BA5D2F"/>
    <w:rsid w:val="36C96AFA"/>
    <w:rsid w:val="36DA1C3D"/>
    <w:rsid w:val="36DC48EB"/>
    <w:rsid w:val="36EC7EB3"/>
    <w:rsid w:val="37192794"/>
    <w:rsid w:val="375A4D0E"/>
    <w:rsid w:val="37EE37B7"/>
    <w:rsid w:val="381256F7"/>
    <w:rsid w:val="381D66D7"/>
    <w:rsid w:val="38237904"/>
    <w:rsid w:val="386121DB"/>
    <w:rsid w:val="38993243"/>
    <w:rsid w:val="38B51723"/>
    <w:rsid w:val="38F1355F"/>
    <w:rsid w:val="38F17A02"/>
    <w:rsid w:val="3905700A"/>
    <w:rsid w:val="39AC69D2"/>
    <w:rsid w:val="39BA604C"/>
    <w:rsid w:val="39BE7D79"/>
    <w:rsid w:val="39D25301"/>
    <w:rsid w:val="3A3F6FD4"/>
    <w:rsid w:val="3A54334A"/>
    <w:rsid w:val="3A9C74FA"/>
    <w:rsid w:val="3AA36D3C"/>
    <w:rsid w:val="3B082DE1"/>
    <w:rsid w:val="3B313787"/>
    <w:rsid w:val="3B471B5C"/>
    <w:rsid w:val="3B4C2CCE"/>
    <w:rsid w:val="3BA174BE"/>
    <w:rsid w:val="3BAC751F"/>
    <w:rsid w:val="3BAD416B"/>
    <w:rsid w:val="3BAE7613"/>
    <w:rsid w:val="3BCB22B5"/>
    <w:rsid w:val="3BD3168B"/>
    <w:rsid w:val="3BD35C44"/>
    <w:rsid w:val="3BF96D09"/>
    <w:rsid w:val="3C27410D"/>
    <w:rsid w:val="3C7563FB"/>
    <w:rsid w:val="3C972E5F"/>
    <w:rsid w:val="3CA12CE1"/>
    <w:rsid w:val="3CAD2038"/>
    <w:rsid w:val="3CAD7649"/>
    <w:rsid w:val="3CD820DC"/>
    <w:rsid w:val="3CED6733"/>
    <w:rsid w:val="3D0A38B4"/>
    <w:rsid w:val="3D453243"/>
    <w:rsid w:val="3D88504D"/>
    <w:rsid w:val="3DC7508C"/>
    <w:rsid w:val="3DE05B98"/>
    <w:rsid w:val="3E04082E"/>
    <w:rsid w:val="3E135D25"/>
    <w:rsid w:val="3EBD52C2"/>
    <w:rsid w:val="3EE057E6"/>
    <w:rsid w:val="3F0538C0"/>
    <w:rsid w:val="3F1A1CC2"/>
    <w:rsid w:val="3F454604"/>
    <w:rsid w:val="3F855EF6"/>
    <w:rsid w:val="3FC01EDD"/>
    <w:rsid w:val="3FC92B3F"/>
    <w:rsid w:val="3FCB3A93"/>
    <w:rsid w:val="401E41AC"/>
    <w:rsid w:val="403B3CF3"/>
    <w:rsid w:val="40457327"/>
    <w:rsid w:val="406805AA"/>
    <w:rsid w:val="4070030D"/>
    <w:rsid w:val="4077259B"/>
    <w:rsid w:val="4093253B"/>
    <w:rsid w:val="40F32BF1"/>
    <w:rsid w:val="4157061F"/>
    <w:rsid w:val="41591156"/>
    <w:rsid w:val="419137C3"/>
    <w:rsid w:val="419B675D"/>
    <w:rsid w:val="41C23CEA"/>
    <w:rsid w:val="41D103D1"/>
    <w:rsid w:val="42156510"/>
    <w:rsid w:val="428471F1"/>
    <w:rsid w:val="42B85710"/>
    <w:rsid w:val="42D71A17"/>
    <w:rsid w:val="43284021"/>
    <w:rsid w:val="435F79D0"/>
    <w:rsid w:val="43670644"/>
    <w:rsid w:val="437E00E5"/>
    <w:rsid w:val="43846D49"/>
    <w:rsid w:val="43AE02ED"/>
    <w:rsid w:val="442347E8"/>
    <w:rsid w:val="44550A5E"/>
    <w:rsid w:val="4455558E"/>
    <w:rsid w:val="449C0E15"/>
    <w:rsid w:val="44C132C3"/>
    <w:rsid w:val="456C0A77"/>
    <w:rsid w:val="4585761A"/>
    <w:rsid w:val="45AC1B90"/>
    <w:rsid w:val="45C1250B"/>
    <w:rsid w:val="460335E7"/>
    <w:rsid w:val="466B2BA2"/>
    <w:rsid w:val="468A0B4E"/>
    <w:rsid w:val="46C86568"/>
    <w:rsid w:val="46CE5658"/>
    <w:rsid w:val="46FF153C"/>
    <w:rsid w:val="4759345D"/>
    <w:rsid w:val="4776192F"/>
    <w:rsid w:val="47AE731A"/>
    <w:rsid w:val="47B90762"/>
    <w:rsid w:val="47E07D19"/>
    <w:rsid w:val="48171F00"/>
    <w:rsid w:val="486908CB"/>
    <w:rsid w:val="48785ECD"/>
    <w:rsid w:val="487D3670"/>
    <w:rsid w:val="4887291B"/>
    <w:rsid w:val="489B72C1"/>
    <w:rsid w:val="48AD79E8"/>
    <w:rsid w:val="48E81F6C"/>
    <w:rsid w:val="491F33FC"/>
    <w:rsid w:val="49EC3FFA"/>
    <w:rsid w:val="49F92273"/>
    <w:rsid w:val="4A9D52F4"/>
    <w:rsid w:val="4AB16FF2"/>
    <w:rsid w:val="4AC76815"/>
    <w:rsid w:val="4AEF3676"/>
    <w:rsid w:val="4AF155E5"/>
    <w:rsid w:val="4AF84C20"/>
    <w:rsid w:val="4B0B04B0"/>
    <w:rsid w:val="4B1E40FF"/>
    <w:rsid w:val="4B2B2277"/>
    <w:rsid w:val="4B3774F7"/>
    <w:rsid w:val="4B721961"/>
    <w:rsid w:val="4B85213F"/>
    <w:rsid w:val="4B865D88"/>
    <w:rsid w:val="4BF44CFB"/>
    <w:rsid w:val="4C2C5AF7"/>
    <w:rsid w:val="4C35155C"/>
    <w:rsid w:val="4C5E0AB3"/>
    <w:rsid w:val="4CC201AF"/>
    <w:rsid w:val="4CD55219"/>
    <w:rsid w:val="4D162706"/>
    <w:rsid w:val="4D217CAC"/>
    <w:rsid w:val="4D671BE9"/>
    <w:rsid w:val="4DE45D18"/>
    <w:rsid w:val="4E171D5C"/>
    <w:rsid w:val="4E5A30AF"/>
    <w:rsid w:val="4E734FA6"/>
    <w:rsid w:val="4EA02117"/>
    <w:rsid w:val="4EBB043F"/>
    <w:rsid w:val="4EC76DE4"/>
    <w:rsid w:val="4F143097"/>
    <w:rsid w:val="4F4F0B87"/>
    <w:rsid w:val="4F6636A0"/>
    <w:rsid w:val="4FC86FE7"/>
    <w:rsid w:val="504B6903"/>
    <w:rsid w:val="50A2441A"/>
    <w:rsid w:val="50D52FD1"/>
    <w:rsid w:val="50F934A0"/>
    <w:rsid w:val="514B7ECE"/>
    <w:rsid w:val="5167567F"/>
    <w:rsid w:val="51B50D1A"/>
    <w:rsid w:val="521A4397"/>
    <w:rsid w:val="525B5F6E"/>
    <w:rsid w:val="52660AB8"/>
    <w:rsid w:val="526E1AD5"/>
    <w:rsid w:val="528A5B5F"/>
    <w:rsid w:val="52E30F1A"/>
    <w:rsid w:val="52E87329"/>
    <w:rsid w:val="52F0411B"/>
    <w:rsid w:val="53757455"/>
    <w:rsid w:val="5385656B"/>
    <w:rsid w:val="539F20DD"/>
    <w:rsid w:val="53C9747A"/>
    <w:rsid w:val="53EB13F5"/>
    <w:rsid w:val="541F5563"/>
    <w:rsid w:val="54212AF2"/>
    <w:rsid w:val="5462174E"/>
    <w:rsid w:val="55083CB2"/>
    <w:rsid w:val="550906FB"/>
    <w:rsid w:val="55220FA9"/>
    <w:rsid w:val="55222FC6"/>
    <w:rsid w:val="552705DC"/>
    <w:rsid w:val="552F3F2D"/>
    <w:rsid w:val="553140A7"/>
    <w:rsid w:val="55AA6B17"/>
    <w:rsid w:val="55AA7162"/>
    <w:rsid w:val="565934AB"/>
    <w:rsid w:val="565F7902"/>
    <w:rsid w:val="566D6A2E"/>
    <w:rsid w:val="56E02754"/>
    <w:rsid w:val="56FE78F9"/>
    <w:rsid w:val="571E6A72"/>
    <w:rsid w:val="573C40E7"/>
    <w:rsid w:val="57776ECD"/>
    <w:rsid w:val="57A361C4"/>
    <w:rsid w:val="57A71560"/>
    <w:rsid w:val="57F81DBC"/>
    <w:rsid w:val="58136BF6"/>
    <w:rsid w:val="582E3A30"/>
    <w:rsid w:val="58544F61"/>
    <w:rsid w:val="588200C8"/>
    <w:rsid w:val="58D345D7"/>
    <w:rsid w:val="58D86225"/>
    <w:rsid w:val="58F509F1"/>
    <w:rsid w:val="58F93587"/>
    <w:rsid w:val="591071A1"/>
    <w:rsid w:val="5A003FF0"/>
    <w:rsid w:val="5A344EA3"/>
    <w:rsid w:val="5A7476F4"/>
    <w:rsid w:val="5AB1307D"/>
    <w:rsid w:val="5AED5634"/>
    <w:rsid w:val="5AF01470"/>
    <w:rsid w:val="5AF30F60"/>
    <w:rsid w:val="5AF679F7"/>
    <w:rsid w:val="5B557CC7"/>
    <w:rsid w:val="5B7C2D04"/>
    <w:rsid w:val="5B8E6917"/>
    <w:rsid w:val="5BB57D8D"/>
    <w:rsid w:val="5BD4669C"/>
    <w:rsid w:val="5BF40455"/>
    <w:rsid w:val="5C140702"/>
    <w:rsid w:val="5C5305D9"/>
    <w:rsid w:val="5C593045"/>
    <w:rsid w:val="5C5B6DBD"/>
    <w:rsid w:val="5C5D2B35"/>
    <w:rsid w:val="5C735109"/>
    <w:rsid w:val="5C7B745F"/>
    <w:rsid w:val="5C855D83"/>
    <w:rsid w:val="5C9C0C23"/>
    <w:rsid w:val="5D885990"/>
    <w:rsid w:val="5DE660A8"/>
    <w:rsid w:val="5E0E1336"/>
    <w:rsid w:val="5E2C1E3D"/>
    <w:rsid w:val="5E4D0C66"/>
    <w:rsid w:val="5E6F4DA2"/>
    <w:rsid w:val="5E9E28DD"/>
    <w:rsid w:val="5ED75095"/>
    <w:rsid w:val="5EE44E48"/>
    <w:rsid w:val="5EEA1B36"/>
    <w:rsid w:val="5EEB095D"/>
    <w:rsid w:val="5F2B6F1B"/>
    <w:rsid w:val="5F753C3E"/>
    <w:rsid w:val="5FC609F2"/>
    <w:rsid w:val="5FD56E87"/>
    <w:rsid w:val="6000183D"/>
    <w:rsid w:val="60140DD3"/>
    <w:rsid w:val="614D0390"/>
    <w:rsid w:val="614D317E"/>
    <w:rsid w:val="6155027F"/>
    <w:rsid w:val="616950D0"/>
    <w:rsid w:val="617213B6"/>
    <w:rsid w:val="61785D1C"/>
    <w:rsid w:val="61813275"/>
    <w:rsid w:val="61A34B19"/>
    <w:rsid w:val="61D218D0"/>
    <w:rsid w:val="61F873D8"/>
    <w:rsid w:val="61FC06FB"/>
    <w:rsid w:val="62105334"/>
    <w:rsid w:val="622F73A6"/>
    <w:rsid w:val="623E1776"/>
    <w:rsid w:val="62A828CD"/>
    <w:rsid w:val="62BC7202"/>
    <w:rsid w:val="62D443A2"/>
    <w:rsid w:val="62D545FB"/>
    <w:rsid w:val="635822A8"/>
    <w:rsid w:val="636646F0"/>
    <w:rsid w:val="63796526"/>
    <w:rsid w:val="63B868A3"/>
    <w:rsid w:val="63F95ED8"/>
    <w:rsid w:val="64155AA4"/>
    <w:rsid w:val="645273BE"/>
    <w:rsid w:val="646539AE"/>
    <w:rsid w:val="64656A2B"/>
    <w:rsid w:val="648C4EA5"/>
    <w:rsid w:val="64B90B25"/>
    <w:rsid w:val="64C51278"/>
    <w:rsid w:val="64D21BE7"/>
    <w:rsid w:val="64F90B96"/>
    <w:rsid w:val="65230D92"/>
    <w:rsid w:val="65266F4D"/>
    <w:rsid w:val="65340DFB"/>
    <w:rsid w:val="65476131"/>
    <w:rsid w:val="657C227E"/>
    <w:rsid w:val="659F70A3"/>
    <w:rsid w:val="65CB2057"/>
    <w:rsid w:val="663331F8"/>
    <w:rsid w:val="66671FCF"/>
    <w:rsid w:val="669D3C0F"/>
    <w:rsid w:val="66DC18E2"/>
    <w:rsid w:val="66E13A2D"/>
    <w:rsid w:val="670803D4"/>
    <w:rsid w:val="673E53C9"/>
    <w:rsid w:val="679A7A06"/>
    <w:rsid w:val="67A3795F"/>
    <w:rsid w:val="67AE3E22"/>
    <w:rsid w:val="67EC539B"/>
    <w:rsid w:val="68077DF9"/>
    <w:rsid w:val="68223C9F"/>
    <w:rsid w:val="68232E85"/>
    <w:rsid w:val="68306EC7"/>
    <w:rsid w:val="687234C5"/>
    <w:rsid w:val="68880F3A"/>
    <w:rsid w:val="68D50FDC"/>
    <w:rsid w:val="69006D22"/>
    <w:rsid w:val="69804FFD"/>
    <w:rsid w:val="698704B9"/>
    <w:rsid w:val="69981531"/>
    <w:rsid w:val="699F478D"/>
    <w:rsid w:val="69D13495"/>
    <w:rsid w:val="69DA57C5"/>
    <w:rsid w:val="6A077302"/>
    <w:rsid w:val="6A1D4F98"/>
    <w:rsid w:val="6A64787C"/>
    <w:rsid w:val="6A8F61F9"/>
    <w:rsid w:val="6AC975E8"/>
    <w:rsid w:val="6B054AC4"/>
    <w:rsid w:val="6B1C1B7A"/>
    <w:rsid w:val="6B2B3DFF"/>
    <w:rsid w:val="6B841E8D"/>
    <w:rsid w:val="6BA1602F"/>
    <w:rsid w:val="6BE97F42"/>
    <w:rsid w:val="6BEC45A2"/>
    <w:rsid w:val="6C007039"/>
    <w:rsid w:val="6C1B3E73"/>
    <w:rsid w:val="6C1E2A54"/>
    <w:rsid w:val="6C3A66BC"/>
    <w:rsid w:val="6C532EC3"/>
    <w:rsid w:val="6C5C23DC"/>
    <w:rsid w:val="6C933558"/>
    <w:rsid w:val="6D282CEC"/>
    <w:rsid w:val="6D355976"/>
    <w:rsid w:val="6D604233"/>
    <w:rsid w:val="6D6D6025"/>
    <w:rsid w:val="6D772419"/>
    <w:rsid w:val="6D9819BD"/>
    <w:rsid w:val="6DA2484C"/>
    <w:rsid w:val="6DA67E51"/>
    <w:rsid w:val="6DB86AA0"/>
    <w:rsid w:val="6E2C22B2"/>
    <w:rsid w:val="6E331948"/>
    <w:rsid w:val="6E373490"/>
    <w:rsid w:val="6E407957"/>
    <w:rsid w:val="6E681DA2"/>
    <w:rsid w:val="6E7345A1"/>
    <w:rsid w:val="6EAC061C"/>
    <w:rsid w:val="6EB13EC8"/>
    <w:rsid w:val="6EB23BCF"/>
    <w:rsid w:val="6ED924EF"/>
    <w:rsid w:val="6F14452F"/>
    <w:rsid w:val="6F7E3097"/>
    <w:rsid w:val="6F822D6C"/>
    <w:rsid w:val="6FA26D85"/>
    <w:rsid w:val="6FAA0A86"/>
    <w:rsid w:val="6FD76303"/>
    <w:rsid w:val="70221C74"/>
    <w:rsid w:val="703A3E53"/>
    <w:rsid w:val="703D085C"/>
    <w:rsid w:val="707278BB"/>
    <w:rsid w:val="70B4451E"/>
    <w:rsid w:val="70F058CE"/>
    <w:rsid w:val="710D46D2"/>
    <w:rsid w:val="715D3148"/>
    <w:rsid w:val="71A768D5"/>
    <w:rsid w:val="71C11019"/>
    <w:rsid w:val="71C12DE7"/>
    <w:rsid w:val="71D62D16"/>
    <w:rsid w:val="71E573FD"/>
    <w:rsid w:val="720535D4"/>
    <w:rsid w:val="720F1A1F"/>
    <w:rsid w:val="72145678"/>
    <w:rsid w:val="72406245"/>
    <w:rsid w:val="728F1117"/>
    <w:rsid w:val="72D66A87"/>
    <w:rsid w:val="72DD4071"/>
    <w:rsid w:val="72E96A79"/>
    <w:rsid w:val="73243F55"/>
    <w:rsid w:val="73612AB3"/>
    <w:rsid w:val="73E9412A"/>
    <w:rsid w:val="743326A2"/>
    <w:rsid w:val="74343D24"/>
    <w:rsid w:val="746A7CA4"/>
    <w:rsid w:val="74A810B1"/>
    <w:rsid w:val="74BA5BB7"/>
    <w:rsid w:val="74BC516D"/>
    <w:rsid w:val="74CB0B2C"/>
    <w:rsid w:val="751106B5"/>
    <w:rsid w:val="751A7979"/>
    <w:rsid w:val="75226272"/>
    <w:rsid w:val="75530934"/>
    <w:rsid w:val="759B6440"/>
    <w:rsid w:val="75AE7D7D"/>
    <w:rsid w:val="75C5557C"/>
    <w:rsid w:val="761638DC"/>
    <w:rsid w:val="761A1135"/>
    <w:rsid w:val="766F54E7"/>
    <w:rsid w:val="76A72ED3"/>
    <w:rsid w:val="770420D4"/>
    <w:rsid w:val="772340B3"/>
    <w:rsid w:val="77315B09"/>
    <w:rsid w:val="773D25D5"/>
    <w:rsid w:val="777032C5"/>
    <w:rsid w:val="77DD0636"/>
    <w:rsid w:val="77FA34D6"/>
    <w:rsid w:val="784A1D68"/>
    <w:rsid w:val="786E67AC"/>
    <w:rsid w:val="78700B0A"/>
    <w:rsid w:val="78B57D49"/>
    <w:rsid w:val="79021C2A"/>
    <w:rsid w:val="79703A50"/>
    <w:rsid w:val="79CE0777"/>
    <w:rsid w:val="79ED32F3"/>
    <w:rsid w:val="79EE0700"/>
    <w:rsid w:val="7A9674E6"/>
    <w:rsid w:val="7AD24297"/>
    <w:rsid w:val="7B42766E"/>
    <w:rsid w:val="7B7A0FC8"/>
    <w:rsid w:val="7BB816DF"/>
    <w:rsid w:val="7BC311C4"/>
    <w:rsid w:val="7BC31D0C"/>
    <w:rsid w:val="7C0B7D3A"/>
    <w:rsid w:val="7C1D7794"/>
    <w:rsid w:val="7C510CD6"/>
    <w:rsid w:val="7D5176F5"/>
    <w:rsid w:val="7D6A3FD0"/>
    <w:rsid w:val="7D7938EB"/>
    <w:rsid w:val="7D7F0706"/>
    <w:rsid w:val="7DA146F0"/>
    <w:rsid w:val="7DDF0BC9"/>
    <w:rsid w:val="7DE44A0D"/>
    <w:rsid w:val="7E176B90"/>
    <w:rsid w:val="7E325778"/>
    <w:rsid w:val="7E8A5D41"/>
    <w:rsid w:val="7EA0257D"/>
    <w:rsid w:val="7ECB34D7"/>
    <w:rsid w:val="7EFA7D03"/>
    <w:rsid w:val="7F4812A7"/>
    <w:rsid w:val="7F720F5D"/>
    <w:rsid w:val="7FB71F64"/>
    <w:rsid w:val="F7EF6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3"/>
    <w:autoRedefine/>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4">
    <w:name w:val="heading 2"/>
    <w:basedOn w:val="1"/>
    <w:next w:val="1"/>
    <w:link w:val="42"/>
    <w:autoRedefine/>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5">
    <w:name w:val="heading 3"/>
    <w:basedOn w:val="1"/>
    <w:next w:val="1"/>
    <w:link w:val="44"/>
    <w:autoRedefine/>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45"/>
    <w:autoRedefine/>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7">
    <w:name w:val="heading 5"/>
    <w:basedOn w:val="1"/>
    <w:next w:val="1"/>
    <w:autoRedefine/>
    <w:unhideWhenUsed/>
    <w:qFormat/>
    <w:uiPriority w:val="0"/>
    <w:pPr>
      <w:keepNext/>
      <w:keepLines/>
      <w:numPr>
        <w:ilvl w:val="4"/>
        <w:numId w:val="1"/>
      </w:numPr>
      <w:spacing w:line="372" w:lineRule="auto"/>
      <w:outlineLvl w:val="4"/>
    </w:pPr>
    <w:rPr>
      <w:b/>
    </w:rPr>
  </w:style>
  <w:style w:type="paragraph" w:styleId="8">
    <w:name w:val="heading 6"/>
    <w:basedOn w:val="1"/>
    <w:next w:val="1"/>
    <w:autoRedefine/>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autoRedefine/>
    <w:unhideWhenUsed/>
    <w:qFormat/>
    <w:uiPriority w:val="0"/>
    <w:pPr>
      <w:keepNext/>
      <w:keepLines/>
      <w:numPr>
        <w:ilvl w:val="6"/>
        <w:numId w:val="1"/>
      </w:numPr>
      <w:spacing w:line="317" w:lineRule="auto"/>
      <w:outlineLvl w:val="6"/>
    </w:pPr>
    <w:rPr>
      <w:b/>
      <w:sz w:val="24"/>
    </w:rPr>
  </w:style>
  <w:style w:type="paragraph" w:styleId="10">
    <w:name w:val="heading 8"/>
    <w:basedOn w:val="1"/>
    <w:next w:val="1"/>
    <w:autoRedefine/>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autoRedefine/>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西研院正文"/>
    <w:basedOn w:val="1"/>
    <w:unhideWhenUsed/>
    <w:qFormat/>
    <w:uiPriority w:val="0"/>
    <w:pPr>
      <w:spacing w:line="560" w:lineRule="exact"/>
      <w:ind w:firstLine="643" w:firstLineChars="200"/>
    </w:pPr>
    <w:rPr>
      <w:rFonts w:hint="default" w:ascii="Times New Roman" w:hAnsi="Times New Roman" w:eastAsia="方正楷体_GBK"/>
      <w:sz w:val="32"/>
      <w:szCs w:val="24"/>
    </w:rPr>
  </w:style>
  <w:style w:type="paragraph" w:styleId="12">
    <w:name w:val="table of authorities"/>
    <w:basedOn w:val="1"/>
    <w:next w:val="1"/>
    <w:autoRedefine/>
    <w:qFormat/>
    <w:uiPriority w:val="0"/>
    <w:pPr>
      <w:ind w:left="420" w:leftChars="200"/>
    </w:pPr>
  </w:style>
  <w:style w:type="paragraph" w:styleId="13">
    <w:name w:val="Normal Indent"/>
    <w:basedOn w:val="1"/>
    <w:autoRedefine/>
    <w:qFormat/>
    <w:uiPriority w:val="0"/>
    <w:pPr>
      <w:adjustRightInd w:val="0"/>
      <w:snapToGrid w:val="0"/>
      <w:spacing w:line="360" w:lineRule="auto"/>
      <w:ind w:firstLine="420"/>
    </w:pPr>
    <w:rPr>
      <w:sz w:val="24"/>
    </w:rPr>
  </w:style>
  <w:style w:type="paragraph" w:styleId="14">
    <w:name w:val="annotation text"/>
    <w:basedOn w:val="1"/>
    <w:autoRedefine/>
    <w:qFormat/>
    <w:uiPriority w:val="0"/>
    <w:pPr>
      <w:adjustRightInd w:val="0"/>
      <w:spacing w:line="360" w:lineRule="atLeast"/>
      <w:jc w:val="left"/>
      <w:textAlignment w:val="baseline"/>
    </w:pPr>
    <w:rPr>
      <w:kern w:val="0"/>
      <w:sz w:val="24"/>
    </w:rPr>
  </w:style>
  <w:style w:type="paragraph" w:styleId="15">
    <w:name w:val="Body Text"/>
    <w:basedOn w:val="1"/>
    <w:next w:val="1"/>
    <w:autoRedefine/>
    <w:qFormat/>
    <w:uiPriority w:val="0"/>
    <w:rPr>
      <w:rFonts w:ascii="仿宋_GB2312" w:eastAsia="仿宋_GB2312"/>
      <w:sz w:val="32"/>
    </w:rPr>
  </w:style>
  <w:style w:type="paragraph" w:styleId="16">
    <w:name w:val="Body Text Indent"/>
    <w:basedOn w:val="1"/>
    <w:autoRedefine/>
    <w:qFormat/>
    <w:uiPriority w:val="0"/>
    <w:pPr>
      <w:spacing w:line="700" w:lineRule="exact"/>
      <w:ind w:left="960"/>
    </w:pPr>
    <w:rPr>
      <w:sz w:val="44"/>
    </w:r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rPr>
      <w:rFonts w:ascii="宋体" w:hAnsi="Courier New"/>
      <w:sz w:val="21"/>
    </w:rPr>
  </w:style>
  <w:style w:type="paragraph" w:styleId="19">
    <w:name w:val="Date"/>
    <w:basedOn w:val="1"/>
    <w:next w:val="1"/>
    <w:autoRedefine/>
    <w:qFormat/>
    <w:uiPriority w:val="0"/>
  </w:style>
  <w:style w:type="paragraph" w:styleId="20">
    <w:name w:val="Body Text Indent 2"/>
    <w:basedOn w:val="1"/>
    <w:autoRedefine/>
    <w:qFormat/>
    <w:uiPriority w:val="0"/>
    <w:pPr>
      <w:snapToGrid w:val="0"/>
      <w:spacing w:line="560" w:lineRule="atLeast"/>
      <w:ind w:firstLine="540"/>
    </w:pPr>
  </w:style>
  <w:style w:type="paragraph" w:styleId="21">
    <w:name w:val="Balloon Text"/>
    <w:basedOn w:val="1"/>
    <w:link w:val="54"/>
    <w:autoRedefine/>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0"/>
    <w:pPr>
      <w:spacing w:line="180" w:lineRule="auto"/>
      <w:jc w:val="center"/>
    </w:pPr>
    <w:rPr>
      <w:sz w:val="30"/>
    </w:rPr>
  </w:style>
  <w:style w:type="paragraph" w:styleId="25">
    <w:name w:val="toc 2"/>
    <w:basedOn w:val="1"/>
    <w:next w:val="1"/>
    <w:autoRedefine/>
    <w:qFormat/>
    <w:uiPriority w:val="39"/>
    <w:pPr>
      <w:ind w:left="420" w:leftChars="200"/>
    </w:pPr>
  </w:style>
  <w:style w:type="paragraph" w:styleId="2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29">
    <w:name w:val="Body Text First Indent"/>
    <w:basedOn w:val="15"/>
    <w:next w:val="30"/>
    <w:autoRedefine/>
    <w:qFormat/>
    <w:uiPriority w:val="0"/>
    <w:pPr>
      <w:spacing w:line="360" w:lineRule="auto"/>
      <w:ind w:firstLine="420"/>
    </w:pPr>
    <w:rPr>
      <w:rFonts w:ascii="宋体" w:hAnsi="宋体"/>
      <w:sz w:val="24"/>
    </w:rPr>
  </w:style>
  <w:style w:type="paragraph" w:styleId="30">
    <w:name w:val="Body Text First Indent 2"/>
    <w:basedOn w:val="16"/>
    <w:next w:val="1"/>
    <w:autoRedefine/>
    <w:qFormat/>
    <w:uiPriority w:val="0"/>
    <w:pPr>
      <w:spacing w:after="120" w:line="240" w:lineRule="auto"/>
      <w:ind w:left="420" w:leftChars="200"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autoRedefine/>
    <w:qFormat/>
    <w:uiPriority w:val="0"/>
  </w:style>
  <w:style w:type="character" w:styleId="35">
    <w:name w:val="Hyperlink"/>
    <w:basedOn w:val="33"/>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3"/>
    <w:autoRedefine/>
    <w:qFormat/>
    <w:uiPriority w:val="0"/>
    <w:rPr>
      <w:sz w:val="21"/>
      <w:szCs w:val="21"/>
    </w:rPr>
  </w:style>
  <w:style w:type="paragraph" w:customStyle="1" w:styleId="37">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8">
    <w:name w:val="标题 31"/>
    <w:basedOn w:val="1"/>
    <w:next w:val="1"/>
    <w:autoRedefine/>
    <w:qFormat/>
    <w:uiPriority w:val="0"/>
    <w:pPr>
      <w:keepNext/>
      <w:keepLines/>
      <w:spacing w:before="260" w:after="260" w:line="413" w:lineRule="auto"/>
      <w:outlineLvl w:val="2"/>
    </w:pPr>
    <w:rPr>
      <w:b/>
      <w:sz w:val="32"/>
    </w:rPr>
  </w:style>
  <w:style w:type="paragraph" w:styleId="3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0">
    <w:name w:val="Char Char Char Char1"/>
    <w:basedOn w:val="1"/>
    <w:next w:val="1"/>
    <w:autoRedefine/>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41">
    <w:name w:val="无间隔1"/>
    <w:autoRedefine/>
    <w:qFormat/>
    <w:uiPriority w:val="1"/>
    <w:pPr>
      <w:jc w:val="both"/>
    </w:pPr>
    <w:rPr>
      <w:rFonts w:ascii="Calibri" w:hAnsi="Calibri" w:eastAsia="Times New Roman" w:cs="Times New Roman"/>
      <w:lang w:val="en-US" w:eastAsia="zh-CN" w:bidi="ar-SA"/>
    </w:rPr>
  </w:style>
  <w:style w:type="character" w:customStyle="1" w:styleId="42">
    <w:name w:val="标题 2 字符"/>
    <w:link w:val="4"/>
    <w:autoRedefine/>
    <w:qFormat/>
    <w:locked/>
    <w:uiPriority w:val="0"/>
    <w:rPr>
      <w:rFonts w:eastAsia="方正小标宋_GBK" w:asciiTheme="majorHAnsi" w:hAnsiTheme="majorHAnsi" w:cstheme="majorBidi"/>
      <w:bCs/>
      <w:kern w:val="2"/>
      <w:sz w:val="32"/>
      <w:szCs w:val="32"/>
    </w:rPr>
  </w:style>
  <w:style w:type="character" w:customStyle="1" w:styleId="43">
    <w:name w:val="标题 1 字符"/>
    <w:basedOn w:val="33"/>
    <w:link w:val="3"/>
    <w:autoRedefine/>
    <w:qFormat/>
    <w:uiPriority w:val="0"/>
    <w:rPr>
      <w:rFonts w:ascii="方正小标宋_GBK" w:hAnsi="方正小标宋_GBK" w:eastAsia="仿宋" w:cs="方正小标宋_GBK"/>
      <w:kern w:val="36"/>
      <w:sz w:val="36"/>
      <w:szCs w:val="32"/>
    </w:rPr>
  </w:style>
  <w:style w:type="character" w:customStyle="1" w:styleId="44">
    <w:name w:val="标题 3 字符"/>
    <w:link w:val="5"/>
    <w:autoRedefine/>
    <w:qFormat/>
    <w:locked/>
    <w:uiPriority w:val="0"/>
    <w:rPr>
      <w:rFonts w:ascii="方正小标宋_GBK" w:hAnsi="方正小标宋_GBK" w:eastAsia="方正小标宋_GBK" w:cs="方正小标宋_GBK"/>
      <w:kern w:val="2"/>
      <w:sz w:val="32"/>
      <w:szCs w:val="32"/>
    </w:rPr>
  </w:style>
  <w:style w:type="character" w:customStyle="1" w:styleId="45">
    <w:name w:val="标题 4 字符"/>
    <w:link w:val="6"/>
    <w:autoRedefine/>
    <w:qFormat/>
    <w:locked/>
    <w:uiPriority w:val="0"/>
    <w:rPr>
      <w:rFonts w:ascii="方正小标宋_GBK" w:hAnsi="方正小标宋_GBK" w:eastAsia="方正小标宋_GBK" w:cs="方正仿宋_GBK"/>
      <w:kern w:val="2"/>
      <w:sz w:val="32"/>
      <w:szCs w:val="28"/>
    </w:rPr>
  </w:style>
  <w:style w:type="paragraph" w:customStyle="1" w:styleId="46">
    <w:name w:val="图例"/>
    <w:basedOn w:val="1"/>
    <w:autoRedefine/>
    <w:qFormat/>
    <w:uiPriority w:val="0"/>
    <w:pPr>
      <w:spacing w:line="360" w:lineRule="auto"/>
      <w:jc w:val="center"/>
    </w:pPr>
    <w:rPr>
      <w:rFonts w:eastAsia="仿宋_GB2312"/>
      <w:b/>
      <w:sz w:val="24"/>
    </w:rPr>
  </w:style>
  <w:style w:type="paragraph" w:customStyle="1" w:styleId="47">
    <w:name w:val="1"/>
    <w:basedOn w:val="1"/>
    <w:next w:val="18"/>
    <w:autoRedefine/>
    <w:qFormat/>
    <w:uiPriority w:val="0"/>
    <w:rPr>
      <w:rFonts w:ascii="宋体" w:hAnsi="Courier New"/>
      <w:sz w:val="21"/>
    </w:rPr>
  </w:style>
  <w:style w:type="paragraph" w:customStyle="1" w:styleId="48">
    <w:name w:val="摘要"/>
    <w:basedOn w:val="1"/>
    <w:next w:val="4"/>
    <w:autoRedefine/>
    <w:qFormat/>
    <w:uiPriority w:val="0"/>
    <w:pPr>
      <w:spacing w:line="360" w:lineRule="auto"/>
    </w:pPr>
    <w:rPr>
      <w:rFonts w:eastAsia="黑体"/>
      <w:sz w:val="20"/>
    </w:rPr>
  </w:style>
  <w:style w:type="paragraph" w:customStyle="1" w:styleId="49">
    <w:name w:val="Default"/>
    <w:autoRedefine/>
    <w:qFormat/>
    <w:uiPriority w:val="0"/>
    <w:pPr>
      <w:widowControl w:val="0"/>
      <w:autoSpaceDE w:val="0"/>
      <w:autoSpaceDN w:val="0"/>
      <w:adjustRightInd w:val="0"/>
    </w:pPr>
    <w:rPr>
      <w:rFonts w:ascii="宋体" w:hAnsi="Calibri" w:eastAsia="微软雅黑" w:cs="Times New Roman"/>
      <w:color w:val="000000"/>
      <w:sz w:val="24"/>
      <w:lang w:val="en-US" w:eastAsia="zh-CN" w:bidi="ar-SA"/>
    </w:rPr>
  </w:style>
  <w:style w:type="paragraph" w:customStyle="1" w:styleId="5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autoRedefine/>
    <w:qFormat/>
    <w:uiPriority w:val="0"/>
    <w:pPr>
      <w:spacing w:line="300" w:lineRule="auto"/>
      <w:ind w:firstLine="200" w:firstLineChars="200"/>
    </w:pPr>
    <w:rPr>
      <w:sz w:val="24"/>
    </w:rPr>
  </w:style>
  <w:style w:type="paragraph" w:customStyle="1" w:styleId="52">
    <w:name w:val="正文文本1"/>
    <w:basedOn w:val="51"/>
    <w:next w:val="53"/>
    <w:autoRedefine/>
    <w:qFormat/>
    <w:uiPriority w:val="0"/>
    <w:rPr>
      <w:rFonts w:ascii="??_GB2312;??" w:hAnsi="??_GB2312;??" w:eastAsia="Times New Roman"/>
      <w:sz w:val="32"/>
    </w:rPr>
  </w:style>
  <w:style w:type="paragraph" w:customStyle="1" w:styleId="53">
    <w:name w:val="目录 53"/>
    <w:next w:val="1"/>
    <w:autoRedefine/>
    <w:qFormat/>
    <w:uiPriority w:val="0"/>
    <w:pPr>
      <w:ind w:left="1275"/>
      <w:jc w:val="both"/>
    </w:pPr>
    <w:rPr>
      <w:rFonts w:ascii="Calibri" w:hAnsi="Calibri" w:eastAsia="宋体" w:cs="Calibri"/>
      <w:sz w:val="21"/>
      <w:lang w:val="en-US" w:eastAsia="zh-CN" w:bidi="ar-SA"/>
    </w:rPr>
  </w:style>
  <w:style w:type="character" w:customStyle="1" w:styleId="54">
    <w:name w:val="批注框文本 字符"/>
    <w:basedOn w:val="33"/>
    <w:link w:val="21"/>
    <w:autoRedefine/>
    <w:qFormat/>
    <w:uiPriority w:val="0"/>
    <w:rPr>
      <w:kern w:val="2"/>
      <w:sz w:val="18"/>
      <w:szCs w:val="18"/>
    </w:rPr>
  </w:style>
  <w:style w:type="paragraph" w:customStyle="1" w:styleId="55">
    <w:name w:val="首行缩进"/>
    <w:basedOn w:val="1"/>
    <w:autoRedefine/>
    <w:qFormat/>
    <w:uiPriority w:val="0"/>
    <w:pPr>
      <w:numPr>
        <w:ilvl w:val="0"/>
        <w:numId w:val="2"/>
      </w:numPr>
      <w:tabs>
        <w:tab w:val="left" w:pos="540"/>
      </w:tabs>
      <w:spacing w:line="360" w:lineRule="auto"/>
    </w:pPr>
    <w:rPr>
      <w:rFonts w:eastAsia="仿宋_GB2312"/>
    </w:rPr>
  </w:style>
  <w:style w:type="paragraph" w:customStyle="1" w:styleId="56">
    <w:name w:val="_Style 2"/>
    <w:basedOn w:val="1"/>
    <w:autoRedefine/>
    <w:qFormat/>
    <w:uiPriority w:val="34"/>
    <w:pPr>
      <w:ind w:firstLine="420" w:firstLineChars="200"/>
    </w:pPr>
  </w:style>
  <w:style w:type="paragraph" w:customStyle="1" w:styleId="57">
    <w:name w:val="正文（缩进）"/>
    <w:autoRedefine/>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Table Text"/>
    <w:basedOn w:val="1"/>
    <w:autoRedefine/>
    <w:semiHidden/>
    <w:qFormat/>
    <w:uiPriority w:val="0"/>
    <w:rPr>
      <w:rFonts w:ascii="Arial" w:hAnsi="Arial" w:eastAsia="Arial" w:cs="Arial"/>
      <w:sz w:val="21"/>
      <w:szCs w:val="21"/>
      <w:lang w:val="en-US" w:eastAsia="en-US" w:bidi="ar-SA"/>
    </w:rPr>
  </w:style>
  <w:style w:type="paragraph" w:customStyle="1" w:styleId="60">
    <w:name w:val="正文-奇安信"/>
    <w:basedOn w:val="1"/>
    <w:autoRedefine/>
    <w:qFormat/>
    <w:uiPriority w:val="0"/>
    <w:pPr>
      <w:spacing w:line="360" w:lineRule="auto"/>
      <w:ind w:firstLine="420"/>
    </w:pPr>
    <w:rPr>
      <w:szCs w:val="20"/>
    </w:rPr>
  </w:style>
  <w:style w:type="paragraph" w:customStyle="1" w:styleId="61">
    <w:name w:val="列表段落1"/>
    <w:basedOn w:val="1"/>
    <w:autoRedefine/>
    <w:qFormat/>
    <w:uiPriority w:val="0"/>
    <w:pPr>
      <w:ind w:firstLine="420" w:firstLineChars="200"/>
    </w:pPr>
    <w:rPr>
      <w:rFonts w:ascii="等线" w:hAnsi="等线" w:eastAsia="等线" w:cs="Times New Roman"/>
      <w:szCs w:val="21"/>
    </w:rPr>
  </w:style>
  <w:style w:type="character" w:customStyle="1" w:styleId="62">
    <w:name w:val="15"/>
    <w:basedOn w:val="33"/>
    <w:autoRedefine/>
    <w:qFormat/>
    <w:uiPriority w:val="0"/>
    <w:rPr>
      <w:rFonts w:hint="eastAsia" w:ascii="宋体" w:hAnsi="宋体" w:eastAsia="宋体" w:cs="宋体"/>
      <w:spacing w:val="0"/>
      <w:kern w:val="2"/>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0E606-881C-4CFF-A169-A3EE81D66161}">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103</Pages>
  <Words>17060</Words>
  <Characters>18057</Characters>
  <Lines>50</Lines>
  <Paragraphs>45</Paragraphs>
  <TotalTime>1</TotalTime>
  <ScaleCrop>false</ScaleCrop>
  <LinksUpToDate>false</LinksUpToDate>
  <CharactersWithSpaces>18260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2022-12-06T19:38:00Z</dcterms:created>
  <dc:creator>Lenovo</dc:creator>
  <cp:lastModifiedBy>Administrator</cp:lastModifiedBy>
  <cp:lastPrinted>2023-03-06T14:20:00Z</cp:lastPrinted>
  <dcterms:modified xsi:type="dcterms:W3CDTF">2025-09-17T03:08:02Z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EDCF4D90127E4993BC28697FFB856087_13</vt:lpwstr>
  </property>
  <property fmtid="{D5CDD505-2E9C-101B-9397-08002B2CF9AE}" pid="4" name="KSOTemplateDocerSaveRecord">
    <vt:lpwstr>eyJoZGlkIjoiMDMxZGYxY2IyNzMzY2RmZTNiZWJiNjEzZDdkZjdiNTciLCJ1c2VySWQiOiIyMDk3Njc4NTMifQ==</vt:lpwstr>
  </property>
</Properties>
</file>