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82AE4">
      <w:pPr>
        <w:spacing w:line="360" w:lineRule="auto"/>
        <w:ind w:firstLine="320" w:firstLineChars="100"/>
        <w:jc w:val="center"/>
        <w:outlineLvl w:val="0"/>
        <w:rPr>
          <w:rFonts w:ascii="宋体" w:hAnsi="宋体" w:cs="宋体"/>
          <w:sz w:val="32"/>
          <w:szCs w:val="32"/>
        </w:rPr>
      </w:pPr>
      <w:bookmarkStart w:id="0" w:name="_Toc216768141"/>
      <w:bookmarkStart w:id="1" w:name="_Toc28843"/>
      <w:bookmarkStart w:id="2" w:name="_Toc5767"/>
      <w:bookmarkStart w:id="3" w:name="_Toc287620665"/>
      <w:r>
        <w:rPr>
          <w:rFonts w:hint="eastAsia" w:ascii="宋体" w:hAnsi="宋体" w:cs="宋体"/>
          <w:sz w:val="32"/>
          <w:szCs w:val="32"/>
        </w:rPr>
        <w:t>项目名称：食材集采项目分拣仓数字化建设和配套提升工程（第二次）</w:t>
      </w:r>
      <w:bookmarkEnd w:id="0"/>
    </w:p>
    <w:p w14:paraId="5BDFE75B">
      <w:pPr>
        <w:rPr>
          <w:rFonts w:ascii="宋体" w:hAnsi="宋体" w:cs="宋体"/>
          <w:sz w:val="36"/>
          <w:szCs w:val="22"/>
        </w:rPr>
      </w:pPr>
    </w:p>
    <w:p w14:paraId="3FE21644">
      <w:pPr>
        <w:snapToGrid w:val="0"/>
        <w:jc w:val="center"/>
        <w:rPr>
          <w:rFonts w:ascii="宋体" w:hAnsi="宋体" w:cs="宋体"/>
          <w:sz w:val="144"/>
          <w:szCs w:val="144"/>
        </w:rPr>
      </w:pPr>
    </w:p>
    <w:p w14:paraId="11C58EBC">
      <w:pPr>
        <w:snapToGrid w:val="0"/>
        <w:jc w:val="center"/>
        <w:rPr>
          <w:rFonts w:ascii="宋体" w:hAnsi="宋体" w:cs="宋体"/>
          <w:sz w:val="110"/>
          <w:szCs w:val="110"/>
        </w:rPr>
      </w:pPr>
    </w:p>
    <w:p w14:paraId="582140DD">
      <w:pPr>
        <w:snapToGrid w:val="0"/>
        <w:jc w:val="center"/>
        <w:rPr>
          <w:rFonts w:ascii="宋体" w:hAnsi="宋体" w:cs="宋体"/>
          <w:sz w:val="110"/>
          <w:szCs w:val="110"/>
        </w:rPr>
      </w:pPr>
      <w:r>
        <w:rPr>
          <w:rFonts w:hint="eastAsia" w:ascii="宋体" w:hAnsi="宋体" w:cs="宋体"/>
          <w:sz w:val="110"/>
          <w:szCs w:val="110"/>
        </w:rPr>
        <w:t>竞争性比选文件</w:t>
      </w:r>
    </w:p>
    <w:p w14:paraId="3F153AC8">
      <w:pPr>
        <w:spacing w:line="700" w:lineRule="exact"/>
        <w:jc w:val="center"/>
        <w:rPr>
          <w:rFonts w:ascii="宋体" w:hAnsi="宋体" w:cs="宋体"/>
          <w:sz w:val="40"/>
          <w:szCs w:val="22"/>
        </w:rPr>
      </w:pPr>
    </w:p>
    <w:p w14:paraId="625F6831">
      <w:pPr>
        <w:spacing w:line="700" w:lineRule="exact"/>
        <w:rPr>
          <w:rFonts w:ascii="宋体" w:hAnsi="宋体" w:cs="宋体"/>
          <w:sz w:val="40"/>
          <w:szCs w:val="22"/>
        </w:rPr>
      </w:pPr>
    </w:p>
    <w:p w14:paraId="4C6C96E3">
      <w:pPr>
        <w:spacing w:line="700" w:lineRule="exact"/>
        <w:rPr>
          <w:rFonts w:ascii="宋体" w:hAnsi="宋体" w:cs="宋体"/>
          <w:sz w:val="40"/>
          <w:szCs w:val="22"/>
        </w:rPr>
      </w:pPr>
    </w:p>
    <w:p w14:paraId="5F836B75">
      <w:pPr>
        <w:spacing w:line="500" w:lineRule="exact"/>
        <w:outlineLvl w:val="0"/>
        <w:rPr>
          <w:rFonts w:ascii="宋体" w:hAnsi="宋体" w:cs="宋体"/>
          <w:sz w:val="44"/>
          <w:szCs w:val="22"/>
        </w:rPr>
      </w:pPr>
    </w:p>
    <w:p w14:paraId="391DF244">
      <w:pPr>
        <w:pStyle w:val="138"/>
        <w:rPr>
          <w:rFonts w:ascii="宋体" w:hAnsi="宋体" w:cs="宋体"/>
          <w:color w:val="auto"/>
        </w:rPr>
      </w:pPr>
    </w:p>
    <w:p w14:paraId="1BEB59DE">
      <w:pPr>
        <w:rPr>
          <w:rFonts w:ascii="宋体" w:hAnsi="宋体" w:cs="宋体"/>
        </w:rPr>
      </w:pPr>
    </w:p>
    <w:p w14:paraId="273B227C">
      <w:pPr>
        <w:spacing w:line="360" w:lineRule="auto"/>
        <w:ind w:left="2318" w:leftChars="342" w:hanging="1600" w:hangingChars="500"/>
        <w:outlineLvl w:val="0"/>
        <w:rPr>
          <w:rFonts w:ascii="宋体" w:hAnsi="宋体" w:cs="宋体"/>
          <w:sz w:val="32"/>
          <w:szCs w:val="32"/>
        </w:rPr>
      </w:pPr>
    </w:p>
    <w:p w14:paraId="34653FA4">
      <w:pPr>
        <w:spacing w:line="500" w:lineRule="exact"/>
        <w:ind w:firstLine="800" w:firstLineChars="250"/>
        <w:outlineLvl w:val="0"/>
        <w:rPr>
          <w:rFonts w:ascii="宋体" w:hAnsi="宋体" w:cs="宋体"/>
          <w:sz w:val="32"/>
          <w:szCs w:val="32"/>
        </w:rPr>
      </w:pPr>
    </w:p>
    <w:p w14:paraId="2B469956">
      <w:pPr>
        <w:pStyle w:val="138"/>
        <w:rPr>
          <w:rFonts w:ascii="宋体" w:hAnsi="宋体" w:cs="宋体"/>
          <w:color w:val="auto"/>
        </w:rPr>
      </w:pPr>
    </w:p>
    <w:p w14:paraId="7F895EA2">
      <w:pPr>
        <w:rPr>
          <w:rFonts w:ascii="宋体" w:hAnsi="宋体" w:cs="宋体"/>
        </w:rPr>
      </w:pPr>
    </w:p>
    <w:p w14:paraId="22D3B0D2">
      <w:pPr>
        <w:spacing w:line="360" w:lineRule="auto"/>
        <w:ind w:firstLine="1920" w:firstLineChars="600"/>
        <w:outlineLvl w:val="0"/>
        <w:rPr>
          <w:rFonts w:ascii="宋体" w:hAnsi="宋体" w:cs="宋体"/>
          <w:sz w:val="32"/>
          <w:szCs w:val="32"/>
        </w:rPr>
      </w:pPr>
      <w:bookmarkStart w:id="4" w:name="_Toc216768142"/>
      <w:r>
        <w:rPr>
          <w:rFonts w:hint="eastAsia" w:ascii="宋体" w:hAnsi="宋体" w:cs="宋体"/>
          <w:sz w:val="32"/>
          <w:szCs w:val="32"/>
        </w:rPr>
        <w:t>招标人：重庆市正联实业发展有限公司</w:t>
      </w:r>
      <w:bookmarkEnd w:id="4"/>
    </w:p>
    <w:p w14:paraId="1024E412">
      <w:pPr>
        <w:spacing w:line="360" w:lineRule="auto"/>
        <w:ind w:firstLine="1920" w:firstLineChars="600"/>
        <w:outlineLvl w:val="0"/>
        <w:rPr>
          <w:rFonts w:ascii="宋体" w:hAnsi="宋体" w:cs="宋体"/>
          <w:sz w:val="32"/>
          <w:szCs w:val="32"/>
        </w:rPr>
      </w:pPr>
      <w:bookmarkStart w:id="5" w:name="_Toc216768143"/>
      <w:r>
        <w:rPr>
          <w:rFonts w:hint="eastAsia" w:ascii="宋体" w:hAnsi="宋体" w:cs="宋体"/>
          <w:sz w:val="32"/>
          <w:szCs w:val="32"/>
        </w:rPr>
        <w:t>采购代理机构：重庆凯弘工程咨询有限公司</w:t>
      </w:r>
      <w:bookmarkEnd w:id="5"/>
    </w:p>
    <w:p w14:paraId="17641365">
      <w:pPr>
        <w:snapToGrid w:val="0"/>
        <w:spacing w:line="560" w:lineRule="exact"/>
        <w:jc w:val="center"/>
        <w:rPr>
          <w:rFonts w:ascii="宋体" w:hAnsi="宋体" w:cs="宋体"/>
          <w:b/>
          <w:sz w:val="40"/>
          <w:szCs w:val="40"/>
        </w:rPr>
        <w:sectPr>
          <w:headerReference r:id="rId8" w:type="first"/>
          <w:headerReference r:id="rId6" w:type="default"/>
          <w:headerReference r:id="rId7" w:type="even"/>
          <w:footerReference r:id="rId9" w:type="even"/>
          <w:pgSz w:w="11907" w:h="16840"/>
          <w:pgMar w:top="1134" w:right="1134" w:bottom="1134" w:left="1134" w:header="851" w:footer="992" w:gutter="0"/>
          <w:pgNumType w:fmt="numberInDash" w:start="0"/>
          <w:cols w:space="720" w:num="1"/>
          <w:titlePg/>
          <w:docGrid w:linePitch="380" w:charSpace="-5735"/>
        </w:sectPr>
      </w:pPr>
      <w:r>
        <w:rPr>
          <w:rFonts w:hint="eastAsia" w:ascii="宋体" w:hAnsi="宋体" w:cs="宋体"/>
          <w:sz w:val="32"/>
          <w:szCs w:val="32"/>
        </w:rPr>
        <w:t>二〇二五年十二月</w:t>
      </w:r>
    </w:p>
    <w:p w14:paraId="42C0AC41">
      <w:pPr>
        <w:pStyle w:val="119"/>
        <w:jc w:val="center"/>
        <w:rPr>
          <w:rFonts w:ascii="宋体" w:hAnsi="宋体"/>
          <w:color w:val="auto"/>
          <w:sz w:val="44"/>
          <w:szCs w:val="44"/>
        </w:rPr>
      </w:pPr>
      <w:r>
        <w:rPr>
          <w:rFonts w:ascii="宋体" w:hAnsi="宋体"/>
          <w:color w:val="auto"/>
          <w:sz w:val="44"/>
          <w:szCs w:val="44"/>
          <w:lang w:val="zh-CN"/>
        </w:rPr>
        <w:t>目</w:t>
      </w:r>
      <w:r>
        <w:rPr>
          <w:rFonts w:hint="eastAsia" w:ascii="宋体" w:hAnsi="宋体"/>
          <w:color w:val="auto"/>
          <w:sz w:val="44"/>
          <w:szCs w:val="44"/>
          <w:lang w:val="zh-CN"/>
        </w:rPr>
        <w:t xml:space="preserve"> </w:t>
      </w:r>
      <w:r>
        <w:rPr>
          <w:rFonts w:ascii="宋体" w:hAnsi="宋体"/>
          <w:color w:val="auto"/>
          <w:sz w:val="44"/>
          <w:szCs w:val="44"/>
          <w:lang w:val="zh-CN"/>
        </w:rPr>
        <w:t>录</w:t>
      </w:r>
      <w:bookmarkEnd w:id="1"/>
      <w:bookmarkEnd w:id="2"/>
    </w:p>
    <w:p w14:paraId="5007E3F6">
      <w:pPr>
        <w:pStyle w:val="31"/>
        <w:tabs>
          <w:tab w:val="right" w:leader="dot" w:pos="9459"/>
        </w:tabs>
        <w:rPr>
          <w:rFonts w:asciiTheme="minorHAnsi" w:hAnsiTheme="minorHAnsi" w:eastAsiaTheme="minorEastAsia" w:cstheme="minorBidi"/>
          <w:b w:val="0"/>
          <w:bCs w:val="0"/>
          <w:caps w:val="0"/>
          <w:sz w:val="21"/>
          <w:szCs w:val="22"/>
        </w:rPr>
      </w:pPr>
      <w:r>
        <w:rPr>
          <w:rFonts w:hint="eastAsia" w:ascii="宋体" w:hAnsi="宋体" w:cs="宋体"/>
          <w:sz w:val="30"/>
          <w:szCs w:val="30"/>
        </w:rPr>
        <w:fldChar w:fldCharType="begin"/>
      </w:r>
      <w:r>
        <w:rPr>
          <w:rFonts w:hint="eastAsia" w:ascii="宋体" w:hAnsi="宋体" w:cs="宋体"/>
          <w:sz w:val="30"/>
          <w:szCs w:val="30"/>
        </w:rPr>
        <w:instrText xml:space="preserve"> TOC \o "1-3" \h \z \u </w:instrText>
      </w:r>
      <w:r>
        <w:rPr>
          <w:rFonts w:hint="eastAsia" w:ascii="宋体" w:hAnsi="宋体" w:cs="宋体"/>
          <w:sz w:val="30"/>
          <w:szCs w:val="30"/>
        </w:rPr>
        <w:fldChar w:fldCharType="separate"/>
      </w:r>
      <w:r>
        <w:fldChar w:fldCharType="begin"/>
      </w:r>
      <w:r>
        <w:instrText xml:space="preserve"> HYPERLINK \l "_Toc216768144" </w:instrText>
      </w:r>
      <w:r>
        <w:fldChar w:fldCharType="separate"/>
      </w:r>
      <w:r>
        <w:rPr>
          <w:rStyle w:val="53"/>
          <w:rFonts w:hint="eastAsia" w:ascii="宋体" w:hAnsi="宋体"/>
        </w:rPr>
        <w:t>第</w:t>
      </w:r>
      <w:r>
        <w:rPr>
          <w:rStyle w:val="53"/>
          <w:rFonts w:ascii="宋体" w:hAnsi="宋体"/>
        </w:rPr>
        <w:t xml:space="preserve"> </w:t>
      </w:r>
      <w:r>
        <w:rPr>
          <w:rStyle w:val="53"/>
          <w:rFonts w:hint="eastAsia" w:ascii="宋体" w:hAnsi="宋体"/>
        </w:rPr>
        <w:t>一</w:t>
      </w:r>
      <w:r>
        <w:rPr>
          <w:rStyle w:val="53"/>
          <w:rFonts w:ascii="宋体" w:hAnsi="宋体"/>
        </w:rPr>
        <w:t xml:space="preserve"> </w:t>
      </w:r>
      <w:r>
        <w:rPr>
          <w:rStyle w:val="53"/>
          <w:rFonts w:hint="eastAsia" w:ascii="宋体" w:hAnsi="宋体"/>
        </w:rPr>
        <w:t>卷</w:t>
      </w:r>
      <w:r>
        <w:tab/>
      </w:r>
      <w:r>
        <w:fldChar w:fldCharType="begin"/>
      </w:r>
      <w:r>
        <w:instrText xml:space="preserve"> PAGEREF _Toc216768144 \h </w:instrText>
      </w:r>
      <w:r>
        <w:fldChar w:fldCharType="separate"/>
      </w:r>
      <w:r>
        <w:t>4</w:t>
      </w:r>
      <w:r>
        <w:fldChar w:fldCharType="end"/>
      </w:r>
      <w:r>
        <w:fldChar w:fldCharType="end"/>
      </w:r>
    </w:p>
    <w:p w14:paraId="372F1818">
      <w:pPr>
        <w:pStyle w:val="31"/>
        <w:tabs>
          <w:tab w:val="right" w:leader="dot" w:pos="9459"/>
        </w:tabs>
        <w:rPr>
          <w:rFonts w:asciiTheme="minorHAnsi" w:hAnsiTheme="minorHAnsi" w:eastAsiaTheme="minorEastAsia" w:cstheme="minorBidi"/>
          <w:b w:val="0"/>
          <w:bCs w:val="0"/>
          <w:caps w:val="0"/>
          <w:sz w:val="21"/>
          <w:szCs w:val="22"/>
        </w:rPr>
      </w:pPr>
      <w:r>
        <w:fldChar w:fldCharType="begin"/>
      </w:r>
      <w:r>
        <w:instrText xml:space="preserve"> HYPERLINK \l "_Toc216768145" </w:instrText>
      </w:r>
      <w:r>
        <w:fldChar w:fldCharType="separate"/>
      </w:r>
      <w:r>
        <w:rPr>
          <w:rStyle w:val="53"/>
          <w:rFonts w:hint="eastAsia" w:ascii="宋体" w:hAnsi="宋体"/>
          <w:snapToGrid w:val="0"/>
          <w:kern w:val="0"/>
        </w:rPr>
        <w:t>第一章</w:t>
      </w:r>
      <w:r>
        <w:rPr>
          <w:rStyle w:val="53"/>
          <w:rFonts w:ascii="宋体" w:hAnsi="宋体"/>
          <w:snapToGrid w:val="0"/>
          <w:kern w:val="0"/>
        </w:rPr>
        <w:t xml:space="preserve">  </w:t>
      </w:r>
      <w:r>
        <w:rPr>
          <w:rStyle w:val="53"/>
          <w:rFonts w:hint="eastAsia" w:ascii="宋体" w:hAnsi="宋体"/>
          <w:snapToGrid w:val="0"/>
          <w:kern w:val="0"/>
        </w:rPr>
        <w:t>比选公告</w:t>
      </w:r>
      <w:r>
        <w:tab/>
      </w:r>
      <w:r>
        <w:fldChar w:fldCharType="begin"/>
      </w:r>
      <w:r>
        <w:instrText xml:space="preserve"> PAGEREF _Toc216768145 \h </w:instrText>
      </w:r>
      <w:r>
        <w:fldChar w:fldCharType="separate"/>
      </w:r>
      <w:r>
        <w:t>5</w:t>
      </w:r>
      <w:r>
        <w:fldChar w:fldCharType="end"/>
      </w:r>
      <w:r>
        <w:fldChar w:fldCharType="end"/>
      </w:r>
    </w:p>
    <w:p w14:paraId="6AF0CF80">
      <w:pPr>
        <w:pStyle w:val="37"/>
        <w:tabs>
          <w:tab w:val="right" w:leader="dot" w:pos="9459"/>
        </w:tabs>
        <w:rPr>
          <w:rFonts w:asciiTheme="minorHAnsi" w:hAnsiTheme="minorHAnsi" w:eastAsiaTheme="minorEastAsia" w:cstheme="minorBidi"/>
          <w:smallCaps w:val="0"/>
          <w:sz w:val="21"/>
          <w:szCs w:val="22"/>
        </w:rPr>
      </w:pPr>
      <w:r>
        <w:fldChar w:fldCharType="begin"/>
      </w:r>
      <w:r>
        <w:instrText xml:space="preserve"> HYPERLINK \l "_Toc216768146" </w:instrText>
      </w:r>
      <w:r>
        <w:fldChar w:fldCharType="separate"/>
      </w:r>
      <w:r>
        <w:rPr>
          <w:rStyle w:val="53"/>
          <w:rFonts w:ascii="宋体" w:hAnsi="宋体"/>
          <w:snapToGrid w:val="0"/>
        </w:rPr>
        <w:t xml:space="preserve">1.  </w:t>
      </w:r>
      <w:r>
        <w:rPr>
          <w:rStyle w:val="53"/>
          <w:rFonts w:hint="eastAsia" w:ascii="宋体" w:hAnsi="宋体"/>
          <w:snapToGrid w:val="0"/>
        </w:rPr>
        <w:t>招标条件</w:t>
      </w:r>
      <w:r>
        <w:tab/>
      </w:r>
      <w:r>
        <w:fldChar w:fldCharType="begin"/>
      </w:r>
      <w:r>
        <w:instrText xml:space="preserve"> PAGEREF _Toc216768146 \h </w:instrText>
      </w:r>
      <w:r>
        <w:fldChar w:fldCharType="separate"/>
      </w:r>
      <w:r>
        <w:t>5</w:t>
      </w:r>
      <w:r>
        <w:fldChar w:fldCharType="end"/>
      </w:r>
      <w:r>
        <w:fldChar w:fldCharType="end"/>
      </w:r>
    </w:p>
    <w:p w14:paraId="5EA3D0A1">
      <w:pPr>
        <w:pStyle w:val="37"/>
        <w:tabs>
          <w:tab w:val="right" w:leader="dot" w:pos="9459"/>
        </w:tabs>
        <w:rPr>
          <w:rFonts w:asciiTheme="minorHAnsi" w:hAnsiTheme="minorHAnsi" w:eastAsiaTheme="minorEastAsia" w:cstheme="minorBidi"/>
          <w:smallCaps w:val="0"/>
          <w:sz w:val="21"/>
          <w:szCs w:val="22"/>
        </w:rPr>
      </w:pPr>
      <w:r>
        <w:fldChar w:fldCharType="begin"/>
      </w:r>
      <w:r>
        <w:instrText xml:space="preserve"> HYPERLINK \l "_Toc216768147" </w:instrText>
      </w:r>
      <w:r>
        <w:fldChar w:fldCharType="separate"/>
      </w:r>
      <w:r>
        <w:rPr>
          <w:rStyle w:val="53"/>
          <w:rFonts w:ascii="宋体" w:hAnsi="宋体"/>
          <w:snapToGrid w:val="0"/>
        </w:rPr>
        <w:t xml:space="preserve">2.  </w:t>
      </w:r>
      <w:r>
        <w:rPr>
          <w:rStyle w:val="53"/>
          <w:rFonts w:hint="eastAsia" w:ascii="宋体" w:hAnsi="宋体"/>
          <w:snapToGrid w:val="0"/>
        </w:rPr>
        <w:t>项目概况与招标范围</w:t>
      </w:r>
      <w:r>
        <w:tab/>
      </w:r>
      <w:r>
        <w:fldChar w:fldCharType="begin"/>
      </w:r>
      <w:r>
        <w:instrText xml:space="preserve"> PAGEREF _Toc216768147 \h </w:instrText>
      </w:r>
      <w:r>
        <w:fldChar w:fldCharType="separate"/>
      </w:r>
      <w:r>
        <w:t>5</w:t>
      </w:r>
      <w:r>
        <w:fldChar w:fldCharType="end"/>
      </w:r>
      <w:r>
        <w:fldChar w:fldCharType="end"/>
      </w:r>
    </w:p>
    <w:p w14:paraId="6300D6B6">
      <w:pPr>
        <w:pStyle w:val="37"/>
        <w:tabs>
          <w:tab w:val="right" w:leader="dot" w:pos="9459"/>
        </w:tabs>
        <w:rPr>
          <w:rFonts w:asciiTheme="minorHAnsi" w:hAnsiTheme="minorHAnsi" w:eastAsiaTheme="minorEastAsia" w:cstheme="minorBidi"/>
          <w:smallCaps w:val="0"/>
          <w:sz w:val="21"/>
          <w:szCs w:val="22"/>
        </w:rPr>
      </w:pPr>
      <w:r>
        <w:fldChar w:fldCharType="begin"/>
      </w:r>
      <w:r>
        <w:instrText xml:space="preserve"> HYPERLINK \l "_Toc216768148" </w:instrText>
      </w:r>
      <w:r>
        <w:fldChar w:fldCharType="separate"/>
      </w:r>
      <w:r>
        <w:rPr>
          <w:rStyle w:val="53"/>
          <w:rFonts w:ascii="宋体" w:hAnsi="宋体"/>
          <w:snapToGrid w:val="0"/>
        </w:rPr>
        <w:t xml:space="preserve">3.  </w:t>
      </w:r>
      <w:r>
        <w:rPr>
          <w:rStyle w:val="53"/>
          <w:rFonts w:hint="eastAsia" w:ascii="宋体" w:hAnsi="宋体"/>
          <w:snapToGrid w:val="0"/>
        </w:rPr>
        <w:t>投标人资格要求</w:t>
      </w:r>
      <w:r>
        <w:tab/>
      </w:r>
      <w:r>
        <w:fldChar w:fldCharType="begin"/>
      </w:r>
      <w:r>
        <w:instrText xml:space="preserve"> PAGEREF _Toc216768148 \h </w:instrText>
      </w:r>
      <w:r>
        <w:fldChar w:fldCharType="separate"/>
      </w:r>
      <w:r>
        <w:t>5</w:t>
      </w:r>
      <w:r>
        <w:fldChar w:fldCharType="end"/>
      </w:r>
      <w:r>
        <w:fldChar w:fldCharType="end"/>
      </w:r>
    </w:p>
    <w:p w14:paraId="79A6C91B">
      <w:pPr>
        <w:pStyle w:val="37"/>
        <w:tabs>
          <w:tab w:val="right" w:leader="dot" w:pos="9459"/>
        </w:tabs>
        <w:rPr>
          <w:rFonts w:asciiTheme="minorHAnsi" w:hAnsiTheme="minorHAnsi" w:eastAsiaTheme="minorEastAsia" w:cstheme="minorBidi"/>
          <w:smallCaps w:val="0"/>
          <w:sz w:val="21"/>
          <w:szCs w:val="22"/>
        </w:rPr>
      </w:pPr>
      <w:r>
        <w:fldChar w:fldCharType="begin"/>
      </w:r>
      <w:r>
        <w:instrText xml:space="preserve"> HYPERLINK \l "_Toc216768149" </w:instrText>
      </w:r>
      <w:r>
        <w:fldChar w:fldCharType="separate"/>
      </w:r>
      <w:r>
        <w:rPr>
          <w:rStyle w:val="53"/>
          <w:rFonts w:ascii="宋体" w:hAnsi="宋体"/>
          <w:snapToGrid w:val="0"/>
        </w:rPr>
        <w:t xml:space="preserve">4. </w:t>
      </w:r>
      <w:r>
        <w:rPr>
          <w:rStyle w:val="53"/>
          <w:rFonts w:hint="eastAsia" w:ascii="宋体" w:hAnsi="宋体"/>
          <w:snapToGrid w:val="0"/>
        </w:rPr>
        <w:t>招标文件的获取</w:t>
      </w:r>
      <w:r>
        <w:tab/>
      </w:r>
      <w:r>
        <w:fldChar w:fldCharType="begin"/>
      </w:r>
      <w:r>
        <w:instrText xml:space="preserve"> PAGEREF _Toc216768149 \h </w:instrText>
      </w:r>
      <w:r>
        <w:fldChar w:fldCharType="separate"/>
      </w:r>
      <w:r>
        <w:t>5</w:t>
      </w:r>
      <w:r>
        <w:fldChar w:fldCharType="end"/>
      </w:r>
      <w:r>
        <w:fldChar w:fldCharType="end"/>
      </w:r>
    </w:p>
    <w:p w14:paraId="509B54CD">
      <w:pPr>
        <w:pStyle w:val="37"/>
        <w:tabs>
          <w:tab w:val="right" w:leader="dot" w:pos="9459"/>
        </w:tabs>
        <w:rPr>
          <w:rFonts w:asciiTheme="minorHAnsi" w:hAnsiTheme="minorHAnsi" w:eastAsiaTheme="minorEastAsia" w:cstheme="minorBidi"/>
          <w:smallCaps w:val="0"/>
          <w:sz w:val="21"/>
          <w:szCs w:val="22"/>
        </w:rPr>
      </w:pPr>
      <w:r>
        <w:fldChar w:fldCharType="begin"/>
      </w:r>
      <w:r>
        <w:instrText xml:space="preserve"> HYPERLINK \l "_Toc216768150" </w:instrText>
      </w:r>
      <w:r>
        <w:fldChar w:fldCharType="separate"/>
      </w:r>
      <w:r>
        <w:rPr>
          <w:rStyle w:val="53"/>
          <w:rFonts w:ascii="宋体" w:hAnsi="宋体"/>
          <w:snapToGrid w:val="0"/>
        </w:rPr>
        <w:t xml:space="preserve">5.  </w:t>
      </w:r>
      <w:r>
        <w:rPr>
          <w:rStyle w:val="53"/>
          <w:rFonts w:hint="eastAsia" w:ascii="宋体" w:hAnsi="宋体"/>
          <w:snapToGrid w:val="0"/>
        </w:rPr>
        <w:t>投标文件的递交</w:t>
      </w:r>
      <w:r>
        <w:tab/>
      </w:r>
      <w:r>
        <w:fldChar w:fldCharType="begin"/>
      </w:r>
      <w:r>
        <w:instrText xml:space="preserve"> PAGEREF _Toc216768150 \h </w:instrText>
      </w:r>
      <w:r>
        <w:fldChar w:fldCharType="separate"/>
      </w:r>
      <w:r>
        <w:t>6</w:t>
      </w:r>
      <w:r>
        <w:fldChar w:fldCharType="end"/>
      </w:r>
      <w:r>
        <w:fldChar w:fldCharType="end"/>
      </w:r>
    </w:p>
    <w:p w14:paraId="77D02AE6">
      <w:pPr>
        <w:pStyle w:val="37"/>
        <w:tabs>
          <w:tab w:val="right" w:leader="dot" w:pos="9459"/>
        </w:tabs>
        <w:rPr>
          <w:rFonts w:asciiTheme="minorHAnsi" w:hAnsiTheme="minorHAnsi" w:eastAsiaTheme="minorEastAsia" w:cstheme="minorBidi"/>
          <w:smallCaps w:val="0"/>
          <w:sz w:val="21"/>
          <w:szCs w:val="22"/>
        </w:rPr>
      </w:pPr>
      <w:r>
        <w:fldChar w:fldCharType="begin"/>
      </w:r>
      <w:r>
        <w:instrText xml:space="preserve"> HYPERLINK \l "_Toc216768151" </w:instrText>
      </w:r>
      <w:r>
        <w:fldChar w:fldCharType="separate"/>
      </w:r>
      <w:r>
        <w:rPr>
          <w:rStyle w:val="53"/>
          <w:rFonts w:ascii="宋体" w:hAnsi="宋体"/>
          <w:snapToGrid w:val="0"/>
        </w:rPr>
        <w:t xml:space="preserve">6.  </w:t>
      </w:r>
      <w:r>
        <w:rPr>
          <w:rStyle w:val="53"/>
          <w:rFonts w:hint="eastAsia" w:ascii="宋体" w:hAnsi="宋体"/>
          <w:snapToGrid w:val="0"/>
        </w:rPr>
        <w:t>发布公告的媒介</w:t>
      </w:r>
      <w:r>
        <w:tab/>
      </w:r>
      <w:r>
        <w:fldChar w:fldCharType="begin"/>
      </w:r>
      <w:r>
        <w:instrText xml:space="preserve"> PAGEREF _Toc216768151 \h </w:instrText>
      </w:r>
      <w:r>
        <w:fldChar w:fldCharType="separate"/>
      </w:r>
      <w:r>
        <w:t>6</w:t>
      </w:r>
      <w:r>
        <w:fldChar w:fldCharType="end"/>
      </w:r>
      <w:r>
        <w:fldChar w:fldCharType="end"/>
      </w:r>
    </w:p>
    <w:p w14:paraId="7AFE87D0">
      <w:pPr>
        <w:pStyle w:val="37"/>
        <w:tabs>
          <w:tab w:val="right" w:leader="dot" w:pos="9459"/>
        </w:tabs>
        <w:rPr>
          <w:rFonts w:asciiTheme="minorHAnsi" w:hAnsiTheme="minorHAnsi" w:eastAsiaTheme="minorEastAsia" w:cstheme="minorBidi"/>
          <w:smallCaps w:val="0"/>
          <w:sz w:val="21"/>
          <w:szCs w:val="22"/>
        </w:rPr>
      </w:pPr>
      <w:r>
        <w:fldChar w:fldCharType="begin"/>
      </w:r>
      <w:r>
        <w:instrText xml:space="preserve"> HYPERLINK \l "_Toc216768152" </w:instrText>
      </w:r>
      <w:r>
        <w:fldChar w:fldCharType="separate"/>
      </w:r>
      <w:r>
        <w:rPr>
          <w:rStyle w:val="53"/>
          <w:rFonts w:ascii="宋体" w:hAnsi="宋体"/>
          <w:snapToGrid w:val="0"/>
        </w:rPr>
        <w:t xml:space="preserve">7.  </w:t>
      </w:r>
      <w:r>
        <w:rPr>
          <w:rStyle w:val="53"/>
          <w:rFonts w:hint="eastAsia" w:ascii="宋体" w:hAnsi="宋体"/>
          <w:snapToGrid w:val="0"/>
        </w:rPr>
        <w:t>联系方式</w:t>
      </w:r>
      <w:r>
        <w:tab/>
      </w:r>
      <w:r>
        <w:fldChar w:fldCharType="begin"/>
      </w:r>
      <w:r>
        <w:instrText xml:space="preserve"> PAGEREF _Toc216768152 \h </w:instrText>
      </w:r>
      <w:r>
        <w:fldChar w:fldCharType="separate"/>
      </w:r>
      <w:r>
        <w:t>6</w:t>
      </w:r>
      <w:r>
        <w:fldChar w:fldCharType="end"/>
      </w:r>
      <w:r>
        <w:fldChar w:fldCharType="end"/>
      </w:r>
    </w:p>
    <w:p w14:paraId="52C96BF8">
      <w:pPr>
        <w:pStyle w:val="31"/>
        <w:tabs>
          <w:tab w:val="right" w:leader="dot" w:pos="9459"/>
        </w:tabs>
        <w:rPr>
          <w:rFonts w:asciiTheme="minorHAnsi" w:hAnsiTheme="minorHAnsi" w:eastAsiaTheme="minorEastAsia" w:cstheme="minorBidi"/>
          <w:b w:val="0"/>
          <w:bCs w:val="0"/>
          <w:caps w:val="0"/>
          <w:sz w:val="21"/>
          <w:szCs w:val="22"/>
        </w:rPr>
      </w:pPr>
      <w:r>
        <w:fldChar w:fldCharType="begin"/>
      </w:r>
      <w:r>
        <w:instrText xml:space="preserve"> HYPERLINK \l "_Toc216768153" </w:instrText>
      </w:r>
      <w:r>
        <w:fldChar w:fldCharType="separate"/>
      </w:r>
      <w:r>
        <w:rPr>
          <w:rStyle w:val="53"/>
          <w:rFonts w:hint="eastAsia" w:ascii="宋体" w:hAnsi="宋体"/>
          <w:snapToGrid w:val="0"/>
          <w:kern w:val="0"/>
        </w:rPr>
        <w:t>第二章</w:t>
      </w:r>
      <w:r>
        <w:rPr>
          <w:rStyle w:val="53"/>
          <w:rFonts w:ascii="宋体" w:hAnsi="宋体"/>
          <w:snapToGrid w:val="0"/>
          <w:kern w:val="0"/>
        </w:rPr>
        <w:t xml:space="preserve">  </w:t>
      </w:r>
      <w:r>
        <w:rPr>
          <w:rStyle w:val="53"/>
          <w:rFonts w:hint="eastAsia" w:ascii="宋体" w:hAnsi="宋体"/>
          <w:snapToGrid w:val="0"/>
          <w:kern w:val="0"/>
        </w:rPr>
        <w:t>投标人须知</w:t>
      </w:r>
      <w:r>
        <w:tab/>
      </w:r>
      <w:r>
        <w:fldChar w:fldCharType="begin"/>
      </w:r>
      <w:r>
        <w:instrText xml:space="preserve"> PAGEREF _Toc216768153 \h </w:instrText>
      </w:r>
      <w:r>
        <w:fldChar w:fldCharType="separate"/>
      </w:r>
      <w:r>
        <w:t>7</w:t>
      </w:r>
      <w:r>
        <w:fldChar w:fldCharType="end"/>
      </w:r>
      <w:r>
        <w:fldChar w:fldCharType="end"/>
      </w:r>
    </w:p>
    <w:p w14:paraId="7A9F5B8C">
      <w:pPr>
        <w:pStyle w:val="37"/>
        <w:tabs>
          <w:tab w:val="right" w:leader="dot" w:pos="9459"/>
        </w:tabs>
        <w:rPr>
          <w:rFonts w:asciiTheme="minorHAnsi" w:hAnsiTheme="minorHAnsi" w:eastAsiaTheme="minorEastAsia" w:cstheme="minorBidi"/>
          <w:smallCaps w:val="0"/>
          <w:sz w:val="21"/>
          <w:szCs w:val="22"/>
        </w:rPr>
      </w:pPr>
      <w:r>
        <w:fldChar w:fldCharType="begin"/>
      </w:r>
      <w:r>
        <w:instrText xml:space="preserve"> HYPERLINK \l "_Toc216768154" </w:instrText>
      </w:r>
      <w:r>
        <w:fldChar w:fldCharType="separate"/>
      </w:r>
      <w:r>
        <w:rPr>
          <w:rStyle w:val="53"/>
          <w:rFonts w:hint="eastAsia" w:ascii="宋体" w:hAnsi="宋体"/>
        </w:rPr>
        <w:t>投标人须知前附表</w:t>
      </w:r>
      <w:r>
        <w:tab/>
      </w:r>
      <w:r>
        <w:fldChar w:fldCharType="begin"/>
      </w:r>
      <w:r>
        <w:instrText xml:space="preserve"> PAGEREF _Toc216768154 \h </w:instrText>
      </w:r>
      <w:r>
        <w:fldChar w:fldCharType="separate"/>
      </w:r>
      <w:r>
        <w:t>7</w:t>
      </w:r>
      <w:r>
        <w:fldChar w:fldCharType="end"/>
      </w:r>
      <w:r>
        <w:fldChar w:fldCharType="end"/>
      </w:r>
    </w:p>
    <w:p w14:paraId="76C0CE27">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"_Toc216768155" </w:instrText>
      </w:r>
      <w:r>
        <w:fldChar w:fldCharType="separate"/>
      </w:r>
      <w:r>
        <w:rPr>
          <w:rStyle w:val="53"/>
          <w:rFonts w:ascii="宋体" w:hAnsi="宋体" w:cs="宋体"/>
        </w:rPr>
        <w:t>1.</w:t>
      </w:r>
      <w:r>
        <w:rPr>
          <w:rStyle w:val="53"/>
          <w:rFonts w:hint="eastAsia" w:ascii="宋体" w:hAnsi="宋体" w:cs="宋体"/>
        </w:rPr>
        <w:t>总则</w:t>
      </w:r>
      <w:r>
        <w:tab/>
      </w:r>
      <w:r>
        <w:fldChar w:fldCharType="begin"/>
      </w:r>
      <w:r>
        <w:instrText xml:space="preserve"> PAGEREF _Toc216768155 \h </w:instrText>
      </w:r>
      <w:r>
        <w:fldChar w:fldCharType="separate"/>
      </w:r>
      <w:r>
        <w:t>20</w:t>
      </w:r>
      <w:r>
        <w:fldChar w:fldCharType="end"/>
      </w:r>
      <w:r>
        <w:fldChar w:fldCharType="end"/>
      </w:r>
    </w:p>
    <w:p w14:paraId="2E1A803E">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"_Toc216768156" </w:instrText>
      </w:r>
      <w:r>
        <w:fldChar w:fldCharType="separate"/>
      </w:r>
      <w:r>
        <w:rPr>
          <w:rStyle w:val="53"/>
          <w:rFonts w:ascii="宋体" w:hAnsi="宋体" w:cs="宋体"/>
        </w:rPr>
        <w:t xml:space="preserve">1.1 </w:t>
      </w:r>
      <w:r>
        <w:rPr>
          <w:rStyle w:val="53"/>
          <w:rFonts w:hint="eastAsia" w:ascii="宋体" w:hAnsi="宋体" w:cs="宋体"/>
        </w:rPr>
        <w:t>项目概况</w:t>
      </w:r>
      <w:r>
        <w:tab/>
      </w:r>
      <w:r>
        <w:fldChar w:fldCharType="begin"/>
      </w:r>
      <w:r>
        <w:instrText xml:space="preserve"> PAGEREF _Toc216768156 \h </w:instrText>
      </w:r>
      <w:r>
        <w:fldChar w:fldCharType="separate"/>
      </w:r>
      <w:r>
        <w:t>20</w:t>
      </w:r>
      <w:r>
        <w:fldChar w:fldCharType="end"/>
      </w:r>
      <w:r>
        <w:fldChar w:fldCharType="end"/>
      </w:r>
    </w:p>
    <w:p w14:paraId="323F16CA">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"_Toc216768157" </w:instrText>
      </w:r>
      <w:r>
        <w:fldChar w:fldCharType="separate"/>
      </w:r>
      <w:r>
        <w:rPr>
          <w:rStyle w:val="53"/>
          <w:rFonts w:ascii="宋体" w:hAnsi="宋体" w:cs="宋体"/>
        </w:rPr>
        <w:t xml:space="preserve">1.2 </w:t>
      </w:r>
      <w:r>
        <w:rPr>
          <w:rStyle w:val="53"/>
          <w:rFonts w:hint="eastAsia" w:ascii="宋体" w:hAnsi="宋体" w:cs="宋体"/>
        </w:rPr>
        <w:t>资金来源和落实情况</w:t>
      </w:r>
      <w:r>
        <w:tab/>
      </w:r>
      <w:r>
        <w:fldChar w:fldCharType="begin"/>
      </w:r>
      <w:r>
        <w:instrText xml:space="preserve"> PAGEREF _Toc216768157 \h </w:instrText>
      </w:r>
      <w:r>
        <w:fldChar w:fldCharType="separate"/>
      </w:r>
      <w:r>
        <w:t>20</w:t>
      </w:r>
      <w:r>
        <w:fldChar w:fldCharType="end"/>
      </w:r>
      <w:r>
        <w:fldChar w:fldCharType="end"/>
      </w:r>
    </w:p>
    <w:p w14:paraId="731E6DA5">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"_Toc216768158" </w:instrText>
      </w:r>
      <w:r>
        <w:fldChar w:fldCharType="separate"/>
      </w:r>
      <w:r>
        <w:rPr>
          <w:rStyle w:val="53"/>
          <w:rFonts w:ascii="宋体" w:hAnsi="宋体" w:cs="宋体"/>
        </w:rPr>
        <w:t xml:space="preserve">1.3 </w:t>
      </w:r>
      <w:r>
        <w:rPr>
          <w:rStyle w:val="53"/>
          <w:rFonts w:hint="eastAsia" w:ascii="宋体" w:hAnsi="宋体" w:cs="宋体"/>
        </w:rPr>
        <w:t>比选范围、计划工期和质量要求</w:t>
      </w:r>
      <w:r>
        <w:tab/>
      </w:r>
      <w:r>
        <w:fldChar w:fldCharType="begin"/>
      </w:r>
      <w:r>
        <w:instrText xml:space="preserve"> PAGEREF _Toc216768158 \h </w:instrText>
      </w:r>
      <w:r>
        <w:fldChar w:fldCharType="separate"/>
      </w:r>
      <w:r>
        <w:t>20</w:t>
      </w:r>
      <w:r>
        <w:fldChar w:fldCharType="end"/>
      </w:r>
      <w:r>
        <w:fldChar w:fldCharType="end"/>
      </w:r>
    </w:p>
    <w:p w14:paraId="2B0B2C9B">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"_Toc216768159" </w:instrText>
      </w:r>
      <w:r>
        <w:fldChar w:fldCharType="separate"/>
      </w:r>
      <w:r>
        <w:rPr>
          <w:rStyle w:val="53"/>
          <w:rFonts w:ascii="宋体" w:hAnsi="宋体" w:cs="宋体"/>
        </w:rPr>
        <w:t xml:space="preserve">1.4 </w:t>
      </w:r>
      <w:r>
        <w:rPr>
          <w:rStyle w:val="53"/>
          <w:rFonts w:hint="eastAsia" w:ascii="宋体" w:hAnsi="宋体" w:cs="宋体"/>
        </w:rPr>
        <w:t>投标人资格要求</w:t>
      </w:r>
      <w:r>
        <w:tab/>
      </w:r>
      <w:r>
        <w:fldChar w:fldCharType="begin"/>
      </w:r>
      <w:r>
        <w:instrText xml:space="preserve"> PAGEREF _Toc216768159 \h </w:instrText>
      </w:r>
      <w:r>
        <w:fldChar w:fldCharType="separate"/>
      </w:r>
      <w:r>
        <w:t>20</w:t>
      </w:r>
      <w:r>
        <w:fldChar w:fldCharType="end"/>
      </w:r>
      <w:r>
        <w:fldChar w:fldCharType="end"/>
      </w:r>
    </w:p>
    <w:p w14:paraId="3E4F2DB4">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"_Toc216768160" </w:instrText>
      </w:r>
      <w:r>
        <w:fldChar w:fldCharType="separate"/>
      </w:r>
      <w:r>
        <w:rPr>
          <w:rStyle w:val="53"/>
          <w:rFonts w:ascii="宋体" w:hAnsi="宋体" w:cs="宋体"/>
        </w:rPr>
        <w:t xml:space="preserve">1.5 </w:t>
      </w:r>
      <w:r>
        <w:rPr>
          <w:rStyle w:val="53"/>
          <w:rFonts w:hint="eastAsia" w:ascii="宋体" w:hAnsi="宋体" w:cs="宋体"/>
        </w:rPr>
        <w:t>费用承担</w:t>
      </w:r>
      <w:r>
        <w:tab/>
      </w:r>
      <w:r>
        <w:fldChar w:fldCharType="begin"/>
      </w:r>
      <w:r>
        <w:instrText xml:space="preserve"> PAGEREF _Toc216768160 \h </w:instrText>
      </w:r>
      <w:r>
        <w:fldChar w:fldCharType="separate"/>
      </w:r>
      <w:r>
        <w:t>21</w:t>
      </w:r>
      <w:r>
        <w:fldChar w:fldCharType="end"/>
      </w:r>
      <w:r>
        <w:fldChar w:fldCharType="end"/>
      </w:r>
    </w:p>
    <w:p w14:paraId="5CA87AF1">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"_Toc216768161" </w:instrText>
      </w:r>
      <w:r>
        <w:fldChar w:fldCharType="separate"/>
      </w:r>
      <w:r>
        <w:rPr>
          <w:rStyle w:val="53"/>
          <w:rFonts w:ascii="宋体" w:hAnsi="宋体" w:cs="宋体"/>
        </w:rPr>
        <w:t xml:space="preserve">1.6 </w:t>
      </w:r>
      <w:r>
        <w:rPr>
          <w:rStyle w:val="53"/>
          <w:rFonts w:hint="eastAsia" w:ascii="宋体" w:hAnsi="宋体" w:cs="宋体"/>
        </w:rPr>
        <w:t>保密</w:t>
      </w:r>
      <w:r>
        <w:tab/>
      </w:r>
      <w:r>
        <w:fldChar w:fldCharType="begin"/>
      </w:r>
      <w:r>
        <w:instrText xml:space="preserve"> PAGEREF _Toc216768161 \h </w:instrText>
      </w:r>
      <w:r>
        <w:fldChar w:fldCharType="separate"/>
      </w:r>
      <w:r>
        <w:t>21</w:t>
      </w:r>
      <w:r>
        <w:fldChar w:fldCharType="end"/>
      </w:r>
      <w:r>
        <w:fldChar w:fldCharType="end"/>
      </w:r>
    </w:p>
    <w:p w14:paraId="1207982D">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"_Toc216768162" </w:instrText>
      </w:r>
      <w:r>
        <w:fldChar w:fldCharType="separate"/>
      </w:r>
      <w:r>
        <w:rPr>
          <w:rStyle w:val="53"/>
          <w:rFonts w:ascii="宋体" w:hAnsi="宋体" w:cs="宋体"/>
        </w:rPr>
        <w:t xml:space="preserve">1.7 </w:t>
      </w:r>
      <w:r>
        <w:rPr>
          <w:rStyle w:val="53"/>
          <w:rFonts w:hint="eastAsia" w:ascii="宋体" w:hAnsi="宋体" w:cs="宋体"/>
        </w:rPr>
        <w:t>语言文字</w:t>
      </w:r>
      <w:r>
        <w:tab/>
      </w:r>
      <w:r>
        <w:fldChar w:fldCharType="begin"/>
      </w:r>
      <w:r>
        <w:instrText xml:space="preserve"> PAGEREF _Toc216768162 \h </w:instrText>
      </w:r>
      <w:r>
        <w:fldChar w:fldCharType="separate"/>
      </w:r>
      <w:r>
        <w:t>21</w:t>
      </w:r>
      <w:r>
        <w:fldChar w:fldCharType="end"/>
      </w:r>
      <w:r>
        <w:fldChar w:fldCharType="end"/>
      </w:r>
    </w:p>
    <w:p w14:paraId="20AA431B">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"_Toc216768163" </w:instrText>
      </w:r>
      <w:r>
        <w:fldChar w:fldCharType="separate"/>
      </w:r>
      <w:r>
        <w:rPr>
          <w:rStyle w:val="53"/>
          <w:rFonts w:ascii="宋体" w:hAnsi="宋体" w:cs="宋体"/>
        </w:rPr>
        <w:t xml:space="preserve">1.8 </w:t>
      </w:r>
      <w:r>
        <w:rPr>
          <w:rStyle w:val="53"/>
          <w:rFonts w:hint="eastAsia" w:ascii="宋体" w:hAnsi="宋体" w:cs="宋体"/>
        </w:rPr>
        <w:t>计量单位</w:t>
      </w:r>
      <w:r>
        <w:tab/>
      </w:r>
      <w:r>
        <w:fldChar w:fldCharType="begin"/>
      </w:r>
      <w:r>
        <w:instrText xml:space="preserve"> PAGEREF _Toc216768163 \h </w:instrText>
      </w:r>
      <w:r>
        <w:fldChar w:fldCharType="separate"/>
      </w:r>
      <w:r>
        <w:t>21</w:t>
      </w:r>
      <w:r>
        <w:fldChar w:fldCharType="end"/>
      </w:r>
      <w:r>
        <w:fldChar w:fldCharType="end"/>
      </w:r>
    </w:p>
    <w:p w14:paraId="77E78014">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"_Toc216768164" </w:instrText>
      </w:r>
      <w:r>
        <w:fldChar w:fldCharType="separate"/>
      </w:r>
      <w:r>
        <w:rPr>
          <w:rStyle w:val="53"/>
          <w:rFonts w:ascii="宋体" w:hAnsi="宋体" w:cs="宋体"/>
        </w:rPr>
        <w:t xml:space="preserve">1.9 </w:t>
      </w:r>
      <w:r>
        <w:rPr>
          <w:rStyle w:val="53"/>
          <w:rFonts w:hint="eastAsia" w:ascii="宋体" w:hAnsi="宋体" w:cs="宋体"/>
        </w:rPr>
        <w:t>踏勘现场</w:t>
      </w:r>
      <w:r>
        <w:tab/>
      </w:r>
      <w:r>
        <w:fldChar w:fldCharType="begin"/>
      </w:r>
      <w:r>
        <w:instrText xml:space="preserve"> PAGEREF _Toc216768164 \h </w:instrText>
      </w:r>
      <w:r>
        <w:fldChar w:fldCharType="separate"/>
      </w:r>
      <w:r>
        <w:t>21</w:t>
      </w:r>
      <w:r>
        <w:fldChar w:fldCharType="end"/>
      </w:r>
      <w:r>
        <w:fldChar w:fldCharType="end"/>
      </w:r>
    </w:p>
    <w:p w14:paraId="04149461">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"_Toc216768165" </w:instrText>
      </w:r>
      <w:r>
        <w:fldChar w:fldCharType="separate"/>
      </w:r>
      <w:r>
        <w:rPr>
          <w:rStyle w:val="53"/>
          <w:rFonts w:ascii="宋体" w:hAnsi="宋体" w:cs="宋体"/>
        </w:rPr>
        <w:t xml:space="preserve">1.10 </w:t>
      </w:r>
      <w:r>
        <w:rPr>
          <w:rStyle w:val="53"/>
          <w:rFonts w:hint="eastAsia" w:ascii="宋体" w:hAnsi="宋体" w:cs="宋体"/>
        </w:rPr>
        <w:t>比选预备会</w:t>
      </w:r>
      <w:r>
        <w:tab/>
      </w:r>
      <w:r>
        <w:fldChar w:fldCharType="begin"/>
      </w:r>
      <w:r>
        <w:instrText xml:space="preserve"> PAGEREF _Toc216768165 \h </w:instrText>
      </w:r>
      <w:r>
        <w:fldChar w:fldCharType="separate"/>
      </w:r>
      <w:r>
        <w:t>21</w:t>
      </w:r>
      <w:r>
        <w:fldChar w:fldCharType="end"/>
      </w:r>
      <w:r>
        <w:fldChar w:fldCharType="end"/>
      </w:r>
    </w:p>
    <w:p w14:paraId="5ACE040E">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"_Toc216768166" </w:instrText>
      </w:r>
      <w:r>
        <w:fldChar w:fldCharType="separate"/>
      </w:r>
      <w:r>
        <w:rPr>
          <w:rStyle w:val="53"/>
          <w:rFonts w:ascii="宋体" w:hAnsi="宋体" w:cs="宋体"/>
        </w:rPr>
        <w:t xml:space="preserve">1.11 </w:t>
      </w:r>
      <w:r>
        <w:rPr>
          <w:rStyle w:val="53"/>
          <w:rFonts w:hint="eastAsia" w:ascii="宋体" w:hAnsi="宋体" w:cs="宋体"/>
        </w:rPr>
        <w:t>分包</w:t>
      </w:r>
      <w:r>
        <w:tab/>
      </w:r>
      <w:r>
        <w:fldChar w:fldCharType="begin"/>
      </w:r>
      <w:r>
        <w:instrText xml:space="preserve"> PAGEREF _Toc216768166 \h </w:instrText>
      </w:r>
      <w:r>
        <w:fldChar w:fldCharType="separate"/>
      </w:r>
      <w:r>
        <w:t>22</w:t>
      </w:r>
      <w:r>
        <w:fldChar w:fldCharType="end"/>
      </w:r>
      <w:r>
        <w:fldChar w:fldCharType="end"/>
      </w:r>
    </w:p>
    <w:p w14:paraId="0E29CD77">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"_Toc216768167" </w:instrText>
      </w:r>
      <w:r>
        <w:fldChar w:fldCharType="separate"/>
      </w:r>
      <w:r>
        <w:rPr>
          <w:rStyle w:val="53"/>
          <w:rFonts w:ascii="宋体" w:hAnsi="宋体" w:cs="宋体"/>
        </w:rPr>
        <w:t>2.</w:t>
      </w:r>
      <w:r>
        <w:rPr>
          <w:rStyle w:val="53"/>
          <w:rFonts w:hint="eastAsia" w:ascii="宋体" w:hAnsi="宋体" w:cs="宋体"/>
        </w:rPr>
        <w:t>比选文件</w:t>
      </w:r>
      <w:r>
        <w:tab/>
      </w:r>
      <w:r>
        <w:fldChar w:fldCharType="begin"/>
      </w:r>
      <w:r>
        <w:instrText xml:space="preserve"> PAGEREF _Toc216768167 \h </w:instrText>
      </w:r>
      <w:r>
        <w:fldChar w:fldCharType="separate"/>
      </w:r>
      <w:r>
        <w:t>22</w:t>
      </w:r>
      <w:r>
        <w:fldChar w:fldCharType="end"/>
      </w:r>
      <w:r>
        <w:fldChar w:fldCharType="end"/>
      </w:r>
    </w:p>
    <w:p w14:paraId="5A4E955B">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"_Toc216768168" </w:instrText>
      </w:r>
      <w:r>
        <w:fldChar w:fldCharType="separate"/>
      </w:r>
      <w:r>
        <w:rPr>
          <w:rStyle w:val="53"/>
          <w:rFonts w:ascii="宋体" w:hAnsi="宋体" w:cs="宋体"/>
        </w:rPr>
        <w:t>2.1</w:t>
      </w:r>
      <w:r>
        <w:rPr>
          <w:rStyle w:val="53"/>
          <w:rFonts w:hint="eastAsia" w:ascii="宋体" w:hAnsi="宋体" w:cs="宋体"/>
        </w:rPr>
        <w:t>比选文件的组成</w:t>
      </w:r>
      <w:r>
        <w:tab/>
      </w:r>
      <w:r>
        <w:fldChar w:fldCharType="begin"/>
      </w:r>
      <w:r>
        <w:instrText xml:space="preserve"> PAGEREF _Toc216768168 \h </w:instrText>
      </w:r>
      <w:r>
        <w:fldChar w:fldCharType="separate"/>
      </w:r>
      <w:r>
        <w:t>22</w:t>
      </w:r>
      <w:r>
        <w:fldChar w:fldCharType="end"/>
      </w:r>
      <w:r>
        <w:fldChar w:fldCharType="end"/>
      </w:r>
    </w:p>
    <w:p w14:paraId="7A7BE3D0">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"_Toc216768169" </w:instrText>
      </w:r>
      <w:r>
        <w:fldChar w:fldCharType="separate"/>
      </w:r>
      <w:r>
        <w:rPr>
          <w:rStyle w:val="53"/>
          <w:rFonts w:ascii="宋体" w:hAnsi="宋体" w:cs="宋体"/>
        </w:rPr>
        <w:t>2.2</w:t>
      </w:r>
      <w:r>
        <w:rPr>
          <w:rStyle w:val="53"/>
          <w:rFonts w:hint="eastAsia" w:ascii="宋体" w:hAnsi="宋体" w:cs="宋体"/>
        </w:rPr>
        <w:t>比选文件的澄清</w:t>
      </w:r>
      <w:r>
        <w:tab/>
      </w:r>
      <w:r>
        <w:fldChar w:fldCharType="begin"/>
      </w:r>
      <w:r>
        <w:instrText xml:space="preserve"> PAGEREF _Toc216768169 \h </w:instrText>
      </w:r>
      <w:r>
        <w:fldChar w:fldCharType="separate"/>
      </w:r>
      <w:r>
        <w:t>22</w:t>
      </w:r>
      <w:r>
        <w:fldChar w:fldCharType="end"/>
      </w:r>
      <w:r>
        <w:fldChar w:fldCharType="end"/>
      </w:r>
    </w:p>
    <w:p w14:paraId="49191E2D">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"_Toc216768170" </w:instrText>
      </w:r>
      <w:r>
        <w:fldChar w:fldCharType="separate"/>
      </w:r>
      <w:r>
        <w:rPr>
          <w:rStyle w:val="53"/>
          <w:rFonts w:ascii="宋体" w:hAnsi="宋体" w:cs="宋体"/>
        </w:rPr>
        <w:t>2.3</w:t>
      </w:r>
      <w:r>
        <w:rPr>
          <w:rStyle w:val="53"/>
          <w:rFonts w:hint="eastAsia" w:ascii="宋体" w:hAnsi="宋体" w:cs="宋体"/>
        </w:rPr>
        <w:t>比选文件的修改</w:t>
      </w:r>
      <w:r>
        <w:tab/>
      </w:r>
      <w:r>
        <w:fldChar w:fldCharType="begin"/>
      </w:r>
      <w:r>
        <w:instrText xml:space="preserve"> PAGEREF _Toc216768170 \h </w:instrText>
      </w:r>
      <w:r>
        <w:fldChar w:fldCharType="separate"/>
      </w:r>
      <w:r>
        <w:t>23</w:t>
      </w:r>
      <w:r>
        <w:fldChar w:fldCharType="end"/>
      </w:r>
      <w:r>
        <w:fldChar w:fldCharType="end"/>
      </w:r>
    </w:p>
    <w:p w14:paraId="390FBF75">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"_Toc216768171" </w:instrText>
      </w:r>
      <w:r>
        <w:fldChar w:fldCharType="separate"/>
      </w:r>
      <w:r>
        <w:rPr>
          <w:rStyle w:val="53"/>
          <w:rFonts w:ascii="宋体" w:hAnsi="宋体" w:cs="宋体"/>
        </w:rPr>
        <w:t xml:space="preserve">3. </w:t>
      </w:r>
      <w:r>
        <w:rPr>
          <w:rStyle w:val="53"/>
          <w:rFonts w:hint="eastAsia" w:ascii="宋体" w:hAnsi="宋体" w:cs="宋体"/>
        </w:rPr>
        <w:t>投标文件</w:t>
      </w:r>
      <w:r>
        <w:tab/>
      </w:r>
      <w:r>
        <w:fldChar w:fldCharType="begin"/>
      </w:r>
      <w:r>
        <w:instrText xml:space="preserve"> PAGEREF _Toc216768171 \h </w:instrText>
      </w:r>
      <w:r>
        <w:fldChar w:fldCharType="separate"/>
      </w:r>
      <w:r>
        <w:t>23</w:t>
      </w:r>
      <w:r>
        <w:fldChar w:fldCharType="end"/>
      </w:r>
      <w:r>
        <w:fldChar w:fldCharType="end"/>
      </w:r>
    </w:p>
    <w:p w14:paraId="465F55AB">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"_Toc216768172" </w:instrText>
      </w:r>
      <w:r>
        <w:fldChar w:fldCharType="separate"/>
      </w:r>
      <w:r>
        <w:rPr>
          <w:rStyle w:val="53"/>
          <w:rFonts w:ascii="宋体" w:hAnsi="宋体" w:cs="宋体"/>
        </w:rPr>
        <w:t xml:space="preserve">3.1 </w:t>
      </w:r>
      <w:r>
        <w:rPr>
          <w:rStyle w:val="53"/>
          <w:rFonts w:hint="eastAsia" w:ascii="宋体" w:hAnsi="宋体" w:cs="宋体"/>
        </w:rPr>
        <w:t>投标文件的组成</w:t>
      </w:r>
      <w:r>
        <w:tab/>
      </w:r>
      <w:r>
        <w:fldChar w:fldCharType="begin"/>
      </w:r>
      <w:r>
        <w:instrText xml:space="preserve"> PAGEREF _Toc216768172 \h </w:instrText>
      </w:r>
      <w:r>
        <w:fldChar w:fldCharType="separate"/>
      </w:r>
      <w:r>
        <w:t>23</w:t>
      </w:r>
      <w:r>
        <w:fldChar w:fldCharType="end"/>
      </w:r>
      <w:r>
        <w:fldChar w:fldCharType="end"/>
      </w:r>
    </w:p>
    <w:p w14:paraId="0A4113F0">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"_Toc216768173" </w:instrText>
      </w:r>
      <w:r>
        <w:fldChar w:fldCharType="separate"/>
      </w:r>
      <w:r>
        <w:rPr>
          <w:rStyle w:val="53"/>
          <w:rFonts w:ascii="宋体" w:hAnsi="宋体" w:cs="宋体"/>
        </w:rPr>
        <w:t xml:space="preserve">3.2 </w:t>
      </w:r>
      <w:r>
        <w:rPr>
          <w:rStyle w:val="53"/>
          <w:rFonts w:hint="eastAsia" w:ascii="宋体" w:hAnsi="宋体" w:cs="宋体"/>
        </w:rPr>
        <w:t>比选报价</w:t>
      </w:r>
      <w:r>
        <w:tab/>
      </w:r>
      <w:r>
        <w:fldChar w:fldCharType="begin"/>
      </w:r>
      <w:r>
        <w:instrText xml:space="preserve"> PAGEREF _Toc216768173 \h </w:instrText>
      </w:r>
      <w:r>
        <w:fldChar w:fldCharType="separate"/>
      </w:r>
      <w:r>
        <w:t>23</w:t>
      </w:r>
      <w:r>
        <w:fldChar w:fldCharType="end"/>
      </w:r>
      <w:r>
        <w:fldChar w:fldCharType="end"/>
      </w:r>
    </w:p>
    <w:p w14:paraId="406F9D1F">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"_Toc216768174" </w:instrText>
      </w:r>
      <w:r>
        <w:fldChar w:fldCharType="separate"/>
      </w:r>
      <w:r>
        <w:rPr>
          <w:rStyle w:val="53"/>
          <w:rFonts w:ascii="宋体" w:hAnsi="宋体" w:cs="宋体"/>
        </w:rPr>
        <w:t xml:space="preserve">3.3  </w:t>
      </w:r>
      <w:r>
        <w:rPr>
          <w:rStyle w:val="53"/>
          <w:rFonts w:hint="eastAsia" w:ascii="宋体" w:hAnsi="宋体" w:cs="宋体"/>
        </w:rPr>
        <w:t>投标有效期</w:t>
      </w:r>
      <w:r>
        <w:tab/>
      </w:r>
      <w:r>
        <w:fldChar w:fldCharType="begin"/>
      </w:r>
      <w:r>
        <w:instrText xml:space="preserve"> PAGEREF _Toc216768174 \h </w:instrText>
      </w:r>
      <w:r>
        <w:fldChar w:fldCharType="separate"/>
      </w:r>
      <w:r>
        <w:t>23</w:t>
      </w:r>
      <w:r>
        <w:fldChar w:fldCharType="end"/>
      </w:r>
      <w:r>
        <w:fldChar w:fldCharType="end"/>
      </w:r>
    </w:p>
    <w:p w14:paraId="30650645">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"_Toc216768175" </w:instrText>
      </w:r>
      <w:r>
        <w:fldChar w:fldCharType="separate"/>
      </w:r>
      <w:r>
        <w:rPr>
          <w:rStyle w:val="53"/>
          <w:rFonts w:ascii="宋体" w:hAnsi="宋体" w:cs="宋体"/>
        </w:rPr>
        <w:t xml:space="preserve">3.4 </w:t>
      </w:r>
      <w:r>
        <w:rPr>
          <w:rStyle w:val="53"/>
          <w:rFonts w:hint="eastAsia" w:ascii="宋体" w:hAnsi="宋体" w:cs="宋体"/>
        </w:rPr>
        <w:t>资格审查资料</w:t>
      </w:r>
      <w:r>
        <w:tab/>
      </w:r>
      <w:r>
        <w:fldChar w:fldCharType="begin"/>
      </w:r>
      <w:r>
        <w:instrText xml:space="preserve"> PAGEREF _Toc216768175 \h </w:instrText>
      </w:r>
      <w:r>
        <w:fldChar w:fldCharType="separate"/>
      </w:r>
      <w:r>
        <w:t>23</w:t>
      </w:r>
      <w:r>
        <w:fldChar w:fldCharType="end"/>
      </w:r>
      <w:r>
        <w:fldChar w:fldCharType="end"/>
      </w:r>
    </w:p>
    <w:p w14:paraId="253C4E6D">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"_Toc216768176" </w:instrText>
      </w:r>
      <w:r>
        <w:fldChar w:fldCharType="separate"/>
      </w:r>
      <w:r>
        <w:rPr>
          <w:rStyle w:val="53"/>
          <w:rFonts w:ascii="宋体" w:hAnsi="宋体" w:cs="宋体"/>
        </w:rPr>
        <w:t xml:space="preserve">4. </w:t>
      </w:r>
      <w:r>
        <w:rPr>
          <w:rStyle w:val="53"/>
          <w:rFonts w:hint="eastAsia" w:ascii="宋体" w:hAnsi="宋体" w:cs="宋体"/>
        </w:rPr>
        <w:t>投标文件的递交等</w:t>
      </w:r>
      <w:r>
        <w:tab/>
      </w:r>
      <w:r>
        <w:fldChar w:fldCharType="begin"/>
      </w:r>
      <w:r>
        <w:instrText xml:space="preserve"> PAGEREF _Toc216768176 \h </w:instrText>
      </w:r>
      <w:r>
        <w:fldChar w:fldCharType="separate"/>
      </w:r>
      <w:r>
        <w:t>24</w:t>
      </w:r>
      <w:r>
        <w:fldChar w:fldCharType="end"/>
      </w:r>
      <w:r>
        <w:fldChar w:fldCharType="end"/>
      </w:r>
    </w:p>
    <w:p w14:paraId="7F9233CB">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"_Toc216768177" </w:instrText>
      </w:r>
      <w:r>
        <w:fldChar w:fldCharType="separate"/>
      </w:r>
      <w:r>
        <w:rPr>
          <w:rStyle w:val="53"/>
          <w:rFonts w:ascii="宋体" w:hAnsi="宋体" w:cs="宋体"/>
        </w:rPr>
        <w:t xml:space="preserve">4.1 </w:t>
      </w:r>
      <w:r>
        <w:rPr>
          <w:rStyle w:val="53"/>
          <w:rFonts w:hint="eastAsia" w:ascii="宋体" w:hAnsi="宋体" w:cs="宋体"/>
        </w:rPr>
        <w:t>投标文件的密封和标记</w:t>
      </w:r>
      <w:r>
        <w:tab/>
      </w:r>
      <w:r>
        <w:fldChar w:fldCharType="begin"/>
      </w:r>
      <w:r>
        <w:instrText xml:space="preserve"> PAGEREF _Toc216768177 \h </w:instrText>
      </w:r>
      <w:r>
        <w:fldChar w:fldCharType="separate"/>
      </w:r>
      <w:r>
        <w:t>24</w:t>
      </w:r>
      <w:r>
        <w:fldChar w:fldCharType="end"/>
      </w:r>
      <w:r>
        <w:fldChar w:fldCharType="end"/>
      </w:r>
    </w:p>
    <w:p w14:paraId="74D1042F">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"_Toc216768178" </w:instrText>
      </w:r>
      <w:r>
        <w:fldChar w:fldCharType="separate"/>
      </w:r>
      <w:r>
        <w:rPr>
          <w:rStyle w:val="53"/>
          <w:rFonts w:ascii="宋体" w:hAnsi="宋体" w:cs="宋体"/>
        </w:rPr>
        <w:t xml:space="preserve">4.2 </w:t>
      </w:r>
      <w:r>
        <w:rPr>
          <w:rStyle w:val="53"/>
          <w:rFonts w:hint="eastAsia" w:ascii="宋体" w:hAnsi="宋体" w:cs="宋体"/>
        </w:rPr>
        <w:t>投标文件的递交</w:t>
      </w:r>
      <w:r>
        <w:tab/>
      </w:r>
      <w:r>
        <w:fldChar w:fldCharType="begin"/>
      </w:r>
      <w:r>
        <w:instrText xml:space="preserve"> PAGEREF _Toc216768178 \h </w:instrText>
      </w:r>
      <w:r>
        <w:fldChar w:fldCharType="separate"/>
      </w:r>
      <w:r>
        <w:t>24</w:t>
      </w:r>
      <w:r>
        <w:fldChar w:fldCharType="end"/>
      </w:r>
      <w:r>
        <w:fldChar w:fldCharType="end"/>
      </w:r>
    </w:p>
    <w:p w14:paraId="7F173DFD">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"_Toc216768179" </w:instrText>
      </w:r>
      <w:r>
        <w:fldChar w:fldCharType="separate"/>
      </w:r>
      <w:r>
        <w:rPr>
          <w:rStyle w:val="53"/>
          <w:rFonts w:ascii="宋体" w:hAnsi="宋体" w:cs="宋体"/>
        </w:rPr>
        <w:t xml:space="preserve">4.3 </w:t>
      </w:r>
      <w:r>
        <w:rPr>
          <w:rStyle w:val="53"/>
          <w:rFonts w:hint="eastAsia" w:ascii="宋体" w:hAnsi="宋体" w:cs="宋体"/>
        </w:rPr>
        <w:t>投标文件的修改与撤回</w:t>
      </w:r>
      <w:r>
        <w:tab/>
      </w:r>
      <w:r>
        <w:fldChar w:fldCharType="begin"/>
      </w:r>
      <w:r>
        <w:instrText xml:space="preserve"> PAGEREF _Toc216768179 \h </w:instrText>
      </w:r>
      <w:r>
        <w:fldChar w:fldCharType="separate"/>
      </w:r>
      <w:r>
        <w:t>24</w:t>
      </w:r>
      <w:r>
        <w:fldChar w:fldCharType="end"/>
      </w:r>
      <w:r>
        <w:fldChar w:fldCharType="end"/>
      </w:r>
    </w:p>
    <w:p w14:paraId="5E393489">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"_Toc216768180" </w:instrText>
      </w:r>
      <w:r>
        <w:fldChar w:fldCharType="separate"/>
      </w:r>
      <w:r>
        <w:rPr>
          <w:rStyle w:val="53"/>
          <w:rFonts w:ascii="宋体" w:hAnsi="宋体" w:cs="宋体"/>
        </w:rPr>
        <w:t xml:space="preserve">5. </w:t>
      </w:r>
      <w:r>
        <w:rPr>
          <w:rStyle w:val="53"/>
          <w:rFonts w:hint="eastAsia" w:ascii="宋体" w:hAnsi="宋体" w:cs="宋体"/>
        </w:rPr>
        <w:t>比选</w:t>
      </w:r>
      <w:r>
        <w:tab/>
      </w:r>
      <w:r>
        <w:fldChar w:fldCharType="begin"/>
      </w:r>
      <w:r>
        <w:instrText xml:space="preserve"> PAGEREF _Toc216768180 \h </w:instrText>
      </w:r>
      <w:r>
        <w:fldChar w:fldCharType="separate"/>
      </w:r>
      <w:r>
        <w:t>25</w:t>
      </w:r>
      <w:r>
        <w:fldChar w:fldCharType="end"/>
      </w:r>
      <w:r>
        <w:fldChar w:fldCharType="end"/>
      </w:r>
    </w:p>
    <w:p w14:paraId="5EF7550C">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"_Toc216768181" </w:instrText>
      </w:r>
      <w:r>
        <w:fldChar w:fldCharType="separate"/>
      </w:r>
      <w:r>
        <w:rPr>
          <w:rStyle w:val="53"/>
          <w:rFonts w:ascii="宋体" w:hAnsi="宋体" w:cs="宋体"/>
        </w:rPr>
        <w:t xml:space="preserve">5.1 </w:t>
      </w:r>
      <w:r>
        <w:rPr>
          <w:rStyle w:val="53"/>
          <w:rFonts w:hint="eastAsia" w:ascii="宋体" w:hAnsi="宋体" w:cs="宋体"/>
        </w:rPr>
        <w:t>比选时间和地点</w:t>
      </w:r>
      <w:r>
        <w:tab/>
      </w:r>
      <w:r>
        <w:fldChar w:fldCharType="begin"/>
      </w:r>
      <w:r>
        <w:instrText xml:space="preserve"> PAGEREF _Toc216768181 \h </w:instrText>
      </w:r>
      <w:r>
        <w:fldChar w:fldCharType="separate"/>
      </w:r>
      <w:r>
        <w:t>25</w:t>
      </w:r>
      <w:r>
        <w:fldChar w:fldCharType="end"/>
      </w:r>
      <w:r>
        <w:fldChar w:fldCharType="end"/>
      </w:r>
    </w:p>
    <w:p w14:paraId="331189DE">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"_Toc216768182" </w:instrText>
      </w:r>
      <w:r>
        <w:fldChar w:fldCharType="separate"/>
      </w:r>
      <w:r>
        <w:rPr>
          <w:rStyle w:val="53"/>
          <w:rFonts w:ascii="宋体" w:hAnsi="宋体" w:cs="宋体"/>
        </w:rPr>
        <w:t xml:space="preserve">5.2 </w:t>
      </w:r>
      <w:r>
        <w:rPr>
          <w:rStyle w:val="53"/>
          <w:rFonts w:hint="eastAsia" w:ascii="宋体" w:hAnsi="宋体" w:cs="宋体"/>
        </w:rPr>
        <w:t>比选程序</w:t>
      </w:r>
      <w:r>
        <w:tab/>
      </w:r>
      <w:r>
        <w:fldChar w:fldCharType="begin"/>
      </w:r>
      <w:r>
        <w:instrText xml:space="preserve"> PAGEREF _Toc216768182 \h </w:instrText>
      </w:r>
      <w:r>
        <w:fldChar w:fldCharType="separate"/>
      </w:r>
      <w:r>
        <w:t>25</w:t>
      </w:r>
      <w:r>
        <w:fldChar w:fldCharType="end"/>
      </w:r>
      <w:r>
        <w:fldChar w:fldCharType="end"/>
      </w:r>
    </w:p>
    <w:p w14:paraId="1341D372">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"_Toc216768183" </w:instrText>
      </w:r>
      <w:r>
        <w:fldChar w:fldCharType="separate"/>
      </w:r>
      <w:r>
        <w:rPr>
          <w:rStyle w:val="53"/>
          <w:rFonts w:ascii="宋体" w:hAnsi="宋体" w:cs="宋体"/>
        </w:rPr>
        <w:t xml:space="preserve">6. </w:t>
      </w:r>
      <w:r>
        <w:rPr>
          <w:rStyle w:val="53"/>
          <w:rFonts w:hint="eastAsia" w:ascii="宋体" w:hAnsi="宋体" w:cs="宋体"/>
        </w:rPr>
        <w:t>评审</w:t>
      </w:r>
      <w:r>
        <w:tab/>
      </w:r>
      <w:r>
        <w:fldChar w:fldCharType="begin"/>
      </w:r>
      <w:r>
        <w:instrText xml:space="preserve"> PAGEREF _Toc216768183 \h </w:instrText>
      </w:r>
      <w:r>
        <w:fldChar w:fldCharType="separate"/>
      </w:r>
      <w:r>
        <w:t>25</w:t>
      </w:r>
      <w:r>
        <w:fldChar w:fldCharType="end"/>
      </w:r>
      <w:r>
        <w:fldChar w:fldCharType="end"/>
      </w:r>
    </w:p>
    <w:p w14:paraId="65BF74BD">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"_Toc216768184" </w:instrText>
      </w:r>
      <w:r>
        <w:fldChar w:fldCharType="separate"/>
      </w:r>
      <w:r>
        <w:rPr>
          <w:rStyle w:val="53"/>
          <w:rFonts w:ascii="宋体" w:hAnsi="宋体" w:cs="宋体"/>
          <w:b/>
          <w:snapToGrid w:val="0"/>
        </w:rPr>
        <w:t xml:space="preserve">6.1  </w:t>
      </w:r>
      <w:r>
        <w:rPr>
          <w:rStyle w:val="53"/>
          <w:rFonts w:hint="eastAsia" w:ascii="宋体" w:hAnsi="宋体" w:cs="宋体"/>
          <w:b/>
          <w:snapToGrid w:val="0"/>
        </w:rPr>
        <w:t>评标委员会</w:t>
      </w:r>
      <w:r>
        <w:tab/>
      </w:r>
      <w:r>
        <w:fldChar w:fldCharType="begin"/>
      </w:r>
      <w:r>
        <w:instrText xml:space="preserve"> PAGEREF _Toc216768184 \h </w:instrText>
      </w:r>
      <w:r>
        <w:fldChar w:fldCharType="separate"/>
      </w:r>
      <w:r>
        <w:t>25</w:t>
      </w:r>
      <w:r>
        <w:fldChar w:fldCharType="end"/>
      </w:r>
      <w:r>
        <w:fldChar w:fldCharType="end"/>
      </w:r>
    </w:p>
    <w:p w14:paraId="3A74E03D">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"_Toc216768185" </w:instrText>
      </w:r>
      <w:r>
        <w:fldChar w:fldCharType="separate"/>
      </w:r>
      <w:r>
        <w:rPr>
          <w:rStyle w:val="53"/>
          <w:rFonts w:hint="eastAsia" w:ascii="宋体" w:hAnsi="宋体" w:cs="宋体"/>
          <w:snapToGrid w:val="0"/>
          <w:kern w:val="0"/>
        </w:rPr>
        <w:t>（</w:t>
      </w:r>
      <w:r>
        <w:rPr>
          <w:rStyle w:val="53"/>
          <w:rFonts w:ascii="宋体" w:hAnsi="宋体" w:cs="宋体"/>
          <w:snapToGrid w:val="0"/>
          <w:kern w:val="0"/>
        </w:rPr>
        <w:t>1</w:t>
      </w:r>
      <w:r>
        <w:rPr>
          <w:rStyle w:val="53"/>
          <w:rFonts w:hint="eastAsia" w:ascii="宋体" w:hAnsi="宋体" w:cs="宋体"/>
          <w:snapToGrid w:val="0"/>
          <w:kern w:val="0"/>
        </w:rPr>
        <w:t>）投标人或投标人的主要负责人的近亲属；</w:t>
      </w:r>
      <w:r>
        <w:tab/>
      </w:r>
      <w:r>
        <w:fldChar w:fldCharType="begin"/>
      </w:r>
      <w:r>
        <w:instrText xml:space="preserve"> PAGEREF _Toc216768185 \h </w:instrText>
      </w:r>
      <w:r>
        <w:fldChar w:fldCharType="separate"/>
      </w:r>
      <w:r>
        <w:t>25</w:t>
      </w:r>
      <w:r>
        <w:fldChar w:fldCharType="end"/>
      </w:r>
      <w:r>
        <w:fldChar w:fldCharType="end"/>
      </w:r>
    </w:p>
    <w:p w14:paraId="24838964">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"_Toc216768186" </w:instrText>
      </w:r>
      <w:r>
        <w:fldChar w:fldCharType="separate"/>
      </w:r>
      <w:r>
        <w:rPr>
          <w:rStyle w:val="53"/>
          <w:rFonts w:hint="eastAsia" w:ascii="宋体" w:hAnsi="宋体" w:cs="宋体"/>
          <w:snapToGrid w:val="0"/>
          <w:kern w:val="0"/>
        </w:rPr>
        <w:t>（</w:t>
      </w:r>
      <w:r>
        <w:rPr>
          <w:rStyle w:val="53"/>
          <w:rFonts w:ascii="宋体" w:hAnsi="宋体" w:cs="宋体"/>
          <w:snapToGrid w:val="0"/>
          <w:kern w:val="0"/>
        </w:rPr>
        <w:t>2</w:t>
      </w:r>
      <w:r>
        <w:rPr>
          <w:rStyle w:val="53"/>
          <w:rFonts w:hint="eastAsia" w:ascii="宋体" w:hAnsi="宋体" w:cs="宋体"/>
          <w:snapToGrid w:val="0"/>
          <w:kern w:val="0"/>
        </w:rPr>
        <w:t>）项目主管部门或者项目行政监督部门的人员；</w:t>
      </w:r>
      <w:r>
        <w:tab/>
      </w:r>
      <w:r>
        <w:fldChar w:fldCharType="begin"/>
      </w:r>
      <w:r>
        <w:instrText xml:space="preserve"> PAGEREF _Toc216768186 \h </w:instrText>
      </w:r>
      <w:r>
        <w:fldChar w:fldCharType="separate"/>
      </w:r>
      <w:r>
        <w:t>25</w:t>
      </w:r>
      <w:r>
        <w:fldChar w:fldCharType="end"/>
      </w:r>
      <w:r>
        <w:fldChar w:fldCharType="end"/>
      </w:r>
    </w:p>
    <w:p w14:paraId="7D42F94E">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"_Toc216768187" </w:instrText>
      </w:r>
      <w:r>
        <w:fldChar w:fldCharType="separate"/>
      </w:r>
      <w:r>
        <w:rPr>
          <w:rStyle w:val="53"/>
          <w:rFonts w:hint="eastAsia" w:ascii="宋体" w:hAnsi="宋体" w:cs="宋体"/>
          <w:snapToGrid w:val="0"/>
          <w:kern w:val="0"/>
        </w:rPr>
        <w:t>（</w:t>
      </w:r>
      <w:r>
        <w:rPr>
          <w:rStyle w:val="53"/>
          <w:rFonts w:ascii="宋体" w:hAnsi="宋体" w:cs="宋体"/>
          <w:snapToGrid w:val="0"/>
          <w:kern w:val="0"/>
        </w:rPr>
        <w:t>3</w:t>
      </w:r>
      <w:r>
        <w:rPr>
          <w:rStyle w:val="53"/>
          <w:rFonts w:hint="eastAsia" w:ascii="宋体" w:hAnsi="宋体" w:cs="宋体"/>
          <w:snapToGrid w:val="0"/>
          <w:kern w:val="0"/>
        </w:rPr>
        <w:t>）与投标人有利害关系，可能影响对投标公正评审的；</w:t>
      </w:r>
      <w:r>
        <w:tab/>
      </w:r>
      <w:r>
        <w:fldChar w:fldCharType="begin"/>
      </w:r>
      <w:r>
        <w:instrText xml:space="preserve"> PAGEREF _Toc216768187 \h </w:instrText>
      </w:r>
      <w:r>
        <w:fldChar w:fldCharType="separate"/>
      </w:r>
      <w:r>
        <w:t>25</w:t>
      </w:r>
      <w:r>
        <w:fldChar w:fldCharType="end"/>
      </w:r>
      <w:r>
        <w:fldChar w:fldCharType="end"/>
      </w:r>
    </w:p>
    <w:p w14:paraId="62A1BCF2">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"_Toc216768188" </w:instrText>
      </w:r>
      <w:r>
        <w:fldChar w:fldCharType="separate"/>
      </w:r>
      <w:r>
        <w:rPr>
          <w:rStyle w:val="53"/>
          <w:rFonts w:hint="eastAsia" w:ascii="宋体" w:hAnsi="宋体" w:cs="宋体"/>
          <w:snapToGrid w:val="0"/>
          <w:kern w:val="0"/>
        </w:rPr>
        <w:t>（</w:t>
      </w:r>
      <w:r>
        <w:rPr>
          <w:rStyle w:val="53"/>
          <w:rFonts w:ascii="宋体" w:hAnsi="宋体" w:cs="宋体"/>
          <w:snapToGrid w:val="0"/>
          <w:kern w:val="0"/>
        </w:rPr>
        <w:t>4</w:t>
      </w:r>
      <w:r>
        <w:rPr>
          <w:rStyle w:val="53"/>
          <w:rFonts w:hint="eastAsia" w:ascii="宋体" w:hAnsi="宋体" w:cs="宋体"/>
          <w:snapToGrid w:val="0"/>
          <w:kern w:val="0"/>
        </w:rPr>
        <w:t>）曾因在招标、评标以及其他与招标投标有关活动中从事违法行为而受过行政处罚或刑事处罚的；</w:t>
      </w:r>
      <w:r>
        <w:tab/>
      </w:r>
      <w:r>
        <w:fldChar w:fldCharType="begin"/>
      </w:r>
      <w:r>
        <w:instrText xml:space="preserve"> PAGEREF _Toc216768188 \h </w:instrText>
      </w:r>
      <w:r>
        <w:fldChar w:fldCharType="separate"/>
      </w:r>
      <w:r>
        <w:t>25</w:t>
      </w:r>
      <w:r>
        <w:fldChar w:fldCharType="end"/>
      </w:r>
      <w:r>
        <w:fldChar w:fldCharType="end"/>
      </w:r>
    </w:p>
    <w:p w14:paraId="317E409B">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"_Toc216768189" </w:instrText>
      </w:r>
      <w:r>
        <w:fldChar w:fldCharType="separate"/>
      </w:r>
      <w:r>
        <w:rPr>
          <w:rStyle w:val="53"/>
          <w:rFonts w:hint="eastAsia" w:ascii="宋体" w:hAnsi="宋体" w:cs="宋体"/>
          <w:snapToGrid w:val="0"/>
          <w:kern w:val="0"/>
        </w:rPr>
        <w:t>（</w:t>
      </w:r>
      <w:r>
        <w:rPr>
          <w:rStyle w:val="53"/>
          <w:rFonts w:ascii="宋体" w:hAnsi="宋体" w:cs="宋体"/>
          <w:snapToGrid w:val="0"/>
          <w:kern w:val="0"/>
        </w:rPr>
        <w:t>5</w:t>
      </w:r>
      <w:r>
        <w:rPr>
          <w:rStyle w:val="53"/>
          <w:rFonts w:hint="eastAsia" w:ascii="宋体" w:hAnsi="宋体" w:cs="宋体"/>
          <w:snapToGrid w:val="0"/>
          <w:kern w:val="0"/>
        </w:rPr>
        <w:t>）法律法规规定的其他情形。</w:t>
      </w:r>
      <w:r>
        <w:tab/>
      </w:r>
      <w:r>
        <w:fldChar w:fldCharType="begin"/>
      </w:r>
      <w:r>
        <w:instrText xml:space="preserve"> PAGEREF _Toc216768189 \h </w:instrText>
      </w:r>
      <w:r>
        <w:fldChar w:fldCharType="separate"/>
      </w:r>
      <w:r>
        <w:t>25</w:t>
      </w:r>
      <w:r>
        <w:fldChar w:fldCharType="end"/>
      </w:r>
      <w:r>
        <w:fldChar w:fldCharType="end"/>
      </w:r>
    </w:p>
    <w:p w14:paraId="32920BF5">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"_Toc216768190" </w:instrText>
      </w:r>
      <w:r>
        <w:fldChar w:fldCharType="separate"/>
      </w:r>
      <w:r>
        <w:rPr>
          <w:rStyle w:val="53"/>
          <w:rFonts w:ascii="宋体" w:hAnsi="宋体" w:cs="宋体"/>
        </w:rPr>
        <w:t xml:space="preserve">6.2  </w:t>
      </w:r>
      <w:r>
        <w:rPr>
          <w:rStyle w:val="53"/>
          <w:rFonts w:hint="eastAsia" w:ascii="宋体" w:hAnsi="宋体" w:cs="宋体"/>
        </w:rPr>
        <w:t>评标原则</w:t>
      </w:r>
      <w:r>
        <w:tab/>
      </w:r>
      <w:r>
        <w:fldChar w:fldCharType="begin"/>
      </w:r>
      <w:r>
        <w:instrText xml:space="preserve"> PAGEREF _Toc216768190 \h </w:instrText>
      </w:r>
      <w:r>
        <w:fldChar w:fldCharType="separate"/>
      </w:r>
      <w:r>
        <w:t>25</w:t>
      </w:r>
      <w:r>
        <w:fldChar w:fldCharType="end"/>
      </w:r>
      <w:r>
        <w:fldChar w:fldCharType="end"/>
      </w:r>
    </w:p>
    <w:p w14:paraId="6FC17AC8">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"_Toc216768191" </w:instrText>
      </w:r>
      <w:r>
        <w:fldChar w:fldCharType="separate"/>
      </w:r>
      <w:r>
        <w:rPr>
          <w:rStyle w:val="53"/>
          <w:rFonts w:ascii="宋体" w:hAnsi="宋体" w:cs="宋体"/>
        </w:rPr>
        <w:t xml:space="preserve">6.3  </w:t>
      </w:r>
      <w:r>
        <w:rPr>
          <w:rStyle w:val="53"/>
          <w:rFonts w:hint="eastAsia" w:ascii="宋体" w:hAnsi="宋体" w:cs="宋体"/>
        </w:rPr>
        <w:t>评标</w:t>
      </w:r>
      <w:r>
        <w:tab/>
      </w:r>
      <w:r>
        <w:fldChar w:fldCharType="begin"/>
      </w:r>
      <w:r>
        <w:instrText xml:space="preserve"> PAGEREF _Toc216768191 \h </w:instrText>
      </w:r>
      <w:r>
        <w:fldChar w:fldCharType="separate"/>
      </w:r>
      <w:r>
        <w:t>25</w:t>
      </w:r>
      <w:r>
        <w:fldChar w:fldCharType="end"/>
      </w:r>
      <w:r>
        <w:fldChar w:fldCharType="end"/>
      </w:r>
    </w:p>
    <w:p w14:paraId="76A90773">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"_Toc216768192" </w:instrText>
      </w:r>
      <w:r>
        <w:fldChar w:fldCharType="separate"/>
      </w:r>
      <w:r>
        <w:rPr>
          <w:rStyle w:val="53"/>
          <w:rFonts w:ascii="宋体" w:hAnsi="宋体" w:cs="宋体"/>
        </w:rPr>
        <w:t xml:space="preserve">7. </w:t>
      </w:r>
      <w:r>
        <w:rPr>
          <w:rStyle w:val="53"/>
          <w:rFonts w:hint="eastAsia" w:ascii="宋体" w:hAnsi="宋体" w:cs="宋体"/>
        </w:rPr>
        <w:t>合同授予</w:t>
      </w:r>
      <w:r>
        <w:tab/>
      </w:r>
      <w:r>
        <w:fldChar w:fldCharType="begin"/>
      </w:r>
      <w:r>
        <w:instrText xml:space="preserve"> PAGEREF _Toc216768192 \h </w:instrText>
      </w:r>
      <w:r>
        <w:fldChar w:fldCharType="separate"/>
      </w:r>
      <w:r>
        <w:t>25</w:t>
      </w:r>
      <w:r>
        <w:fldChar w:fldCharType="end"/>
      </w:r>
      <w:r>
        <w:fldChar w:fldCharType="end"/>
      </w:r>
    </w:p>
    <w:p w14:paraId="06C3BEC7">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"_Toc216768193" </w:instrText>
      </w:r>
      <w:r>
        <w:fldChar w:fldCharType="separate"/>
      </w:r>
      <w:r>
        <w:rPr>
          <w:rStyle w:val="53"/>
          <w:rFonts w:ascii="宋体" w:hAnsi="宋体" w:cs="宋体"/>
        </w:rPr>
        <w:t xml:space="preserve">7.1 </w:t>
      </w:r>
      <w:r>
        <w:rPr>
          <w:rStyle w:val="53"/>
          <w:rFonts w:hint="eastAsia" w:ascii="宋体" w:hAnsi="宋体" w:cs="宋体"/>
        </w:rPr>
        <w:t>定选方式</w:t>
      </w:r>
      <w:r>
        <w:tab/>
      </w:r>
      <w:r>
        <w:fldChar w:fldCharType="begin"/>
      </w:r>
      <w:r>
        <w:instrText xml:space="preserve"> PAGEREF _Toc216768193 \h </w:instrText>
      </w:r>
      <w:r>
        <w:fldChar w:fldCharType="separate"/>
      </w:r>
      <w:r>
        <w:t>25</w:t>
      </w:r>
      <w:r>
        <w:fldChar w:fldCharType="end"/>
      </w:r>
      <w:r>
        <w:fldChar w:fldCharType="end"/>
      </w:r>
    </w:p>
    <w:p w14:paraId="79D92953">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"_Toc216768194" </w:instrText>
      </w:r>
      <w:r>
        <w:fldChar w:fldCharType="separate"/>
      </w:r>
      <w:r>
        <w:rPr>
          <w:rStyle w:val="53"/>
          <w:rFonts w:ascii="宋体" w:hAnsi="宋体" w:cs="宋体"/>
        </w:rPr>
        <w:t xml:space="preserve">7.2 </w:t>
      </w:r>
      <w:r>
        <w:rPr>
          <w:rStyle w:val="53"/>
          <w:rFonts w:hint="eastAsia" w:ascii="宋体" w:hAnsi="宋体" w:cs="宋体"/>
        </w:rPr>
        <w:t>中标通知</w:t>
      </w:r>
      <w:r>
        <w:tab/>
      </w:r>
      <w:r>
        <w:fldChar w:fldCharType="begin"/>
      </w:r>
      <w:r>
        <w:instrText xml:space="preserve"> PAGEREF _Toc216768194 \h </w:instrText>
      </w:r>
      <w:r>
        <w:fldChar w:fldCharType="separate"/>
      </w:r>
      <w:r>
        <w:t>26</w:t>
      </w:r>
      <w:r>
        <w:fldChar w:fldCharType="end"/>
      </w:r>
      <w:r>
        <w:fldChar w:fldCharType="end"/>
      </w:r>
    </w:p>
    <w:p w14:paraId="7F80F835">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"_Toc216768195" </w:instrText>
      </w:r>
      <w:r>
        <w:fldChar w:fldCharType="separate"/>
      </w:r>
      <w:r>
        <w:rPr>
          <w:rStyle w:val="53"/>
          <w:rFonts w:hint="eastAsia" w:ascii="宋体" w:hAnsi="宋体" w:cs="宋体"/>
        </w:rPr>
        <w:t>无</w:t>
      </w:r>
      <w:r>
        <w:tab/>
      </w:r>
      <w:r>
        <w:fldChar w:fldCharType="begin"/>
      </w:r>
      <w:r>
        <w:instrText xml:space="preserve"> PAGEREF _Toc216768195 \h </w:instrText>
      </w:r>
      <w:r>
        <w:fldChar w:fldCharType="separate"/>
      </w:r>
      <w:r>
        <w:t>26</w:t>
      </w:r>
      <w:r>
        <w:fldChar w:fldCharType="end"/>
      </w:r>
      <w:r>
        <w:fldChar w:fldCharType="end"/>
      </w:r>
    </w:p>
    <w:p w14:paraId="59B36374">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"_Toc216768196" </w:instrText>
      </w:r>
      <w:r>
        <w:fldChar w:fldCharType="separate"/>
      </w:r>
      <w:r>
        <w:rPr>
          <w:rStyle w:val="53"/>
          <w:rFonts w:ascii="宋体" w:hAnsi="宋体" w:cs="宋体"/>
        </w:rPr>
        <w:t xml:space="preserve">7.4 </w:t>
      </w:r>
      <w:r>
        <w:rPr>
          <w:rStyle w:val="53"/>
          <w:rFonts w:hint="eastAsia" w:ascii="宋体" w:hAnsi="宋体" w:cs="宋体"/>
        </w:rPr>
        <w:t>签订合同</w:t>
      </w:r>
      <w:r>
        <w:tab/>
      </w:r>
      <w:r>
        <w:fldChar w:fldCharType="begin"/>
      </w:r>
      <w:r>
        <w:instrText xml:space="preserve"> PAGEREF _Toc216768196 \h </w:instrText>
      </w:r>
      <w:r>
        <w:fldChar w:fldCharType="separate"/>
      </w:r>
      <w:r>
        <w:t>26</w:t>
      </w:r>
      <w:r>
        <w:fldChar w:fldCharType="end"/>
      </w:r>
      <w:r>
        <w:fldChar w:fldCharType="end"/>
      </w:r>
    </w:p>
    <w:p w14:paraId="234556A8">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"_Toc216768197" </w:instrText>
      </w:r>
      <w:r>
        <w:fldChar w:fldCharType="separate"/>
      </w:r>
      <w:r>
        <w:rPr>
          <w:rStyle w:val="53"/>
          <w:rFonts w:ascii="宋体" w:hAnsi="宋体" w:cs="宋体"/>
        </w:rPr>
        <w:t xml:space="preserve">8. </w:t>
      </w:r>
      <w:r>
        <w:rPr>
          <w:rStyle w:val="53"/>
          <w:rFonts w:hint="eastAsia" w:ascii="宋体" w:hAnsi="宋体" w:cs="宋体"/>
        </w:rPr>
        <w:t>重新比选和不再比选</w:t>
      </w:r>
      <w:r>
        <w:tab/>
      </w:r>
      <w:r>
        <w:fldChar w:fldCharType="begin"/>
      </w:r>
      <w:r>
        <w:instrText xml:space="preserve"> PAGEREF _Toc216768197 \h </w:instrText>
      </w:r>
      <w:r>
        <w:fldChar w:fldCharType="separate"/>
      </w:r>
      <w:r>
        <w:t>26</w:t>
      </w:r>
      <w:r>
        <w:fldChar w:fldCharType="end"/>
      </w:r>
      <w:r>
        <w:fldChar w:fldCharType="end"/>
      </w:r>
    </w:p>
    <w:p w14:paraId="039870B0">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"_Toc216768198" </w:instrText>
      </w:r>
      <w:r>
        <w:fldChar w:fldCharType="separate"/>
      </w:r>
      <w:r>
        <w:rPr>
          <w:rStyle w:val="53"/>
          <w:rFonts w:ascii="宋体" w:hAnsi="宋体" w:cs="宋体"/>
          <w:bCs/>
          <w:snapToGrid w:val="0"/>
        </w:rPr>
        <w:t xml:space="preserve">8.1  </w:t>
      </w:r>
      <w:r>
        <w:rPr>
          <w:rStyle w:val="53"/>
          <w:rFonts w:hint="eastAsia" w:ascii="宋体" w:hAnsi="宋体" w:cs="宋体"/>
          <w:bCs/>
          <w:snapToGrid w:val="0"/>
        </w:rPr>
        <w:t>重新比选</w:t>
      </w:r>
      <w:r>
        <w:tab/>
      </w:r>
      <w:r>
        <w:fldChar w:fldCharType="begin"/>
      </w:r>
      <w:r>
        <w:instrText xml:space="preserve"> PAGEREF _Toc216768198 \h </w:instrText>
      </w:r>
      <w:r>
        <w:fldChar w:fldCharType="separate"/>
      </w:r>
      <w:r>
        <w:t>26</w:t>
      </w:r>
      <w:r>
        <w:fldChar w:fldCharType="end"/>
      </w:r>
      <w:r>
        <w:fldChar w:fldCharType="end"/>
      </w:r>
    </w:p>
    <w:p w14:paraId="264F5359">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"_Toc216768199" </w:instrText>
      </w:r>
      <w:r>
        <w:fldChar w:fldCharType="separate"/>
      </w:r>
      <w:r>
        <w:rPr>
          <w:rStyle w:val="53"/>
          <w:rFonts w:ascii="宋体" w:hAnsi="宋体" w:cs="宋体"/>
        </w:rPr>
        <w:t xml:space="preserve">8.2 </w:t>
      </w:r>
      <w:r>
        <w:rPr>
          <w:rStyle w:val="53"/>
          <w:rFonts w:hint="eastAsia" w:ascii="宋体" w:hAnsi="宋体" w:cs="宋体"/>
        </w:rPr>
        <w:t>不再比选</w:t>
      </w:r>
      <w:r>
        <w:tab/>
      </w:r>
      <w:r>
        <w:fldChar w:fldCharType="begin"/>
      </w:r>
      <w:r>
        <w:instrText xml:space="preserve"> PAGEREF _Toc216768199 \h </w:instrText>
      </w:r>
      <w:r>
        <w:fldChar w:fldCharType="separate"/>
      </w:r>
      <w:r>
        <w:t>26</w:t>
      </w:r>
      <w:r>
        <w:fldChar w:fldCharType="end"/>
      </w:r>
      <w:r>
        <w:fldChar w:fldCharType="end"/>
      </w:r>
    </w:p>
    <w:p w14:paraId="5DBC9244">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"_Toc216768200" </w:instrText>
      </w:r>
      <w:r>
        <w:fldChar w:fldCharType="separate"/>
      </w:r>
      <w:r>
        <w:rPr>
          <w:rStyle w:val="53"/>
          <w:rFonts w:ascii="宋体" w:hAnsi="宋体" w:cs="宋体"/>
        </w:rPr>
        <w:t xml:space="preserve">9.  </w:t>
      </w:r>
      <w:r>
        <w:rPr>
          <w:rStyle w:val="53"/>
          <w:rFonts w:hint="eastAsia" w:ascii="宋体" w:hAnsi="宋体" w:cs="宋体"/>
        </w:rPr>
        <w:t>纪律和监督</w:t>
      </w:r>
      <w:r>
        <w:tab/>
      </w:r>
      <w:r>
        <w:fldChar w:fldCharType="begin"/>
      </w:r>
      <w:r>
        <w:instrText xml:space="preserve"> PAGEREF _Toc216768200 \h </w:instrText>
      </w:r>
      <w:r>
        <w:fldChar w:fldCharType="separate"/>
      </w:r>
      <w:r>
        <w:t>26</w:t>
      </w:r>
      <w:r>
        <w:fldChar w:fldCharType="end"/>
      </w:r>
      <w:r>
        <w:fldChar w:fldCharType="end"/>
      </w:r>
    </w:p>
    <w:p w14:paraId="658877A9">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"_Toc216768201" </w:instrText>
      </w:r>
      <w:r>
        <w:fldChar w:fldCharType="separate"/>
      </w:r>
      <w:r>
        <w:rPr>
          <w:rStyle w:val="53"/>
          <w:rFonts w:ascii="宋体" w:hAnsi="宋体" w:cs="宋体"/>
          <w:bCs/>
          <w:snapToGrid w:val="0"/>
        </w:rPr>
        <w:t xml:space="preserve">9.1  </w:t>
      </w:r>
      <w:r>
        <w:rPr>
          <w:rStyle w:val="53"/>
          <w:rFonts w:hint="eastAsia" w:ascii="宋体" w:hAnsi="宋体" w:cs="宋体"/>
          <w:bCs/>
          <w:snapToGrid w:val="0"/>
        </w:rPr>
        <w:t>对比选人的纪律要求</w:t>
      </w:r>
      <w:r>
        <w:tab/>
      </w:r>
      <w:r>
        <w:fldChar w:fldCharType="begin"/>
      </w:r>
      <w:r>
        <w:instrText xml:space="preserve"> PAGEREF _Toc216768201 \h </w:instrText>
      </w:r>
      <w:r>
        <w:fldChar w:fldCharType="separate"/>
      </w:r>
      <w:r>
        <w:t>26</w:t>
      </w:r>
      <w:r>
        <w:fldChar w:fldCharType="end"/>
      </w:r>
      <w:r>
        <w:fldChar w:fldCharType="end"/>
      </w:r>
    </w:p>
    <w:p w14:paraId="62020D09">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"_Toc216768202" </w:instrText>
      </w:r>
      <w:r>
        <w:fldChar w:fldCharType="separate"/>
      </w:r>
      <w:r>
        <w:rPr>
          <w:rStyle w:val="53"/>
          <w:rFonts w:ascii="宋体" w:hAnsi="宋体" w:cs="宋体"/>
          <w:bCs/>
          <w:snapToGrid w:val="0"/>
        </w:rPr>
        <w:t xml:space="preserve">9.2  </w:t>
      </w:r>
      <w:r>
        <w:rPr>
          <w:rStyle w:val="53"/>
          <w:rFonts w:hint="eastAsia" w:ascii="宋体" w:hAnsi="宋体" w:cs="宋体"/>
          <w:bCs/>
          <w:snapToGrid w:val="0"/>
        </w:rPr>
        <w:t>对投标人的纪律要求</w:t>
      </w:r>
      <w:r>
        <w:tab/>
      </w:r>
      <w:r>
        <w:fldChar w:fldCharType="begin"/>
      </w:r>
      <w:r>
        <w:instrText xml:space="preserve"> PAGEREF _Toc216768202 \h </w:instrText>
      </w:r>
      <w:r>
        <w:fldChar w:fldCharType="separate"/>
      </w:r>
      <w:r>
        <w:t>27</w:t>
      </w:r>
      <w:r>
        <w:fldChar w:fldCharType="end"/>
      </w:r>
      <w:r>
        <w:fldChar w:fldCharType="end"/>
      </w:r>
    </w:p>
    <w:p w14:paraId="10724EAD">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"_Toc216768203" </w:instrText>
      </w:r>
      <w:r>
        <w:fldChar w:fldCharType="separate"/>
      </w:r>
      <w:r>
        <w:rPr>
          <w:rStyle w:val="53"/>
          <w:rFonts w:ascii="宋体" w:hAnsi="宋体" w:cs="宋体"/>
          <w:bCs/>
          <w:snapToGrid w:val="0"/>
        </w:rPr>
        <w:t xml:space="preserve">9.3  </w:t>
      </w:r>
      <w:r>
        <w:rPr>
          <w:rStyle w:val="53"/>
          <w:rFonts w:hint="eastAsia" w:ascii="宋体" w:hAnsi="宋体" w:cs="宋体"/>
          <w:bCs/>
          <w:snapToGrid w:val="0"/>
        </w:rPr>
        <w:t>对评标委员会成员的纪律要求</w:t>
      </w:r>
      <w:r>
        <w:tab/>
      </w:r>
      <w:r>
        <w:fldChar w:fldCharType="begin"/>
      </w:r>
      <w:r>
        <w:instrText xml:space="preserve"> PAGEREF _Toc216768203 \h </w:instrText>
      </w:r>
      <w:r>
        <w:fldChar w:fldCharType="separate"/>
      </w:r>
      <w:r>
        <w:t>27</w:t>
      </w:r>
      <w:r>
        <w:fldChar w:fldCharType="end"/>
      </w:r>
      <w:r>
        <w:fldChar w:fldCharType="end"/>
      </w:r>
    </w:p>
    <w:p w14:paraId="20EECB9A">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"_Toc216768204" </w:instrText>
      </w:r>
      <w:r>
        <w:fldChar w:fldCharType="separate"/>
      </w:r>
      <w:r>
        <w:rPr>
          <w:rStyle w:val="53"/>
          <w:rFonts w:ascii="宋体" w:hAnsi="宋体" w:cs="宋体"/>
          <w:bCs/>
          <w:snapToGrid w:val="0"/>
        </w:rPr>
        <w:t xml:space="preserve">9.4  </w:t>
      </w:r>
      <w:r>
        <w:rPr>
          <w:rStyle w:val="53"/>
          <w:rFonts w:hint="eastAsia" w:ascii="宋体" w:hAnsi="宋体" w:cs="宋体"/>
          <w:bCs/>
          <w:snapToGrid w:val="0"/>
        </w:rPr>
        <w:t>对与评标活动有关的工作人员的纪律要求</w:t>
      </w:r>
      <w:r>
        <w:tab/>
      </w:r>
      <w:r>
        <w:fldChar w:fldCharType="begin"/>
      </w:r>
      <w:r>
        <w:instrText xml:space="preserve"> PAGEREF _Toc216768204 \h </w:instrText>
      </w:r>
      <w:r>
        <w:fldChar w:fldCharType="separate"/>
      </w:r>
      <w:r>
        <w:t>28</w:t>
      </w:r>
      <w:r>
        <w:fldChar w:fldCharType="end"/>
      </w:r>
      <w:r>
        <w:fldChar w:fldCharType="end"/>
      </w:r>
    </w:p>
    <w:p w14:paraId="738ACE13">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"_Toc216768205" </w:instrText>
      </w:r>
      <w:r>
        <w:fldChar w:fldCharType="separate"/>
      </w:r>
      <w:r>
        <w:rPr>
          <w:rStyle w:val="53"/>
          <w:rFonts w:ascii="宋体" w:hAnsi="宋体" w:cs="宋体"/>
          <w:bCs/>
          <w:snapToGrid w:val="0"/>
        </w:rPr>
        <w:t xml:space="preserve">9.5  </w:t>
      </w:r>
      <w:r>
        <w:rPr>
          <w:rStyle w:val="53"/>
          <w:rFonts w:hint="eastAsia" w:ascii="宋体" w:hAnsi="宋体" w:cs="宋体"/>
          <w:bCs/>
          <w:snapToGrid w:val="0"/>
        </w:rPr>
        <w:t>投诉</w:t>
      </w:r>
      <w:r>
        <w:tab/>
      </w:r>
      <w:r>
        <w:fldChar w:fldCharType="begin"/>
      </w:r>
      <w:r>
        <w:instrText xml:space="preserve"> PAGEREF _Toc216768205 \h </w:instrText>
      </w:r>
      <w:r>
        <w:fldChar w:fldCharType="separate"/>
      </w:r>
      <w:r>
        <w:t>28</w:t>
      </w:r>
      <w:r>
        <w:fldChar w:fldCharType="end"/>
      </w:r>
      <w:r>
        <w:fldChar w:fldCharType="end"/>
      </w:r>
    </w:p>
    <w:p w14:paraId="6A626B01">
      <w:pPr>
        <w:pStyle w:val="31"/>
        <w:tabs>
          <w:tab w:val="right" w:leader="dot" w:pos="9459"/>
        </w:tabs>
        <w:rPr>
          <w:rFonts w:asciiTheme="minorHAnsi" w:hAnsiTheme="minorHAnsi" w:eastAsiaTheme="minorEastAsia" w:cstheme="minorBidi"/>
          <w:b w:val="0"/>
          <w:bCs w:val="0"/>
          <w:caps w:val="0"/>
          <w:sz w:val="21"/>
          <w:szCs w:val="22"/>
        </w:rPr>
      </w:pPr>
      <w:r>
        <w:fldChar w:fldCharType="begin"/>
      </w:r>
      <w:r>
        <w:instrText xml:space="preserve"> HYPERLINK \l "_Toc216768206" </w:instrText>
      </w:r>
      <w:r>
        <w:fldChar w:fldCharType="separate"/>
      </w:r>
      <w:r>
        <w:rPr>
          <w:rStyle w:val="53"/>
          <w:rFonts w:hint="eastAsia" w:ascii="宋体" w:hAnsi="宋体"/>
        </w:rPr>
        <w:t>第三章</w:t>
      </w:r>
      <w:r>
        <w:rPr>
          <w:rStyle w:val="53"/>
          <w:rFonts w:ascii="宋体" w:hAnsi="宋体"/>
        </w:rPr>
        <w:t xml:space="preserve">  </w:t>
      </w:r>
      <w:r>
        <w:rPr>
          <w:rStyle w:val="53"/>
          <w:rFonts w:hint="eastAsia" w:ascii="宋体" w:hAnsi="宋体"/>
        </w:rPr>
        <w:t>评标办法（综合评估法）</w:t>
      </w:r>
      <w:r>
        <w:tab/>
      </w:r>
      <w:r>
        <w:fldChar w:fldCharType="begin"/>
      </w:r>
      <w:r>
        <w:instrText xml:space="preserve"> PAGEREF _Toc216768206 \h </w:instrText>
      </w:r>
      <w:r>
        <w:fldChar w:fldCharType="separate"/>
      </w:r>
      <w:r>
        <w:t>29</w:t>
      </w:r>
      <w:r>
        <w:fldChar w:fldCharType="end"/>
      </w:r>
      <w:r>
        <w:fldChar w:fldCharType="end"/>
      </w:r>
    </w:p>
    <w:p w14:paraId="3B6F4278">
      <w:pPr>
        <w:pStyle w:val="37"/>
        <w:tabs>
          <w:tab w:val="right" w:leader="dot" w:pos="9459"/>
        </w:tabs>
        <w:rPr>
          <w:rFonts w:asciiTheme="minorHAnsi" w:hAnsiTheme="minorHAnsi" w:eastAsiaTheme="minorEastAsia" w:cstheme="minorBidi"/>
          <w:smallCaps w:val="0"/>
          <w:sz w:val="21"/>
          <w:szCs w:val="22"/>
        </w:rPr>
      </w:pPr>
      <w:r>
        <w:fldChar w:fldCharType="begin"/>
      </w:r>
      <w:r>
        <w:instrText xml:space="preserve"> HYPERLINK \l "_Toc216768207" </w:instrText>
      </w:r>
      <w:r>
        <w:fldChar w:fldCharType="separate"/>
      </w:r>
      <w:r>
        <w:rPr>
          <w:rStyle w:val="53"/>
          <w:rFonts w:hint="eastAsia" w:ascii="宋体" w:hAnsi="宋体"/>
        </w:rPr>
        <w:t>评标办法前附表</w:t>
      </w:r>
      <w:r>
        <w:tab/>
      </w:r>
      <w:r>
        <w:fldChar w:fldCharType="begin"/>
      </w:r>
      <w:r>
        <w:instrText xml:space="preserve"> PAGEREF _Toc216768207 \h </w:instrText>
      </w:r>
      <w:r>
        <w:fldChar w:fldCharType="separate"/>
      </w:r>
      <w:r>
        <w:t>29</w:t>
      </w:r>
      <w:r>
        <w:fldChar w:fldCharType="end"/>
      </w:r>
      <w:r>
        <w:fldChar w:fldCharType="end"/>
      </w:r>
    </w:p>
    <w:p w14:paraId="6398FB20">
      <w:pPr>
        <w:pStyle w:val="37"/>
        <w:tabs>
          <w:tab w:val="right" w:leader="dot" w:pos="9459"/>
        </w:tabs>
        <w:rPr>
          <w:rFonts w:asciiTheme="minorHAnsi" w:hAnsiTheme="minorHAnsi" w:eastAsiaTheme="minorEastAsia" w:cstheme="minorBidi"/>
          <w:smallCaps w:val="0"/>
          <w:sz w:val="21"/>
          <w:szCs w:val="22"/>
        </w:rPr>
      </w:pPr>
      <w:r>
        <w:fldChar w:fldCharType="begin"/>
      </w:r>
      <w:r>
        <w:instrText xml:space="preserve"> HYPERLINK \l "_Toc216768208" </w:instrText>
      </w:r>
      <w:r>
        <w:fldChar w:fldCharType="separate"/>
      </w:r>
      <w:r>
        <w:rPr>
          <w:rStyle w:val="53"/>
          <w:rFonts w:ascii="宋体" w:hAnsi="宋体"/>
          <w:snapToGrid w:val="0"/>
        </w:rPr>
        <w:t xml:space="preserve">1.  </w:t>
      </w:r>
      <w:r>
        <w:rPr>
          <w:rStyle w:val="53"/>
          <w:rFonts w:hint="eastAsia" w:ascii="宋体" w:hAnsi="宋体"/>
          <w:snapToGrid w:val="0"/>
        </w:rPr>
        <w:t>评标方法</w:t>
      </w:r>
      <w:r>
        <w:tab/>
      </w:r>
      <w:r>
        <w:fldChar w:fldCharType="begin"/>
      </w:r>
      <w:r>
        <w:instrText xml:space="preserve"> PAGEREF _Toc216768208 \h </w:instrText>
      </w:r>
      <w:r>
        <w:fldChar w:fldCharType="separate"/>
      </w:r>
      <w:r>
        <w:t>34</w:t>
      </w:r>
      <w:r>
        <w:fldChar w:fldCharType="end"/>
      </w:r>
      <w:r>
        <w:fldChar w:fldCharType="end"/>
      </w:r>
    </w:p>
    <w:p w14:paraId="2771AC22">
      <w:pPr>
        <w:pStyle w:val="37"/>
        <w:tabs>
          <w:tab w:val="right" w:leader="dot" w:pos="9459"/>
        </w:tabs>
        <w:rPr>
          <w:rFonts w:asciiTheme="minorHAnsi" w:hAnsiTheme="minorHAnsi" w:eastAsiaTheme="minorEastAsia" w:cstheme="minorBidi"/>
          <w:smallCaps w:val="0"/>
          <w:sz w:val="21"/>
          <w:szCs w:val="22"/>
        </w:rPr>
      </w:pPr>
      <w:r>
        <w:fldChar w:fldCharType="begin"/>
      </w:r>
      <w:r>
        <w:instrText xml:space="preserve"> HYPERLINK \l "_Toc216768209" </w:instrText>
      </w:r>
      <w:r>
        <w:fldChar w:fldCharType="separate"/>
      </w:r>
      <w:r>
        <w:rPr>
          <w:rStyle w:val="53"/>
          <w:rFonts w:ascii="宋体" w:hAnsi="宋体"/>
          <w:snapToGrid w:val="0"/>
        </w:rPr>
        <w:t xml:space="preserve">2.  </w:t>
      </w:r>
      <w:r>
        <w:rPr>
          <w:rStyle w:val="53"/>
          <w:rFonts w:hint="eastAsia" w:ascii="宋体" w:hAnsi="宋体"/>
          <w:snapToGrid w:val="0"/>
        </w:rPr>
        <w:t>评审标准</w:t>
      </w:r>
      <w:r>
        <w:tab/>
      </w:r>
      <w:r>
        <w:fldChar w:fldCharType="begin"/>
      </w:r>
      <w:r>
        <w:instrText xml:space="preserve"> PAGEREF _Toc216768209 \h </w:instrText>
      </w:r>
      <w:r>
        <w:fldChar w:fldCharType="separate"/>
      </w:r>
      <w:r>
        <w:t>34</w:t>
      </w:r>
      <w:r>
        <w:fldChar w:fldCharType="end"/>
      </w:r>
      <w:r>
        <w:fldChar w:fldCharType="end"/>
      </w:r>
    </w:p>
    <w:p w14:paraId="775C1580">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"_Toc216768210" </w:instrText>
      </w:r>
      <w:r>
        <w:fldChar w:fldCharType="separate"/>
      </w:r>
      <w:r>
        <w:rPr>
          <w:rStyle w:val="53"/>
          <w:rFonts w:ascii="宋体" w:hAnsi="宋体"/>
          <w:snapToGrid w:val="0"/>
        </w:rPr>
        <w:t xml:space="preserve">2.1  </w:t>
      </w:r>
      <w:r>
        <w:rPr>
          <w:rStyle w:val="53"/>
          <w:rFonts w:hint="eastAsia" w:ascii="宋体" w:hAnsi="宋体"/>
          <w:snapToGrid w:val="0"/>
        </w:rPr>
        <w:t>初步评审标准</w:t>
      </w:r>
      <w:r>
        <w:tab/>
      </w:r>
      <w:r>
        <w:fldChar w:fldCharType="begin"/>
      </w:r>
      <w:r>
        <w:instrText xml:space="preserve"> PAGEREF _Toc216768210 \h </w:instrText>
      </w:r>
      <w:r>
        <w:fldChar w:fldCharType="separate"/>
      </w:r>
      <w:r>
        <w:t>34</w:t>
      </w:r>
      <w:r>
        <w:fldChar w:fldCharType="end"/>
      </w:r>
      <w:r>
        <w:fldChar w:fldCharType="end"/>
      </w:r>
    </w:p>
    <w:p w14:paraId="59FFAB6C">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"_Toc216768211" </w:instrText>
      </w:r>
      <w:r>
        <w:fldChar w:fldCharType="separate"/>
      </w:r>
      <w:r>
        <w:rPr>
          <w:rStyle w:val="53"/>
          <w:rFonts w:ascii="宋体" w:hAnsi="宋体"/>
          <w:snapToGrid w:val="0"/>
        </w:rPr>
        <w:t xml:space="preserve">2.2  </w:t>
      </w:r>
      <w:r>
        <w:rPr>
          <w:rStyle w:val="53"/>
          <w:rFonts w:hint="eastAsia" w:ascii="宋体" w:hAnsi="宋体"/>
          <w:snapToGrid w:val="0"/>
        </w:rPr>
        <w:t>分值构成与评分标准</w:t>
      </w:r>
      <w:r>
        <w:tab/>
      </w:r>
      <w:r>
        <w:fldChar w:fldCharType="begin"/>
      </w:r>
      <w:r>
        <w:instrText xml:space="preserve"> PAGEREF _Toc216768211 \h </w:instrText>
      </w:r>
      <w:r>
        <w:fldChar w:fldCharType="separate"/>
      </w:r>
      <w:r>
        <w:t>34</w:t>
      </w:r>
      <w:r>
        <w:fldChar w:fldCharType="end"/>
      </w:r>
      <w:r>
        <w:fldChar w:fldCharType="end"/>
      </w:r>
    </w:p>
    <w:p w14:paraId="5BF74450">
      <w:pPr>
        <w:pStyle w:val="37"/>
        <w:tabs>
          <w:tab w:val="right" w:leader="dot" w:pos="9459"/>
        </w:tabs>
        <w:rPr>
          <w:rFonts w:asciiTheme="minorHAnsi" w:hAnsiTheme="minorHAnsi" w:eastAsiaTheme="minorEastAsia" w:cstheme="minorBidi"/>
          <w:smallCaps w:val="0"/>
          <w:sz w:val="21"/>
          <w:szCs w:val="22"/>
        </w:rPr>
      </w:pPr>
      <w:r>
        <w:fldChar w:fldCharType="begin"/>
      </w:r>
      <w:r>
        <w:instrText xml:space="preserve"> HYPERLINK \l "_Toc216768212" </w:instrText>
      </w:r>
      <w:r>
        <w:fldChar w:fldCharType="separate"/>
      </w:r>
      <w:r>
        <w:rPr>
          <w:rStyle w:val="53"/>
          <w:rFonts w:ascii="宋体" w:hAnsi="宋体"/>
          <w:snapToGrid w:val="0"/>
        </w:rPr>
        <w:t xml:space="preserve">3.  </w:t>
      </w:r>
      <w:r>
        <w:rPr>
          <w:rStyle w:val="53"/>
          <w:rFonts w:hint="eastAsia" w:ascii="宋体" w:hAnsi="宋体"/>
          <w:snapToGrid w:val="0"/>
        </w:rPr>
        <w:t>评标程序</w:t>
      </w:r>
      <w:r>
        <w:tab/>
      </w:r>
      <w:r>
        <w:fldChar w:fldCharType="begin"/>
      </w:r>
      <w:r>
        <w:instrText xml:space="preserve"> PAGEREF _Toc216768212 \h </w:instrText>
      </w:r>
      <w:r>
        <w:fldChar w:fldCharType="separate"/>
      </w:r>
      <w:r>
        <w:t>34</w:t>
      </w:r>
      <w:r>
        <w:fldChar w:fldCharType="end"/>
      </w:r>
      <w:r>
        <w:fldChar w:fldCharType="end"/>
      </w:r>
    </w:p>
    <w:p w14:paraId="3528A208">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"_Toc216768213" </w:instrText>
      </w:r>
      <w:r>
        <w:fldChar w:fldCharType="separate"/>
      </w:r>
      <w:r>
        <w:rPr>
          <w:rStyle w:val="53"/>
          <w:rFonts w:ascii="宋体" w:hAnsi="宋体"/>
          <w:snapToGrid w:val="0"/>
        </w:rPr>
        <w:t xml:space="preserve">3.1  </w:t>
      </w:r>
      <w:r>
        <w:rPr>
          <w:rStyle w:val="53"/>
          <w:rFonts w:hint="eastAsia" w:ascii="宋体" w:hAnsi="宋体"/>
          <w:snapToGrid w:val="0"/>
        </w:rPr>
        <w:t>初步评审</w:t>
      </w:r>
      <w:r>
        <w:tab/>
      </w:r>
      <w:r>
        <w:fldChar w:fldCharType="begin"/>
      </w:r>
      <w:r>
        <w:instrText xml:space="preserve"> PAGEREF _Toc216768213 \h </w:instrText>
      </w:r>
      <w:r>
        <w:fldChar w:fldCharType="separate"/>
      </w:r>
      <w:r>
        <w:t>34</w:t>
      </w:r>
      <w:r>
        <w:fldChar w:fldCharType="end"/>
      </w:r>
      <w:r>
        <w:fldChar w:fldCharType="end"/>
      </w:r>
    </w:p>
    <w:p w14:paraId="21039A39">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"_Toc216768214" </w:instrText>
      </w:r>
      <w:r>
        <w:fldChar w:fldCharType="separate"/>
      </w:r>
      <w:r>
        <w:rPr>
          <w:rStyle w:val="53"/>
          <w:rFonts w:ascii="宋体" w:hAnsi="宋体"/>
          <w:snapToGrid w:val="0"/>
        </w:rPr>
        <w:t xml:space="preserve">3.2  </w:t>
      </w:r>
      <w:r>
        <w:rPr>
          <w:rStyle w:val="53"/>
          <w:rFonts w:hint="eastAsia" w:ascii="宋体" w:hAnsi="宋体"/>
          <w:snapToGrid w:val="0"/>
        </w:rPr>
        <w:t>详细评审</w:t>
      </w:r>
      <w:r>
        <w:tab/>
      </w:r>
      <w:r>
        <w:fldChar w:fldCharType="begin"/>
      </w:r>
      <w:r>
        <w:instrText xml:space="preserve"> PAGEREF _Toc216768214 \h </w:instrText>
      </w:r>
      <w:r>
        <w:fldChar w:fldCharType="separate"/>
      </w:r>
      <w:r>
        <w:t>35</w:t>
      </w:r>
      <w:r>
        <w:fldChar w:fldCharType="end"/>
      </w:r>
      <w:r>
        <w:fldChar w:fldCharType="end"/>
      </w:r>
    </w:p>
    <w:p w14:paraId="124B94FF">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"_Toc216768215" </w:instrText>
      </w:r>
      <w:r>
        <w:fldChar w:fldCharType="separate"/>
      </w:r>
      <w:r>
        <w:rPr>
          <w:rStyle w:val="53"/>
          <w:rFonts w:ascii="宋体" w:hAnsi="宋体"/>
          <w:snapToGrid w:val="0"/>
        </w:rPr>
        <w:t xml:space="preserve">3.3  </w:t>
      </w:r>
      <w:r>
        <w:rPr>
          <w:rStyle w:val="53"/>
          <w:rFonts w:hint="eastAsia" w:ascii="宋体" w:hAnsi="宋体"/>
          <w:snapToGrid w:val="0"/>
        </w:rPr>
        <w:t>投标文件的澄清和补正</w:t>
      </w:r>
      <w:r>
        <w:tab/>
      </w:r>
      <w:r>
        <w:fldChar w:fldCharType="begin"/>
      </w:r>
      <w:r>
        <w:instrText xml:space="preserve"> PAGEREF _Toc216768215 \h </w:instrText>
      </w:r>
      <w:r>
        <w:fldChar w:fldCharType="separate"/>
      </w:r>
      <w:r>
        <w:t>35</w:t>
      </w:r>
      <w:r>
        <w:fldChar w:fldCharType="end"/>
      </w:r>
      <w:r>
        <w:fldChar w:fldCharType="end"/>
      </w:r>
    </w:p>
    <w:p w14:paraId="21934A32">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"_Toc216768216" </w:instrText>
      </w:r>
      <w:r>
        <w:fldChar w:fldCharType="separate"/>
      </w:r>
      <w:r>
        <w:rPr>
          <w:rStyle w:val="53"/>
          <w:rFonts w:ascii="宋体" w:hAnsi="宋体"/>
          <w:snapToGrid w:val="0"/>
        </w:rPr>
        <w:t xml:space="preserve">3.4  </w:t>
      </w:r>
      <w:r>
        <w:rPr>
          <w:rStyle w:val="53"/>
          <w:rFonts w:hint="eastAsia" w:ascii="宋体" w:hAnsi="宋体"/>
          <w:snapToGrid w:val="0"/>
        </w:rPr>
        <w:t>评标结果</w:t>
      </w:r>
      <w:r>
        <w:tab/>
      </w:r>
      <w:r>
        <w:fldChar w:fldCharType="begin"/>
      </w:r>
      <w:r>
        <w:instrText xml:space="preserve"> PAGEREF _Toc216768216 \h </w:instrText>
      </w:r>
      <w:r>
        <w:fldChar w:fldCharType="separate"/>
      </w:r>
      <w:r>
        <w:t>35</w:t>
      </w:r>
      <w:r>
        <w:fldChar w:fldCharType="end"/>
      </w:r>
      <w:r>
        <w:fldChar w:fldCharType="end"/>
      </w:r>
    </w:p>
    <w:p w14:paraId="0407AC86">
      <w:pPr>
        <w:pStyle w:val="31"/>
        <w:tabs>
          <w:tab w:val="right" w:leader="dot" w:pos="9459"/>
        </w:tabs>
        <w:rPr>
          <w:rFonts w:asciiTheme="minorHAnsi" w:hAnsiTheme="minorHAnsi" w:eastAsiaTheme="minorEastAsia" w:cstheme="minorBidi"/>
          <w:b w:val="0"/>
          <w:bCs w:val="0"/>
          <w:caps w:val="0"/>
          <w:sz w:val="21"/>
          <w:szCs w:val="22"/>
        </w:rPr>
      </w:pPr>
      <w:r>
        <w:fldChar w:fldCharType="begin"/>
      </w:r>
      <w:r>
        <w:instrText xml:space="preserve"> HYPERLINK \l "_Toc216768217" </w:instrText>
      </w:r>
      <w:r>
        <w:fldChar w:fldCharType="separate"/>
      </w:r>
      <w:r>
        <w:rPr>
          <w:rStyle w:val="53"/>
          <w:rFonts w:hint="eastAsia" w:ascii="宋体" w:hAnsi="宋体"/>
          <w:kern w:val="0"/>
        </w:rPr>
        <w:t>第四章</w:t>
      </w:r>
      <w:r>
        <w:rPr>
          <w:rStyle w:val="53"/>
          <w:rFonts w:ascii="宋体" w:hAnsi="宋体"/>
          <w:kern w:val="0"/>
        </w:rPr>
        <w:t xml:space="preserve">  </w:t>
      </w:r>
      <w:r>
        <w:rPr>
          <w:rStyle w:val="53"/>
          <w:rFonts w:hint="eastAsia" w:ascii="宋体" w:hAnsi="宋体"/>
          <w:kern w:val="0"/>
        </w:rPr>
        <w:t>合同条款及格式</w:t>
      </w:r>
      <w:r>
        <w:tab/>
      </w:r>
      <w:r>
        <w:fldChar w:fldCharType="begin"/>
      </w:r>
      <w:r>
        <w:instrText xml:space="preserve"> PAGEREF _Toc216768217 \h </w:instrText>
      </w:r>
      <w:r>
        <w:fldChar w:fldCharType="separate"/>
      </w:r>
      <w:r>
        <w:t>39</w:t>
      </w:r>
      <w:r>
        <w:fldChar w:fldCharType="end"/>
      </w:r>
      <w:r>
        <w:fldChar w:fldCharType="end"/>
      </w:r>
    </w:p>
    <w:p w14:paraId="14563BE7">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"_Toc216768218" </w:instrText>
      </w:r>
      <w:r>
        <w:fldChar w:fldCharType="separate"/>
      </w:r>
      <w:r>
        <w:rPr>
          <w:rStyle w:val="53"/>
          <w:rFonts w:hint="eastAsia" w:ascii="宋体" w:hAnsi="宋体"/>
        </w:rPr>
        <w:t>第一部分</w:t>
      </w:r>
      <w:r>
        <w:rPr>
          <w:rStyle w:val="53"/>
          <w:rFonts w:ascii="宋体" w:hAnsi="宋体"/>
        </w:rPr>
        <w:t xml:space="preserve"> </w:t>
      </w:r>
      <w:r>
        <w:rPr>
          <w:rStyle w:val="53"/>
          <w:rFonts w:hint="eastAsia" w:ascii="宋体" w:hAnsi="宋体"/>
        </w:rPr>
        <w:t>合同协议书</w:t>
      </w:r>
      <w:r>
        <w:tab/>
      </w:r>
      <w:r>
        <w:fldChar w:fldCharType="begin"/>
      </w:r>
      <w:r>
        <w:instrText xml:space="preserve"> PAGEREF _Toc216768218 \h </w:instrText>
      </w:r>
      <w:r>
        <w:fldChar w:fldCharType="separate"/>
      </w:r>
      <w:r>
        <w:t>41</w:t>
      </w:r>
      <w:r>
        <w:fldChar w:fldCharType="end"/>
      </w:r>
      <w:r>
        <w:fldChar w:fldCharType="end"/>
      </w:r>
    </w:p>
    <w:p w14:paraId="53DFE955">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"_Toc216768219" </w:instrText>
      </w:r>
      <w:r>
        <w:fldChar w:fldCharType="separate"/>
      </w:r>
      <w:r>
        <w:rPr>
          <w:rStyle w:val="53"/>
          <w:rFonts w:hint="eastAsia" w:ascii="宋体" w:hAnsi="宋体"/>
        </w:rPr>
        <w:t>第二部分</w:t>
      </w:r>
      <w:r>
        <w:rPr>
          <w:rStyle w:val="53"/>
          <w:rFonts w:ascii="宋体" w:hAnsi="宋体"/>
        </w:rPr>
        <w:t xml:space="preserve"> </w:t>
      </w:r>
      <w:r>
        <w:rPr>
          <w:rStyle w:val="53"/>
          <w:rFonts w:hint="eastAsia" w:ascii="宋体" w:hAnsi="宋体"/>
        </w:rPr>
        <w:t>通用合同条款</w:t>
      </w:r>
      <w:r>
        <w:tab/>
      </w:r>
      <w:r>
        <w:fldChar w:fldCharType="begin"/>
      </w:r>
      <w:r>
        <w:instrText xml:space="preserve"> PAGEREF _Toc216768219 \h </w:instrText>
      </w:r>
      <w:r>
        <w:fldChar w:fldCharType="separate"/>
      </w:r>
      <w:r>
        <w:t>46</w:t>
      </w:r>
      <w:r>
        <w:fldChar w:fldCharType="end"/>
      </w:r>
      <w:r>
        <w:fldChar w:fldCharType="end"/>
      </w:r>
    </w:p>
    <w:p w14:paraId="1E85D69A">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"_Toc216768220" </w:instrText>
      </w:r>
      <w:r>
        <w:fldChar w:fldCharType="separate"/>
      </w:r>
      <w:r>
        <w:rPr>
          <w:rStyle w:val="53"/>
          <w:rFonts w:hint="eastAsia" w:ascii="宋体" w:hAnsi="宋体"/>
        </w:rPr>
        <w:t>第三部分</w:t>
      </w:r>
      <w:r>
        <w:rPr>
          <w:rStyle w:val="53"/>
          <w:rFonts w:ascii="宋体" w:hAnsi="宋体"/>
        </w:rPr>
        <w:t xml:space="preserve"> </w:t>
      </w:r>
      <w:r>
        <w:rPr>
          <w:rStyle w:val="53"/>
          <w:rFonts w:hint="eastAsia" w:ascii="宋体" w:hAnsi="宋体"/>
        </w:rPr>
        <w:t>专用合同条款</w:t>
      </w:r>
      <w:r>
        <w:tab/>
      </w:r>
      <w:r>
        <w:fldChar w:fldCharType="begin"/>
      </w:r>
      <w:r>
        <w:instrText xml:space="preserve"> PAGEREF _Toc216768220 \h </w:instrText>
      </w:r>
      <w:r>
        <w:fldChar w:fldCharType="separate"/>
      </w:r>
      <w:r>
        <w:t>47</w:t>
      </w:r>
      <w:r>
        <w:fldChar w:fldCharType="end"/>
      </w:r>
      <w:r>
        <w:fldChar w:fldCharType="end"/>
      </w:r>
    </w:p>
    <w:p w14:paraId="753395E5">
      <w:pPr>
        <w:pStyle w:val="31"/>
        <w:tabs>
          <w:tab w:val="right" w:leader="dot" w:pos="9459"/>
        </w:tabs>
        <w:rPr>
          <w:rFonts w:asciiTheme="minorHAnsi" w:hAnsiTheme="minorHAnsi" w:eastAsiaTheme="minorEastAsia" w:cstheme="minorBidi"/>
          <w:b w:val="0"/>
          <w:bCs w:val="0"/>
          <w:caps w:val="0"/>
          <w:sz w:val="21"/>
          <w:szCs w:val="22"/>
        </w:rPr>
      </w:pPr>
      <w:r>
        <w:fldChar w:fldCharType="begin"/>
      </w:r>
      <w:r>
        <w:instrText xml:space="preserve"> HYPERLINK \l "_Toc216768221" </w:instrText>
      </w:r>
      <w:r>
        <w:fldChar w:fldCharType="separate"/>
      </w:r>
      <w:r>
        <w:rPr>
          <w:rStyle w:val="53"/>
          <w:rFonts w:hint="eastAsia" w:ascii="宋体" w:hAnsi="宋体"/>
        </w:rPr>
        <w:t>第五章</w:t>
      </w:r>
      <w:r>
        <w:rPr>
          <w:rStyle w:val="53"/>
          <w:rFonts w:ascii="宋体" w:hAnsi="宋体"/>
        </w:rPr>
        <w:t xml:space="preserve">  </w:t>
      </w:r>
      <w:r>
        <w:rPr>
          <w:rStyle w:val="53"/>
          <w:rFonts w:hint="eastAsia" w:ascii="宋体" w:hAnsi="宋体"/>
        </w:rPr>
        <w:t>工程量清单</w:t>
      </w:r>
      <w:r>
        <w:tab/>
      </w:r>
      <w:r>
        <w:fldChar w:fldCharType="begin"/>
      </w:r>
      <w:r>
        <w:instrText xml:space="preserve"> PAGEREF _Toc216768221 \h </w:instrText>
      </w:r>
      <w:r>
        <w:fldChar w:fldCharType="separate"/>
      </w:r>
      <w:r>
        <w:t>111</w:t>
      </w:r>
      <w:r>
        <w:fldChar w:fldCharType="end"/>
      </w:r>
      <w:r>
        <w:fldChar w:fldCharType="end"/>
      </w:r>
    </w:p>
    <w:p w14:paraId="544591D7">
      <w:pPr>
        <w:pStyle w:val="31"/>
        <w:tabs>
          <w:tab w:val="right" w:leader="dot" w:pos="9459"/>
        </w:tabs>
        <w:rPr>
          <w:rFonts w:asciiTheme="minorHAnsi" w:hAnsiTheme="minorHAnsi" w:eastAsiaTheme="minorEastAsia" w:cstheme="minorBidi"/>
          <w:b w:val="0"/>
          <w:bCs w:val="0"/>
          <w:caps w:val="0"/>
          <w:sz w:val="21"/>
          <w:szCs w:val="22"/>
        </w:rPr>
      </w:pPr>
      <w:r>
        <w:fldChar w:fldCharType="begin"/>
      </w:r>
      <w:r>
        <w:instrText xml:space="preserve"> HYPERLINK \l "_Toc216768222" </w:instrText>
      </w:r>
      <w:r>
        <w:fldChar w:fldCharType="separate"/>
      </w:r>
      <w:r>
        <w:rPr>
          <w:rStyle w:val="53"/>
          <w:rFonts w:hint="eastAsia" w:ascii="宋体" w:hAnsi="宋体"/>
        </w:rPr>
        <w:t>第</w:t>
      </w:r>
      <w:r>
        <w:rPr>
          <w:rStyle w:val="53"/>
          <w:rFonts w:ascii="宋体" w:hAnsi="宋体"/>
        </w:rPr>
        <w:t xml:space="preserve"> </w:t>
      </w:r>
      <w:r>
        <w:rPr>
          <w:rStyle w:val="53"/>
          <w:rFonts w:hint="eastAsia" w:ascii="宋体" w:hAnsi="宋体"/>
        </w:rPr>
        <w:t>二</w:t>
      </w:r>
      <w:r>
        <w:rPr>
          <w:rStyle w:val="53"/>
          <w:rFonts w:ascii="宋体" w:hAnsi="宋体"/>
        </w:rPr>
        <w:t xml:space="preserve"> </w:t>
      </w:r>
      <w:r>
        <w:rPr>
          <w:rStyle w:val="53"/>
          <w:rFonts w:hint="eastAsia" w:ascii="宋体" w:hAnsi="宋体"/>
        </w:rPr>
        <w:t>卷</w:t>
      </w:r>
      <w:r>
        <w:tab/>
      </w:r>
      <w:r>
        <w:fldChar w:fldCharType="begin"/>
      </w:r>
      <w:r>
        <w:instrText xml:space="preserve"> PAGEREF _Toc216768222 \h </w:instrText>
      </w:r>
      <w:r>
        <w:fldChar w:fldCharType="separate"/>
      </w:r>
      <w:r>
        <w:t>112</w:t>
      </w:r>
      <w:r>
        <w:fldChar w:fldCharType="end"/>
      </w:r>
      <w:r>
        <w:fldChar w:fldCharType="end"/>
      </w:r>
    </w:p>
    <w:p w14:paraId="7415E224">
      <w:pPr>
        <w:pStyle w:val="31"/>
        <w:tabs>
          <w:tab w:val="right" w:leader="dot" w:pos="9459"/>
        </w:tabs>
        <w:rPr>
          <w:rFonts w:asciiTheme="minorHAnsi" w:hAnsiTheme="minorHAnsi" w:eastAsiaTheme="minorEastAsia" w:cstheme="minorBidi"/>
          <w:b w:val="0"/>
          <w:bCs w:val="0"/>
          <w:caps w:val="0"/>
          <w:sz w:val="21"/>
          <w:szCs w:val="22"/>
        </w:rPr>
      </w:pPr>
      <w:r>
        <w:fldChar w:fldCharType="begin"/>
      </w:r>
      <w:r>
        <w:instrText xml:space="preserve"> HYPERLINK \l "_Toc216768223" </w:instrText>
      </w:r>
      <w:r>
        <w:fldChar w:fldCharType="separate"/>
      </w:r>
      <w:r>
        <w:rPr>
          <w:rStyle w:val="53"/>
          <w:rFonts w:hint="eastAsia" w:ascii="宋体" w:hAnsi="宋体"/>
        </w:rPr>
        <w:t>第六章</w:t>
      </w:r>
      <w:r>
        <w:rPr>
          <w:rStyle w:val="53"/>
          <w:rFonts w:ascii="宋体" w:hAnsi="宋体"/>
        </w:rPr>
        <w:t xml:space="preserve">  </w:t>
      </w:r>
      <w:r>
        <w:rPr>
          <w:rStyle w:val="53"/>
          <w:rFonts w:hint="eastAsia" w:ascii="宋体" w:hAnsi="宋体"/>
        </w:rPr>
        <w:t>技术标准和要求</w:t>
      </w:r>
      <w:r>
        <w:tab/>
      </w:r>
      <w:r>
        <w:fldChar w:fldCharType="begin"/>
      </w:r>
      <w:r>
        <w:instrText xml:space="preserve"> PAGEREF _Toc216768223 \h </w:instrText>
      </w:r>
      <w:r>
        <w:fldChar w:fldCharType="separate"/>
      </w:r>
      <w:r>
        <w:t>113</w:t>
      </w:r>
      <w:r>
        <w:fldChar w:fldCharType="end"/>
      </w:r>
      <w:r>
        <w:fldChar w:fldCharType="end"/>
      </w:r>
    </w:p>
    <w:p w14:paraId="530A9BBB">
      <w:pPr>
        <w:pStyle w:val="31"/>
        <w:tabs>
          <w:tab w:val="right" w:leader="dot" w:pos="9459"/>
        </w:tabs>
        <w:rPr>
          <w:rFonts w:asciiTheme="minorHAnsi" w:hAnsiTheme="minorHAnsi" w:eastAsiaTheme="minorEastAsia" w:cstheme="minorBidi"/>
          <w:b w:val="0"/>
          <w:bCs w:val="0"/>
          <w:caps w:val="0"/>
          <w:sz w:val="21"/>
          <w:szCs w:val="22"/>
        </w:rPr>
      </w:pPr>
      <w:r>
        <w:fldChar w:fldCharType="begin"/>
      </w:r>
      <w:r>
        <w:instrText xml:space="preserve"> HYPERLINK \l "_Toc216768224" </w:instrText>
      </w:r>
      <w:r>
        <w:fldChar w:fldCharType="separate"/>
      </w:r>
      <w:r>
        <w:rPr>
          <w:rStyle w:val="53"/>
          <w:rFonts w:hint="eastAsia" w:ascii="宋体" w:hAnsi="宋体"/>
        </w:rPr>
        <w:t>第</w:t>
      </w:r>
      <w:r>
        <w:rPr>
          <w:rStyle w:val="53"/>
          <w:rFonts w:ascii="宋体" w:hAnsi="宋体"/>
        </w:rPr>
        <w:t xml:space="preserve"> </w:t>
      </w:r>
      <w:r>
        <w:rPr>
          <w:rStyle w:val="53"/>
          <w:rFonts w:hint="eastAsia" w:ascii="宋体" w:hAnsi="宋体"/>
        </w:rPr>
        <w:t>三</w:t>
      </w:r>
      <w:r>
        <w:rPr>
          <w:rStyle w:val="53"/>
          <w:rFonts w:ascii="宋体" w:hAnsi="宋体"/>
        </w:rPr>
        <w:t xml:space="preserve"> </w:t>
      </w:r>
      <w:r>
        <w:rPr>
          <w:rStyle w:val="53"/>
          <w:rFonts w:hint="eastAsia" w:ascii="宋体" w:hAnsi="宋体"/>
        </w:rPr>
        <w:t>卷</w:t>
      </w:r>
      <w:r>
        <w:tab/>
      </w:r>
      <w:r>
        <w:fldChar w:fldCharType="begin"/>
      </w:r>
      <w:r>
        <w:instrText xml:space="preserve"> PAGEREF _Toc216768224 \h </w:instrText>
      </w:r>
      <w:r>
        <w:fldChar w:fldCharType="separate"/>
      </w:r>
      <w:r>
        <w:t>114</w:t>
      </w:r>
      <w:r>
        <w:fldChar w:fldCharType="end"/>
      </w:r>
      <w:r>
        <w:fldChar w:fldCharType="end"/>
      </w:r>
    </w:p>
    <w:p w14:paraId="794E9693">
      <w:pPr>
        <w:pStyle w:val="31"/>
        <w:tabs>
          <w:tab w:val="right" w:leader="dot" w:pos="9459"/>
        </w:tabs>
        <w:rPr>
          <w:rFonts w:asciiTheme="minorHAnsi" w:hAnsiTheme="minorHAnsi" w:eastAsiaTheme="minorEastAsia" w:cstheme="minorBidi"/>
          <w:b w:val="0"/>
          <w:bCs w:val="0"/>
          <w:caps w:val="0"/>
          <w:sz w:val="21"/>
          <w:szCs w:val="22"/>
        </w:rPr>
      </w:pPr>
      <w:r>
        <w:fldChar w:fldCharType="begin"/>
      </w:r>
      <w:r>
        <w:instrText xml:space="preserve"> HYPERLINK \l "_Toc216768225" </w:instrText>
      </w:r>
      <w:r>
        <w:fldChar w:fldCharType="separate"/>
      </w:r>
      <w:r>
        <w:rPr>
          <w:rStyle w:val="53"/>
          <w:rFonts w:hint="eastAsia" w:ascii="宋体" w:hAnsi="宋体"/>
        </w:rPr>
        <w:t>第七章</w:t>
      </w:r>
      <w:r>
        <w:rPr>
          <w:rStyle w:val="53"/>
          <w:rFonts w:ascii="宋体" w:hAnsi="宋体"/>
        </w:rPr>
        <w:t xml:space="preserve">  </w:t>
      </w:r>
      <w:r>
        <w:rPr>
          <w:rStyle w:val="53"/>
          <w:rFonts w:hint="eastAsia" w:ascii="宋体" w:hAnsi="宋体"/>
        </w:rPr>
        <w:t>投标文件格式</w:t>
      </w:r>
      <w:r>
        <w:tab/>
      </w:r>
      <w:r>
        <w:fldChar w:fldCharType="begin"/>
      </w:r>
      <w:r>
        <w:instrText xml:space="preserve"> PAGEREF _Toc216768225 \h </w:instrText>
      </w:r>
      <w:r>
        <w:fldChar w:fldCharType="separate"/>
      </w:r>
      <w:r>
        <w:t>115</w:t>
      </w:r>
      <w:r>
        <w:fldChar w:fldCharType="end"/>
      </w:r>
      <w:r>
        <w:fldChar w:fldCharType="end"/>
      </w:r>
    </w:p>
    <w:p w14:paraId="529F8442">
      <w:pPr>
        <w:pStyle w:val="37"/>
        <w:tabs>
          <w:tab w:val="right" w:leader="dot" w:pos="9459"/>
        </w:tabs>
        <w:rPr>
          <w:rFonts w:asciiTheme="minorHAnsi" w:hAnsiTheme="minorHAnsi" w:eastAsiaTheme="minorEastAsia" w:cstheme="minorBidi"/>
          <w:smallCaps w:val="0"/>
          <w:sz w:val="21"/>
          <w:szCs w:val="22"/>
        </w:rPr>
      </w:pPr>
      <w:r>
        <w:fldChar w:fldCharType="begin"/>
      </w:r>
      <w:r>
        <w:instrText xml:space="preserve"> HYPERLINK \l "_Toc216768226" </w:instrText>
      </w:r>
      <w:r>
        <w:fldChar w:fldCharType="separate"/>
      </w:r>
      <w:r>
        <w:rPr>
          <w:rStyle w:val="53"/>
          <w:rFonts w:hint="eastAsia" w:ascii="宋体" w:hAnsi="宋体"/>
        </w:rPr>
        <w:t>一、投标函部分</w:t>
      </w:r>
      <w:r>
        <w:tab/>
      </w:r>
      <w:r>
        <w:fldChar w:fldCharType="begin"/>
      </w:r>
      <w:r>
        <w:instrText xml:space="preserve"> PAGEREF _Toc216768226 \h </w:instrText>
      </w:r>
      <w:r>
        <w:fldChar w:fldCharType="separate"/>
      </w:r>
      <w:r>
        <w:t>117</w:t>
      </w:r>
      <w:r>
        <w:fldChar w:fldCharType="end"/>
      </w:r>
      <w:r>
        <w:fldChar w:fldCharType="end"/>
      </w:r>
    </w:p>
    <w:p w14:paraId="58136F44">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"_Toc216768227" </w:instrText>
      </w:r>
      <w:r>
        <w:fldChar w:fldCharType="separate"/>
      </w:r>
      <w:r>
        <w:rPr>
          <w:rStyle w:val="53"/>
          <w:rFonts w:hint="eastAsia"/>
        </w:rPr>
        <w:t>（一）投标函</w:t>
      </w:r>
      <w:r>
        <w:tab/>
      </w:r>
      <w:r>
        <w:fldChar w:fldCharType="begin"/>
      </w:r>
      <w:r>
        <w:instrText xml:space="preserve"> PAGEREF _Toc216768227 \h </w:instrText>
      </w:r>
      <w:r>
        <w:fldChar w:fldCharType="separate"/>
      </w:r>
      <w:r>
        <w:t>120</w:t>
      </w:r>
      <w:r>
        <w:fldChar w:fldCharType="end"/>
      </w:r>
      <w:r>
        <w:fldChar w:fldCharType="end"/>
      </w:r>
    </w:p>
    <w:p w14:paraId="67AA87E8">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"_Toc216768228" </w:instrText>
      </w:r>
      <w:r>
        <w:fldChar w:fldCharType="separate"/>
      </w:r>
      <w:r>
        <w:rPr>
          <w:rStyle w:val="53"/>
          <w:rFonts w:hint="eastAsia"/>
        </w:rPr>
        <w:t>（二）投标函附录</w:t>
      </w:r>
      <w:r>
        <w:tab/>
      </w:r>
      <w:r>
        <w:fldChar w:fldCharType="begin"/>
      </w:r>
      <w:r>
        <w:instrText xml:space="preserve"> PAGEREF _Toc216768228 \h </w:instrText>
      </w:r>
      <w:r>
        <w:fldChar w:fldCharType="separate"/>
      </w:r>
      <w:r>
        <w:t>121</w:t>
      </w:r>
      <w:r>
        <w:fldChar w:fldCharType="end"/>
      </w:r>
      <w:r>
        <w:fldChar w:fldCharType="end"/>
      </w:r>
    </w:p>
    <w:p w14:paraId="5D2B1857">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"_Toc216768229" </w:instrText>
      </w:r>
      <w:r>
        <w:fldChar w:fldCharType="separate"/>
      </w:r>
      <w:r>
        <w:rPr>
          <w:rStyle w:val="53"/>
          <w:rFonts w:hint="eastAsia"/>
        </w:rPr>
        <w:t>（三）法定代表人身份证明或附有法定代表人身份证明的授权委托书</w:t>
      </w:r>
      <w:r>
        <w:tab/>
      </w:r>
      <w:r>
        <w:fldChar w:fldCharType="begin"/>
      </w:r>
      <w:r>
        <w:instrText xml:space="preserve"> PAGEREF _Toc216768229 \h </w:instrText>
      </w:r>
      <w:r>
        <w:fldChar w:fldCharType="separate"/>
      </w:r>
      <w:r>
        <w:t>122</w:t>
      </w:r>
      <w:r>
        <w:fldChar w:fldCharType="end"/>
      </w:r>
      <w:r>
        <w:fldChar w:fldCharType="end"/>
      </w:r>
    </w:p>
    <w:p w14:paraId="5C559B6A">
      <w:pPr>
        <w:pStyle w:val="37"/>
        <w:tabs>
          <w:tab w:val="right" w:leader="dot" w:pos="9459"/>
        </w:tabs>
        <w:rPr>
          <w:rFonts w:asciiTheme="minorHAnsi" w:hAnsiTheme="minorHAnsi" w:eastAsiaTheme="minorEastAsia" w:cstheme="minorBidi"/>
          <w:smallCaps w:val="0"/>
          <w:sz w:val="21"/>
          <w:szCs w:val="22"/>
        </w:rPr>
      </w:pPr>
      <w:r>
        <w:fldChar w:fldCharType="begin"/>
      </w:r>
      <w:r>
        <w:instrText xml:space="preserve"> HYPERLINK \l "_Toc216768230" </w:instrText>
      </w:r>
      <w:r>
        <w:fldChar w:fldCharType="separate"/>
      </w:r>
      <w:r>
        <w:rPr>
          <w:rStyle w:val="53"/>
          <w:rFonts w:hint="eastAsia" w:ascii="宋体" w:hAnsi="宋体"/>
        </w:rPr>
        <w:t>二、经济部分</w:t>
      </w:r>
      <w:r>
        <w:tab/>
      </w:r>
      <w:r>
        <w:fldChar w:fldCharType="begin"/>
      </w:r>
      <w:r>
        <w:instrText xml:space="preserve"> PAGEREF _Toc216768230 \h </w:instrText>
      </w:r>
      <w:r>
        <w:fldChar w:fldCharType="separate"/>
      </w:r>
      <w:r>
        <w:t>124</w:t>
      </w:r>
      <w:r>
        <w:fldChar w:fldCharType="end"/>
      </w:r>
      <w:r>
        <w:fldChar w:fldCharType="end"/>
      </w:r>
    </w:p>
    <w:p w14:paraId="317C9F34">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"_Toc216768231" </w:instrText>
      </w:r>
      <w:r>
        <w:fldChar w:fldCharType="separate"/>
      </w:r>
      <w:r>
        <w:rPr>
          <w:rStyle w:val="53"/>
          <w:rFonts w:hint="eastAsia"/>
        </w:rPr>
        <w:t>（一）已标价工程量清单</w:t>
      </w:r>
      <w:r>
        <w:tab/>
      </w:r>
      <w:r>
        <w:fldChar w:fldCharType="begin"/>
      </w:r>
      <w:r>
        <w:instrText xml:space="preserve"> PAGEREF _Toc216768231 \h </w:instrText>
      </w:r>
      <w:r>
        <w:fldChar w:fldCharType="separate"/>
      </w:r>
      <w:r>
        <w:t>127</w:t>
      </w:r>
      <w:r>
        <w:fldChar w:fldCharType="end"/>
      </w:r>
      <w:r>
        <w:fldChar w:fldCharType="end"/>
      </w:r>
    </w:p>
    <w:p w14:paraId="471E3029">
      <w:pPr>
        <w:pStyle w:val="37"/>
        <w:tabs>
          <w:tab w:val="right" w:leader="dot" w:pos="9459"/>
        </w:tabs>
        <w:rPr>
          <w:rFonts w:asciiTheme="minorHAnsi" w:hAnsiTheme="minorHAnsi" w:eastAsiaTheme="minorEastAsia" w:cstheme="minorBidi"/>
          <w:smallCaps w:val="0"/>
          <w:sz w:val="21"/>
          <w:szCs w:val="22"/>
        </w:rPr>
      </w:pPr>
      <w:r>
        <w:fldChar w:fldCharType="begin"/>
      </w:r>
      <w:r>
        <w:instrText xml:space="preserve"> HYPERLINK \l "_Toc216768232" </w:instrText>
      </w:r>
      <w:r>
        <w:fldChar w:fldCharType="separate"/>
      </w:r>
      <w:r>
        <w:rPr>
          <w:rStyle w:val="53"/>
          <w:rFonts w:hint="eastAsia" w:ascii="宋体" w:hAnsi="宋体"/>
        </w:rPr>
        <w:t>三、技术部分</w:t>
      </w:r>
      <w:r>
        <w:tab/>
      </w:r>
      <w:r>
        <w:fldChar w:fldCharType="begin"/>
      </w:r>
      <w:r>
        <w:instrText xml:space="preserve"> PAGEREF _Toc216768232 \h </w:instrText>
      </w:r>
      <w:r>
        <w:fldChar w:fldCharType="separate"/>
      </w:r>
      <w:r>
        <w:t>128</w:t>
      </w:r>
      <w:r>
        <w:fldChar w:fldCharType="end"/>
      </w:r>
      <w:r>
        <w:fldChar w:fldCharType="end"/>
      </w:r>
    </w:p>
    <w:p w14:paraId="42563C20">
      <w:pPr>
        <w:pStyle w:val="37"/>
        <w:tabs>
          <w:tab w:val="right" w:leader="dot" w:pos="9459"/>
        </w:tabs>
        <w:rPr>
          <w:rFonts w:asciiTheme="minorHAnsi" w:hAnsiTheme="minorHAnsi" w:eastAsiaTheme="minorEastAsia" w:cstheme="minorBidi"/>
          <w:smallCaps w:val="0"/>
          <w:sz w:val="21"/>
          <w:szCs w:val="22"/>
        </w:rPr>
      </w:pPr>
      <w:r>
        <w:fldChar w:fldCharType="begin"/>
      </w:r>
      <w:r>
        <w:instrText xml:space="preserve"> HYPERLINK \l "_Toc216768233" </w:instrText>
      </w:r>
      <w:r>
        <w:fldChar w:fldCharType="separate"/>
      </w:r>
      <w:r>
        <w:rPr>
          <w:rStyle w:val="53"/>
          <w:rFonts w:hint="eastAsia" w:ascii="宋体" w:hAnsi="宋体"/>
        </w:rPr>
        <w:t>三、技术部分</w:t>
      </w:r>
      <w:r>
        <w:tab/>
      </w:r>
      <w:r>
        <w:fldChar w:fldCharType="begin"/>
      </w:r>
      <w:r>
        <w:instrText xml:space="preserve"> PAGEREF _Toc216768233 \h </w:instrText>
      </w:r>
      <w:r>
        <w:fldChar w:fldCharType="separate"/>
      </w:r>
      <w:r>
        <w:t>129</w:t>
      </w:r>
      <w:r>
        <w:fldChar w:fldCharType="end"/>
      </w:r>
      <w:r>
        <w:fldChar w:fldCharType="end"/>
      </w:r>
    </w:p>
    <w:p w14:paraId="7336E038">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"_Toc216768234" </w:instrText>
      </w:r>
      <w:r>
        <w:fldChar w:fldCharType="separate"/>
      </w:r>
      <w:r>
        <w:rPr>
          <w:rStyle w:val="53"/>
          <w:rFonts w:hint="eastAsia"/>
        </w:rPr>
        <w:t>（一）技术方案</w:t>
      </w:r>
      <w:r>
        <w:tab/>
      </w:r>
      <w:r>
        <w:fldChar w:fldCharType="begin"/>
      </w:r>
      <w:r>
        <w:instrText xml:space="preserve"> PAGEREF _Toc216768234 \h </w:instrText>
      </w:r>
      <w:r>
        <w:fldChar w:fldCharType="separate"/>
      </w:r>
      <w:r>
        <w:t>131</w:t>
      </w:r>
      <w:r>
        <w:fldChar w:fldCharType="end"/>
      </w:r>
      <w:r>
        <w:fldChar w:fldCharType="end"/>
      </w:r>
    </w:p>
    <w:p w14:paraId="788C853D">
      <w:pPr>
        <w:pStyle w:val="37"/>
        <w:tabs>
          <w:tab w:val="right" w:leader="dot" w:pos="9459"/>
        </w:tabs>
        <w:rPr>
          <w:rFonts w:asciiTheme="minorHAnsi" w:hAnsiTheme="minorHAnsi" w:eastAsiaTheme="minorEastAsia" w:cstheme="minorBidi"/>
          <w:smallCaps w:val="0"/>
          <w:sz w:val="21"/>
          <w:szCs w:val="22"/>
        </w:rPr>
      </w:pPr>
      <w:r>
        <w:fldChar w:fldCharType="begin"/>
      </w:r>
      <w:r>
        <w:instrText xml:space="preserve"> HYPERLINK \l "_Toc216768235" </w:instrText>
      </w:r>
      <w:r>
        <w:fldChar w:fldCharType="separate"/>
      </w:r>
      <w:r>
        <w:rPr>
          <w:rStyle w:val="53"/>
          <w:rFonts w:hint="eastAsia" w:ascii="宋体" w:hAnsi="宋体"/>
        </w:rPr>
        <w:t>四、资格审查部分</w:t>
      </w:r>
      <w:r>
        <w:tab/>
      </w:r>
      <w:r>
        <w:fldChar w:fldCharType="begin"/>
      </w:r>
      <w:r>
        <w:instrText xml:space="preserve"> PAGEREF _Toc216768235 \h </w:instrText>
      </w:r>
      <w:r>
        <w:fldChar w:fldCharType="separate"/>
      </w:r>
      <w:r>
        <w:t>138</w:t>
      </w:r>
      <w:r>
        <w:fldChar w:fldCharType="end"/>
      </w:r>
      <w:r>
        <w:fldChar w:fldCharType="end"/>
      </w:r>
    </w:p>
    <w:p w14:paraId="3D34BCE3">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"_Toc216768236" </w:instrText>
      </w:r>
      <w:r>
        <w:fldChar w:fldCharType="separate"/>
      </w:r>
      <w:r>
        <w:rPr>
          <w:rStyle w:val="53"/>
          <w:rFonts w:hint="eastAsia"/>
        </w:rPr>
        <w:t>（一）法定代表人身份证明或附有法定代表人身份证明的授权委托书</w:t>
      </w:r>
      <w:r>
        <w:tab/>
      </w:r>
      <w:r>
        <w:fldChar w:fldCharType="begin"/>
      </w:r>
      <w:r>
        <w:instrText xml:space="preserve"> PAGEREF _Toc216768236 \h </w:instrText>
      </w:r>
      <w:r>
        <w:fldChar w:fldCharType="separate"/>
      </w:r>
      <w:r>
        <w:t>141</w:t>
      </w:r>
      <w:r>
        <w:fldChar w:fldCharType="end"/>
      </w:r>
      <w:r>
        <w:fldChar w:fldCharType="end"/>
      </w:r>
    </w:p>
    <w:p w14:paraId="7EE667EB">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"_Toc216768237" </w:instrText>
      </w:r>
      <w:r>
        <w:fldChar w:fldCharType="separate"/>
      </w:r>
      <w:r>
        <w:rPr>
          <w:rStyle w:val="53"/>
          <w:rFonts w:hint="eastAsia"/>
        </w:rPr>
        <w:t>（二）</w:t>
      </w:r>
      <w:r>
        <w:rPr>
          <w:rStyle w:val="53"/>
          <w:rFonts w:hint="eastAsia" w:ascii="宋体" w:hAnsi="宋体"/>
        </w:rPr>
        <w:t>投标人基本情况表</w:t>
      </w:r>
      <w:r>
        <w:tab/>
      </w:r>
      <w:r>
        <w:fldChar w:fldCharType="begin"/>
      </w:r>
      <w:r>
        <w:instrText xml:space="preserve"> PAGEREF _Toc216768237 \h </w:instrText>
      </w:r>
      <w:r>
        <w:fldChar w:fldCharType="separate"/>
      </w:r>
      <w:r>
        <w:t>143</w:t>
      </w:r>
      <w:r>
        <w:fldChar w:fldCharType="end"/>
      </w:r>
      <w:r>
        <w:fldChar w:fldCharType="end"/>
      </w:r>
    </w:p>
    <w:p w14:paraId="1699F8E6">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"_Toc216768238" </w:instrText>
      </w:r>
      <w:r>
        <w:fldChar w:fldCharType="separate"/>
      </w:r>
      <w:r>
        <w:rPr>
          <w:rStyle w:val="53"/>
          <w:rFonts w:hint="eastAsia" w:ascii="宋体" w:hAnsi="宋体"/>
        </w:rPr>
        <w:t>（三）项目管理机构</w:t>
      </w:r>
      <w:r>
        <w:tab/>
      </w:r>
      <w:r>
        <w:fldChar w:fldCharType="begin"/>
      </w:r>
      <w:r>
        <w:instrText xml:space="preserve"> PAGEREF _Toc216768238 \h </w:instrText>
      </w:r>
      <w:r>
        <w:fldChar w:fldCharType="separate"/>
      </w:r>
      <w:r>
        <w:t>144</w:t>
      </w:r>
      <w:r>
        <w:fldChar w:fldCharType="end"/>
      </w:r>
      <w:r>
        <w:fldChar w:fldCharType="end"/>
      </w:r>
    </w:p>
    <w:p w14:paraId="7783C53B">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"_Toc216768239" </w:instrText>
      </w:r>
      <w:r>
        <w:fldChar w:fldCharType="separate"/>
      </w:r>
      <w:r>
        <w:rPr>
          <w:rStyle w:val="53"/>
          <w:rFonts w:hint="eastAsia" w:ascii="宋体" w:hAnsi="宋体"/>
        </w:rPr>
        <w:t>（四）近年财务状况表</w:t>
      </w:r>
      <w:r>
        <w:tab/>
      </w:r>
      <w:r>
        <w:fldChar w:fldCharType="begin"/>
      </w:r>
      <w:r>
        <w:instrText xml:space="preserve"> PAGEREF _Toc216768239 \h </w:instrText>
      </w:r>
      <w:r>
        <w:fldChar w:fldCharType="separate"/>
      </w:r>
      <w:r>
        <w:t>146</w:t>
      </w:r>
      <w:r>
        <w:fldChar w:fldCharType="end"/>
      </w:r>
      <w:r>
        <w:fldChar w:fldCharType="end"/>
      </w:r>
    </w:p>
    <w:p w14:paraId="650B0ACF">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"_Toc216768240" </w:instrText>
      </w:r>
      <w:r>
        <w:fldChar w:fldCharType="separate"/>
      </w:r>
      <w:r>
        <w:rPr>
          <w:rStyle w:val="53"/>
          <w:rFonts w:hint="eastAsia" w:ascii="宋体" w:hAnsi="宋体"/>
        </w:rPr>
        <w:t>（五）类似项目情况表</w:t>
      </w:r>
      <w:r>
        <w:tab/>
      </w:r>
      <w:r>
        <w:fldChar w:fldCharType="begin"/>
      </w:r>
      <w:r>
        <w:instrText xml:space="preserve"> PAGEREF _Toc216768240 \h </w:instrText>
      </w:r>
      <w:r>
        <w:fldChar w:fldCharType="separate"/>
      </w:r>
      <w:r>
        <w:t>147</w:t>
      </w:r>
      <w:r>
        <w:fldChar w:fldCharType="end"/>
      </w:r>
      <w:r>
        <w:fldChar w:fldCharType="end"/>
      </w:r>
    </w:p>
    <w:p w14:paraId="3043D53F">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"_Toc216768241" </w:instrText>
      </w:r>
      <w:r>
        <w:fldChar w:fldCharType="separate"/>
      </w:r>
      <w:r>
        <w:rPr>
          <w:rStyle w:val="53"/>
          <w:rFonts w:hint="eastAsia" w:ascii="宋体" w:hAnsi="宋体"/>
        </w:rPr>
        <w:t>（六）承诺</w:t>
      </w:r>
      <w:r>
        <w:tab/>
      </w:r>
      <w:r>
        <w:fldChar w:fldCharType="begin"/>
      </w:r>
      <w:r>
        <w:instrText xml:space="preserve"> PAGEREF _Toc216768241 \h </w:instrText>
      </w:r>
      <w:r>
        <w:fldChar w:fldCharType="separate"/>
      </w:r>
      <w:r>
        <w:t>148</w:t>
      </w:r>
      <w:r>
        <w:fldChar w:fldCharType="end"/>
      </w:r>
      <w:r>
        <w:fldChar w:fldCharType="end"/>
      </w:r>
    </w:p>
    <w:p w14:paraId="6D678075">
      <w:pPr>
        <w:pStyle w:val="22"/>
        <w:tabs>
          <w:tab w:val="right" w:leader="dot" w:pos="9459"/>
        </w:tabs>
        <w:rPr>
          <w:rFonts w:asciiTheme="minorHAnsi" w:hAnsiTheme="minorHAnsi" w:eastAsiaTheme="minorEastAsia" w:cstheme="minorBidi"/>
          <w:i w:val="0"/>
          <w:iCs w:val="0"/>
          <w:sz w:val="21"/>
          <w:szCs w:val="22"/>
        </w:rPr>
      </w:pPr>
      <w:r>
        <w:fldChar w:fldCharType="begin"/>
      </w:r>
      <w:r>
        <w:instrText xml:space="preserve"> HYPERLINK \l "_Toc216768242" </w:instrText>
      </w:r>
      <w:r>
        <w:fldChar w:fldCharType="separate"/>
      </w:r>
      <w:r>
        <w:rPr>
          <w:rStyle w:val="53"/>
          <w:rFonts w:hint="eastAsia" w:ascii="宋体" w:hAnsi="宋体"/>
        </w:rPr>
        <w:t>（七）其他资料</w:t>
      </w:r>
      <w:r>
        <w:tab/>
      </w:r>
      <w:r>
        <w:fldChar w:fldCharType="begin"/>
      </w:r>
      <w:r>
        <w:instrText xml:space="preserve"> PAGEREF _Toc216768242 \h </w:instrText>
      </w:r>
      <w:r>
        <w:fldChar w:fldCharType="separate"/>
      </w:r>
      <w:r>
        <w:t>150</w:t>
      </w:r>
      <w:r>
        <w:fldChar w:fldCharType="end"/>
      </w:r>
      <w:r>
        <w:fldChar w:fldCharType="end"/>
      </w:r>
    </w:p>
    <w:p w14:paraId="2BA098FC">
      <w:pPr>
        <w:rPr>
          <w:rFonts w:ascii="宋体" w:hAnsi="宋体"/>
        </w:rPr>
      </w:pPr>
      <w:r>
        <w:rPr>
          <w:rFonts w:hint="eastAsia" w:ascii="宋体" w:hAnsi="宋体" w:cs="宋体"/>
          <w:bCs/>
          <w:sz w:val="30"/>
          <w:szCs w:val="30"/>
          <w:lang w:val="zh-CN"/>
        </w:rPr>
        <w:fldChar w:fldCharType="end"/>
      </w:r>
    </w:p>
    <w:bookmarkEnd w:id="3"/>
    <w:p w14:paraId="3E0ADA69">
      <w:pPr>
        <w:spacing w:line="20" w:lineRule="exact"/>
        <w:rPr>
          <w:rFonts w:ascii="宋体" w:hAnsi="宋体"/>
        </w:rPr>
      </w:pPr>
      <w:bookmarkStart w:id="6" w:name="_Toc430530414"/>
    </w:p>
    <w:p w14:paraId="4A751875">
      <w:pPr>
        <w:spacing w:line="20" w:lineRule="exact"/>
        <w:jc w:val="left"/>
        <w:rPr>
          <w:rFonts w:ascii="宋体" w:hAnsi="宋体"/>
        </w:rPr>
        <w:sectPr>
          <w:headerReference r:id="rId10" w:type="default"/>
          <w:footerReference r:id="rId11" w:type="default"/>
          <w:pgSz w:w="11907" w:h="16840"/>
          <w:pgMar w:top="1304" w:right="1134" w:bottom="1304" w:left="1304" w:header="851" w:footer="992" w:gutter="0"/>
          <w:pgNumType w:fmt="numberInDash" w:start="1"/>
          <w:cols w:space="720" w:num="1"/>
          <w:docGrid w:linePitch="312" w:charSpace="0"/>
        </w:sectPr>
      </w:pPr>
    </w:p>
    <w:bookmarkEnd w:id="6"/>
    <w:p w14:paraId="3AA5083B">
      <w:pPr>
        <w:spacing w:line="360" w:lineRule="auto"/>
        <w:rPr>
          <w:rFonts w:ascii="宋体" w:hAnsi="宋体"/>
        </w:rPr>
      </w:pPr>
    </w:p>
    <w:p w14:paraId="3BD7C1BB">
      <w:pPr>
        <w:pStyle w:val="3"/>
        <w:spacing w:before="0" w:after="0" w:line="480" w:lineRule="auto"/>
        <w:jc w:val="center"/>
        <w:rPr>
          <w:rFonts w:ascii="宋体" w:hAnsi="宋体"/>
          <w:sz w:val="52"/>
          <w:szCs w:val="52"/>
        </w:rPr>
      </w:pPr>
      <w:bookmarkStart w:id="7" w:name="_Toc509218690"/>
      <w:bookmarkStart w:id="8" w:name="_Toc216768144"/>
      <w:bookmarkStart w:id="9" w:name="_Toc9936"/>
      <w:r>
        <w:rPr>
          <w:rFonts w:hint="eastAsia" w:ascii="宋体" w:hAnsi="宋体"/>
          <w:sz w:val="52"/>
          <w:szCs w:val="52"/>
        </w:rPr>
        <w:t>第 一 卷</w:t>
      </w:r>
      <w:bookmarkEnd w:id="7"/>
      <w:bookmarkEnd w:id="8"/>
      <w:bookmarkEnd w:id="9"/>
    </w:p>
    <w:p w14:paraId="38FE6199">
      <w:pPr>
        <w:spacing w:line="200" w:lineRule="exact"/>
        <w:rPr>
          <w:rFonts w:ascii="宋体" w:hAnsi="宋体"/>
        </w:rPr>
      </w:pPr>
      <w:r>
        <w:rPr>
          <w:rFonts w:ascii="宋体" w:hAnsi="宋体"/>
        </w:rPr>
        <w:br w:type="page"/>
      </w:r>
    </w:p>
    <w:p w14:paraId="11837BB8">
      <w:pPr>
        <w:pStyle w:val="3"/>
        <w:spacing w:line="360" w:lineRule="auto"/>
        <w:jc w:val="center"/>
        <w:rPr>
          <w:rFonts w:ascii="宋体" w:hAnsi="宋体"/>
          <w:snapToGrid w:val="0"/>
          <w:kern w:val="0"/>
        </w:rPr>
      </w:pPr>
      <w:bookmarkStart w:id="10" w:name="_Toc430530415"/>
      <w:bookmarkStart w:id="11" w:name="_Toc287620666"/>
      <w:bookmarkStart w:id="12" w:name="_Toc224103298"/>
      <w:bookmarkStart w:id="13" w:name="_Toc509218691"/>
      <w:bookmarkStart w:id="14" w:name="_Toc277082535"/>
      <w:bookmarkStart w:id="15" w:name="_Toc287607727"/>
      <w:bookmarkStart w:id="16" w:name="_Toc12819"/>
      <w:bookmarkStart w:id="17" w:name="_Toc216768145"/>
      <w:r>
        <w:rPr>
          <w:rFonts w:ascii="宋体" w:hAnsi="宋体"/>
          <w:snapToGrid w:val="0"/>
          <w:kern w:val="0"/>
        </w:rPr>
        <w:t xml:space="preserve">第一章  </w:t>
      </w:r>
      <w:r>
        <w:rPr>
          <w:rFonts w:hint="eastAsia" w:ascii="宋体" w:hAnsi="宋体"/>
          <w:snapToGrid w:val="0"/>
          <w:kern w:val="0"/>
        </w:rPr>
        <w:t>比选公告</w:t>
      </w:r>
      <w:bookmarkEnd w:id="10"/>
      <w:bookmarkEnd w:id="11"/>
      <w:bookmarkEnd w:id="12"/>
      <w:bookmarkEnd w:id="13"/>
      <w:bookmarkEnd w:id="14"/>
      <w:bookmarkEnd w:id="15"/>
      <w:bookmarkEnd w:id="16"/>
      <w:bookmarkEnd w:id="17"/>
    </w:p>
    <w:p w14:paraId="40525994">
      <w:pPr>
        <w:autoSpaceDE w:val="0"/>
        <w:autoSpaceDN w:val="0"/>
        <w:adjustRightInd w:val="0"/>
        <w:snapToGrid w:val="0"/>
        <w:spacing w:line="360" w:lineRule="auto"/>
        <w:jc w:val="center"/>
        <w:rPr>
          <w:rFonts w:ascii="宋体" w:hAnsi="宋体"/>
          <w:snapToGrid w:val="0"/>
          <w:kern w:val="0"/>
          <w:sz w:val="28"/>
          <w:szCs w:val="28"/>
        </w:rPr>
      </w:pPr>
      <w:r>
        <w:rPr>
          <w:rFonts w:hint="eastAsia" w:ascii="宋体" w:hAnsi="宋体"/>
          <w:snapToGrid w:val="0"/>
          <w:kern w:val="0"/>
          <w:sz w:val="28"/>
          <w:szCs w:val="28"/>
          <w:u w:val="single"/>
        </w:rPr>
        <w:t>食材集采项目分拣仓数字化建设和配套提升工程（第二次）</w:t>
      </w:r>
      <w:r>
        <w:rPr>
          <w:rFonts w:hint="eastAsia" w:ascii="宋体" w:hAnsi="宋体"/>
          <w:snapToGrid w:val="0"/>
          <w:w w:val="99"/>
          <w:kern w:val="0"/>
          <w:sz w:val="28"/>
          <w:szCs w:val="28"/>
        </w:rPr>
        <w:t>比选公告</w:t>
      </w:r>
    </w:p>
    <w:p w14:paraId="3766BAA0">
      <w:pPr>
        <w:pStyle w:val="4"/>
        <w:spacing w:before="100" w:after="100" w:line="460" w:lineRule="exact"/>
        <w:rPr>
          <w:rFonts w:ascii="宋体" w:hAnsi="宋体"/>
          <w:snapToGrid w:val="0"/>
          <w:sz w:val="28"/>
          <w:szCs w:val="28"/>
        </w:rPr>
      </w:pPr>
      <w:bookmarkStart w:id="18" w:name="_Toc200359427"/>
      <w:bookmarkStart w:id="19" w:name="_Toc277082536"/>
      <w:bookmarkStart w:id="20" w:name="_Toc509218692"/>
      <w:bookmarkStart w:id="21" w:name="_Toc430530416"/>
      <w:bookmarkStart w:id="22" w:name="_Toc287607728"/>
      <w:bookmarkStart w:id="23" w:name="_Toc216768146"/>
      <w:bookmarkStart w:id="24" w:name="_Toc200359238"/>
      <w:bookmarkStart w:id="25" w:name="_Toc26523"/>
      <w:bookmarkStart w:id="26" w:name="_Toc224103299"/>
      <w:bookmarkStart w:id="27" w:name="_Toc287620667"/>
      <w:bookmarkStart w:id="28" w:name="_Toc27491"/>
      <w:r>
        <w:rPr>
          <w:rFonts w:ascii="宋体" w:hAnsi="宋体"/>
          <w:snapToGrid w:val="0"/>
          <w:sz w:val="28"/>
          <w:szCs w:val="28"/>
        </w:rPr>
        <w:t xml:space="preserve">1. </w:t>
      </w:r>
      <w:r>
        <w:rPr>
          <w:rFonts w:hint="eastAsia" w:ascii="宋体" w:hAnsi="宋体"/>
          <w:snapToGrid w:val="0"/>
          <w:sz w:val="28"/>
          <w:szCs w:val="28"/>
        </w:rPr>
        <w:t xml:space="preserve"> 招标</w:t>
      </w:r>
      <w:r>
        <w:rPr>
          <w:rFonts w:ascii="宋体" w:hAnsi="宋体"/>
          <w:snapToGrid w:val="0"/>
          <w:sz w:val="28"/>
          <w:szCs w:val="28"/>
        </w:rPr>
        <w:t>条件</w:t>
      </w:r>
      <w:bookmarkEnd w:id="18"/>
      <w:bookmarkEnd w:id="19"/>
      <w:bookmarkEnd w:id="20"/>
      <w:bookmarkEnd w:id="21"/>
      <w:bookmarkEnd w:id="22"/>
      <w:bookmarkEnd w:id="23"/>
      <w:bookmarkEnd w:id="24"/>
      <w:bookmarkEnd w:id="25"/>
      <w:bookmarkEnd w:id="26"/>
      <w:bookmarkEnd w:id="27"/>
      <w:bookmarkEnd w:id="28"/>
    </w:p>
    <w:p w14:paraId="082273FE">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kern w:val="0"/>
          <w:szCs w:val="21"/>
        </w:rPr>
      </w:pPr>
      <w:r>
        <w:rPr>
          <w:rFonts w:ascii="宋体" w:hAnsi="宋体"/>
          <w:snapToGrid w:val="0"/>
          <w:kern w:val="0"/>
          <w:szCs w:val="21"/>
        </w:rPr>
        <w:t>本招标项目</w:t>
      </w:r>
      <w:r>
        <w:rPr>
          <w:rFonts w:hint="eastAsia" w:ascii="宋体" w:hAnsi="宋体"/>
          <w:snapToGrid w:val="0"/>
          <w:kern w:val="0"/>
          <w:szCs w:val="21"/>
          <w:u w:val="single"/>
        </w:rPr>
        <w:t>食材集采项目分拣仓数字化建设和配套提升工程</w:t>
      </w:r>
      <w:r>
        <w:rPr>
          <w:rFonts w:ascii="宋体" w:hAnsi="宋体"/>
          <w:snapToGrid w:val="0"/>
          <w:kern w:val="0"/>
          <w:szCs w:val="21"/>
          <w:u w:val="single"/>
        </w:rPr>
        <w:t>（项目名称）</w:t>
      </w:r>
      <w:r>
        <w:rPr>
          <w:rFonts w:hint="eastAsia" w:ascii="宋体" w:hAnsi="宋体" w:cs="宋体"/>
          <w:szCs w:val="21"/>
        </w:rPr>
        <w:t>受</w:t>
      </w:r>
      <w:r>
        <w:rPr>
          <w:rFonts w:hint="eastAsia" w:ascii="宋体" w:hAnsi="宋体"/>
          <w:snapToGrid w:val="0"/>
          <w:kern w:val="0"/>
          <w:szCs w:val="21"/>
          <w:u w:val="single"/>
        </w:rPr>
        <w:t>重庆市正联实业发展有限公司</w:t>
      </w:r>
      <w:r>
        <w:rPr>
          <w:rFonts w:hint="eastAsia" w:ascii="宋体" w:hAnsi="宋体"/>
          <w:snapToGrid w:val="0"/>
          <w:kern w:val="0"/>
          <w:position w:val="-2"/>
          <w:szCs w:val="21"/>
        </w:rPr>
        <w:t>的委托</w:t>
      </w:r>
      <w:r>
        <w:rPr>
          <w:rFonts w:ascii="宋体" w:hAnsi="宋体"/>
          <w:snapToGrid w:val="0"/>
          <w:kern w:val="0"/>
          <w:szCs w:val="21"/>
        </w:rPr>
        <w:t>，建设资金来自</w:t>
      </w:r>
      <w:r>
        <w:rPr>
          <w:rFonts w:hint="eastAsia" w:ascii="宋体" w:hAnsi="宋体"/>
          <w:snapToGrid w:val="0"/>
          <w:kern w:val="0"/>
          <w:szCs w:val="21"/>
          <w:u w:val="single"/>
        </w:rPr>
        <w:t xml:space="preserve"> 业主自筹</w:t>
      </w:r>
      <w:r>
        <w:rPr>
          <w:rFonts w:ascii="宋体" w:hAnsi="宋体"/>
          <w:snapToGrid w:val="0"/>
          <w:kern w:val="0"/>
          <w:szCs w:val="21"/>
          <w:u w:val="single"/>
        </w:rPr>
        <w:t>（资金来源）</w:t>
      </w:r>
      <w:r>
        <w:rPr>
          <w:rFonts w:ascii="宋体" w:hAnsi="宋体"/>
          <w:snapToGrid w:val="0"/>
          <w:kern w:val="0"/>
          <w:szCs w:val="21"/>
        </w:rPr>
        <w:t>，项目出资比例为</w:t>
      </w:r>
      <w:r>
        <w:rPr>
          <w:rFonts w:hint="eastAsia" w:ascii="宋体" w:hAnsi="宋体"/>
          <w:snapToGrid w:val="0"/>
          <w:kern w:val="0"/>
          <w:szCs w:val="21"/>
          <w:u w:val="single"/>
        </w:rPr>
        <w:t xml:space="preserve"> 100% </w:t>
      </w:r>
      <w:r>
        <w:rPr>
          <w:rFonts w:ascii="宋体" w:hAnsi="宋体"/>
          <w:snapToGrid w:val="0"/>
          <w:kern w:val="0"/>
          <w:szCs w:val="21"/>
        </w:rPr>
        <w:t>，</w:t>
      </w:r>
      <w:r>
        <w:rPr>
          <w:rFonts w:hint="eastAsia" w:ascii="宋体" w:hAnsi="宋体"/>
          <w:snapToGrid w:val="0"/>
          <w:kern w:val="0"/>
          <w:szCs w:val="21"/>
        </w:rPr>
        <w:t>比选人</w:t>
      </w:r>
      <w:r>
        <w:rPr>
          <w:rFonts w:ascii="宋体" w:hAnsi="宋体"/>
          <w:snapToGrid w:val="0"/>
          <w:kern w:val="0"/>
          <w:position w:val="-2"/>
          <w:szCs w:val="21"/>
        </w:rPr>
        <w:t>为</w:t>
      </w:r>
      <w:r>
        <w:rPr>
          <w:rFonts w:hint="eastAsia" w:ascii="宋体" w:hAnsi="宋体"/>
          <w:snapToGrid w:val="0"/>
          <w:kern w:val="0"/>
          <w:szCs w:val="21"/>
          <w:u w:val="single"/>
        </w:rPr>
        <w:t>重庆市正联实业发展有限公司</w:t>
      </w:r>
      <w:r>
        <w:rPr>
          <w:rFonts w:ascii="宋体" w:hAnsi="宋体"/>
          <w:snapToGrid w:val="0"/>
          <w:kern w:val="0"/>
          <w:position w:val="-2"/>
          <w:szCs w:val="21"/>
        </w:rPr>
        <w:t>。项目已具备招标条件，现对</w:t>
      </w:r>
      <w:r>
        <w:rPr>
          <w:rFonts w:hint="eastAsia" w:ascii="宋体" w:hAnsi="宋体"/>
          <w:snapToGrid w:val="0"/>
          <w:kern w:val="0"/>
          <w:position w:val="-2"/>
          <w:szCs w:val="21"/>
          <w:u w:val="single"/>
        </w:rPr>
        <w:t>该项目的施工</w:t>
      </w:r>
      <w:r>
        <w:rPr>
          <w:rFonts w:ascii="宋体" w:hAnsi="宋体"/>
          <w:snapToGrid w:val="0"/>
          <w:kern w:val="0"/>
          <w:position w:val="-2"/>
          <w:szCs w:val="21"/>
        </w:rPr>
        <w:t>进行公开</w:t>
      </w:r>
      <w:r>
        <w:rPr>
          <w:rFonts w:hint="eastAsia" w:ascii="宋体" w:hAnsi="宋体"/>
          <w:snapToGrid w:val="0"/>
          <w:kern w:val="0"/>
          <w:position w:val="-2"/>
          <w:szCs w:val="21"/>
        </w:rPr>
        <w:t>比选</w:t>
      </w:r>
      <w:r>
        <w:rPr>
          <w:rFonts w:ascii="宋体" w:hAnsi="宋体"/>
          <w:snapToGrid w:val="0"/>
          <w:kern w:val="0"/>
          <w:position w:val="-2"/>
          <w:szCs w:val="21"/>
        </w:rPr>
        <w:t>。</w:t>
      </w:r>
    </w:p>
    <w:p w14:paraId="13255EDD">
      <w:pPr>
        <w:pStyle w:val="4"/>
        <w:spacing w:before="100" w:after="100" w:line="460" w:lineRule="exact"/>
        <w:rPr>
          <w:rFonts w:ascii="宋体" w:hAnsi="宋体"/>
          <w:snapToGrid w:val="0"/>
          <w:sz w:val="28"/>
          <w:szCs w:val="28"/>
        </w:rPr>
      </w:pPr>
      <w:bookmarkStart w:id="29" w:name="_Toc22556"/>
      <w:bookmarkStart w:id="30" w:name="_Toc16344"/>
      <w:bookmarkStart w:id="31" w:name="_Toc200359428"/>
      <w:bookmarkStart w:id="32" w:name="_Toc287620668"/>
      <w:bookmarkStart w:id="33" w:name="_Toc200359239"/>
      <w:bookmarkStart w:id="34" w:name="_Toc224103300"/>
      <w:bookmarkStart w:id="35" w:name="_Toc277082537"/>
      <w:bookmarkStart w:id="36" w:name="_Toc430530417"/>
      <w:bookmarkStart w:id="37" w:name="_Toc509218693"/>
      <w:bookmarkStart w:id="38" w:name="_Toc287607729"/>
      <w:bookmarkStart w:id="39" w:name="_Toc216768147"/>
      <w:r>
        <w:rPr>
          <w:rFonts w:ascii="宋体" w:hAnsi="宋体"/>
          <w:snapToGrid w:val="0"/>
          <w:sz w:val="28"/>
          <w:szCs w:val="28"/>
        </w:rPr>
        <w:t>2.</w:t>
      </w:r>
      <w:r>
        <w:rPr>
          <w:rFonts w:hint="eastAsia" w:ascii="宋体" w:hAnsi="宋体"/>
          <w:snapToGrid w:val="0"/>
          <w:sz w:val="28"/>
          <w:szCs w:val="28"/>
        </w:rPr>
        <w:t xml:space="preserve"> </w:t>
      </w:r>
      <w:r>
        <w:rPr>
          <w:rFonts w:ascii="宋体" w:hAnsi="宋体"/>
          <w:snapToGrid w:val="0"/>
          <w:sz w:val="28"/>
          <w:szCs w:val="28"/>
        </w:rPr>
        <w:t xml:space="preserve"> 项目概况与</w:t>
      </w:r>
      <w:r>
        <w:rPr>
          <w:rFonts w:hint="eastAsia" w:ascii="宋体" w:hAnsi="宋体"/>
          <w:snapToGrid w:val="0"/>
          <w:sz w:val="28"/>
          <w:szCs w:val="28"/>
        </w:rPr>
        <w:t>招标</w:t>
      </w:r>
      <w:r>
        <w:rPr>
          <w:rFonts w:ascii="宋体" w:hAnsi="宋体"/>
          <w:snapToGrid w:val="0"/>
          <w:sz w:val="28"/>
          <w:szCs w:val="28"/>
        </w:rPr>
        <w:t>范围</w:t>
      </w:r>
      <w:bookmarkEnd w:id="29"/>
      <w:bookmarkEnd w:id="30"/>
      <w:bookmarkEnd w:id="31"/>
      <w:bookmarkEnd w:id="32"/>
      <w:bookmarkEnd w:id="33"/>
      <w:bookmarkEnd w:id="34"/>
      <w:bookmarkEnd w:id="35"/>
      <w:bookmarkEnd w:id="36"/>
      <w:bookmarkEnd w:id="37"/>
      <w:bookmarkEnd w:id="38"/>
      <w:bookmarkEnd w:id="39"/>
    </w:p>
    <w:p w14:paraId="15B55993">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2.1 建设地点：</w:t>
      </w:r>
      <w:r>
        <w:rPr>
          <w:rFonts w:hint="eastAsia" w:ascii="宋体" w:hAnsi="宋体"/>
          <w:snapToGrid w:val="0"/>
          <w:kern w:val="0"/>
          <w:szCs w:val="21"/>
          <w:highlight w:val="none"/>
        </w:rPr>
        <w:t>南岸区茶园片区。</w:t>
      </w:r>
    </w:p>
    <w:p w14:paraId="620CD34E">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rPr>
        <w:t>2.2 项目概况与建设规模：</w:t>
      </w:r>
      <w:r>
        <w:rPr>
          <w:rFonts w:hint="eastAsia" w:cs="宋体" w:asciiTheme="minorEastAsia" w:hAnsiTheme="minorEastAsia" w:eastAsiaTheme="minorEastAsia"/>
          <w:kern w:val="0"/>
          <w:szCs w:val="21"/>
        </w:rPr>
        <w:t>主要是对重庆市南岸区江溪路安得智联美安仓2号仓约1500m2的仓库，进行仓库监控系统建设，冻库、冷库智能温控系统及报警系统建设，仓库Wi-Fi全覆盖，智能通风系统建设等；提升室外周转筐清洗区和新设仓内洗手池等配套设施等。</w:t>
      </w:r>
    </w:p>
    <w:p w14:paraId="5C6A7BFE">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2.3 本次招标项目合同估算金额：</w:t>
      </w:r>
      <w:r>
        <w:rPr>
          <w:rFonts w:hint="eastAsia" w:ascii="宋体" w:hAnsi="宋体"/>
          <w:snapToGrid w:val="0"/>
          <w:kern w:val="0"/>
          <w:szCs w:val="21"/>
          <w:u w:val="single"/>
        </w:rPr>
        <w:t>41.62万元。</w:t>
      </w:r>
    </w:p>
    <w:p w14:paraId="3E95F65C">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2.4 比选范围：</w:t>
      </w:r>
      <w:r>
        <w:rPr>
          <w:rFonts w:hint="eastAsia" w:ascii="宋体" w:hAnsi="宋体"/>
          <w:snapToGrid w:val="0"/>
          <w:kern w:val="0"/>
          <w:szCs w:val="21"/>
          <w:u w:val="single"/>
        </w:rPr>
        <w:t>具体详见招标人提供的工程量清单、招标文件以及招标文件补遗、答疑、澄清中补充的全部工程内容。</w:t>
      </w:r>
    </w:p>
    <w:p w14:paraId="3F9A4DE3">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u w:val="single"/>
        </w:rPr>
      </w:pPr>
      <w:r>
        <w:rPr>
          <w:rFonts w:hint="eastAsia" w:ascii="宋体" w:hAnsi="宋体"/>
          <w:snapToGrid w:val="0"/>
          <w:kern w:val="0"/>
          <w:szCs w:val="21"/>
        </w:rPr>
        <w:t>2.5 工期要求：</w:t>
      </w:r>
      <w:r>
        <w:rPr>
          <w:rFonts w:hint="eastAsia" w:ascii="宋体" w:hAnsi="宋体"/>
          <w:snapToGrid w:val="0"/>
          <w:kern w:val="0"/>
          <w:szCs w:val="21"/>
          <w:u w:val="single"/>
        </w:rPr>
        <w:t>30 日历天</w:t>
      </w:r>
    </w:p>
    <w:p w14:paraId="3D63AB2B">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rPr>
        <w:t xml:space="preserve">    缺陷责任期要求：</w:t>
      </w:r>
      <w:r>
        <w:rPr>
          <w:rFonts w:hint="eastAsia" w:ascii="宋体" w:hAnsi="宋体"/>
          <w:snapToGrid w:val="0"/>
          <w:kern w:val="0"/>
          <w:szCs w:val="21"/>
          <w:u w:val="single"/>
        </w:rPr>
        <w:t xml:space="preserve"> 24个月</w:t>
      </w:r>
    </w:p>
    <w:p w14:paraId="636DA377">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rPr>
        <w:t>2.6 标段划分（如有）：</w:t>
      </w:r>
      <w:r>
        <w:rPr>
          <w:rFonts w:hint="eastAsia" w:ascii="宋体" w:hAnsi="宋体"/>
          <w:snapToGrid w:val="0"/>
          <w:kern w:val="0"/>
          <w:szCs w:val="21"/>
          <w:u w:val="single"/>
        </w:rPr>
        <w:t xml:space="preserve">    /    </w:t>
      </w:r>
    </w:p>
    <w:p w14:paraId="04F37B31">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rPr>
        <w:t>2.7 其他：</w:t>
      </w:r>
      <w:r>
        <w:rPr>
          <w:rFonts w:hint="eastAsia" w:ascii="宋体" w:hAnsi="宋体"/>
          <w:snapToGrid w:val="0"/>
          <w:kern w:val="0"/>
          <w:szCs w:val="21"/>
          <w:u w:val="single"/>
        </w:rPr>
        <w:t xml:space="preserve">    /    </w:t>
      </w:r>
    </w:p>
    <w:p w14:paraId="40B13653">
      <w:pPr>
        <w:pStyle w:val="4"/>
        <w:spacing w:before="100" w:after="100" w:line="460" w:lineRule="exact"/>
        <w:rPr>
          <w:rFonts w:ascii="宋体" w:hAnsi="宋体"/>
          <w:snapToGrid w:val="0"/>
          <w:sz w:val="28"/>
          <w:szCs w:val="28"/>
        </w:rPr>
      </w:pPr>
      <w:bookmarkStart w:id="40" w:name="_Toc430530418"/>
      <w:bookmarkStart w:id="41" w:name="_Toc200359240"/>
      <w:bookmarkStart w:id="42" w:name="_Toc5240"/>
      <w:bookmarkStart w:id="43" w:name="_Toc509218694"/>
      <w:bookmarkStart w:id="44" w:name="_Toc216768148"/>
      <w:bookmarkStart w:id="45" w:name="_Toc287620669"/>
      <w:bookmarkStart w:id="46" w:name="_Toc200359429"/>
      <w:bookmarkStart w:id="47" w:name="_Toc224103301"/>
      <w:bookmarkStart w:id="48" w:name="_Toc19513"/>
      <w:bookmarkStart w:id="49" w:name="_Toc277082538"/>
      <w:bookmarkStart w:id="50" w:name="_Toc287607730"/>
      <w:r>
        <w:rPr>
          <w:rFonts w:ascii="宋体" w:hAnsi="宋体"/>
          <w:snapToGrid w:val="0"/>
          <w:sz w:val="28"/>
          <w:szCs w:val="28"/>
        </w:rPr>
        <w:t xml:space="preserve">3. </w:t>
      </w:r>
      <w:r>
        <w:rPr>
          <w:rFonts w:hint="eastAsia" w:ascii="宋体" w:hAnsi="宋体"/>
          <w:snapToGrid w:val="0"/>
          <w:sz w:val="28"/>
          <w:szCs w:val="28"/>
        </w:rPr>
        <w:t xml:space="preserve"> 投标人</w:t>
      </w:r>
      <w:r>
        <w:rPr>
          <w:rFonts w:ascii="宋体" w:hAnsi="宋体"/>
          <w:snapToGrid w:val="0"/>
          <w:sz w:val="28"/>
          <w:szCs w:val="28"/>
        </w:rPr>
        <w:t>资格要求</w:t>
      </w:r>
      <w:bookmarkEnd w:id="40"/>
      <w:bookmarkEnd w:id="41"/>
      <w:bookmarkEnd w:id="42"/>
      <w:bookmarkEnd w:id="43"/>
      <w:bookmarkEnd w:id="44"/>
      <w:bookmarkEnd w:id="45"/>
      <w:bookmarkEnd w:id="46"/>
      <w:bookmarkEnd w:id="47"/>
      <w:bookmarkEnd w:id="48"/>
      <w:bookmarkEnd w:id="49"/>
      <w:bookmarkEnd w:id="50"/>
    </w:p>
    <w:p w14:paraId="69B5CAA7">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ascii="宋体" w:hAnsi="宋体"/>
          <w:snapToGrid w:val="0"/>
          <w:kern w:val="0"/>
          <w:szCs w:val="21"/>
        </w:rPr>
        <w:t>3.1  本次招标要求</w:t>
      </w:r>
      <w:r>
        <w:rPr>
          <w:rFonts w:hint="eastAsia" w:ascii="宋体" w:hAnsi="宋体"/>
          <w:snapToGrid w:val="0"/>
          <w:kern w:val="0"/>
          <w:szCs w:val="21"/>
        </w:rPr>
        <w:t>投标人</w:t>
      </w:r>
      <w:r>
        <w:rPr>
          <w:rFonts w:ascii="宋体" w:hAnsi="宋体"/>
          <w:snapToGrid w:val="0"/>
          <w:kern w:val="0"/>
          <w:szCs w:val="21"/>
        </w:rPr>
        <w:t>须具备</w:t>
      </w:r>
      <w:r>
        <w:rPr>
          <w:rFonts w:hint="eastAsia" w:ascii="宋体" w:hAnsi="宋体"/>
          <w:snapToGrid w:val="0"/>
          <w:kern w:val="0"/>
          <w:szCs w:val="21"/>
        </w:rPr>
        <w:t>以下条件：</w:t>
      </w:r>
    </w:p>
    <w:p w14:paraId="4D383050">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rPr>
      </w:pPr>
      <w:r>
        <w:rPr>
          <w:rFonts w:hint="eastAsia" w:ascii="宋体" w:hAnsi="宋体"/>
          <w:snapToGrid w:val="0"/>
          <w:kern w:val="0"/>
          <w:szCs w:val="21"/>
        </w:rPr>
        <w:t>3.1.1 本次招标要求投标人具备的资质条件：</w:t>
      </w:r>
      <w:r>
        <w:rPr>
          <w:rFonts w:hint="eastAsia" w:ascii="宋体" w:hAnsi="宋体"/>
          <w:snapToGrid w:val="0"/>
          <w:kern w:val="0"/>
          <w:szCs w:val="21"/>
          <w:u w:val="single"/>
        </w:rPr>
        <w:t xml:space="preserve">电子与智能化工程专业承包二级及以上资质 </w:t>
      </w:r>
      <w:r>
        <w:rPr>
          <w:rFonts w:hint="eastAsia" w:ascii="宋体" w:hAnsi="宋体"/>
          <w:snapToGrid w:val="0"/>
          <w:kern w:val="0"/>
          <w:szCs w:val="21"/>
        </w:rPr>
        <w:t>；</w:t>
      </w:r>
    </w:p>
    <w:p w14:paraId="3FE5757E">
      <w:pPr>
        <w:tabs>
          <w:tab w:val="left" w:pos="3840"/>
          <w:tab w:val="left" w:pos="5300"/>
        </w:tabs>
        <w:autoSpaceDE w:val="0"/>
        <w:autoSpaceDN w:val="0"/>
        <w:adjustRightInd w:val="0"/>
        <w:snapToGrid w:val="0"/>
        <w:spacing w:line="460" w:lineRule="exact"/>
        <w:ind w:firstLine="420" w:firstLineChars="200"/>
        <w:jc w:val="left"/>
        <w:rPr>
          <w:rFonts w:ascii="宋体" w:hAnsi="宋体"/>
          <w:szCs w:val="21"/>
        </w:rPr>
      </w:pPr>
      <w:r>
        <w:rPr>
          <w:rFonts w:hint="eastAsia" w:ascii="宋体" w:hAnsi="宋体"/>
          <w:snapToGrid w:val="0"/>
          <w:kern w:val="0"/>
          <w:szCs w:val="21"/>
        </w:rPr>
        <w:t>3.1.2 投标人还应在人员、设备、资金等方面具有相应的施工能力，详见招标文件第二章投标人须知前附表第1.4.1项内容。</w:t>
      </w:r>
    </w:p>
    <w:p w14:paraId="3120B0B4">
      <w:pPr>
        <w:tabs>
          <w:tab w:val="left" w:pos="3045"/>
          <w:tab w:val="left" w:pos="8310"/>
        </w:tabs>
        <w:autoSpaceDE w:val="0"/>
        <w:autoSpaceDN w:val="0"/>
        <w:adjustRightInd w:val="0"/>
        <w:snapToGrid w:val="0"/>
        <w:spacing w:line="460" w:lineRule="exact"/>
        <w:ind w:firstLine="420" w:firstLineChars="200"/>
        <w:rPr>
          <w:rFonts w:ascii="宋体" w:hAnsi="宋体"/>
          <w:snapToGrid w:val="0"/>
          <w:kern w:val="0"/>
          <w:szCs w:val="21"/>
        </w:rPr>
      </w:pPr>
      <w:r>
        <w:rPr>
          <w:rFonts w:ascii="宋体" w:hAnsi="宋体"/>
          <w:snapToGrid w:val="0"/>
          <w:kern w:val="0"/>
          <w:szCs w:val="21"/>
        </w:rPr>
        <w:t>3.2  本次招标</w:t>
      </w:r>
      <w:r>
        <w:rPr>
          <w:rFonts w:hint="eastAsia" w:ascii="宋体" w:hAnsi="宋体"/>
          <w:snapToGrid w:val="0"/>
          <w:kern w:val="0"/>
          <w:szCs w:val="21"/>
        </w:rPr>
        <w:t>□接受 ☑不接受</w:t>
      </w:r>
      <w:r>
        <w:rPr>
          <w:rFonts w:ascii="宋体" w:hAnsi="宋体"/>
          <w:snapToGrid w:val="0"/>
          <w:kern w:val="0"/>
          <w:szCs w:val="21"/>
        </w:rPr>
        <w:t>联合体投标。联合体投标的，应满足下列要求：</w:t>
      </w:r>
      <w:r>
        <w:rPr>
          <w:rFonts w:hint="eastAsia" w:ascii="宋体" w:hAnsi="宋体"/>
          <w:snapToGrid w:val="0"/>
          <w:kern w:val="0"/>
          <w:szCs w:val="21"/>
          <w:u w:val="single"/>
        </w:rPr>
        <w:t xml:space="preserve">      /     </w:t>
      </w:r>
      <w:r>
        <w:rPr>
          <w:rFonts w:ascii="宋体" w:hAnsi="宋体"/>
          <w:snapToGrid w:val="0"/>
          <w:kern w:val="0"/>
          <w:szCs w:val="21"/>
        </w:rPr>
        <w:t>。</w:t>
      </w:r>
    </w:p>
    <w:p w14:paraId="1C15DF0D">
      <w:pPr>
        <w:pStyle w:val="4"/>
        <w:spacing w:before="100" w:after="100" w:line="460" w:lineRule="exact"/>
        <w:rPr>
          <w:rFonts w:ascii="宋体" w:hAnsi="宋体"/>
          <w:snapToGrid w:val="0"/>
          <w:sz w:val="28"/>
          <w:szCs w:val="28"/>
        </w:rPr>
      </w:pPr>
      <w:bookmarkStart w:id="51" w:name="_Toc10508"/>
      <w:bookmarkStart w:id="52" w:name="_Toc216768149"/>
      <w:bookmarkStart w:id="53" w:name="_Toc287620670"/>
      <w:bookmarkStart w:id="54" w:name="_Toc430530419"/>
      <w:bookmarkStart w:id="55" w:name="_Toc509218695"/>
      <w:bookmarkStart w:id="56" w:name="_Toc200359430"/>
      <w:bookmarkStart w:id="57" w:name="_Toc287607731"/>
      <w:bookmarkStart w:id="58" w:name="_Toc200359241"/>
      <w:bookmarkStart w:id="59" w:name="_Toc277082539"/>
      <w:bookmarkStart w:id="60" w:name="_Toc224103302"/>
      <w:bookmarkStart w:id="61" w:name="_Toc13751"/>
      <w:r>
        <w:rPr>
          <w:rFonts w:ascii="宋体" w:hAnsi="宋体"/>
          <w:snapToGrid w:val="0"/>
          <w:sz w:val="28"/>
          <w:szCs w:val="28"/>
        </w:rPr>
        <w:t xml:space="preserve">4. </w:t>
      </w:r>
      <w:r>
        <w:rPr>
          <w:rFonts w:hint="eastAsia" w:ascii="宋体" w:hAnsi="宋体"/>
          <w:snapToGrid w:val="0"/>
          <w:sz w:val="28"/>
          <w:szCs w:val="28"/>
        </w:rPr>
        <w:t>招标</w:t>
      </w:r>
      <w:r>
        <w:rPr>
          <w:rFonts w:ascii="宋体" w:hAnsi="宋体"/>
          <w:snapToGrid w:val="0"/>
          <w:sz w:val="28"/>
          <w:szCs w:val="28"/>
        </w:rPr>
        <w:t>文件的获取</w:t>
      </w:r>
      <w:bookmarkEnd w:id="51"/>
      <w:bookmarkEnd w:id="52"/>
      <w:bookmarkEnd w:id="53"/>
      <w:bookmarkEnd w:id="54"/>
      <w:bookmarkEnd w:id="55"/>
      <w:bookmarkEnd w:id="56"/>
      <w:bookmarkEnd w:id="57"/>
      <w:bookmarkEnd w:id="58"/>
      <w:bookmarkEnd w:id="59"/>
      <w:bookmarkEnd w:id="60"/>
      <w:bookmarkEnd w:id="61"/>
    </w:p>
    <w:p w14:paraId="4453A140">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kern w:val="0"/>
          <w:szCs w:val="21"/>
        </w:rPr>
      </w:pPr>
      <w:r>
        <w:rPr>
          <w:rFonts w:hint="eastAsia" w:ascii="宋体" w:hAnsi="宋体"/>
          <w:snapToGrid w:val="0"/>
          <w:kern w:val="0"/>
          <w:szCs w:val="21"/>
        </w:rPr>
        <w:t>4.1  凡有意参加投标者，自竞争性比选公告发布之日起至投标截止时间前，均可在“行采家”平台（https://www.gec123.com）上下载本项目竞争性比选公告、补遗等开标前公布的所有相关资料。在公告期间，各投标人应随时关注网上发布的补遗、澄清等文件内容，不管投标人是否下载，均视为已知晓所有内容。</w:t>
      </w:r>
    </w:p>
    <w:p w14:paraId="4445F77A">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kern w:val="0"/>
          <w:szCs w:val="21"/>
        </w:rPr>
      </w:pPr>
      <w:r>
        <w:rPr>
          <w:rFonts w:hint="eastAsia" w:ascii="宋体" w:hAnsi="宋体"/>
          <w:snapToGrid w:val="0"/>
          <w:kern w:val="0"/>
          <w:szCs w:val="21"/>
        </w:rPr>
        <w:t>4.2 凡有意参加比选者，请于2025年12月19日（北京时间，下同）1</w:t>
      </w:r>
      <w:r>
        <w:rPr>
          <w:rFonts w:hint="eastAsia" w:ascii="宋体" w:hAnsi="宋体"/>
          <w:snapToGrid w:val="0"/>
          <w:kern w:val="0"/>
          <w:szCs w:val="21"/>
          <w:lang w:val="en-US" w:eastAsia="zh-CN"/>
        </w:rPr>
        <w:t>7</w:t>
      </w:r>
      <w:r>
        <w:rPr>
          <w:rFonts w:hint="eastAsia" w:ascii="宋体" w:hAnsi="宋体"/>
          <w:snapToGrid w:val="0"/>
          <w:kern w:val="0"/>
          <w:szCs w:val="21"/>
        </w:rPr>
        <w:t>:00将《比选文件发售登记表》（见本篇后附表，加盖投标人公章）扫描后发送至1490879315@qq.com（邮箱），超过规定的报名时间，报名无效，其投标文件将会被拒收。</w:t>
      </w:r>
    </w:p>
    <w:p w14:paraId="7C26C57A">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kern w:val="0"/>
          <w:szCs w:val="21"/>
        </w:rPr>
      </w:pPr>
      <w:r>
        <w:rPr>
          <w:rFonts w:hint="eastAsia" w:ascii="宋体" w:hAnsi="宋体"/>
          <w:snapToGrid w:val="0"/>
          <w:kern w:val="0"/>
          <w:szCs w:val="21"/>
        </w:rPr>
        <w:t>4.3  招标文件每套售价500元/份，招标文件购买费用和投标文件一并递交。</w:t>
      </w:r>
    </w:p>
    <w:p w14:paraId="346CF6FA">
      <w:pPr>
        <w:pStyle w:val="4"/>
        <w:spacing w:before="100" w:after="100" w:line="460" w:lineRule="exact"/>
        <w:rPr>
          <w:rFonts w:ascii="宋体" w:hAnsi="宋体"/>
          <w:snapToGrid w:val="0"/>
          <w:sz w:val="28"/>
          <w:szCs w:val="28"/>
        </w:rPr>
      </w:pPr>
      <w:bookmarkStart w:id="62" w:name="_Toc200359242"/>
      <w:bookmarkStart w:id="63" w:name="_Toc287620671"/>
      <w:bookmarkStart w:id="64" w:name="_Toc509218696"/>
      <w:bookmarkStart w:id="65" w:name="_Toc430530420"/>
      <w:bookmarkStart w:id="66" w:name="_Toc287607732"/>
      <w:bookmarkStart w:id="67" w:name="_Toc3893"/>
      <w:bookmarkStart w:id="68" w:name="_Toc277082540"/>
      <w:bookmarkStart w:id="69" w:name="_Toc216768150"/>
      <w:bookmarkStart w:id="70" w:name="_Toc200359431"/>
      <w:bookmarkStart w:id="71" w:name="_Toc28449"/>
      <w:bookmarkStart w:id="72" w:name="_Toc224103303"/>
      <w:r>
        <w:rPr>
          <w:rFonts w:ascii="宋体" w:hAnsi="宋体"/>
          <w:snapToGrid w:val="0"/>
          <w:sz w:val="28"/>
          <w:szCs w:val="28"/>
        </w:rPr>
        <w:t xml:space="preserve">5. </w:t>
      </w:r>
      <w:r>
        <w:rPr>
          <w:rFonts w:hint="eastAsia" w:ascii="宋体" w:hAnsi="宋体"/>
          <w:snapToGrid w:val="0"/>
          <w:sz w:val="28"/>
          <w:szCs w:val="28"/>
        </w:rPr>
        <w:t xml:space="preserve"> 投标文件</w:t>
      </w:r>
      <w:r>
        <w:rPr>
          <w:rFonts w:ascii="宋体" w:hAnsi="宋体"/>
          <w:snapToGrid w:val="0"/>
          <w:sz w:val="28"/>
          <w:szCs w:val="28"/>
        </w:rPr>
        <w:t>的递交</w:t>
      </w:r>
      <w:bookmarkEnd w:id="62"/>
      <w:bookmarkEnd w:id="63"/>
      <w:bookmarkEnd w:id="64"/>
      <w:bookmarkEnd w:id="65"/>
      <w:bookmarkEnd w:id="66"/>
      <w:bookmarkEnd w:id="67"/>
      <w:bookmarkEnd w:id="68"/>
      <w:bookmarkEnd w:id="69"/>
      <w:bookmarkEnd w:id="70"/>
      <w:bookmarkEnd w:id="71"/>
      <w:bookmarkEnd w:id="72"/>
    </w:p>
    <w:p w14:paraId="72184EE6">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kern w:val="0"/>
          <w:szCs w:val="21"/>
        </w:rPr>
      </w:pPr>
      <w:r>
        <w:rPr>
          <w:rFonts w:hint="eastAsia" w:ascii="宋体" w:hAnsi="宋体"/>
          <w:snapToGrid w:val="0"/>
          <w:kern w:val="0"/>
          <w:szCs w:val="21"/>
        </w:rPr>
        <w:t>5.1  纸质投标文件递交时间：2025年12月</w:t>
      </w:r>
      <w:r>
        <w:rPr>
          <w:rFonts w:hint="eastAsia" w:ascii="宋体" w:hAnsi="宋体"/>
          <w:snapToGrid w:val="0"/>
          <w:kern w:val="0"/>
          <w:szCs w:val="21"/>
          <w:lang w:val="en-US" w:eastAsia="zh-CN"/>
        </w:rPr>
        <w:t>22</w:t>
      </w:r>
      <w:r>
        <w:rPr>
          <w:rFonts w:hint="eastAsia" w:ascii="宋体" w:hAnsi="宋体"/>
          <w:snapToGrid w:val="0"/>
          <w:kern w:val="0"/>
          <w:szCs w:val="21"/>
        </w:rPr>
        <w:t>日14时00分至14时30分（北京时间）。</w:t>
      </w:r>
    </w:p>
    <w:p w14:paraId="78B7E462">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kern w:val="0"/>
          <w:szCs w:val="21"/>
        </w:rPr>
      </w:pPr>
      <w:r>
        <w:rPr>
          <w:rFonts w:hint="eastAsia" w:ascii="宋体" w:hAnsi="宋体"/>
          <w:snapToGrid w:val="0"/>
          <w:kern w:val="0"/>
          <w:szCs w:val="21"/>
        </w:rPr>
        <w:t>5.2  纸质投标文件递交及开标地点：重庆市南岸区公共资源交易中心（重庆市南岸区天文街道广福大道12号区行政中心B区2号楼4楼），具体开标室以开标当天交易中心屏幕显示为准。</w:t>
      </w:r>
    </w:p>
    <w:p w14:paraId="25ED5FAC">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kern w:val="0"/>
          <w:szCs w:val="21"/>
        </w:rPr>
      </w:pPr>
      <w:r>
        <w:rPr>
          <w:rFonts w:hint="eastAsia" w:ascii="宋体" w:hAnsi="宋体"/>
          <w:snapToGrid w:val="0"/>
          <w:kern w:val="0"/>
          <w:szCs w:val="21"/>
        </w:rPr>
        <w:t xml:space="preserve">5.3  须满足以下要件，其投标文件才被接受，否则将失去投标资格： </w:t>
      </w:r>
    </w:p>
    <w:p w14:paraId="7C32C436">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kern w:val="0"/>
          <w:szCs w:val="21"/>
        </w:rPr>
      </w:pPr>
      <w:r>
        <w:rPr>
          <w:rFonts w:hint="eastAsia" w:ascii="宋体" w:hAnsi="宋体"/>
          <w:snapToGrid w:val="0"/>
          <w:kern w:val="0"/>
          <w:szCs w:val="21"/>
        </w:rPr>
        <w:t xml:space="preserve">5.3.1  按招标文件要求报名并缴纳了标书费； </w:t>
      </w:r>
    </w:p>
    <w:p w14:paraId="4A71F749">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kern w:val="0"/>
          <w:szCs w:val="21"/>
        </w:rPr>
      </w:pPr>
      <w:r>
        <w:rPr>
          <w:rFonts w:hint="eastAsia" w:ascii="宋体" w:hAnsi="宋体"/>
          <w:snapToGrid w:val="0"/>
          <w:kern w:val="0"/>
          <w:szCs w:val="21"/>
        </w:rPr>
        <w:t>5.3.2  按招标文件的要求，按时签到并递交纸质投标文件。</w:t>
      </w:r>
    </w:p>
    <w:p w14:paraId="4E41CB8E">
      <w:pPr>
        <w:pStyle w:val="4"/>
        <w:spacing w:before="100" w:after="100" w:line="460" w:lineRule="exact"/>
        <w:rPr>
          <w:rFonts w:ascii="宋体" w:hAnsi="宋体"/>
          <w:snapToGrid w:val="0"/>
          <w:sz w:val="28"/>
          <w:szCs w:val="28"/>
        </w:rPr>
      </w:pPr>
      <w:bookmarkStart w:id="73" w:name="_Toc200359432"/>
      <w:bookmarkStart w:id="74" w:name="_Toc287620672"/>
      <w:bookmarkStart w:id="75" w:name="_Toc430530421"/>
      <w:bookmarkStart w:id="76" w:name="_Toc277082541"/>
      <w:bookmarkStart w:id="77" w:name="_Toc224103304"/>
      <w:bookmarkStart w:id="78" w:name="_Toc216768151"/>
      <w:bookmarkStart w:id="79" w:name="_Toc19071"/>
      <w:bookmarkStart w:id="80" w:name="_Toc287607733"/>
      <w:bookmarkStart w:id="81" w:name="_Toc509218697"/>
      <w:bookmarkStart w:id="82" w:name="_Toc200359243"/>
      <w:bookmarkStart w:id="83" w:name="_Toc8166"/>
      <w:r>
        <w:rPr>
          <w:rFonts w:ascii="宋体" w:hAnsi="宋体"/>
          <w:snapToGrid w:val="0"/>
          <w:sz w:val="28"/>
          <w:szCs w:val="28"/>
        </w:rPr>
        <w:t xml:space="preserve">6. </w:t>
      </w:r>
      <w:r>
        <w:rPr>
          <w:rFonts w:hint="eastAsia" w:ascii="宋体" w:hAnsi="宋体"/>
          <w:snapToGrid w:val="0"/>
          <w:sz w:val="28"/>
          <w:szCs w:val="28"/>
        </w:rPr>
        <w:t xml:space="preserve"> </w:t>
      </w:r>
      <w:r>
        <w:rPr>
          <w:rFonts w:ascii="宋体" w:hAnsi="宋体"/>
          <w:snapToGrid w:val="0"/>
          <w:sz w:val="28"/>
          <w:szCs w:val="28"/>
        </w:rPr>
        <w:t>发布公告的媒介</w:t>
      </w:r>
      <w:bookmarkEnd w:id="73"/>
      <w:bookmarkEnd w:id="74"/>
      <w:bookmarkEnd w:id="75"/>
      <w:bookmarkEnd w:id="76"/>
      <w:bookmarkEnd w:id="77"/>
      <w:bookmarkEnd w:id="78"/>
      <w:bookmarkEnd w:id="79"/>
      <w:bookmarkEnd w:id="80"/>
      <w:bookmarkEnd w:id="81"/>
      <w:bookmarkEnd w:id="82"/>
      <w:bookmarkEnd w:id="83"/>
    </w:p>
    <w:p w14:paraId="06F507BA">
      <w:pPr>
        <w:tabs>
          <w:tab w:val="left" w:pos="4950"/>
        </w:tabs>
        <w:autoSpaceDE w:val="0"/>
        <w:autoSpaceDN w:val="0"/>
        <w:adjustRightInd w:val="0"/>
        <w:snapToGrid w:val="0"/>
        <w:spacing w:line="450" w:lineRule="exact"/>
        <w:ind w:firstLine="420" w:firstLineChars="200"/>
        <w:rPr>
          <w:rFonts w:ascii="宋体" w:hAnsi="宋体"/>
          <w:snapToGrid w:val="0"/>
          <w:kern w:val="0"/>
          <w:szCs w:val="21"/>
        </w:rPr>
      </w:pPr>
      <w:r>
        <w:rPr>
          <w:rFonts w:ascii="宋体" w:hAnsi="宋体"/>
          <w:snapToGrid w:val="0"/>
          <w:kern w:val="0"/>
          <w:szCs w:val="21"/>
        </w:rPr>
        <w:t>本次</w:t>
      </w:r>
      <w:r>
        <w:rPr>
          <w:rFonts w:hint="eastAsia" w:ascii="宋体" w:hAnsi="宋体"/>
          <w:snapToGrid w:val="0"/>
          <w:kern w:val="0"/>
          <w:szCs w:val="21"/>
        </w:rPr>
        <w:t>比选公告</w:t>
      </w:r>
      <w:r>
        <w:rPr>
          <w:rFonts w:ascii="宋体" w:hAnsi="宋体"/>
          <w:snapToGrid w:val="0"/>
          <w:kern w:val="0"/>
          <w:szCs w:val="21"/>
        </w:rPr>
        <w:t>在</w:t>
      </w:r>
      <w:r>
        <w:rPr>
          <w:rFonts w:hint="eastAsia" w:ascii="宋体" w:hAnsi="宋体"/>
          <w:snapToGrid w:val="0"/>
          <w:kern w:val="0"/>
          <w:szCs w:val="21"/>
          <w:u w:val="single"/>
        </w:rPr>
        <w:t xml:space="preserve"> 重庆市行采家（https://www.gec123.com/）</w:t>
      </w:r>
      <w:r>
        <w:rPr>
          <w:rFonts w:ascii="宋体" w:hAnsi="宋体"/>
          <w:snapToGrid w:val="0"/>
          <w:kern w:val="0"/>
          <w:szCs w:val="21"/>
        </w:rPr>
        <w:t>上发布。</w:t>
      </w:r>
    </w:p>
    <w:p w14:paraId="0C5AFCBF">
      <w:pPr>
        <w:pStyle w:val="4"/>
        <w:spacing w:before="100" w:after="100" w:line="460" w:lineRule="exact"/>
        <w:rPr>
          <w:rFonts w:ascii="宋体" w:hAnsi="宋体"/>
          <w:snapToGrid w:val="0"/>
          <w:sz w:val="28"/>
          <w:szCs w:val="28"/>
        </w:rPr>
      </w:pPr>
      <w:bookmarkStart w:id="84" w:name="_Toc14240"/>
      <w:bookmarkStart w:id="85" w:name="_Toc31352"/>
      <w:bookmarkStart w:id="86" w:name="_Toc216768152"/>
      <w:bookmarkStart w:id="87" w:name="_Toc430530422"/>
      <w:bookmarkStart w:id="88" w:name="_Toc277082542"/>
      <w:bookmarkStart w:id="89" w:name="_Toc287620673"/>
      <w:bookmarkStart w:id="90" w:name="_Toc224103305"/>
      <w:bookmarkStart w:id="91" w:name="_Toc287607734"/>
      <w:bookmarkStart w:id="92" w:name="_Toc509218698"/>
      <w:bookmarkStart w:id="93" w:name="_Toc769"/>
      <w:r>
        <w:rPr>
          <w:rFonts w:hint="eastAsia" w:ascii="宋体" w:hAnsi="宋体"/>
          <w:snapToGrid w:val="0"/>
          <w:sz w:val="28"/>
          <w:szCs w:val="28"/>
        </w:rPr>
        <w:t>7</w:t>
      </w:r>
      <w:r>
        <w:rPr>
          <w:rFonts w:ascii="宋体" w:hAnsi="宋体"/>
          <w:snapToGrid w:val="0"/>
          <w:sz w:val="28"/>
          <w:szCs w:val="28"/>
        </w:rPr>
        <w:t xml:space="preserve">. </w:t>
      </w:r>
      <w:r>
        <w:rPr>
          <w:rFonts w:hint="eastAsia" w:ascii="宋体" w:hAnsi="宋体"/>
          <w:snapToGrid w:val="0"/>
          <w:sz w:val="28"/>
          <w:szCs w:val="28"/>
        </w:rPr>
        <w:t xml:space="preserve"> </w:t>
      </w:r>
      <w:bookmarkEnd w:id="84"/>
      <w:bookmarkEnd w:id="85"/>
      <w:bookmarkStart w:id="94" w:name="_Toc589"/>
      <w:r>
        <w:rPr>
          <w:rFonts w:ascii="宋体" w:hAnsi="宋体"/>
          <w:snapToGrid w:val="0"/>
          <w:sz w:val="28"/>
          <w:szCs w:val="28"/>
        </w:rPr>
        <w:t>联系方式</w:t>
      </w:r>
      <w:bookmarkEnd w:id="86"/>
      <w:bookmarkEnd w:id="87"/>
      <w:bookmarkEnd w:id="88"/>
      <w:bookmarkEnd w:id="89"/>
      <w:bookmarkEnd w:id="90"/>
      <w:bookmarkEnd w:id="91"/>
      <w:bookmarkEnd w:id="92"/>
      <w:bookmarkEnd w:id="93"/>
      <w:bookmarkEnd w:id="94"/>
    </w:p>
    <w:p w14:paraId="726BA08D">
      <w:pPr>
        <w:tabs>
          <w:tab w:val="left" w:pos="5140"/>
          <w:tab w:val="left" w:pos="8520"/>
        </w:tabs>
        <w:autoSpaceDE w:val="0"/>
        <w:autoSpaceDN w:val="0"/>
        <w:adjustRightInd w:val="0"/>
        <w:snapToGrid w:val="0"/>
        <w:spacing w:line="450" w:lineRule="exact"/>
        <w:jc w:val="left"/>
        <w:rPr>
          <w:rFonts w:ascii="宋体" w:hAnsi="宋体"/>
          <w:snapToGrid w:val="0"/>
          <w:kern w:val="0"/>
          <w:szCs w:val="21"/>
          <w:u w:val="single"/>
        </w:rPr>
      </w:pPr>
      <w:bookmarkStart w:id="95" w:name="_Toc430530432"/>
      <w:bookmarkStart w:id="96" w:name="_Toc287607744"/>
      <w:bookmarkStart w:id="97" w:name="_Toc287620683"/>
      <w:bookmarkStart w:id="98" w:name="_Toc224103315"/>
      <w:bookmarkStart w:id="99" w:name="_Toc32148"/>
      <w:r>
        <w:rPr>
          <w:rFonts w:hint="eastAsia" w:ascii="宋体" w:hAnsi="宋体"/>
          <w:snapToGrid w:val="0"/>
          <w:kern w:val="0"/>
          <w:szCs w:val="21"/>
        </w:rPr>
        <w:t xml:space="preserve">比 选 </w:t>
      </w:r>
      <w:r>
        <w:rPr>
          <w:rFonts w:ascii="宋体" w:hAnsi="宋体"/>
          <w:snapToGrid w:val="0"/>
          <w:kern w:val="0"/>
          <w:szCs w:val="21"/>
        </w:rPr>
        <w:t>人：</w:t>
      </w:r>
      <w:r>
        <w:rPr>
          <w:rFonts w:hint="eastAsia" w:ascii="宋体" w:hAnsi="宋体"/>
          <w:snapToGrid w:val="0"/>
          <w:kern w:val="0"/>
          <w:szCs w:val="21"/>
          <w:u w:val="single"/>
        </w:rPr>
        <w:t>重庆市正联实业发展有限公司</w:t>
      </w:r>
      <w:r>
        <w:rPr>
          <w:rFonts w:hint="eastAsia" w:ascii="宋体" w:hAnsi="宋体"/>
          <w:snapToGrid w:val="0"/>
          <w:kern w:val="0"/>
          <w:szCs w:val="21"/>
        </w:rPr>
        <w:t xml:space="preserve">     比选</w:t>
      </w:r>
      <w:r>
        <w:rPr>
          <w:rFonts w:ascii="宋体" w:hAnsi="宋体"/>
          <w:snapToGrid w:val="0"/>
          <w:kern w:val="0"/>
          <w:szCs w:val="21"/>
        </w:rPr>
        <w:t>代理机构：</w:t>
      </w:r>
      <w:r>
        <w:rPr>
          <w:rFonts w:hint="eastAsia" w:ascii="宋体" w:hAnsi="宋体"/>
          <w:snapToGrid w:val="0"/>
          <w:kern w:val="0"/>
          <w:szCs w:val="21"/>
          <w:u w:val="single"/>
        </w:rPr>
        <w:t>重庆凯弘工程咨询有限公司</w:t>
      </w:r>
    </w:p>
    <w:p w14:paraId="0CA2A1F9">
      <w:pPr>
        <w:tabs>
          <w:tab w:val="left" w:pos="5140"/>
          <w:tab w:val="left" w:pos="8520"/>
        </w:tabs>
        <w:autoSpaceDE w:val="0"/>
        <w:autoSpaceDN w:val="0"/>
        <w:adjustRightInd w:val="0"/>
        <w:snapToGrid w:val="0"/>
        <w:spacing w:line="450" w:lineRule="exact"/>
        <w:ind w:firstLine="1050" w:firstLineChars="500"/>
        <w:jc w:val="left"/>
        <w:rPr>
          <w:rFonts w:ascii="宋体" w:hAnsi="宋体"/>
          <w:snapToGrid w:val="0"/>
          <w:kern w:val="0"/>
          <w:szCs w:val="21"/>
        </w:rPr>
      </w:pPr>
      <w:r>
        <w:rPr>
          <w:rFonts w:ascii="宋体" w:hAnsi="宋体"/>
          <w:snapToGrid w:val="0"/>
          <w:kern w:val="0"/>
          <w:szCs w:val="21"/>
        </w:rPr>
        <w:t xml:space="preserve"> </w:t>
      </w:r>
      <w:r>
        <w:rPr>
          <w:rFonts w:hint="eastAsia" w:ascii="宋体" w:hAnsi="宋体"/>
          <w:snapToGrid w:val="0"/>
          <w:kern w:val="0"/>
          <w:szCs w:val="21"/>
        </w:rPr>
        <w:t xml:space="preserve">                                </w:t>
      </w:r>
    </w:p>
    <w:p w14:paraId="1CCD71B1">
      <w:pPr>
        <w:tabs>
          <w:tab w:val="left" w:pos="5140"/>
          <w:tab w:val="left" w:pos="8420"/>
        </w:tabs>
        <w:autoSpaceDE w:val="0"/>
        <w:autoSpaceDN w:val="0"/>
        <w:adjustRightInd w:val="0"/>
        <w:snapToGrid w:val="0"/>
        <w:spacing w:line="450" w:lineRule="exact"/>
        <w:ind w:left="5670" w:hanging="5670" w:hangingChars="2700"/>
        <w:jc w:val="left"/>
        <w:rPr>
          <w:rFonts w:ascii="宋体" w:hAnsi="宋体"/>
          <w:snapToGrid w:val="0"/>
          <w:kern w:val="0"/>
          <w:szCs w:val="21"/>
          <w:u w:val="single"/>
        </w:rPr>
      </w:pPr>
      <w:r>
        <w:rPr>
          <w:rFonts w:ascii="宋体" w:hAnsi="宋体"/>
          <w:snapToGrid w:val="0"/>
          <w:kern w:val="0"/>
          <w:szCs w:val="21"/>
        </w:rPr>
        <w:t>地</w:t>
      </w:r>
      <w:r>
        <w:rPr>
          <w:rFonts w:hint="eastAsia" w:ascii="宋体" w:hAnsi="宋体"/>
          <w:snapToGrid w:val="0"/>
          <w:kern w:val="0"/>
          <w:szCs w:val="21"/>
        </w:rPr>
        <w:t xml:space="preserve">    </w:t>
      </w:r>
      <w:r>
        <w:rPr>
          <w:rFonts w:ascii="宋体" w:hAnsi="宋体"/>
          <w:snapToGrid w:val="0"/>
          <w:kern w:val="0"/>
          <w:szCs w:val="21"/>
        </w:rPr>
        <w:t>址：</w:t>
      </w:r>
      <w:bookmarkStart w:id="1627" w:name="_GoBack"/>
      <w:r>
        <w:rPr>
          <w:rFonts w:hint="eastAsia" w:ascii="宋体" w:hAnsi="宋体"/>
          <w:snapToGrid w:val="0"/>
          <w:kern w:val="0"/>
          <w:szCs w:val="21"/>
          <w:u w:val="single"/>
        </w:rPr>
        <w:t>重庆市南岸区南城大道199号正联大厦10层</w:t>
      </w:r>
      <w:bookmarkEnd w:id="1627"/>
      <w:r>
        <w:rPr>
          <w:rFonts w:ascii="宋体" w:hAnsi="宋体"/>
          <w:snapToGrid w:val="0"/>
          <w:kern w:val="0"/>
          <w:szCs w:val="21"/>
        </w:rPr>
        <w:t xml:space="preserve"> </w:t>
      </w:r>
      <w:r>
        <w:rPr>
          <w:rFonts w:hint="eastAsia" w:ascii="宋体" w:hAnsi="宋体"/>
          <w:snapToGrid w:val="0"/>
          <w:kern w:val="0"/>
          <w:szCs w:val="21"/>
        </w:rPr>
        <w:t xml:space="preserve"> </w:t>
      </w:r>
      <w:r>
        <w:rPr>
          <w:rFonts w:ascii="宋体" w:hAnsi="宋体"/>
          <w:snapToGrid w:val="0"/>
          <w:kern w:val="0"/>
          <w:szCs w:val="21"/>
        </w:rPr>
        <w:t>地</w:t>
      </w:r>
      <w:r>
        <w:rPr>
          <w:rFonts w:hint="eastAsia" w:ascii="宋体" w:hAnsi="宋体"/>
          <w:snapToGrid w:val="0"/>
          <w:kern w:val="0"/>
          <w:szCs w:val="21"/>
        </w:rPr>
        <w:t xml:space="preserve">    </w:t>
      </w:r>
      <w:r>
        <w:rPr>
          <w:rFonts w:ascii="宋体" w:hAnsi="宋体"/>
          <w:snapToGrid w:val="0"/>
          <w:kern w:val="0"/>
          <w:szCs w:val="21"/>
        </w:rPr>
        <w:t>址：</w:t>
      </w:r>
      <w:r>
        <w:rPr>
          <w:rFonts w:hint="eastAsia" w:ascii="宋体" w:hAnsi="宋体"/>
          <w:snapToGrid w:val="0"/>
          <w:kern w:val="0"/>
          <w:szCs w:val="21"/>
          <w:u w:val="single"/>
        </w:rPr>
        <w:t>重庆市九龙坡区杨家坪正街26号附4号渝隆大厦27楼</w:t>
      </w:r>
    </w:p>
    <w:p w14:paraId="5028377F">
      <w:pPr>
        <w:tabs>
          <w:tab w:val="left" w:pos="5140"/>
          <w:tab w:val="left" w:pos="8420"/>
        </w:tabs>
        <w:autoSpaceDE w:val="0"/>
        <w:autoSpaceDN w:val="0"/>
        <w:adjustRightInd w:val="0"/>
        <w:snapToGrid w:val="0"/>
        <w:spacing w:line="450" w:lineRule="exact"/>
        <w:jc w:val="left"/>
        <w:rPr>
          <w:rFonts w:ascii="宋体" w:hAnsi="宋体"/>
          <w:snapToGrid w:val="0"/>
          <w:kern w:val="0"/>
          <w:szCs w:val="21"/>
        </w:rPr>
      </w:pPr>
      <w:r>
        <w:rPr>
          <w:rFonts w:ascii="宋体" w:hAnsi="宋体"/>
          <w:snapToGrid w:val="0"/>
          <w:kern w:val="0"/>
          <w:szCs w:val="21"/>
        </w:rPr>
        <w:t>联 系 人：</w:t>
      </w:r>
      <w:r>
        <w:rPr>
          <w:rFonts w:ascii="宋体" w:hAnsi="宋体"/>
          <w:snapToGrid w:val="0"/>
          <w:kern w:val="0"/>
          <w:szCs w:val="21"/>
          <w:u w:val="single"/>
        </w:rPr>
        <w:t xml:space="preserve">    </w:t>
      </w:r>
      <w:r>
        <w:rPr>
          <w:rFonts w:hint="eastAsia" w:ascii="宋体" w:hAnsi="宋体"/>
          <w:snapToGrid w:val="0"/>
          <w:kern w:val="0"/>
          <w:szCs w:val="21"/>
          <w:u w:val="single"/>
        </w:rPr>
        <w:t>赵老师</w:t>
      </w:r>
      <w:r>
        <w:rPr>
          <w:rFonts w:ascii="宋体" w:hAnsi="宋体"/>
          <w:snapToGrid w:val="0"/>
          <w:kern w:val="0"/>
          <w:szCs w:val="21"/>
          <w:u w:val="single"/>
        </w:rPr>
        <w:t xml:space="preserve">      </w:t>
      </w:r>
      <w:r>
        <w:rPr>
          <w:rFonts w:ascii="宋体" w:hAnsi="宋体"/>
          <w:snapToGrid w:val="0"/>
          <w:kern w:val="0"/>
          <w:szCs w:val="21"/>
        </w:rPr>
        <w:t xml:space="preserve">    </w:t>
      </w:r>
      <w:r>
        <w:rPr>
          <w:rFonts w:hint="eastAsia" w:ascii="宋体" w:hAnsi="宋体"/>
          <w:snapToGrid w:val="0"/>
          <w:kern w:val="0"/>
          <w:szCs w:val="21"/>
        </w:rPr>
        <w:t xml:space="preserve">          </w:t>
      </w:r>
      <w:r>
        <w:rPr>
          <w:rFonts w:ascii="宋体" w:hAnsi="宋体"/>
          <w:snapToGrid w:val="0"/>
          <w:kern w:val="0"/>
          <w:szCs w:val="21"/>
        </w:rPr>
        <w:t xml:space="preserve"> </w:t>
      </w:r>
      <w:r>
        <w:rPr>
          <w:rFonts w:hint="eastAsia" w:ascii="宋体" w:hAnsi="宋体"/>
          <w:snapToGrid w:val="0"/>
          <w:kern w:val="0"/>
          <w:szCs w:val="21"/>
        </w:rPr>
        <w:t xml:space="preserve"> </w:t>
      </w:r>
      <w:r>
        <w:rPr>
          <w:rFonts w:ascii="宋体" w:hAnsi="宋体"/>
          <w:snapToGrid w:val="0"/>
          <w:kern w:val="0"/>
          <w:szCs w:val="21"/>
        </w:rPr>
        <w:t>联 系 人：</w:t>
      </w:r>
      <w:r>
        <w:rPr>
          <w:rFonts w:ascii="宋体" w:hAnsi="宋体"/>
          <w:snapToGrid w:val="0"/>
          <w:kern w:val="0"/>
          <w:szCs w:val="21"/>
          <w:u w:val="single"/>
        </w:rPr>
        <w:t xml:space="preserve">     </w:t>
      </w:r>
      <w:r>
        <w:rPr>
          <w:rFonts w:hint="eastAsia" w:ascii="宋体" w:hAnsi="宋体"/>
          <w:snapToGrid w:val="0"/>
          <w:kern w:val="0"/>
          <w:szCs w:val="21"/>
          <w:u w:val="single"/>
        </w:rPr>
        <w:t>李老师</w:t>
      </w:r>
      <w:r>
        <w:rPr>
          <w:rFonts w:ascii="宋体" w:hAnsi="宋体"/>
          <w:snapToGrid w:val="0"/>
          <w:kern w:val="0"/>
          <w:szCs w:val="21"/>
          <w:u w:val="single"/>
        </w:rPr>
        <w:t xml:space="preserve">      </w:t>
      </w:r>
    </w:p>
    <w:p w14:paraId="3E582D51">
      <w:pPr>
        <w:tabs>
          <w:tab w:val="left" w:pos="5140"/>
          <w:tab w:val="left" w:pos="8420"/>
        </w:tabs>
        <w:autoSpaceDE w:val="0"/>
        <w:autoSpaceDN w:val="0"/>
        <w:adjustRightInd w:val="0"/>
        <w:snapToGrid w:val="0"/>
        <w:spacing w:line="450" w:lineRule="exact"/>
        <w:jc w:val="left"/>
        <w:rPr>
          <w:rFonts w:ascii="宋体" w:hAnsi="宋体"/>
          <w:snapToGrid w:val="0"/>
          <w:kern w:val="0"/>
          <w:szCs w:val="21"/>
        </w:rPr>
      </w:pPr>
      <w:r>
        <w:rPr>
          <w:rFonts w:ascii="宋体" w:hAnsi="宋体"/>
          <w:snapToGrid w:val="0"/>
          <w:kern w:val="0"/>
          <w:szCs w:val="21"/>
        </w:rPr>
        <w:t>电    话：</w:t>
      </w:r>
      <w:r>
        <w:rPr>
          <w:rFonts w:ascii="宋体" w:hAnsi="宋体"/>
          <w:snapToGrid w:val="0"/>
          <w:kern w:val="0"/>
          <w:szCs w:val="21"/>
          <w:u w:val="single"/>
        </w:rPr>
        <w:t xml:space="preserve"> </w:t>
      </w:r>
      <w:r>
        <w:rPr>
          <w:rFonts w:hint="eastAsia" w:ascii="宋体" w:hAnsi="宋体"/>
          <w:snapToGrid w:val="0"/>
          <w:kern w:val="0"/>
          <w:szCs w:val="21"/>
          <w:u w:val="single"/>
          <w:lang w:val="zh-CN"/>
        </w:rPr>
        <w:t>15178801413</w:t>
      </w:r>
      <w:r>
        <w:rPr>
          <w:rFonts w:ascii="宋体" w:hAnsi="宋体"/>
          <w:snapToGrid w:val="0"/>
          <w:kern w:val="0"/>
          <w:szCs w:val="21"/>
          <w:u w:val="single"/>
        </w:rPr>
        <w:t xml:space="preserve">    </w:t>
      </w:r>
      <w:r>
        <w:rPr>
          <w:rFonts w:ascii="宋体" w:hAnsi="宋体"/>
          <w:snapToGrid w:val="0"/>
          <w:kern w:val="0"/>
          <w:szCs w:val="21"/>
        </w:rPr>
        <w:t xml:space="preserve">  </w:t>
      </w:r>
      <w:r>
        <w:rPr>
          <w:rFonts w:hint="eastAsia" w:ascii="宋体" w:hAnsi="宋体"/>
          <w:snapToGrid w:val="0"/>
          <w:kern w:val="0"/>
          <w:szCs w:val="21"/>
        </w:rPr>
        <w:t xml:space="preserve">              </w:t>
      </w:r>
      <w:r>
        <w:rPr>
          <w:rFonts w:ascii="宋体" w:hAnsi="宋体"/>
          <w:snapToGrid w:val="0"/>
          <w:kern w:val="0"/>
          <w:szCs w:val="21"/>
        </w:rPr>
        <w:t>电    话：</w:t>
      </w:r>
      <w:r>
        <w:rPr>
          <w:rFonts w:ascii="宋体" w:hAnsi="宋体"/>
          <w:snapToGrid w:val="0"/>
          <w:kern w:val="0"/>
          <w:szCs w:val="21"/>
          <w:u w:val="single"/>
        </w:rPr>
        <w:t xml:space="preserve">    </w:t>
      </w:r>
      <w:r>
        <w:rPr>
          <w:rFonts w:hint="eastAsia" w:ascii="宋体" w:hAnsi="宋体"/>
          <w:snapToGrid w:val="0"/>
          <w:kern w:val="0"/>
          <w:szCs w:val="21"/>
          <w:u w:val="single"/>
        </w:rPr>
        <w:t>15736155878</w:t>
      </w:r>
      <w:r>
        <w:rPr>
          <w:rFonts w:ascii="宋体" w:hAnsi="宋体"/>
          <w:snapToGrid w:val="0"/>
          <w:kern w:val="0"/>
          <w:szCs w:val="21"/>
          <w:u w:val="single"/>
        </w:rPr>
        <w:t xml:space="preserve">  </w:t>
      </w:r>
    </w:p>
    <w:p w14:paraId="02414249">
      <w:pPr>
        <w:autoSpaceDE w:val="0"/>
        <w:autoSpaceDN w:val="0"/>
        <w:adjustRightInd w:val="0"/>
        <w:snapToGrid w:val="0"/>
        <w:spacing w:line="440" w:lineRule="exact"/>
        <w:ind w:firstLine="3906" w:firstLineChars="1860"/>
        <w:jc w:val="right"/>
        <w:rPr>
          <w:rFonts w:ascii="宋体" w:hAnsi="宋体"/>
          <w:snapToGrid w:val="0"/>
          <w:kern w:val="0"/>
          <w:szCs w:val="21"/>
          <w:u w:val="single"/>
        </w:rPr>
      </w:pPr>
    </w:p>
    <w:p w14:paraId="0CF9276E">
      <w:pPr>
        <w:autoSpaceDE w:val="0"/>
        <w:autoSpaceDN w:val="0"/>
        <w:adjustRightInd w:val="0"/>
        <w:snapToGrid w:val="0"/>
        <w:spacing w:line="440" w:lineRule="exact"/>
        <w:ind w:firstLine="3906" w:firstLineChars="1860"/>
        <w:jc w:val="right"/>
        <w:rPr>
          <w:rFonts w:ascii="宋体" w:hAnsi="宋体"/>
          <w:snapToGrid w:val="0"/>
          <w:kern w:val="0"/>
          <w:szCs w:val="21"/>
          <w:u w:val="single"/>
        </w:rPr>
      </w:pPr>
    </w:p>
    <w:p w14:paraId="60B5B633">
      <w:pPr>
        <w:autoSpaceDE w:val="0"/>
        <w:autoSpaceDN w:val="0"/>
        <w:adjustRightInd w:val="0"/>
        <w:snapToGrid w:val="0"/>
        <w:spacing w:line="440" w:lineRule="exact"/>
        <w:ind w:firstLine="3906" w:firstLineChars="1860"/>
        <w:jc w:val="right"/>
        <w:rPr>
          <w:rFonts w:ascii="宋体" w:hAnsi="宋体"/>
          <w:snapToGrid w:val="0"/>
          <w:kern w:val="0"/>
          <w:sz w:val="20"/>
          <w:szCs w:val="20"/>
        </w:rPr>
      </w:pPr>
      <w:r>
        <w:rPr>
          <w:rFonts w:ascii="宋体" w:hAnsi="宋体"/>
          <w:snapToGrid w:val="0"/>
          <w:kern w:val="0"/>
          <w:szCs w:val="21"/>
          <w:u w:val="single"/>
        </w:rPr>
        <w:t xml:space="preserve"> </w:t>
      </w:r>
      <w:r>
        <w:rPr>
          <w:rFonts w:hint="eastAsia" w:ascii="宋体" w:hAnsi="宋体"/>
          <w:snapToGrid w:val="0"/>
          <w:kern w:val="0"/>
          <w:szCs w:val="21"/>
          <w:u w:val="single"/>
        </w:rPr>
        <w:t>2025</w:t>
      </w:r>
      <w:r>
        <w:rPr>
          <w:rFonts w:ascii="宋体" w:hAnsi="宋体"/>
          <w:snapToGrid w:val="0"/>
          <w:kern w:val="0"/>
          <w:szCs w:val="21"/>
        </w:rPr>
        <w:t>年</w:t>
      </w:r>
      <w:r>
        <w:rPr>
          <w:rFonts w:hint="eastAsia" w:ascii="宋体" w:hAnsi="宋体"/>
          <w:snapToGrid w:val="0"/>
          <w:kern w:val="0"/>
          <w:szCs w:val="21"/>
          <w:u w:val="single"/>
        </w:rPr>
        <w:t xml:space="preserve"> 12 </w:t>
      </w:r>
      <w:r>
        <w:rPr>
          <w:rFonts w:ascii="宋体" w:hAnsi="宋体"/>
          <w:snapToGrid w:val="0"/>
          <w:kern w:val="0"/>
          <w:szCs w:val="21"/>
          <w:u w:val="single"/>
        </w:rPr>
        <w:t xml:space="preserve"> </w:t>
      </w:r>
      <w:r>
        <w:rPr>
          <w:rFonts w:ascii="宋体" w:hAnsi="宋体"/>
          <w:snapToGrid w:val="0"/>
          <w:kern w:val="0"/>
          <w:szCs w:val="21"/>
        </w:rPr>
        <w:t>月</w:t>
      </w:r>
      <w:r>
        <w:rPr>
          <w:rFonts w:hint="eastAsia" w:ascii="宋体" w:hAnsi="宋体"/>
          <w:snapToGrid w:val="0"/>
          <w:kern w:val="0"/>
          <w:szCs w:val="21"/>
          <w:u w:val="single"/>
        </w:rPr>
        <w:t xml:space="preserve"> 1</w:t>
      </w:r>
      <w:r>
        <w:rPr>
          <w:rFonts w:hint="eastAsia" w:ascii="宋体" w:hAnsi="宋体"/>
          <w:snapToGrid w:val="0"/>
          <w:kern w:val="0"/>
          <w:szCs w:val="21"/>
          <w:u w:val="single"/>
          <w:lang w:val="en-US" w:eastAsia="zh-CN"/>
        </w:rPr>
        <w:t>6</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rPr>
        <w:t xml:space="preserve">  </w:t>
      </w:r>
    </w:p>
    <w:p w14:paraId="35460326">
      <w:pPr>
        <w:pStyle w:val="3"/>
        <w:spacing w:before="0" w:after="0" w:line="200" w:lineRule="exact"/>
        <w:jc w:val="center"/>
        <w:rPr>
          <w:rFonts w:ascii="宋体" w:hAnsi="宋体"/>
          <w:snapToGrid w:val="0"/>
          <w:kern w:val="0"/>
          <w:szCs w:val="21"/>
        </w:rPr>
      </w:pPr>
      <w:r>
        <w:rPr>
          <w:rFonts w:ascii="宋体" w:hAnsi="宋体"/>
          <w:snapToGrid w:val="0"/>
          <w:kern w:val="0"/>
          <w:szCs w:val="21"/>
        </w:rPr>
        <w:br w:type="page"/>
      </w:r>
    </w:p>
    <w:p w14:paraId="784E0C49">
      <w:pPr>
        <w:pStyle w:val="3"/>
        <w:spacing w:line="360" w:lineRule="auto"/>
        <w:jc w:val="center"/>
        <w:rPr>
          <w:rFonts w:ascii="宋体" w:hAnsi="宋体"/>
          <w:bCs w:val="0"/>
          <w:snapToGrid w:val="0"/>
          <w:kern w:val="0"/>
        </w:rPr>
      </w:pPr>
      <w:bookmarkStart w:id="100" w:name="_Toc216768153"/>
      <w:r>
        <w:rPr>
          <w:rFonts w:ascii="宋体" w:hAnsi="宋体"/>
          <w:snapToGrid w:val="0"/>
          <w:kern w:val="0"/>
        </w:rPr>
        <w:t xml:space="preserve">第二章  </w:t>
      </w:r>
      <w:r>
        <w:rPr>
          <w:rFonts w:hint="eastAsia" w:ascii="宋体" w:hAnsi="宋体"/>
          <w:snapToGrid w:val="0"/>
          <w:kern w:val="0"/>
        </w:rPr>
        <w:t>投标人</w:t>
      </w:r>
      <w:r>
        <w:rPr>
          <w:rFonts w:ascii="宋体" w:hAnsi="宋体"/>
          <w:snapToGrid w:val="0"/>
          <w:kern w:val="0"/>
        </w:rPr>
        <w:t>须知</w:t>
      </w:r>
      <w:bookmarkEnd w:id="95"/>
      <w:bookmarkEnd w:id="96"/>
      <w:bookmarkEnd w:id="97"/>
      <w:bookmarkEnd w:id="98"/>
      <w:bookmarkEnd w:id="99"/>
      <w:bookmarkEnd w:id="100"/>
      <w:bookmarkStart w:id="101" w:name="_Toc224103316"/>
      <w:bookmarkStart w:id="102" w:name="_Toc287620684"/>
      <w:bookmarkStart w:id="103" w:name="_Toc277082551"/>
      <w:bookmarkStart w:id="104" w:name="_Toc430530433"/>
      <w:bookmarkStart w:id="105" w:name="_Toc287607745"/>
    </w:p>
    <w:p w14:paraId="10EE5866">
      <w:pPr>
        <w:pStyle w:val="4"/>
        <w:spacing w:before="100" w:after="100" w:line="360" w:lineRule="auto"/>
        <w:rPr>
          <w:rFonts w:ascii="宋体" w:hAnsi="宋体"/>
        </w:rPr>
      </w:pPr>
      <w:bookmarkStart w:id="106" w:name="_Toc8005"/>
      <w:bookmarkStart w:id="107" w:name="_Toc31303"/>
      <w:bookmarkStart w:id="108" w:name="_Toc216768154"/>
      <w:bookmarkStart w:id="109" w:name="_Toc509218708"/>
      <w:r>
        <w:rPr>
          <w:rFonts w:hint="eastAsia" w:ascii="宋体" w:hAnsi="宋体"/>
        </w:rPr>
        <w:t>投标人须知前附表</w:t>
      </w:r>
      <w:bookmarkEnd w:id="101"/>
      <w:bookmarkEnd w:id="102"/>
      <w:bookmarkEnd w:id="103"/>
      <w:bookmarkEnd w:id="104"/>
      <w:bookmarkEnd w:id="105"/>
      <w:bookmarkEnd w:id="106"/>
      <w:bookmarkEnd w:id="107"/>
      <w:bookmarkEnd w:id="108"/>
      <w:bookmarkEnd w:id="109"/>
    </w:p>
    <w:p w14:paraId="23B4E579">
      <w:pPr>
        <w:spacing w:line="360" w:lineRule="auto"/>
        <w:ind w:firstLine="420" w:firstLineChars="200"/>
        <w:rPr>
          <w:rFonts w:ascii="宋体" w:hAnsi="宋体"/>
          <w:szCs w:val="21"/>
        </w:rPr>
      </w:pPr>
      <w:r>
        <w:rPr>
          <w:rFonts w:ascii="宋体" w:hAnsi="宋体"/>
          <w:szCs w:val="21"/>
        </w:rPr>
        <w:t>正文内容不允许修改。若</w:t>
      </w:r>
      <w:r>
        <w:rPr>
          <w:rFonts w:hint="eastAsia" w:ascii="宋体" w:hAnsi="宋体"/>
          <w:szCs w:val="21"/>
        </w:rPr>
        <w:t>投标人</w:t>
      </w:r>
      <w:r>
        <w:rPr>
          <w:rFonts w:ascii="宋体" w:hAnsi="宋体"/>
          <w:szCs w:val="21"/>
        </w:rPr>
        <w:t>须知前附表与正文不一致的地方，以</w:t>
      </w:r>
      <w:r>
        <w:rPr>
          <w:rFonts w:hint="eastAsia" w:ascii="宋体" w:hAnsi="宋体"/>
          <w:szCs w:val="21"/>
        </w:rPr>
        <w:t>投标人</w:t>
      </w:r>
      <w:r>
        <w:rPr>
          <w:rFonts w:ascii="宋体" w:hAnsi="宋体"/>
          <w:szCs w:val="21"/>
        </w:rPr>
        <w:t>须知前附表为准。</w:t>
      </w:r>
    </w:p>
    <w:tbl>
      <w:tblPr>
        <w:tblStyle w:val="45"/>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78A6B0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45326E00">
            <w:pPr>
              <w:snapToGrid w:val="0"/>
              <w:spacing w:line="400" w:lineRule="exact"/>
              <w:jc w:val="center"/>
              <w:rPr>
                <w:rFonts w:ascii="宋体" w:hAnsi="宋体"/>
                <w:b/>
                <w:kern w:val="0"/>
                <w:szCs w:val="21"/>
              </w:rPr>
            </w:pPr>
            <w:r>
              <w:rPr>
                <w:rFonts w:ascii="宋体" w:hAnsi="宋体"/>
                <w:b/>
                <w:kern w:val="0"/>
                <w:szCs w:val="21"/>
              </w:rPr>
              <w:t>条 款 号</w:t>
            </w:r>
          </w:p>
        </w:tc>
        <w:tc>
          <w:tcPr>
            <w:tcW w:w="1644" w:type="dxa"/>
            <w:vAlign w:val="center"/>
          </w:tcPr>
          <w:p w14:paraId="15A3374C">
            <w:pPr>
              <w:snapToGrid w:val="0"/>
              <w:spacing w:line="400" w:lineRule="exact"/>
              <w:jc w:val="center"/>
              <w:rPr>
                <w:rFonts w:ascii="宋体" w:hAnsi="宋体"/>
                <w:b/>
                <w:kern w:val="0"/>
                <w:szCs w:val="21"/>
              </w:rPr>
            </w:pPr>
            <w:r>
              <w:rPr>
                <w:rFonts w:ascii="宋体" w:hAnsi="宋体"/>
                <w:b/>
                <w:kern w:val="0"/>
                <w:szCs w:val="21"/>
              </w:rPr>
              <w:t>条款名称</w:t>
            </w:r>
          </w:p>
        </w:tc>
        <w:tc>
          <w:tcPr>
            <w:tcW w:w="6490" w:type="dxa"/>
            <w:vAlign w:val="center"/>
          </w:tcPr>
          <w:p w14:paraId="12684A2A">
            <w:pPr>
              <w:snapToGrid w:val="0"/>
              <w:spacing w:line="400" w:lineRule="exact"/>
              <w:jc w:val="center"/>
              <w:rPr>
                <w:rFonts w:ascii="宋体" w:hAnsi="宋体"/>
                <w:b/>
                <w:kern w:val="0"/>
                <w:szCs w:val="21"/>
              </w:rPr>
            </w:pPr>
            <w:r>
              <w:rPr>
                <w:rFonts w:ascii="宋体" w:hAnsi="宋体"/>
                <w:b/>
                <w:kern w:val="0"/>
                <w:szCs w:val="21"/>
              </w:rPr>
              <w:t>编  列  内  容</w:t>
            </w:r>
          </w:p>
        </w:tc>
      </w:tr>
      <w:tr w14:paraId="29EA31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B06B633">
            <w:pPr>
              <w:snapToGrid w:val="0"/>
              <w:spacing w:line="400" w:lineRule="exact"/>
              <w:jc w:val="center"/>
              <w:rPr>
                <w:rFonts w:ascii="宋体" w:hAnsi="宋体"/>
                <w:kern w:val="0"/>
                <w:szCs w:val="21"/>
              </w:rPr>
            </w:pPr>
            <w:r>
              <w:rPr>
                <w:rFonts w:ascii="宋体" w:hAnsi="宋体"/>
                <w:kern w:val="0"/>
                <w:szCs w:val="21"/>
              </w:rPr>
              <w:t>1.1.2</w:t>
            </w:r>
          </w:p>
        </w:tc>
        <w:tc>
          <w:tcPr>
            <w:tcW w:w="1644" w:type="dxa"/>
            <w:vAlign w:val="center"/>
          </w:tcPr>
          <w:p w14:paraId="51470390">
            <w:pPr>
              <w:snapToGrid w:val="0"/>
              <w:spacing w:line="400" w:lineRule="exact"/>
              <w:jc w:val="center"/>
              <w:rPr>
                <w:rFonts w:ascii="宋体" w:hAnsi="宋体"/>
                <w:kern w:val="0"/>
                <w:szCs w:val="21"/>
              </w:rPr>
            </w:pPr>
            <w:r>
              <w:rPr>
                <w:rFonts w:hint="eastAsia" w:ascii="宋体" w:hAnsi="宋体"/>
                <w:kern w:val="0"/>
                <w:szCs w:val="21"/>
              </w:rPr>
              <w:t>比选人</w:t>
            </w:r>
          </w:p>
        </w:tc>
        <w:tc>
          <w:tcPr>
            <w:tcW w:w="6490" w:type="dxa"/>
            <w:vAlign w:val="center"/>
          </w:tcPr>
          <w:p w14:paraId="28A9C506">
            <w:pPr>
              <w:spacing w:line="400" w:lineRule="exact"/>
              <w:rPr>
                <w:rFonts w:ascii="宋体" w:hAnsi="宋体" w:cs="宋体"/>
                <w:szCs w:val="21"/>
              </w:rPr>
            </w:pPr>
            <w:r>
              <w:rPr>
                <w:rFonts w:hint="eastAsia" w:ascii="宋体" w:hAnsi="宋体" w:cs="宋体"/>
                <w:szCs w:val="21"/>
              </w:rPr>
              <w:t>名称：重庆市正联实业发展有限公司</w:t>
            </w:r>
          </w:p>
          <w:p w14:paraId="42904C0C">
            <w:pPr>
              <w:spacing w:line="400" w:lineRule="exact"/>
              <w:rPr>
                <w:rFonts w:ascii="宋体" w:hAnsi="宋体" w:cs="宋体"/>
                <w:szCs w:val="21"/>
              </w:rPr>
            </w:pPr>
            <w:r>
              <w:rPr>
                <w:rFonts w:hint="eastAsia" w:ascii="宋体" w:hAnsi="宋体" w:cs="宋体"/>
                <w:szCs w:val="21"/>
              </w:rPr>
              <w:t>地址：重庆市南岸区南城大道199号正联大厦10层</w:t>
            </w:r>
          </w:p>
          <w:p w14:paraId="5BC6E661">
            <w:pPr>
              <w:spacing w:line="400" w:lineRule="exact"/>
              <w:rPr>
                <w:rFonts w:ascii="宋体" w:hAnsi="宋体" w:cs="宋体"/>
                <w:szCs w:val="21"/>
              </w:rPr>
            </w:pPr>
            <w:r>
              <w:rPr>
                <w:rFonts w:hint="eastAsia" w:ascii="宋体" w:hAnsi="宋体" w:cs="宋体"/>
                <w:szCs w:val="21"/>
              </w:rPr>
              <w:t xml:space="preserve">联系人：赵老师 </w:t>
            </w:r>
          </w:p>
          <w:p w14:paraId="69C4BC8F">
            <w:pPr>
              <w:spacing w:line="400" w:lineRule="exact"/>
              <w:rPr>
                <w:rFonts w:ascii="宋体" w:hAnsi="宋体"/>
                <w:kern w:val="0"/>
                <w:szCs w:val="21"/>
              </w:rPr>
            </w:pPr>
            <w:r>
              <w:rPr>
                <w:rFonts w:hint="eastAsia" w:ascii="宋体" w:hAnsi="宋体" w:cs="宋体"/>
                <w:szCs w:val="21"/>
              </w:rPr>
              <w:t>电话 ：</w:t>
            </w:r>
            <w:r>
              <w:rPr>
                <w:rFonts w:hint="eastAsia" w:ascii="宋体" w:hAnsi="宋体" w:cs="宋体"/>
                <w:szCs w:val="21"/>
                <w:lang w:val="zh-CN"/>
              </w:rPr>
              <w:t xml:space="preserve"> 15178801413</w:t>
            </w:r>
            <w:r>
              <w:rPr>
                <w:rFonts w:hint="eastAsia" w:ascii="宋体" w:hAnsi="宋体" w:cs="宋体"/>
                <w:szCs w:val="21"/>
              </w:rPr>
              <w:t xml:space="preserve"> </w:t>
            </w:r>
          </w:p>
        </w:tc>
      </w:tr>
      <w:tr w14:paraId="1F92C3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636E43E">
            <w:pPr>
              <w:snapToGrid w:val="0"/>
              <w:spacing w:line="400" w:lineRule="exact"/>
              <w:jc w:val="center"/>
              <w:rPr>
                <w:rFonts w:ascii="宋体" w:hAnsi="宋体"/>
                <w:kern w:val="0"/>
                <w:szCs w:val="21"/>
              </w:rPr>
            </w:pPr>
            <w:r>
              <w:rPr>
                <w:rFonts w:ascii="宋体" w:hAnsi="宋体"/>
                <w:kern w:val="0"/>
                <w:szCs w:val="21"/>
              </w:rPr>
              <w:t>1.1.3</w:t>
            </w:r>
          </w:p>
        </w:tc>
        <w:tc>
          <w:tcPr>
            <w:tcW w:w="1644" w:type="dxa"/>
            <w:vAlign w:val="center"/>
          </w:tcPr>
          <w:p w14:paraId="43CA8EC9">
            <w:pPr>
              <w:snapToGrid w:val="0"/>
              <w:spacing w:line="400" w:lineRule="exact"/>
              <w:jc w:val="center"/>
              <w:rPr>
                <w:rFonts w:ascii="宋体" w:hAnsi="宋体"/>
                <w:kern w:val="0"/>
                <w:szCs w:val="21"/>
              </w:rPr>
            </w:pPr>
            <w:r>
              <w:rPr>
                <w:rFonts w:hint="eastAsia" w:ascii="宋体" w:hAnsi="宋体"/>
                <w:kern w:val="0"/>
                <w:szCs w:val="21"/>
              </w:rPr>
              <w:t>比选代理机构</w:t>
            </w:r>
          </w:p>
        </w:tc>
        <w:tc>
          <w:tcPr>
            <w:tcW w:w="6490" w:type="dxa"/>
            <w:vAlign w:val="center"/>
          </w:tcPr>
          <w:p w14:paraId="2CCE2954">
            <w:pPr>
              <w:spacing w:line="400" w:lineRule="exact"/>
              <w:rPr>
                <w:rFonts w:ascii="宋体" w:hAnsi="宋体" w:cs="宋体"/>
                <w:szCs w:val="21"/>
              </w:rPr>
            </w:pPr>
            <w:r>
              <w:rPr>
                <w:rFonts w:hint="eastAsia" w:ascii="宋体" w:hAnsi="宋体" w:cs="宋体"/>
                <w:szCs w:val="21"/>
              </w:rPr>
              <w:t>名称：重庆凯弘工程咨询有限公司</w:t>
            </w:r>
          </w:p>
          <w:p w14:paraId="36E28ABD">
            <w:pPr>
              <w:spacing w:line="400" w:lineRule="exact"/>
              <w:rPr>
                <w:rFonts w:ascii="宋体" w:hAnsi="宋体" w:cs="宋体"/>
                <w:szCs w:val="21"/>
              </w:rPr>
            </w:pPr>
            <w:r>
              <w:rPr>
                <w:rFonts w:hint="eastAsia" w:ascii="宋体" w:hAnsi="宋体" w:cs="宋体"/>
                <w:szCs w:val="21"/>
              </w:rPr>
              <w:t>地址：重庆市九龙坡区杨家坪正街26号附4号渝隆大厦27楼</w:t>
            </w:r>
          </w:p>
          <w:p w14:paraId="3045B58B">
            <w:pPr>
              <w:spacing w:line="400" w:lineRule="exact"/>
              <w:rPr>
                <w:rFonts w:ascii="宋体" w:hAnsi="宋体" w:cs="宋体"/>
                <w:szCs w:val="21"/>
              </w:rPr>
            </w:pPr>
            <w:r>
              <w:rPr>
                <w:rFonts w:hint="eastAsia" w:ascii="宋体" w:hAnsi="宋体" w:cs="宋体"/>
                <w:szCs w:val="21"/>
              </w:rPr>
              <w:t xml:space="preserve">联系人：李老师  </w:t>
            </w:r>
          </w:p>
          <w:p w14:paraId="121ABE8D">
            <w:pPr>
              <w:spacing w:line="400" w:lineRule="exact"/>
              <w:rPr>
                <w:rFonts w:ascii="宋体" w:hAnsi="宋体"/>
                <w:kern w:val="0"/>
                <w:szCs w:val="21"/>
              </w:rPr>
            </w:pPr>
            <w:r>
              <w:rPr>
                <w:rFonts w:hint="eastAsia" w:ascii="宋体" w:hAnsi="宋体" w:cs="宋体"/>
                <w:szCs w:val="21"/>
              </w:rPr>
              <w:t>电话：15736155878</w:t>
            </w:r>
          </w:p>
        </w:tc>
      </w:tr>
      <w:tr w14:paraId="477169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A77A64D">
            <w:pPr>
              <w:snapToGrid w:val="0"/>
              <w:spacing w:line="400" w:lineRule="exact"/>
              <w:jc w:val="center"/>
              <w:rPr>
                <w:rFonts w:ascii="宋体" w:hAnsi="宋体"/>
                <w:kern w:val="0"/>
                <w:szCs w:val="21"/>
              </w:rPr>
            </w:pPr>
            <w:r>
              <w:rPr>
                <w:rFonts w:ascii="宋体" w:hAnsi="宋体"/>
                <w:kern w:val="0"/>
                <w:szCs w:val="21"/>
              </w:rPr>
              <w:t>1.1.4</w:t>
            </w:r>
          </w:p>
        </w:tc>
        <w:tc>
          <w:tcPr>
            <w:tcW w:w="1644" w:type="dxa"/>
            <w:vAlign w:val="center"/>
          </w:tcPr>
          <w:p w14:paraId="22DF73CB">
            <w:pPr>
              <w:snapToGrid w:val="0"/>
              <w:spacing w:line="400" w:lineRule="exact"/>
              <w:jc w:val="center"/>
              <w:rPr>
                <w:rFonts w:ascii="宋体" w:hAnsi="宋体"/>
                <w:kern w:val="0"/>
                <w:szCs w:val="21"/>
              </w:rPr>
            </w:pPr>
            <w:r>
              <w:rPr>
                <w:rFonts w:ascii="宋体" w:hAnsi="宋体"/>
                <w:kern w:val="0"/>
                <w:szCs w:val="21"/>
              </w:rPr>
              <w:t>项目名称</w:t>
            </w:r>
          </w:p>
        </w:tc>
        <w:tc>
          <w:tcPr>
            <w:tcW w:w="6490" w:type="dxa"/>
            <w:vAlign w:val="center"/>
          </w:tcPr>
          <w:p w14:paraId="4BE10AF9">
            <w:pPr>
              <w:snapToGrid w:val="0"/>
              <w:spacing w:line="400" w:lineRule="exact"/>
              <w:jc w:val="left"/>
              <w:rPr>
                <w:rFonts w:ascii="宋体" w:hAnsi="宋体"/>
                <w:szCs w:val="21"/>
              </w:rPr>
            </w:pPr>
            <w:r>
              <w:rPr>
                <w:rFonts w:hint="eastAsia" w:ascii="宋体" w:hAnsi="宋体"/>
                <w:szCs w:val="21"/>
              </w:rPr>
              <w:t xml:space="preserve">食材集采项目分拣仓数字化建设和配套提升工程（第二次） </w:t>
            </w:r>
          </w:p>
        </w:tc>
      </w:tr>
      <w:tr w14:paraId="102D88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63C896D">
            <w:pPr>
              <w:snapToGrid w:val="0"/>
              <w:spacing w:line="400" w:lineRule="exact"/>
              <w:jc w:val="center"/>
              <w:rPr>
                <w:rFonts w:ascii="宋体" w:hAnsi="宋体"/>
                <w:kern w:val="0"/>
                <w:szCs w:val="21"/>
              </w:rPr>
            </w:pPr>
            <w:r>
              <w:rPr>
                <w:rFonts w:ascii="宋体" w:hAnsi="宋体"/>
                <w:kern w:val="0"/>
                <w:szCs w:val="21"/>
              </w:rPr>
              <w:t>1.1.5</w:t>
            </w:r>
          </w:p>
        </w:tc>
        <w:tc>
          <w:tcPr>
            <w:tcW w:w="1644" w:type="dxa"/>
            <w:vAlign w:val="center"/>
          </w:tcPr>
          <w:p w14:paraId="3062ED7F">
            <w:pPr>
              <w:snapToGrid w:val="0"/>
              <w:spacing w:line="400" w:lineRule="exact"/>
              <w:jc w:val="center"/>
              <w:rPr>
                <w:rFonts w:ascii="宋体" w:hAnsi="宋体"/>
                <w:kern w:val="0"/>
                <w:szCs w:val="21"/>
              </w:rPr>
            </w:pPr>
            <w:r>
              <w:rPr>
                <w:rFonts w:ascii="宋体" w:hAnsi="宋体"/>
                <w:kern w:val="0"/>
                <w:szCs w:val="21"/>
              </w:rPr>
              <w:t>建设地点</w:t>
            </w:r>
          </w:p>
        </w:tc>
        <w:tc>
          <w:tcPr>
            <w:tcW w:w="6490" w:type="dxa"/>
            <w:vAlign w:val="center"/>
          </w:tcPr>
          <w:p w14:paraId="01F9E3C8">
            <w:pPr>
              <w:snapToGrid w:val="0"/>
              <w:spacing w:line="400" w:lineRule="exact"/>
              <w:jc w:val="left"/>
              <w:rPr>
                <w:rFonts w:ascii="宋体" w:hAnsi="宋体"/>
                <w:szCs w:val="21"/>
              </w:rPr>
            </w:pPr>
            <w:r>
              <w:rPr>
                <w:rFonts w:hint="eastAsia" w:ascii="宋体" w:hAnsi="宋体"/>
                <w:szCs w:val="21"/>
              </w:rPr>
              <w:t>南岸区茶园片区。</w:t>
            </w:r>
          </w:p>
        </w:tc>
      </w:tr>
      <w:tr w14:paraId="673301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FBD3BC7">
            <w:pPr>
              <w:snapToGrid w:val="0"/>
              <w:spacing w:line="400" w:lineRule="exact"/>
              <w:jc w:val="center"/>
              <w:rPr>
                <w:rFonts w:ascii="宋体" w:hAnsi="宋体"/>
                <w:kern w:val="0"/>
                <w:szCs w:val="21"/>
              </w:rPr>
            </w:pPr>
            <w:r>
              <w:rPr>
                <w:rFonts w:ascii="宋体" w:hAnsi="宋体"/>
                <w:kern w:val="0"/>
                <w:szCs w:val="21"/>
              </w:rPr>
              <w:t>1.1.6</w:t>
            </w:r>
          </w:p>
        </w:tc>
        <w:tc>
          <w:tcPr>
            <w:tcW w:w="1644" w:type="dxa"/>
            <w:vAlign w:val="center"/>
          </w:tcPr>
          <w:p w14:paraId="26C36A4C">
            <w:pPr>
              <w:snapToGrid w:val="0"/>
              <w:spacing w:line="400" w:lineRule="exact"/>
              <w:jc w:val="center"/>
              <w:rPr>
                <w:rFonts w:ascii="宋体" w:hAnsi="宋体"/>
                <w:kern w:val="0"/>
                <w:szCs w:val="21"/>
              </w:rPr>
            </w:pPr>
            <w:r>
              <w:rPr>
                <w:rFonts w:ascii="宋体" w:hAnsi="宋体"/>
                <w:kern w:val="0"/>
                <w:szCs w:val="21"/>
              </w:rPr>
              <w:t>建设规模</w:t>
            </w:r>
          </w:p>
        </w:tc>
        <w:tc>
          <w:tcPr>
            <w:tcW w:w="6490" w:type="dxa"/>
            <w:vAlign w:val="center"/>
          </w:tcPr>
          <w:p w14:paraId="2690CEA9">
            <w:pPr>
              <w:tabs>
                <w:tab w:val="left" w:pos="3840"/>
                <w:tab w:val="left" w:pos="5300"/>
              </w:tabs>
              <w:autoSpaceDE w:val="0"/>
              <w:autoSpaceDN w:val="0"/>
              <w:adjustRightInd w:val="0"/>
              <w:snapToGrid w:val="0"/>
              <w:spacing w:line="460" w:lineRule="exact"/>
              <w:ind w:firstLine="420" w:firstLineChars="200"/>
              <w:jc w:val="left"/>
              <w:rPr>
                <w:rFonts w:ascii="宋体" w:hAnsi="宋体"/>
                <w:i/>
                <w:snapToGrid w:val="0"/>
                <w:kern w:val="0"/>
                <w:szCs w:val="21"/>
              </w:rPr>
            </w:pPr>
            <w:r>
              <w:rPr>
                <w:rFonts w:hint="eastAsia" w:cs="宋体" w:asciiTheme="minorEastAsia" w:hAnsiTheme="minorEastAsia" w:eastAsiaTheme="minorEastAsia"/>
                <w:kern w:val="0"/>
                <w:szCs w:val="21"/>
              </w:rPr>
              <w:t>主要是对重庆市南岸区江溪路安得智联美安仓2号仓约1500m2的仓库，进行仓库监控系统建设，冻库、冷库智能温控系统及报警系统建设，仓库Wi-Fi全覆盖，智能通风系统建设等；提升室外周转筐清洗区和新设仓内洗手池等配套设施等。</w:t>
            </w:r>
          </w:p>
        </w:tc>
      </w:tr>
      <w:tr w14:paraId="0456C2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9073C5F">
            <w:pPr>
              <w:snapToGrid w:val="0"/>
              <w:spacing w:line="400" w:lineRule="exact"/>
              <w:jc w:val="center"/>
              <w:rPr>
                <w:rFonts w:ascii="宋体" w:hAnsi="宋体"/>
                <w:kern w:val="0"/>
                <w:szCs w:val="21"/>
              </w:rPr>
            </w:pPr>
            <w:r>
              <w:rPr>
                <w:rFonts w:ascii="宋体" w:hAnsi="宋体"/>
                <w:kern w:val="0"/>
                <w:szCs w:val="21"/>
              </w:rPr>
              <w:t>1.2.1</w:t>
            </w:r>
          </w:p>
        </w:tc>
        <w:tc>
          <w:tcPr>
            <w:tcW w:w="1644" w:type="dxa"/>
            <w:vAlign w:val="center"/>
          </w:tcPr>
          <w:p w14:paraId="01FBBAB1">
            <w:pPr>
              <w:snapToGrid w:val="0"/>
              <w:spacing w:line="400" w:lineRule="exact"/>
              <w:jc w:val="center"/>
              <w:rPr>
                <w:rFonts w:ascii="宋体" w:hAnsi="宋体"/>
                <w:kern w:val="0"/>
                <w:szCs w:val="21"/>
              </w:rPr>
            </w:pPr>
            <w:r>
              <w:rPr>
                <w:rFonts w:ascii="宋体" w:hAnsi="宋体"/>
                <w:kern w:val="0"/>
                <w:szCs w:val="21"/>
              </w:rPr>
              <w:t>资金来源</w:t>
            </w:r>
          </w:p>
        </w:tc>
        <w:tc>
          <w:tcPr>
            <w:tcW w:w="6490" w:type="dxa"/>
            <w:vAlign w:val="center"/>
          </w:tcPr>
          <w:p w14:paraId="02F4EC26">
            <w:pPr>
              <w:snapToGrid w:val="0"/>
              <w:spacing w:line="400" w:lineRule="exact"/>
              <w:ind w:firstLine="420" w:firstLineChars="200"/>
              <w:rPr>
                <w:rFonts w:ascii="宋体" w:hAnsi="宋体"/>
                <w:szCs w:val="21"/>
              </w:rPr>
            </w:pPr>
            <w:r>
              <w:rPr>
                <w:rFonts w:hint="eastAsia" w:ascii="宋体" w:hAnsi="宋体"/>
                <w:snapToGrid w:val="0"/>
                <w:kern w:val="0"/>
                <w:szCs w:val="21"/>
                <w:u w:val="single"/>
              </w:rPr>
              <w:t xml:space="preserve"> 业主自筹 </w:t>
            </w:r>
          </w:p>
        </w:tc>
      </w:tr>
      <w:tr w14:paraId="2D86C9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2D531ED">
            <w:pPr>
              <w:snapToGrid w:val="0"/>
              <w:spacing w:line="400" w:lineRule="exact"/>
              <w:jc w:val="center"/>
              <w:rPr>
                <w:rFonts w:ascii="宋体" w:hAnsi="宋体"/>
                <w:kern w:val="0"/>
                <w:szCs w:val="21"/>
              </w:rPr>
            </w:pPr>
            <w:r>
              <w:rPr>
                <w:rFonts w:ascii="宋体" w:hAnsi="宋体"/>
                <w:kern w:val="0"/>
                <w:szCs w:val="21"/>
              </w:rPr>
              <w:t>1.2.2</w:t>
            </w:r>
          </w:p>
        </w:tc>
        <w:tc>
          <w:tcPr>
            <w:tcW w:w="1644" w:type="dxa"/>
            <w:vAlign w:val="center"/>
          </w:tcPr>
          <w:p w14:paraId="6EEBA3CD">
            <w:pPr>
              <w:snapToGrid w:val="0"/>
              <w:spacing w:line="400" w:lineRule="exact"/>
              <w:jc w:val="center"/>
              <w:rPr>
                <w:rFonts w:ascii="宋体" w:hAnsi="宋体"/>
                <w:kern w:val="0"/>
                <w:szCs w:val="21"/>
              </w:rPr>
            </w:pPr>
            <w:r>
              <w:rPr>
                <w:rFonts w:ascii="宋体" w:hAnsi="宋体"/>
                <w:kern w:val="0"/>
                <w:szCs w:val="21"/>
              </w:rPr>
              <w:t>出资比例</w:t>
            </w:r>
          </w:p>
        </w:tc>
        <w:tc>
          <w:tcPr>
            <w:tcW w:w="6490" w:type="dxa"/>
            <w:vAlign w:val="center"/>
          </w:tcPr>
          <w:p w14:paraId="2A32BFCE">
            <w:pPr>
              <w:snapToGrid w:val="0"/>
              <w:spacing w:line="400" w:lineRule="exact"/>
              <w:ind w:firstLine="420" w:firstLineChars="200"/>
              <w:jc w:val="left"/>
              <w:rPr>
                <w:rFonts w:ascii="宋体" w:hAnsi="宋体"/>
                <w:szCs w:val="21"/>
              </w:rPr>
            </w:pPr>
            <w:r>
              <w:rPr>
                <w:rFonts w:hint="eastAsia" w:ascii="宋体" w:hAnsi="宋体"/>
                <w:szCs w:val="21"/>
                <w:u w:val="single"/>
              </w:rPr>
              <w:t>100%</w:t>
            </w:r>
          </w:p>
        </w:tc>
      </w:tr>
      <w:tr w14:paraId="04CF25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7F44838">
            <w:pPr>
              <w:snapToGrid w:val="0"/>
              <w:spacing w:line="400" w:lineRule="exact"/>
              <w:jc w:val="center"/>
              <w:rPr>
                <w:rFonts w:ascii="宋体" w:hAnsi="宋体"/>
                <w:kern w:val="0"/>
                <w:szCs w:val="21"/>
              </w:rPr>
            </w:pPr>
            <w:r>
              <w:rPr>
                <w:rFonts w:ascii="宋体" w:hAnsi="宋体"/>
                <w:kern w:val="0"/>
                <w:szCs w:val="21"/>
              </w:rPr>
              <w:t>1.2.3</w:t>
            </w:r>
          </w:p>
        </w:tc>
        <w:tc>
          <w:tcPr>
            <w:tcW w:w="1644" w:type="dxa"/>
            <w:vAlign w:val="center"/>
          </w:tcPr>
          <w:p w14:paraId="3B136ABB">
            <w:pPr>
              <w:snapToGrid w:val="0"/>
              <w:spacing w:line="400" w:lineRule="exact"/>
              <w:jc w:val="center"/>
              <w:rPr>
                <w:rFonts w:ascii="宋体" w:hAnsi="宋体"/>
                <w:kern w:val="0"/>
                <w:szCs w:val="21"/>
              </w:rPr>
            </w:pPr>
            <w:r>
              <w:rPr>
                <w:rFonts w:ascii="宋体" w:hAnsi="宋体"/>
                <w:kern w:val="0"/>
                <w:szCs w:val="21"/>
              </w:rPr>
              <w:t>资金落实情况</w:t>
            </w:r>
          </w:p>
        </w:tc>
        <w:tc>
          <w:tcPr>
            <w:tcW w:w="6490" w:type="dxa"/>
            <w:vAlign w:val="center"/>
          </w:tcPr>
          <w:p w14:paraId="1FC7CE1B">
            <w:pPr>
              <w:snapToGrid w:val="0"/>
              <w:spacing w:line="400" w:lineRule="exact"/>
              <w:ind w:firstLine="420" w:firstLineChars="200"/>
              <w:jc w:val="left"/>
              <w:rPr>
                <w:rFonts w:ascii="宋体" w:hAnsi="宋体"/>
                <w:szCs w:val="21"/>
              </w:rPr>
            </w:pPr>
            <w:r>
              <w:rPr>
                <w:rFonts w:hint="eastAsia" w:ascii="宋体" w:hAnsi="宋体"/>
                <w:szCs w:val="21"/>
                <w:u w:val="single"/>
              </w:rPr>
              <w:t>已落实</w:t>
            </w:r>
          </w:p>
        </w:tc>
      </w:tr>
      <w:tr w14:paraId="2C31B3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D1E51CE">
            <w:pPr>
              <w:snapToGrid w:val="0"/>
              <w:spacing w:line="400" w:lineRule="exact"/>
              <w:jc w:val="center"/>
              <w:rPr>
                <w:rFonts w:ascii="宋体" w:hAnsi="宋体"/>
                <w:kern w:val="0"/>
                <w:szCs w:val="21"/>
              </w:rPr>
            </w:pPr>
            <w:r>
              <w:rPr>
                <w:rFonts w:hint="eastAsia" w:ascii="宋体" w:hAnsi="宋体"/>
                <w:kern w:val="0"/>
                <w:szCs w:val="21"/>
              </w:rPr>
              <w:t>1.3.1</w:t>
            </w:r>
          </w:p>
        </w:tc>
        <w:tc>
          <w:tcPr>
            <w:tcW w:w="1644" w:type="dxa"/>
            <w:vAlign w:val="center"/>
          </w:tcPr>
          <w:p w14:paraId="10399AB5">
            <w:pPr>
              <w:snapToGrid w:val="0"/>
              <w:spacing w:line="400" w:lineRule="exact"/>
              <w:jc w:val="center"/>
              <w:rPr>
                <w:rFonts w:ascii="宋体" w:hAnsi="宋体"/>
                <w:kern w:val="0"/>
                <w:szCs w:val="21"/>
              </w:rPr>
            </w:pPr>
            <w:r>
              <w:rPr>
                <w:rFonts w:hint="eastAsia" w:ascii="宋体" w:hAnsi="宋体"/>
                <w:kern w:val="0"/>
                <w:szCs w:val="21"/>
              </w:rPr>
              <w:t>比选</w:t>
            </w:r>
            <w:r>
              <w:rPr>
                <w:rFonts w:ascii="宋体" w:hAnsi="宋体"/>
                <w:kern w:val="0"/>
                <w:szCs w:val="21"/>
              </w:rPr>
              <w:t>范围</w:t>
            </w:r>
          </w:p>
        </w:tc>
        <w:tc>
          <w:tcPr>
            <w:tcW w:w="6490" w:type="dxa"/>
            <w:vAlign w:val="center"/>
          </w:tcPr>
          <w:p w14:paraId="6183BC70">
            <w:pPr>
              <w:tabs>
                <w:tab w:val="left" w:pos="3840"/>
                <w:tab w:val="left" w:pos="5300"/>
              </w:tabs>
              <w:autoSpaceDE w:val="0"/>
              <w:autoSpaceDN w:val="0"/>
              <w:adjustRightInd w:val="0"/>
              <w:snapToGrid w:val="0"/>
              <w:spacing w:line="460" w:lineRule="exact"/>
              <w:ind w:firstLine="420" w:firstLineChars="200"/>
              <w:jc w:val="left"/>
              <w:rPr>
                <w:rFonts w:ascii="宋体" w:hAnsi="宋体"/>
                <w:i/>
                <w:szCs w:val="21"/>
              </w:rPr>
            </w:pPr>
            <w:r>
              <w:rPr>
                <w:rFonts w:hint="eastAsia" w:ascii="宋体" w:hAnsi="宋体"/>
                <w:snapToGrid w:val="0"/>
                <w:kern w:val="0"/>
                <w:szCs w:val="21"/>
                <w:u w:val="single"/>
              </w:rPr>
              <w:t>具体详见招标人提供的工程量清单、竞争性比选文件以及竞争性比选文件补遗、答疑、澄清中补充的全部工程内容。</w:t>
            </w:r>
          </w:p>
        </w:tc>
      </w:tr>
      <w:tr w14:paraId="15CD31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1EFFBF5">
            <w:pPr>
              <w:snapToGrid w:val="0"/>
              <w:spacing w:line="400" w:lineRule="exact"/>
              <w:jc w:val="center"/>
              <w:rPr>
                <w:rFonts w:ascii="宋体" w:hAnsi="宋体"/>
                <w:kern w:val="0"/>
                <w:szCs w:val="21"/>
              </w:rPr>
            </w:pPr>
            <w:r>
              <w:rPr>
                <w:rFonts w:ascii="宋体" w:hAnsi="宋体"/>
                <w:kern w:val="0"/>
                <w:szCs w:val="21"/>
              </w:rPr>
              <w:t>1.3.2</w:t>
            </w:r>
          </w:p>
        </w:tc>
        <w:tc>
          <w:tcPr>
            <w:tcW w:w="1644" w:type="dxa"/>
            <w:vAlign w:val="center"/>
          </w:tcPr>
          <w:p w14:paraId="587AFDC7">
            <w:pPr>
              <w:snapToGrid w:val="0"/>
              <w:spacing w:line="400" w:lineRule="exact"/>
              <w:jc w:val="center"/>
              <w:rPr>
                <w:rFonts w:ascii="宋体" w:hAnsi="宋体"/>
                <w:kern w:val="0"/>
                <w:szCs w:val="21"/>
              </w:rPr>
            </w:pPr>
            <w:r>
              <w:rPr>
                <w:rFonts w:ascii="宋体" w:hAnsi="宋体"/>
                <w:kern w:val="0"/>
                <w:szCs w:val="21"/>
              </w:rPr>
              <w:t>计划工期</w:t>
            </w:r>
          </w:p>
          <w:p w14:paraId="7E8D7743">
            <w:pPr>
              <w:snapToGrid w:val="0"/>
              <w:spacing w:line="400" w:lineRule="exact"/>
              <w:jc w:val="center"/>
              <w:rPr>
                <w:rFonts w:ascii="宋体" w:hAnsi="宋体"/>
                <w:kern w:val="0"/>
                <w:szCs w:val="21"/>
              </w:rPr>
            </w:pPr>
            <w:r>
              <w:rPr>
                <w:rFonts w:hint="eastAsia" w:ascii="宋体" w:hAnsi="宋体"/>
                <w:kern w:val="0"/>
                <w:szCs w:val="21"/>
              </w:rPr>
              <w:t>缺陷责任期</w:t>
            </w:r>
          </w:p>
        </w:tc>
        <w:tc>
          <w:tcPr>
            <w:tcW w:w="6490" w:type="dxa"/>
            <w:vAlign w:val="center"/>
          </w:tcPr>
          <w:p w14:paraId="2103D457">
            <w:pPr>
              <w:snapToGrid w:val="0"/>
              <w:spacing w:line="400" w:lineRule="exact"/>
              <w:rPr>
                <w:rFonts w:ascii="宋体" w:hAnsi="宋体"/>
                <w:snapToGrid w:val="0"/>
                <w:kern w:val="0"/>
                <w:szCs w:val="21"/>
                <w:u w:val="single"/>
              </w:rPr>
            </w:pPr>
            <w:r>
              <w:rPr>
                <w:rFonts w:hint="eastAsia" w:ascii="宋体" w:hAnsi="宋体"/>
                <w:kern w:val="0"/>
                <w:szCs w:val="21"/>
              </w:rPr>
              <w:t>工期：</w:t>
            </w:r>
            <w:r>
              <w:rPr>
                <w:rFonts w:hint="eastAsia" w:ascii="宋体" w:hAnsi="宋体"/>
                <w:snapToGrid w:val="0"/>
                <w:kern w:val="0"/>
                <w:szCs w:val="21"/>
                <w:u w:val="single"/>
              </w:rPr>
              <w:t xml:space="preserve">  30日历天</w:t>
            </w:r>
          </w:p>
          <w:p w14:paraId="0E71A004">
            <w:pPr>
              <w:snapToGrid w:val="0"/>
              <w:spacing w:line="400" w:lineRule="exact"/>
              <w:rPr>
                <w:rFonts w:ascii="宋体" w:hAnsi="宋体"/>
                <w:kern w:val="0"/>
                <w:szCs w:val="21"/>
              </w:rPr>
            </w:pPr>
            <w:r>
              <w:rPr>
                <w:rFonts w:hint="eastAsia" w:ascii="宋体" w:hAnsi="宋体"/>
                <w:kern w:val="0"/>
                <w:szCs w:val="21"/>
                <w:highlight w:val="none"/>
              </w:rPr>
              <w:t>缺陷责任期：</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24</w:t>
            </w:r>
            <w:r>
              <w:rPr>
                <w:rFonts w:hint="eastAsia" w:ascii="宋体" w:hAnsi="宋体"/>
                <w:snapToGrid w:val="0"/>
                <w:kern w:val="0"/>
                <w:szCs w:val="21"/>
                <w:highlight w:val="none"/>
                <w:u w:val="single"/>
              </w:rPr>
              <w:t xml:space="preserve">  个月</w:t>
            </w:r>
          </w:p>
        </w:tc>
      </w:tr>
      <w:tr w14:paraId="29E824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F58100C">
            <w:pPr>
              <w:snapToGrid w:val="0"/>
              <w:spacing w:line="400" w:lineRule="exact"/>
              <w:jc w:val="center"/>
              <w:rPr>
                <w:rFonts w:ascii="宋体" w:hAnsi="宋体"/>
                <w:kern w:val="0"/>
                <w:szCs w:val="21"/>
              </w:rPr>
            </w:pPr>
            <w:r>
              <w:rPr>
                <w:rFonts w:ascii="宋体" w:hAnsi="宋体"/>
                <w:kern w:val="0"/>
                <w:szCs w:val="21"/>
              </w:rPr>
              <w:t>1.3.3</w:t>
            </w:r>
          </w:p>
        </w:tc>
        <w:tc>
          <w:tcPr>
            <w:tcW w:w="1644" w:type="dxa"/>
            <w:vAlign w:val="center"/>
          </w:tcPr>
          <w:p w14:paraId="0E85AB3B">
            <w:pPr>
              <w:snapToGrid w:val="0"/>
              <w:spacing w:line="400" w:lineRule="exact"/>
              <w:jc w:val="center"/>
              <w:rPr>
                <w:rFonts w:ascii="宋体" w:hAnsi="宋体"/>
                <w:kern w:val="0"/>
                <w:szCs w:val="21"/>
              </w:rPr>
            </w:pPr>
            <w:r>
              <w:rPr>
                <w:rFonts w:ascii="宋体" w:hAnsi="宋体"/>
                <w:kern w:val="0"/>
                <w:szCs w:val="21"/>
              </w:rPr>
              <w:t>质量要求</w:t>
            </w:r>
          </w:p>
        </w:tc>
        <w:tc>
          <w:tcPr>
            <w:tcW w:w="6490" w:type="dxa"/>
            <w:vAlign w:val="center"/>
          </w:tcPr>
          <w:p w14:paraId="386B6316">
            <w:pPr>
              <w:snapToGrid w:val="0"/>
              <w:spacing w:line="400" w:lineRule="exact"/>
              <w:ind w:firstLine="420" w:firstLineChars="200"/>
              <w:rPr>
                <w:rFonts w:ascii="宋体" w:hAnsi="宋体"/>
                <w:szCs w:val="21"/>
              </w:rPr>
            </w:pPr>
            <w:r>
              <w:rPr>
                <w:rFonts w:hint="eastAsia" w:ascii="宋体" w:hAnsi="宋体"/>
                <w:szCs w:val="21"/>
              </w:rPr>
              <w:t>符合强制性质量标准，</w:t>
            </w:r>
            <w:r>
              <w:rPr>
                <w:rFonts w:hint="eastAsia" w:ascii="宋体" w:hAnsi="宋体"/>
                <w:szCs w:val="21"/>
                <w:u w:val="single"/>
              </w:rPr>
              <w:t>符合</w:t>
            </w:r>
            <w:r>
              <w:rPr>
                <w:rFonts w:ascii="宋体" w:hAnsi="宋体"/>
                <w:szCs w:val="21"/>
                <w:u w:val="single"/>
              </w:rPr>
              <w:t>国家和重庆市现行有关施工质量验收规范要求，并达到合格标准</w:t>
            </w:r>
            <w:r>
              <w:rPr>
                <w:rFonts w:ascii="宋体" w:hAnsi="宋体"/>
                <w:szCs w:val="21"/>
              </w:rPr>
              <w:t>。</w:t>
            </w:r>
          </w:p>
        </w:tc>
      </w:tr>
      <w:tr w14:paraId="281F24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86" w:hRule="atLeast"/>
          <w:jc w:val="center"/>
        </w:trPr>
        <w:tc>
          <w:tcPr>
            <w:tcW w:w="1335" w:type="dxa"/>
            <w:vAlign w:val="center"/>
          </w:tcPr>
          <w:p w14:paraId="4C978EC5">
            <w:pPr>
              <w:snapToGrid w:val="0"/>
              <w:spacing w:line="400" w:lineRule="exact"/>
              <w:jc w:val="center"/>
              <w:rPr>
                <w:rFonts w:ascii="宋体" w:hAnsi="宋体"/>
                <w:kern w:val="0"/>
                <w:szCs w:val="21"/>
              </w:rPr>
            </w:pPr>
          </w:p>
          <w:p w14:paraId="3A4F05FF">
            <w:pPr>
              <w:snapToGrid w:val="0"/>
              <w:spacing w:line="400" w:lineRule="exact"/>
              <w:jc w:val="center"/>
              <w:rPr>
                <w:rFonts w:ascii="宋体" w:hAnsi="宋体"/>
                <w:kern w:val="0"/>
                <w:szCs w:val="21"/>
              </w:rPr>
            </w:pPr>
          </w:p>
          <w:p w14:paraId="10D966A8">
            <w:pPr>
              <w:snapToGrid w:val="0"/>
              <w:spacing w:line="400" w:lineRule="exact"/>
              <w:jc w:val="center"/>
              <w:rPr>
                <w:rFonts w:ascii="宋体" w:hAnsi="宋体"/>
                <w:kern w:val="0"/>
                <w:szCs w:val="21"/>
              </w:rPr>
            </w:pPr>
          </w:p>
          <w:p w14:paraId="14B39284">
            <w:pPr>
              <w:snapToGrid w:val="0"/>
              <w:spacing w:line="400" w:lineRule="exact"/>
              <w:jc w:val="center"/>
              <w:rPr>
                <w:rFonts w:ascii="宋体" w:hAnsi="宋体"/>
                <w:kern w:val="0"/>
                <w:szCs w:val="21"/>
              </w:rPr>
            </w:pPr>
          </w:p>
          <w:p w14:paraId="7C8BD25C">
            <w:pPr>
              <w:snapToGrid w:val="0"/>
              <w:spacing w:line="400" w:lineRule="exact"/>
              <w:jc w:val="center"/>
              <w:rPr>
                <w:rFonts w:ascii="宋体" w:hAnsi="宋体"/>
                <w:kern w:val="0"/>
                <w:szCs w:val="21"/>
              </w:rPr>
            </w:pPr>
          </w:p>
          <w:p w14:paraId="73B546F0">
            <w:pPr>
              <w:snapToGrid w:val="0"/>
              <w:spacing w:line="400" w:lineRule="exact"/>
              <w:jc w:val="center"/>
              <w:rPr>
                <w:rFonts w:ascii="宋体" w:hAnsi="宋体"/>
                <w:kern w:val="0"/>
                <w:szCs w:val="21"/>
              </w:rPr>
            </w:pPr>
          </w:p>
          <w:p w14:paraId="54EFC31D">
            <w:pPr>
              <w:snapToGrid w:val="0"/>
              <w:spacing w:line="400" w:lineRule="exact"/>
              <w:jc w:val="center"/>
              <w:rPr>
                <w:rFonts w:ascii="宋体" w:hAnsi="宋体"/>
                <w:kern w:val="0"/>
                <w:szCs w:val="21"/>
              </w:rPr>
            </w:pPr>
          </w:p>
          <w:p w14:paraId="42C30469">
            <w:pPr>
              <w:snapToGrid w:val="0"/>
              <w:spacing w:line="400" w:lineRule="exact"/>
              <w:jc w:val="center"/>
              <w:rPr>
                <w:rFonts w:ascii="宋体" w:hAnsi="宋体"/>
                <w:kern w:val="0"/>
                <w:szCs w:val="21"/>
              </w:rPr>
            </w:pPr>
          </w:p>
          <w:p w14:paraId="5AB47C4A">
            <w:pPr>
              <w:snapToGrid w:val="0"/>
              <w:spacing w:line="400" w:lineRule="exact"/>
              <w:jc w:val="center"/>
              <w:rPr>
                <w:rFonts w:ascii="宋体" w:hAnsi="宋体"/>
                <w:kern w:val="0"/>
                <w:szCs w:val="21"/>
              </w:rPr>
            </w:pPr>
          </w:p>
          <w:p w14:paraId="25F797D5">
            <w:pPr>
              <w:snapToGrid w:val="0"/>
              <w:spacing w:line="400" w:lineRule="exact"/>
              <w:jc w:val="center"/>
              <w:rPr>
                <w:rFonts w:ascii="宋体" w:hAnsi="宋体"/>
                <w:kern w:val="0"/>
                <w:szCs w:val="21"/>
              </w:rPr>
            </w:pPr>
          </w:p>
          <w:p w14:paraId="371B037A">
            <w:pPr>
              <w:snapToGrid w:val="0"/>
              <w:spacing w:line="400" w:lineRule="exact"/>
              <w:jc w:val="center"/>
              <w:rPr>
                <w:rFonts w:ascii="宋体" w:hAnsi="宋体"/>
                <w:kern w:val="0"/>
                <w:szCs w:val="21"/>
              </w:rPr>
            </w:pPr>
          </w:p>
          <w:p w14:paraId="120CC8A6">
            <w:pPr>
              <w:snapToGrid w:val="0"/>
              <w:spacing w:line="400" w:lineRule="exact"/>
              <w:jc w:val="center"/>
              <w:rPr>
                <w:rFonts w:ascii="宋体" w:hAnsi="宋体"/>
                <w:kern w:val="0"/>
                <w:szCs w:val="21"/>
              </w:rPr>
            </w:pPr>
          </w:p>
          <w:p w14:paraId="3A4F32D0">
            <w:pPr>
              <w:snapToGrid w:val="0"/>
              <w:spacing w:line="400" w:lineRule="exact"/>
              <w:jc w:val="center"/>
              <w:rPr>
                <w:rFonts w:ascii="宋体" w:hAnsi="宋体"/>
                <w:kern w:val="0"/>
                <w:szCs w:val="21"/>
              </w:rPr>
            </w:pPr>
          </w:p>
          <w:p w14:paraId="5230D0C5">
            <w:pPr>
              <w:snapToGrid w:val="0"/>
              <w:spacing w:line="400" w:lineRule="exact"/>
              <w:jc w:val="center"/>
              <w:rPr>
                <w:rFonts w:ascii="宋体" w:hAnsi="宋体"/>
                <w:kern w:val="0"/>
                <w:szCs w:val="21"/>
              </w:rPr>
            </w:pPr>
          </w:p>
          <w:p w14:paraId="53DFA878">
            <w:pPr>
              <w:snapToGrid w:val="0"/>
              <w:spacing w:line="400" w:lineRule="exact"/>
              <w:jc w:val="center"/>
              <w:rPr>
                <w:rFonts w:ascii="宋体" w:hAnsi="宋体"/>
                <w:kern w:val="0"/>
                <w:szCs w:val="21"/>
              </w:rPr>
            </w:pPr>
          </w:p>
          <w:p w14:paraId="3A7D3700">
            <w:pPr>
              <w:snapToGrid w:val="0"/>
              <w:spacing w:line="400" w:lineRule="exact"/>
              <w:jc w:val="center"/>
              <w:rPr>
                <w:rFonts w:ascii="宋体" w:hAnsi="宋体"/>
                <w:kern w:val="0"/>
                <w:szCs w:val="21"/>
              </w:rPr>
            </w:pPr>
          </w:p>
          <w:p w14:paraId="07E65668">
            <w:pPr>
              <w:snapToGrid w:val="0"/>
              <w:spacing w:line="400" w:lineRule="exact"/>
              <w:jc w:val="center"/>
              <w:rPr>
                <w:rFonts w:ascii="宋体" w:hAnsi="宋体"/>
                <w:kern w:val="0"/>
                <w:szCs w:val="21"/>
              </w:rPr>
            </w:pPr>
          </w:p>
          <w:p w14:paraId="692030C0">
            <w:pPr>
              <w:snapToGrid w:val="0"/>
              <w:spacing w:line="400" w:lineRule="exact"/>
              <w:jc w:val="center"/>
              <w:rPr>
                <w:rFonts w:ascii="宋体" w:hAnsi="宋体"/>
                <w:kern w:val="0"/>
                <w:szCs w:val="21"/>
              </w:rPr>
            </w:pPr>
            <w:r>
              <w:rPr>
                <w:rFonts w:ascii="宋体" w:hAnsi="宋体"/>
                <w:kern w:val="0"/>
                <w:szCs w:val="21"/>
              </w:rPr>
              <w:t>1.4.1</w:t>
            </w:r>
          </w:p>
          <w:p w14:paraId="7C115146">
            <w:pPr>
              <w:snapToGrid w:val="0"/>
              <w:spacing w:line="400" w:lineRule="exact"/>
              <w:jc w:val="center"/>
              <w:rPr>
                <w:rFonts w:ascii="宋体" w:hAnsi="宋体"/>
                <w:kern w:val="0"/>
                <w:szCs w:val="21"/>
              </w:rPr>
            </w:pPr>
          </w:p>
          <w:p w14:paraId="776E8003">
            <w:pPr>
              <w:snapToGrid w:val="0"/>
              <w:spacing w:line="400" w:lineRule="exact"/>
              <w:jc w:val="center"/>
              <w:rPr>
                <w:rFonts w:ascii="宋体" w:hAnsi="宋体"/>
                <w:kern w:val="0"/>
                <w:szCs w:val="21"/>
              </w:rPr>
            </w:pPr>
          </w:p>
          <w:p w14:paraId="4F41DD65">
            <w:pPr>
              <w:snapToGrid w:val="0"/>
              <w:spacing w:line="400" w:lineRule="exact"/>
              <w:jc w:val="center"/>
              <w:rPr>
                <w:rFonts w:ascii="宋体" w:hAnsi="宋体"/>
                <w:kern w:val="0"/>
                <w:szCs w:val="21"/>
              </w:rPr>
            </w:pPr>
          </w:p>
          <w:p w14:paraId="078A8FBE">
            <w:pPr>
              <w:snapToGrid w:val="0"/>
              <w:spacing w:line="400" w:lineRule="exact"/>
              <w:jc w:val="center"/>
              <w:rPr>
                <w:rFonts w:ascii="宋体" w:hAnsi="宋体"/>
                <w:kern w:val="0"/>
                <w:szCs w:val="21"/>
              </w:rPr>
            </w:pPr>
          </w:p>
          <w:p w14:paraId="55285908">
            <w:pPr>
              <w:snapToGrid w:val="0"/>
              <w:spacing w:line="400" w:lineRule="exact"/>
              <w:jc w:val="center"/>
              <w:rPr>
                <w:rFonts w:ascii="宋体" w:hAnsi="宋体"/>
                <w:kern w:val="0"/>
                <w:szCs w:val="21"/>
              </w:rPr>
            </w:pPr>
          </w:p>
          <w:p w14:paraId="00DBD31C">
            <w:pPr>
              <w:snapToGrid w:val="0"/>
              <w:spacing w:line="400" w:lineRule="exact"/>
              <w:jc w:val="center"/>
              <w:rPr>
                <w:rFonts w:ascii="宋体" w:hAnsi="宋体"/>
                <w:kern w:val="0"/>
                <w:szCs w:val="21"/>
              </w:rPr>
            </w:pPr>
          </w:p>
          <w:p w14:paraId="3412AB01">
            <w:pPr>
              <w:snapToGrid w:val="0"/>
              <w:spacing w:line="400" w:lineRule="exact"/>
              <w:jc w:val="center"/>
              <w:rPr>
                <w:rFonts w:ascii="宋体" w:hAnsi="宋体"/>
                <w:kern w:val="0"/>
                <w:szCs w:val="21"/>
              </w:rPr>
            </w:pPr>
          </w:p>
          <w:p w14:paraId="12A61C49">
            <w:pPr>
              <w:snapToGrid w:val="0"/>
              <w:spacing w:line="400" w:lineRule="exact"/>
              <w:jc w:val="center"/>
              <w:rPr>
                <w:rFonts w:ascii="宋体" w:hAnsi="宋体"/>
                <w:kern w:val="0"/>
                <w:szCs w:val="21"/>
              </w:rPr>
            </w:pPr>
          </w:p>
          <w:p w14:paraId="0366D83D">
            <w:pPr>
              <w:snapToGrid w:val="0"/>
              <w:spacing w:line="400" w:lineRule="exact"/>
              <w:jc w:val="center"/>
              <w:rPr>
                <w:rFonts w:ascii="宋体" w:hAnsi="宋体"/>
                <w:kern w:val="0"/>
                <w:szCs w:val="21"/>
              </w:rPr>
            </w:pPr>
          </w:p>
          <w:p w14:paraId="595DFCED">
            <w:pPr>
              <w:snapToGrid w:val="0"/>
              <w:spacing w:line="400" w:lineRule="exact"/>
              <w:jc w:val="center"/>
              <w:rPr>
                <w:rFonts w:ascii="宋体" w:hAnsi="宋体"/>
                <w:kern w:val="0"/>
                <w:szCs w:val="21"/>
              </w:rPr>
            </w:pPr>
          </w:p>
          <w:p w14:paraId="3613193C">
            <w:pPr>
              <w:snapToGrid w:val="0"/>
              <w:spacing w:line="400" w:lineRule="exact"/>
              <w:jc w:val="center"/>
              <w:rPr>
                <w:rFonts w:ascii="宋体" w:hAnsi="宋体"/>
                <w:kern w:val="0"/>
                <w:szCs w:val="21"/>
              </w:rPr>
            </w:pPr>
          </w:p>
          <w:p w14:paraId="03706312">
            <w:pPr>
              <w:snapToGrid w:val="0"/>
              <w:spacing w:line="400" w:lineRule="exact"/>
              <w:jc w:val="center"/>
              <w:rPr>
                <w:rFonts w:ascii="宋体" w:hAnsi="宋体"/>
                <w:kern w:val="0"/>
                <w:szCs w:val="21"/>
              </w:rPr>
            </w:pPr>
          </w:p>
          <w:p w14:paraId="36C4CBA8">
            <w:pPr>
              <w:snapToGrid w:val="0"/>
              <w:spacing w:line="400" w:lineRule="exact"/>
              <w:jc w:val="center"/>
              <w:rPr>
                <w:rFonts w:ascii="宋体" w:hAnsi="宋体"/>
                <w:kern w:val="0"/>
                <w:szCs w:val="21"/>
              </w:rPr>
            </w:pPr>
          </w:p>
          <w:p w14:paraId="063C60FE">
            <w:pPr>
              <w:snapToGrid w:val="0"/>
              <w:spacing w:line="400" w:lineRule="exact"/>
              <w:jc w:val="center"/>
              <w:rPr>
                <w:rFonts w:ascii="宋体" w:hAnsi="宋体"/>
                <w:kern w:val="0"/>
                <w:szCs w:val="21"/>
              </w:rPr>
            </w:pPr>
          </w:p>
          <w:p w14:paraId="4093473C">
            <w:pPr>
              <w:snapToGrid w:val="0"/>
              <w:spacing w:line="400" w:lineRule="exact"/>
              <w:jc w:val="center"/>
              <w:rPr>
                <w:rFonts w:ascii="宋体" w:hAnsi="宋体"/>
                <w:kern w:val="0"/>
                <w:szCs w:val="21"/>
              </w:rPr>
            </w:pPr>
          </w:p>
          <w:p w14:paraId="0DB2A210">
            <w:pPr>
              <w:snapToGrid w:val="0"/>
              <w:spacing w:line="400" w:lineRule="exact"/>
              <w:jc w:val="center"/>
              <w:rPr>
                <w:rFonts w:ascii="宋体" w:hAnsi="宋体"/>
                <w:kern w:val="0"/>
                <w:szCs w:val="21"/>
              </w:rPr>
            </w:pPr>
          </w:p>
          <w:p w14:paraId="00A36454">
            <w:pPr>
              <w:snapToGrid w:val="0"/>
              <w:spacing w:line="400" w:lineRule="exact"/>
              <w:jc w:val="center"/>
              <w:rPr>
                <w:rFonts w:ascii="宋体" w:hAnsi="宋体"/>
                <w:kern w:val="0"/>
                <w:szCs w:val="21"/>
              </w:rPr>
            </w:pPr>
          </w:p>
          <w:p w14:paraId="34339595">
            <w:pPr>
              <w:snapToGrid w:val="0"/>
              <w:spacing w:line="400" w:lineRule="exact"/>
              <w:jc w:val="center"/>
              <w:rPr>
                <w:rFonts w:ascii="宋体" w:hAnsi="宋体"/>
                <w:kern w:val="0"/>
                <w:szCs w:val="21"/>
              </w:rPr>
            </w:pPr>
          </w:p>
          <w:p w14:paraId="354884D3">
            <w:pPr>
              <w:snapToGrid w:val="0"/>
              <w:spacing w:line="400" w:lineRule="exact"/>
              <w:jc w:val="center"/>
              <w:rPr>
                <w:rFonts w:ascii="宋体" w:hAnsi="宋体"/>
                <w:kern w:val="0"/>
                <w:szCs w:val="21"/>
              </w:rPr>
            </w:pPr>
          </w:p>
          <w:p w14:paraId="4565F23E">
            <w:pPr>
              <w:snapToGrid w:val="0"/>
              <w:spacing w:line="400" w:lineRule="exact"/>
              <w:jc w:val="center"/>
              <w:rPr>
                <w:rFonts w:ascii="宋体" w:hAnsi="宋体"/>
                <w:kern w:val="0"/>
                <w:szCs w:val="21"/>
              </w:rPr>
            </w:pPr>
          </w:p>
          <w:p w14:paraId="72CBA28B">
            <w:pPr>
              <w:snapToGrid w:val="0"/>
              <w:spacing w:line="400" w:lineRule="exact"/>
              <w:jc w:val="center"/>
              <w:rPr>
                <w:rFonts w:ascii="宋体" w:hAnsi="宋体"/>
                <w:kern w:val="0"/>
                <w:szCs w:val="21"/>
              </w:rPr>
            </w:pPr>
            <w:r>
              <w:rPr>
                <w:rFonts w:ascii="宋体" w:hAnsi="宋体"/>
                <w:kern w:val="0"/>
                <w:szCs w:val="21"/>
              </w:rPr>
              <w:t>1.4.1</w:t>
            </w:r>
          </w:p>
          <w:p w14:paraId="3CD34069">
            <w:pPr>
              <w:snapToGrid w:val="0"/>
              <w:spacing w:line="400" w:lineRule="exact"/>
              <w:jc w:val="center"/>
              <w:rPr>
                <w:rFonts w:ascii="宋体" w:hAnsi="宋体"/>
                <w:kern w:val="0"/>
                <w:szCs w:val="21"/>
              </w:rPr>
            </w:pPr>
          </w:p>
          <w:p w14:paraId="7512A2FC">
            <w:pPr>
              <w:snapToGrid w:val="0"/>
              <w:spacing w:line="400" w:lineRule="exact"/>
              <w:jc w:val="center"/>
              <w:rPr>
                <w:rFonts w:ascii="宋体" w:hAnsi="宋体"/>
                <w:kern w:val="0"/>
                <w:szCs w:val="21"/>
              </w:rPr>
            </w:pPr>
          </w:p>
          <w:p w14:paraId="2512B982">
            <w:pPr>
              <w:snapToGrid w:val="0"/>
              <w:spacing w:line="400" w:lineRule="exact"/>
              <w:jc w:val="center"/>
              <w:rPr>
                <w:rFonts w:ascii="宋体" w:hAnsi="宋体"/>
                <w:kern w:val="0"/>
                <w:szCs w:val="21"/>
              </w:rPr>
            </w:pPr>
          </w:p>
          <w:p w14:paraId="69C560C9">
            <w:pPr>
              <w:snapToGrid w:val="0"/>
              <w:spacing w:line="400" w:lineRule="exact"/>
              <w:jc w:val="center"/>
              <w:rPr>
                <w:rFonts w:ascii="宋体" w:hAnsi="宋体"/>
                <w:kern w:val="0"/>
                <w:szCs w:val="21"/>
              </w:rPr>
            </w:pPr>
          </w:p>
          <w:p w14:paraId="36027E62">
            <w:pPr>
              <w:snapToGrid w:val="0"/>
              <w:spacing w:line="400" w:lineRule="exact"/>
              <w:jc w:val="center"/>
              <w:rPr>
                <w:rFonts w:ascii="宋体" w:hAnsi="宋体"/>
                <w:kern w:val="0"/>
                <w:szCs w:val="21"/>
              </w:rPr>
            </w:pPr>
          </w:p>
          <w:p w14:paraId="1E28EF34">
            <w:pPr>
              <w:snapToGrid w:val="0"/>
              <w:spacing w:line="400" w:lineRule="exact"/>
              <w:jc w:val="center"/>
              <w:rPr>
                <w:rFonts w:ascii="宋体" w:hAnsi="宋体"/>
                <w:kern w:val="0"/>
                <w:szCs w:val="21"/>
              </w:rPr>
            </w:pPr>
          </w:p>
          <w:p w14:paraId="60CBBC09">
            <w:pPr>
              <w:snapToGrid w:val="0"/>
              <w:spacing w:line="400" w:lineRule="exact"/>
              <w:jc w:val="center"/>
              <w:rPr>
                <w:rFonts w:ascii="宋体" w:hAnsi="宋体"/>
                <w:kern w:val="0"/>
                <w:szCs w:val="21"/>
              </w:rPr>
            </w:pPr>
          </w:p>
          <w:p w14:paraId="2132A287">
            <w:pPr>
              <w:snapToGrid w:val="0"/>
              <w:spacing w:line="400" w:lineRule="exact"/>
              <w:jc w:val="center"/>
              <w:rPr>
                <w:rFonts w:ascii="宋体" w:hAnsi="宋体"/>
                <w:kern w:val="0"/>
                <w:szCs w:val="21"/>
              </w:rPr>
            </w:pPr>
          </w:p>
          <w:p w14:paraId="721D1D7B">
            <w:pPr>
              <w:snapToGrid w:val="0"/>
              <w:spacing w:line="400" w:lineRule="exact"/>
              <w:jc w:val="center"/>
              <w:rPr>
                <w:rFonts w:ascii="宋体" w:hAnsi="宋体"/>
                <w:kern w:val="0"/>
                <w:szCs w:val="21"/>
              </w:rPr>
            </w:pPr>
          </w:p>
          <w:p w14:paraId="77021DCA">
            <w:pPr>
              <w:snapToGrid w:val="0"/>
              <w:spacing w:line="400" w:lineRule="exact"/>
              <w:rPr>
                <w:rFonts w:ascii="宋体" w:hAnsi="宋体"/>
                <w:kern w:val="0"/>
                <w:szCs w:val="21"/>
              </w:rPr>
            </w:pPr>
          </w:p>
        </w:tc>
        <w:tc>
          <w:tcPr>
            <w:tcW w:w="1644" w:type="dxa"/>
            <w:vAlign w:val="center"/>
          </w:tcPr>
          <w:p w14:paraId="3B0E0753">
            <w:pPr>
              <w:snapToGrid w:val="0"/>
              <w:spacing w:line="400" w:lineRule="exact"/>
              <w:jc w:val="center"/>
              <w:rPr>
                <w:rFonts w:ascii="宋体" w:hAnsi="宋体"/>
                <w:kern w:val="0"/>
                <w:szCs w:val="21"/>
              </w:rPr>
            </w:pPr>
          </w:p>
          <w:p w14:paraId="130482EF">
            <w:pPr>
              <w:snapToGrid w:val="0"/>
              <w:spacing w:line="400" w:lineRule="exact"/>
              <w:jc w:val="center"/>
              <w:rPr>
                <w:rFonts w:ascii="宋体" w:hAnsi="宋体"/>
                <w:kern w:val="0"/>
                <w:szCs w:val="21"/>
              </w:rPr>
            </w:pPr>
          </w:p>
          <w:p w14:paraId="1CF05A17">
            <w:pPr>
              <w:snapToGrid w:val="0"/>
              <w:spacing w:line="400" w:lineRule="exact"/>
              <w:jc w:val="center"/>
              <w:rPr>
                <w:rFonts w:ascii="宋体" w:hAnsi="宋体"/>
                <w:kern w:val="0"/>
                <w:szCs w:val="21"/>
              </w:rPr>
            </w:pPr>
          </w:p>
          <w:p w14:paraId="086E568B">
            <w:pPr>
              <w:snapToGrid w:val="0"/>
              <w:spacing w:line="400" w:lineRule="exact"/>
              <w:jc w:val="center"/>
              <w:rPr>
                <w:rFonts w:ascii="宋体" w:hAnsi="宋体"/>
                <w:kern w:val="0"/>
                <w:szCs w:val="21"/>
              </w:rPr>
            </w:pPr>
          </w:p>
          <w:p w14:paraId="01B46FB5">
            <w:pPr>
              <w:snapToGrid w:val="0"/>
              <w:spacing w:line="400" w:lineRule="exact"/>
              <w:jc w:val="center"/>
              <w:rPr>
                <w:rFonts w:ascii="宋体" w:hAnsi="宋体"/>
                <w:kern w:val="0"/>
                <w:szCs w:val="21"/>
              </w:rPr>
            </w:pPr>
          </w:p>
          <w:p w14:paraId="34939B56">
            <w:pPr>
              <w:snapToGrid w:val="0"/>
              <w:spacing w:line="400" w:lineRule="exact"/>
              <w:jc w:val="center"/>
              <w:rPr>
                <w:rFonts w:ascii="宋体" w:hAnsi="宋体"/>
                <w:kern w:val="0"/>
                <w:szCs w:val="21"/>
              </w:rPr>
            </w:pPr>
          </w:p>
          <w:p w14:paraId="35E457A1">
            <w:pPr>
              <w:snapToGrid w:val="0"/>
              <w:spacing w:line="400" w:lineRule="exact"/>
              <w:jc w:val="center"/>
              <w:rPr>
                <w:rFonts w:ascii="宋体" w:hAnsi="宋体"/>
                <w:kern w:val="0"/>
                <w:szCs w:val="21"/>
              </w:rPr>
            </w:pPr>
          </w:p>
          <w:p w14:paraId="0C2CA004">
            <w:pPr>
              <w:snapToGrid w:val="0"/>
              <w:spacing w:line="400" w:lineRule="exact"/>
              <w:jc w:val="center"/>
              <w:rPr>
                <w:rFonts w:ascii="宋体" w:hAnsi="宋体"/>
                <w:kern w:val="0"/>
                <w:szCs w:val="21"/>
              </w:rPr>
            </w:pPr>
          </w:p>
          <w:p w14:paraId="544E85D4">
            <w:pPr>
              <w:snapToGrid w:val="0"/>
              <w:spacing w:line="400" w:lineRule="exact"/>
              <w:jc w:val="center"/>
              <w:rPr>
                <w:rFonts w:ascii="宋体" w:hAnsi="宋体"/>
                <w:kern w:val="0"/>
                <w:szCs w:val="21"/>
              </w:rPr>
            </w:pPr>
          </w:p>
          <w:p w14:paraId="603FE0FC">
            <w:pPr>
              <w:snapToGrid w:val="0"/>
              <w:spacing w:line="400" w:lineRule="exact"/>
              <w:jc w:val="center"/>
              <w:rPr>
                <w:rFonts w:ascii="宋体" w:hAnsi="宋体"/>
                <w:kern w:val="0"/>
                <w:szCs w:val="21"/>
              </w:rPr>
            </w:pPr>
          </w:p>
          <w:p w14:paraId="2B336053">
            <w:pPr>
              <w:snapToGrid w:val="0"/>
              <w:spacing w:line="400" w:lineRule="exact"/>
              <w:jc w:val="center"/>
              <w:rPr>
                <w:rFonts w:ascii="宋体" w:hAnsi="宋体"/>
                <w:kern w:val="0"/>
                <w:szCs w:val="21"/>
              </w:rPr>
            </w:pPr>
          </w:p>
          <w:p w14:paraId="5293D6F5">
            <w:pPr>
              <w:snapToGrid w:val="0"/>
              <w:spacing w:line="400" w:lineRule="exact"/>
              <w:jc w:val="center"/>
              <w:rPr>
                <w:rFonts w:ascii="宋体" w:hAnsi="宋体"/>
                <w:kern w:val="0"/>
                <w:szCs w:val="21"/>
              </w:rPr>
            </w:pPr>
          </w:p>
          <w:p w14:paraId="6324B1B5">
            <w:pPr>
              <w:snapToGrid w:val="0"/>
              <w:spacing w:line="400" w:lineRule="exact"/>
              <w:jc w:val="center"/>
              <w:rPr>
                <w:rFonts w:ascii="宋体" w:hAnsi="宋体"/>
                <w:kern w:val="0"/>
                <w:szCs w:val="21"/>
              </w:rPr>
            </w:pPr>
          </w:p>
          <w:p w14:paraId="1ECB4A13">
            <w:pPr>
              <w:snapToGrid w:val="0"/>
              <w:spacing w:line="400" w:lineRule="exact"/>
              <w:jc w:val="center"/>
              <w:rPr>
                <w:rFonts w:ascii="宋体" w:hAnsi="宋体"/>
                <w:kern w:val="0"/>
                <w:szCs w:val="21"/>
              </w:rPr>
            </w:pPr>
          </w:p>
          <w:p w14:paraId="11BE4C72">
            <w:pPr>
              <w:snapToGrid w:val="0"/>
              <w:spacing w:line="400" w:lineRule="exact"/>
              <w:jc w:val="center"/>
              <w:rPr>
                <w:rFonts w:ascii="宋体" w:hAnsi="宋体"/>
                <w:kern w:val="0"/>
                <w:szCs w:val="21"/>
              </w:rPr>
            </w:pPr>
          </w:p>
          <w:p w14:paraId="2FAE20C8">
            <w:pPr>
              <w:snapToGrid w:val="0"/>
              <w:spacing w:line="400" w:lineRule="exact"/>
              <w:jc w:val="center"/>
              <w:rPr>
                <w:rFonts w:ascii="宋体" w:hAnsi="宋体"/>
                <w:kern w:val="0"/>
                <w:szCs w:val="21"/>
              </w:rPr>
            </w:pPr>
          </w:p>
          <w:p w14:paraId="53C0E2E3">
            <w:pPr>
              <w:snapToGrid w:val="0"/>
              <w:spacing w:line="400" w:lineRule="exact"/>
              <w:jc w:val="center"/>
              <w:rPr>
                <w:rFonts w:ascii="宋体" w:hAnsi="宋体"/>
                <w:kern w:val="0"/>
                <w:szCs w:val="21"/>
              </w:rPr>
            </w:pPr>
          </w:p>
          <w:p w14:paraId="3ED51138">
            <w:pPr>
              <w:snapToGrid w:val="0"/>
              <w:spacing w:line="400" w:lineRule="exact"/>
              <w:jc w:val="center"/>
              <w:rPr>
                <w:rFonts w:ascii="宋体" w:hAnsi="宋体"/>
                <w:kern w:val="0"/>
                <w:szCs w:val="21"/>
              </w:rPr>
            </w:pPr>
            <w:r>
              <w:rPr>
                <w:rFonts w:hint="eastAsia" w:ascii="宋体" w:hAnsi="宋体"/>
                <w:kern w:val="0"/>
                <w:szCs w:val="21"/>
              </w:rPr>
              <w:t>投标人</w:t>
            </w:r>
            <w:r>
              <w:rPr>
                <w:rFonts w:ascii="宋体" w:hAnsi="宋体"/>
                <w:kern w:val="0"/>
                <w:szCs w:val="21"/>
              </w:rPr>
              <w:t>资质条件、能力和信誉</w:t>
            </w:r>
          </w:p>
          <w:p w14:paraId="5F471EB7">
            <w:pPr>
              <w:snapToGrid w:val="0"/>
              <w:spacing w:line="400" w:lineRule="exact"/>
              <w:jc w:val="center"/>
              <w:rPr>
                <w:rFonts w:ascii="宋体" w:hAnsi="宋体"/>
                <w:kern w:val="0"/>
                <w:szCs w:val="21"/>
              </w:rPr>
            </w:pPr>
          </w:p>
          <w:p w14:paraId="4E4D33E8">
            <w:pPr>
              <w:snapToGrid w:val="0"/>
              <w:spacing w:line="400" w:lineRule="exact"/>
              <w:jc w:val="center"/>
              <w:rPr>
                <w:rFonts w:ascii="宋体" w:hAnsi="宋体"/>
                <w:kern w:val="0"/>
                <w:szCs w:val="21"/>
              </w:rPr>
            </w:pPr>
          </w:p>
          <w:p w14:paraId="4C99BC26">
            <w:pPr>
              <w:snapToGrid w:val="0"/>
              <w:spacing w:line="400" w:lineRule="exact"/>
              <w:jc w:val="center"/>
              <w:rPr>
                <w:rFonts w:ascii="宋体" w:hAnsi="宋体"/>
                <w:kern w:val="0"/>
                <w:szCs w:val="21"/>
              </w:rPr>
            </w:pPr>
          </w:p>
          <w:p w14:paraId="70C88EAC">
            <w:pPr>
              <w:snapToGrid w:val="0"/>
              <w:spacing w:line="400" w:lineRule="exact"/>
              <w:jc w:val="center"/>
              <w:rPr>
                <w:rFonts w:ascii="宋体" w:hAnsi="宋体"/>
                <w:kern w:val="0"/>
                <w:szCs w:val="21"/>
              </w:rPr>
            </w:pPr>
          </w:p>
          <w:p w14:paraId="19F0211F">
            <w:pPr>
              <w:snapToGrid w:val="0"/>
              <w:spacing w:line="400" w:lineRule="exact"/>
              <w:jc w:val="center"/>
              <w:rPr>
                <w:rFonts w:ascii="宋体" w:hAnsi="宋体"/>
                <w:kern w:val="0"/>
                <w:szCs w:val="21"/>
              </w:rPr>
            </w:pPr>
          </w:p>
          <w:p w14:paraId="715176C9">
            <w:pPr>
              <w:snapToGrid w:val="0"/>
              <w:spacing w:line="400" w:lineRule="exact"/>
              <w:jc w:val="center"/>
              <w:rPr>
                <w:rFonts w:ascii="宋体" w:hAnsi="宋体"/>
                <w:kern w:val="0"/>
                <w:szCs w:val="21"/>
              </w:rPr>
            </w:pPr>
          </w:p>
          <w:p w14:paraId="1B77FA60">
            <w:pPr>
              <w:snapToGrid w:val="0"/>
              <w:spacing w:line="400" w:lineRule="exact"/>
              <w:jc w:val="center"/>
              <w:rPr>
                <w:rFonts w:ascii="宋体" w:hAnsi="宋体"/>
                <w:kern w:val="0"/>
                <w:szCs w:val="21"/>
              </w:rPr>
            </w:pPr>
          </w:p>
          <w:p w14:paraId="4661A86F">
            <w:pPr>
              <w:snapToGrid w:val="0"/>
              <w:spacing w:line="400" w:lineRule="exact"/>
              <w:jc w:val="center"/>
              <w:rPr>
                <w:rFonts w:ascii="宋体" w:hAnsi="宋体"/>
                <w:kern w:val="0"/>
                <w:szCs w:val="21"/>
              </w:rPr>
            </w:pPr>
          </w:p>
          <w:p w14:paraId="470CD86C">
            <w:pPr>
              <w:snapToGrid w:val="0"/>
              <w:spacing w:line="400" w:lineRule="exact"/>
              <w:jc w:val="center"/>
              <w:rPr>
                <w:rFonts w:ascii="宋体" w:hAnsi="宋体"/>
                <w:kern w:val="0"/>
                <w:szCs w:val="21"/>
              </w:rPr>
            </w:pPr>
          </w:p>
          <w:p w14:paraId="50BDAB81">
            <w:pPr>
              <w:snapToGrid w:val="0"/>
              <w:spacing w:line="400" w:lineRule="exact"/>
              <w:jc w:val="center"/>
              <w:rPr>
                <w:rFonts w:ascii="宋体" w:hAnsi="宋体"/>
                <w:kern w:val="0"/>
                <w:szCs w:val="21"/>
              </w:rPr>
            </w:pPr>
          </w:p>
          <w:p w14:paraId="1CE25B0A">
            <w:pPr>
              <w:snapToGrid w:val="0"/>
              <w:spacing w:line="400" w:lineRule="exact"/>
              <w:jc w:val="center"/>
              <w:rPr>
                <w:rFonts w:ascii="宋体" w:hAnsi="宋体"/>
                <w:kern w:val="0"/>
                <w:szCs w:val="21"/>
              </w:rPr>
            </w:pPr>
          </w:p>
          <w:p w14:paraId="657AC046">
            <w:pPr>
              <w:snapToGrid w:val="0"/>
              <w:spacing w:line="400" w:lineRule="exact"/>
              <w:jc w:val="center"/>
              <w:rPr>
                <w:rFonts w:ascii="宋体" w:hAnsi="宋体"/>
                <w:kern w:val="0"/>
                <w:szCs w:val="21"/>
              </w:rPr>
            </w:pPr>
          </w:p>
          <w:p w14:paraId="07FE6A3E">
            <w:pPr>
              <w:snapToGrid w:val="0"/>
              <w:spacing w:line="400" w:lineRule="exact"/>
              <w:jc w:val="center"/>
              <w:rPr>
                <w:rFonts w:ascii="宋体" w:hAnsi="宋体"/>
                <w:kern w:val="0"/>
                <w:szCs w:val="21"/>
              </w:rPr>
            </w:pPr>
          </w:p>
          <w:p w14:paraId="35921FD4">
            <w:pPr>
              <w:snapToGrid w:val="0"/>
              <w:spacing w:line="400" w:lineRule="exact"/>
              <w:jc w:val="center"/>
              <w:rPr>
                <w:rFonts w:ascii="宋体" w:hAnsi="宋体"/>
                <w:kern w:val="0"/>
                <w:szCs w:val="21"/>
              </w:rPr>
            </w:pPr>
          </w:p>
          <w:p w14:paraId="49FE07D5">
            <w:pPr>
              <w:snapToGrid w:val="0"/>
              <w:spacing w:line="400" w:lineRule="exact"/>
              <w:jc w:val="center"/>
              <w:rPr>
                <w:rFonts w:ascii="宋体" w:hAnsi="宋体"/>
                <w:kern w:val="0"/>
                <w:szCs w:val="21"/>
              </w:rPr>
            </w:pPr>
          </w:p>
          <w:p w14:paraId="1E27872B">
            <w:pPr>
              <w:snapToGrid w:val="0"/>
              <w:spacing w:line="400" w:lineRule="exact"/>
              <w:jc w:val="center"/>
              <w:rPr>
                <w:rFonts w:ascii="宋体" w:hAnsi="宋体"/>
                <w:kern w:val="0"/>
                <w:szCs w:val="21"/>
              </w:rPr>
            </w:pPr>
          </w:p>
          <w:p w14:paraId="08FFCD72">
            <w:pPr>
              <w:snapToGrid w:val="0"/>
              <w:spacing w:line="400" w:lineRule="exact"/>
              <w:jc w:val="center"/>
              <w:rPr>
                <w:rFonts w:ascii="宋体" w:hAnsi="宋体"/>
                <w:kern w:val="0"/>
                <w:szCs w:val="21"/>
              </w:rPr>
            </w:pPr>
          </w:p>
          <w:p w14:paraId="19527CE9">
            <w:pPr>
              <w:snapToGrid w:val="0"/>
              <w:spacing w:line="400" w:lineRule="exact"/>
              <w:jc w:val="center"/>
              <w:rPr>
                <w:rFonts w:ascii="宋体" w:hAnsi="宋体"/>
                <w:kern w:val="0"/>
                <w:szCs w:val="21"/>
              </w:rPr>
            </w:pPr>
          </w:p>
          <w:p w14:paraId="67DF663E">
            <w:pPr>
              <w:snapToGrid w:val="0"/>
              <w:spacing w:line="400" w:lineRule="exact"/>
              <w:jc w:val="center"/>
              <w:rPr>
                <w:rFonts w:ascii="宋体" w:hAnsi="宋体"/>
                <w:kern w:val="0"/>
                <w:szCs w:val="21"/>
              </w:rPr>
            </w:pPr>
          </w:p>
          <w:p w14:paraId="46DBBF0D">
            <w:pPr>
              <w:snapToGrid w:val="0"/>
              <w:spacing w:line="400" w:lineRule="exact"/>
              <w:jc w:val="center"/>
              <w:rPr>
                <w:rFonts w:ascii="宋体" w:hAnsi="宋体"/>
                <w:kern w:val="0"/>
                <w:szCs w:val="21"/>
              </w:rPr>
            </w:pPr>
          </w:p>
          <w:p w14:paraId="4237EF4E">
            <w:pPr>
              <w:snapToGrid w:val="0"/>
              <w:spacing w:line="400" w:lineRule="exact"/>
              <w:jc w:val="center"/>
              <w:rPr>
                <w:rFonts w:ascii="宋体" w:hAnsi="宋体"/>
                <w:kern w:val="0"/>
                <w:szCs w:val="21"/>
              </w:rPr>
            </w:pPr>
            <w:r>
              <w:rPr>
                <w:rFonts w:hint="eastAsia" w:ascii="宋体" w:hAnsi="宋体"/>
                <w:kern w:val="0"/>
                <w:szCs w:val="21"/>
              </w:rPr>
              <w:t>投标人</w:t>
            </w:r>
            <w:r>
              <w:rPr>
                <w:rFonts w:ascii="宋体" w:hAnsi="宋体"/>
                <w:kern w:val="0"/>
                <w:szCs w:val="21"/>
              </w:rPr>
              <w:t>资质条件、能力和信誉</w:t>
            </w:r>
          </w:p>
          <w:p w14:paraId="1A168A57">
            <w:pPr>
              <w:snapToGrid w:val="0"/>
              <w:spacing w:line="400" w:lineRule="exact"/>
              <w:jc w:val="center"/>
              <w:rPr>
                <w:rFonts w:ascii="宋体" w:hAnsi="宋体"/>
                <w:kern w:val="0"/>
                <w:szCs w:val="21"/>
              </w:rPr>
            </w:pPr>
          </w:p>
          <w:p w14:paraId="4CC96B72">
            <w:pPr>
              <w:snapToGrid w:val="0"/>
              <w:spacing w:line="400" w:lineRule="exact"/>
              <w:rPr>
                <w:rFonts w:ascii="宋体" w:hAnsi="宋体"/>
                <w:kern w:val="0"/>
                <w:szCs w:val="21"/>
              </w:rPr>
            </w:pPr>
          </w:p>
        </w:tc>
        <w:tc>
          <w:tcPr>
            <w:tcW w:w="6490" w:type="dxa"/>
            <w:vAlign w:val="center"/>
          </w:tcPr>
          <w:p w14:paraId="404DD09E">
            <w:pPr>
              <w:autoSpaceDE w:val="0"/>
              <w:autoSpaceDN w:val="0"/>
              <w:adjustRightInd w:val="0"/>
              <w:snapToGrid w:val="0"/>
              <w:spacing w:line="400" w:lineRule="exact"/>
              <w:rPr>
                <w:rFonts w:ascii="宋体" w:hAnsi="宋体"/>
                <w:szCs w:val="21"/>
              </w:rPr>
            </w:pPr>
            <w:bookmarkStart w:id="110" w:name="OLE_LINK1"/>
            <w:r>
              <w:rPr>
                <w:rFonts w:ascii="宋体" w:hAnsi="宋体"/>
                <w:szCs w:val="21"/>
              </w:rPr>
              <w:t>本工程施工招标实行资格后审，</w:t>
            </w:r>
            <w:r>
              <w:rPr>
                <w:rFonts w:hint="eastAsia" w:ascii="宋体" w:hAnsi="宋体"/>
                <w:szCs w:val="21"/>
              </w:rPr>
              <w:t>投标人</w:t>
            </w:r>
            <w:r>
              <w:rPr>
                <w:rFonts w:ascii="宋体" w:hAnsi="宋体"/>
                <w:szCs w:val="21"/>
              </w:rPr>
              <w:t>应</w:t>
            </w:r>
            <w:bookmarkStart w:id="111" w:name="一是"/>
            <w:bookmarkEnd w:id="111"/>
            <w:r>
              <w:rPr>
                <w:rFonts w:ascii="宋体" w:hAnsi="宋体"/>
                <w:szCs w:val="21"/>
              </w:rPr>
              <w:t>具备以下资格条件：</w:t>
            </w:r>
          </w:p>
          <w:bookmarkEnd w:id="110"/>
          <w:p w14:paraId="6EDB264F">
            <w:pPr>
              <w:autoSpaceDE w:val="0"/>
              <w:autoSpaceDN w:val="0"/>
              <w:adjustRightInd w:val="0"/>
              <w:snapToGrid w:val="0"/>
              <w:spacing w:line="400" w:lineRule="exact"/>
              <w:ind w:firstLine="422" w:firstLineChars="200"/>
              <w:rPr>
                <w:rFonts w:ascii="宋体" w:hAnsi="宋体"/>
                <w:b/>
                <w:szCs w:val="21"/>
              </w:rPr>
            </w:pPr>
            <w:r>
              <w:rPr>
                <w:rFonts w:ascii="宋体" w:hAnsi="宋体"/>
                <w:b/>
                <w:szCs w:val="21"/>
              </w:rPr>
              <w:t>1.资质条件、营业执照及安全生产条件</w:t>
            </w:r>
          </w:p>
          <w:p w14:paraId="7883BB49">
            <w:pPr>
              <w:autoSpaceDE w:val="0"/>
              <w:autoSpaceDN w:val="0"/>
              <w:adjustRightInd w:val="0"/>
              <w:snapToGrid w:val="0"/>
              <w:spacing w:line="400" w:lineRule="exact"/>
              <w:ind w:firstLine="420" w:firstLineChars="200"/>
              <w:rPr>
                <w:rFonts w:ascii="宋体" w:hAnsi="宋体"/>
                <w:szCs w:val="21"/>
              </w:rPr>
            </w:pPr>
            <w:r>
              <w:rPr>
                <w:rFonts w:ascii="宋体" w:hAnsi="宋体"/>
                <w:szCs w:val="21"/>
              </w:rPr>
              <w:t>（1）具备建设行政主管部门颁发的有效的</w:t>
            </w:r>
            <w:r>
              <w:rPr>
                <w:rFonts w:hint="eastAsia" w:ascii="宋体" w:hAnsi="宋体"/>
                <w:snapToGrid w:val="0"/>
                <w:kern w:val="0"/>
                <w:szCs w:val="21"/>
                <w:u w:val="single"/>
              </w:rPr>
              <w:t>电子与智能化工程专业承包二级及以上</w:t>
            </w:r>
            <w:r>
              <w:rPr>
                <w:rFonts w:hint="eastAsia" w:ascii="宋体" w:hAnsi="宋体"/>
                <w:szCs w:val="21"/>
              </w:rPr>
              <w:t>资质</w:t>
            </w:r>
            <w:r>
              <w:rPr>
                <w:rFonts w:ascii="宋体" w:hAnsi="宋体"/>
                <w:szCs w:val="21"/>
              </w:rPr>
              <w:t>。</w:t>
            </w:r>
          </w:p>
          <w:p w14:paraId="6FD7CA0D">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投标人</w:t>
            </w:r>
            <w:r>
              <w:rPr>
                <w:rFonts w:ascii="宋体" w:hAnsi="宋体"/>
                <w:szCs w:val="21"/>
              </w:rPr>
              <w:t>须</w:t>
            </w:r>
            <w:r>
              <w:rPr>
                <w:rFonts w:hint="eastAsia" w:ascii="宋体" w:hAnsi="宋体"/>
                <w:szCs w:val="21"/>
              </w:rPr>
              <w:t>在投标文件资格审查部分</w:t>
            </w:r>
            <w:r>
              <w:rPr>
                <w:rFonts w:ascii="宋体" w:hAnsi="宋体"/>
                <w:szCs w:val="21"/>
              </w:rPr>
              <w:t>提供</w:t>
            </w:r>
            <w:r>
              <w:rPr>
                <w:rFonts w:hint="eastAsia" w:ascii="宋体" w:hAnsi="宋体"/>
                <w:szCs w:val="21"/>
              </w:rPr>
              <w:t>有效的资质证书</w:t>
            </w:r>
            <w:r>
              <w:rPr>
                <w:rFonts w:ascii="宋体" w:hAnsi="宋体"/>
                <w:szCs w:val="21"/>
              </w:rPr>
              <w:t>复印件。</w:t>
            </w:r>
          </w:p>
          <w:p w14:paraId="4199B0DA">
            <w:pPr>
              <w:autoSpaceDE w:val="0"/>
              <w:autoSpaceDN w:val="0"/>
              <w:adjustRightInd w:val="0"/>
              <w:snapToGrid w:val="0"/>
              <w:spacing w:line="400" w:lineRule="exact"/>
              <w:ind w:firstLine="420" w:firstLineChars="200"/>
              <w:rPr>
                <w:rFonts w:ascii="宋体" w:hAnsi="宋体"/>
                <w:szCs w:val="21"/>
              </w:rPr>
            </w:pPr>
            <w:r>
              <w:rPr>
                <w:rFonts w:ascii="宋体" w:hAnsi="宋体"/>
                <w:szCs w:val="21"/>
              </w:rPr>
              <w:t>（2）具备有效的营业执照。</w:t>
            </w:r>
          </w:p>
          <w:p w14:paraId="6678131D">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投标人</w:t>
            </w:r>
            <w:r>
              <w:rPr>
                <w:rFonts w:ascii="宋体" w:hAnsi="宋体"/>
                <w:szCs w:val="21"/>
              </w:rPr>
              <w:t>须</w:t>
            </w:r>
            <w:r>
              <w:rPr>
                <w:rFonts w:hint="eastAsia" w:ascii="宋体" w:hAnsi="宋体"/>
                <w:szCs w:val="21"/>
              </w:rPr>
              <w:t>在投标文件资格审查部分</w:t>
            </w:r>
            <w:r>
              <w:rPr>
                <w:rFonts w:ascii="宋体" w:hAnsi="宋体"/>
                <w:szCs w:val="21"/>
              </w:rPr>
              <w:t>提供有效的营业执照复印件。</w:t>
            </w:r>
            <w:r>
              <w:rPr>
                <w:rFonts w:hint="eastAsia" w:ascii="宋体" w:hAnsi="宋体"/>
                <w:szCs w:val="21"/>
              </w:rPr>
              <w:t>注：不得将投标人营业执照记载的经营范围作为评审因素。</w:t>
            </w:r>
          </w:p>
          <w:p w14:paraId="694672DC">
            <w:pPr>
              <w:autoSpaceDE w:val="0"/>
              <w:autoSpaceDN w:val="0"/>
              <w:adjustRightInd w:val="0"/>
              <w:snapToGrid w:val="0"/>
              <w:spacing w:line="400" w:lineRule="exact"/>
              <w:ind w:firstLine="420" w:firstLineChars="200"/>
              <w:rPr>
                <w:rFonts w:ascii="宋体" w:hAnsi="宋体"/>
                <w:i/>
                <w:szCs w:val="21"/>
              </w:rPr>
            </w:pPr>
            <w:r>
              <w:rPr>
                <w:rFonts w:ascii="宋体" w:hAnsi="宋体"/>
                <w:szCs w:val="21"/>
              </w:rPr>
              <w:t>（3）具备建设行政主管部门颁发的有效的安全生产许可证</w:t>
            </w:r>
            <w:r>
              <w:rPr>
                <w:rFonts w:hint="eastAsia" w:ascii="宋体" w:hAnsi="宋体"/>
                <w:szCs w:val="21"/>
              </w:rPr>
              <w:t>。</w:t>
            </w:r>
          </w:p>
          <w:p w14:paraId="2A42D99D">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投标人须在投标文件资格审查部分提供有效的安全生产许可证</w:t>
            </w:r>
            <w:r>
              <w:rPr>
                <w:rFonts w:ascii="宋体" w:hAnsi="宋体"/>
                <w:szCs w:val="21"/>
              </w:rPr>
              <w:t>复印件。</w:t>
            </w:r>
          </w:p>
          <w:p w14:paraId="1AACD29A">
            <w:pPr>
              <w:autoSpaceDE w:val="0"/>
              <w:autoSpaceDN w:val="0"/>
              <w:adjustRightInd w:val="0"/>
              <w:snapToGrid w:val="0"/>
              <w:spacing w:line="400" w:lineRule="exact"/>
              <w:ind w:firstLine="422" w:firstLineChars="200"/>
              <w:rPr>
                <w:rFonts w:ascii="宋体" w:hAnsi="宋体"/>
                <w:b/>
                <w:szCs w:val="21"/>
              </w:rPr>
            </w:pPr>
            <w:r>
              <w:rPr>
                <w:rFonts w:ascii="宋体" w:hAnsi="宋体"/>
                <w:b/>
                <w:szCs w:val="21"/>
              </w:rPr>
              <w:t>2.财务要求</w:t>
            </w:r>
          </w:p>
          <w:p w14:paraId="75E47F84">
            <w:pPr>
              <w:autoSpaceDE w:val="0"/>
              <w:autoSpaceDN w:val="0"/>
              <w:adjustRightInd w:val="0"/>
              <w:snapToGrid w:val="0"/>
              <w:spacing w:line="400" w:lineRule="exact"/>
              <w:ind w:firstLine="420" w:firstLineChars="200"/>
              <w:rPr>
                <w:rFonts w:ascii="宋体" w:hAnsi="宋体"/>
                <w:kern w:val="0"/>
                <w:szCs w:val="21"/>
                <w:u w:val="single"/>
              </w:rPr>
            </w:pPr>
            <w:r>
              <w:rPr>
                <w:rFonts w:hint="eastAsia" w:ascii="宋体" w:hAnsi="宋体"/>
                <w:kern w:val="0"/>
                <w:szCs w:val="21"/>
                <w:u w:val="single"/>
              </w:rPr>
              <w:t xml:space="preserve"> 2023年、 2024年的年度财务状况不亏损。</w:t>
            </w:r>
          </w:p>
          <w:p w14:paraId="3744A164">
            <w:pPr>
              <w:autoSpaceDE w:val="0"/>
              <w:autoSpaceDN w:val="0"/>
              <w:adjustRightInd w:val="0"/>
              <w:snapToGrid w:val="0"/>
              <w:spacing w:line="400" w:lineRule="exact"/>
              <w:ind w:firstLine="420" w:firstLineChars="200"/>
              <w:rPr>
                <w:rFonts w:ascii="宋体" w:hAnsi="宋体"/>
                <w:kern w:val="0"/>
                <w:szCs w:val="21"/>
                <w:u w:val="single"/>
              </w:rPr>
            </w:pPr>
            <w:r>
              <w:rPr>
                <w:rFonts w:hint="eastAsia" w:ascii="宋体" w:hAnsi="宋体"/>
                <w:kern w:val="0"/>
                <w:szCs w:val="21"/>
                <w:u w:val="single"/>
              </w:rPr>
              <w:t>投标人须在投标文件资格审查部分提供经会计师事务所或审计机构出具的合法有效的财务审计报告及财务报表复印件，财务报表须至少包括现金流量表、资产负债表、利润表。</w:t>
            </w:r>
          </w:p>
          <w:p w14:paraId="23E80E80">
            <w:pPr>
              <w:autoSpaceDE w:val="0"/>
              <w:autoSpaceDN w:val="0"/>
              <w:adjustRightInd w:val="0"/>
              <w:snapToGrid w:val="0"/>
              <w:spacing w:line="400" w:lineRule="exact"/>
              <w:ind w:firstLine="422" w:firstLineChars="200"/>
              <w:rPr>
                <w:rFonts w:ascii="宋体" w:hAnsi="宋体"/>
                <w:b/>
                <w:szCs w:val="21"/>
              </w:rPr>
            </w:pPr>
            <w:r>
              <w:rPr>
                <w:rFonts w:ascii="宋体" w:hAnsi="宋体"/>
                <w:b/>
                <w:szCs w:val="21"/>
              </w:rPr>
              <w:t>3.业绩要求</w:t>
            </w:r>
          </w:p>
          <w:p w14:paraId="1757B17B">
            <w:pPr>
              <w:adjustRightInd w:val="0"/>
              <w:snapToGrid w:val="0"/>
              <w:spacing w:line="400" w:lineRule="exact"/>
              <w:ind w:firstLine="420" w:firstLineChars="200"/>
              <w:rPr>
                <w:rFonts w:ascii="宋体" w:hAnsi="宋体"/>
                <w:szCs w:val="21"/>
              </w:rPr>
            </w:pPr>
            <w:r>
              <w:rPr>
                <w:rFonts w:hint="eastAsia" w:ascii="宋体" w:hAnsi="宋体"/>
                <w:szCs w:val="21"/>
              </w:rPr>
              <w:t>投标人在2022年1月1日起至竞标截止日止（以合同签订时间为准</w:t>
            </w:r>
            <w:r>
              <w:rPr>
                <w:rFonts w:hint="eastAsia" w:ascii="宋体" w:hAnsi="宋体"/>
                <w:color w:val="auto"/>
                <w:szCs w:val="21"/>
              </w:rPr>
              <w:t>）</w:t>
            </w:r>
            <w:r>
              <w:rPr>
                <w:rFonts w:hint="eastAsia" w:ascii="宋体" w:hAnsi="宋体"/>
                <w:color w:val="auto"/>
                <w:szCs w:val="21"/>
                <w:highlight w:val="none"/>
              </w:rPr>
              <w:t>，具有不少于</w:t>
            </w:r>
            <w:commentRangeStart w:id="0"/>
            <w:r>
              <w:rPr>
                <w:rFonts w:hint="eastAsia" w:ascii="宋体" w:hAnsi="宋体"/>
                <w:color w:val="auto"/>
                <w:szCs w:val="21"/>
                <w:highlight w:val="none"/>
              </w:rPr>
              <w:t>1</w:t>
            </w:r>
            <w:commentRangeEnd w:id="0"/>
            <w:r>
              <w:rPr>
                <w:rStyle w:val="54"/>
                <w:color w:val="auto"/>
                <w:highlight w:val="none"/>
              </w:rPr>
              <w:commentReference w:id="0"/>
            </w:r>
            <w:r>
              <w:rPr>
                <w:rFonts w:hint="eastAsia" w:ascii="宋体" w:hAnsi="宋体"/>
                <w:color w:val="auto"/>
                <w:szCs w:val="21"/>
                <w:highlight w:val="none"/>
              </w:rPr>
              <w:t>个类似电子与智能化工程业绩。</w:t>
            </w:r>
          </w:p>
          <w:p w14:paraId="1B25DC56">
            <w:pPr>
              <w:adjustRightInd w:val="0"/>
              <w:snapToGrid w:val="0"/>
              <w:spacing w:line="400" w:lineRule="exact"/>
              <w:ind w:firstLine="420" w:firstLineChars="200"/>
              <w:rPr>
                <w:rFonts w:ascii="宋体" w:hAnsi="宋体"/>
                <w:szCs w:val="21"/>
              </w:rPr>
            </w:pPr>
            <w:r>
              <w:rPr>
                <w:rFonts w:hint="eastAsia" w:ascii="宋体" w:hAnsi="宋体"/>
                <w:szCs w:val="21"/>
              </w:rPr>
              <w:t>投标人须在比选文件资格审查部分提供该业绩的合同复印件。不满足上述业绩要求的业绩视为无效。</w:t>
            </w:r>
          </w:p>
          <w:p w14:paraId="65A53980">
            <w:pPr>
              <w:adjustRightInd w:val="0"/>
              <w:snapToGrid w:val="0"/>
              <w:spacing w:line="400" w:lineRule="exact"/>
              <w:ind w:firstLine="420" w:firstLineChars="200"/>
              <w:rPr>
                <w:rFonts w:ascii="宋体" w:hAnsi="宋体"/>
                <w:szCs w:val="21"/>
              </w:rPr>
            </w:pPr>
            <w:r>
              <w:rPr>
                <w:rFonts w:hint="eastAsia" w:ascii="宋体" w:hAnsi="宋体"/>
                <w:szCs w:val="21"/>
              </w:rPr>
              <w:t>注：投标人应对其提供的业绩证明材料的真实性负责。</w:t>
            </w:r>
          </w:p>
          <w:p w14:paraId="1771218D">
            <w:pPr>
              <w:adjustRightInd w:val="0"/>
              <w:snapToGrid w:val="0"/>
              <w:spacing w:line="400" w:lineRule="exact"/>
              <w:ind w:firstLine="422" w:firstLineChars="200"/>
              <w:rPr>
                <w:rFonts w:ascii="宋体" w:hAnsi="宋体"/>
                <w:b/>
                <w:szCs w:val="21"/>
              </w:rPr>
            </w:pPr>
            <w:r>
              <w:rPr>
                <w:rFonts w:hint="eastAsia" w:ascii="宋体" w:hAnsi="宋体"/>
                <w:b/>
                <w:szCs w:val="21"/>
              </w:rPr>
              <w:t>4</w:t>
            </w:r>
            <w:r>
              <w:rPr>
                <w:rFonts w:ascii="宋体" w:hAnsi="宋体"/>
                <w:b/>
                <w:szCs w:val="21"/>
              </w:rPr>
              <w:t>.投标截止日投标资格情况</w:t>
            </w:r>
          </w:p>
          <w:p w14:paraId="6BE869CC">
            <w:pPr>
              <w:snapToGrid w:val="0"/>
              <w:spacing w:line="400" w:lineRule="exact"/>
              <w:ind w:firstLine="420" w:firstLineChars="200"/>
              <w:rPr>
                <w:rFonts w:ascii="宋体" w:hAnsi="宋体"/>
                <w:szCs w:val="21"/>
              </w:rPr>
            </w:pPr>
            <w:r>
              <w:rPr>
                <w:rFonts w:hint="eastAsia" w:ascii="宋体" w:hAnsi="宋体"/>
                <w:szCs w:val="21"/>
              </w:rPr>
              <w:t>投标人自行承诺（格式见第七章投标文件格式）不得存在下列情形之一：</w:t>
            </w:r>
          </w:p>
          <w:p w14:paraId="329B48E4">
            <w:pPr>
              <w:snapToGrid w:val="0"/>
              <w:spacing w:line="400" w:lineRule="exact"/>
              <w:ind w:firstLine="420" w:firstLineChars="200"/>
              <w:jc w:val="left"/>
              <w:rPr>
                <w:rFonts w:ascii="宋体" w:hAnsi="宋体"/>
                <w:szCs w:val="21"/>
              </w:rPr>
            </w:pPr>
            <w:r>
              <w:rPr>
                <w:rFonts w:hint="eastAsia" w:ascii="宋体" w:hAnsi="宋体"/>
                <w:szCs w:val="21"/>
              </w:rPr>
              <w:t>（1）被人民法院列入失信被执行人名单且在被执行期内；</w:t>
            </w:r>
          </w:p>
          <w:p w14:paraId="5E045756">
            <w:pPr>
              <w:snapToGrid w:val="0"/>
              <w:spacing w:line="400" w:lineRule="exact"/>
              <w:ind w:firstLine="420" w:firstLineChars="200"/>
              <w:rPr>
                <w:rFonts w:ascii="宋体" w:hAnsi="宋体"/>
                <w:szCs w:val="21"/>
              </w:rPr>
            </w:pPr>
            <w:r>
              <w:rPr>
                <w:rFonts w:hint="eastAsia" w:ascii="宋体" w:hAnsi="宋体"/>
                <w:szCs w:val="21"/>
              </w:rPr>
              <w:t>（2）被列入《重庆市工程建设领域招标投标信用管理暂行办法》规定的重点关注名单且记分达到12分且在记分有效期内；</w:t>
            </w:r>
          </w:p>
          <w:p w14:paraId="1288E2FD">
            <w:pPr>
              <w:snapToGrid w:val="0"/>
              <w:spacing w:line="400" w:lineRule="exact"/>
              <w:ind w:firstLine="420" w:firstLineChars="200"/>
              <w:rPr>
                <w:rFonts w:ascii="宋体" w:hAnsi="宋体"/>
                <w:szCs w:val="21"/>
              </w:rPr>
            </w:pPr>
            <w:r>
              <w:rPr>
                <w:rFonts w:hint="eastAsia" w:ascii="宋体" w:hAnsi="宋体"/>
                <w:szCs w:val="21"/>
              </w:rPr>
              <w:t>（3）被列入《重庆市工程建设领域招标投标信用管理暂行办法》规定的重庆市工程建设领域招标投标失信惩戒对象名单（以下称黑名单）且在记分有效期内；</w:t>
            </w:r>
          </w:p>
          <w:p w14:paraId="1200D4E4">
            <w:pPr>
              <w:snapToGrid w:val="0"/>
              <w:spacing w:line="400" w:lineRule="exact"/>
              <w:ind w:firstLine="420" w:firstLineChars="200"/>
              <w:rPr>
                <w:rFonts w:ascii="宋体" w:hAnsi="宋体"/>
                <w:szCs w:val="21"/>
              </w:rPr>
            </w:pPr>
            <w:r>
              <w:rPr>
                <w:rFonts w:hint="eastAsia" w:ascii="宋体" w:hAnsi="宋体"/>
                <w:szCs w:val="21"/>
              </w:rPr>
              <w:t>（4）被国家、重庆市（含市或任意区县）有关行政部门处以暂停投标资格行政处罚，且在处罚期限内；</w:t>
            </w:r>
          </w:p>
          <w:p w14:paraId="596417F3">
            <w:pPr>
              <w:snapToGrid w:val="0"/>
              <w:spacing w:line="400" w:lineRule="exact"/>
              <w:ind w:firstLine="420" w:firstLineChars="200"/>
              <w:rPr>
                <w:rFonts w:ascii="宋体" w:hAnsi="宋体"/>
                <w:szCs w:val="21"/>
              </w:rPr>
            </w:pPr>
            <w:r>
              <w:rPr>
                <w:rFonts w:hint="eastAsia" w:ascii="宋体" w:hAnsi="宋体"/>
                <w:szCs w:val="21"/>
              </w:rPr>
              <w:t>（5）被重庆市</w:t>
            </w:r>
            <w:r>
              <w:rPr>
                <w:rFonts w:hint="eastAsia" w:ascii="宋体" w:hAnsi="宋体" w:cs="宋体"/>
                <w:szCs w:val="21"/>
              </w:rPr>
              <w:t>市级有关行业</w:t>
            </w:r>
            <w:r>
              <w:rPr>
                <w:rFonts w:hint="eastAsia" w:ascii="宋体" w:hAnsi="宋体"/>
                <w:szCs w:val="21"/>
              </w:rPr>
              <w:t>主管部门暂停在渝承揽新业务且在暂停期内。</w:t>
            </w:r>
          </w:p>
          <w:p w14:paraId="2458CBAC">
            <w:pPr>
              <w:spacing w:line="400" w:lineRule="exact"/>
              <w:ind w:firstLine="420" w:firstLineChars="200"/>
            </w:pPr>
            <w:r>
              <w:rPr>
                <w:rFonts w:hint="eastAsia"/>
              </w:rPr>
              <w:t>投标人须在投标文件资格审查部分提供承诺。</w:t>
            </w:r>
          </w:p>
          <w:p w14:paraId="4D498ACE">
            <w:pPr>
              <w:snapToGrid w:val="0"/>
              <w:spacing w:line="400" w:lineRule="exact"/>
              <w:ind w:firstLine="422" w:firstLineChars="200"/>
              <w:rPr>
                <w:rFonts w:ascii="宋体" w:hAnsi="宋体"/>
                <w:b/>
                <w:szCs w:val="21"/>
              </w:rPr>
            </w:pPr>
            <w:r>
              <w:rPr>
                <w:rFonts w:ascii="宋体" w:hAnsi="宋体"/>
                <w:b/>
                <w:szCs w:val="21"/>
              </w:rPr>
              <w:t>5.项目经理资格要求</w:t>
            </w:r>
          </w:p>
          <w:p w14:paraId="5690B186">
            <w:pPr>
              <w:snapToGrid w:val="0"/>
              <w:spacing w:line="400" w:lineRule="exact"/>
              <w:ind w:firstLine="420" w:firstLineChars="200"/>
              <w:rPr>
                <w:rFonts w:ascii="宋体" w:hAnsi="宋体"/>
                <w:szCs w:val="21"/>
              </w:rPr>
            </w:pPr>
            <w:r>
              <w:rPr>
                <w:rFonts w:hint="eastAsia" w:ascii="宋体" w:hAnsi="宋体"/>
                <w:szCs w:val="21"/>
              </w:rPr>
              <w:t>5.1</w:t>
            </w:r>
            <w:r>
              <w:rPr>
                <w:rFonts w:hint="eastAsia" w:ascii="宋体" w:hAnsi="宋体"/>
                <w:kern w:val="0"/>
                <w:szCs w:val="21"/>
              </w:rPr>
              <w:t>投标人</w:t>
            </w:r>
            <w:r>
              <w:rPr>
                <w:rFonts w:hint="eastAsia"/>
                <w:szCs w:val="21"/>
              </w:rPr>
              <w:t>拟派的</w:t>
            </w:r>
            <w:r>
              <w:rPr>
                <w:szCs w:val="21"/>
              </w:rPr>
              <w:t>项目经理必须已在</w:t>
            </w:r>
            <w:r>
              <w:rPr>
                <w:rFonts w:hint="eastAsia" w:ascii="宋体" w:hAnsi="宋体"/>
                <w:kern w:val="0"/>
                <w:szCs w:val="21"/>
              </w:rPr>
              <w:t>投标人</w:t>
            </w:r>
            <w:r>
              <w:rPr>
                <w:rFonts w:hint="eastAsia"/>
                <w:szCs w:val="21"/>
              </w:rPr>
              <w:t>本</w:t>
            </w:r>
            <w:r>
              <w:rPr>
                <w:szCs w:val="21"/>
              </w:rPr>
              <w:t>单位注册并应具有</w:t>
            </w:r>
            <w:r>
              <w:rPr>
                <w:szCs w:val="21"/>
                <w:u w:val="single"/>
              </w:rPr>
              <w:t xml:space="preserve"> </w:t>
            </w:r>
            <w:r>
              <w:rPr>
                <w:rFonts w:hint="eastAsia"/>
                <w:szCs w:val="21"/>
                <w:u w:val="single"/>
              </w:rPr>
              <w:t xml:space="preserve">   建筑 </w:t>
            </w:r>
            <w:r>
              <w:rPr>
                <w:rFonts w:hint="eastAsia"/>
                <w:szCs w:val="21"/>
              </w:rPr>
              <w:t>专业</w:t>
            </w:r>
            <w:r>
              <w:rPr>
                <w:szCs w:val="21"/>
                <w:u w:val="single"/>
              </w:rPr>
              <w:t xml:space="preserve"> </w:t>
            </w:r>
            <w:r>
              <w:rPr>
                <w:rFonts w:hint="eastAsia"/>
                <w:szCs w:val="21"/>
                <w:u w:val="single"/>
              </w:rPr>
              <w:t>二</w:t>
            </w:r>
            <w:r>
              <w:rPr>
                <w:szCs w:val="21"/>
                <w:u w:val="single"/>
              </w:rPr>
              <w:t>级及以上</w:t>
            </w:r>
            <w:r>
              <w:rPr>
                <w:szCs w:val="21"/>
              </w:rPr>
              <w:t>注册建造师</w:t>
            </w:r>
            <w:r>
              <w:rPr>
                <w:rFonts w:hint="eastAsia"/>
                <w:szCs w:val="21"/>
              </w:rPr>
              <w:t>或</w:t>
            </w:r>
            <w:r>
              <w:rPr>
                <w:rFonts w:hint="eastAsia"/>
                <w:szCs w:val="21"/>
                <w:u w:val="single"/>
              </w:rPr>
              <w:t>机电</w:t>
            </w:r>
            <w:r>
              <w:rPr>
                <w:rFonts w:hint="eastAsia"/>
                <w:szCs w:val="21"/>
              </w:rPr>
              <w:t>专业</w:t>
            </w:r>
            <w:r>
              <w:rPr>
                <w:rFonts w:hint="eastAsia"/>
                <w:szCs w:val="21"/>
                <w:u w:val="single"/>
              </w:rPr>
              <w:t>二级及以上</w:t>
            </w:r>
            <w:r>
              <w:rPr>
                <w:rFonts w:hint="eastAsia"/>
                <w:szCs w:val="21"/>
              </w:rPr>
              <w:t>注册建造师</w:t>
            </w:r>
            <w:r>
              <w:rPr>
                <w:szCs w:val="21"/>
              </w:rPr>
              <w:t>执业</w:t>
            </w:r>
            <w:r>
              <w:rPr>
                <w:rFonts w:ascii="宋体" w:hAnsi="宋体"/>
                <w:szCs w:val="21"/>
              </w:rPr>
              <w:t>资格</w:t>
            </w:r>
            <w:r>
              <w:rPr>
                <w:rFonts w:hint="eastAsia" w:ascii="宋体" w:hAnsi="宋体"/>
                <w:szCs w:val="21"/>
              </w:rPr>
              <w:t>。</w:t>
            </w:r>
          </w:p>
          <w:p w14:paraId="2EE6847E">
            <w:pPr>
              <w:snapToGrid w:val="0"/>
              <w:spacing w:line="400" w:lineRule="exact"/>
              <w:ind w:firstLine="420" w:firstLineChars="200"/>
              <w:jc w:val="left"/>
              <w:rPr>
                <w:rFonts w:ascii="宋体" w:hAnsi="宋体"/>
                <w:szCs w:val="21"/>
              </w:rPr>
            </w:pPr>
            <w:r>
              <w:rPr>
                <w:rFonts w:hint="eastAsia" w:ascii="宋体" w:hAnsi="宋体"/>
                <w:szCs w:val="21"/>
              </w:rPr>
              <w:t>5.2项目经理承诺要求：投标人须承诺拟派项目经理按注册建造师的相关规定到岗履职和未被禁止参与投标。</w:t>
            </w:r>
          </w:p>
          <w:p w14:paraId="32F6DD90">
            <w:pPr>
              <w:snapToGrid w:val="0"/>
              <w:spacing w:line="400" w:lineRule="exact"/>
              <w:ind w:firstLine="420" w:firstLineChars="200"/>
              <w:rPr>
                <w:rFonts w:ascii="宋体" w:hAnsi="宋体"/>
              </w:rPr>
            </w:pPr>
            <w:r>
              <w:rPr>
                <w:rFonts w:ascii="宋体" w:hAnsi="宋体"/>
              </w:rPr>
              <w:t>5.2.1到岗履职承诺要求：承诺拟派项目经理中标后在本项目任职，签订合同时拟派的项目经理必须与</w:t>
            </w:r>
            <w:r>
              <w:rPr>
                <w:rFonts w:hint="eastAsia" w:ascii="宋体" w:hAnsi="宋体"/>
                <w:kern w:val="0"/>
                <w:szCs w:val="21"/>
              </w:rPr>
              <w:t>投标</w:t>
            </w:r>
            <w:r>
              <w:rPr>
                <w:rFonts w:ascii="宋体" w:hAnsi="宋体"/>
              </w:rPr>
              <w:t>文件中的项目经理一致，并满足办理施工许可手续的相关要求。不能按承诺到岗履约的，按合同相关条款处罚并上报行政主管部门，给招标人造成损失的，</w:t>
            </w:r>
            <w:r>
              <w:rPr>
                <w:rFonts w:hint="eastAsia" w:ascii="宋体" w:hAnsi="宋体"/>
                <w:kern w:val="0"/>
                <w:szCs w:val="21"/>
              </w:rPr>
              <w:t>投标人</w:t>
            </w:r>
            <w:r>
              <w:rPr>
                <w:rFonts w:ascii="宋体" w:hAnsi="宋体"/>
              </w:rPr>
              <w:t>依法承担违约赔偿责任。拟派项目经理中标后不得随意更换。</w:t>
            </w:r>
          </w:p>
          <w:p w14:paraId="1164B611">
            <w:pPr>
              <w:snapToGrid w:val="0"/>
              <w:spacing w:line="400" w:lineRule="exact"/>
              <w:ind w:firstLine="420" w:firstLineChars="200"/>
              <w:rPr>
                <w:rFonts w:ascii="宋体" w:hAnsi="宋体"/>
              </w:rPr>
            </w:pPr>
            <w:r>
              <w:rPr>
                <w:rFonts w:ascii="宋体" w:hAnsi="宋体"/>
              </w:rPr>
              <w:t>5.2.2未被禁止参与投标承诺要求：承诺拟派项目经理未被重庆市</w:t>
            </w:r>
            <w:r>
              <w:rPr>
                <w:rFonts w:hint="eastAsia" w:ascii="宋体" w:hAnsi="宋体"/>
              </w:rPr>
              <w:t>市级有关行业</w:t>
            </w:r>
            <w:r>
              <w:rPr>
                <w:rFonts w:ascii="宋体" w:hAnsi="宋体"/>
              </w:rPr>
              <w:t>主管部门暂停在渝承揽新业务。若被暂停在渝承揽新业务但仍参加投标，将被否决投标；已取得中标候选人资格或中标资格的，</w:t>
            </w:r>
            <w:r>
              <w:rPr>
                <w:rFonts w:hint="eastAsia" w:ascii="宋体" w:hAnsi="宋体"/>
              </w:rPr>
              <w:t>比选</w:t>
            </w:r>
            <w:r>
              <w:rPr>
                <w:rFonts w:ascii="宋体" w:hAnsi="宋体"/>
              </w:rPr>
              <w:t>人有权取消其中标候选人资格或中标资格；给</w:t>
            </w:r>
            <w:r>
              <w:rPr>
                <w:rFonts w:hint="eastAsia" w:ascii="宋体" w:hAnsi="宋体"/>
              </w:rPr>
              <w:t>比选</w:t>
            </w:r>
            <w:r>
              <w:rPr>
                <w:rFonts w:ascii="宋体" w:hAnsi="宋体"/>
              </w:rPr>
              <w:t>人造成损失的，投标人依法承担违约赔偿责任。</w:t>
            </w:r>
          </w:p>
          <w:p w14:paraId="42AE82F6">
            <w:pPr>
              <w:snapToGrid w:val="0"/>
              <w:spacing w:line="400" w:lineRule="exact"/>
              <w:ind w:firstLine="420" w:firstLineChars="200"/>
              <w:rPr>
                <w:rFonts w:ascii="宋体" w:hAnsi="宋体"/>
              </w:rPr>
            </w:pPr>
            <w:r>
              <w:rPr>
                <w:rFonts w:ascii="宋体" w:hAnsi="宋体"/>
              </w:rPr>
              <w:t>5.2.3项目经理的其它承诺要求：为保证</w:t>
            </w:r>
            <w:r>
              <w:rPr>
                <w:rFonts w:hint="eastAsia" w:ascii="宋体" w:hAnsi="宋体"/>
                <w:kern w:val="0"/>
                <w:szCs w:val="21"/>
              </w:rPr>
              <w:t>投标人</w:t>
            </w:r>
            <w:r>
              <w:rPr>
                <w:rFonts w:ascii="宋体" w:hAnsi="宋体"/>
              </w:rPr>
              <w:t>拟派的项目经理到本项目到岗履职，</w:t>
            </w:r>
            <w:r>
              <w:rPr>
                <w:rFonts w:hint="eastAsia" w:ascii="宋体" w:hAnsi="宋体"/>
                <w:kern w:val="0"/>
                <w:szCs w:val="21"/>
              </w:rPr>
              <w:t>投标人</w:t>
            </w:r>
            <w:r>
              <w:rPr>
                <w:rFonts w:ascii="宋体" w:hAnsi="宋体"/>
              </w:rPr>
              <w:t>还需承诺：</w:t>
            </w:r>
          </w:p>
          <w:p w14:paraId="07D0DCD0">
            <w:pPr>
              <w:snapToGrid w:val="0"/>
              <w:spacing w:line="400" w:lineRule="exact"/>
              <w:ind w:firstLine="420" w:firstLineChars="200"/>
              <w:rPr>
                <w:rFonts w:ascii="宋体" w:hAnsi="宋体"/>
              </w:rPr>
            </w:pPr>
            <w:r>
              <w:rPr>
                <w:rFonts w:ascii="宋体" w:hAnsi="宋体"/>
              </w:rPr>
              <w:t>若</w:t>
            </w:r>
            <w:r>
              <w:rPr>
                <w:rFonts w:hint="eastAsia" w:ascii="宋体" w:hAnsi="宋体"/>
              </w:rPr>
              <w:t>投标人</w:t>
            </w:r>
            <w:r>
              <w:rPr>
                <w:rFonts w:ascii="宋体" w:hAnsi="宋体"/>
              </w:rPr>
              <w:t>拟派本项目的项目经理有在其他项目任职的情形的（或有在其他项目中标或拟中标的情形的），应在收到中标通知书后</w:t>
            </w:r>
            <w:r>
              <w:rPr>
                <w:rFonts w:ascii="宋体" w:hAnsi="宋体"/>
                <w:u w:val="single"/>
              </w:rPr>
              <w:t xml:space="preserve"> 14 </w:t>
            </w:r>
            <w:r>
              <w:rPr>
                <w:rFonts w:ascii="宋体" w:hAnsi="宋体"/>
              </w:rPr>
              <w:t>日（7～30日）内，办理完成放弃在其他项目任职的手续（或办理完成放弃在其他项目中标或拟中标的手续），招标人在合同签订前有权对</w:t>
            </w:r>
            <w:r>
              <w:rPr>
                <w:rFonts w:hint="eastAsia" w:ascii="宋体" w:hAnsi="宋体"/>
              </w:rPr>
              <w:t>投标人</w:t>
            </w:r>
            <w:r>
              <w:rPr>
                <w:rFonts w:ascii="宋体" w:hAnsi="宋体"/>
              </w:rPr>
              <w:t>拟派项目经理在其他项目的任职情形（或在其他项目的中标或拟中标情形）进行核查，若与</w:t>
            </w:r>
            <w:r>
              <w:rPr>
                <w:rFonts w:hint="eastAsia" w:ascii="宋体" w:hAnsi="宋体"/>
              </w:rPr>
              <w:t>投标人</w:t>
            </w:r>
            <w:r>
              <w:rPr>
                <w:rFonts w:ascii="宋体" w:hAnsi="宋体"/>
              </w:rPr>
              <w:t>承诺内容不符或</w:t>
            </w:r>
            <w:r>
              <w:rPr>
                <w:rFonts w:hint="eastAsia" w:ascii="宋体" w:hAnsi="宋体"/>
                <w:kern w:val="0"/>
                <w:szCs w:val="21"/>
              </w:rPr>
              <w:t>投标人</w:t>
            </w:r>
            <w:r>
              <w:rPr>
                <w:rFonts w:ascii="宋体" w:hAnsi="宋体"/>
              </w:rPr>
              <w:t>未在上述时间内按照</w:t>
            </w:r>
            <w:r>
              <w:rPr>
                <w:rFonts w:hint="eastAsia" w:ascii="宋体" w:hAnsi="宋体"/>
              </w:rPr>
              <w:t>比选</w:t>
            </w:r>
            <w:r>
              <w:rPr>
                <w:rFonts w:ascii="宋体" w:hAnsi="宋体"/>
              </w:rPr>
              <w:t>文件规定递交放弃在其他项目任职、中标或拟中标的相关资料，视为</w:t>
            </w:r>
            <w:r>
              <w:rPr>
                <w:rFonts w:hint="eastAsia" w:ascii="宋体" w:hAnsi="宋体"/>
                <w:kern w:val="0"/>
                <w:szCs w:val="21"/>
              </w:rPr>
              <w:t>投标人</w:t>
            </w:r>
            <w:r>
              <w:rPr>
                <w:rFonts w:ascii="宋体" w:hAnsi="宋体"/>
              </w:rPr>
              <w:t>放弃中标资格，</w:t>
            </w:r>
            <w:r>
              <w:rPr>
                <w:rFonts w:hint="eastAsia" w:ascii="宋体" w:hAnsi="宋体"/>
              </w:rPr>
              <w:t>比选</w:t>
            </w:r>
            <w:r>
              <w:rPr>
                <w:rFonts w:ascii="宋体" w:hAnsi="宋体"/>
              </w:rPr>
              <w:t>人不退还其</w:t>
            </w:r>
            <w:r>
              <w:rPr>
                <w:rFonts w:hint="eastAsia" w:ascii="宋体" w:hAnsi="宋体"/>
              </w:rPr>
              <w:t>投标</w:t>
            </w:r>
            <w:r>
              <w:rPr>
                <w:rFonts w:ascii="宋体" w:hAnsi="宋体"/>
              </w:rPr>
              <w:t>保证金。在合同签订时，</w:t>
            </w:r>
            <w:r>
              <w:rPr>
                <w:rFonts w:hint="eastAsia" w:ascii="宋体" w:hAnsi="宋体"/>
                <w:kern w:val="0"/>
                <w:szCs w:val="21"/>
              </w:rPr>
              <w:t>投标人</w:t>
            </w:r>
            <w:r>
              <w:rPr>
                <w:rFonts w:ascii="宋体" w:hAnsi="宋体"/>
              </w:rPr>
              <w:t>需确保拟派项目经理符合《建筑施工企业项目经理资质管理办法》规定的项目经理任职条件，否则视为</w:t>
            </w:r>
            <w:r>
              <w:rPr>
                <w:rFonts w:hint="eastAsia" w:ascii="宋体" w:hAnsi="宋体"/>
                <w:kern w:val="0"/>
                <w:szCs w:val="21"/>
              </w:rPr>
              <w:t>投标人</w:t>
            </w:r>
            <w:r>
              <w:rPr>
                <w:rFonts w:ascii="宋体" w:hAnsi="宋体"/>
              </w:rPr>
              <w:t>放弃中标资格，</w:t>
            </w:r>
            <w:r>
              <w:rPr>
                <w:rFonts w:hint="eastAsia" w:ascii="宋体" w:hAnsi="宋体"/>
              </w:rPr>
              <w:t>比选</w:t>
            </w:r>
            <w:r>
              <w:rPr>
                <w:rFonts w:ascii="宋体" w:hAnsi="宋体"/>
              </w:rPr>
              <w:t>人不退还其投标保证金。</w:t>
            </w:r>
          </w:p>
          <w:p w14:paraId="734425ED">
            <w:pPr>
              <w:snapToGrid w:val="0"/>
              <w:spacing w:line="400" w:lineRule="exact"/>
              <w:ind w:firstLine="420" w:firstLineChars="200"/>
              <w:rPr>
                <w:rFonts w:ascii="宋体" w:hAnsi="宋体"/>
              </w:rPr>
            </w:pPr>
            <w:r>
              <w:rPr>
                <w:rFonts w:ascii="宋体" w:hAnsi="宋体"/>
              </w:rPr>
              <w:t>放弃在其他项目任职的需提供：①经业主或建设单位同意任职变更的文件；②负责项目监管的行业行政主管部门出具同意任职变更的证明材料。</w:t>
            </w:r>
          </w:p>
          <w:p w14:paraId="11159F89">
            <w:pPr>
              <w:snapToGrid w:val="0"/>
              <w:spacing w:line="400" w:lineRule="exact"/>
              <w:ind w:firstLine="420" w:firstLineChars="200"/>
              <w:rPr>
                <w:rFonts w:ascii="宋体" w:hAnsi="宋体"/>
              </w:rPr>
            </w:pPr>
            <w:r>
              <w:rPr>
                <w:rFonts w:ascii="宋体" w:hAnsi="宋体"/>
              </w:rPr>
              <w:t>放弃在其他项目中标或拟中标的需提供：①经中标或拟中标的其他项目建设单位同意的放弃中标函</w:t>
            </w:r>
            <w:r>
              <w:rPr>
                <w:rFonts w:hint="eastAsia" w:ascii="宋体" w:hAnsi="宋体"/>
              </w:rPr>
              <w:t>。</w:t>
            </w:r>
          </w:p>
          <w:p w14:paraId="652FF947">
            <w:pPr>
              <w:snapToGrid w:val="0"/>
              <w:spacing w:line="400" w:lineRule="exact"/>
              <w:ind w:firstLine="420" w:firstLineChars="200"/>
              <w:rPr>
                <w:rFonts w:ascii="宋体" w:hAnsi="宋体"/>
                <w:szCs w:val="21"/>
              </w:rPr>
            </w:pPr>
            <w:r>
              <w:rPr>
                <w:rFonts w:hint="eastAsia" w:ascii="宋体" w:hAnsi="宋体"/>
              </w:rPr>
              <w:t>5.2.4未提供上述承诺或承诺内容不符合要求的，由评标委员会作否决投标处理</w:t>
            </w:r>
            <w:r>
              <w:rPr>
                <w:rFonts w:ascii="宋体" w:hAnsi="宋体"/>
              </w:rPr>
              <w:t>。</w:t>
            </w:r>
          </w:p>
          <w:p w14:paraId="39285D88">
            <w:pPr>
              <w:snapToGrid w:val="0"/>
              <w:spacing w:line="400" w:lineRule="exact"/>
              <w:ind w:firstLine="420" w:firstLineChars="200"/>
              <w:rPr>
                <w:rFonts w:ascii="宋体" w:hAnsi="宋体"/>
                <w:kern w:val="0"/>
                <w:szCs w:val="21"/>
              </w:rPr>
            </w:pPr>
            <w:r>
              <w:rPr>
                <w:rFonts w:hint="eastAsia" w:ascii="宋体" w:hAnsi="宋体"/>
                <w:kern w:val="0"/>
                <w:szCs w:val="21"/>
              </w:rPr>
              <w:t>投标人须在投标文件资格审查部分提供有效的拟派项目经理建造师注册证、身份证、投标人为其缴纳的养老保险证明材料复印件，拟派项目经理到岗履职和未被禁止参与投标的承诺原件（承诺格式见第七章投标文件格式）。</w:t>
            </w:r>
          </w:p>
          <w:p w14:paraId="62441530">
            <w:pPr>
              <w:snapToGrid w:val="0"/>
              <w:spacing w:line="400" w:lineRule="exact"/>
              <w:ind w:firstLine="420" w:firstLineChars="200"/>
              <w:rPr>
                <w:rFonts w:ascii="宋体" w:hAnsi="宋体"/>
                <w:kern w:val="0"/>
                <w:szCs w:val="21"/>
              </w:rPr>
            </w:pPr>
            <w:r>
              <w:rPr>
                <w:rFonts w:hint="eastAsia" w:ascii="宋体" w:hAnsi="宋体"/>
                <w:kern w:val="0"/>
                <w:szCs w:val="21"/>
              </w:rPr>
              <w:t>注：（1）提供拟派的项目经理为一级建造师或重庆市二级建造师注册人员的，必须提供建造师电子注册证书，且该建造师电子注册证书须由建造师本人在个人签名处手写本人签名。</w:t>
            </w:r>
          </w:p>
          <w:p w14:paraId="691689EB">
            <w:pPr>
              <w:snapToGrid w:val="0"/>
              <w:spacing w:line="400" w:lineRule="exact"/>
              <w:ind w:firstLine="420" w:firstLineChars="200"/>
              <w:rPr>
                <w:rFonts w:ascii="宋体" w:hAnsi="宋体"/>
                <w:kern w:val="0"/>
                <w:szCs w:val="21"/>
              </w:rPr>
            </w:pPr>
            <w:r>
              <w:rPr>
                <w:rFonts w:hint="eastAsia" w:ascii="宋体" w:hAnsi="宋体"/>
                <w:kern w:val="0"/>
                <w:szCs w:val="21"/>
              </w:rPr>
              <w:t>（2）重庆市以外的省级住房城乡建设主管部门对二级建造师电子注册证书使用有明确规定的，从其规定。未规定使用电子注册证书的，可提供纸质证书扫描件。</w:t>
            </w:r>
          </w:p>
          <w:p w14:paraId="36B7BA2A">
            <w:pPr>
              <w:autoSpaceDE w:val="0"/>
              <w:autoSpaceDN w:val="0"/>
              <w:adjustRightInd w:val="0"/>
              <w:snapToGrid w:val="0"/>
              <w:spacing w:line="400" w:lineRule="exact"/>
              <w:ind w:firstLine="420" w:firstLineChars="200"/>
            </w:pPr>
            <w:r>
              <w:rPr>
                <w:rFonts w:hint="eastAsia" w:ascii="宋体" w:hAnsi="宋体"/>
                <w:kern w:val="0"/>
                <w:szCs w:val="21"/>
              </w:rPr>
              <w:t>（3）建造师电子注册证书本人手写签名与签名图像笔迹是否一致不作为否决投标的情形。</w:t>
            </w:r>
          </w:p>
          <w:p w14:paraId="42377BFC">
            <w:pPr>
              <w:autoSpaceDE w:val="0"/>
              <w:autoSpaceDN w:val="0"/>
              <w:adjustRightInd w:val="0"/>
              <w:snapToGrid w:val="0"/>
              <w:spacing w:line="400" w:lineRule="exact"/>
              <w:ind w:firstLine="422" w:firstLineChars="200"/>
              <w:rPr>
                <w:rFonts w:ascii="宋体" w:hAnsi="宋体"/>
                <w:spacing w:val="-24"/>
                <w:kern w:val="0"/>
                <w:szCs w:val="21"/>
              </w:rPr>
            </w:pPr>
            <w:r>
              <w:rPr>
                <w:rFonts w:hint="eastAsia" w:ascii="宋体" w:hAnsi="宋体"/>
                <w:b/>
                <w:szCs w:val="21"/>
              </w:rPr>
              <w:t>6</w:t>
            </w:r>
            <w:r>
              <w:rPr>
                <w:rFonts w:ascii="宋体" w:hAnsi="宋体"/>
                <w:b/>
                <w:szCs w:val="21"/>
              </w:rPr>
              <w:t>.其他要求</w:t>
            </w:r>
          </w:p>
          <w:p w14:paraId="7AA437AB">
            <w:pPr>
              <w:snapToGrid w:val="0"/>
              <w:spacing w:line="400" w:lineRule="exact"/>
              <w:ind w:firstLine="420" w:firstLineChars="200"/>
              <w:rPr>
                <w:rFonts w:ascii="宋体" w:hAnsi="宋体"/>
                <w:szCs w:val="21"/>
              </w:rPr>
            </w:pPr>
            <w:r>
              <w:rPr>
                <w:rFonts w:ascii="宋体" w:hAnsi="宋体"/>
                <w:kern w:val="0"/>
                <w:szCs w:val="21"/>
              </w:rPr>
              <w:t>（1）</w:t>
            </w:r>
            <w:r>
              <w:rPr>
                <w:rFonts w:ascii="宋体" w:hAnsi="宋体"/>
                <w:szCs w:val="21"/>
              </w:rPr>
              <w:t>项目技术负责人：</w:t>
            </w:r>
          </w:p>
          <w:p w14:paraId="08006D71">
            <w:pPr>
              <w:snapToGrid w:val="0"/>
              <w:spacing w:line="400" w:lineRule="exact"/>
              <w:ind w:firstLine="420" w:firstLineChars="200"/>
              <w:rPr>
                <w:rFonts w:ascii="宋体" w:hAnsi="宋体"/>
                <w:szCs w:val="21"/>
              </w:rPr>
            </w:pPr>
            <w:r>
              <w:rPr>
                <w:rFonts w:ascii="宋体" w:hAnsi="宋体"/>
                <w:szCs w:val="21"/>
              </w:rPr>
              <w:t>应具有</w:t>
            </w:r>
            <w:r>
              <w:rPr>
                <w:rFonts w:hint="eastAsia" w:ascii="宋体" w:hAnsi="宋体"/>
                <w:szCs w:val="21"/>
                <w:u w:val="single"/>
              </w:rPr>
              <w:t xml:space="preserve">工程类 中 </w:t>
            </w:r>
            <w:r>
              <w:rPr>
                <w:rFonts w:ascii="宋体" w:hAnsi="宋体"/>
                <w:szCs w:val="21"/>
                <w:u w:val="single"/>
              </w:rPr>
              <w:t>级及以上</w:t>
            </w:r>
            <w:r>
              <w:rPr>
                <w:rFonts w:ascii="宋体" w:hAnsi="宋体"/>
                <w:szCs w:val="21"/>
              </w:rPr>
              <w:t>职称；</w:t>
            </w:r>
          </w:p>
          <w:p w14:paraId="185E5684">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投标人须在投标文件资格审查部分提供拟派技术负责人身份证、职称证及投标人本单位为其缴纳的养老保险证明材料复印件。</w:t>
            </w:r>
          </w:p>
          <w:p w14:paraId="72439F83">
            <w:pPr>
              <w:autoSpaceDE w:val="0"/>
              <w:autoSpaceDN w:val="0"/>
              <w:adjustRightInd w:val="0"/>
              <w:snapToGrid w:val="0"/>
              <w:spacing w:line="400" w:lineRule="exact"/>
              <w:ind w:firstLine="420" w:firstLineChars="200"/>
              <w:rPr>
                <w:rFonts w:ascii="宋体" w:hAnsi="宋体"/>
                <w:szCs w:val="21"/>
              </w:rPr>
            </w:pPr>
            <w:r>
              <w:rPr>
                <w:rFonts w:ascii="宋体" w:hAnsi="宋体"/>
                <w:kern w:val="0"/>
                <w:szCs w:val="21"/>
              </w:rPr>
              <w:t>（2）</w:t>
            </w:r>
            <w:r>
              <w:rPr>
                <w:rFonts w:ascii="宋体" w:hAnsi="宋体"/>
                <w:szCs w:val="21"/>
              </w:rPr>
              <w:t>主要管理人员：</w:t>
            </w:r>
          </w:p>
          <w:p w14:paraId="1DCD326A">
            <w:pPr>
              <w:autoSpaceDE w:val="0"/>
              <w:autoSpaceDN w:val="0"/>
              <w:adjustRightInd w:val="0"/>
              <w:spacing w:line="400" w:lineRule="exact"/>
              <w:ind w:firstLine="420" w:firstLineChars="200"/>
              <w:rPr>
                <w:rFonts w:ascii="宋体" w:hAnsi="宋体"/>
                <w:szCs w:val="21"/>
              </w:rPr>
            </w:pPr>
            <w:r>
              <w:rPr>
                <w:rFonts w:hint="eastAsia" w:ascii="宋体" w:hAnsi="宋体"/>
                <w:szCs w:val="21"/>
              </w:rPr>
              <w:t>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中标后不能满足该要求的，招标人可取消其中标资格，给招标人造成损失的，投标人依法承担违约赔偿责任。</w:t>
            </w:r>
          </w:p>
          <w:p w14:paraId="771CFCBB">
            <w:pPr>
              <w:autoSpaceDE w:val="0"/>
              <w:autoSpaceDN w:val="0"/>
              <w:adjustRightInd w:val="0"/>
              <w:spacing w:line="400" w:lineRule="exact"/>
              <w:ind w:firstLine="420" w:firstLineChars="200"/>
              <w:rPr>
                <w:rFonts w:ascii="宋体" w:hAnsi="宋体"/>
                <w:szCs w:val="21"/>
              </w:rPr>
            </w:pPr>
            <w:r>
              <w:rPr>
                <w:rFonts w:hint="eastAsia" w:ascii="宋体" w:hAnsi="宋体"/>
                <w:szCs w:val="21"/>
              </w:rPr>
              <w:t>投标人须在投标文件资格审查部分提供承诺（承诺格式见第七章投标文件格式）。</w:t>
            </w:r>
          </w:p>
          <w:p w14:paraId="18BEF3F4">
            <w:pPr>
              <w:autoSpaceDE w:val="0"/>
              <w:autoSpaceDN w:val="0"/>
              <w:adjustRightInd w:val="0"/>
              <w:snapToGrid w:val="0"/>
              <w:spacing w:line="400" w:lineRule="exact"/>
              <w:ind w:firstLine="420" w:firstLineChars="200"/>
              <w:rPr>
                <w:rFonts w:ascii="宋体" w:hAnsi="宋体"/>
                <w:kern w:val="0"/>
                <w:szCs w:val="21"/>
              </w:rPr>
            </w:pPr>
            <w:r>
              <w:rPr>
                <w:rFonts w:ascii="宋体" w:hAnsi="宋体"/>
                <w:kern w:val="0"/>
                <w:szCs w:val="21"/>
              </w:rPr>
              <w:t>（</w:t>
            </w:r>
            <w:r>
              <w:rPr>
                <w:rFonts w:hint="eastAsia" w:ascii="宋体" w:hAnsi="宋体"/>
                <w:kern w:val="0"/>
                <w:szCs w:val="21"/>
              </w:rPr>
              <w:t>3</w:t>
            </w:r>
            <w:r>
              <w:rPr>
                <w:rFonts w:ascii="宋体" w:hAnsi="宋体"/>
                <w:kern w:val="0"/>
                <w:szCs w:val="21"/>
              </w:rPr>
              <w:t>）委托代理人</w:t>
            </w:r>
            <w:r>
              <w:rPr>
                <w:rFonts w:hint="eastAsia" w:ascii="宋体" w:hAnsi="宋体"/>
                <w:kern w:val="0"/>
                <w:szCs w:val="21"/>
              </w:rPr>
              <w:t>：</w:t>
            </w:r>
          </w:p>
          <w:p w14:paraId="76B4B923">
            <w:pPr>
              <w:autoSpaceDE w:val="0"/>
              <w:autoSpaceDN w:val="0"/>
              <w:adjustRightInd w:val="0"/>
              <w:snapToGrid w:val="0"/>
              <w:spacing w:line="400" w:lineRule="exact"/>
              <w:ind w:firstLine="420" w:firstLineChars="200"/>
              <w:rPr>
                <w:rFonts w:ascii="宋体" w:hAnsi="宋体"/>
                <w:kern w:val="0"/>
                <w:szCs w:val="21"/>
              </w:rPr>
            </w:pPr>
            <w:r>
              <w:rPr>
                <w:rFonts w:ascii="宋体" w:hAnsi="宋体"/>
                <w:kern w:val="0"/>
                <w:szCs w:val="21"/>
              </w:rPr>
              <w:t>委托代理人必须为</w:t>
            </w:r>
            <w:r>
              <w:rPr>
                <w:rFonts w:hint="eastAsia" w:ascii="宋体" w:hAnsi="宋体"/>
                <w:kern w:val="0"/>
                <w:szCs w:val="21"/>
              </w:rPr>
              <w:t>投标人</w:t>
            </w:r>
            <w:r>
              <w:rPr>
                <w:rFonts w:ascii="宋体" w:hAnsi="宋体"/>
                <w:kern w:val="0"/>
                <w:szCs w:val="21"/>
              </w:rPr>
              <w:t>本单位</w:t>
            </w:r>
            <w:r>
              <w:rPr>
                <w:rFonts w:hint="eastAsia" w:ascii="宋体" w:hAnsi="宋体"/>
                <w:kern w:val="0"/>
                <w:szCs w:val="21"/>
              </w:rPr>
              <w:t>人员。</w:t>
            </w:r>
          </w:p>
          <w:p w14:paraId="26F6A121">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投标人</w:t>
            </w:r>
            <w:r>
              <w:rPr>
                <w:rFonts w:ascii="宋体" w:hAnsi="宋体"/>
                <w:kern w:val="0"/>
                <w:szCs w:val="21"/>
              </w:rPr>
              <w:t>须</w:t>
            </w:r>
            <w:r>
              <w:rPr>
                <w:rFonts w:hint="eastAsia" w:ascii="宋体" w:hAnsi="宋体"/>
                <w:kern w:val="0"/>
                <w:szCs w:val="21"/>
              </w:rPr>
              <w:t>在投标文件资格审查部分</w:t>
            </w:r>
            <w:r>
              <w:rPr>
                <w:rFonts w:ascii="宋体" w:hAnsi="宋体"/>
                <w:kern w:val="0"/>
                <w:szCs w:val="21"/>
              </w:rPr>
              <w:t>提供</w:t>
            </w:r>
            <w:r>
              <w:rPr>
                <w:rFonts w:hint="eastAsia" w:ascii="宋体" w:hAnsi="宋体"/>
                <w:kern w:val="0"/>
                <w:szCs w:val="21"/>
              </w:rPr>
              <w:t>投标人为该</w:t>
            </w:r>
            <w:r>
              <w:rPr>
                <w:rFonts w:ascii="宋体" w:hAnsi="宋体"/>
                <w:kern w:val="0"/>
                <w:szCs w:val="21"/>
              </w:rPr>
              <w:t>委托代理人</w:t>
            </w:r>
            <w:r>
              <w:rPr>
                <w:rFonts w:hint="eastAsia" w:ascii="宋体" w:hAnsi="宋体"/>
                <w:kern w:val="0"/>
                <w:szCs w:val="21"/>
              </w:rPr>
              <w:t>缴纳的养老保险证明复印件。否则，将由评标委员会作否决投标处理。</w:t>
            </w:r>
          </w:p>
          <w:p w14:paraId="52BCFE51">
            <w:pPr>
              <w:autoSpaceDE w:val="0"/>
              <w:autoSpaceDN w:val="0"/>
              <w:adjustRightInd w:val="0"/>
              <w:snapToGrid w:val="0"/>
              <w:spacing w:line="400" w:lineRule="exact"/>
              <w:ind w:firstLine="417" w:firstLineChars="198"/>
              <w:rPr>
                <w:rFonts w:ascii="宋体" w:hAnsi="宋体" w:cs="宋体"/>
                <w:b/>
                <w:szCs w:val="21"/>
              </w:rPr>
            </w:pPr>
            <w:r>
              <w:rPr>
                <w:rFonts w:hint="eastAsia" w:ascii="宋体" w:hAnsi="宋体" w:cs="宋体"/>
                <w:b/>
                <w:szCs w:val="21"/>
              </w:rPr>
              <w:t>特别说明：</w:t>
            </w:r>
          </w:p>
          <w:p w14:paraId="15DBBFF2">
            <w:pPr>
              <w:numPr>
                <w:ilvl w:val="0"/>
                <w:numId w:val="1"/>
              </w:numPr>
              <w:autoSpaceDE w:val="0"/>
              <w:autoSpaceDN w:val="0"/>
              <w:adjustRightInd w:val="0"/>
              <w:snapToGrid w:val="0"/>
              <w:spacing w:line="400" w:lineRule="exact"/>
              <w:ind w:firstLine="415" w:firstLineChars="198"/>
              <w:rPr>
                <w:rFonts w:ascii="宋体" w:hAnsi="宋体" w:cs="宋体"/>
                <w:szCs w:val="21"/>
              </w:rPr>
            </w:pPr>
            <w:r>
              <w:rPr>
                <w:rFonts w:hint="eastAsia" w:ascii="宋体" w:hAnsi="宋体" w:cs="宋体"/>
                <w:szCs w:val="21"/>
              </w:rPr>
              <w:t>上述要求须提交的相关证明材料复印件均应加盖投标单位</w:t>
            </w:r>
            <w:r>
              <w:rPr>
                <w:rFonts w:hint="eastAsia" w:ascii="宋体" w:hAnsi="宋体" w:cs="宋体"/>
                <w:szCs w:val="21"/>
                <w:lang w:val="en-US" w:eastAsia="zh-CN"/>
              </w:rPr>
              <w:t>公</w:t>
            </w:r>
            <w:r>
              <w:rPr>
                <w:rFonts w:hint="eastAsia" w:ascii="宋体" w:hAnsi="宋体" w:cs="宋体"/>
                <w:szCs w:val="21"/>
              </w:rPr>
              <w:t>章并装入投标文件资格审查部分中。投标时投标人的委托代理人须随身携带以上所有复印件的原件及原件清单（营业执照、资质证书、带二维码的证件、身份证、网页打印件、截图、承诺书、声明除外），在递交投标文件时一次性递交，不得补交，原件袋必须密封。评标委员会审查时必须对有关证明和证件的原件核查，若经审查复印件与原件不一致，或未提交原件的，则投标文件由评标委员会作否决投标处理。上述要求</w:t>
            </w:r>
            <w:r>
              <w:rPr>
                <w:rFonts w:hint="eastAsia" w:ascii="宋体" w:hAnsi="宋体" w:cs="宋体"/>
                <w:kern w:val="0"/>
                <w:szCs w:val="21"/>
              </w:rPr>
              <w:t>，有一条不满足则投标文件由评标委员会</w:t>
            </w:r>
            <w:r>
              <w:rPr>
                <w:rFonts w:hint="eastAsia" w:ascii="宋体" w:hAnsi="宋体" w:cs="宋体"/>
                <w:szCs w:val="21"/>
              </w:rPr>
              <w:t>作否决投标处理</w:t>
            </w:r>
            <w:r>
              <w:rPr>
                <w:rFonts w:hint="eastAsia" w:ascii="宋体" w:hAnsi="宋体" w:cs="宋体"/>
                <w:kern w:val="0"/>
                <w:szCs w:val="21"/>
              </w:rPr>
              <w:t>。</w:t>
            </w:r>
          </w:p>
          <w:p w14:paraId="00BC63D1">
            <w:pPr>
              <w:numPr>
                <w:ilvl w:val="0"/>
                <w:numId w:val="1"/>
              </w:numPr>
              <w:autoSpaceDE w:val="0"/>
              <w:autoSpaceDN w:val="0"/>
              <w:adjustRightInd w:val="0"/>
              <w:snapToGrid w:val="0"/>
              <w:spacing w:line="400" w:lineRule="exact"/>
              <w:ind w:firstLine="415" w:firstLineChars="198"/>
              <w:rPr>
                <w:rFonts w:ascii="宋体" w:hAnsi="宋体" w:cs="宋体"/>
                <w:kern w:val="0"/>
                <w:szCs w:val="21"/>
              </w:rPr>
            </w:pPr>
            <w:r>
              <w:rPr>
                <w:rFonts w:hint="eastAsia" w:ascii="宋体" w:hAnsi="宋体" w:cs="宋体"/>
                <w:szCs w:val="21"/>
              </w:rPr>
              <w:t>投标人须自行承诺其提供的上述相关证明材料真实有效，不存在弄虚作假情形（格式见第七章投标文件格式）。</w:t>
            </w:r>
            <w:r>
              <w:rPr>
                <w:rFonts w:hint="eastAsia" w:ascii="宋体" w:hAnsi="宋体" w:cs="宋体"/>
                <w:szCs w:val="21"/>
                <w:u w:val="single"/>
              </w:rPr>
              <w:t>比选人在合同签订前均有权对投标人提供的资料进行核实，若发现弄虚作假，按相关规定取消其中标资格，并按相关法律法规报招标投标监督部门，投标人承担因此造成的相关责任并赔偿相应损失</w:t>
            </w:r>
            <w:r>
              <w:rPr>
                <w:rFonts w:hint="eastAsia" w:ascii="宋体" w:hAnsi="宋体" w:cs="宋体"/>
                <w:szCs w:val="21"/>
              </w:rPr>
              <w:t>。</w:t>
            </w:r>
          </w:p>
          <w:p w14:paraId="309BC991">
            <w:pPr>
              <w:spacing w:line="400" w:lineRule="exact"/>
              <w:ind w:firstLine="420" w:firstLineChars="200"/>
              <w:rPr>
                <w:rFonts w:ascii="宋体" w:hAnsi="宋体"/>
                <w:bCs/>
                <w:kern w:val="0"/>
                <w:szCs w:val="21"/>
              </w:rPr>
            </w:pPr>
            <w:r>
              <w:rPr>
                <w:rFonts w:hint="eastAsia" w:ascii="宋体" w:hAnsi="宋体"/>
                <w:bCs/>
                <w:kern w:val="0"/>
                <w:szCs w:val="21"/>
              </w:rPr>
              <w:t>（3）</w:t>
            </w:r>
            <w:r>
              <w:rPr>
                <w:rFonts w:ascii="宋体" w:hAnsi="宋体"/>
                <w:bCs/>
                <w:kern w:val="0"/>
                <w:szCs w:val="21"/>
              </w:rPr>
              <w:t>本招标文件中所要求的人员</w:t>
            </w:r>
            <w:r>
              <w:rPr>
                <w:rFonts w:hint="eastAsia" w:ascii="宋体" w:hAnsi="宋体"/>
                <w:bCs/>
                <w:kern w:val="0"/>
                <w:szCs w:val="21"/>
              </w:rPr>
              <w:t>养老保险</w:t>
            </w:r>
            <w:r>
              <w:rPr>
                <w:rFonts w:ascii="宋体" w:hAnsi="宋体"/>
                <w:bCs/>
                <w:kern w:val="0"/>
                <w:szCs w:val="21"/>
              </w:rPr>
              <w:t>证明要求如下：</w:t>
            </w:r>
          </w:p>
          <w:p w14:paraId="59FABEBD">
            <w:pPr>
              <w:spacing w:line="400" w:lineRule="exact"/>
              <w:ind w:firstLine="420" w:firstLineChars="200"/>
              <w:rPr>
                <w:rFonts w:ascii="宋体" w:hAnsi="宋体"/>
                <w:bCs/>
                <w:kern w:val="0"/>
                <w:szCs w:val="21"/>
              </w:rPr>
            </w:pPr>
            <w:r>
              <w:rPr>
                <w:rFonts w:ascii="宋体" w:hAnsi="宋体"/>
                <w:bCs/>
                <w:kern w:val="0"/>
                <w:szCs w:val="21"/>
              </w:rPr>
              <w:t>①</w:t>
            </w:r>
            <w:r>
              <w:rPr>
                <w:rFonts w:hint="eastAsia" w:ascii="宋体" w:hAnsi="宋体"/>
                <w:bCs/>
                <w:kern w:val="0"/>
                <w:szCs w:val="21"/>
              </w:rPr>
              <w:t>企业</w:t>
            </w:r>
            <w:r>
              <w:rPr>
                <w:rFonts w:ascii="宋体" w:hAnsi="宋体"/>
                <w:bCs/>
                <w:kern w:val="0"/>
                <w:szCs w:val="21"/>
              </w:rPr>
              <w:t>提供</w:t>
            </w:r>
            <w:r>
              <w:rPr>
                <w:rFonts w:hint="eastAsia" w:ascii="宋体" w:hAnsi="宋体"/>
                <w:bCs/>
                <w:kern w:val="0"/>
                <w:szCs w:val="21"/>
              </w:rPr>
              <w:t>养老保险</w:t>
            </w:r>
            <w:r>
              <w:rPr>
                <w:rFonts w:ascii="宋体" w:hAnsi="宋体"/>
                <w:bCs/>
                <w:kern w:val="0"/>
                <w:szCs w:val="21"/>
              </w:rPr>
              <w:t>证明，事业单位提供</w:t>
            </w:r>
            <w:r>
              <w:rPr>
                <w:rFonts w:hint="eastAsia" w:ascii="宋体" w:hAnsi="宋体"/>
                <w:bCs/>
                <w:kern w:val="0"/>
                <w:szCs w:val="21"/>
              </w:rPr>
              <w:t>养老保险</w:t>
            </w:r>
            <w:r>
              <w:rPr>
                <w:rFonts w:ascii="宋体" w:hAnsi="宋体"/>
                <w:bCs/>
                <w:kern w:val="0"/>
                <w:szCs w:val="21"/>
              </w:rPr>
              <w:t>证明或行政主管部门在编证明。</w:t>
            </w:r>
          </w:p>
          <w:p w14:paraId="3A6D24E4">
            <w:pPr>
              <w:spacing w:line="400" w:lineRule="exact"/>
              <w:ind w:firstLine="420" w:firstLineChars="200"/>
              <w:rPr>
                <w:rFonts w:ascii="宋体" w:hAnsi="宋体"/>
                <w:bCs/>
                <w:snapToGrid w:val="0"/>
                <w:kern w:val="0"/>
                <w:szCs w:val="21"/>
              </w:rPr>
            </w:pPr>
            <w:r>
              <w:rPr>
                <w:rFonts w:ascii="宋体" w:hAnsi="宋体"/>
                <w:bCs/>
                <w:kern w:val="0"/>
                <w:szCs w:val="21"/>
              </w:rPr>
              <w:t>②</w:t>
            </w:r>
            <w:r>
              <w:rPr>
                <w:rFonts w:hint="eastAsia" w:ascii="宋体" w:hAnsi="宋体"/>
                <w:bCs/>
                <w:snapToGrid w:val="0"/>
                <w:kern w:val="0"/>
                <w:szCs w:val="21"/>
              </w:rPr>
              <w:t>项目经理、</w:t>
            </w:r>
            <w:r>
              <w:rPr>
                <w:rFonts w:ascii="宋体" w:hAnsi="宋体"/>
                <w:bCs/>
                <w:snapToGrid w:val="0"/>
                <w:kern w:val="0"/>
                <w:szCs w:val="21"/>
              </w:rPr>
              <w:t>项目技术负责人和委托代理人的</w:t>
            </w:r>
            <w:r>
              <w:rPr>
                <w:rFonts w:hint="eastAsia" w:ascii="宋体" w:hAnsi="宋体"/>
                <w:bCs/>
                <w:snapToGrid w:val="0"/>
                <w:kern w:val="0"/>
                <w:szCs w:val="21"/>
              </w:rPr>
              <w:t>连续养老保险</w:t>
            </w:r>
            <w:r>
              <w:rPr>
                <w:rFonts w:ascii="宋体" w:hAnsi="宋体"/>
                <w:bCs/>
                <w:snapToGrid w:val="0"/>
                <w:kern w:val="0"/>
                <w:szCs w:val="21"/>
              </w:rPr>
              <w:t>证明期限</w:t>
            </w:r>
            <w:r>
              <w:rPr>
                <w:rFonts w:hint="eastAsia" w:ascii="宋体" w:hAnsi="宋体"/>
                <w:bCs/>
                <w:snapToGrid w:val="0"/>
                <w:kern w:val="0"/>
                <w:szCs w:val="21"/>
              </w:rPr>
              <w:t>须包含</w:t>
            </w:r>
            <w:r>
              <w:rPr>
                <w:rFonts w:hint="eastAsia" w:ascii="宋体" w:hAnsi="宋体"/>
                <w:bCs/>
                <w:snapToGrid w:val="0"/>
                <w:kern w:val="0"/>
                <w:szCs w:val="21"/>
                <w:u w:val="single"/>
              </w:rPr>
              <w:t>2025</w:t>
            </w:r>
            <w:r>
              <w:rPr>
                <w:rFonts w:ascii="宋体" w:hAnsi="宋体"/>
                <w:bCs/>
                <w:snapToGrid w:val="0"/>
                <w:kern w:val="0"/>
                <w:szCs w:val="21"/>
              </w:rPr>
              <w:t>年</w:t>
            </w:r>
            <w:r>
              <w:rPr>
                <w:rFonts w:hint="eastAsia" w:ascii="宋体" w:hAnsi="宋体"/>
                <w:bCs/>
                <w:snapToGrid w:val="0"/>
                <w:kern w:val="0"/>
                <w:szCs w:val="21"/>
                <w:u w:val="single"/>
              </w:rPr>
              <w:t>5</w:t>
            </w:r>
            <w:r>
              <w:rPr>
                <w:rFonts w:ascii="宋体" w:hAnsi="宋体"/>
                <w:bCs/>
                <w:snapToGrid w:val="0"/>
                <w:kern w:val="0"/>
                <w:szCs w:val="21"/>
              </w:rPr>
              <w:t>月至</w:t>
            </w:r>
            <w:r>
              <w:rPr>
                <w:rFonts w:hint="eastAsia" w:ascii="宋体" w:hAnsi="宋体"/>
                <w:bCs/>
                <w:snapToGrid w:val="0"/>
                <w:kern w:val="0"/>
                <w:szCs w:val="21"/>
                <w:u w:val="single"/>
              </w:rPr>
              <w:t>2025</w:t>
            </w:r>
            <w:r>
              <w:rPr>
                <w:rFonts w:ascii="宋体" w:hAnsi="宋体"/>
                <w:bCs/>
                <w:snapToGrid w:val="0"/>
                <w:kern w:val="0"/>
                <w:szCs w:val="21"/>
              </w:rPr>
              <w:t>年</w:t>
            </w:r>
            <w:r>
              <w:rPr>
                <w:rFonts w:hint="eastAsia" w:ascii="宋体" w:hAnsi="宋体"/>
                <w:bCs/>
                <w:snapToGrid w:val="0"/>
                <w:kern w:val="0"/>
                <w:szCs w:val="21"/>
                <w:u w:val="single"/>
              </w:rPr>
              <w:t>11</w:t>
            </w:r>
            <w:r>
              <w:rPr>
                <w:rFonts w:ascii="宋体" w:hAnsi="宋体"/>
                <w:bCs/>
                <w:snapToGrid w:val="0"/>
                <w:kern w:val="0"/>
                <w:szCs w:val="21"/>
              </w:rPr>
              <w:t>月</w:t>
            </w:r>
            <w:r>
              <w:rPr>
                <w:rFonts w:hint="eastAsia" w:ascii="宋体" w:hAnsi="宋体"/>
                <w:bCs/>
                <w:szCs w:val="21"/>
              </w:rPr>
              <w:t>。养老保险证明原件必须加盖社保部门公章，提供的养老保险参保证明须体现上述人员的姓名、身份证号（或社保号）、单位名称、本单位参保时间（或起始参保时间）。为确保对所有投标人的公开、公平、公正，投标人如果提供网上打印的养老保险证明材料含有电子印章且提供了该地区政府或人社局发布的相关推行参保人员社保证明电子化的佐证材料（可不要求为原件，但必须网上能查询文件属实），可视为原件，不需加盖社保部门公章，投标有效，否则由评标委员会作否决投标处理。</w:t>
            </w:r>
          </w:p>
        </w:tc>
      </w:tr>
      <w:tr w14:paraId="763E84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924FDFC">
            <w:pPr>
              <w:snapToGrid w:val="0"/>
              <w:spacing w:line="400" w:lineRule="exact"/>
              <w:jc w:val="center"/>
              <w:rPr>
                <w:rFonts w:ascii="宋体" w:hAnsi="宋体"/>
                <w:kern w:val="0"/>
                <w:szCs w:val="21"/>
              </w:rPr>
            </w:pPr>
            <w:r>
              <w:rPr>
                <w:rFonts w:ascii="宋体" w:hAnsi="宋体"/>
                <w:kern w:val="0"/>
                <w:szCs w:val="21"/>
              </w:rPr>
              <w:t>1.4.2</w:t>
            </w:r>
          </w:p>
        </w:tc>
        <w:tc>
          <w:tcPr>
            <w:tcW w:w="1644" w:type="dxa"/>
            <w:vAlign w:val="center"/>
          </w:tcPr>
          <w:p w14:paraId="4A8A53DF">
            <w:pPr>
              <w:snapToGrid w:val="0"/>
              <w:spacing w:line="400" w:lineRule="exact"/>
              <w:jc w:val="center"/>
              <w:rPr>
                <w:rFonts w:ascii="宋体" w:hAnsi="宋体"/>
                <w:kern w:val="0"/>
                <w:szCs w:val="21"/>
              </w:rPr>
            </w:pPr>
            <w:r>
              <w:rPr>
                <w:rFonts w:ascii="宋体" w:hAnsi="宋体"/>
                <w:kern w:val="0"/>
                <w:szCs w:val="21"/>
              </w:rPr>
              <w:t>是否接受联合体投标</w:t>
            </w:r>
          </w:p>
        </w:tc>
        <w:tc>
          <w:tcPr>
            <w:tcW w:w="6490" w:type="dxa"/>
            <w:vAlign w:val="center"/>
          </w:tcPr>
          <w:p w14:paraId="2CE73D2E">
            <w:pPr>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不接受</w:t>
            </w:r>
          </w:p>
          <w:p w14:paraId="66DED267">
            <w:pPr>
              <w:snapToGrid w:val="0"/>
              <w:spacing w:after="15" w:afterLines="5"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接受，应满足下列要求：</w:t>
            </w:r>
          </w:p>
        </w:tc>
      </w:tr>
      <w:tr w14:paraId="4FA304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C985651">
            <w:pPr>
              <w:snapToGrid w:val="0"/>
              <w:spacing w:line="400" w:lineRule="exact"/>
              <w:jc w:val="center"/>
              <w:rPr>
                <w:rFonts w:ascii="宋体" w:hAnsi="宋体"/>
                <w:kern w:val="0"/>
                <w:szCs w:val="21"/>
              </w:rPr>
            </w:pPr>
            <w:r>
              <w:rPr>
                <w:rFonts w:ascii="宋体" w:hAnsi="宋体"/>
                <w:kern w:val="0"/>
                <w:szCs w:val="21"/>
              </w:rPr>
              <w:t>1.</w:t>
            </w:r>
            <w:r>
              <w:rPr>
                <w:rFonts w:hint="eastAsia" w:ascii="宋体" w:hAnsi="宋体"/>
                <w:kern w:val="0"/>
                <w:szCs w:val="21"/>
              </w:rPr>
              <w:t>9.1</w:t>
            </w:r>
          </w:p>
        </w:tc>
        <w:tc>
          <w:tcPr>
            <w:tcW w:w="1644" w:type="dxa"/>
            <w:vAlign w:val="center"/>
          </w:tcPr>
          <w:p w14:paraId="27A82BAB">
            <w:pPr>
              <w:snapToGrid w:val="0"/>
              <w:spacing w:line="400" w:lineRule="exact"/>
              <w:jc w:val="center"/>
              <w:rPr>
                <w:rFonts w:ascii="宋体" w:hAnsi="宋体"/>
                <w:kern w:val="0"/>
                <w:szCs w:val="21"/>
              </w:rPr>
            </w:pPr>
            <w:r>
              <w:rPr>
                <w:rFonts w:ascii="宋体" w:hAnsi="宋体"/>
                <w:kern w:val="0"/>
                <w:szCs w:val="21"/>
              </w:rPr>
              <w:t>踏勘现场</w:t>
            </w:r>
          </w:p>
        </w:tc>
        <w:tc>
          <w:tcPr>
            <w:tcW w:w="6490" w:type="dxa"/>
            <w:vAlign w:val="center"/>
          </w:tcPr>
          <w:p w14:paraId="4502894A">
            <w:pPr>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不组织</w:t>
            </w:r>
          </w:p>
          <w:p w14:paraId="1D52D7D4">
            <w:pPr>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组织，</w:t>
            </w:r>
            <w:r>
              <w:rPr>
                <w:rFonts w:hint="eastAsia" w:ascii="宋体" w:hAnsi="宋体"/>
                <w:kern w:val="0"/>
                <w:szCs w:val="21"/>
              </w:rPr>
              <w:t>集中</w:t>
            </w:r>
            <w:r>
              <w:rPr>
                <w:rFonts w:ascii="宋体" w:hAnsi="宋体"/>
                <w:kern w:val="0"/>
                <w:szCs w:val="21"/>
              </w:rPr>
              <w:t>踏勘时间：</w:t>
            </w:r>
          </w:p>
          <w:p w14:paraId="601E8D84">
            <w:pPr>
              <w:snapToGrid w:val="0"/>
              <w:spacing w:line="400" w:lineRule="exact"/>
              <w:ind w:firstLine="1260" w:firstLineChars="600"/>
              <w:rPr>
                <w:rFonts w:ascii="宋体" w:hAnsi="宋体"/>
                <w:kern w:val="0"/>
                <w:szCs w:val="21"/>
              </w:rPr>
            </w:pPr>
            <w:r>
              <w:rPr>
                <w:rFonts w:ascii="宋体" w:hAnsi="宋体"/>
                <w:kern w:val="0"/>
                <w:szCs w:val="21"/>
              </w:rPr>
              <w:t>集中踏勘地点：</w:t>
            </w:r>
          </w:p>
        </w:tc>
      </w:tr>
      <w:tr w14:paraId="2DE3D3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32E5C0B">
            <w:pPr>
              <w:snapToGrid w:val="0"/>
              <w:spacing w:line="400" w:lineRule="exact"/>
              <w:jc w:val="center"/>
              <w:rPr>
                <w:rFonts w:ascii="宋体" w:hAnsi="宋体"/>
                <w:kern w:val="0"/>
                <w:szCs w:val="21"/>
              </w:rPr>
            </w:pPr>
            <w:r>
              <w:rPr>
                <w:rFonts w:ascii="宋体" w:hAnsi="宋体"/>
                <w:kern w:val="0"/>
                <w:szCs w:val="21"/>
              </w:rPr>
              <w:t>1.</w:t>
            </w:r>
            <w:r>
              <w:rPr>
                <w:rFonts w:hint="eastAsia" w:ascii="宋体" w:hAnsi="宋体"/>
                <w:kern w:val="0"/>
                <w:szCs w:val="21"/>
              </w:rPr>
              <w:t>10.1</w:t>
            </w:r>
          </w:p>
        </w:tc>
        <w:tc>
          <w:tcPr>
            <w:tcW w:w="1644" w:type="dxa"/>
            <w:vAlign w:val="center"/>
          </w:tcPr>
          <w:p w14:paraId="6609C927">
            <w:pPr>
              <w:snapToGrid w:val="0"/>
              <w:spacing w:line="400" w:lineRule="exact"/>
              <w:jc w:val="center"/>
              <w:rPr>
                <w:rFonts w:ascii="宋体" w:hAnsi="宋体"/>
                <w:kern w:val="0"/>
                <w:szCs w:val="21"/>
              </w:rPr>
            </w:pPr>
            <w:r>
              <w:rPr>
                <w:rFonts w:ascii="宋体" w:hAnsi="宋体"/>
                <w:kern w:val="0"/>
                <w:szCs w:val="21"/>
              </w:rPr>
              <w:t>投标预备会</w:t>
            </w:r>
          </w:p>
        </w:tc>
        <w:tc>
          <w:tcPr>
            <w:tcW w:w="6490" w:type="dxa"/>
            <w:vAlign w:val="center"/>
          </w:tcPr>
          <w:p w14:paraId="0D393A91">
            <w:pPr>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不召开</w:t>
            </w:r>
          </w:p>
          <w:p w14:paraId="069FB585">
            <w:pPr>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召开，召开时间：</w:t>
            </w:r>
          </w:p>
          <w:p w14:paraId="60D3BECE">
            <w:pPr>
              <w:snapToGrid w:val="0"/>
              <w:spacing w:after="15" w:afterLines="5" w:line="400" w:lineRule="exact"/>
              <w:ind w:firstLine="1260" w:firstLineChars="600"/>
              <w:rPr>
                <w:rFonts w:ascii="宋体" w:hAnsi="宋体"/>
                <w:kern w:val="0"/>
                <w:szCs w:val="21"/>
              </w:rPr>
            </w:pPr>
            <w:r>
              <w:rPr>
                <w:rFonts w:ascii="宋体" w:hAnsi="宋体"/>
                <w:kern w:val="0"/>
                <w:szCs w:val="21"/>
              </w:rPr>
              <w:t>召开地点：</w:t>
            </w:r>
          </w:p>
        </w:tc>
      </w:tr>
      <w:tr w14:paraId="612F77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3FC12E4">
            <w:pPr>
              <w:snapToGrid w:val="0"/>
              <w:spacing w:line="400" w:lineRule="exact"/>
              <w:jc w:val="center"/>
              <w:rPr>
                <w:rFonts w:ascii="宋体" w:hAnsi="宋体"/>
                <w:kern w:val="0"/>
                <w:szCs w:val="21"/>
              </w:rPr>
            </w:pPr>
            <w:r>
              <w:rPr>
                <w:rFonts w:ascii="宋体" w:hAnsi="宋体"/>
                <w:kern w:val="0"/>
                <w:szCs w:val="21"/>
              </w:rPr>
              <w:t>1.</w:t>
            </w:r>
            <w:r>
              <w:rPr>
                <w:rFonts w:hint="eastAsia" w:ascii="宋体" w:hAnsi="宋体"/>
                <w:kern w:val="0"/>
                <w:szCs w:val="21"/>
              </w:rPr>
              <w:t>11</w:t>
            </w:r>
          </w:p>
        </w:tc>
        <w:tc>
          <w:tcPr>
            <w:tcW w:w="1644" w:type="dxa"/>
            <w:vAlign w:val="center"/>
          </w:tcPr>
          <w:p w14:paraId="7BA3C9FC">
            <w:pPr>
              <w:snapToGrid w:val="0"/>
              <w:spacing w:line="400" w:lineRule="exact"/>
              <w:jc w:val="center"/>
              <w:rPr>
                <w:rFonts w:ascii="宋体" w:hAnsi="宋体"/>
                <w:kern w:val="0"/>
                <w:szCs w:val="21"/>
              </w:rPr>
            </w:pPr>
            <w:r>
              <w:rPr>
                <w:rFonts w:ascii="宋体" w:hAnsi="宋体"/>
                <w:kern w:val="0"/>
                <w:szCs w:val="21"/>
              </w:rPr>
              <w:t>分包</w:t>
            </w:r>
          </w:p>
        </w:tc>
        <w:tc>
          <w:tcPr>
            <w:tcW w:w="6490" w:type="dxa"/>
            <w:vAlign w:val="center"/>
          </w:tcPr>
          <w:p w14:paraId="0C543D89">
            <w:pPr>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不允许</w:t>
            </w:r>
          </w:p>
          <w:p w14:paraId="6D5BEA20">
            <w:pPr>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允许，分包内容要求：</w:t>
            </w:r>
            <w:r>
              <w:rPr>
                <w:rFonts w:hint="eastAsia" w:ascii="宋体" w:hAnsi="宋体"/>
                <w:kern w:val="0"/>
                <w:szCs w:val="21"/>
              </w:rPr>
              <w:t>/</w:t>
            </w:r>
          </w:p>
          <w:p w14:paraId="27CC7491">
            <w:pPr>
              <w:snapToGrid w:val="0"/>
              <w:spacing w:line="400" w:lineRule="exact"/>
              <w:ind w:firstLine="1260" w:firstLineChars="600"/>
              <w:rPr>
                <w:rFonts w:ascii="宋体" w:hAnsi="宋体"/>
                <w:kern w:val="0"/>
                <w:szCs w:val="21"/>
              </w:rPr>
            </w:pPr>
            <w:r>
              <w:rPr>
                <w:rFonts w:ascii="宋体" w:hAnsi="宋体"/>
                <w:kern w:val="0"/>
                <w:szCs w:val="21"/>
              </w:rPr>
              <w:t>分包金额要求：</w:t>
            </w:r>
            <w:r>
              <w:rPr>
                <w:rFonts w:hint="eastAsia" w:ascii="宋体" w:hAnsi="宋体"/>
                <w:kern w:val="0"/>
                <w:szCs w:val="21"/>
              </w:rPr>
              <w:t>/</w:t>
            </w:r>
          </w:p>
          <w:p w14:paraId="0A65E1A0">
            <w:pPr>
              <w:snapToGrid w:val="0"/>
              <w:spacing w:after="15" w:afterLines="5" w:line="400" w:lineRule="exact"/>
              <w:rPr>
                <w:rFonts w:ascii="宋体" w:hAnsi="宋体"/>
                <w:kern w:val="0"/>
                <w:szCs w:val="21"/>
              </w:rPr>
            </w:pPr>
            <w:r>
              <w:rPr>
                <w:rFonts w:ascii="宋体" w:hAnsi="宋体"/>
                <w:kern w:val="0"/>
                <w:szCs w:val="21"/>
              </w:rPr>
              <w:t>接受分包的第三人资质要求：</w:t>
            </w:r>
            <w:r>
              <w:rPr>
                <w:rFonts w:hint="eastAsia" w:ascii="宋体" w:hAnsi="宋体"/>
                <w:kern w:val="0"/>
                <w:szCs w:val="21"/>
              </w:rPr>
              <w:t>/</w:t>
            </w:r>
          </w:p>
          <w:p w14:paraId="7818A63F">
            <w:pPr>
              <w:snapToGrid w:val="0"/>
              <w:spacing w:after="15" w:afterLines="5" w:line="400" w:lineRule="exact"/>
              <w:rPr>
                <w:rFonts w:ascii="宋体" w:hAnsi="宋体"/>
                <w:kern w:val="0"/>
                <w:szCs w:val="21"/>
              </w:rPr>
            </w:pPr>
            <w:r>
              <w:rPr>
                <w:rFonts w:hint="eastAsia" w:ascii="宋体" w:hAnsi="宋体"/>
                <w:kern w:val="0"/>
                <w:szCs w:val="21"/>
              </w:rPr>
              <w:t>注：分包应按照相关法律法规及规范性文件执行，不得违法分包。</w:t>
            </w:r>
          </w:p>
        </w:tc>
      </w:tr>
      <w:tr w14:paraId="56FED5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55EF9E3">
            <w:pPr>
              <w:snapToGrid w:val="0"/>
              <w:spacing w:line="400" w:lineRule="exact"/>
              <w:jc w:val="center"/>
              <w:rPr>
                <w:rFonts w:ascii="宋体" w:hAnsi="宋体"/>
                <w:kern w:val="0"/>
                <w:szCs w:val="21"/>
              </w:rPr>
            </w:pPr>
            <w:r>
              <w:rPr>
                <w:rFonts w:ascii="宋体" w:hAnsi="宋体"/>
                <w:kern w:val="0"/>
                <w:szCs w:val="21"/>
              </w:rPr>
              <w:t>2.1</w:t>
            </w:r>
          </w:p>
        </w:tc>
        <w:tc>
          <w:tcPr>
            <w:tcW w:w="1644" w:type="dxa"/>
            <w:vAlign w:val="center"/>
          </w:tcPr>
          <w:p w14:paraId="20202497">
            <w:pPr>
              <w:snapToGrid w:val="0"/>
              <w:spacing w:after="15" w:afterLines="5" w:line="400" w:lineRule="exact"/>
              <w:jc w:val="center"/>
              <w:rPr>
                <w:rFonts w:ascii="宋体" w:hAnsi="宋体"/>
                <w:kern w:val="0"/>
                <w:szCs w:val="21"/>
              </w:rPr>
            </w:pPr>
            <w:r>
              <w:rPr>
                <w:rFonts w:ascii="宋体" w:hAnsi="宋体"/>
                <w:kern w:val="0"/>
                <w:szCs w:val="21"/>
              </w:rPr>
              <w:t>构成招标文件的其他材料</w:t>
            </w:r>
          </w:p>
        </w:tc>
        <w:tc>
          <w:tcPr>
            <w:tcW w:w="6490" w:type="dxa"/>
            <w:vAlign w:val="center"/>
          </w:tcPr>
          <w:p w14:paraId="7159FBCC">
            <w:pPr>
              <w:snapToGrid w:val="0"/>
              <w:spacing w:line="400" w:lineRule="exact"/>
              <w:ind w:firstLine="420" w:firstLineChars="200"/>
              <w:rPr>
                <w:rFonts w:ascii="宋体" w:hAnsi="宋体"/>
                <w:szCs w:val="21"/>
              </w:rPr>
            </w:pPr>
            <w:r>
              <w:rPr>
                <w:rFonts w:hint="eastAsia" w:ascii="宋体" w:hAnsi="宋体"/>
                <w:szCs w:val="21"/>
              </w:rPr>
              <w:t>比选人</w:t>
            </w:r>
            <w:r>
              <w:rPr>
                <w:rFonts w:ascii="宋体" w:hAnsi="宋体"/>
                <w:szCs w:val="21"/>
              </w:rPr>
              <w:t>发出的</w:t>
            </w:r>
            <w:r>
              <w:rPr>
                <w:rFonts w:hint="eastAsia" w:ascii="宋体" w:hAnsi="宋体"/>
                <w:szCs w:val="21"/>
              </w:rPr>
              <w:t>澄清</w:t>
            </w:r>
            <w:r>
              <w:rPr>
                <w:rFonts w:ascii="宋体" w:hAnsi="宋体"/>
                <w:szCs w:val="21"/>
              </w:rPr>
              <w:t>及</w:t>
            </w:r>
            <w:r>
              <w:rPr>
                <w:rFonts w:hint="eastAsia" w:ascii="宋体" w:hAnsi="宋体"/>
                <w:szCs w:val="21"/>
              </w:rPr>
              <w:t>修改</w:t>
            </w:r>
          </w:p>
        </w:tc>
      </w:tr>
      <w:tr w14:paraId="2F2A68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A90CB0C">
            <w:pPr>
              <w:snapToGrid w:val="0"/>
              <w:spacing w:line="400" w:lineRule="exact"/>
              <w:jc w:val="center"/>
              <w:rPr>
                <w:rFonts w:ascii="宋体" w:hAnsi="宋体"/>
                <w:kern w:val="0"/>
                <w:szCs w:val="21"/>
              </w:rPr>
            </w:pPr>
            <w:r>
              <w:rPr>
                <w:rFonts w:hint="eastAsia" w:ascii="宋体" w:hAnsi="宋体"/>
                <w:kern w:val="0"/>
                <w:szCs w:val="21"/>
              </w:rPr>
              <w:t>2</w:t>
            </w:r>
            <w:r>
              <w:rPr>
                <w:rFonts w:ascii="宋体" w:hAnsi="宋体"/>
                <w:kern w:val="0"/>
                <w:szCs w:val="21"/>
              </w:rPr>
              <w:t>.</w:t>
            </w:r>
            <w:r>
              <w:rPr>
                <w:rFonts w:hint="eastAsia" w:ascii="宋体" w:hAnsi="宋体"/>
                <w:kern w:val="0"/>
                <w:szCs w:val="21"/>
              </w:rPr>
              <w:t>2</w:t>
            </w:r>
            <w:r>
              <w:rPr>
                <w:rFonts w:ascii="宋体" w:hAnsi="宋体"/>
                <w:kern w:val="0"/>
                <w:szCs w:val="21"/>
              </w:rPr>
              <w:t>.</w:t>
            </w:r>
            <w:r>
              <w:rPr>
                <w:rFonts w:hint="eastAsia" w:ascii="宋体" w:hAnsi="宋体"/>
                <w:kern w:val="0"/>
                <w:szCs w:val="21"/>
              </w:rPr>
              <w:t>1</w:t>
            </w:r>
          </w:p>
        </w:tc>
        <w:tc>
          <w:tcPr>
            <w:tcW w:w="1644" w:type="dxa"/>
            <w:tcBorders>
              <w:bottom w:val="single" w:color="auto" w:sz="4" w:space="0"/>
            </w:tcBorders>
            <w:vAlign w:val="center"/>
          </w:tcPr>
          <w:p w14:paraId="056F225C">
            <w:pPr>
              <w:snapToGrid w:val="0"/>
              <w:spacing w:line="400" w:lineRule="exact"/>
              <w:jc w:val="center"/>
              <w:rPr>
                <w:rFonts w:ascii="宋体" w:hAnsi="宋体"/>
                <w:kern w:val="0"/>
                <w:szCs w:val="21"/>
                <w:highlight w:val="none"/>
              </w:rPr>
            </w:pPr>
            <w:r>
              <w:rPr>
                <w:rFonts w:hint="eastAsia" w:ascii="宋体" w:hAnsi="宋体"/>
                <w:kern w:val="0"/>
                <w:szCs w:val="21"/>
                <w:highlight w:val="none"/>
              </w:rPr>
              <w:t>投标人</w:t>
            </w:r>
            <w:r>
              <w:rPr>
                <w:rFonts w:ascii="宋体" w:hAnsi="宋体"/>
                <w:kern w:val="0"/>
                <w:szCs w:val="21"/>
                <w:highlight w:val="none"/>
              </w:rPr>
              <w:t>对招标文件提出</w:t>
            </w:r>
            <w:r>
              <w:rPr>
                <w:rFonts w:hint="eastAsia" w:ascii="宋体" w:hAnsi="宋体"/>
                <w:kern w:val="0"/>
                <w:szCs w:val="21"/>
                <w:highlight w:val="none"/>
              </w:rPr>
              <w:t>疑问</w:t>
            </w:r>
            <w:r>
              <w:rPr>
                <w:rFonts w:ascii="宋体" w:hAnsi="宋体"/>
                <w:kern w:val="0"/>
                <w:szCs w:val="21"/>
                <w:highlight w:val="none"/>
              </w:rPr>
              <w:t>的截止时间</w:t>
            </w:r>
          </w:p>
        </w:tc>
        <w:tc>
          <w:tcPr>
            <w:tcW w:w="6490" w:type="dxa"/>
            <w:vAlign w:val="center"/>
          </w:tcPr>
          <w:p w14:paraId="7C770706">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 xml:space="preserve">投标人应仔细阅读招标文件及附件的所有内容，如有文字表述不清，图纸尺寸标注不明以及存在错、漏、缺、概念模糊和有可能出现歧义或理解上的偏差的内容等应在 </w:t>
            </w:r>
            <w:r>
              <w:rPr>
                <w:rFonts w:hint="eastAsia" w:ascii="宋体" w:hAnsi="宋体"/>
                <w:kern w:val="0"/>
                <w:szCs w:val="21"/>
                <w:highlight w:val="none"/>
                <w:u w:val="single"/>
              </w:rPr>
              <w:t>2025</w:t>
            </w:r>
            <w:r>
              <w:rPr>
                <w:rFonts w:hint="eastAsia" w:ascii="宋体" w:hAnsi="宋体"/>
                <w:kern w:val="0"/>
                <w:szCs w:val="21"/>
                <w:highlight w:val="none"/>
              </w:rPr>
              <w:t>年</w:t>
            </w:r>
            <w:r>
              <w:rPr>
                <w:rFonts w:hint="eastAsia" w:ascii="宋体" w:hAnsi="宋体"/>
                <w:kern w:val="0"/>
                <w:szCs w:val="21"/>
                <w:highlight w:val="none"/>
                <w:u w:val="single"/>
              </w:rPr>
              <w:t>12</w:t>
            </w:r>
            <w:r>
              <w:rPr>
                <w:rFonts w:hint="eastAsia" w:ascii="宋体" w:hAnsi="宋体"/>
                <w:kern w:val="0"/>
                <w:szCs w:val="21"/>
                <w:highlight w:val="none"/>
              </w:rPr>
              <w:t>月</w:t>
            </w:r>
            <w:r>
              <w:rPr>
                <w:rFonts w:hint="eastAsia" w:ascii="宋体" w:hAnsi="宋体"/>
                <w:kern w:val="0"/>
                <w:szCs w:val="21"/>
                <w:highlight w:val="none"/>
                <w:u w:val="single"/>
                <w:lang w:val="en-US" w:eastAsia="zh-CN"/>
              </w:rPr>
              <w:t>19</w:t>
            </w:r>
            <w:r>
              <w:rPr>
                <w:rFonts w:hint="eastAsia" w:ascii="宋体" w:hAnsi="宋体"/>
                <w:kern w:val="0"/>
                <w:szCs w:val="21"/>
                <w:highlight w:val="none"/>
              </w:rPr>
              <w:t>日</w:t>
            </w:r>
            <w:commentRangeStart w:id="1"/>
            <w:r>
              <w:rPr>
                <w:rFonts w:hint="eastAsia" w:ascii="宋体" w:hAnsi="宋体"/>
                <w:kern w:val="0"/>
                <w:szCs w:val="21"/>
                <w:highlight w:val="none"/>
              </w:rPr>
              <w:t xml:space="preserve"> </w:t>
            </w:r>
            <w:r>
              <w:rPr>
                <w:rFonts w:hint="eastAsia" w:ascii="宋体" w:hAnsi="宋体"/>
                <w:kern w:val="0"/>
                <w:szCs w:val="21"/>
                <w:highlight w:val="none"/>
                <w:u w:val="single"/>
              </w:rPr>
              <w:t>1</w:t>
            </w:r>
            <w:r>
              <w:rPr>
                <w:rFonts w:hint="eastAsia" w:ascii="宋体" w:hAnsi="宋体"/>
                <w:kern w:val="0"/>
                <w:szCs w:val="21"/>
                <w:highlight w:val="none"/>
                <w:u w:val="single"/>
                <w:lang w:val="en-US" w:eastAsia="zh-CN"/>
              </w:rPr>
              <w:t>6</w:t>
            </w:r>
            <w:r>
              <w:rPr>
                <w:rFonts w:hint="eastAsia" w:ascii="宋体" w:hAnsi="宋体"/>
                <w:kern w:val="0"/>
                <w:szCs w:val="21"/>
                <w:highlight w:val="none"/>
                <w:u w:val="single"/>
              </w:rPr>
              <w:t xml:space="preserve"> </w:t>
            </w:r>
            <w:r>
              <w:rPr>
                <w:rFonts w:hint="eastAsia" w:ascii="宋体" w:hAnsi="宋体"/>
                <w:kern w:val="0"/>
                <w:szCs w:val="21"/>
                <w:highlight w:val="none"/>
              </w:rPr>
              <w:t xml:space="preserve">时 </w:t>
            </w:r>
            <w:commentRangeEnd w:id="1"/>
            <w:r>
              <w:rPr>
                <w:rStyle w:val="54"/>
                <w:highlight w:val="none"/>
              </w:rPr>
              <w:commentReference w:id="1"/>
            </w:r>
            <w:r>
              <w:rPr>
                <w:rFonts w:hint="eastAsia" w:ascii="宋体" w:hAnsi="宋体"/>
                <w:kern w:val="0"/>
                <w:szCs w:val="21"/>
                <w:highlight w:val="none"/>
                <w:u w:val="single"/>
              </w:rPr>
              <w:t xml:space="preserve">00 </w:t>
            </w:r>
            <w:r>
              <w:rPr>
                <w:rFonts w:hint="eastAsia" w:ascii="宋体" w:hAnsi="宋体"/>
                <w:kern w:val="0"/>
                <w:szCs w:val="21"/>
                <w:highlight w:val="none"/>
              </w:rPr>
              <w:t>分（北京时间）前以书面形式提交。</w:t>
            </w:r>
          </w:p>
        </w:tc>
      </w:tr>
      <w:tr w14:paraId="67102A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31E3427E">
            <w:pPr>
              <w:snapToGrid w:val="0"/>
              <w:spacing w:line="400" w:lineRule="exact"/>
              <w:jc w:val="center"/>
              <w:rPr>
                <w:rFonts w:ascii="宋体" w:hAnsi="宋体"/>
                <w:kern w:val="0"/>
                <w:szCs w:val="21"/>
              </w:rPr>
            </w:pPr>
            <w:r>
              <w:rPr>
                <w:rFonts w:ascii="宋体" w:hAnsi="宋体"/>
                <w:kern w:val="0"/>
                <w:szCs w:val="21"/>
              </w:rPr>
              <w:t>2.2.2</w:t>
            </w:r>
          </w:p>
        </w:tc>
        <w:tc>
          <w:tcPr>
            <w:tcW w:w="1644" w:type="dxa"/>
            <w:tcBorders>
              <w:top w:val="single" w:color="auto" w:sz="4" w:space="0"/>
            </w:tcBorders>
            <w:vAlign w:val="center"/>
          </w:tcPr>
          <w:p w14:paraId="241C9C51">
            <w:pPr>
              <w:snapToGrid w:val="0"/>
              <w:spacing w:line="400" w:lineRule="exact"/>
              <w:jc w:val="center"/>
              <w:rPr>
                <w:rFonts w:ascii="宋体" w:hAnsi="宋体"/>
                <w:kern w:val="0"/>
                <w:szCs w:val="21"/>
                <w:highlight w:val="none"/>
              </w:rPr>
            </w:pPr>
            <w:r>
              <w:rPr>
                <w:rFonts w:hint="eastAsia" w:ascii="宋体" w:hAnsi="宋体"/>
                <w:kern w:val="0"/>
                <w:szCs w:val="21"/>
                <w:highlight w:val="none"/>
              </w:rPr>
              <w:t>比选人</w:t>
            </w:r>
            <w:r>
              <w:rPr>
                <w:rFonts w:ascii="宋体" w:hAnsi="宋体"/>
                <w:kern w:val="0"/>
                <w:szCs w:val="21"/>
                <w:highlight w:val="none"/>
              </w:rPr>
              <w:t>对招标文件</w:t>
            </w:r>
            <w:r>
              <w:rPr>
                <w:rFonts w:hint="eastAsia" w:ascii="宋体" w:hAnsi="宋体"/>
                <w:kern w:val="0"/>
                <w:szCs w:val="21"/>
                <w:highlight w:val="none"/>
              </w:rPr>
              <w:t>澄清</w:t>
            </w:r>
            <w:r>
              <w:rPr>
                <w:rFonts w:ascii="宋体" w:hAnsi="宋体"/>
                <w:kern w:val="0"/>
                <w:szCs w:val="21"/>
                <w:highlight w:val="none"/>
              </w:rPr>
              <w:t>的截止时间</w:t>
            </w:r>
          </w:p>
        </w:tc>
        <w:tc>
          <w:tcPr>
            <w:tcW w:w="6490" w:type="dxa"/>
            <w:vAlign w:val="center"/>
          </w:tcPr>
          <w:p w14:paraId="5CE106F0">
            <w:pPr>
              <w:snapToGrid w:val="0"/>
              <w:spacing w:line="400" w:lineRule="exact"/>
              <w:ind w:firstLine="420" w:firstLineChars="200"/>
              <w:rPr>
                <w:rFonts w:ascii="宋体" w:hAnsi="宋体"/>
                <w:snapToGrid w:val="0"/>
                <w:kern w:val="0"/>
                <w:szCs w:val="21"/>
                <w:highlight w:val="none"/>
              </w:rPr>
            </w:pPr>
            <w:r>
              <w:rPr>
                <w:rFonts w:hint="eastAsia" w:ascii="宋体" w:hAnsi="宋体"/>
                <w:szCs w:val="21"/>
                <w:highlight w:val="none"/>
                <w:u w:val="single"/>
              </w:rPr>
              <w:t>2025</w:t>
            </w:r>
            <w:r>
              <w:rPr>
                <w:rFonts w:hint="eastAsia" w:ascii="宋体" w:hAnsi="宋体"/>
                <w:szCs w:val="21"/>
                <w:highlight w:val="none"/>
              </w:rPr>
              <w:t>年</w:t>
            </w:r>
            <w:r>
              <w:rPr>
                <w:rFonts w:hint="eastAsia" w:ascii="宋体" w:hAnsi="宋体"/>
                <w:szCs w:val="21"/>
                <w:highlight w:val="none"/>
                <w:u w:val="single"/>
              </w:rPr>
              <w:t>12</w:t>
            </w:r>
            <w:r>
              <w:rPr>
                <w:rFonts w:hint="eastAsia" w:ascii="宋体" w:hAnsi="宋体"/>
                <w:szCs w:val="21"/>
                <w:highlight w:val="none"/>
              </w:rPr>
              <w:t>月</w:t>
            </w:r>
            <w:r>
              <w:rPr>
                <w:rFonts w:hint="eastAsia" w:ascii="宋体" w:hAnsi="宋体"/>
                <w:szCs w:val="21"/>
                <w:highlight w:val="none"/>
                <w:u w:val="single"/>
              </w:rPr>
              <w:t>1</w:t>
            </w:r>
            <w:r>
              <w:rPr>
                <w:rFonts w:hint="eastAsia" w:ascii="宋体" w:hAnsi="宋体"/>
                <w:szCs w:val="21"/>
                <w:highlight w:val="none"/>
                <w:u w:val="single"/>
                <w:lang w:val="en-US" w:eastAsia="zh-CN"/>
              </w:rPr>
              <w:t>9</w:t>
            </w:r>
            <w:r>
              <w:rPr>
                <w:rFonts w:hint="eastAsia" w:ascii="宋体" w:hAnsi="宋体"/>
                <w:szCs w:val="21"/>
                <w:highlight w:val="none"/>
              </w:rPr>
              <w:t xml:space="preserve">日 </w:t>
            </w:r>
            <w:r>
              <w:rPr>
                <w:rFonts w:hint="eastAsia" w:ascii="宋体" w:hAnsi="宋体"/>
                <w:szCs w:val="21"/>
                <w:highlight w:val="none"/>
                <w:u w:val="single"/>
              </w:rPr>
              <w:t>18</w:t>
            </w:r>
            <w:r>
              <w:rPr>
                <w:rFonts w:hint="eastAsia" w:ascii="宋体" w:hAnsi="宋体"/>
                <w:szCs w:val="21"/>
                <w:highlight w:val="none"/>
              </w:rPr>
              <w:t xml:space="preserve"> 时</w:t>
            </w:r>
            <w:r>
              <w:rPr>
                <w:rFonts w:hint="eastAsia" w:ascii="宋体" w:hAnsi="宋体"/>
                <w:szCs w:val="21"/>
                <w:highlight w:val="none"/>
                <w:u w:val="single"/>
              </w:rPr>
              <w:t xml:space="preserve"> 00</w:t>
            </w:r>
            <w:r>
              <w:rPr>
                <w:rFonts w:hint="eastAsia" w:ascii="宋体" w:hAnsi="宋体"/>
                <w:szCs w:val="21"/>
                <w:highlight w:val="none"/>
              </w:rPr>
              <w:t xml:space="preserve"> 分（北京时间）前对所有投标人提出的问题在《行采家》https://www.gec123.com/发布，投标人在开标前因未随时关注发布的补遗通知而产生的一切后果由投标人自负。 </w:t>
            </w:r>
          </w:p>
        </w:tc>
      </w:tr>
      <w:tr w14:paraId="5EFAA3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07D71F19">
            <w:pPr>
              <w:snapToGrid w:val="0"/>
              <w:spacing w:line="400" w:lineRule="exact"/>
              <w:jc w:val="center"/>
              <w:rPr>
                <w:rFonts w:ascii="宋体" w:hAnsi="宋体"/>
                <w:kern w:val="0"/>
                <w:szCs w:val="21"/>
              </w:rPr>
            </w:pPr>
          </w:p>
        </w:tc>
        <w:tc>
          <w:tcPr>
            <w:tcW w:w="1644" w:type="dxa"/>
            <w:vAlign w:val="center"/>
          </w:tcPr>
          <w:p w14:paraId="52991998">
            <w:pPr>
              <w:snapToGrid w:val="0"/>
              <w:spacing w:line="400" w:lineRule="exact"/>
              <w:jc w:val="center"/>
              <w:rPr>
                <w:rFonts w:ascii="宋体" w:hAnsi="宋体"/>
                <w:kern w:val="0"/>
                <w:szCs w:val="21"/>
              </w:rPr>
            </w:pPr>
            <w:r>
              <w:rPr>
                <w:rFonts w:hint="eastAsia" w:ascii="宋体" w:hAnsi="宋体"/>
                <w:kern w:val="0"/>
                <w:szCs w:val="21"/>
              </w:rPr>
              <w:t>投标截止时间</w:t>
            </w:r>
          </w:p>
        </w:tc>
        <w:tc>
          <w:tcPr>
            <w:tcW w:w="6490" w:type="dxa"/>
            <w:vAlign w:val="center"/>
          </w:tcPr>
          <w:p w14:paraId="4C1CBD54">
            <w:pPr>
              <w:snapToGrid w:val="0"/>
              <w:spacing w:line="400" w:lineRule="exact"/>
              <w:ind w:firstLine="420" w:firstLineChars="200"/>
              <w:rPr>
                <w:rFonts w:ascii="宋体" w:hAnsi="宋体"/>
                <w:szCs w:val="21"/>
                <w:u w:val="single"/>
              </w:rPr>
            </w:pPr>
            <w:r>
              <w:rPr>
                <w:rFonts w:hint="eastAsia" w:ascii="宋体" w:hAnsi="宋体"/>
                <w:szCs w:val="21"/>
              </w:rPr>
              <w:t>详见比选公告规定的投标截止时间。</w:t>
            </w:r>
          </w:p>
        </w:tc>
      </w:tr>
      <w:tr w14:paraId="3E0E8E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337836A">
            <w:pPr>
              <w:snapToGrid w:val="0"/>
              <w:spacing w:line="400" w:lineRule="exact"/>
              <w:jc w:val="center"/>
              <w:rPr>
                <w:rFonts w:ascii="宋体" w:hAnsi="宋体"/>
                <w:kern w:val="0"/>
                <w:szCs w:val="21"/>
              </w:rPr>
            </w:pPr>
            <w:r>
              <w:rPr>
                <w:rFonts w:ascii="宋体" w:hAnsi="宋体"/>
                <w:kern w:val="0"/>
                <w:szCs w:val="21"/>
              </w:rPr>
              <w:t>2.2.3</w:t>
            </w:r>
          </w:p>
        </w:tc>
        <w:tc>
          <w:tcPr>
            <w:tcW w:w="1644" w:type="dxa"/>
            <w:vAlign w:val="center"/>
          </w:tcPr>
          <w:p w14:paraId="0F5C5F7D">
            <w:pPr>
              <w:snapToGrid w:val="0"/>
              <w:spacing w:after="15" w:afterLines="5" w:line="400" w:lineRule="exact"/>
              <w:jc w:val="center"/>
              <w:rPr>
                <w:rFonts w:ascii="宋体" w:hAnsi="宋体"/>
                <w:kern w:val="0"/>
                <w:szCs w:val="21"/>
              </w:rPr>
            </w:pPr>
            <w:r>
              <w:rPr>
                <w:rFonts w:hint="eastAsia" w:ascii="宋体" w:hAnsi="宋体"/>
                <w:kern w:val="0"/>
                <w:szCs w:val="21"/>
              </w:rPr>
              <w:t>比选人</w:t>
            </w:r>
            <w:r>
              <w:rPr>
                <w:rFonts w:ascii="宋体" w:hAnsi="宋体"/>
                <w:kern w:val="0"/>
                <w:szCs w:val="21"/>
              </w:rPr>
              <w:t>对招标文件进行</w:t>
            </w:r>
            <w:r>
              <w:rPr>
                <w:rFonts w:hint="eastAsia" w:ascii="宋体" w:hAnsi="宋体"/>
                <w:kern w:val="0"/>
                <w:szCs w:val="21"/>
              </w:rPr>
              <w:t>修改</w:t>
            </w:r>
            <w:r>
              <w:rPr>
                <w:rFonts w:ascii="宋体" w:hAnsi="宋体"/>
                <w:kern w:val="0"/>
                <w:szCs w:val="21"/>
              </w:rPr>
              <w:t>的时间</w:t>
            </w:r>
          </w:p>
        </w:tc>
        <w:tc>
          <w:tcPr>
            <w:tcW w:w="6490" w:type="dxa"/>
            <w:vAlign w:val="center"/>
          </w:tcPr>
          <w:p w14:paraId="7AE17C93">
            <w:pPr>
              <w:snapToGrid w:val="0"/>
              <w:spacing w:line="400" w:lineRule="exact"/>
              <w:ind w:firstLine="420" w:firstLineChars="200"/>
              <w:rPr>
                <w:rFonts w:ascii="宋体" w:hAnsi="宋体"/>
                <w:szCs w:val="21"/>
              </w:rPr>
            </w:pPr>
            <w:r>
              <w:rPr>
                <w:rFonts w:hint="eastAsia" w:ascii="宋体" w:hAnsi="宋体"/>
                <w:snapToGrid w:val="0"/>
                <w:kern w:val="0"/>
                <w:szCs w:val="21"/>
              </w:rPr>
              <w:t>修改</w:t>
            </w:r>
            <w:r>
              <w:rPr>
                <w:rFonts w:ascii="宋体" w:hAnsi="宋体"/>
                <w:snapToGrid w:val="0"/>
                <w:kern w:val="0"/>
                <w:szCs w:val="21"/>
              </w:rPr>
              <w:t>内容可能影响</w:t>
            </w:r>
            <w:r>
              <w:rPr>
                <w:rFonts w:hint="eastAsia" w:ascii="宋体" w:hAnsi="宋体"/>
                <w:snapToGrid w:val="0"/>
                <w:kern w:val="0"/>
                <w:szCs w:val="21"/>
              </w:rPr>
              <w:t>投标文件</w:t>
            </w:r>
            <w:r>
              <w:rPr>
                <w:rFonts w:ascii="宋体" w:hAnsi="宋体"/>
                <w:snapToGrid w:val="0"/>
                <w:kern w:val="0"/>
                <w:szCs w:val="21"/>
              </w:rPr>
              <w:t>编制的，须在投标截止时间</w:t>
            </w:r>
            <w:r>
              <w:rPr>
                <w:rFonts w:hint="eastAsia" w:ascii="宋体" w:hAnsi="宋体"/>
                <w:snapToGrid w:val="0"/>
                <w:kern w:val="0"/>
                <w:szCs w:val="21"/>
              </w:rPr>
              <w:t>2</w:t>
            </w:r>
            <w:r>
              <w:rPr>
                <w:rFonts w:ascii="宋体" w:hAnsi="宋体"/>
                <w:snapToGrid w:val="0"/>
                <w:kern w:val="0"/>
                <w:szCs w:val="21"/>
              </w:rPr>
              <w:t>日前发布，发布时间至投标截止时间不足</w:t>
            </w:r>
            <w:r>
              <w:rPr>
                <w:rFonts w:hint="eastAsia" w:ascii="宋体" w:hAnsi="宋体"/>
                <w:snapToGrid w:val="0"/>
                <w:kern w:val="0"/>
                <w:szCs w:val="21"/>
              </w:rPr>
              <w:t>2</w:t>
            </w:r>
            <w:r>
              <w:rPr>
                <w:rFonts w:ascii="宋体" w:hAnsi="宋体"/>
                <w:snapToGrid w:val="0"/>
                <w:kern w:val="0"/>
                <w:szCs w:val="21"/>
              </w:rPr>
              <w:t>日的，须相应延后投标截止时间。</w:t>
            </w:r>
          </w:p>
        </w:tc>
      </w:tr>
      <w:tr w14:paraId="56322A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0A7C7E4">
            <w:pPr>
              <w:snapToGrid w:val="0"/>
              <w:spacing w:line="400" w:lineRule="exact"/>
              <w:jc w:val="center"/>
              <w:rPr>
                <w:rFonts w:ascii="宋体" w:hAnsi="宋体"/>
                <w:kern w:val="0"/>
                <w:szCs w:val="21"/>
              </w:rPr>
            </w:pPr>
            <w:r>
              <w:rPr>
                <w:rFonts w:ascii="宋体" w:hAnsi="宋体"/>
                <w:kern w:val="0"/>
                <w:szCs w:val="21"/>
              </w:rPr>
              <w:t>3.1</w:t>
            </w:r>
          </w:p>
        </w:tc>
        <w:tc>
          <w:tcPr>
            <w:tcW w:w="1644" w:type="dxa"/>
            <w:vAlign w:val="center"/>
          </w:tcPr>
          <w:p w14:paraId="73ABCFF5">
            <w:pPr>
              <w:snapToGrid w:val="0"/>
              <w:spacing w:after="31" w:afterLines="10" w:line="400" w:lineRule="exact"/>
              <w:jc w:val="center"/>
              <w:rPr>
                <w:rFonts w:ascii="宋体" w:hAnsi="宋体"/>
                <w:kern w:val="0"/>
                <w:szCs w:val="21"/>
              </w:rPr>
            </w:pPr>
            <w:r>
              <w:rPr>
                <w:rFonts w:ascii="宋体" w:hAnsi="宋体"/>
                <w:kern w:val="0"/>
                <w:szCs w:val="21"/>
              </w:rPr>
              <w:t>构成</w:t>
            </w:r>
            <w:r>
              <w:rPr>
                <w:rFonts w:hint="eastAsia" w:ascii="宋体" w:hAnsi="宋体"/>
                <w:kern w:val="0"/>
                <w:szCs w:val="21"/>
              </w:rPr>
              <w:t>投标文件</w:t>
            </w:r>
            <w:r>
              <w:rPr>
                <w:rFonts w:ascii="宋体" w:hAnsi="宋体"/>
                <w:kern w:val="0"/>
                <w:szCs w:val="21"/>
              </w:rPr>
              <w:t>的其他材料</w:t>
            </w:r>
          </w:p>
        </w:tc>
        <w:tc>
          <w:tcPr>
            <w:tcW w:w="6490" w:type="dxa"/>
            <w:vAlign w:val="center"/>
          </w:tcPr>
          <w:p w14:paraId="2EBD909E">
            <w:pPr>
              <w:snapToGrid w:val="0"/>
              <w:spacing w:line="400" w:lineRule="exact"/>
              <w:ind w:firstLine="420" w:firstLineChars="200"/>
              <w:rPr>
                <w:rFonts w:ascii="宋体" w:hAnsi="宋体"/>
                <w:szCs w:val="21"/>
              </w:rPr>
            </w:pPr>
            <w:r>
              <w:rPr>
                <w:rFonts w:hint="eastAsia" w:ascii="宋体" w:hAnsi="宋体"/>
                <w:szCs w:val="21"/>
              </w:rPr>
              <w:t>投标人</w:t>
            </w:r>
            <w:r>
              <w:rPr>
                <w:rFonts w:ascii="宋体" w:hAnsi="宋体"/>
                <w:szCs w:val="21"/>
              </w:rPr>
              <w:t>的书面澄清、说明和补正（但不得改变</w:t>
            </w:r>
            <w:r>
              <w:rPr>
                <w:rFonts w:hint="eastAsia" w:ascii="宋体" w:hAnsi="宋体"/>
                <w:szCs w:val="21"/>
              </w:rPr>
              <w:t>投标文件</w:t>
            </w:r>
            <w:r>
              <w:rPr>
                <w:rFonts w:ascii="宋体" w:hAnsi="宋体"/>
                <w:szCs w:val="21"/>
              </w:rPr>
              <w:t>的实质性内容）</w:t>
            </w:r>
          </w:p>
        </w:tc>
      </w:tr>
      <w:tr w14:paraId="0CF90A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7FFE28B">
            <w:pPr>
              <w:snapToGrid w:val="0"/>
              <w:spacing w:line="400" w:lineRule="exact"/>
              <w:jc w:val="center"/>
              <w:rPr>
                <w:rFonts w:ascii="宋体" w:hAnsi="宋体"/>
                <w:kern w:val="0"/>
                <w:szCs w:val="21"/>
              </w:rPr>
            </w:pPr>
            <w:r>
              <w:rPr>
                <w:rFonts w:ascii="宋体" w:hAnsi="宋体"/>
                <w:kern w:val="0"/>
                <w:szCs w:val="21"/>
              </w:rPr>
              <w:t>3.2</w:t>
            </w:r>
          </w:p>
        </w:tc>
        <w:tc>
          <w:tcPr>
            <w:tcW w:w="1644" w:type="dxa"/>
            <w:vAlign w:val="center"/>
          </w:tcPr>
          <w:p w14:paraId="2ECD05EC">
            <w:pPr>
              <w:snapToGrid w:val="0"/>
              <w:spacing w:line="400" w:lineRule="exact"/>
              <w:jc w:val="center"/>
              <w:rPr>
                <w:rFonts w:ascii="宋体" w:hAnsi="宋体"/>
                <w:kern w:val="0"/>
                <w:szCs w:val="21"/>
              </w:rPr>
            </w:pPr>
            <w:r>
              <w:rPr>
                <w:rFonts w:ascii="宋体" w:hAnsi="宋体"/>
                <w:kern w:val="0"/>
                <w:szCs w:val="21"/>
              </w:rPr>
              <w:t>投标报价</w:t>
            </w:r>
          </w:p>
        </w:tc>
        <w:tc>
          <w:tcPr>
            <w:tcW w:w="6490" w:type="dxa"/>
            <w:vAlign w:val="center"/>
          </w:tcPr>
          <w:p w14:paraId="45AEEAEA">
            <w:pPr>
              <w:pStyle w:val="2"/>
              <w:tabs>
                <w:tab w:val="left" w:pos="546"/>
                <w:tab w:val="left" w:pos="711"/>
              </w:tabs>
              <w:snapToGrid w:val="0"/>
              <w:spacing w:after="0" w:line="400" w:lineRule="exact"/>
              <w:ind w:firstLine="420" w:firstLineChars="200"/>
            </w:pPr>
            <w:r>
              <w:t>1.</w:t>
            </w:r>
            <w:r>
              <w:rPr>
                <w:rFonts w:hint="eastAsia"/>
              </w:rPr>
              <w:t>本项目工程量清单采用全费用综合单价计价。</w:t>
            </w:r>
          </w:p>
          <w:p w14:paraId="5C644B65">
            <w:pPr>
              <w:pStyle w:val="2"/>
              <w:tabs>
                <w:tab w:val="left" w:pos="546"/>
                <w:tab w:val="left" w:pos="711"/>
              </w:tabs>
              <w:snapToGrid w:val="0"/>
              <w:spacing w:after="0" w:line="400" w:lineRule="exact"/>
              <w:ind w:left="6" w:leftChars="3" w:firstLine="420" w:firstLineChars="200"/>
            </w:pPr>
            <w:r>
              <w:t>2.</w:t>
            </w:r>
            <w:r>
              <w:rPr>
                <w:rFonts w:hint="eastAsia"/>
              </w:rPr>
              <w:t>投标人应按《建设工程工程量清单计价规范》（GB50500-2013）及重庆市相关工程量清单计价规则的要求填写相应清单表格。投标人应按本须知、《重庆市建设工程费用定额》（CQFYDE-2018）、《重庆市住房和城乡建设委员会关于适用增值税新税率调整建设工程计价依据的通知》（渝建〔2019〕143号）和第五章“工程量清单”的要求填写相应清单表格。投标人的投标报价应是本章投标人须知前附表第1.3.1项中所述的本工程合同段招标范围内的全部工程的投标报价，并以投标人在工程量清单中提出的单价或总价</w:t>
            </w:r>
            <w:r>
              <w:footnoteReference w:id="0"/>
            </w:r>
            <w:r>
              <w:rPr>
                <w:rFonts w:hint="eastAsia"/>
              </w:rPr>
              <w:t>为依据。</w:t>
            </w:r>
          </w:p>
          <w:p w14:paraId="24EEBDB6">
            <w:pPr>
              <w:tabs>
                <w:tab w:val="left" w:pos="546"/>
                <w:tab w:val="left" w:pos="711"/>
              </w:tabs>
              <w:snapToGrid w:val="0"/>
              <w:spacing w:line="400" w:lineRule="exact"/>
              <w:ind w:left="6" w:leftChars="3" w:firstLine="420" w:firstLineChars="200"/>
            </w:pPr>
            <w:r>
              <w:t>3.</w:t>
            </w:r>
            <w:r>
              <w:rPr>
                <w:rFonts w:hint="eastAsia"/>
              </w:rPr>
              <w:t>投标人应认真填写工程量清单中所列的本合同各工程子目的单价或总价。投标人没有填入单价或总价的工程子目，比选人将认为该子目的价款已包括在工程量清单其他子目的单价和总价中。投标人必须按招标工程量清单填报价格。项目编码、项目名称、项目特征、计量单位、工程量必须与招标工程量清单一致。</w:t>
            </w:r>
          </w:p>
          <w:p w14:paraId="70053105">
            <w:pPr>
              <w:tabs>
                <w:tab w:val="left" w:pos="546"/>
                <w:tab w:val="left" w:pos="711"/>
              </w:tabs>
              <w:snapToGrid w:val="0"/>
              <w:spacing w:line="400" w:lineRule="exact"/>
              <w:ind w:left="6" w:leftChars="3" w:firstLine="420" w:firstLineChars="200"/>
            </w:pPr>
            <w:r>
              <w:t>4.</w:t>
            </w:r>
            <w:r>
              <w:rPr>
                <w:rFonts w:hint="eastAsia"/>
              </w:rPr>
              <w:t>投标函中的总报价必须与已标价工程量清单总报价一致。否则由评标委员会作否决投标处理。</w:t>
            </w:r>
          </w:p>
          <w:p w14:paraId="5C7C43F8">
            <w:pPr>
              <w:pStyle w:val="2"/>
              <w:tabs>
                <w:tab w:val="left" w:pos="546"/>
                <w:tab w:val="left" w:pos="711"/>
              </w:tabs>
              <w:snapToGrid w:val="0"/>
              <w:spacing w:after="0" w:line="400" w:lineRule="exact"/>
              <w:ind w:left="6" w:leftChars="3" w:firstLine="420" w:firstLineChars="200"/>
            </w:pPr>
            <w:r>
              <w:t>5.</w:t>
            </w:r>
            <w:r>
              <w:rPr>
                <w:rFonts w:hint="eastAsia"/>
              </w:rPr>
              <w:t>（1）在合同实施期间，单价和总价按专用合同条款第11条的规定可调整。</w:t>
            </w:r>
          </w:p>
          <w:p w14:paraId="336A878F">
            <w:pPr>
              <w:pStyle w:val="2"/>
              <w:tabs>
                <w:tab w:val="left" w:pos="546"/>
                <w:tab w:val="left" w:pos="711"/>
              </w:tabs>
              <w:snapToGrid w:val="0"/>
              <w:spacing w:after="0" w:line="400" w:lineRule="exact"/>
              <w:ind w:left="6" w:leftChars="3" w:firstLine="420" w:firstLineChars="200"/>
            </w:pPr>
            <w:r>
              <w:rPr>
                <w:rFonts w:hint="eastAsia"/>
              </w:rPr>
              <w:t>（2）增值税计税方法由比选人依据国家税法规定选择：</w:t>
            </w:r>
          </w:p>
          <w:p w14:paraId="77DB3864">
            <w:pPr>
              <w:pStyle w:val="2"/>
              <w:tabs>
                <w:tab w:val="left" w:pos="546"/>
                <w:tab w:val="left" w:pos="711"/>
              </w:tabs>
              <w:snapToGrid w:val="0"/>
              <w:spacing w:after="0" w:line="400" w:lineRule="exact"/>
              <w:ind w:left="6" w:leftChars="3" w:firstLine="420" w:firstLineChars="200"/>
            </w:pPr>
            <w:r>
              <w:rPr>
                <w:rFonts w:hint="eastAsia"/>
              </w:rPr>
              <w:t>☑一般计税法</w:t>
            </w:r>
          </w:p>
          <w:p w14:paraId="2473906D">
            <w:pPr>
              <w:pStyle w:val="2"/>
              <w:tabs>
                <w:tab w:val="left" w:pos="546"/>
                <w:tab w:val="left" w:pos="711"/>
              </w:tabs>
              <w:snapToGrid w:val="0"/>
              <w:spacing w:after="0" w:line="400" w:lineRule="exact"/>
              <w:ind w:left="6" w:leftChars="3" w:firstLine="420" w:firstLineChars="200"/>
            </w:pPr>
            <w:r>
              <w:t>6.</w:t>
            </w:r>
            <w:r>
              <w:rPr>
                <w:rFonts w:hint="eastAsia"/>
              </w:rPr>
              <w:t>如发现工程量清单中的数量与图纸中数量不一致，应于本须知第2.2.1项中规定的时间前书面通知比选人核查，除非比选人以修改的形式予以更正，否则，应以工程量清单中列出的数量为准。</w:t>
            </w:r>
          </w:p>
          <w:p w14:paraId="3C2D1E6C">
            <w:pPr>
              <w:tabs>
                <w:tab w:val="left" w:pos="546"/>
                <w:tab w:val="left" w:pos="711"/>
              </w:tabs>
              <w:snapToGrid w:val="0"/>
              <w:spacing w:line="400" w:lineRule="exact"/>
              <w:ind w:firstLine="420" w:firstLineChars="200"/>
            </w:pPr>
            <w:r>
              <w:t>7.</w:t>
            </w:r>
            <w:r>
              <w:rPr>
                <w:rFonts w:hint="eastAsia"/>
              </w:rPr>
              <w:t>比选人在工程量清单中所列出的价格（包括暂列金额、暂估价等），投标人不得修改。</w:t>
            </w:r>
          </w:p>
          <w:p w14:paraId="06B14AE3">
            <w:pPr>
              <w:tabs>
                <w:tab w:val="left" w:pos="546"/>
                <w:tab w:val="left" w:pos="711"/>
              </w:tabs>
              <w:snapToGrid w:val="0"/>
              <w:spacing w:line="400" w:lineRule="exact"/>
              <w:ind w:firstLine="420" w:firstLineChars="200"/>
            </w:pPr>
            <w:r>
              <w:rPr>
                <w:rFonts w:hint="eastAsia"/>
              </w:rPr>
              <w:t>8.本工程招标将设置投标总报价最高限价，投标总报价最高限价为416212.49元，投标人的投标总报价不得超过其最高限价，否则由评标委员会作否决投标处理。</w:t>
            </w:r>
          </w:p>
          <w:p w14:paraId="09A49D62">
            <w:pPr>
              <w:tabs>
                <w:tab w:val="left" w:pos="546"/>
                <w:tab w:val="left" w:pos="711"/>
              </w:tabs>
              <w:snapToGrid w:val="0"/>
              <w:spacing w:line="400" w:lineRule="exact"/>
              <w:ind w:firstLine="420" w:firstLineChars="200"/>
            </w:pPr>
            <w:r>
              <w:rPr>
                <w:rFonts w:hint="eastAsia"/>
              </w:rPr>
              <w:t>本工程招标将设置全部全费用工程量清单综合单价最高限价，全费用工程量清单综合单价最高限价随比选文件发布，投标人的每项全费用工程量清单综合单价报价不得超过其对应清单综合单价最高限价。</w:t>
            </w:r>
          </w:p>
          <w:p w14:paraId="280F8C95">
            <w:pPr>
              <w:tabs>
                <w:tab w:val="left" w:pos="546"/>
                <w:tab w:val="left" w:pos="711"/>
              </w:tabs>
              <w:snapToGrid w:val="0"/>
              <w:spacing w:line="400" w:lineRule="exact"/>
              <w:ind w:firstLine="420" w:firstLineChars="200"/>
            </w:pPr>
            <w:r>
              <w:rPr>
                <w:rFonts w:hint="eastAsia"/>
              </w:rPr>
              <w:t>比选人在合同签订前将对中标人已标价工程量清单进行清标。若发现中标人的工程量清单综合单价报价超过招标时给出的工程量清单综合单价最高限价的，在工程结算时比选人将以发出的全费用工程量清单综合单价最高限价为基础，按照中标人的中标总报价与本工程的总价最高限价的下浮比例进行同比例下调，中标人必须无条件接受，否则按中标人违约处理。投标人须在投标文件资格审查部分提供承诺函，承诺函包括以下内容：</w:t>
            </w:r>
          </w:p>
          <w:p w14:paraId="036A5B37">
            <w:pPr>
              <w:tabs>
                <w:tab w:val="left" w:pos="546"/>
                <w:tab w:val="left" w:pos="711"/>
              </w:tabs>
              <w:snapToGrid w:val="0"/>
              <w:spacing w:line="400" w:lineRule="exact"/>
              <w:ind w:firstLine="420" w:firstLineChars="200"/>
            </w:pPr>
            <w:r>
              <w:rPr>
                <w:rFonts w:hint="eastAsia"/>
              </w:rPr>
              <w:t>（1）符合第五章“工程量清单”给出的范围及数量。</w:t>
            </w:r>
          </w:p>
          <w:p w14:paraId="33F51820">
            <w:pPr>
              <w:tabs>
                <w:tab w:val="left" w:pos="546"/>
                <w:tab w:val="left" w:pos="711"/>
              </w:tabs>
              <w:snapToGrid w:val="0"/>
              <w:spacing w:line="400" w:lineRule="exact"/>
              <w:ind w:firstLine="420" w:firstLineChars="200"/>
            </w:pPr>
            <w:r>
              <w:rPr>
                <w:rFonts w:hint="eastAsia"/>
              </w:rPr>
              <w:t>（2）招标文件中规定工程量清单不允许修改的内容不得修改。</w:t>
            </w:r>
          </w:p>
          <w:p w14:paraId="1C6D813F">
            <w:pPr>
              <w:tabs>
                <w:tab w:val="left" w:pos="546"/>
                <w:tab w:val="left" w:pos="711"/>
              </w:tabs>
              <w:snapToGrid w:val="0"/>
              <w:spacing w:line="400" w:lineRule="exact"/>
              <w:ind w:firstLine="420" w:firstLineChars="200"/>
            </w:pPr>
            <w:r>
              <w:rPr>
                <w:rFonts w:hint="eastAsia"/>
              </w:rPr>
              <w:t>（3）每项工程量清单综合单价报价不得高于对应工程量清单综合单价最高限价。</w:t>
            </w:r>
          </w:p>
          <w:p w14:paraId="50DC80F2">
            <w:pPr>
              <w:tabs>
                <w:tab w:val="left" w:pos="546"/>
                <w:tab w:val="left" w:pos="711"/>
              </w:tabs>
              <w:snapToGrid w:val="0"/>
              <w:spacing w:line="400" w:lineRule="exact"/>
              <w:ind w:firstLine="420" w:firstLineChars="200"/>
            </w:pPr>
            <w:r>
              <w:rPr>
                <w:rFonts w:hint="eastAsia"/>
              </w:rPr>
              <w:t>9</w:t>
            </w:r>
            <w:r>
              <w:t>.</w:t>
            </w:r>
            <w:r>
              <w:rPr>
                <w:rFonts w:hint="eastAsia"/>
              </w:rPr>
              <w:t>本工程所需材料（含设备）价格由投标人参照重庆市建设工程造价管理总站发布的《重庆工程造价》或工程造价管理机构发布的工程造价信息（造价信息引用时限为比选公告发布日期前一期），并结合市场行情及自身实力进行自主报价。</w:t>
            </w:r>
          </w:p>
          <w:p w14:paraId="41ACDF05">
            <w:pPr>
              <w:pStyle w:val="2"/>
              <w:tabs>
                <w:tab w:val="left" w:pos="546"/>
                <w:tab w:val="left" w:pos="711"/>
              </w:tabs>
              <w:snapToGrid w:val="0"/>
              <w:spacing w:after="0" w:line="400" w:lineRule="exact"/>
              <w:ind w:firstLine="420" w:firstLineChars="200"/>
            </w:pPr>
            <w:r>
              <w:rPr>
                <w:rFonts w:hint="eastAsia"/>
              </w:rPr>
              <w:t xml:space="preserve">10.本项目建筑安装材料价格风险按照《重庆市城乡建设委员会关于进一步加强建筑安装材料价格风险管控的指导意见》（渝建〔2018〕61号）执行。本项目主要材料及设备价格风险内容、范围及调整方法为： 不调整 </w:t>
            </w:r>
          </w:p>
          <w:p w14:paraId="51D240C9">
            <w:pPr>
              <w:pStyle w:val="2"/>
              <w:tabs>
                <w:tab w:val="left" w:pos="546"/>
                <w:tab w:val="left" w:pos="711"/>
              </w:tabs>
              <w:snapToGrid w:val="0"/>
              <w:spacing w:after="0" w:line="400" w:lineRule="exact"/>
              <w:ind w:firstLine="420" w:firstLineChars="200"/>
            </w:pPr>
            <w:r>
              <w:t>1</w:t>
            </w:r>
            <w:r>
              <w:rPr>
                <w:rFonts w:hint="eastAsia"/>
              </w:rPr>
              <w:t>1</w:t>
            </w:r>
            <w:r>
              <w:t>.</w:t>
            </w:r>
            <w:r>
              <w:rPr>
                <w:rFonts w:hint="eastAsia"/>
              </w:rPr>
              <w:t>本项目所采用技术、工艺和产品等必须执行重庆市住房和城乡建设委员会关于发布《重庆市建设领域禁止、限制使用落后技术通告（2019年版）（渝建发〔2019〕25号）的规定。</w:t>
            </w:r>
          </w:p>
        </w:tc>
      </w:tr>
      <w:tr w14:paraId="11D614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A9F9D02">
            <w:pPr>
              <w:snapToGrid w:val="0"/>
              <w:spacing w:line="400" w:lineRule="exact"/>
              <w:jc w:val="center"/>
              <w:rPr>
                <w:rFonts w:ascii="宋体" w:hAnsi="宋体"/>
                <w:kern w:val="0"/>
                <w:szCs w:val="21"/>
              </w:rPr>
            </w:pPr>
            <w:r>
              <w:rPr>
                <w:rFonts w:ascii="宋体" w:hAnsi="宋体"/>
                <w:kern w:val="0"/>
                <w:szCs w:val="21"/>
              </w:rPr>
              <w:t>3.3.1</w:t>
            </w:r>
          </w:p>
        </w:tc>
        <w:tc>
          <w:tcPr>
            <w:tcW w:w="1644" w:type="dxa"/>
            <w:vAlign w:val="center"/>
          </w:tcPr>
          <w:p w14:paraId="38885F96">
            <w:pPr>
              <w:snapToGrid w:val="0"/>
              <w:spacing w:line="400" w:lineRule="exact"/>
              <w:jc w:val="center"/>
              <w:rPr>
                <w:rFonts w:ascii="宋体" w:hAnsi="宋体"/>
                <w:kern w:val="0"/>
                <w:szCs w:val="21"/>
              </w:rPr>
            </w:pPr>
            <w:r>
              <w:rPr>
                <w:rFonts w:ascii="宋体" w:hAnsi="宋体"/>
                <w:kern w:val="0"/>
                <w:szCs w:val="21"/>
              </w:rPr>
              <w:t>投标有效期</w:t>
            </w:r>
          </w:p>
        </w:tc>
        <w:tc>
          <w:tcPr>
            <w:tcW w:w="6490" w:type="dxa"/>
            <w:vAlign w:val="center"/>
          </w:tcPr>
          <w:p w14:paraId="4FC0A93E">
            <w:pPr>
              <w:snapToGrid w:val="0"/>
              <w:spacing w:line="400" w:lineRule="exact"/>
              <w:ind w:firstLine="420" w:firstLineChars="200"/>
              <w:rPr>
                <w:rFonts w:ascii="宋体" w:hAnsi="宋体"/>
                <w:szCs w:val="21"/>
              </w:rPr>
            </w:pPr>
            <w:r>
              <w:rPr>
                <w:rFonts w:ascii="宋体" w:hAnsi="宋体"/>
                <w:szCs w:val="21"/>
                <w:u w:val="single"/>
              </w:rPr>
              <w:t xml:space="preserve">  </w:t>
            </w:r>
            <w:r>
              <w:rPr>
                <w:rFonts w:hint="eastAsia" w:ascii="宋体" w:hAnsi="宋体"/>
                <w:szCs w:val="21"/>
                <w:u w:val="single"/>
              </w:rPr>
              <w:t>90</w:t>
            </w:r>
            <w:r>
              <w:rPr>
                <w:rFonts w:ascii="宋体" w:hAnsi="宋体"/>
                <w:szCs w:val="21"/>
                <w:u w:val="single"/>
              </w:rPr>
              <w:t xml:space="preserve"> </w:t>
            </w:r>
            <w:r>
              <w:rPr>
                <w:rFonts w:ascii="宋体" w:hAnsi="宋体"/>
                <w:szCs w:val="21"/>
              </w:rPr>
              <w:t>日历天（从提交</w:t>
            </w:r>
            <w:r>
              <w:rPr>
                <w:rFonts w:hint="eastAsia" w:ascii="宋体" w:hAnsi="宋体"/>
                <w:szCs w:val="21"/>
              </w:rPr>
              <w:t>投标文件</w:t>
            </w:r>
            <w:r>
              <w:rPr>
                <w:rFonts w:ascii="宋体" w:hAnsi="宋体"/>
                <w:szCs w:val="21"/>
              </w:rPr>
              <w:t>截止日起计算）</w:t>
            </w:r>
          </w:p>
        </w:tc>
      </w:tr>
      <w:tr w14:paraId="054B1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CC599FC">
            <w:pPr>
              <w:snapToGrid w:val="0"/>
              <w:spacing w:line="400" w:lineRule="exact"/>
              <w:jc w:val="center"/>
              <w:rPr>
                <w:rFonts w:ascii="宋体" w:hAnsi="宋体"/>
                <w:kern w:val="0"/>
                <w:szCs w:val="21"/>
              </w:rPr>
            </w:pPr>
            <w:r>
              <w:rPr>
                <w:rFonts w:ascii="宋体" w:hAnsi="宋体"/>
                <w:kern w:val="0"/>
                <w:szCs w:val="21"/>
              </w:rPr>
              <w:t>3.4</w:t>
            </w:r>
          </w:p>
        </w:tc>
        <w:tc>
          <w:tcPr>
            <w:tcW w:w="1644" w:type="dxa"/>
            <w:vAlign w:val="center"/>
          </w:tcPr>
          <w:p w14:paraId="288627A2">
            <w:pPr>
              <w:snapToGrid w:val="0"/>
              <w:spacing w:after="93" w:afterLines="30" w:line="400" w:lineRule="exact"/>
              <w:jc w:val="center"/>
              <w:rPr>
                <w:rFonts w:ascii="宋体" w:hAnsi="宋体"/>
                <w:kern w:val="0"/>
                <w:szCs w:val="21"/>
              </w:rPr>
            </w:pPr>
            <w:r>
              <w:rPr>
                <w:rFonts w:ascii="宋体" w:hAnsi="宋体"/>
                <w:kern w:val="0"/>
                <w:szCs w:val="21"/>
              </w:rPr>
              <w:t>投标保证金</w:t>
            </w:r>
          </w:p>
        </w:tc>
        <w:tc>
          <w:tcPr>
            <w:tcW w:w="6490" w:type="dxa"/>
            <w:vAlign w:val="center"/>
          </w:tcPr>
          <w:p w14:paraId="11EDFF7A">
            <w:pPr>
              <w:snapToGrid w:val="0"/>
              <w:spacing w:line="400" w:lineRule="exact"/>
              <w:ind w:firstLine="420" w:firstLineChars="200"/>
              <w:jc w:val="left"/>
              <w:rPr>
                <w:rFonts w:ascii="宋体" w:hAnsi="宋体"/>
                <w:kern w:val="0"/>
                <w:szCs w:val="21"/>
              </w:rPr>
            </w:pPr>
            <w:r>
              <w:rPr>
                <w:rFonts w:hint="eastAsia" w:ascii="宋体" w:hAnsi="宋体"/>
                <w:kern w:val="0"/>
                <w:szCs w:val="21"/>
              </w:rPr>
              <w:t>无</w:t>
            </w:r>
          </w:p>
        </w:tc>
      </w:tr>
      <w:tr w14:paraId="2E2C29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05F9CD1">
            <w:pPr>
              <w:snapToGrid w:val="0"/>
              <w:spacing w:line="400" w:lineRule="exact"/>
              <w:jc w:val="center"/>
              <w:rPr>
                <w:rFonts w:ascii="宋体" w:hAnsi="宋体"/>
                <w:kern w:val="0"/>
                <w:szCs w:val="21"/>
              </w:rPr>
            </w:pPr>
            <w:r>
              <w:rPr>
                <w:rFonts w:ascii="宋体" w:hAnsi="宋体"/>
                <w:kern w:val="0"/>
                <w:szCs w:val="21"/>
              </w:rPr>
              <w:t>3.</w:t>
            </w:r>
            <w:r>
              <w:rPr>
                <w:rFonts w:hint="eastAsia" w:ascii="宋体" w:hAnsi="宋体"/>
                <w:kern w:val="0"/>
                <w:szCs w:val="21"/>
              </w:rPr>
              <w:t>6</w:t>
            </w:r>
          </w:p>
        </w:tc>
        <w:tc>
          <w:tcPr>
            <w:tcW w:w="1644" w:type="dxa"/>
            <w:vAlign w:val="center"/>
          </w:tcPr>
          <w:p w14:paraId="28A4D9D1">
            <w:pPr>
              <w:snapToGrid w:val="0"/>
              <w:spacing w:line="400" w:lineRule="exact"/>
              <w:jc w:val="center"/>
              <w:rPr>
                <w:rFonts w:ascii="宋体" w:hAnsi="宋体"/>
                <w:kern w:val="0"/>
                <w:szCs w:val="21"/>
              </w:rPr>
            </w:pPr>
            <w:r>
              <w:rPr>
                <w:rFonts w:ascii="宋体" w:hAnsi="宋体"/>
                <w:kern w:val="0"/>
                <w:szCs w:val="21"/>
              </w:rPr>
              <w:t>是否允许递交</w:t>
            </w:r>
          </w:p>
          <w:p w14:paraId="5B824107">
            <w:pPr>
              <w:snapToGrid w:val="0"/>
              <w:spacing w:after="93" w:afterLines="30" w:line="400" w:lineRule="exact"/>
              <w:jc w:val="center"/>
              <w:rPr>
                <w:rFonts w:ascii="宋体" w:hAnsi="宋体"/>
                <w:kern w:val="0"/>
                <w:szCs w:val="21"/>
              </w:rPr>
            </w:pPr>
            <w:r>
              <w:rPr>
                <w:rFonts w:ascii="宋体" w:hAnsi="宋体"/>
                <w:kern w:val="0"/>
                <w:szCs w:val="21"/>
              </w:rPr>
              <w:t>备选投标方案</w:t>
            </w:r>
          </w:p>
        </w:tc>
        <w:tc>
          <w:tcPr>
            <w:tcW w:w="6490" w:type="dxa"/>
            <w:vAlign w:val="center"/>
          </w:tcPr>
          <w:p w14:paraId="3781969C">
            <w:pPr>
              <w:snapToGrid w:val="0"/>
              <w:spacing w:line="400" w:lineRule="exact"/>
              <w:ind w:firstLine="420" w:firstLineChars="200"/>
              <w:rPr>
                <w:rFonts w:ascii="宋体" w:hAnsi="宋体"/>
                <w:kern w:val="0"/>
                <w:szCs w:val="21"/>
              </w:rPr>
            </w:pPr>
            <w:r>
              <w:rPr>
                <w:rFonts w:ascii="宋体" w:hAnsi="宋体"/>
                <w:kern w:val="0"/>
                <w:szCs w:val="21"/>
              </w:rPr>
              <w:t>不允许</w:t>
            </w:r>
          </w:p>
        </w:tc>
      </w:tr>
      <w:tr w14:paraId="1C0473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BF2E2A8">
            <w:pPr>
              <w:snapToGrid w:val="0"/>
              <w:spacing w:line="400" w:lineRule="exact"/>
              <w:jc w:val="center"/>
              <w:rPr>
                <w:rFonts w:ascii="宋体" w:hAnsi="宋体"/>
                <w:kern w:val="0"/>
                <w:szCs w:val="21"/>
              </w:rPr>
            </w:pPr>
            <w:r>
              <w:rPr>
                <w:rFonts w:hint="eastAsia" w:ascii="宋体" w:hAnsi="宋体"/>
                <w:kern w:val="0"/>
                <w:szCs w:val="21"/>
              </w:rPr>
              <w:t>3.7.1</w:t>
            </w:r>
          </w:p>
        </w:tc>
        <w:tc>
          <w:tcPr>
            <w:tcW w:w="1644" w:type="dxa"/>
            <w:vAlign w:val="center"/>
          </w:tcPr>
          <w:p w14:paraId="132D04CA">
            <w:pPr>
              <w:snapToGrid w:val="0"/>
              <w:spacing w:after="93" w:afterLines="30" w:line="400" w:lineRule="exact"/>
              <w:jc w:val="center"/>
              <w:rPr>
                <w:rFonts w:ascii="宋体" w:hAnsi="宋体"/>
                <w:kern w:val="0"/>
                <w:szCs w:val="21"/>
              </w:rPr>
            </w:pPr>
            <w:r>
              <w:rPr>
                <w:rFonts w:hint="eastAsia" w:ascii="宋体" w:hAnsi="宋体"/>
                <w:kern w:val="0"/>
                <w:szCs w:val="21"/>
              </w:rPr>
              <w:t>投标文件格式要求</w:t>
            </w:r>
          </w:p>
        </w:tc>
        <w:tc>
          <w:tcPr>
            <w:tcW w:w="6490" w:type="dxa"/>
            <w:vAlign w:val="center"/>
          </w:tcPr>
          <w:p w14:paraId="0E6C0117">
            <w:pPr>
              <w:snapToGrid w:val="0"/>
              <w:spacing w:line="400" w:lineRule="exact"/>
              <w:ind w:firstLine="420" w:firstLineChars="200"/>
              <w:rPr>
                <w:rFonts w:ascii="宋体" w:hAnsi="宋体"/>
                <w:kern w:val="0"/>
                <w:szCs w:val="21"/>
              </w:rPr>
            </w:pPr>
            <w:r>
              <w:rPr>
                <w:rFonts w:hint="eastAsia" w:ascii="宋体" w:hAnsi="宋体"/>
                <w:kern w:val="0"/>
                <w:szCs w:val="21"/>
              </w:rPr>
              <w:t>编制投标文件时不得对第七章“投标文件格式”的相应要素作实质性修改，否则由评标委员会作否决投标处理。</w:t>
            </w:r>
          </w:p>
        </w:tc>
      </w:tr>
      <w:tr w14:paraId="29FE2F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72ACE81">
            <w:pPr>
              <w:snapToGrid w:val="0"/>
              <w:spacing w:line="400" w:lineRule="exact"/>
              <w:jc w:val="center"/>
              <w:rPr>
                <w:rFonts w:ascii="宋体" w:hAnsi="宋体"/>
                <w:kern w:val="0"/>
                <w:szCs w:val="21"/>
              </w:rPr>
            </w:pPr>
            <w:r>
              <w:rPr>
                <w:rFonts w:ascii="宋体" w:hAnsi="宋体"/>
                <w:kern w:val="0"/>
                <w:szCs w:val="21"/>
              </w:rPr>
              <w:t>3.</w:t>
            </w:r>
            <w:r>
              <w:rPr>
                <w:rFonts w:hint="eastAsia" w:ascii="宋体" w:hAnsi="宋体"/>
                <w:kern w:val="0"/>
                <w:szCs w:val="21"/>
              </w:rPr>
              <w:t>7</w:t>
            </w:r>
            <w:r>
              <w:rPr>
                <w:rFonts w:ascii="宋体" w:hAnsi="宋体"/>
                <w:kern w:val="0"/>
                <w:szCs w:val="21"/>
              </w:rPr>
              <w:t>.</w:t>
            </w:r>
            <w:r>
              <w:rPr>
                <w:rFonts w:hint="eastAsia" w:ascii="宋体" w:hAnsi="宋体"/>
                <w:kern w:val="0"/>
                <w:szCs w:val="21"/>
              </w:rPr>
              <w:t>3</w:t>
            </w:r>
          </w:p>
        </w:tc>
        <w:tc>
          <w:tcPr>
            <w:tcW w:w="1644" w:type="dxa"/>
            <w:vAlign w:val="center"/>
          </w:tcPr>
          <w:p w14:paraId="722150D3">
            <w:pPr>
              <w:snapToGrid w:val="0"/>
              <w:spacing w:line="400" w:lineRule="exact"/>
              <w:jc w:val="center"/>
              <w:rPr>
                <w:rFonts w:ascii="宋体" w:hAnsi="宋体"/>
                <w:kern w:val="0"/>
                <w:szCs w:val="21"/>
              </w:rPr>
            </w:pPr>
            <w:r>
              <w:rPr>
                <w:rFonts w:hint="eastAsia" w:ascii="宋体" w:hAnsi="宋体"/>
                <w:kern w:val="0"/>
                <w:szCs w:val="21"/>
              </w:rPr>
              <w:t>签名</w:t>
            </w:r>
            <w:r>
              <w:rPr>
                <w:rFonts w:ascii="宋体" w:hAnsi="宋体"/>
                <w:kern w:val="0"/>
                <w:szCs w:val="21"/>
              </w:rPr>
              <w:t>盖章要求</w:t>
            </w:r>
          </w:p>
        </w:tc>
        <w:tc>
          <w:tcPr>
            <w:tcW w:w="6490" w:type="dxa"/>
            <w:vAlign w:val="center"/>
          </w:tcPr>
          <w:p w14:paraId="75114DD3">
            <w:pPr>
              <w:snapToGrid w:val="0"/>
              <w:spacing w:line="400" w:lineRule="exact"/>
              <w:ind w:firstLine="420" w:firstLineChars="200"/>
              <w:rPr>
                <w:rFonts w:ascii="宋体" w:hAnsi="宋体"/>
                <w:szCs w:val="21"/>
              </w:rPr>
            </w:pPr>
            <w:r>
              <w:rPr>
                <w:rFonts w:hint="eastAsia" w:ascii="宋体" w:hAnsi="宋体"/>
                <w:szCs w:val="21"/>
              </w:rPr>
              <w:t>投标文件应用不褪色的材料书写或打印，并由投标人的法定代表人或其委托代理人在招标文件规定的位置按招标文件要求签名或盖章、盖单位</w:t>
            </w:r>
            <w:r>
              <w:rPr>
                <w:rFonts w:hint="eastAsia" w:ascii="宋体" w:hAnsi="宋体"/>
                <w:szCs w:val="21"/>
                <w:lang w:val="en-US" w:eastAsia="zh-CN"/>
              </w:rPr>
              <w:t>公</w:t>
            </w:r>
            <w:r>
              <w:rPr>
                <w:rFonts w:hint="eastAsia" w:ascii="宋体" w:hAnsi="宋体"/>
                <w:szCs w:val="21"/>
              </w:rPr>
              <w:t>章。委托代理人签名的，投标文件应附法定代表人签署的授权委托书。投标文件应尽量避免涂改、行间插字或删除。如果出现上述情况，改动之处应加盖单位</w:t>
            </w:r>
            <w:r>
              <w:rPr>
                <w:rFonts w:hint="eastAsia" w:ascii="宋体" w:hAnsi="宋体"/>
                <w:szCs w:val="21"/>
                <w:lang w:val="en-US" w:eastAsia="zh-CN"/>
              </w:rPr>
              <w:t>公章</w:t>
            </w:r>
            <w:r>
              <w:rPr>
                <w:rFonts w:hint="eastAsia" w:ascii="宋体" w:hAnsi="宋体"/>
                <w:szCs w:val="21"/>
              </w:rPr>
              <w:t>或由投标人的法定代表人或其授权的代理人签名确认。</w:t>
            </w:r>
          </w:p>
          <w:p w14:paraId="70D43FF7">
            <w:pPr>
              <w:snapToGrid w:val="0"/>
              <w:spacing w:line="400" w:lineRule="exact"/>
              <w:ind w:firstLine="420" w:firstLineChars="200"/>
              <w:rPr>
                <w:rFonts w:ascii="宋体" w:hAnsi="宋体"/>
                <w:i/>
                <w:szCs w:val="21"/>
              </w:rPr>
            </w:pPr>
            <w:r>
              <w:rPr>
                <w:rFonts w:hint="eastAsia" w:ascii="宋体" w:hAnsi="宋体"/>
                <w:szCs w:val="21"/>
              </w:rPr>
              <w:t>未按上述规定执行的，交由评标委员会作否决投标处理。</w:t>
            </w:r>
          </w:p>
        </w:tc>
      </w:tr>
      <w:tr w14:paraId="66A356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B7A3E41">
            <w:pPr>
              <w:snapToGrid w:val="0"/>
              <w:spacing w:line="400" w:lineRule="exact"/>
              <w:jc w:val="center"/>
              <w:rPr>
                <w:rFonts w:ascii="宋体" w:hAnsi="宋体"/>
                <w:kern w:val="0"/>
                <w:szCs w:val="21"/>
              </w:rPr>
            </w:pPr>
            <w:r>
              <w:rPr>
                <w:rFonts w:ascii="宋体" w:hAnsi="宋体"/>
                <w:kern w:val="0"/>
                <w:szCs w:val="21"/>
              </w:rPr>
              <w:t>3.</w:t>
            </w:r>
            <w:r>
              <w:rPr>
                <w:rFonts w:hint="eastAsia" w:ascii="宋体" w:hAnsi="宋体"/>
                <w:kern w:val="0"/>
                <w:szCs w:val="21"/>
              </w:rPr>
              <w:t>7</w:t>
            </w:r>
            <w:r>
              <w:rPr>
                <w:rFonts w:ascii="宋体" w:hAnsi="宋体"/>
                <w:kern w:val="0"/>
                <w:szCs w:val="21"/>
              </w:rPr>
              <w:t>.</w:t>
            </w:r>
            <w:r>
              <w:rPr>
                <w:rFonts w:hint="eastAsia" w:ascii="宋体" w:hAnsi="宋体"/>
                <w:kern w:val="0"/>
                <w:szCs w:val="21"/>
              </w:rPr>
              <w:t>4</w:t>
            </w:r>
          </w:p>
        </w:tc>
        <w:tc>
          <w:tcPr>
            <w:tcW w:w="1644" w:type="dxa"/>
            <w:vAlign w:val="center"/>
          </w:tcPr>
          <w:p w14:paraId="59AD05F9">
            <w:pPr>
              <w:snapToGrid w:val="0"/>
              <w:spacing w:line="400" w:lineRule="exact"/>
              <w:rPr>
                <w:rFonts w:ascii="宋体" w:hAnsi="宋体"/>
                <w:spacing w:val="-6"/>
                <w:kern w:val="0"/>
                <w:szCs w:val="21"/>
              </w:rPr>
            </w:pPr>
            <w:r>
              <w:rPr>
                <w:rFonts w:hint="eastAsia" w:ascii="宋体" w:hAnsi="宋体"/>
                <w:spacing w:val="-6"/>
                <w:kern w:val="0"/>
                <w:szCs w:val="21"/>
              </w:rPr>
              <w:t>投标文件</w:t>
            </w:r>
            <w:r>
              <w:rPr>
                <w:rFonts w:ascii="宋体" w:hAnsi="宋体"/>
                <w:spacing w:val="-6"/>
                <w:kern w:val="0"/>
                <w:szCs w:val="21"/>
              </w:rPr>
              <w:t>的份数</w:t>
            </w:r>
          </w:p>
        </w:tc>
        <w:tc>
          <w:tcPr>
            <w:tcW w:w="6490" w:type="dxa"/>
            <w:vAlign w:val="center"/>
          </w:tcPr>
          <w:p w14:paraId="1A6F0EB8">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投标文件</w:t>
            </w:r>
            <w:r>
              <w:rPr>
                <w:rFonts w:ascii="宋体" w:hAnsi="宋体"/>
                <w:kern w:val="0"/>
                <w:szCs w:val="21"/>
              </w:rPr>
              <w:t>正本</w:t>
            </w:r>
            <w:r>
              <w:rPr>
                <w:rFonts w:hint="eastAsia" w:ascii="宋体" w:hAnsi="宋体"/>
                <w:kern w:val="0"/>
                <w:szCs w:val="21"/>
              </w:rPr>
              <w:t>1份、副本2份，电子版形式（U盘）1份，</w:t>
            </w:r>
            <w:r>
              <w:rPr>
                <w:rFonts w:ascii="宋体" w:hAnsi="宋体"/>
                <w:snapToGrid w:val="0"/>
                <w:kern w:val="0"/>
                <w:szCs w:val="21"/>
              </w:rPr>
              <w:t>《</w:t>
            </w:r>
            <w:r>
              <w:rPr>
                <w:rFonts w:hint="eastAsia" w:ascii="宋体" w:hAnsi="宋体"/>
                <w:snapToGrid w:val="0"/>
                <w:kern w:val="0"/>
                <w:szCs w:val="21"/>
              </w:rPr>
              <w:t>技术方案</w:t>
            </w:r>
            <w:r>
              <w:rPr>
                <w:rFonts w:ascii="宋体" w:hAnsi="宋体"/>
                <w:snapToGrid w:val="0"/>
                <w:kern w:val="0"/>
                <w:szCs w:val="21"/>
              </w:rPr>
              <w:t>》不分正副本</w:t>
            </w:r>
            <w:r>
              <w:rPr>
                <w:rFonts w:hint="eastAsia" w:ascii="宋体" w:hAnsi="宋体"/>
                <w:kern w:val="0"/>
                <w:szCs w:val="21"/>
              </w:rPr>
              <w:t>。当副本和正本不一致时，以正本为准。否则由评标委员会作否决投标处理。</w:t>
            </w:r>
          </w:p>
          <w:p w14:paraId="2425F675">
            <w:pPr>
              <w:autoSpaceDE w:val="0"/>
              <w:autoSpaceDN w:val="0"/>
              <w:adjustRightInd w:val="0"/>
              <w:snapToGrid w:val="0"/>
              <w:spacing w:line="400" w:lineRule="exact"/>
              <w:ind w:firstLine="422" w:firstLineChars="200"/>
              <w:rPr>
                <w:rFonts w:ascii="宋体" w:hAnsi="宋体"/>
                <w:b/>
                <w:bCs/>
                <w:kern w:val="0"/>
                <w:szCs w:val="21"/>
              </w:rPr>
            </w:pPr>
            <w:r>
              <w:rPr>
                <w:rFonts w:hint="eastAsia" w:ascii="宋体" w:hAnsi="宋体"/>
                <w:b/>
                <w:bCs/>
                <w:kern w:val="0"/>
                <w:szCs w:val="21"/>
              </w:rPr>
              <w:t>电子版形式（U盘）中的经济部分：应包含经济部分全部excel格式预算表格，全费用工程量清单综合单价分析表无须装订入投标文件纸质版中，但全费用清单项目的综合单价分析表（excel格式）必须刻入光盘中。</w:t>
            </w:r>
          </w:p>
          <w:p w14:paraId="7CFCC6DE">
            <w:pPr>
              <w:autoSpaceDE w:val="0"/>
              <w:autoSpaceDN w:val="0"/>
              <w:adjustRightInd w:val="0"/>
              <w:snapToGrid w:val="0"/>
              <w:spacing w:line="400" w:lineRule="exact"/>
              <w:ind w:firstLine="422" w:firstLineChars="200"/>
              <w:rPr>
                <w:rFonts w:ascii="宋体" w:hAnsi="宋体"/>
                <w:kern w:val="0"/>
                <w:szCs w:val="21"/>
              </w:rPr>
            </w:pPr>
            <w:r>
              <w:rPr>
                <w:rFonts w:hint="eastAsia" w:ascii="宋体" w:hAnsi="宋体"/>
                <w:b/>
                <w:bCs/>
                <w:kern w:val="0"/>
                <w:szCs w:val="21"/>
              </w:rPr>
              <w:t>注：在核发中标通知书时，中标人应另外补充一式</w:t>
            </w:r>
            <w:r>
              <w:rPr>
                <w:rFonts w:hint="eastAsia" w:ascii="宋体" w:hAnsi="宋体"/>
                <w:b/>
                <w:bCs/>
                <w:kern w:val="0"/>
                <w:szCs w:val="21"/>
                <w:u w:val="single"/>
              </w:rPr>
              <w:t xml:space="preserve"> 6 </w:t>
            </w:r>
            <w:r>
              <w:rPr>
                <w:rFonts w:hint="eastAsia" w:ascii="宋体" w:hAnsi="宋体"/>
                <w:b/>
                <w:bCs/>
                <w:kern w:val="0"/>
                <w:szCs w:val="21"/>
              </w:rPr>
              <w:t>份投标文件（除需增加的全费用工程量清单综合单价分析表外，其他内容必须与投标时提交的投标文件相一致）。</w:t>
            </w:r>
          </w:p>
        </w:tc>
      </w:tr>
      <w:tr w14:paraId="761213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9788700">
            <w:pPr>
              <w:snapToGrid w:val="0"/>
              <w:spacing w:line="400" w:lineRule="exact"/>
              <w:jc w:val="center"/>
              <w:rPr>
                <w:rFonts w:ascii="宋体" w:hAnsi="宋体"/>
                <w:kern w:val="0"/>
                <w:szCs w:val="21"/>
              </w:rPr>
            </w:pPr>
            <w:r>
              <w:rPr>
                <w:rFonts w:ascii="宋体" w:hAnsi="宋体"/>
                <w:kern w:val="0"/>
                <w:szCs w:val="21"/>
              </w:rPr>
              <w:t>3.</w:t>
            </w:r>
            <w:r>
              <w:rPr>
                <w:rFonts w:hint="eastAsia" w:ascii="宋体" w:hAnsi="宋体"/>
                <w:kern w:val="0"/>
                <w:szCs w:val="21"/>
              </w:rPr>
              <w:t>7</w:t>
            </w:r>
            <w:r>
              <w:rPr>
                <w:rFonts w:ascii="宋体" w:hAnsi="宋体"/>
                <w:kern w:val="0"/>
                <w:szCs w:val="21"/>
              </w:rPr>
              <w:t>.</w:t>
            </w:r>
            <w:r>
              <w:rPr>
                <w:rFonts w:hint="eastAsia" w:ascii="宋体" w:hAnsi="宋体"/>
                <w:kern w:val="0"/>
                <w:szCs w:val="21"/>
              </w:rPr>
              <w:t>5</w:t>
            </w:r>
          </w:p>
        </w:tc>
        <w:tc>
          <w:tcPr>
            <w:tcW w:w="1644" w:type="dxa"/>
            <w:vAlign w:val="center"/>
          </w:tcPr>
          <w:p w14:paraId="18E6ABE5">
            <w:pPr>
              <w:snapToGrid w:val="0"/>
              <w:spacing w:line="400" w:lineRule="exact"/>
              <w:jc w:val="center"/>
              <w:rPr>
                <w:rFonts w:ascii="宋体" w:hAnsi="宋体"/>
                <w:kern w:val="0"/>
                <w:szCs w:val="21"/>
              </w:rPr>
            </w:pPr>
            <w:r>
              <w:rPr>
                <w:rFonts w:ascii="宋体" w:hAnsi="宋体"/>
                <w:kern w:val="0"/>
                <w:szCs w:val="21"/>
              </w:rPr>
              <w:t>装订要求</w:t>
            </w:r>
          </w:p>
        </w:tc>
        <w:tc>
          <w:tcPr>
            <w:tcW w:w="6490" w:type="dxa"/>
            <w:vAlign w:val="center"/>
          </w:tcPr>
          <w:p w14:paraId="7B4F6E4C">
            <w:pPr>
              <w:adjustRightInd w:val="0"/>
              <w:snapToGrid w:val="0"/>
              <w:spacing w:line="400" w:lineRule="exact"/>
              <w:ind w:firstLine="420" w:firstLineChars="200"/>
              <w:rPr>
                <w:rFonts w:ascii="宋体" w:hAnsi="宋体"/>
                <w:szCs w:val="21"/>
              </w:rPr>
            </w:pPr>
            <w:r>
              <w:rPr>
                <w:rFonts w:hint="eastAsia" w:ascii="宋体" w:hAnsi="宋体"/>
                <w:szCs w:val="21"/>
              </w:rPr>
              <w:t>1、本工程采用</w:t>
            </w:r>
            <w:r>
              <w:rPr>
                <w:rFonts w:hint="eastAsia" w:ascii="宋体" w:hAnsi="宋体"/>
                <w:szCs w:val="21"/>
                <w:lang w:val="en-US" w:eastAsia="zh-CN"/>
              </w:rPr>
              <w:t>明</w:t>
            </w:r>
            <w:r>
              <w:rPr>
                <w:rFonts w:hint="eastAsia" w:ascii="宋体" w:hAnsi="宋体"/>
                <w:szCs w:val="21"/>
              </w:rPr>
              <w:t>标评审，应将投标函部分、经济部分、技术部分、资格审查部分各自分别装订成册，投标保函部分（如有）无需装订。</w:t>
            </w:r>
          </w:p>
          <w:p w14:paraId="1667BC87">
            <w:pPr>
              <w:adjustRightInd w:val="0"/>
              <w:snapToGrid w:val="0"/>
              <w:spacing w:line="400" w:lineRule="exact"/>
              <w:ind w:firstLine="420" w:firstLineChars="200"/>
              <w:rPr>
                <w:rFonts w:ascii="宋体" w:hAnsi="宋体"/>
                <w:szCs w:val="21"/>
              </w:rPr>
            </w:pPr>
            <w:r>
              <w:rPr>
                <w:rFonts w:hint="eastAsia" w:ascii="宋体" w:hAnsi="宋体"/>
                <w:szCs w:val="21"/>
                <w:lang w:val="en-US" w:eastAsia="zh-CN"/>
              </w:rPr>
              <w:t>2</w:t>
            </w:r>
            <w:r>
              <w:rPr>
                <w:rFonts w:ascii="宋体" w:hAnsi="宋体"/>
                <w:szCs w:val="21"/>
              </w:rPr>
              <w:t>、装订</w:t>
            </w:r>
          </w:p>
          <w:p w14:paraId="71D83A7A">
            <w:pPr>
              <w:adjustRightInd w:val="0"/>
              <w:snapToGrid w:val="0"/>
              <w:spacing w:line="400" w:lineRule="exact"/>
              <w:ind w:firstLine="420" w:firstLineChars="200"/>
              <w:rPr>
                <w:rFonts w:ascii="宋体" w:hAnsi="宋体"/>
                <w:szCs w:val="21"/>
              </w:rPr>
            </w:pPr>
            <w:r>
              <w:rPr>
                <w:rFonts w:ascii="宋体" w:hAnsi="宋体"/>
                <w:szCs w:val="21"/>
              </w:rPr>
              <w:t>（</w:t>
            </w:r>
            <w:r>
              <w:rPr>
                <w:rFonts w:hint="eastAsia" w:ascii="宋体" w:hAnsi="宋体"/>
                <w:szCs w:val="21"/>
              </w:rPr>
              <w:t>1</w:t>
            </w:r>
            <w:r>
              <w:rPr>
                <w:rFonts w:ascii="宋体" w:hAnsi="宋体"/>
                <w:szCs w:val="21"/>
              </w:rPr>
              <w:t>）</w:t>
            </w:r>
            <w:r>
              <w:rPr>
                <w:rFonts w:hint="eastAsia" w:ascii="宋体" w:hAnsi="宋体"/>
                <w:szCs w:val="21"/>
              </w:rPr>
              <w:t>投标函</w:t>
            </w:r>
            <w:r>
              <w:rPr>
                <w:rFonts w:ascii="宋体" w:hAnsi="宋体"/>
                <w:szCs w:val="21"/>
              </w:rPr>
              <w:t>部分的装订要求</w:t>
            </w:r>
          </w:p>
          <w:p w14:paraId="06B099E4">
            <w:pPr>
              <w:adjustRightInd w:val="0"/>
              <w:snapToGrid w:val="0"/>
              <w:spacing w:line="400" w:lineRule="exact"/>
              <w:ind w:firstLine="420" w:firstLineChars="200"/>
              <w:rPr>
                <w:rFonts w:ascii="宋体" w:hAnsi="宋体"/>
                <w:szCs w:val="21"/>
              </w:rPr>
            </w:pPr>
            <w:r>
              <w:rPr>
                <w:rFonts w:ascii="宋体" w:hAnsi="宋体"/>
                <w:szCs w:val="21"/>
              </w:rPr>
              <w:t>应按照第</w:t>
            </w:r>
            <w:r>
              <w:rPr>
                <w:rFonts w:hint="eastAsia" w:ascii="宋体" w:hAnsi="宋体"/>
                <w:szCs w:val="21"/>
              </w:rPr>
              <w:t>七章</w:t>
            </w:r>
            <w:r>
              <w:rPr>
                <w:rFonts w:ascii="宋体" w:hAnsi="宋体"/>
                <w:szCs w:val="21"/>
              </w:rPr>
              <w:t>规定格式装订成册，</w:t>
            </w:r>
            <w:r>
              <w:rPr>
                <w:rFonts w:hint="eastAsia" w:ascii="宋体" w:hAnsi="宋体" w:cs="宋体"/>
                <w:szCs w:val="21"/>
              </w:rPr>
              <w:t>原则上</w:t>
            </w:r>
            <w:r>
              <w:rPr>
                <w:rFonts w:ascii="宋体" w:hAnsi="宋体"/>
                <w:szCs w:val="21"/>
              </w:rPr>
              <w:t>应编制目录</w:t>
            </w:r>
            <w:r>
              <w:rPr>
                <w:rFonts w:hint="eastAsia" w:ascii="宋体" w:hAnsi="宋体"/>
                <w:szCs w:val="21"/>
              </w:rPr>
              <w:t>（但不得将目录编制作为评审因素）</w:t>
            </w:r>
            <w:r>
              <w:rPr>
                <w:rFonts w:ascii="宋体" w:hAnsi="宋体"/>
                <w:szCs w:val="21"/>
              </w:rPr>
              <w:t>，标注页码。</w:t>
            </w:r>
          </w:p>
          <w:p w14:paraId="3D9F918E">
            <w:pPr>
              <w:adjustRightInd w:val="0"/>
              <w:snapToGrid w:val="0"/>
              <w:spacing w:line="400" w:lineRule="exact"/>
              <w:ind w:firstLine="420" w:firstLineChars="200"/>
              <w:rPr>
                <w:rFonts w:ascii="宋体" w:hAnsi="宋体"/>
                <w:szCs w:val="21"/>
              </w:rPr>
            </w:pPr>
            <w:r>
              <w:rPr>
                <w:rFonts w:ascii="宋体" w:hAnsi="宋体"/>
                <w:szCs w:val="21"/>
              </w:rPr>
              <w:t>（</w:t>
            </w:r>
            <w:r>
              <w:rPr>
                <w:rFonts w:hint="eastAsia" w:ascii="宋体" w:hAnsi="宋体"/>
                <w:szCs w:val="21"/>
              </w:rPr>
              <w:t>2</w:t>
            </w:r>
            <w:r>
              <w:rPr>
                <w:rFonts w:ascii="宋体" w:hAnsi="宋体"/>
                <w:szCs w:val="21"/>
              </w:rPr>
              <w:t>）</w:t>
            </w:r>
            <w:r>
              <w:rPr>
                <w:rFonts w:hint="eastAsia" w:ascii="宋体" w:hAnsi="宋体"/>
                <w:szCs w:val="21"/>
              </w:rPr>
              <w:t>经济</w:t>
            </w:r>
            <w:r>
              <w:rPr>
                <w:rFonts w:ascii="宋体" w:hAnsi="宋体"/>
                <w:szCs w:val="21"/>
              </w:rPr>
              <w:t>部分的装订要求</w:t>
            </w:r>
          </w:p>
          <w:p w14:paraId="78A9AD19">
            <w:pPr>
              <w:adjustRightInd w:val="0"/>
              <w:snapToGrid w:val="0"/>
              <w:spacing w:line="400" w:lineRule="exact"/>
              <w:ind w:firstLine="420" w:firstLineChars="200"/>
              <w:rPr>
                <w:rFonts w:ascii="宋体" w:hAnsi="宋体"/>
                <w:szCs w:val="21"/>
              </w:rPr>
            </w:pPr>
            <w:r>
              <w:rPr>
                <w:rFonts w:ascii="宋体" w:hAnsi="宋体"/>
                <w:szCs w:val="21"/>
              </w:rPr>
              <w:t>应按照第</w:t>
            </w:r>
            <w:r>
              <w:rPr>
                <w:rFonts w:hint="eastAsia" w:ascii="宋体" w:hAnsi="宋体"/>
                <w:szCs w:val="21"/>
              </w:rPr>
              <w:t>七章</w:t>
            </w:r>
            <w:r>
              <w:rPr>
                <w:rFonts w:ascii="宋体" w:hAnsi="宋体"/>
                <w:szCs w:val="21"/>
              </w:rPr>
              <w:t>规定格式装订成册，</w:t>
            </w:r>
            <w:r>
              <w:rPr>
                <w:rFonts w:hint="eastAsia" w:ascii="宋体" w:hAnsi="宋体" w:cs="宋体"/>
                <w:szCs w:val="21"/>
              </w:rPr>
              <w:t>原则上</w:t>
            </w:r>
            <w:r>
              <w:rPr>
                <w:rFonts w:ascii="宋体" w:hAnsi="宋体"/>
                <w:szCs w:val="21"/>
              </w:rPr>
              <w:t>应编制目录</w:t>
            </w:r>
            <w:r>
              <w:rPr>
                <w:rFonts w:hint="eastAsia" w:ascii="宋体" w:hAnsi="宋体"/>
                <w:szCs w:val="21"/>
              </w:rPr>
              <w:t>（但不得将目录编制作为评审因素），标注页码。</w:t>
            </w:r>
          </w:p>
          <w:p w14:paraId="1E65D5B9">
            <w:pPr>
              <w:adjustRightInd w:val="0"/>
              <w:snapToGrid w:val="0"/>
              <w:spacing w:line="400" w:lineRule="exact"/>
              <w:ind w:firstLine="420" w:firstLineChars="200"/>
              <w:rPr>
                <w:rFonts w:ascii="宋体" w:hAnsi="宋体"/>
                <w:szCs w:val="21"/>
              </w:rPr>
            </w:pPr>
            <w:r>
              <w:rPr>
                <w:rFonts w:ascii="宋体" w:hAnsi="宋体"/>
                <w:szCs w:val="21"/>
              </w:rPr>
              <w:t>（</w:t>
            </w:r>
            <w:r>
              <w:rPr>
                <w:rFonts w:hint="eastAsia" w:ascii="宋体" w:hAnsi="宋体"/>
                <w:szCs w:val="21"/>
              </w:rPr>
              <w:t>3</w:t>
            </w:r>
            <w:r>
              <w:rPr>
                <w:rFonts w:ascii="宋体" w:hAnsi="宋体"/>
                <w:szCs w:val="21"/>
              </w:rPr>
              <w:t>）技术部分</w:t>
            </w:r>
            <w:r>
              <w:rPr>
                <w:rStyle w:val="54"/>
              </w:rPr>
              <w:commentReference w:id="2"/>
            </w:r>
            <w:r>
              <w:rPr>
                <w:rFonts w:ascii="宋体" w:hAnsi="宋体"/>
                <w:szCs w:val="21"/>
              </w:rPr>
              <w:t>的装订要求</w:t>
            </w:r>
          </w:p>
          <w:p w14:paraId="6C30DBFA">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应按照第七章规定格式装订成册，原则上应编制目录（但不得将目录编制作为评审因素），标注页码。</w:t>
            </w:r>
          </w:p>
          <w:p w14:paraId="429BA627">
            <w:pPr>
              <w:adjustRightInd w:val="0"/>
              <w:snapToGrid w:val="0"/>
              <w:spacing w:line="400" w:lineRule="exact"/>
              <w:ind w:firstLine="420" w:firstLineChars="200"/>
              <w:rPr>
                <w:rFonts w:ascii="宋体" w:hAnsi="宋体"/>
                <w:kern w:val="0"/>
                <w:szCs w:val="21"/>
              </w:rPr>
            </w:pPr>
            <w:r>
              <w:rPr>
                <w:rFonts w:hint="eastAsia" w:ascii="宋体" w:hAnsi="宋体"/>
                <w:kern w:val="0"/>
                <w:szCs w:val="21"/>
              </w:rPr>
              <w:t>（</w:t>
            </w:r>
            <w:r>
              <w:rPr>
                <w:rFonts w:hint="eastAsia" w:ascii="宋体" w:hAnsi="宋体" w:cs="宋体"/>
                <w:szCs w:val="21"/>
              </w:rPr>
              <w:t>技术方案原则上不超过 200页，但不得将页数作为评审因素。</w:t>
            </w:r>
            <w:r>
              <w:rPr>
                <w:rFonts w:hint="eastAsia" w:ascii="宋体" w:hAnsi="宋体"/>
                <w:kern w:val="0"/>
                <w:szCs w:val="21"/>
              </w:rPr>
              <w:t>）</w:t>
            </w:r>
          </w:p>
          <w:p w14:paraId="2E758661">
            <w:pPr>
              <w:adjustRightInd w:val="0"/>
              <w:snapToGrid w:val="0"/>
              <w:spacing w:line="400" w:lineRule="exact"/>
              <w:ind w:firstLine="420" w:firstLineChars="200"/>
              <w:rPr>
                <w:rFonts w:ascii="宋体" w:hAnsi="宋体"/>
                <w:kern w:val="0"/>
                <w:szCs w:val="21"/>
              </w:rPr>
            </w:pPr>
            <w:r>
              <w:rPr>
                <w:rFonts w:ascii="宋体" w:hAnsi="宋体"/>
                <w:szCs w:val="21"/>
              </w:rPr>
              <w:t>（</w:t>
            </w:r>
            <w:r>
              <w:rPr>
                <w:rFonts w:hint="eastAsia" w:ascii="宋体" w:hAnsi="宋体"/>
                <w:szCs w:val="21"/>
              </w:rPr>
              <w:t>4</w:t>
            </w:r>
            <w:r>
              <w:rPr>
                <w:rFonts w:ascii="宋体" w:hAnsi="宋体"/>
                <w:szCs w:val="21"/>
              </w:rPr>
              <w:t>）</w:t>
            </w:r>
            <w:r>
              <w:rPr>
                <w:rFonts w:hint="eastAsia" w:ascii="宋体" w:hAnsi="宋体"/>
                <w:kern w:val="0"/>
                <w:szCs w:val="21"/>
              </w:rPr>
              <w:t>资格审查部分</w:t>
            </w:r>
            <w:r>
              <w:rPr>
                <w:rFonts w:ascii="宋体" w:hAnsi="宋体"/>
                <w:kern w:val="0"/>
                <w:szCs w:val="21"/>
              </w:rPr>
              <w:t>的装订要求</w:t>
            </w:r>
          </w:p>
          <w:p w14:paraId="6468DF69">
            <w:pPr>
              <w:adjustRightInd w:val="0"/>
              <w:snapToGrid w:val="0"/>
              <w:spacing w:line="400" w:lineRule="exact"/>
              <w:ind w:firstLine="420" w:firstLineChars="200"/>
              <w:rPr>
                <w:rFonts w:ascii="宋体" w:hAnsi="宋体"/>
                <w:szCs w:val="21"/>
              </w:rPr>
            </w:pPr>
            <w:r>
              <w:rPr>
                <w:rFonts w:ascii="宋体" w:hAnsi="宋体"/>
                <w:szCs w:val="21"/>
              </w:rPr>
              <w:t>应按照第</w:t>
            </w:r>
            <w:r>
              <w:rPr>
                <w:rFonts w:hint="eastAsia" w:ascii="宋体" w:hAnsi="宋体"/>
                <w:szCs w:val="21"/>
              </w:rPr>
              <w:t>七章</w:t>
            </w:r>
            <w:r>
              <w:rPr>
                <w:rFonts w:ascii="宋体" w:hAnsi="宋体"/>
                <w:szCs w:val="21"/>
              </w:rPr>
              <w:t>规定格式装订成册，</w:t>
            </w:r>
            <w:r>
              <w:rPr>
                <w:rFonts w:hint="eastAsia" w:ascii="宋体" w:hAnsi="宋体" w:cs="宋体"/>
                <w:szCs w:val="21"/>
              </w:rPr>
              <w:t>原则上</w:t>
            </w:r>
            <w:r>
              <w:rPr>
                <w:rFonts w:ascii="宋体" w:hAnsi="宋体"/>
                <w:szCs w:val="21"/>
              </w:rPr>
              <w:t>应编制目录</w:t>
            </w:r>
            <w:r>
              <w:rPr>
                <w:rFonts w:hint="eastAsia" w:ascii="宋体" w:hAnsi="宋体"/>
                <w:szCs w:val="21"/>
              </w:rPr>
              <w:t>（但不得将目录编制作为评审因素）</w:t>
            </w:r>
            <w:r>
              <w:rPr>
                <w:rFonts w:ascii="宋体" w:hAnsi="宋体"/>
                <w:szCs w:val="21"/>
              </w:rPr>
              <w:t>，标注页码</w:t>
            </w:r>
            <w:r>
              <w:rPr>
                <w:rFonts w:hint="eastAsia" w:ascii="宋体" w:hAnsi="宋体"/>
                <w:szCs w:val="21"/>
              </w:rPr>
              <w:t>。</w:t>
            </w:r>
          </w:p>
        </w:tc>
      </w:tr>
      <w:tr w14:paraId="7D34AC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78C895E">
            <w:pPr>
              <w:snapToGrid w:val="0"/>
              <w:spacing w:line="400" w:lineRule="exact"/>
              <w:jc w:val="center"/>
              <w:rPr>
                <w:rFonts w:ascii="宋体" w:hAnsi="宋体"/>
                <w:kern w:val="0"/>
                <w:szCs w:val="21"/>
              </w:rPr>
            </w:pPr>
            <w:r>
              <w:rPr>
                <w:rFonts w:ascii="宋体" w:hAnsi="宋体"/>
                <w:kern w:val="0"/>
                <w:szCs w:val="21"/>
              </w:rPr>
              <w:t>4.1.1</w:t>
            </w:r>
          </w:p>
        </w:tc>
        <w:tc>
          <w:tcPr>
            <w:tcW w:w="1644" w:type="dxa"/>
            <w:vAlign w:val="center"/>
          </w:tcPr>
          <w:p w14:paraId="35554204">
            <w:pPr>
              <w:snapToGrid w:val="0"/>
              <w:spacing w:line="400" w:lineRule="exact"/>
              <w:jc w:val="center"/>
              <w:rPr>
                <w:rFonts w:ascii="宋体" w:hAnsi="宋体"/>
                <w:spacing w:val="-6"/>
                <w:kern w:val="0"/>
                <w:szCs w:val="21"/>
              </w:rPr>
            </w:pPr>
            <w:r>
              <w:rPr>
                <w:rFonts w:hint="eastAsia" w:ascii="宋体" w:hAnsi="宋体"/>
                <w:spacing w:val="-6"/>
                <w:kern w:val="0"/>
                <w:szCs w:val="21"/>
              </w:rPr>
              <w:t>投标文件</w:t>
            </w:r>
            <w:r>
              <w:rPr>
                <w:rFonts w:ascii="宋体" w:hAnsi="宋体"/>
                <w:spacing w:val="-6"/>
                <w:kern w:val="0"/>
                <w:szCs w:val="21"/>
              </w:rPr>
              <w:t>的密封</w:t>
            </w:r>
          </w:p>
        </w:tc>
        <w:tc>
          <w:tcPr>
            <w:tcW w:w="6490" w:type="dxa"/>
            <w:vAlign w:val="center"/>
          </w:tcPr>
          <w:p w14:paraId="22BB86DC">
            <w:pPr>
              <w:spacing w:line="400" w:lineRule="exact"/>
              <w:ind w:firstLine="420" w:firstLineChars="200"/>
              <w:rPr>
                <w:rFonts w:ascii="宋体" w:hAnsi="宋体"/>
                <w:szCs w:val="21"/>
              </w:rPr>
            </w:pPr>
            <w:r>
              <w:rPr>
                <w:rFonts w:ascii="宋体" w:hAnsi="宋体"/>
                <w:szCs w:val="21"/>
              </w:rPr>
              <w:t>1.</w:t>
            </w:r>
            <w:r>
              <w:rPr>
                <w:rFonts w:hint="eastAsia" w:ascii="宋体" w:hAnsi="宋体"/>
                <w:szCs w:val="21"/>
              </w:rPr>
              <w:t xml:space="preserve"> 投标文件</w:t>
            </w:r>
            <w:r>
              <w:rPr>
                <w:rFonts w:ascii="宋体" w:hAnsi="宋体"/>
                <w:szCs w:val="21"/>
              </w:rPr>
              <w:t>袋使用“</w:t>
            </w:r>
            <w:r>
              <w:rPr>
                <w:rFonts w:hint="eastAsia" w:ascii="宋体" w:hAnsi="宋体"/>
                <w:szCs w:val="21"/>
              </w:rPr>
              <w:t>投标函</w:t>
            </w:r>
            <w:r>
              <w:rPr>
                <w:rFonts w:ascii="宋体" w:hAnsi="宋体"/>
                <w:szCs w:val="21"/>
              </w:rPr>
              <w:t>部分”袋、“</w:t>
            </w:r>
            <w:r>
              <w:rPr>
                <w:rFonts w:hint="eastAsia" w:ascii="宋体" w:hAnsi="宋体"/>
                <w:szCs w:val="21"/>
              </w:rPr>
              <w:t>经济</w:t>
            </w:r>
            <w:r>
              <w:rPr>
                <w:rFonts w:ascii="宋体" w:hAnsi="宋体"/>
                <w:szCs w:val="21"/>
              </w:rPr>
              <w:t>部分”袋、“技术部分”袋</w:t>
            </w:r>
            <w:r>
              <w:rPr>
                <w:rFonts w:hint="eastAsia" w:ascii="宋体" w:hAnsi="宋体"/>
                <w:szCs w:val="21"/>
              </w:rPr>
              <w:t>（如有）</w:t>
            </w:r>
            <w:r>
              <w:rPr>
                <w:rFonts w:ascii="宋体" w:hAnsi="宋体"/>
                <w:szCs w:val="21"/>
              </w:rPr>
              <w:t>、“</w:t>
            </w:r>
            <w:r>
              <w:rPr>
                <w:rFonts w:hint="eastAsia" w:ascii="宋体" w:hAnsi="宋体"/>
                <w:szCs w:val="21"/>
              </w:rPr>
              <w:t>资格审查部分</w:t>
            </w:r>
            <w:r>
              <w:rPr>
                <w:rFonts w:ascii="宋体" w:hAnsi="宋体"/>
                <w:szCs w:val="21"/>
              </w:rPr>
              <w:t>”袋以及“</w:t>
            </w:r>
            <w:r>
              <w:rPr>
                <w:rFonts w:hint="eastAsia" w:ascii="宋体" w:hAnsi="宋体"/>
                <w:szCs w:val="21"/>
              </w:rPr>
              <w:t>投标文件</w:t>
            </w:r>
            <w:r>
              <w:rPr>
                <w:rFonts w:ascii="宋体" w:hAnsi="宋体"/>
                <w:szCs w:val="21"/>
              </w:rPr>
              <w:t>”大袋。</w:t>
            </w:r>
          </w:p>
          <w:p w14:paraId="2E61B528">
            <w:pPr>
              <w:spacing w:line="400" w:lineRule="exact"/>
              <w:ind w:firstLine="420" w:firstLineChars="20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 xml:space="preserve"> 投标函</w:t>
            </w:r>
            <w:r>
              <w:rPr>
                <w:rFonts w:ascii="宋体" w:hAnsi="宋体"/>
                <w:szCs w:val="21"/>
              </w:rPr>
              <w:t>部分</w:t>
            </w:r>
            <w:r>
              <w:rPr>
                <w:rFonts w:hint="eastAsia" w:ascii="宋体" w:hAnsi="宋体"/>
                <w:szCs w:val="21"/>
              </w:rPr>
              <w:t>和电子版形式</w:t>
            </w:r>
            <w:r>
              <w:rPr>
                <w:rFonts w:hint="eastAsia" w:ascii="宋体" w:hAnsi="宋体"/>
                <w:kern w:val="0"/>
                <w:szCs w:val="21"/>
              </w:rPr>
              <w:t>（U盘</w:t>
            </w:r>
            <w:r>
              <w:rPr>
                <w:rFonts w:hint="eastAsia" w:ascii="宋体" w:hAnsi="宋体"/>
                <w:szCs w:val="21"/>
              </w:rPr>
              <w:t>）</w:t>
            </w:r>
            <w:r>
              <w:rPr>
                <w:rFonts w:ascii="宋体" w:hAnsi="宋体"/>
                <w:szCs w:val="21"/>
              </w:rPr>
              <w:t>装入“</w:t>
            </w:r>
            <w:r>
              <w:rPr>
                <w:rFonts w:hint="eastAsia" w:ascii="宋体" w:hAnsi="宋体"/>
                <w:szCs w:val="21"/>
              </w:rPr>
              <w:t>投标函</w:t>
            </w:r>
            <w:r>
              <w:rPr>
                <w:rFonts w:ascii="宋体" w:hAnsi="宋体"/>
                <w:szCs w:val="21"/>
              </w:rPr>
              <w:t>部分”袋中，密封并在袋上加盖</w:t>
            </w:r>
            <w:r>
              <w:rPr>
                <w:rFonts w:hint="eastAsia" w:ascii="宋体" w:hAnsi="宋体"/>
                <w:szCs w:val="21"/>
              </w:rPr>
              <w:t>投标人</w:t>
            </w:r>
            <w:r>
              <w:rPr>
                <w:rFonts w:ascii="宋体" w:hAnsi="宋体"/>
                <w:szCs w:val="21"/>
              </w:rPr>
              <w:t>单位</w:t>
            </w:r>
            <w:r>
              <w:rPr>
                <w:rFonts w:hint="eastAsia" w:ascii="宋体" w:hAnsi="宋体"/>
                <w:szCs w:val="21"/>
              </w:rPr>
              <w:t>公</w:t>
            </w:r>
            <w:r>
              <w:rPr>
                <w:rFonts w:ascii="宋体" w:hAnsi="宋体"/>
                <w:szCs w:val="21"/>
              </w:rPr>
              <w:t>章。</w:t>
            </w:r>
          </w:p>
          <w:p w14:paraId="7F115377">
            <w:pPr>
              <w:spacing w:line="400" w:lineRule="exact"/>
              <w:ind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 xml:space="preserve"> </w:t>
            </w:r>
            <w:r>
              <w:rPr>
                <w:rFonts w:hint="eastAsia" w:ascii="宋体" w:hAnsi="宋体"/>
                <w:spacing w:val="4"/>
                <w:szCs w:val="21"/>
              </w:rPr>
              <w:t>经济</w:t>
            </w:r>
            <w:r>
              <w:rPr>
                <w:rFonts w:ascii="宋体" w:hAnsi="宋体"/>
                <w:spacing w:val="4"/>
                <w:szCs w:val="21"/>
              </w:rPr>
              <w:t>部分装入“</w:t>
            </w:r>
            <w:r>
              <w:rPr>
                <w:rFonts w:hint="eastAsia" w:ascii="宋体" w:hAnsi="宋体"/>
                <w:spacing w:val="4"/>
                <w:szCs w:val="21"/>
              </w:rPr>
              <w:t>经济</w:t>
            </w:r>
            <w:r>
              <w:rPr>
                <w:rFonts w:ascii="宋体" w:hAnsi="宋体"/>
                <w:spacing w:val="4"/>
                <w:szCs w:val="21"/>
              </w:rPr>
              <w:t>部分”袋中，密封并在袋上</w:t>
            </w:r>
            <w:r>
              <w:rPr>
                <w:rFonts w:ascii="宋体" w:hAnsi="宋体"/>
                <w:szCs w:val="21"/>
              </w:rPr>
              <w:t>加盖</w:t>
            </w:r>
            <w:r>
              <w:rPr>
                <w:rFonts w:hint="eastAsia" w:ascii="宋体" w:hAnsi="宋体"/>
                <w:szCs w:val="21"/>
              </w:rPr>
              <w:t>投标人</w:t>
            </w:r>
            <w:r>
              <w:rPr>
                <w:rFonts w:ascii="宋体" w:hAnsi="宋体"/>
                <w:szCs w:val="21"/>
              </w:rPr>
              <w:t>单位</w:t>
            </w:r>
            <w:r>
              <w:rPr>
                <w:rFonts w:hint="eastAsia" w:ascii="宋体" w:hAnsi="宋体"/>
                <w:szCs w:val="21"/>
              </w:rPr>
              <w:t>公</w:t>
            </w:r>
            <w:r>
              <w:rPr>
                <w:rFonts w:ascii="宋体" w:hAnsi="宋体"/>
                <w:szCs w:val="21"/>
              </w:rPr>
              <w:t>章。</w:t>
            </w:r>
          </w:p>
          <w:p w14:paraId="2D605283">
            <w:pPr>
              <w:spacing w:line="400" w:lineRule="exact"/>
              <w:ind w:firstLine="420" w:firstLineChars="200"/>
              <w:rPr>
                <w:rFonts w:ascii="宋体" w:hAnsi="宋体"/>
                <w:szCs w:val="21"/>
              </w:rPr>
            </w:pPr>
            <w:r>
              <w:rPr>
                <w:rFonts w:hint="eastAsia" w:ascii="宋体" w:hAnsi="宋体"/>
                <w:szCs w:val="21"/>
              </w:rPr>
              <w:t>4</w:t>
            </w:r>
            <w:r>
              <w:rPr>
                <w:rFonts w:ascii="宋体" w:hAnsi="宋体"/>
                <w:szCs w:val="21"/>
              </w:rPr>
              <w:t>.技术部分</w:t>
            </w:r>
            <w:r>
              <w:rPr>
                <w:rFonts w:ascii="宋体" w:hAnsi="宋体"/>
                <w:spacing w:val="4"/>
                <w:szCs w:val="21"/>
              </w:rPr>
              <w:t>装入“</w:t>
            </w:r>
            <w:r>
              <w:rPr>
                <w:rFonts w:ascii="宋体" w:hAnsi="宋体"/>
                <w:szCs w:val="21"/>
              </w:rPr>
              <w:t>技术部分</w:t>
            </w:r>
            <w:r>
              <w:rPr>
                <w:rFonts w:ascii="宋体" w:hAnsi="宋体"/>
                <w:spacing w:val="4"/>
                <w:szCs w:val="21"/>
              </w:rPr>
              <w:t>”袋</w:t>
            </w:r>
            <w:r>
              <w:rPr>
                <w:rFonts w:hint="eastAsia" w:ascii="宋体" w:hAnsi="宋体"/>
                <w:szCs w:val="21"/>
              </w:rPr>
              <w:t>（如有）</w:t>
            </w:r>
            <w:r>
              <w:rPr>
                <w:rFonts w:ascii="宋体" w:hAnsi="宋体"/>
                <w:spacing w:val="4"/>
                <w:szCs w:val="21"/>
              </w:rPr>
              <w:t>中，密封并在袋上</w:t>
            </w:r>
            <w:r>
              <w:rPr>
                <w:rFonts w:ascii="宋体" w:hAnsi="宋体"/>
                <w:szCs w:val="21"/>
              </w:rPr>
              <w:t>加盖</w:t>
            </w:r>
            <w:r>
              <w:rPr>
                <w:rFonts w:hint="eastAsia" w:ascii="宋体" w:hAnsi="宋体"/>
                <w:szCs w:val="21"/>
              </w:rPr>
              <w:t>投标人</w:t>
            </w:r>
            <w:r>
              <w:rPr>
                <w:rFonts w:ascii="宋体" w:hAnsi="宋体"/>
                <w:szCs w:val="21"/>
              </w:rPr>
              <w:t>单位</w:t>
            </w:r>
            <w:r>
              <w:rPr>
                <w:rFonts w:hint="eastAsia" w:ascii="宋体" w:hAnsi="宋体"/>
                <w:szCs w:val="21"/>
              </w:rPr>
              <w:t>公</w:t>
            </w:r>
            <w:r>
              <w:rPr>
                <w:rFonts w:ascii="宋体" w:hAnsi="宋体"/>
                <w:szCs w:val="21"/>
              </w:rPr>
              <w:t>章。</w:t>
            </w:r>
          </w:p>
          <w:p w14:paraId="2195FBA8">
            <w:pPr>
              <w:spacing w:line="400" w:lineRule="exact"/>
              <w:ind w:firstLine="420" w:firstLineChars="200"/>
              <w:rPr>
                <w:rFonts w:ascii="宋体" w:hAnsi="宋体"/>
                <w:szCs w:val="21"/>
              </w:rPr>
            </w:pPr>
            <w:r>
              <w:rPr>
                <w:rFonts w:hint="eastAsia" w:ascii="宋体" w:hAnsi="宋体"/>
                <w:szCs w:val="21"/>
              </w:rPr>
              <w:t>5. 资格审查部分装入“资格审查部分”袋中，</w:t>
            </w:r>
            <w:r>
              <w:rPr>
                <w:rFonts w:ascii="宋体" w:hAnsi="宋体"/>
                <w:spacing w:val="4"/>
                <w:szCs w:val="21"/>
              </w:rPr>
              <w:t>密封并在袋上</w:t>
            </w:r>
            <w:r>
              <w:rPr>
                <w:rFonts w:ascii="宋体" w:hAnsi="宋体"/>
                <w:szCs w:val="21"/>
              </w:rPr>
              <w:t>加盖</w:t>
            </w:r>
            <w:r>
              <w:rPr>
                <w:rFonts w:hint="eastAsia" w:ascii="宋体" w:hAnsi="宋体"/>
                <w:szCs w:val="21"/>
              </w:rPr>
              <w:t>投标人</w:t>
            </w:r>
            <w:r>
              <w:rPr>
                <w:rFonts w:ascii="宋体" w:hAnsi="宋体"/>
                <w:szCs w:val="21"/>
              </w:rPr>
              <w:t>单位</w:t>
            </w:r>
            <w:r>
              <w:rPr>
                <w:rFonts w:hint="eastAsia" w:ascii="宋体" w:hAnsi="宋体"/>
                <w:szCs w:val="21"/>
              </w:rPr>
              <w:t>公</w:t>
            </w:r>
            <w:r>
              <w:rPr>
                <w:rFonts w:ascii="宋体" w:hAnsi="宋体"/>
                <w:szCs w:val="21"/>
              </w:rPr>
              <w:t>章。</w:t>
            </w:r>
          </w:p>
          <w:p w14:paraId="4F980F2A">
            <w:pPr>
              <w:spacing w:line="400" w:lineRule="exact"/>
              <w:ind w:firstLine="420" w:firstLineChars="200"/>
              <w:rPr>
                <w:rFonts w:ascii="宋体" w:hAnsi="宋体"/>
                <w:szCs w:val="21"/>
              </w:rPr>
            </w:pPr>
            <w:r>
              <w:rPr>
                <w:rFonts w:hint="eastAsia" w:ascii="宋体" w:hAnsi="宋体"/>
                <w:szCs w:val="21"/>
              </w:rPr>
              <w:t>6</w:t>
            </w:r>
            <w:r>
              <w:rPr>
                <w:rFonts w:ascii="宋体" w:hAnsi="宋体"/>
                <w:szCs w:val="21"/>
              </w:rPr>
              <w:t>.</w:t>
            </w:r>
            <w:r>
              <w:rPr>
                <w:rFonts w:hint="eastAsia" w:ascii="宋体" w:hAnsi="宋体"/>
                <w:szCs w:val="21"/>
              </w:rPr>
              <w:t xml:space="preserve"> </w:t>
            </w:r>
            <w:r>
              <w:rPr>
                <w:rFonts w:ascii="宋体" w:hAnsi="宋体"/>
                <w:szCs w:val="21"/>
              </w:rPr>
              <w:t>“</w:t>
            </w:r>
            <w:r>
              <w:rPr>
                <w:rFonts w:hint="eastAsia" w:ascii="宋体" w:hAnsi="宋体"/>
                <w:szCs w:val="21"/>
              </w:rPr>
              <w:t>投标函</w:t>
            </w:r>
            <w:r>
              <w:rPr>
                <w:rFonts w:ascii="宋体" w:hAnsi="宋体"/>
                <w:szCs w:val="21"/>
              </w:rPr>
              <w:t>部分”、“</w:t>
            </w:r>
            <w:r>
              <w:rPr>
                <w:rFonts w:hint="eastAsia" w:ascii="宋体" w:hAnsi="宋体"/>
                <w:szCs w:val="21"/>
              </w:rPr>
              <w:t>经济</w:t>
            </w:r>
            <w:r>
              <w:rPr>
                <w:rFonts w:ascii="宋体" w:hAnsi="宋体"/>
                <w:szCs w:val="21"/>
              </w:rPr>
              <w:t>部分”、“技术部分”</w:t>
            </w:r>
            <w:r>
              <w:rPr>
                <w:rFonts w:hint="eastAsia" w:ascii="宋体" w:hAnsi="宋体"/>
                <w:szCs w:val="21"/>
              </w:rPr>
              <w:t>（如有）、“资格审查部分”</w:t>
            </w:r>
            <w:r>
              <w:rPr>
                <w:rFonts w:ascii="宋体" w:hAnsi="宋体"/>
                <w:szCs w:val="21"/>
              </w:rPr>
              <w:t>等小袋装入“</w:t>
            </w:r>
            <w:r>
              <w:rPr>
                <w:rFonts w:hint="eastAsia" w:ascii="宋体" w:hAnsi="宋体"/>
                <w:szCs w:val="21"/>
              </w:rPr>
              <w:t>投标文件</w:t>
            </w:r>
            <w:r>
              <w:rPr>
                <w:rFonts w:ascii="宋体" w:hAnsi="宋体"/>
                <w:szCs w:val="21"/>
              </w:rPr>
              <w:t>”大袋中，密封并在大袋上加盖</w:t>
            </w:r>
            <w:r>
              <w:rPr>
                <w:rFonts w:hint="eastAsia" w:ascii="宋体" w:hAnsi="宋体"/>
                <w:szCs w:val="21"/>
              </w:rPr>
              <w:t>投标人</w:t>
            </w:r>
            <w:r>
              <w:rPr>
                <w:rFonts w:ascii="宋体" w:hAnsi="宋体"/>
                <w:szCs w:val="21"/>
              </w:rPr>
              <w:t>单位</w:t>
            </w:r>
            <w:r>
              <w:rPr>
                <w:rFonts w:hint="eastAsia" w:ascii="宋体" w:hAnsi="宋体"/>
                <w:szCs w:val="21"/>
              </w:rPr>
              <w:t>公</w:t>
            </w:r>
            <w:r>
              <w:rPr>
                <w:rFonts w:ascii="宋体" w:hAnsi="宋体"/>
                <w:szCs w:val="21"/>
              </w:rPr>
              <w:t>章，同时“</w:t>
            </w:r>
            <w:r>
              <w:rPr>
                <w:rFonts w:hint="eastAsia" w:ascii="宋体" w:hAnsi="宋体"/>
                <w:szCs w:val="21"/>
              </w:rPr>
              <w:t>投标文件</w:t>
            </w:r>
            <w:r>
              <w:rPr>
                <w:rFonts w:ascii="宋体" w:hAnsi="宋体"/>
                <w:szCs w:val="21"/>
              </w:rPr>
              <w:t>”大袋应按本表第4.1.2项的规定写明相应内容。</w:t>
            </w:r>
            <w:r>
              <w:rPr>
                <w:rFonts w:hint="eastAsia" w:ascii="宋体" w:hAnsi="宋体"/>
                <w:szCs w:val="21"/>
              </w:rPr>
              <w:t>一个大袋装不下的，可使用多个大袋分册封装。大袋未按要求密封的，比选人或代理机构应该拒收。</w:t>
            </w:r>
          </w:p>
          <w:p w14:paraId="33C6502C">
            <w:pPr>
              <w:adjustRightInd w:val="0"/>
              <w:snapToGrid w:val="0"/>
              <w:spacing w:line="400" w:lineRule="exact"/>
              <w:ind w:firstLine="420" w:firstLineChars="200"/>
              <w:rPr>
                <w:rFonts w:ascii="宋体" w:hAnsi="宋体"/>
                <w:szCs w:val="21"/>
              </w:rPr>
            </w:pPr>
            <w:r>
              <w:rPr>
                <w:rFonts w:hint="eastAsia" w:ascii="宋体" w:hAnsi="宋体"/>
                <w:szCs w:val="21"/>
              </w:rPr>
              <w:t>注：“投标函部分”袋、“技术部分”袋（如有）、“经济部分”袋、“资格审查部分”袋只为方便投标文件分装，不作为判定密封合格与否的条件。但为了方便开标，请各投标人主动配合，按要求分装。</w:t>
            </w:r>
          </w:p>
        </w:tc>
      </w:tr>
      <w:tr w14:paraId="1ED6F7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31110D1">
            <w:pPr>
              <w:snapToGrid w:val="0"/>
              <w:spacing w:line="400" w:lineRule="exact"/>
              <w:jc w:val="center"/>
              <w:rPr>
                <w:rFonts w:ascii="宋体" w:hAnsi="宋体"/>
                <w:kern w:val="0"/>
                <w:szCs w:val="21"/>
              </w:rPr>
            </w:pPr>
            <w:r>
              <w:rPr>
                <w:rFonts w:ascii="宋体" w:hAnsi="宋体"/>
                <w:kern w:val="0"/>
                <w:szCs w:val="21"/>
              </w:rPr>
              <w:t>4.1.2</w:t>
            </w:r>
          </w:p>
        </w:tc>
        <w:tc>
          <w:tcPr>
            <w:tcW w:w="1644" w:type="dxa"/>
            <w:vAlign w:val="center"/>
          </w:tcPr>
          <w:p w14:paraId="61894BC5">
            <w:pPr>
              <w:snapToGrid w:val="0"/>
              <w:spacing w:line="400" w:lineRule="exact"/>
              <w:jc w:val="center"/>
              <w:rPr>
                <w:rFonts w:ascii="宋体" w:hAnsi="宋体"/>
                <w:kern w:val="0"/>
                <w:szCs w:val="21"/>
              </w:rPr>
            </w:pPr>
            <w:r>
              <w:rPr>
                <w:rFonts w:ascii="宋体" w:hAnsi="宋体"/>
                <w:kern w:val="0"/>
                <w:szCs w:val="21"/>
              </w:rPr>
              <w:t>封套上写明</w:t>
            </w:r>
          </w:p>
        </w:tc>
        <w:tc>
          <w:tcPr>
            <w:tcW w:w="6490" w:type="dxa"/>
            <w:vAlign w:val="center"/>
          </w:tcPr>
          <w:p w14:paraId="019CAAC3">
            <w:pPr>
              <w:snapToGrid w:val="0"/>
              <w:spacing w:line="400" w:lineRule="exact"/>
              <w:ind w:firstLine="420" w:firstLineChars="200"/>
              <w:rPr>
                <w:rFonts w:ascii="宋体" w:hAnsi="宋体"/>
                <w:kern w:val="0"/>
                <w:szCs w:val="21"/>
              </w:rPr>
            </w:pPr>
            <w:r>
              <w:rPr>
                <w:rFonts w:ascii="宋体" w:hAnsi="宋体"/>
                <w:kern w:val="0"/>
                <w:szCs w:val="21"/>
              </w:rPr>
              <w:t>应在“</w:t>
            </w:r>
            <w:r>
              <w:rPr>
                <w:rFonts w:hint="eastAsia" w:ascii="宋体" w:hAnsi="宋体"/>
                <w:kern w:val="0"/>
                <w:szCs w:val="21"/>
              </w:rPr>
              <w:t>投标文件</w:t>
            </w:r>
            <w:r>
              <w:rPr>
                <w:rFonts w:ascii="宋体" w:hAnsi="宋体"/>
                <w:kern w:val="0"/>
                <w:szCs w:val="21"/>
              </w:rPr>
              <w:t>”大袋封套上写明如下内容：</w:t>
            </w:r>
          </w:p>
          <w:p w14:paraId="52F548AB">
            <w:pPr>
              <w:snapToGrid w:val="0"/>
              <w:spacing w:line="400" w:lineRule="exact"/>
              <w:ind w:firstLine="420" w:firstLineChars="200"/>
              <w:rPr>
                <w:rFonts w:ascii="宋体" w:hAnsi="宋体"/>
                <w:kern w:val="0"/>
                <w:szCs w:val="21"/>
              </w:rPr>
            </w:pPr>
            <w:r>
              <w:rPr>
                <w:rFonts w:hint="eastAsia" w:ascii="宋体" w:hAnsi="宋体"/>
                <w:kern w:val="0"/>
                <w:szCs w:val="21"/>
              </w:rPr>
              <w:t>比选人</w:t>
            </w:r>
            <w:r>
              <w:rPr>
                <w:rFonts w:ascii="宋体" w:hAnsi="宋体"/>
                <w:kern w:val="0"/>
                <w:szCs w:val="21"/>
              </w:rPr>
              <w:t>名称：</w:t>
            </w:r>
            <w:r>
              <w:rPr>
                <w:rFonts w:hint="eastAsia" w:ascii="宋体" w:hAnsi="宋体"/>
                <w:kern w:val="0"/>
                <w:szCs w:val="21"/>
                <w:u w:val="single"/>
              </w:rPr>
              <w:t xml:space="preserve">            </w:t>
            </w:r>
          </w:p>
          <w:p w14:paraId="765778AA">
            <w:pPr>
              <w:snapToGrid w:val="0"/>
              <w:spacing w:line="400" w:lineRule="exact"/>
              <w:ind w:firstLine="420" w:firstLineChars="200"/>
              <w:rPr>
                <w:rFonts w:ascii="宋体" w:hAnsi="宋体"/>
                <w:kern w:val="0"/>
                <w:szCs w:val="21"/>
              </w:rPr>
            </w:pPr>
            <w:r>
              <w:rPr>
                <w:rFonts w:hint="eastAsia" w:ascii="宋体" w:hAnsi="宋体"/>
                <w:kern w:val="0"/>
                <w:szCs w:val="21"/>
              </w:rPr>
              <w:t>投标人名称：</w:t>
            </w:r>
            <w:r>
              <w:rPr>
                <w:rFonts w:hint="eastAsia" w:ascii="宋体" w:hAnsi="宋体"/>
                <w:kern w:val="0"/>
                <w:szCs w:val="21"/>
                <w:u w:val="single"/>
              </w:rPr>
              <w:t xml:space="preserve">            </w:t>
            </w:r>
          </w:p>
          <w:p w14:paraId="30509A7E">
            <w:pPr>
              <w:snapToGrid w:val="0"/>
              <w:spacing w:line="400" w:lineRule="exact"/>
              <w:ind w:firstLine="420" w:firstLineChars="200"/>
              <w:rPr>
                <w:rFonts w:ascii="宋体" w:hAnsi="宋体"/>
                <w:kern w:val="0"/>
                <w:szCs w:val="21"/>
              </w:rPr>
            </w:pPr>
            <w:r>
              <w:rPr>
                <w:rFonts w:ascii="宋体" w:hAnsi="宋体"/>
                <w:kern w:val="0"/>
                <w:szCs w:val="21"/>
                <w:u w:val="single"/>
              </w:rPr>
              <w:t xml:space="preserve">                （项目名称）</w:t>
            </w:r>
            <w:r>
              <w:rPr>
                <w:rFonts w:hint="eastAsia" w:ascii="宋体" w:hAnsi="宋体"/>
                <w:kern w:val="0"/>
                <w:szCs w:val="21"/>
              </w:rPr>
              <w:t>投标文件</w:t>
            </w:r>
          </w:p>
          <w:p w14:paraId="3028BD6F">
            <w:pPr>
              <w:snapToGrid w:val="0"/>
              <w:spacing w:line="400" w:lineRule="exact"/>
              <w:ind w:firstLine="420" w:firstLineChars="200"/>
              <w:rPr>
                <w:rFonts w:ascii="宋体" w:hAnsi="宋体"/>
                <w:szCs w:val="21"/>
              </w:rPr>
            </w:pPr>
            <w:r>
              <w:rPr>
                <w:rFonts w:ascii="宋体" w:hAnsi="宋体"/>
                <w:kern w:val="0"/>
                <w:szCs w:val="21"/>
              </w:rPr>
              <w:t>在</w:t>
            </w: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r>
              <w:rPr>
                <w:rFonts w:hint="eastAsia" w:ascii="宋体" w:hAnsi="宋体"/>
                <w:kern w:val="0"/>
                <w:szCs w:val="21"/>
                <w:u w:val="single"/>
              </w:rPr>
              <w:t xml:space="preserve">    </w:t>
            </w:r>
            <w:r>
              <w:rPr>
                <w:rFonts w:ascii="宋体" w:hAnsi="宋体"/>
                <w:kern w:val="0"/>
                <w:szCs w:val="21"/>
              </w:rPr>
              <w:t>时</w:t>
            </w:r>
            <w:r>
              <w:rPr>
                <w:rFonts w:hint="eastAsia" w:ascii="宋体" w:hAnsi="宋体"/>
                <w:kern w:val="0"/>
                <w:szCs w:val="21"/>
                <w:u w:val="single"/>
              </w:rPr>
              <w:t xml:space="preserve">    </w:t>
            </w:r>
            <w:r>
              <w:rPr>
                <w:rFonts w:ascii="宋体" w:hAnsi="宋体"/>
                <w:kern w:val="0"/>
                <w:szCs w:val="21"/>
              </w:rPr>
              <w:t>分前不得开启</w:t>
            </w:r>
          </w:p>
        </w:tc>
      </w:tr>
      <w:tr w14:paraId="042113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EFC0A8E">
            <w:pPr>
              <w:snapToGrid w:val="0"/>
              <w:spacing w:line="400" w:lineRule="exact"/>
              <w:jc w:val="center"/>
              <w:rPr>
                <w:rFonts w:ascii="宋体" w:hAnsi="宋体"/>
                <w:kern w:val="0"/>
                <w:szCs w:val="21"/>
              </w:rPr>
            </w:pPr>
            <w:r>
              <w:rPr>
                <w:rFonts w:ascii="宋体" w:hAnsi="宋体"/>
                <w:kern w:val="0"/>
                <w:szCs w:val="21"/>
              </w:rPr>
              <w:t>4.2.2</w:t>
            </w:r>
          </w:p>
        </w:tc>
        <w:tc>
          <w:tcPr>
            <w:tcW w:w="1644" w:type="dxa"/>
            <w:vAlign w:val="center"/>
          </w:tcPr>
          <w:p w14:paraId="441B7174">
            <w:pPr>
              <w:snapToGrid w:val="0"/>
              <w:spacing w:line="400" w:lineRule="exact"/>
              <w:jc w:val="center"/>
              <w:rPr>
                <w:rFonts w:ascii="宋体" w:hAnsi="宋体"/>
                <w:kern w:val="0"/>
                <w:szCs w:val="21"/>
              </w:rPr>
            </w:pPr>
            <w:r>
              <w:rPr>
                <w:rFonts w:ascii="宋体" w:hAnsi="宋体"/>
                <w:kern w:val="0"/>
                <w:szCs w:val="21"/>
              </w:rPr>
              <w:t>递交</w:t>
            </w:r>
            <w:r>
              <w:rPr>
                <w:rFonts w:hint="eastAsia" w:ascii="宋体" w:hAnsi="宋体"/>
                <w:kern w:val="0"/>
                <w:szCs w:val="21"/>
              </w:rPr>
              <w:t>投标文件</w:t>
            </w:r>
            <w:r>
              <w:rPr>
                <w:rFonts w:ascii="宋体" w:hAnsi="宋体"/>
                <w:kern w:val="0"/>
                <w:szCs w:val="21"/>
              </w:rPr>
              <w:t>地点</w:t>
            </w:r>
          </w:p>
        </w:tc>
        <w:tc>
          <w:tcPr>
            <w:tcW w:w="6490" w:type="dxa"/>
            <w:vAlign w:val="center"/>
          </w:tcPr>
          <w:p w14:paraId="307BEE4F">
            <w:pPr>
              <w:snapToGrid w:val="0"/>
              <w:spacing w:line="400" w:lineRule="exact"/>
              <w:ind w:firstLine="420" w:firstLineChars="200"/>
              <w:rPr>
                <w:rFonts w:ascii="宋体" w:hAnsi="宋体"/>
                <w:bCs/>
                <w:i/>
                <w:szCs w:val="21"/>
              </w:rPr>
            </w:pPr>
            <w:r>
              <w:rPr>
                <w:rFonts w:hint="eastAsia" w:ascii="宋体" w:hAnsi="宋体"/>
                <w:bCs/>
                <w:szCs w:val="21"/>
                <w:u w:val="single"/>
              </w:rPr>
              <w:t>重庆市南岸区公共资源交易中心（重庆市南岸区天文街道广福大道12号区行政中心B区2号楼4楼），具体开标室以开标当天交易中心屏幕显示为准。</w:t>
            </w:r>
          </w:p>
        </w:tc>
      </w:tr>
      <w:tr w14:paraId="6FD053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42B6EA6">
            <w:pPr>
              <w:snapToGrid w:val="0"/>
              <w:spacing w:line="400" w:lineRule="exact"/>
              <w:jc w:val="center"/>
              <w:rPr>
                <w:rFonts w:ascii="宋体" w:hAnsi="宋体"/>
                <w:kern w:val="0"/>
                <w:szCs w:val="21"/>
              </w:rPr>
            </w:pPr>
            <w:r>
              <w:rPr>
                <w:rFonts w:ascii="宋体" w:hAnsi="宋体"/>
                <w:kern w:val="0"/>
                <w:szCs w:val="21"/>
              </w:rPr>
              <w:t>4.2.3</w:t>
            </w:r>
          </w:p>
        </w:tc>
        <w:tc>
          <w:tcPr>
            <w:tcW w:w="1644" w:type="dxa"/>
            <w:vAlign w:val="center"/>
          </w:tcPr>
          <w:p w14:paraId="5202E91D">
            <w:pPr>
              <w:snapToGrid w:val="0"/>
              <w:spacing w:line="400" w:lineRule="exact"/>
              <w:jc w:val="center"/>
              <w:rPr>
                <w:rFonts w:ascii="宋体" w:hAnsi="宋体"/>
                <w:kern w:val="0"/>
                <w:szCs w:val="21"/>
              </w:rPr>
            </w:pPr>
            <w:r>
              <w:rPr>
                <w:rFonts w:ascii="宋体" w:hAnsi="宋体"/>
                <w:kern w:val="0"/>
                <w:szCs w:val="21"/>
              </w:rPr>
              <w:t>是否退还</w:t>
            </w:r>
            <w:r>
              <w:rPr>
                <w:rFonts w:hint="eastAsia" w:ascii="宋体" w:hAnsi="宋体"/>
                <w:kern w:val="0"/>
                <w:szCs w:val="21"/>
              </w:rPr>
              <w:t>投标文件</w:t>
            </w:r>
          </w:p>
        </w:tc>
        <w:tc>
          <w:tcPr>
            <w:tcW w:w="6490" w:type="dxa"/>
            <w:vAlign w:val="center"/>
          </w:tcPr>
          <w:p w14:paraId="23066972">
            <w:pPr>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否</w:t>
            </w:r>
          </w:p>
        </w:tc>
      </w:tr>
      <w:tr w14:paraId="3F4F85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714820F">
            <w:pPr>
              <w:snapToGrid w:val="0"/>
              <w:spacing w:line="400" w:lineRule="exact"/>
              <w:jc w:val="center"/>
              <w:rPr>
                <w:rFonts w:ascii="宋体" w:hAnsi="宋体"/>
                <w:kern w:val="0"/>
                <w:szCs w:val="21"/>
              </w:rPr>
            </w:pPr>
            <w:r>
              <w:rPr>
                <w:rFonts w:ascii="宋体" w:hAnsi="宋体"/>
                <w:kern w:val="0"/>
                <w:szCs w:val="21"/>
              </w:rPr>
              <w:t>5.1</w:t>
            </w:r>
            <w:r>
              <w:rPr>
                <w:rFonts w:hint="eastAsia" w:ascii="宋体" w:hAnsi="宋体"/>
                <w:kern w:val="0"/>
                <w:szCs w:val="21"/>
              </w:rPr>
              <w:t>.1</w:t>
            </w:r>
          </w:p>
        </w:tc>
        <w:tc>
          <w:tcPr>
            <w:tcW w:w="1644" w:type="dxa"/>
            <w:vAlign w:val="center"/>
          </w:tcPr>
          <w:p w14:paraId="041D1E81">
            <w:pPr>
              <w:snapToGrid w:val="0"/>
              <w:spacing w:line="400" w:lineRule="exact"/>
              <w:jc w:val="center"/>
              <w:rPr>
                <w:rFonts w:ascii="宋体" w:hAnsi="宋体"/>
                <w:kern w:val="0"/>
                <w:szCs w:val="21"/>
              </w:rPr>
            </w:pPr>
            <w:r>
              <w:rPr>
                <w:rFonts w:ascii="宋体" w:hAnsi="宋体"/>
                <w:kern w:val="0"/>
                <w:szCs w:val="21"/>
              </w:rPr>
              <w:t>开标时间和</w:t>
            </w:r>
          </w:p>
          <w:p w14:paraId="2F3615B0">
            <w:pPr>
              <w:snapToGrid w:val="0"/>
              <w:spacing w:line="400" w:lineRule="exact"/>
              <w:jc w:val="center"/>
              <w:rPr>
                <w:rFonts w:ascii="宋体" w:hAnsi="宋体"/>
                <w:kern w:val="0"/>
                <w:szCs w:val="21"/>
              </w:rPr>
            </w:pPr>
            <w:r>
              <w:rPr>
                <w:rFonts w:ascii="宋体" w:hAnsi="宋体"/>
                <w:kern w:val="0"/>
                <w:szCs w:val="21"/>
              </w:rPr>
              <w:t>地点</w:t>
            </w:r>
          </w:p>
        </w:tc>
        <w:tc>
          <w:tcPr>
            <w:tcW w:w="6490" w:type="dxa"/>
            <w:vAlign w:val="center"/>
          </w:tcPr>
          <w:p w14:paraId="2F3B813A">
            <w:pPr>
              <w:snapToGrid w:val="0"/>
              <w:spacing w:line="400" w:lineRule="exact"/>
              <w:ind w:firstLine="420" w:firstLineChars="200"/>
              <w:rPr>
                <w:rFonts w:ascii="宋体" w:hAnsi="宋体"/>
                <w:kern w:val="0"/>
                <w:szCs w:val="21"/>
              </w:rPr>
            </w:pPr>
            <w:r>
              <w:rPr>
                <w:rFonts w:ascii="宋体" w:hAnsi="宋体"/>
                <w:kern w:val="0"/>
                <w:szCs w:val="21"/>
              </w:rPr>
              <w:t>开标时间：同投标截止时间</w:t>
            </w:r>
          </w:p>
          <w:p w14:paraId="619B0770">
            <w:pPr>
              <w:snapToGrid w:val="0"/>
              <w:spacing w:line="400" w:lineRule="exact"/>
              <w:ind w:firstLine="420" w:firstLineChars="200"/>
              <w:rPr>
                <w:rFonts w:ascii="宋体" w:hAnsi="宋体"/>
                <w:bCs/>
                <w:i/>
                <w:szCs w:val="21"/>
              </w:rPr>
            </w:pPr>
            <w:r>
              <w:rPr>
                <w:rFonts w:ascii="宋体" w:hAnsi="宋体"/>
                <w:kern w:val="0"/>
                <w:szCs w:val="21"/>
              </w:rPr>
              <w:t>开标地点</w:t>
            </w:r>
            <w:r>
              <w:rPr>
                <w:rFonts w:hint="eastAsia" w:ascii="宋体" w:hAnsi="宋体"/>
                <w:kern w:val="0"/>
                <w:szCs w:val="21"/>
              </w:rPr>
              <w:t>详见比选公告</w:t>
            </w:r>
            <w:r>
              <w:rPr>
                <w:rFonts w:ascii="宋体" w:hAnsi="宋体"/>
                <w:bCs/>
                <w:szCs w:val="21"/>
              </w:rPr>
              <w:t>。</w:t>
            </w:r>
          </w:p>
        </w:tc>
      </w:tr>
      <w:tr w14:paraId="5E36E5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4367FEF">
            <w:pPr>
              <w:snapToGrid w:val="0"/>
              <w:spacing w:line="400" w:lineRule="exact"/>
              <w:jc w:val="center"/>
              <w:rPr>
                <w:rFonts w:ascii="宋体" w:hAnsi="宋体"/>
                <w:szCs w:val="21"/>
              </w:rPr>
            </w:pPr>
            <w:r>
              <w:rPr>
                <w:rFonts w:ascii="宋体" w:hAnsi="宋体"/>
                <w:szCs w:val="21"/>
              </w:rPr>
              <w:t>5.2</w:t>
            </w:r>
          </w:p>
        </w:tc>
        <w:tc>
          <w:tcPr>
            <w:tcW w:w="1644" w:type="dxa"/>
            <w:vAlign w:val="center"/>
          </w:tcPr>
          <w:p w14:paraId="4697A047">
            <w:pPr>
              <w:snapToGrid w:val="0"/>
              <w:spacing w:line="400" w:lineRule="exact"/>
              <w:jc w:val="center"/>
              <w:rPr>
                <w:rFonts w:ascii="宋体" w:hAnsi="宋体"/>
                <w:szCs w:val="21"/>
              </w:rPr>
            </w:pPr>
            <w:r>
              <w:rPr>
                <w:rFonts w:ascii="宋体" w:hAnsi="宋体"/>
                <w:szCs w:val="21"/>
              </w:rPr>
              <w:t>开标程序</w:t>
            </w:r>
          </w:p>
        </w:tc>
        <w:tc>
          <w:tcPr>
            <w:tcW w:w="6490" w:type="dxa"/>
            <w:vAlign w:val="center"/>
          </w:tcPr>
          <w:p w14:paraId="7B39CFAD">
            <w:pPr>
              <w:autoSpaceDE w:val="0"/>
              <w:autoSpaceDN w:val="0"/>
              <w:adjustRightInd w:val="0"/>
              <w:snapToGrid w:val="0"/>
              <w:spacing w:line="400" w:lineRule="exact"/>
              <w:ind w:firstLine="420" w:firstLineChars="200"/>
              <w:rPr>
                <w:rFonts w:ascii="宋体" w:hAnsi="宋体"/>
                <w:szCs w:val="21"/>
              </w:rPr>
            </w:pPr>
            <w:r>
              <w:rPr>
                <w:rFonts w:ascii="宋体" w:hAnsi="宋体"/>
                <w:szCs w:val="21"/>
              </w:rPr>
              <w:t>主持人按下列程序进行开标：</w:t>
            </w:r>
          </w:p>
          <w:p w14:paraId="5EF3D55A">
            <w:pPr>
              <w:autoSpaceDE w:val="0"/>
              <w:autoSpaceDN w:val="0"/>
              <w:adjustRightInd w:val="0"/>
              <w:snapToGrid w:val="0"/>
              <w:spacing w:line="400" w:lineRule="exact"/>
              <w:ind w:firstLine="420" w:firstLineChars="200"/>
              <w:rPr>
                <w:rFonts w:ascii="宋体" w:hAnsi="宋体"/>
                <w:szCs w:val="21"/>
              </w:rPr>
            </w:pPr>
            <w:r>
              <w:rPr>
                <w:rFonts w:ascii="宋体" w:hAnsi="宋体"/>
                <w:szCs w:val="21"/>
              </w:rPr>
              <w:t>1. 核验参加开标会议的</w:t>
            </w:r>
            <w:r>
              <w:rPr>
                <w:rFonts w:hint="eastAsia" w:ascii="宋体" w:hAnsi="宋体"/>
                <w:szCs w:val="21"/>
              </w:rPr>
              <w:t>投标人</w:t>
            </w:r>
            <w:r>
              <w:rPr>
                <w:rFonts w:ascii="宋体" w:hAnsi="宋体"/>
                <w:szCs w:val="21"/>
              </w:rPr>
              <w:t>的法定代表人或</w:t>
            </w:r>
            <w:r>
              <w:rPr>
                <w:rFonts w:hint="eastAsia" w:ascii="宋体" w:hAnsi="宋体"/>
                <w:szCs w:val="21"/>
              </w:rPr>
              <w:t>委托代理人</w:t>
            </w:r>
            <w:r>
              <w:rPr>
                <w:rFonts w:ascii="宋体" w:hAnsi="宋体"/>
                <w:szCs w:val="21"/>
              </w:rPr>
              <w:t>本人身份证（原件），核验委托代理人的授权委托书</w:t>
            </w:r>
            <w:r>
              <w:rPr>
                <w:rFonts w:hint="eastAsia" w:ascii="宋体" w:hAnsi="宋体"/>
                <w:szCs w:val="21"/>
              </w:rPr>
              <w:t>、养老保险证明材料复印件</w:t>
            </w:r>
            <w:r>
              <w:rPr>
                <w:rFonts w:ascii="宋体" w:hAnsi="宋体"/>
                <w:szCs w:val="21"/>
              </w:rPr>
              <w:t>，以确认其身份合法有效；</w:t>
            </w:r>
            <w:r>
              <w:rPr>
                <w:rFonts w:hint="eastAsia" w:ascii="宋体" w:hAnsi="宋体"/>
                <w:szCs w:val="21"/>
              </w:rPr>
              <w:t>若经核实委托代理人提供资料与实际不符的，不得参加开标会。核验合格的法定代表人或委托代理人可自行选择是否参加开标会，不参加开标会的视为默认开标结果。</w:t>
            </w:r>
          </w:p>
          <w:p w14:paraId="18BC5621">
            <w:pPr>
              <w:autoSpaceDE w:val="0"/>
              <w:autoSpaceDN w:val="0"/>
              <w:adjustRightInd w:val="0"/>
              <w:snapToGrid w:val="0"/>
              <w:spacing w:line="400" w:lineRule="exact"/>
              <w:ind w:firstLine="420" w:firstLineChars="200"/>
              <w:rPr>
                <w:rFonts w:ascii="宋体" w:hAnsi="宋体"/>
                <w:szCs w:val="21"/>
              </w:rPr>
            </w:pPr>
            <w:r>
              <w:rPr>
                <w:rFonts w:ascii="宋体" w:hAnsi="宋体"/>
                <w:szCs w:val="21"/>
              </w:rPr>
              <w:t>2.</w:t>
            </w:r>
            <w:r>
              <w:rPr>
                <w:rFonts w:hint="eastAsia" w:ascii="宋体" w:hAnsi="宋体"/>
                <w:szCs w:val="21"/>
              </w:rPr>
              <w:t xml:space="preserve"> </w:t>
            </w:r>
            <w:r>
              <w:rPr>
                <w:rFonts w:ascii="宋体" w:hAnsi="宋体"/>
                <w:szCs w:val="21"/>
              </w:rPr>
              <w:t>宣布开标纪律</w:t>
            </w:r>
            <w:r>
              <w:rPr>
                <w:rFonts w:hint="eastAsia" w:ascii="宋体" w:hAnsi="宋体"/>
                <w:szCs w:val="21"/>
              </w:rPr>
              <w:t>。</w:t>
            </w:r>
          </w:p>
          <w:p w14:paraId="5027802C">
            <w:pPr>
              <w:autoSpaceDE w:val="0"/>
              <w:autoSpaceDN w:val="0"/>
              <w:adjustRightInd w:val="0"/>
              <w:snapToGrid w:val="0"/>
              <w:spacing w:line="400" w:lineRule="exact"/>
              <w:ind w:firstLine="420" w:firstLineChars="200"/>
              <w:rPr>
                <w:rFonts w:ascii="宋体" w:hAnsi="宋体"/>
                <w:szCs w:val="21"/>
              </w:rPr>
            </w:pPr>
            <w:r>
              <w:rPr>
                <w:rFonts w:ascii="宋体" w:hAnsi="宋体"/>
                <w:szCs w:val="21"/>
              </w:rPr>
              <w:t>3. 宣布开标人、唱标人、记录人、监标人等有关人员姓名</w:t>
            </w:r>
            <w:r>
              <w:rPr>
                <w:rFonts w:hint="eastAsia" w:ascii="宋体" w:hAnsi="宋体"/>
                <w:szCs w:val="21"/>
              </w:rPr>
              <w:t>。</w:t>
            </w:r>
          </w:p>
          <w:p w14:paraId="1C9E724E">
            <w:pPr>
              <w:autoSpaceDE w:val="0"/>
              <w:autoSpaceDN w:val="0"/>
              <w:adjustRightInd w:val="0"/>
              <w:snapToGrid w:val="0"/>
              <w:spacing w:line="400" w:lineRule="exact"/>
              <w:ind w:firstLine="420" w:firstLineChars="200"/>
              <w:rPr>
                <w:rFonts w:ascii="宋体" w:hAnsi="宋体"/>
                <w:szCs w:val="21"/>
              </w:rPr>
            </w:pPr>
            <w:r>
              <w:rPr>
                <w:rFonts w:ascii="宋体" w:hAnsi="宋体"/>
                <w:szCs w:val="21"/>
              </w:rPr>
              <w:t>4. 公布在投标截止时间前递交</w:t>
            </w:r>
            <w:r>
              <w:rPr>
                <w:rFonts w:hint="eastAsia" w:ascii="宋体" w:hAnsi="宋体"/>
                <w:szCs w:val="21"/>
              </w:rPr>
              <w:t>投标文件</w:t>
            </w:r>
            <w:r>
              <w:rPr>
                <w:rFonts w:ascii="宋体" w:hAnsi="宋体"/>
                <w:szCs w:val="21"/>
              </w:rPr>
              <w:t>的</w:t>
            </w:r>
            <w:r>
              <w:rPr>
                <w:rFonts w:hint="eastAsia" w:ascii="宋体" w:hAnsi="宋体"/>
                <w:szCs w:val="21"/>
              </w:rPr>
              <w:t>投标人</w:t>
            </w:r>
            <w:r>
              <w:rPr>
                <w:rFonts w:ascii="宋体" w:hAnsi="宋体"/>
                <w:szCs w:val="21"/>
              </w:rPr>
              <w:t>名称</w:t>
            </w:r>
            <w:r>
              <w:rPr>
                <w:rFonts w:hint="eastAsia" w:ascii="宋体" w:hAnsi="宋体"/>
                <w:szCs w:val="21"/>
              </w:rPr>
              <w:t>。</w:t>
            </w:r>
          </w:p>
          <w:p w14:paraId="1861EC6A">
            <w:pPr>
              <w:snapToGrid w:val="0"/>
              <w:spacing w:line="400" w:lineRule="exact"/>
              <w:ind w:firstLine="420" w:firstLineChars="200"/>
              <w:rPr>
                <w:rFonts w:ascii="宋体" w:hAnsi="宋体"/>
                <w:szCs w:val="21"/>
              </w:rPr>
            </w:pPr>
            <w:r>
              <w:rPr>
                <w:rFonts w:ascii="宋体" w:hAnsi="宋体"/>
                <w:szCs w:val="21"/>
              </w:rPr>
              <w:t xml:space="preserve">5. </w:t>
            </w:r>
            <w:r>
              <w:rPr>
                <w:rFonts w:hint="eastAsia" w:ascii="宋体" w:hAnsi="宋体"/>
                <w:szCs w:val="21"/>
              </w:rPr>
              <w:t>投标文件的密封检查：投标人可对自己的投标文件封装情况进行检查，以确认其投标文件密封完好。</w:t>
            </w:r>
          </w:p>
          <w:p w14:paraId="165D82CB">
            <w:pPr>
              <w:snapToGrid w:val="0"/>
              <w:spacing w:line="400" w:lineRule="exact"/>
              <w:ind w:firstLine="420" w:firstLineChars="200"/>
              <w:rPr>
                <w:rFonts w:ascii="宋体" w:hAnsi="宋体"/>
                <w:szCs w:val="21"/>
              </w:rPr>
            </w:pPr>
            <w:r>
              <w:rPr>
                <w:rFonts w:hint="eastAsia" w:ascii="宋体" w:hAnsi="宋体"/>
                <w:szCs w:val="21"/>
              </w:rPr>
              <w:t>6</w:t>
            </w:r>
            <w:r>
              <w:rPr>
                <w:rFonts w:ascii="宋体" w:hAnsi="宋体"/>
                <w:szCs w:val="21"/>
              </w:rPr>
              <w:t>. 公布最高限价</w:t>
            </w:r>
            <w:r>
              <w:rPr>
                <w:rFonts w:hint="eastAsia" w:ascii="宋体" w:hAnsi="宋体"/>
                <w:szCs w:val="21"/>
              </w:rPr>
              <w:t>，采用经评审最低投标价法的还需计算最高限价的85%数值，以便评标委员会评审。</w:t>
            </w:r>
          </w:p>
          <w:p w14:paraId="669EF588">
            <w:pPr>
              <w:snapToGrid w:val="0"/>
              <w:spacing w:line="400" w:lineRule="exact"/>
              <w:ind w:firstLine="420" w:firstLineChars="200"/>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 xml:space="preserve"> </w:t>
            </w:r>
            <w:r>
              <w:rPr>
                <w:rFonts w:ascii="宋体" w:hAnsi="宋体"/>
                <w:szCs w:val="21"/>
              </w:rPr>
              <w:t>逐单位随机开启</w:t>
            </w:r>
            <w:r>
              <w:rPr>
                <w:rFonts w:hint="eastAsia" w:ascii="宋体" w:hAnsi="宋体"/>
                <w:szCs w:val="21"/>
              </w:rPr>
              <w:t>投标文件</w:t>
            </w:r>
            <w:r>
              <w:rPr>
                <w:rFonts w:ascii="宋体" w:hAnsi="宋体"/>
                <w:szCs w:val="21"/>
              </w:rPr>
              <w:t>。开启</w:t>
            </w:r>
            <w:r>
              <w:rPr>
                <w:rFonts w:hint="eastAsia" w:ascii="宋体" w:hAnsi="宋体"/>
                <w:szCs w:val="21"/>
              </w:rPr>
              <w:t>投标文件</w:t>
            </w:r>
            <w:r>
              <w:rPr>
                <w:rFonts w:ascii="宋体" w:hAnsi="宋体"/>
                <w:szCs w:val="21"/>
              </w:rPr>
              <w:t>大袋及</w:t>
            </w:r>
            <w:r>
              <w:rPr>
                <w:rFonts w:hint="eastAsia" w:ascii="宋体" w:hAnsi="宋体"/>
                <w:szCs w:val="21"/>
              </w:rPr>
              <w:t>投标函</w:t>
            </w:r>
            <w:r>
              <w:rPr>
                <w:rFonts w:ascii="宋体" w:hAnsi="宋体"/>
                <w:szCs w:val="21"/>
              </w:rPr>
              <w:t>部分袋、</w:t>
            </w:r>
            <w:r>
              <w:rPr>
                <w:rFonts w:hint="eastAsia" w:ascii="宋体" w:hAnsi="宋体"/>
                <w:szCs w:val="21"/>
              </w:rPr>
              <w:t>经济</w:t>
            </w:r>
            <w:r>
              <w:rPr>
                <w:rFonts w:ascii="宋体" w:hAnsi="宋体"/>
                <w:szCs w:val="21"/>
              </w:rPr>
              <w:t>部分袋、技术部分袋</w:t>
            </w:r>
            <w:r>
              <w:rPr>
                <w:rFonts w:hint="eastAsia" w:ascii="宋体" w:hAnsi="宋体"/>
                <w:szCs w:val="21"/>
              </w:rPr>
              <w:t>（如有）、资格审查部分袋</w:t>
            </w:r>
            <w:r>
              <w:rPr>
                <w:rFonts w:ascii="宋体" w:hAnsi="宋体"/>
                <w:szCs w:val="21"/>
              </w:rPr>
              <w:t>；公布</w:t>
            </w:r>
            <w:r>
              <w:rPr>
                <w:rFonts w:hint="eastAsia" w:ascii="宋体" w:hAnsi="宋体"/>
                <w:szCs w:val="21"/>
              </w:rPr>
              <w:t>投标人</w:t>
            </w:r>
            <w:r>
              <w:rPr>
                <w:rFonts w:ascii="宋体" w:hAnsi="宋体"/>
                <w:szCs w:val="21"/>
              </w:rPr>
              <w:t>名称、投标报价、质量要求、工期及其他内容并记录在案</w:t>
            </w:r>
            <w:r>
              <w:rPr>
                <w:rFonts w:hint="eastAsia" w:ascii="宋体" w:hAnsi="宋体"/>
                <w:szCs w:val="21"/>
              </w:rPr>
              <w:t>。</w:t>
            </w:r>
          </w:p>
          <w:p w14:paraId="2048B584">
            <w:pPr>
              <w:numPr>
                <w:ilvl w:val="255"/>
                <w:numId w:val="0"/>
              </w:num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8.投标人对开标有异议的，应当场提出，由比选人或代理机构当场答复，并记录到开标记录表中。异议处理完毕后，汇总开标情况，打印开标记录表。</w:t>
            </w:r>
          </w:p>
          <w:p w14:paraId="16CF4DFE">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9</w:t>
            </w:r>
            <w:r>
              <w:rPr>
                <w:rFonts w:ascii="宋体" w:hAnsi="宋体"/>
                <w:szCs w:val="21"/>
              </w:rPr>
              <w:t xml:space="preserve">. </w:t>
            </w:r>
            <w:r>
              <w:rPr>
                <w:rFonts w:hint="eastAsia" w:ascii="宋体" w:hAnsi="宋体"/>
                <w:szCs w:val="21"/>
              </w:rPr>
              <w:t>投标人</w:t>
            </w:r>
            <w:r>
              <w:rPr>
                <w:rFonts w:ascii="宋体" w:hAnsi="宋体"/>
                <w:szCs w:val="21"/>
              </w:rPr>
              <w:t>代表、</w:t>
            </w:r>
            <w:r>
              <w:rPr>
                <w:rFonts w:hint="eastAsia" w:ascii="宋体" w:hAnsi="宋体"/>
                <w:szCs w:val="21"/>
              </w:rPr>
              <w:t>比选人</w:t>
            </w:r>
            <w:r>
              <w:rPr>
                <w:rFonts w:ascii="宋体" w:hAnsi="宋体"/>
                <w:szCs w:val="21"/>
              </w:rPr>
              <w:t>代表、监标人、</w:t>
            </w:r>
            <w:r>
              <w:rPr>
                <w:rFonts w:hint="eastAsia" w:ascii="宋体" w:hAnsi="宋体"/>
                <w:szCs w:val="21"/>
              </w:rPr>
              <w:t>主持人、</w:t>
            </w:r>
            <w:r>
              <w:rPr>
                <w:rFonts w:ascii="宋体" w:hAnsi="宋体"/>
                <w:szCs w:val="21"/>
              </w:rPr>
              <w:t>记录人等有关人员在开标记录上</w:t>
            </w:r>
            <w:r>
              <w:rPr>
                <w:rFonts w:hint="eastAsia" w:ascii="宋体" w:hAnsi="宋体"/>
                <w:szCs w:val="21"/>
              </w:rPr>
              <w:t>签名</w:t>
            </w:r>
            <w:r>
              <w:rPr>
                <w:rFonts w:ascii="宋体" w:hAnsi="宋体"/>
                <w:szCs w:val="21"/>
              </w:rPr>
              <w:t>确认</w:t>
            </w:r>
            <w:r>
              <w:rPr>
                <w:rFonts w:hint="eastAsia" w:ascii="宋体" w:hAnsi="宋体"/>
                <w:szCs w:val="21"/>
              </w:rPr>
              <w:t>。因其他原因未能签名的，视为默认开标结果。</w:t>
            </w:r>
          </w:p>
          <w:p w14:paraId="6A2D5327">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10</w:t>
            </w:r>
            <w:r>
              <w:rPr>
                <w:rFonts w:ascii="宋体" w:hAnsi="宋体"/>
                <w:szCs w:val="21"/>
              </w:rPr>
              <w:t>. 开标结束。</w:t>
            </w:r>
          </w:p>
        </w:tc>
      </w:tr>
      <w:tr w14:paraId="62B786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C21A44C">
            <w:pPr>
              <w:snapToGrid w:val="0"/>
              <w:spacing w:line="400" w:lineRule="exact"/>
              <w:jc w:val="center"/>
              <w:rPr>
                <w:rFonts w:ascii="宋体" w:hAnsi="宋体"/>
                <w:kern w:val="0"/>
                <w:szCs w:val="21"/>
              </w:rPr>
            </w:pPr>
            <w:r>
              <w:rPr>
                <w:rFonts w:ascii="宋体" w:hAnsi="宋体"/>
                <w:kern w:val="0"/>
                <w:szCs w:val="21"/>
              </w:rPr>
              <w:t>6.1.1</w:t>
            </w:r>
          </w:p>
        </w:tc>
        <w:tc>
          <w:tcPr>
            <w:tcW w:w="1644" w:type="dxa"/>
            <w:vAlign w:val="center"/>
          </w:tcPr>
          <w:p w14:paraId="3D7F6C60">
            <w:pPr>
              <w:snapToGrid w:val="0"/>
              <w:spacing w:line="400" w:lineRule="exact"/>
              <w:jc w:val="center"/>
              <w:rPr>
                <w:rFonts w:ascii="宋体" w:hAnsi="宋体"/>
                <w:kern w:val="0"/>
                <w:szCs w:val="21"/>
              </w:rPr>
            </w:pPr>
            <w:r>
              <w:rPr>
                <w:rFonts w:ascii="宋体" w:hAnsi="宋体"/>
                <w:kern w:val="0"/>
                <w:szCs w:val="21"/>
              </w:rPr>
              <w:t>评标委员会的组建</w:t>
            </w:r>
          </w:p>
        </w:tc>
        <w:tc>
          <w:tcPr>
            <w:tcW w:w="6490" w:type="dxa"/>
            <w:vAlign w:val="center"/>
          </w:tcPr>
          <w:p w14:paraId="5DD52D54">
            <w:pPr>
              <w:autoSpaceDE w:val="0"/>
              <w:autoSpaceDN w:val="0"/>
              <w:adjustRightInd w:val="0"/>
              <w:snapToGrid w:val="0"/>
              <w:spacing w:line="400" w:lineRule="exact"/>
              <w:ind w:firstLine="436" w:firstLineChars="200"/>
              <w:rPr>
                <w:rFonts w:ascii="宋体" w:hAnsi="宋体"/>
                <w:kern w:val="0"/>
                <w:szCs w:val="21"/>
              </w:rPr>
            </w:pPr>
            <w:r>
              <w:rPr>
                <w:rFonts w:hint="eastAsia" w:ascii="宋体" w:hAnsi="宋体"/>
                <w:spacing w:val="4"/>
                <w:kern w:val="0"/>
                <w:szCs w:val="21"/>
              </w:rPr>
              <w:t>由比选人按法律法规及相关规定依法组建评标委员会</w:t>
            </w:r>
            <w:r>
              <w:rPr>
                <w:rFonts w:hint="eastAsia" w:ascii="宋体" w:hAnsi="宋体"/>
                <w:kern w:val="0"/>
                <w:szCs w:val="21"/>
              </w:rPr>
              <w:t>。</w:t>
            </w:r>
          </w:p>
        </w:tc>
      </w:tr>
      <w:tr w14:paraId="5CCC41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1A53041">
            <w:pPr>
              <w:snapToGrid w:val="0"/>
              <w:spacing w:line="400" w:lineRule="exact"/>
              <w:jc w:val="center"/>
              <w:rPr>
                <w:rFonts w:ascii="宋体" w:hAnsi="宋体"/>
                <w:kern w:val="0"/>
                <w:szCs w:val="21"/>
              </w:rPr>
            </w:pPr>
            <w:r>
              <w:rPr>
                <w:rFonts w:ascii="宋体" w:hAnsi="宋体"/>
                <w:kern w:val="0"/>
                <w:szCs w:val="21"/>
              </w:rPr>
              <w:t>7.1</w:t>
            </w:r>
          </w:p>
        </w:tc>
        <w:tc>
          <w:tcPr>
            <w:tcW w:w="1644" w:type="dxa"/>
            <w:vAlign w:val="center"/>
          </w:tcPr>
          <w:p w14:paraId="0ECC05BC">
            <w:pPr>
              <w:snapToGrid w:val="0"/>
              <w:spacing w:after="62" w:afterLines="20" w:line="400" w:lineRule="exact"/>
              <w:jc w:val="center"/>
              <w:rPr>
                <w:rFonts w:ascii="宋体" w:hAnsi="宋体"/>
                <w:kern w:val="0"/>
                <w:szCs w:val="21"/>
              </w:rPr>
            </w:pPr>
            <w:r>
              <w:rPr>
                <w:rFonts w:ascii="宋体" w:hAnsi="宋体"/>
                <w:kern w:val="0"/>
                <w:szCs w:val="21"/>
              </w:rPr>
              <w:t>是否授权评标委员会确定中标人</w:t>
            </w:r>
          </w:p>
        </w:tc>
        <w:tc>
          <w:tcPr>
            <w:tcW w:w="6490" w:type="dxa"/>
            <w:vAlign w:val="center"/>
          </w:tcPr>
          <w:p w14:paraId="502A1147">
            <w:pPr>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是</w:t>
            </w:r>
          </w:p>
          <w:p w14:paraId="1D998A33">
            <w:pPr>
              <w:snapToGrid w:val="0"/>
              <w:spacing w:line="400" w:lineRule="exact"/>
              <w:ind w:firstLine="420" w:firstLineChars="200"/>
              <w:rPr>
                <w:rFonts w:ascii="宋体" w:hAnsi="宋体"/>
                <w:i/>
                <w:kern w:val="0"/>
                <w:szCs w:val="21"/>
              </w:rPr>
            </w:pPr>
            <w:r>
              <w:rPr>
                <w:rFonts w:hint="eastAsia" w:ascii="宋体" w:hAnsi="宋体"/>
                <w:kern w:val="0"/>
                <w:szCs w:val="21"/>
              </w:rPr>
              <w:t>☑B</w:t>
            </w:r>
            <w:r>
              <w:rPr>
                <w:rFonts w:ascii="宋体" w:hAnsi="宋体"/>
                <w:kern w:val="0"/>
                <w:szCs w:val="21"/>
              </w:rPr>
              <w:t>否，推荐经评审综合得分由高到低排名前三名为中标候选人。</w:t>
            </w:r>
          </w:p>
        </w:tc>
      </w:tr>
      <w:tr w14:paraId="490FBF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862D075">
            <w:pPr>
              <w:snapToGrid w:val="0"/>
              <w:spacing w:line="400" w:lineRule="exact"/>
              <w:jc w:val="center"/>
              <w:rPr>
                <w:rFonts w:ascii="宋体" w:hAnsi="宋体"/>
                <w:kern w:val="0"/>
                <w:szCs w:val="21"/>
              </w:rPr>
            </w:pPr>
            <w:r>
              <w:rPr>
                <w:rFonts w:hint="eastAsia" w:ascii="宋体" w:hAnsi="宋体"/>
                <w:kern w:val="0"/>
                <w:szCs w:val="21"/>
              </w:rPr>
              <w:t>7.2</w:t>
            </w:r>
          </w:p>
        </w:tc>
        <w:tc>
          <w:tcPr>
            <w:tcW w:w="1644" w:type="dxa"/>
            <w:vAlign w:val="center"/>
          </w:tcPr>
          <w:p w14:paraId="0D4F22B3">
            <w:pPr>
              <w:snapToGrid w:val="0"/>
              <w:spacing w:after="62" w:afterLines="20" w:line="400" w:lineRule="exact"/>
              <w:jc w:val="center"/>
              <w:rPr>
                <w:rFonts w:ascii="宋体" w:hAnsi="宋体"/>
                <w:kern w:val="0"/>
                <w:szCs w:val="21"/>
              </w:rPr>
            </w:pPr>
            <w:r>
              <w:rPr>
                <w:rFonts w:ascii="宋体" w:hAnsi="宋体"/>
                <w:kern w:val="0"/>
                <w:szCs w:val="21"/>
              </w:rPr>
              <w:t>中标公示</w:t>
            </w:r>
          </w:p>
        </w:tc>
        <w:tc>
          <w:tcPr>
            <w:tcW w:w="6490" w:type="dxa"/>
            <w:vAlign w:val="center"/>
          </w:tcPr>
          <w:p w14:paraId="69969437">
            <w:pPr>
              <w:snapToGrid w:val="0"/>
              <w:spacing w:line="400" w:lineRule="exact"/>
              <w:ind w:firstLine="420" w:firstLineChars="200"/>
              <w:rPr>
                <w:rFonts w:ascii="宋体" w:hAnsi="宋体" w:cs="宋体"/>
                <w:szCs w:val="21"/>
              </w:rPr>
            </w:pPr>
            <w:r>
              <w:rPr>
                <w:rFonts w:hint="eastAsia" w:ascii="宋体" w:hAnsi="宋体" w:cs="宋体"/>
                <w:szCs w:val="21"/>
              </w:rPr>
              <w:t>评标结果在</w:t>
            </w:r>
            <w:r>
              <w:rPr>
                <w:rFonts w:hint="eastAsia" w:ascii="宋体" w:hAnsi="宋体" w:cs="宋体"/>
                <w:szCs w:val="21"/>
                <w:u w:val="single"/>
              </w:rPr>
              <w:t>“行采家”网站（https://www.gec123.com/）</w:t>
            </w:r>
            <w:r>
              <w:rPr>
                <w:rFonts w:hint="eastAsia" w:ascii="宋体" w:hAnsi="宋体" w:cs="宋体"/>
                <w:szCs w:val="21"/>
              </w:rPr>
              <w:t>上进行公示，公示期不得少于3个工作日。为深化信息公开，接受社会监督，本项目将按照《比选公告和公示信息发布管理办法》（国家发改委令第10号）的要求，公示内容包括中标候选人名称、排序、投标报价、质量、工期；中标候选人资质，中标候选人项目经理姓名及其相关证书名称和编号；否决投标情况及理由；提出异议、投诉的渠道和方式。</w:t>
            </w:r>
          </w:p>
        </w:tc>
      </w:tr>
      <w:tr w14:paraId="0316A5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0088456">
            <w:pPr>
              <w:snapToGrid w:val="0"/>
              <w:spacing w:line="400" w:lineRule="exact"/>
              <w:jc w:val="center"/>
              <w:rPr>
                <w:rFonts w:ascii="宋体" w:hAnsi="宋体"/>
                <w:kern w:val="0"/>
                <w:szCs w:val="21"/>
              </w:rPr>
            </w:pPr>
            <w:r>
              <w:rPr>
                <w:rFonts w:ascii="宋体" w:hAnsi="宋体"/>
                <w:kern w:val="0"/>
                <w:szCs w:val="21"/>
              </w:rPr>
              <w:t>7.3.1</w:t>
            </w:r>
          </w:p>
        </w:tc>
        <w:tc>
          <w:tcPr>
            <w:tcW w:w="1644" w:type="dxa"/>
            <w:vAlign w:val="center"/>
          </w:tcPr>
          <w:p w14:paraId="1AAAE28D">
            <w:pPr>
              <w:snapToGrid w:val="0"/>
              <w:spacing w:line="400" w:lineRule="exact"/>
              <w:jc w:val="center"/>
              <w:rPr>
                <w:rFonts w:ascii="宋体" w:hAnsi="宋体"/>
                <w:kern w:val="0"/>
                <w:szCs w:val="21"/>
              </w:rPr>
            </w:pPr>
            <w:r>
              <w:rPr>
                <w:rFonts w:ascii="宋体" w:hAnsi="宋体"/>
                <w:kern w:val="0"/>
                <w:szCs w:val="21"/>
              </w:rPr>
              <w:t>履约担保</w:t>
            </w:r>
          </w:p>
        </w:tc>
        <w:tc>
          <w:tcPr>
            <w:tcW w:w="6490" w:type="dxa"/>
            <w:vAlign w:val="center"/>
          </w:tcPr>
          <w:p w14:paraId="67444529">
            <w:pPr>
              <w:snapToGrid w:val="0"/>
              <w:spacing w:after="62" w:afterLines="20" w:line="400" w:lineRule="exact"/>
              <w:ind w:firstLine="420" w:firstLineChars="200"/>
              <w:rPr>
                <w:rFonts w:ascii="宋体" w:hAnsi="宋体"/>
                <w:kern w:val="0"/>
                <w:szCs w:val="21"/>
              </w:rPr>
            </w:pPr>
            <w:r>
              <w:rPr>
                <w:rFonts w:hint="eastAsia" w:ascii="宋体" w:hAnsi="宋体"/>
                <w:kern w:val="0"/>
                <w:szCs w:val="21"/>
              </w:rPr>
              <w:t>无</w:t>
            </w:r>
          </w:p>
        </w:tc>
      </w:tr>
      <w:tr w14:paraId="33D072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7638DA3">
            <w:pPr>
              <w:snapToGrid w:val="0"/>
              <w:spacing w:line="400" w:lineRule="exact"/>
              <w:jc w:val="center"/>
              <w:rPr>
                <w:rFonts w:ascii="宋体" w:hAnsi="宋体"/>
                <w:kern w:val="0"/>
                <w:szCs w:val="21"/>
              </w:rPr>
            </w:pPr>
            <w:r>
              <w:rPr>
                <w:rFonts w:hint="eastAsia" w:ascii="宋体" w:hAnsi="宋体"/>
                <w:kern w:val="0"/>
                <w:szCs w:val="21"/>
              </w:rPr>
              <w:t>7.4.1</w:t>
            </w:r>
          </w:p>
        </w:tc>
        <w:tc>
          <w:tcPr>
            <w:tcW w:w="1644" w:type="dxa"/>
            <w:vAlign w:val="center"/>
          </w:tcPr>
          <w:p w14:paraId="49345940">
            <w:pPr>
              <w:snapToGrid w:val="0"/>
              <w:spacing w:line="400" w:lineRule="exact"/>
              <w:jc w:val="center"/>
              <w:rPr>
                <w:rFonts w:ascii="宋体" w:hAnsi="宋体"/>
                <w:kern w:val="0"/>
                <w:szCs w:val="21"/>
              </w:rPr>
            </w:pPr>
            <w:r>
              <w:rPr>
                <w:rFonts w:hint="eastAsia" w:ascii="宋体" w:hAnsi="宋体"/>
                <w:kern w:val="0"/>
                <w:szCs w:val="21"/>
              </w:rPr>
              <w:t>签订合同</w:t>
            </w:r>
          </w:p>
        </w:tc>
        <w:tc>
          <w:tcPr>
            <w:tcW w:w="6490" w:type="dxa"/>
            <w:vAlign w:val="center"/>
          </w:tcPr>
          <w:p w14:paraId="3F01C6B0">
            <w:pPr>
              <w:snapToGrid w:val="0"/>
              <w:spacing w:after="62" w:afterLines="20" w:line="400" w:lineRule="exact"/>
              <w:ind w:firstLine="420" w:firstLineChars="200"/>
              <w:rPr>
                <w:rFonts w:ascii="宋体" w:hAnsi="宋体"/>
                <w:kern w:val="0"/>
                <w:szCs w:val="21"/>
              </w:rPr>
            </w:pPr>
            <w:r>
              <w:rPr>
                <w:rFonts w:hint="eastAsia" w:ascii="宋体" w:hAnsi="宋体"/>
                <w:kern w:val="0"/>
                <w:szCs w:val="21"/>
              </w:rPr>
              <w:t>依法必须进行招标的项目，中标候选人有《招标投标法实施条例》第七十四条规定行为的，视为特别严重信用不良行为且情节特别严重，按信用记分上限一次性记12分，纳入黑名单管理；中标人有《招标投标法实施条例》第七十四条规定行为的，按中标项目金额10‰罚款上限予以行政处罚，按信用记分上限一次性并处记12分，纳入黑名单管理。</w:t>
            </w:r>
          </w:p>
        </w:tc>
      </w:tr>
      <w:tr w14:paraId="6E0739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5845781">
            <w:pPr>
              <w:snapToGrid w:val="0"/>
              <w:spacing w:line="400" w:lineRule="exact"/>
              <w:jc w:val="center"/>
              <w:rPr>
                <w:rFonts w:ascii="宋体" w:hAnsi="宋体"/>
                <w:kern w:val="0"/>
                <w:szCs w:val="21"/>
              </w:rPr>
            </w:pPr>
            <w:r>
              <w:rPr>
                <w:rFonts w:ascii="宋体" w:hAnsi="宋体"/>
                <w:kern w:val="0"/>
                <w:szCs w:val="21"/>
              </w:rPr>
              <w:t>8.1</w:t>
            </w:r>
          </w:p>
        </w:tc>
        <w:tc>
          <w:tcPr>
            <w:tcW w:w="1644" w:type="dxa"/>
            <w:vAlign w:val="center"/>
          </w:tcPr>
          <w:p w14:paraId="31317515">
            <w:pPr>
              <w:snapToGrid w:val="0"/>
              <w:spacing w:line="400" w:lineRule="exact"/>
              <w:jc w:val="center"/>
              <w:rPr>
                <w:rFonts w:ascii="宋体" w:hAnsi="宋体"/>
                <w:kern w:val="0"/>
                <w:szCs w:val="21"/>
              </w:rPr>
            </w:pPr>
            <w:r>
              <w:rPr>
                <w:rFonts w:ascii="宋体" w:hAnsi="宋体"/>
                <w:kern w:val="0"/>
                <w:szCs w:val="21"/>
              </w:rPr>
              <w:t>重新招标</w:t>
            </w:r>
            <w:r>
              <w:rPr>
                <w:rFonts w:hint="eastAsia" w:ascii="宋体" w:hAnsi="宋体"/>
                <w:kern w:val="0"/>
                <w:szCs w:val="21"/>
              </w:rPr>
              <w:t>的情形</w:t>
            </w:r>
          </w:p>
        </w:tc>
        <w:tc>
          <w:tcPr>
            <w:tcW w:w="6490" w:type="dxa"/>
            <w:vAlign w:val="center"/>
          </w:tcPr>
          <w:p w14:paraId="1CF2C15C">
            <w:pPr>
              <w:snapToGrid w:val="0"/>
              <w:spacing w:line="400" w:lineRule="exact"/>
              <w:ind w:firstLine="420" w:firstLineChars="200"/>
              <w:rPr>
                <w:rFonts w:ascii="宋体" w:hAnsi="宋体"/>
                <w:kern w:val="0"/>
                <w:szCs w:val="21"/>
              </w:rPr>
            </w:pPr>
            <w:r>
              <w:rPr>
                <w:rFonts w:ascii="宋体" w:hAnsi="宋体"/>
                <w:kern w:val="0"/>
                <w:szCs w:val="21"/>
              </w:rPr>
              <w:t>1.按</w:t>
            </w:r>
            <w:r>
              <w:rPr>
                <w:rFonts w:hint="eastAsia" w:ascii="宋体" w:hAnsi="宋体"/>
                <w:kern w:val="0"/>
                <w:szCs w:val="21"/>
              </w:rPr>
              <w:t>投标人</w:t>
            </w:r>
            <w:r>
              <w:rPr>
                <w:rFonts w:ascii="宋体" w:hAnsi="宋体"/>
                <w:kern w:val="0"/>
                <w:szCs w:val="21"/>
              </w:rPr>
              <w:t>须知第8.1（1）执行；</w:t>
            </w:r>
          </w:p>
          <w:p w14:paraId="724C6239">
            <w:pPr>
              <w:snapToGrid w:val="0"/>
              <w:spacing w:line="400" w:lineRule="exact"/>
              <w:ind w:firstLine="420" w:firstLineChars="200"/>
              <w:rPr>
                <w:rFonts w:ascii="宋体" w:hAnsi="宋体"/>
                <w:kern w:val="0"/>
                <w:szCs w:val="21"/>
              </w:rPr>
            </w:pPr>
            <w:r>
              <w:rPr>
                <w:rFonts w:ascii="宋体" w:hAnsi="宋体"/>
                <w:kern w:val="0"/>
                <w:szCs w:val="21"/>
              </w:rPr>
              <w:t>2.按</w:t>
            </w:r>
            <w:r>
              <w:rPr>
                <w:rFonts w:hint="eastAsia" w:ascii="宋体" w:hAnsi="宋体"/>
                <w:kern w:val="0"/>
                <w:szCs w:val="21"/>
              </w:rPr>
              <w:t>投标人</w:t>
            </w:r>
            <w:r>
              <w:rPr>
                <w:rFonts w:ascii="宋体" w:hAnsi="宋体"/>
                <w:kern w:val="0"/>
                <w:szCs w:val="21"/>
              </w:rPr>
              <w:t>须知第8.1（2）执行；</w:t>
            </w:r>
          </w:p>
          <w:p w14:paraId="55D7EB79">
            <w:pPr>
              <w:widowControl/>
              <w:spacing w:line="400" w:lineRule="exact"/>
              <w:ind w:firstLine="420" w:firstLineChars="200"/>
              <w:rPr>
                <w:rFonts w:ascii="宋体" w:hAnsi="宋体"/>
                <w:snapToGrid w:val="0"/>
                <w:kern w:val="0"/>
                <w:szCs w:val="21"/>
              </w:rPr>
            </w:pPr>
            <w:r>
              <w:rPr>
                <w:rFonts w:ascii="宋体" w:hAnsi="宋体"/>
                <w:snapToGrid w:val="0"/>
                <w:kern w:val="0"/>
                <w:szCs w:val="21"/>
              </w:rPr>
              <w:t>3.</w:t>
            </w:r>
            <w:r>
              <w:rPr>
                <w:rFonts w:ascii="宋体" w:hAnsi="宋体"/>
                <w:kern w:val="0"/>
                <w:szCs w:val="21"/>
              </w:rPr>
              <w:t>按</w:t>
            </w:r>
            <w:r>
              <w:rPr>
                <w:rFonts w:hint="eastAsia" w:ascii="宋体" w:hAnsi="宋体"/>
                <w:kern w:val="0"/>
                <w:szCs w:val="21"/>
              </w:rPr>
              <w:t>投标人</w:t>
            </w:r>
            <w:r>
              <w:rPr>
                <w:rFonts w:ascii="宋体" w:hAnsi="宋体"/>
                <w:kern w:val="0"/>
                <w:szCs w:val="21"/>
              </w:rPr>
              <w:t>须知第8.1（3）执行；</w:t>
            </w:r>
          </w:p>
          <w:p w14:paraId="6D1354FE">
            <w:pPr>
              <w:widowControl/>
              <w:spacing w:after="62" w:afterLines="20" w:line="400" w:lineRule="exact"/>
              <w:ind w:firstLine="420" w:firstLineChars="200"/>
              <w:rPr>
                <w:rFonts w:ascii="宋体" w:hAnsi="宋体"/>
                <w:kern w:val="0"/>
                <w:szCs w:val="21"/>
              </w:rPr>
            </w:pPr>
            <w:r>
              <w:rPr>
                <w:rFonts w:ascii="宋体" w:hAnsi="宋体"/>
                <w:snapToGrid w:val="0"/>
                <w:kern w:val="0"/>
                <w:szCs w:val="21"/>
              </w:rPr>
              <w:t>4.</w:t>
            </w:r>
            <w:r>
              <w:rPr>
                <w:rFonts w:ascii="宋体" w:hAnsi="宋体"/>
                <w:kern w:val="0"/>
                <w:szCs w:val="21"/>
              </w:rPr>
              <w:t>按</w:t>
            </w:r>
            <w:r>
              <w:rPr>
                <w:rFonts w:hint="eastAsia" w:ascii="宋体" w:hAnsi="宋体"/>
                <w:kern w:val="0"/>
                <w:szCs w:val="21"/>
              </w:rPr>
              <w:t>投标人</w:t>
            </w:r>
            <w:r>
              <w:rPr>
                <w:rFonts w:ascii="宋体" w:hAnsi="宋体"/>
                <w:kern w:val="0"/>
                <w:szCs w:val="21"/>
              </w:rPr>
              <w:t>须知第8.1（4）执行</w:t>
            </w:r>
            <w:r>
              <w:rPr>
                <w:rFonts w:hint="eastAsia" w:ascii="宋体" w:hAnsi="宋体"/>
                <w:kern w:val="0"/>
                <w:szCs w:val="21"/>
              </w:rPr>
              <w:t>。</w:t>
            </w:r>
          </w:p>
          <w:p w14:paraId="07F5F917">
            <w:pPr>
              <w:widowControl/>
              <w:spacing w:after="62" w:afterLines="20" w:line="400" w:lineRule="exact"/>
              <w:ind w:firstLine="420" w:firstLineChars="200"/>
              <w:rPr>
                <w:rFonts w:ascii="宋体" w:hAnsi="宋体"/>
                <w:kern w:val="0"/>
                <w:szCs w:val="21"/>
              </w:rPr>
            </w:pPr>
            <w:r>
              <w:rPr>
                <w:rFonts w:hint="eastAsia" w:ascii="宋体" w:hAnsi="宋体"/>
                <w:kern w:val="0"/>
                <w:szCs w:val="21"/>
              </w:rPr>
              <w:t>注：本款只适用于首次招标。</w:t>
            </w:r>
          </w:p>
        </w:tc>
      </w:tr>
      <w:tr w14:paraId="7CC5B9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A04219D">
            <w:pPr>
              <w:snapToGrid w:val="0"/>
              <w:spacing w:line="400" w:lineRule="exact"/>
              <w:jc w:val="center"/>
              <w:rPr>
                <w:rFonts w:ascii="宋体" w:hAnsi="宋体"/>
                <w:kern w:val="0"/>
                <w:szCs w:val="21"/>
              </w:rPr>
            </w:pPr>
            <w:r>
              <w:rPr>
                <w:rFonts w:ascii="宋体" w:hAnsi="宋体"/>
                <w:kern w:val="0"/>
                <w:szCs w:val="21"/>
              </w:rPr>
              <w:t>8.2</w:t>
            </w:r>
          </w:p>
        </w:tc>
        <w:tc>
          <w:tcPr>
            <w:tcW w:w="1644" w:type="dxa"/>
            <w:vAlign w:val="center"/>
          </w:tcPr>
          <w:p w14:paraId="3BAA3944">
            <w:pPr>
              <w:snapToGrid w:val="0"/>
              <w:spacing w:line="400" w:lineRule="exact"/>
              <w:jc w:val="center"/>
            </w:pPr>
            <w:bookmarkStart w:id="112" w:name="_Toc536628250"/>
            <w:bookmarkStart w:id="113" w:name="_Toc13210670"/>
            <w:bookmarkStart w:id="114" w:name="_Toc430530434"/>
            <w:bookmarkStart w:id="115" w:name="_Toc16930431"/>
            <w:bookmarkStart w:id="116" w:name="_Toc509218709"/>
            <w:r>
              <w:rPr>
                <w:rFonts w:hint="eastAsia" w:ascii="宋体" w:hAnsi="宋体"/>
                <w:kern w:val="0"/>
                <w:szCs w:val="21"/>
              </w:rPr>
              <w:t>重新</w:t>
            </w:r>
            <w:r>
              <w:rPr>
                <w:rFonts w:ascii="宋体" w:hAnsi="宋体"/>
                <w:kern w:val="0"/>
                <w:szCs w:val="21"/>
              </w:rPr>
              <w:t>招标和不再招标</w:t>
            </w:r>
            <w:bookmarkEnd w:id="112"/>
            <w:bookmarkEnd w:id="113"/>
            <w:bookmarkEnd w:id="114"/>
            <w:bookmarkEnd w:id="115"/>
            <w:bookmarkEnd w:id="116"/>
          </w:p>
        </w:tc>
        <w:tc>
          <w:tcPr>
            <w:tcW w:w="6490" w:type="dxa"/>
            <w:vAlign w:val="center"/>
          </w:tcPr>
          <w:p w14:paraId="366895AE">
            <w:pPr>
              <w:autoSpaceDE w:val="0"/>
              <w:autoSpaceDN w:val="0"/>
              <w:adjustRightInd w:val="0"/>
              <w:snapToGrid w:val="0"/>
              <w:spacing w:after="62" w:afterLines="20" w:line="400" w:lineRule="exact"/>
              <w:ind w:firstLine="420" w:firstLineChars="200"/>
              <w:rPr>
                <w:rFonts w:ascii="宋体" w:hAnsi="宋体"/>
                <w:snapToGrid w:val="0"/>
                <w:kern w:val="0"/>
                <w:szCs w:val="21"/>
              </w:rPr>
            </w:pPr>
            <w:r>
              <w:rPr>
                <w:rFonts w:hint="eastAsia" w:ascii="宋体" w:hAnsi="宋体"/>
                <w:snapToGrid w:val="0"/>
                <w:kern w:val="0"/>
                <w:szCs w:val="21"/>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r>
              <w:rPr>
                <w:rFonts w:ascii="宋体" w:hAnsi="宋体"/>
                <w:snapToGrid w:val="0"/>
                <w:kern w:val="0"/>
                <w:szCs w:val="21"/>
              </w:rPr>
              <w:t>。</w:t>
            </w:r>
          </w:p>
        </w:tc>
      </w:tr>
      <w:tr w14:paraId="619B99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5A9D78A">
            <w:pPr>
              <w:snapToGrid w:val="0"/>
              <w:spacing w:line="400" w:lineRule="exact"/>
              <w:jc w:val="center"/>
              <w:rPr>
                <w:rFonts w:ascii="宋体" w:hAnsi="宋体"/>
                <w:kern w:val="0"/>
                <w:szCs w:val="21"/>
              </w:rPr>
            </w:pPr>
            <w:r>
              <w:rPr>
                <w:rFonts w:ascii="宋体" w:hAnsi="宋体"/>
                <w:kern w:val="0"/>
                <w:szCs w:val="21"/>
              </w:rPr>
              <w:t>10</w:t>
            </w:r>
          </w:p>
        </w:tc>
        <w:tc>
          <w:tcPr>
            <w:tcW w:w="8134" w:type="dxa"/>
            <w:gridSpan w:val="2"/>
            <w:vAlign w:val="center"/>
          </w:tcPr>
          <w:p w14:paraId="71B9A0B4">
            <w:pPr>
              <w:snapToGrid w:val="0"/>
              <w:spacing w:line="400" w:lineRule="exact"/>
              <w:jc w:val="center"/>
              <w:rPr>
                <w:rFonts w:ascii="宋体" w:hAnsi="宋体"/>
                <w:kern w:val="0"/>
                <w:szCs w:val="21"/>
              </w:rPr>
            </w:pPr>
            <w:r>
              <w:rPr>
                <w:rFonts w:ascii="宋体" w:hAnsi="宋体"/>
                <w:kern w:val="0"/>
                <w:szCs w:val="21"/>
              </w:rPr>
              <w:t>需要补充的其他内容</w:t>
            </w:r>
          </w:p>
        </w:tc>
      </w:tr>
      <w:tr w14:paraId="41A3DD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7812443">
            <w:pPr>
              <w:spacing w:line="360" w:lineRule="auto"/>
              <w:jc w:val="center"/>
              <w:rPr>
                <w:rFonts w:ascii="宋体" w:hAnsi="宋体" w:cs="宋体"/>
                <w:szCs w:val="21"/>
              </w:rPr>
            </w:pPr>
            <w:r>
              <w:rPr>
                <w:rFonts w:hint="eastAsia" w:ascii="宋体" w:hAnsi="宋体" w:cs="宋体"/>
                <w:szCs w:val="21"/>
              </w:rPr>
              <w:t>10.1</w:t>
            </w:r>
          </w:p>
        </w:tc>
        <w:tc>
          <w:tcPr>
            <w:tcW w:w="1644" w:type="dxa"/>
            <w:vAlign w:val="center"/>
          </w:tcPr>
          <w:p w14:paraId="288CEE7F">
            <w:pPr>
              <w:spacing w:line="360" w:lineRule="auto"/>
              <w:ind w:firstLine="420" w:firstLineChars="200"/>
              <w:rPr>
                <w:rFonts w:ascii="宋体" w:hAnsi="宋体" w:cs="宋体"/>
                <w:kern w:val="0"/>
                <w:szCs w:val="21"/>
              </w:rPr>
            </w:pPr>
            <w:r>
              <w:rPr>
                <w:rFonts w:hint="eastAsia" w:ascii="宋体" w:hAnsi="宋体" w:cs="宋体"/>
                <w:kern w:val="0"/>
                <w:szCs w:val="21"/>
              </w:rPr>
              <w:t>建筑领域实施农民工工资专用账户相关要求</w:t>
            </w:r>
          </w:p>
        </w:tc>
        <w:tc>
          <w:tcPr>
            <w:tcW w:w="6490" w:type="dxa"/>
          </w:tcPr>
          <w:p w14:paraId="3BACDCCC">
            <w:pPr>
              <w:spacing w:line="360" w:lineRule="auto"/>
              <w:ind w:firstLine="420" w:firstLineChars="200"/>
              <w:rPr>
                <w:rFonts w:ascii="宋体" w:hAnsi="宋体" w:cs="宋体"/>
                <w:kern w:val="0"/>
                <w:szCs w:val="21"/>
              </w:rPr>
            </w:pPr>
            <w:r>
              <w:rPr>
                <w:rFonts w:hint="eastAsia" w:ascii="宋体" w:hAnsi="宋体" w:cs="宋体"/>
                <w:kern w:val="0"/>
                <w:szCs w:val="21"/>
              </w:rPr>
              <w:t>本项目在实施过程中，中标人必须执行《重庆市城乡建设委员会、中国人民银行重庆营业管理部、中国银行业监督管理委员会重庆监管局关于建筑领域实施农民工工资专用账户管理及银行代发制度（试行）的通知》（渝建发〔2017〕13号）及《关于建筑领域农民工工资专户管理网络系统正式运行有关事宜的通知》，实行农民工工资专用账户管理及银行代发制度，填报相应的网络管理系统。</w:t>
            </w:r>
          </w:p>
          <w:p w14:paraId="5AC464FD">
            <w:pPr>
              <w:spacing w:line="360" w:lineRule="auto"/>
              <w:ind w:firstLine="420" w:firstLineChars="200"/>
              <w:rPr>
                <w:rFonts w:ascii="宋体" w:hAnsi="宋体" w:cs="宋体"/>
                <w:kern w:val="0"/>
                <w:szCs w:val="21"/>
              </w:rPr>
            </w:pPr>
            <w:r>
              <w:rPr>
                <w:rFonts w:hint="eastAsia" w:ascii="宋体" w:hAnsi="宋体" w:cs="宋体"/>
                <w:kern w:val="0"/>
                <w:szCs w:val="21"/>
              </w:rPr>
              <w:t>投标人中标后，在与发包人签订的合同中，必须明确在我市的农民工工资专用账户信息、人工费（工资款）支付比例；在项目开工后，为农民工办理平安卡和工资卡，委托银行通过农民工工资专用账户直接将农民工工资发放至工资卡，并按照有关规定在“工资专户管理网络系统”中填报相关信息。</w:t>
            </w:r>
          </w:p>
        </w:tc>
      </w:tr>
      <w:tr w14:paraId="3EA8D2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57C95F9">
            <w:pPr>
              <w:snapToGrid w:val="0"/>
              <w:spacing w:line="400" w:lineRule="exact"/>
              <w:jc w:val="center"/>
              <w:rPr>
                <w:rFonts w:ascii="宋体" w:hAnsi="宋体"/>
                <w:kern w:val="0"/>
                <w:szCs w:val="21"/>
              </w:rPr>
            </w:pPr>
            <w:r>
              <w:rPr>
                <w:rFonts w:ascii="宋体" w:hAnsi="宋体"/>
                <w:kern w:val="0"/>
                <w:szCs w:val="21"/>
              </w:rPr>
              <w:t>10.</w:t>
            </w:r>
            <w:r>
              <w:rPr>
                <w:rFonts w:hint="eastAsia" w:ascii="宋体" w:hAnsi="宋体"/>
                <w:kern w:val="0"/>
                <w:szCs w:val="21"/>
              </w:rPr>
              <w:t>2</w:t>
            </w:r>
          </w:p>
        </w:tc>
        <w:tc>
          <w:tcPr>
            <w:tcW w:w="1644" w:type="dxa"/>
            <w:vAlign w:val="center"/>
          </w:tcPr>
          <w:p w14:paraId="02451F37">
            <w:pPr>
              <w:snapToGrid w:val="0"/>
              <w:spacing w:line="400" w:lineRule="exact"/>
              <w:jc w:val="center"/>
              <w:rPr>
                <w:rFonts w:ascii="宋体" w:hAnsi="宋体"/>
                <w:kern w:val="0"/>
                <w:szCs w:val="21"/>
              </w:rPr>
            </w:pPr>
            <w:r>
              <w:rPr>
                <w:rFonts w:hint="eastAsia" w:ascii="宋体" w:hAnsi="宋体"/>
                <w:kern w:val="0"/>
                <w:szCs w:val="21"/>
              </w:rPr>
              <w:t>异议、</w:t>
            </w:r>
            <w:r>
              <w:rPr>
                <w:rFonts w:ascii="宋体" w:hAnsi="宋体"/>
                <w:kern w:val="0"/>
                <w:szCs w:val="21"/>
              </w:rPr>
              <w:t>投诉处理</w:t>
            </w:r>
          </w:p>
        </w:tc>
        <w:tc>
          <w:tcPr>
            <w:tcW w:w="6490" w:type="dxa"/>
            <w:vAlign w:val="center"/>
          </w:tcPr>
          <w:p w14:paraId="3CAAF724">
            <w:pPr>
              <w:widowControl/>
              <w:spacing w:line="400" w:lineRule="exact"/>
              <w:ind w:firstLine="420" w:firstLineChars="200"/>
              <w:rPr>
                <w:rFonts w:ascii="宋体" w:hAnsi="宋体"/>
                <w:kern w:val="0"/>
                <w:szCs w:val="21"/>
              </w:rPr>
            </w:pPr>
            <w:r>
              <w:rPr>
                <w:rFonts w:ascii="宋体" w:hAnsi="宋体"/>
                <w:kern w:val="0"/>
                <w:szCs w:val="21"/>
              </w:rPr>
              <w:t>1.</w:t>
            </w:r>
            <w:r>
              <w:rPr>
                <w:rFonts w:hint="eastAsia" w:ascii="宋体" w:hAnsi="宋体"/>
                <w:kern w:val="0"/>
                <w:szCs w:val="21"/>
              </w:rPr>
              <w:t xml:space="preserve"> 投标人</w:t>
            </w:r>
            <w:r>
              <w:rPr>
                <w:rFonts w:ascii="宋体" w:hAnsi="宋体"/>
                <w:kern w:val="0"/>
                <w:szCs w:val="21"/>
              </w:rPr>
              <w:t>或者其他利害关系人就本项目的招标文件</w:t>
            </w:r>
            <w:r>
              <w:rPr>
                <w:rFonts w:hint="eastAsia" w:ascii="宋体" w:hAnsi="宋体"/>
                <w:kern w:val="0"/>
                <w:szCs w:val="21"/>
              </w:rPr>
              <w:t>（含澄清修改）、开标情况、</w:t>
            </w:r>
            <w:r>
              <w:rPr>
                <w:rFonts w:ascii="宋体" w:hAnsi="宋体"/>
                <w:kern w:val="0"/>
                <w:szCs w:val="21"/>
              </w:rPr>
              <w:t>评标结果等事项提出异议或投诉</w:t>
            </w:r>
            <w:r>
              <w:rPr>
                <w:rFonts w:hint="eastAsia" w:ascii="宋体" w:hAnsi="宋体"/>
                <w:kern w:val="0"/>
                <w:szCs w:val="21"/>
              </w:rPr>
              <w:t>的</w:t>
            </w:r>
            <w:r>
              <w:rPr>
                <w:rFonts w:ascii="宋体" w:hAnsi="宋体"/>
                <w:kern w:val="0"/>
                <w:szCs w:val="21"/>
              </w:rPr>
              <w:t>，应当先向</w:t>
            </w:r>
            <w:r>
              <w:rPr>
                <w:rFonts w:hint="eastAsia" w:ascii="宋体" w:hAnsi="宋体"/>
                <w:kern w:val="0"/>
                <w:szCs w:val="21"/>
              </w:rPr>
              <w:t>比选人</w:t>
            </w:r>
            <w:r>
              <w:rPr>
                <w:rFonts w:ascii="宋体" w:hAnsi="宋体"/>
                <w:kern w:val="0"/>
                <w:szCs w:val="21"/>
              </w:rPr>
              <w:t>提出异议；</w:t>
            </w:r>
            <w:r>
              <w:rPr>
                <w:rFonts w:hint="eastAsia" w:ascii="宋体" w:hAnsi="宋体"/>
                <w:kern w:val="0"/>
                <w:szCs w:val="21"/>
              </w:rPr>
              <w:t>比选人</w:t>
            </w:r>
            <w:r>
              <w:rPr>
                <w:rFonts w:ascii="宋体" w:hAnsi="宋体"/>
                <w:kern w:val="0"/>
                <w:szCs w:val="21"/>
              </w:rPr>
              <w:t>应当在规定时间内答复；对</w:t>
            </w:r>
            <w:r>
              <w:rPr>
                <w:rFonts w:hint="eastAsia" w:ascii="宋体" w:hAnsi="宋体"/>
                <w:kern w:val="0"/>
                <w:szCs w:val="21"/>
              </w:rPr>
              <w:t>比选人</w:t>
            </w:r>
            <w:r>
              <w:rPr>
                <w:rFonts w:ascii="宋体" w:hAnsi="宋体"/>
                <w:kern w:val="0"/>
                <w:szCs w:val="21"/>
              </w:rPr>
              <w:t>的答复不满意，可向行政监督部门投诉。</w:t>
            </w:r>
          </w:p>
          <w:p w14:paraId="10218FB3">
            <w:pPr>
              <w:widowControl/>
              <w:spacing w:line="400" w:lineRule="exact"/>
              <w:ind w:firstLine="420" w:firstLineChars="200"/>
              <w:rPr>
                <w:rFonts w:ascii="宋体" w:hAnsi="宋体"/>
                <w:kern w:val="0"/>
                <w:szCs w:val="21"/>
              </w:rPr>
            </w:pPr>
            <w:r>
              <w:rPr>
                <w:rFonts w:hint="eastAsia" w:ascii="宋体" w:hAnsi="宋体"/>
                <w:kern w:val="0"/>
                <w:szCs w:val="21"/>
              </w:rPr>
              <w:t>提出异议或投诉时应当包括下列内容：</w:t>
            </w:r>
          </w:p>
          <w:p w14:paraId="50086B21">
            <w:pPr>
              <w:widowControl/>
              <w:spacing w:line="400" w:lineRule="exact"/>
              <w:ind w:firstLine="420" w:firstLineChars="200"/>
              <w:rPr>
                <w:rFonts w:ascii="宋体" w:hAnsi="宋体"/>
                <w:kern w:val="0"/>
                <w:szCs w:val="21"/>
              </w:rPr>
            </w:pPr>
            <w:r>
              <w:rPr>
                <w:rFonts w:hint="eastAsia" w:ascii="宋体" w:hAnsi="宋体"/>
                <w:kern w:val="0"/>
                <w:szCs w:val="21"/>
              </w:rPr>
              <w:t>（1）异议人或投诉人的名称、地址及有效联系方式；</w:t>
            </w:r>
          </w:p>
          <w:p w14:paraId="42D8BE50">
            <w:pPr>
              <w:widowControl/>
              <w:spacing w:line="400" w:lineRule="exact"/>
              <w:ind w:firstLine="420" w:firstLineChars="200"/>
              <w:rPr>
                <w:rFonts w:ascii="宋体" w:hAnsi="宋体"/>
                <w:kern w:val="0"/>
                <w:szCs w:val="21"/>
              </w:rPr>
            </w:pPr>
            <w:r>
              <w:rPr>
                <w:rFonts w:hint="eastAsia" w:ascii="宋体" w:hAnsi="宋体"/>
                <w:kern w:val="0"/>
                <w:szCs w:val="21"/>
              </w:rPr>
              <w:t>（2）被异议人或被投诉人的名称、地址及有效联系方式；</w:t>
            </w:r>
          </w:p>
          <w:p w14:paraId="7AF0EA8E">
            <w:pPr>
              <w:widowControl/>
              <w:spacing w:line="400" w:lineRule="exact"/>
              <w:ind w:firstLine="420" w:firstLineChars="200"/>
              <w:rPr>
                <w:rFonts w:ascii="宋体" w:hAnsi="宋体"/>
                <w:kern w:val="0"/>
                <w:szCs w:val="21"/>
              </w:rPr>
            </w:pPr>
            <w:r>
              <w:rPr>
                <w:rFonts w:hint="eastAsia" w:ascii="宋体" w:hAnsi="宋体"/>
                <w:kern w:val="0"/>
                <w:szCs w:val="21"/>
              </w:rPr>
              <w:t>（3）异议或投诉事项的基本事实；</w:t>
            </w:r>
          </w:p>
          <w:p w14:paraId="585555F7">
            <w:pPr>
              <w:widowControl/>
              <w:spacing w:line="400" w:lineRule="exact"/>
              <w:ind w:firstLine="420" w:firstLineChars="200"/>
              <w:rPr>
                <w:rFonts w:ascii="宋体" w:hAnsi="宋体"/>
                <w:kern w:val="0"/>
                <w:szCs w:val="21"/>
              </w:rPr>
            </w:pPr>
            <w:r>
              <w:rPr>
                <w:rFonts w:hint="eastAsia" w:ascii="宋体" w:hAnsi="宋体"/>
                <w:kern w:val="0"/>
                <w:szCs w:val="21"/>
              </w:rPr>
              <w:t>（4）请求及主张；</w:t>
            </w:r>
          </w:p>
          <w:p w14:paraId="7217915B">
            <w:pPr>
              <w:widowControl/>
              <w:spacing w:line="400" w:lineRule="exact"/>
              <w:ind w:firstLine="420" w:firstLineChars="200"/>
              <w:rPr>
                <w:rFonts w:ascii="宋体" w:hAnsi="宋体"/>
                <w:kern w:val="0"/>
                <w:szCs w:val="21"/>
              </w:rPr>
            </w:pPr>
            <w:r>
              <w:rPr>
                <w:rFonts w:hint="eastAsia" w:ascii="宋体" w:hAnsi="宋体"/>
                <w:kern w:val="0"/>
                <w:szCs w:val="21"/>
              </w:rPr>
              <w:t>（5）涉及事项的证据、证明材料。</w:t>
            </w:r>
          </w:p>
          <w:p w14:paraId="0F0636C6">
            <w:pPr>
              <w:widowControl/>
              <w:spacing w:line="400" w:lineRule="exact"/>
              <w:ind w:firstLine="420" w:firstLineChars="200"/>
              <w:rPr>
                <w:rFonts w:ascii="宋体" w:hAnsi="宋体"/>
                <w:kern w:val="0"/>
                <w:szCs w:val="21"/>
              </w:rPr>
            </w:pPr>
            <w:r>
              <w:rPr>
                <w:rFonts w:hint="eastAsia" w:ascii="宋体" w:hAnsi="宋体"/>
                <w:kern w:val="0"/>
                <w:szCs w:val="21"/>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2379296D">
            <w:pPr>
              <w:widowControl/>
              <w:spacing w:line="400" w:lineRule="exact"/>
              <w:ind w:firstLine="420" w:firstLineChars="200"/>
              <w:rPr>
                <w:rFonts w:ascii="宋体" w:hAnsi="宋体"/>
                <w:kern w:val="0"/>
                <w:szCs w:val="21"/>
              </w:rPr>
            </w:pPr>
            <w:r>
              <w:rPr>
                <w:rFonts w:ascii="宋体" w:hAnsi="宋体"/>
                <w:kern w:val="0"/>
                <w:szCs w:val="21"/>
              </w:rPr>
              <w:t>2.</w:t>
            </w:r>
            <w:r>
              <w:rPr>
                <w:rFonts w:hint="eastAsia" w:ascii="宋体" w:hAnsi="宋体"/>
                <w:kern w:val="0"/>
                <w:szCs w:val="21"/>
              </w:rPr>
              <w:t xml:space="preserve"> </w:t>
            </w:r>
            <w:r>
              <w:rPr>
                <w:rFonts w:ascii="宋体" w:hAnsi="宋体"/>
                <w:kern w:val="0"/>
                <w:szCs w:val="21"/>
              </w:rPr>
              <w:t>行政监督部门依照《</w:t>
            </w:r>
            <w:r>
              <w:rPr>
                <w:rFonts w:hint="eastAsia" w:ascii="宋体" w:hAnsi="宋体"/>
                <w:kern w:val="0"/>
                <w:szCs w:val="21"/>
              </w:rPr>
              <w:t>中华人民共和国</w:t>
            </w:r>
            <w:r>
              <w:rPr>
                <w:rFonts w:ascii="宋体" w:hAnsi="宋体"/>
                <w:kern w:val="0"/>
                <w:szCs w:val="21"/>
              </w:rPr>
              <w:t>招标投标法》、《</w:t>
            </w:r>
            <w:r>
              <w:rPr>
                <w:rFonts w:hint="eastAsia" w:ascii="宋体" w:hAnsi="宋体"/>
                <w:kern w:val="0"/>
                <w:szCs w:val="21"/>
              </w:rPr>
              <w:t>中华人民共和国</w:t>
            </w:r>
            <w:r>
              <w:rPr>
                <w:rFonts w:ascii="宋体" w:hAnsi="宋体"/>
                <w:kern w:val="0"/>
                <w:szCs w:val="21"/>
              </w:rPr>
              <w:t>招标投标法实施条例》、《重庆市招标投标条例》、《工程建设项目招标投标活动投诉处理办法》（七部委令第11号（根据九部门2013年第23号令修正））、</w:t>
            </w:r>
            <w:r>
              <w:rPr>
                <w:rFonts w:hint="eastAsia" w:ascii="宋体" w:hAnsi="宋体" w:cs="宋体"/>
                <w:kern w:val="0"/>
                <w:szCs w:val="21"/>
              </w:rPr>
              <w:t>《关于印发&lt;重庆市招标投标活动投诉处理实施细则（修订）&gt;的通知》（渝公管发〔2021〕54号）</w:t>
            </w:r>
            <w:r>
              <w:rPr>
                <w:rFonts w:ascii="宋体" w:hAnsi="宋体"/>
                <w:kern w:val="0"/>
                <w:szCs w:val="21"/>
              </w:rPr>
              <w:t>等法律法规文件处理投诉。</w:t>
            </w:r>
          </w:p>
          <w:p w14:paraId="642FEB95">
            <w:pPr>
              <w:snapToGrid w:val="0"/>
              <w:spacing w:after="124" w:afterLines="40" w:line="400" w:lineRule="exact"/>
              <w:ind w:firstLine="420" w:firstLineChars="200"/>
              <w:rPr>
                <w:rFonts w:ascii="宋体" w:hAnsi="宋体"/>
                <w:kern w:val="0"/>
                <w:szCs w:val="21"/>
              </w:rPr>
            </w:pPr>
            <w:r>
              <w:rPr>
                <w:rFonts w:hint="eastAsia" w:ascii="宋体" w:hAnsi="宋体"/>
                <w:kern w:val="0"/>
                <w:szCs w:val="21"/>
              </w:rPr>
              <w:t>3. 根据《重庆市工程建设领域招标投标信用管理暂行办法》的规定，投标人捏造事实、伪造材料，或者以非法手段获取证明材料进行质疑或者投诉的，将被列入黑名单管理；</w:t>
            </w:r>
            <w:r>
              <w:rPr>
                <w:rFonts w:ascii="宋体" w:hAnsi="宋体"/>
                <w:kern w:val="0"/>
                <w:szCs w:val="21"/>
              </w:rPr>
              <w:t>给他人造成损失的，依法承担赔偿责任。</w:t>
            </w:r>
          </w:p>
          <w:p w14:paraId="58DC9744">
            <w:pPr>
              <w:widowControl/>
              <w:spacing w:line="400" w:lineRule="exact"/>
              <w:ind w:firstLine="420" w:firstLineChars="200"/>
              <w:rPr>
                <w:rFonts w:ascii="宋体" w:hAnsi="宋体"/>
                <w:kern w:val="0"/>
                <w:szCs w:val="21"/>
              </w:rPr>
            </w:pPr>
            <w:r>
              <w:rPr>
                <w:rFonts w:hint="eastAsia" w:ascii="宋体" w:hAnsi="宋体"/>
                <w:kern w:val="0"/>
                <w:szCs w:val="21"/>
              </w:rPr>
              <w:t>4.异议受理单位：重庆市正联实业发展有限公司</w:t>
            </w:r>
          </w:p>
          <w:p w14:paraId="4CC63E89">
            <w:pPr>
              <w:widowControl/>
              <w:spacing w:line="400" w:lineRule="exact"/>
              <w:ind w:firstLine="630" w:firstLineChars="300"/>
              <w:rPr>
                <w:rFonts w:ascii="宋体" w:hAnsi="宋体"/>
                <w:kern w:val="0"/>
                <w:szCs w:val="21"/>
              </w:rPr>
            </w:pPr>
            <w:r>
              <w:rPr>
                <w:rFonts w:hint="eastAsia" w:ascii="宋体" w:hAnsi="宋体"/>
                <w:kern w:val="0"/>
                <w:szCs w:val="21"/>
              </w:rPr>
              <w:t>联系电话：</w:t>
            </w:r>
            <w:r>
              <w:rPr>
                <w:rFonts w:hint="eastAsia" w:ascii="宋体" w:hAnsi="宋体"/>
                <w:kern w:val="0"/>
                <w:szCs w:val="21"/>
                <w:lang w:val="zh-CN"/>
              </w:rPr>
              <w:t>15178801413</w:t>
            </w:r>
          </w:p>
        </w:tc>
      </w:tr>
      <w:tr w14:paraId="4C3D2B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211EFDA">
            <w:pPr>
              <w:snapToGrid w:val="0"/>
              <w:spacing w:line="400" w:lineRule="exact"/>
              <w:jc w:val="center"/>
              <w:rPr>
                <w:rFonts w:ascii="宋体" w:hAnsi="宋体"/>
                <w:kern w:val="0"/>
                <w:szCs w:val="21"/>
              </w:rPr>
            </w:pPr>
            <w:r>
              <w:rPr>
                <w:rFonts w:hint="eastAsia" w:ascii="宋体" w:hAnsi="宋体"/>
                <w:kern w:val="0"/>
                <w:szCs w:val="21"/>
              </w:rPr>
              <w:t>10.3</w:t>
            </w:r>
          </w:p>
        </w:tc>
        <w:tc>
          <w:tcPr>
            <w:tcW w:w="1644" w:type="dxa"/>
            <w:vAlign w:val="center"/>
          </w:tcPr>
          <w:p w14:paraId="36D623D8">
            <w:pPr>
              <w:snapToGrid w:val="0"/>
              <w:spacing w:line="400" w:lineRule="exact"/>
              <w:jc w:val="center"/>
              <w:rPr>
                <w:rFonts w:ascii="宋体" w:hAnsi="宋体"/>
                <w:kern w:val="0"/>
                <w:szCs w:val="21"/>
              </w:rPr>
            </w:pPr>
            <w:r>
              <w:rPr>
                <w:rFonts w:hint="eastAsia" w:ascii="宋体" w:hAnsi="宋体"/>
                <w:kern w:val="0"/>
                <w:szCs w:val="21"/>
              </w:rPr>
              <w:t>关于对招标文件及投标争议的解释</w:t>
            </w:r>
          </w:p>
        </w:tc>
        <w:tc>
          <w:tcPr>
            <w:tcW w:w="6490" w:type="dxa"/>
            <w:vAlign w:val="center"/>
          </w:tcPr>
          <w:p w14:paraId="5353E1A3">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对资格预审文件或者招标文件的评标标准和方法，以及资格审查和否决投标条款理解有争议的，应当作出不利于比选人的解释，但违背国家利益、社会公共利益的除外。</w:t>
            </w:r>
          </w:p>
          <w:p w14:paraId="63D68E08">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对投标文件理解有争议的，应当作出不利于提交该投标文件的投标人的解释。</w:t>
            </w:r>
          </w:p>
        </w:tc>
      </w:tr>
      <w:tr w14:paraId="27733A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restart"/>
            <w:vAlign w:val="center"/>
          </w:tcPr>
          <w:p w14:paraId="0D4A6B13">
            <w:pPr>
              <w:snapToGrid w:val="0"/>
              <w:spacing w:line="400" w:lineRule="exact"/>
              <w:jc w:val="center"/>
              <w:rPr>
                <w:rFonts w:ascii="宋体" w:hAnsi="宋体"/>
                <w:kern w:val="0"/>
                <w:szCs w:val="21"/>
              </w:rPr>
            </w:pPr>
            <w:r>
              <w:rPr>
                <w:rFonts w:hint="eastAsia" w:ascii="宋体" w:hAnsi="宋体"/>
                <w:kern w:val="0"/>
                <w:szCs w:val="21"/>
              </w:rPr>
              <w:t>10.4</w:t>
            </w:r>
          </w:p>
        </w:tc>
        <w:tc>
          <w:tcPr>
            <w:tcW w:w="1644" w:type="dxa"/>
            <w:vMerge w:val="restart"/>
            <w:vAlign w:val="center"/>
          </w:tcPr>
          <w:p w14:paraId="67EE02DC">
            <w:pPr>
              <w:snapToGrid w:val="0"/>
              <w:spacing w:line="400" w:lineRule="exact"/>
              <w:jc w:val="center"/>
              <w:rPr>
                <w:rFonts w:ascii="宋体" w:hAnsi="宋体"/>
                <w:kern w:val="0"/>
                <w:szCs w:val="21"/>
              </w:rPr>
            </w:pPr>
            <w:r>
              <w:rPr>
                <w:rFonts w:hint="eastAsia" w:ascii="宋体" w:hAnsi="宋体"/>
                <w:kern w:val="0"/>
                <w:szCs w:val="21"/>
              </w:rPr>
              <w:t>其他</w:t>
            </w:r>
          </w:p>
        </w:tc>
        <w:tc>
          <w:tcPr>
            <w:tcW w:w="6490" w:type="dxa"/>
            <w:vAlign w:val="center"/>
          </w:tcPr>
          <w:p w14:paraId="7D6DB0B6">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本项目的采购代理服务费参照发改办价格[2003]857号）、（计价格[2002]1980文件收费标准下浮30%计取。由中标人在领取成交通知书前一次性向采购代理机构支付。</w:t>
            </w:r>
          </w:p>
          <w:p w14:paraId="3C2CC4F2">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该费用投标人自行考虑在投标报价中，比选人不单独支付费用。</w:t>
            </w:r>
          </w:p>
        </w:tc>
      </w:tr>
      <w:tr w14:paraId="50EF68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Merge w:val="continue"/>
            <w:vAlign w:val="center"/>
          </w:tcPr>
          <w:p w14:paraId="664FF72E">
            <w:pPr>
              <w:snapToGrid w:val="0"/>
              <w:spacing w:line="400" w:lineRule="exact"/>
              <w:jc w:val="center"/>
              <w:rPr>
                <w:rFonts w:ascii="宋体" w:hAnsi="宋体"/>
                <w:kern w:val="0"/>
                <w:szCs w:val="21"/>
              </w:rPr>
            </w:pPr>
            <w:bookmarkStart w:id="117" w:name="_Toc430530435"/>
            <w:bookmarkStart w:id="118" w:name="_Toc287620685"/>
            <w:bookmarkStart w:id="119" w:name="_Toc287607746"/>
            <w:bookmarkStart w:id="120" w:name="_Toc200513126"/>
            <w:bookmarkStart w:id="121" w:name="_Toc224103317"/>
            <w:bookmarkStart w:id="122" w:name="_Toc277082552"/>
          </w:p>
        </w:tc>
        <w:tc>
          <w:tcPr>
            <w:tcW w:w="1644" w:type="dxa"/>
            <w:vMerge w:val="continue"/>
            <w:vAlign w:val="center"/>
          </w:tcPr>
          <w:p w14:paraId="28C0C4B7">
            <w:pPr>
              <w:snapToGrid w:val="0"/>
              <w:spacing w:line="400" w:lineRule="exact"/>
              <w:jc w:val="center"/>
              <w:rPr>
                <w:rFonts w:ascii="宋体" w:hAnsi="宋体"/>
                <w:kern w:val="0"/>
                <w:szCs w:val="21"/>
              </w:rPr>
            </w:pPr>
          </w:p>
        </w:tc>
        <w:tc>
          <w:tcPr>
            <w:tcW w:w="6490" w:type="dxa"/>
            <w:vAlign w:val="center"/>
          </w:tcPr>
          <w:p w14:paraId="0D431935">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比选文件每套售价500元，售后不退。投标人递交投标文件时支付比选文件的费用，否则比选人和比选代理机构将不予接收其投标文件。</w:t>
            </w:r>
          </w:p>
        </w:tc>
      </w:tr>
      <w:tr w14:paraId="3A7165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2D3AD1E">
            <w:pPr>
              <w:snapToGrid w:val="0"/>
              <w:spacing w:line="400" w:lineRule="exact"/>
              <w:jc w:val="center"/>
              <w:rPr>
                <w:rFonts w:ascii="宋体" w:hAnsi="宋体"/>
                <w:kern w:val="0"/>
                <w:szCs w:val="21"/>
              </w:rPr>
            </w:pPr>
            <w:r>
              <w:rPr>
                <w:rFonts w:hint="eastAsia" w:ascii="宋体" w:hAnsi="宋体"/>
                <w:kern w:val="0"/>
                <w:szCs w:val="21"/>
              </w:rPr>
              <w:t>10.5</w:t>
            </w:r>
          </w:p>
        </w:tc>
        <w:tc>
          <w:tcPr>
            <w:tcW w:w="1644" w:type="dxa"/>
            <w:vAlign w:val="center"/>
          </w:tcPr>
          <w:p w14:paraId="610A44EB">
            <w:pPr>
              <w:autoSpaceDE w:val="0"/>
              <w:autoSpaceDN w:val="0"/>
              <w:adjustRightInd w:val="0"/>
              <w:snapToGrid w:val="0"/>
              <w:spacing w:line="400" w:lineRule="exact"/>
              <w:jc w:val="center"/>
              <w:rPr>
                <w:rFonts w:ascii="宋体" w:hAnsi="宋体"/>
                <w:kern w:val="0"/>
                <w:szCs w:val="21"/>
              </w:rPr>
            </w:pPr>
            <w:r>
              <w:rPr>
                <w:rFonts w:hint="eastAsia" w:ascii="宋体" w:hAnsi="宋体"/>
                <w:kern w:val="0"/>
                <w:szCs w:val="21"/>
              </w:rPr>
              <w:t>交易服务费</w:t>
            </w:r>
          </w:p>
        </w:tc>
        <w:tc>
          <w:tcPr>
            <w:tcW w:w="6490" w:type="dxa"/>
            <w:vAlign w:val="center"/>
          </w:tcPr>
          <w:p w14:paraId="66EFFD41">
            <w:pPr>
              <w:autoSpaceDE w:val="0"/>
              <w:autoSpaceDN w:val="0"/>
              <w:adjustRightInd w:val="0"/>
              <w:snapToGrid w:val="0"/>
              <w:spacing w:line="400" w:lineRule="exact"/>
              <w:ind w:firstLine="420" w:firstLineChars="200"/>
              <w:rPr>
                <w:highlight w:val="none"/>
              </w:rPr>
            </w:pPr>
            <w:r>
              <w:rPr>
                <w:rFonts w:hint="eastAsia"/>
              </w:rPr>
              <w:t xml:space="preserve"> </w:t>
            </w:r>
            <w:r>
              <w:rPr>
                <w:rFonts w:hint="eastAsia"/>
                <w:highlight w:val="none"/>
              </w:rPr>
              <w:t>投标人中标后向“重庆市汇南城市建设开发有限公司”缴纳交易服务费，服务费的收取标准按南岸发改【2025】130号执行。</w:t>
            </w:r>
          </w:p>
          <w:p w14:paraId="5533FBB1">
            <w:pPr>
              <w:autoSpaceDE w:val="0"/>
              <w:autoSpaceDN w:val="0"/>
              <w:adjustRightInd w:val="0"/>
              <w:snapToGrid w:val="0"/>
              <w:spacing w:line="400" w:lineRule="exact"/>
              <w:ind w:firstLine="420" w:firstLineChars="200"/>
              <w:rPr>
                <w:highlight w:val="none"/>
              </w:rPr>
            </w:pPr>
            <w:r>
              <w:rPr>
                <w:rFonts w:hint="eastAsia"/>
                <w:highlight w:val="none"/>
              </w:rPr>
              <w:t>收款单位：重庆市汇南城市建设开发有限公司</w:t>
            </w:r>
          </w:p>
          <w:p w14:paraId="169E75BA">
            <w:pPr>
              <w:autoSpaceDE w:val="0"/>
              <w:autoSpaceDN w:val="0"/>
              <w:adjustRightInd w:val="0"/>
              <w:snapToGrid w:val="0"/>
              <w:spacing w:line="400" w:lineRule="exact"/>
              <w:ind w:firstLine="420" w:firstLineChars="200"/>
              <w:rPr>
                <w:highlight w:val="none"/>
              </w:rPr>
            </w:pPr>
            <w:r>
              <w:rPr>
                <w:rFonts w:hint="eastAsia"/>
                <w:highlight w:val="none"/>
              </w:rPr>
              <w:t>开户银行：重庆农村商业银行股份有限公司南岸支行南坪分理处</w:t>
            </w:r>
          </w:p>
          <w:p w14:paraId="507FECB7">
            <w:pPr>
              <w:autoSpaceDE w:val="0"/>
              <w:autoSpaceDN w:val="0"/>
              <w:adjustRightInd w:val="0"/>
              <w:snapToGrid w:val="0"/>
              <w:spacing w:line="400" w:lineRule="exact"/>
              <w:ind w:firstLine="420" w:firstLineChars="200"/>
              <w:rPr>
                <w:highlight w:val="none"/>
              </w:rPr>
            </w:pPr>
            <w:r>
              <w:rPr>
                <w:rFonts w:hint="eastAsia"/>
                <w:highlight w:val="none"/>
              </w:rPr>
              <w:t>银行账号：0601110120010023958</w:t>
            </w:r>
          </w:p>
          <w:p w14:paraId="2BF295AA">
            <w:pPr>
              <w:autoSpaceDE w:val="0"/>
              <w:autoSpaceDN w:val="0"/>
              <w:adjustRightInd w:val="0"/>
              <w:snapToGrid w:val="0"/>
              <w:spacing w:line="400" w:lineRule="exact"/>
              <w:ind w:firstLine="420" w:firstLineChars="200"/>
              <w:rPr>
                <w:highlight w:val="none"/>
              </w:rPr>
            </w:pPr>
            <w:r>
              <w:rPr>
                <w:rFonts w:hint="eastAsia"/>
                <w:highlight w:val="none"/>
              </w:rPr>
              <w:t>银行行号：314653000222</w:t>
            </w:r>
          </w:p>
          <w:p w14:paraId="19F7A654">
            <w:pPr>
              <w:autoSpaceDE w:val="0"/>
              <w:autoSpaceDN w:val="0"/>
              <w:adjustRightInd w:val="0"/>
              <w:snapToGrid w:val="0"/>
              <w:spacing w:line="400" w:lineRule="exact"/>
              <w:ind w:firstLine="420" w:firstLineChars="200"/>
              <w:rPr>
                <w:rFonts w:ascii="宋体" w:hAnsi="宋体"/>
                <w:kern w:val="0"/>
                <w:szCs w:val="21"/>
              </w:rPr>
            </w:pPr>
            <w:r>
              <w:rPr>
                <w:rFonts w:hint="eastAsia"/>
                <w:highlight w:val="none"/>
              </w:rPr>
              <w:t>（咨询：何老师，电话：023-62948872）</w:t>
            </w:r>
          </w:p>
        </w:tc>
      </w:tr>
    </w:tbl>
    <w:p w14:paraId="38DF03DA">
      <w:pPr>
        <w:pStyle w:val="4"/>
        <w:spacing w:before="0" w:after="0" w:line="20" w:lineRule="exact"/>
        <w:rPr>
          <w:rFonts w:ascii="宋体" w:hAnsi="宋体"/>
          <w:b w:val="0"/>
          <w:snapToGrid w:val="0"/>
        </w:rPr>
      </w:pPr>
    </w:p>
    <w:p w14:paraId="43EA266A">
      <w:pPr>
        <w:pStyle w:val="4"/>
        <w:spacing w:before="0" w:after="0" w:line="200" w:lineRule="exact"/>
        <w:rPr>
          <w:rFonts w:ascii="宋体" w:hAnsi="宋体"/>
          <w:b w:val="0"/>
          <w:snapToGrid w:val="0"/>
        </w:rPr>
      </w:pPr>
      <w:r>
        <w:rPr>
          <w:rFonts w:ascii="宋体" w:hAnsi="宋体"/>
          <w:b w:val="0"/>
          <w:snapToGrid w:val="0"/>
        </w:rPr>
        <w:br w:type="page"/>
      </w:r>
    </w:p>
    <w:bookmarkEnd w:id="117"/>
    <w:bookmarkEnd w:id="118"/>
    <w:bookmarkEnd w:id="119"/>
    <w:bookmarkEnd w:id="120"/>
    <w:bookmarkEnd w:id="121"/>
    <w:bookmarkEnd w:id="122"/>
    <w:p w14:paraId="681D437C">
      <w:pPr>
        <w:pStyle w:val="5"/>
        <w:spacing w:before="0" w:after="0" w:line="360" w:lineRule="auto"/>
        <w:rPr>
          <w:rFonts w:ascii="宋体" w:hAnsi="宋体" w:cs="宋体"/>
          <w:sz w:val="21"/>
          <w:szCs w:val="21"/>
        </w:rPr>
      </w:pPr>
      <w:bookmarkStart w:id="123" w:name="_Toc216768155"/>
      <w:bookmarkStart w:id="124" w:name="_Toc19008"/>
      <w:r>
        <w:rPr>
          <w:rFonts w:hint="eastAsia" w:ascii="宋体" w:hAnsi="宋体" w:cs="宋体"/>
          <w:sz w:val="21"/>
          <w:szCs w:val="21"/>
        </w:rPr>
        <w:t>1.总则</w:t>
      </w:r>
      <w:bookmarkEnd w:id="123"/>
      <w:bookmarkEnd w:id="124"/>
    </w:p>
    <w:p w14:paraId="7ABFB8FC">
      <w:pPr>
        <w:pStyle w:val="5"/>
        <w:spacing w:before="0" w:after="0" w:line="360" w:lineRule="auto"/>
        <w:rPr>
          <w:rFonts w:ascii="宋体" w:hAnsi="宋体" w:cs="宋体"/>
          <w:sz w:val="21"/>
          <w:szCs w:val="21"/>
        </w:rPr>
      </w:pPr>
      <w:bookmarkStart w:id="125" w:name="_Toc216768156"/>
      <w:bookmarkStart w:id="126" w:name="_Toc293756837"/>
      <w:bookmarkStart w:id="127" w:name="_Toc9752"/>
      <w:bookmarkStart w:id="128" w:name="_Toc293756840"/>
      <w:r>
        <w:rPr>
          <w:rFonts w:hint="eastAsia" w:ascii="宋体" w:hAnsi="宋体" w:cs="宋体"/>
          <w:sz w:val="21"/>
          <w:szCs w:val="21"/>
        </w:rPr>
        <w:t>1.1 项目概况</w:t>
      </w:r>
      <w:bookmarkEnd w:id="125"/>
      <w:bookmarkEnd w:id="126"/>
      <w:bookmarkEnd w:id="127"/>
    </w:p>
    <w:p w14:paraId="4BB52821">
      <w:pPr>
        <w:spacing w:line="360" w:lineRule="auto"/>
        <w:ind w:firstLine="420" w:firstLineChars="200"/>
        <w:rPr>
          <w:rFonts w:ascii="宋体" w:hAnsi="宋体" w:cs="宋体"/>
          <w:szCs w:val="21"/>
        </w:rPr>
      </w:pPr>
      <w:r>
        <w:rPr>
          <w:rFonts w:hint="eastAsia" w:ascii="宋体" w:hAnsi="宋体" w:cs="宋体"/>
          <w:szCs w:val="21"/>
        </w:rPr>
        <w:t>1.1.1根据《中华人民共和国招标投标法》等有关法律、法规和规章的规定，本招标项目已具备比选条件，现对本标段施工进行比选。</w:t>
      </w:r>
    </w:p>
    <w:p w14:paraId="0218CD06">
      <w:pPr>
        <w:spacing w:line="360" w:lineRule="auto"/>
        <w:ind w:firstLine="420" w:firstLineChars="200"/>
        <w:rPr>
          <w:rFonts w:ascii="宋体" w:hAnsi="宋体" w:cs="宋体"/>
          <w:szCs w:val="21"/>
        </w:rPr>
      </w:pPr>
      <w:r>
        <w:rPr>
          <w:rFonts w:hint="eastAsia" w:ascii="宋体" w:hAnsi="宋体" w:cs="宋体"/>
          <w:szCs w:val="21"/>
        </w:rPr>
        <w:t>1.1.2 本比选项目比选人、比选代理机构、项目名称、建设地点：见投标人须知前附表。</w:t>
      </w:r>
    </w:p>
    <w:p w14:paraId="50E9FCF1">
      <w:pPr>
        <w:spacing w:line="360" w:lineRule="auto"/>
        <w:ind w:firstLine="420" w:firstLineChars="200"/>
        <w:rPr>
          <w:rFonts w:ascii="宋体" w:hAnsi="宋体" w:cs="宋体"/>
          <w:szCs w:val="21"/>
        </w:rPr>
      </w:pPr>
      <w:r>
        <w:rPr>
          <w:rFonts w:hint="eastAsia" w:ascii="宋体" w:hAnsi="宋体" w:cs="宋体"/>
          <w:szCs w:val="21"/>
        </w:rPr>
        <w:t>1.1.3  本招标项目比选代理机构：见投标人须知前附表。</w:t>
      </w:r>
    </w:p>
    <w:p w14:paraId="19358274">
      <w:pPr>
        <w:spacing w:line="360" w:lineRule="auto"/>
        <w:ind w:firstLine="420" w:firstLineChars="200"/>
        <w:rPr>
          <w:rFonts w:ascii="宋体" w:hAnsi="宋体" w:cs="宋体"/>
          <w:szCs w:val="21"/>
        </w:rPr>
      </w:pPr>
      <w:r>
        <w:rPr>
          <w:rFonts w:hint="eastAsia" w:ascii="宋体" w:hAnsi="宋体" w:cs="宋体"/>
          <w:szCs w:val="21"/>
        </w:rPr>
        <w:t>1.1.4  本招标项目名称：见投标人须知前附表。</w:t>
      </w:r>
    </w:p>
    <w:p w14:paraId="222D4077">
      <w:pPr>
        <w:spacing w:line="360" w:lineRule="auto"/>
        <w:ind w:firstLine="420" w:firstLineChars="200"/>
        <w:rPr>
          <w:rFonts w:ascii="宋体" w:hAnsi="宋体" w:cs="宋体"/>
          <w:szCs w:val="21"/>
        </w:rPr>
      </w:pPr>
      <w:r>
        <w:rPr>
          <w:rFonts w:hint="eastAsia" w:ascii="宋体" w:hAnsi="宋体" w:cs="宋体"/>
          <w:szCs w:val="21"/>
        </w:rPr>
        <w:t>1.1.5  本招标项目建设地点：见投标人须知前附表。</w:t>
      </w:r>
    </w:p>
    <w:p w14:paraId="1F7D151F">
      <w:pPr>
        <w:spacing w:line="360" w:lineRule="auto"/>
        <w:ind w:firstLine="420" w:firstLineChars="200"/>
      </w:pPr>
      <w:r>
        <w:rPr>
          <w:rFonts w:hint="eastAsia" w:ascii="宋体" w:hAnsi="宋体" w:cs="宋体"/>
          <w:szCs w:val="21"/>
        </w:rPr>
        <w:t>1.1.6  本招标项目建设规模：见投标人须知前附表。</w:t>
      </w:r>
    </w:p>
    <w:p w14:paraId="796CAF81">
      <w:pPr>
        <w:pStyle w:val="5"/>
        <w:spacing w:before="0" w:after="0" w:line="360" w:lineRule="auto"/>
        <w:rPr>
          <w:rFonts w:ascii="宋体" w:hAnsi="宋体" w:cs="宋体"/>
          <w:sz w:val="21"/>
          <w:szCs w:val="21"/>
        </w:rPr>
      </w:pPr>
      <w:bookmarkStart w:id="129" w:name="_Toc5437"/>
      <w:bookmarkStart w:id="130" w:name="_Toc293756838"/>
      <w:bookmarkStart w:id="131" w:name="_Toc216768157"/>
      <w:r>
        <w:rPr>
          <w:rFonts w:hint="eastAsia" w:ascii="宋体" w:hAnsi="宋体" w:cs="宋体"/>
          <w:sz w:val="21"/>
          <w:szCs w:val="21"/>
        </w:rPr>
        <w:t>1.2 资金来源和落实情况</w:t>
      </w:r>
      <w:bookmarkEnd w:id="129"/>
      <w:bookmarkEnd w:id="130"/>
      <w:bookmarkEnd w:id="131"/>
    </w:p>
    <w:p w14:paraId="0E6AD446">
      <w:pPr>
        <w:spacing w:line="360" w:lineRule="auto"/>
        <w:ind w:firstLine="420" w:firstLineChars="200"/>
        <w:rPr>
          <w:rFonts w:ascii="宋体" w:hAnsi="宋体" w:cs="宋体"/>
          <w:szCs w:val="21"/>
        </w:rPr>
      </w:pPr>
      <w:bookmarkStart w:id="132" w:name="_Toc293756839"/>
      <w:r>
        <w:rPr>
          <w:rFonts w:hint="eastAsia" w:ascii="宋体" w:hAnsi="宋体" w:cs="宋体"/>
          <w:szCs w:val="21"/>
        </w:rPr>
        <w:t>1.2.1  本招标项目的资金来源：见投标人须知前附表。</w:t>
      </w:r>
    </w:p>
    <w:p w14:paraId="58EE9520">
      <w:pPr>
        <w:spacing w:line="360" w:lineRule="auto"/>
        <w:ind w:firstLine="420" w:firstLineChars="200"/>
        <w:rPr>
          <w:rFonts w:ascii="宋体" w:hAnsi="宋体" w:cs="宋体"/>
          <w:szCs w:val="21"/>
        </w:rPr>
      </w:pPr>
      <w:r>
        <w:rPr>
          <w:rFonts w:hint="eastAsia" w:ascii="宋体" w:hAnsi="宋体" w:cs="宋体"/>
          <w:szCs w:val="21"/>
        </w:rPr>
        <w:t>1.2.2  本招标项目的出资比例：见投标人须知前附表。</w:t>
      </w:r>
    </w:p>
    <w:p w14:paraId="0F5E7829">
      <w:pPr>
        <w:spacing w:line="360" w:lineRule="auto"/>
        <w:ind w:firstLine="420" w:firstLineChars="200"/>
        <w:rPr>
          <w:rFonts w:ascii="宋体" w:hAnsi="宋体" w:cs="宋体"/>
          <w:szCs w:val="21"/>
        </w:rPr>
      </w:pPr>
      <w:r>
        <w:rPr>
          <w:rFonts w:hint="eastAsia" w:ascii="宋体" w:hAnsi="宋体" w:cs="宋体"/>
          <w:szCs w:val="21"/>
        </w:rPr>
        <w:t>1.2.3  本招标项目的资金落实情况：见投标人须知前附表。</w:t>
      </w:r>
    </w:p>
    <w:p w14:paraId="2825E54E">
      <w:pPr>
        <w:pStyle w:val="5"/>
        <w:spacing w:before="0" w:after="0" w:line="360" w:lineRule="auto"/>
        <w:rPr>
          <w:rFonts w:ascii="宋体" w:hAnsi="宋体" w:cs="宋体"/>
          <w:sz w:val="21"/>
          <w:szCs w:val="21"/>
        </w:rPr>
      </w:pPr>
      <w:bookmarkStart w:id="133" w:name="_Toc19957"/>
      <w:bookmarkStart w:id="134" w:name="_Toc216768158"/>
      <w:r>
        <w:rPr>
          <w:rFonts w:hint="eastAsia" w:ascii="宋体" w:hAnsi="宋体" w:cs="宋体"/>
          <w:sz w:val="21"/>
          <w:szCs w:val="21"/>
        </w:rPr>
        <w:t>1.3 比选范围、计划工期和质量要求</w:t>
      </w:r>
      <w:bookmarkEnd w:id="132"/>
      <w:bookmarkEnd w:id="133"/>
      <w:bookmarkEnd w:id="134"/>
    </w:p>
    <w:p w14:paraId="35CE79AF">
      <w:pPr>
        <w:spacing w:line="360" w:lineRule="auto"/>
        <w:ind w:firstLine="420" w:firstLineChars="200"/>
        <w:rPr>
          <w:rFonts w:ascii="宋体" w:hAnsi="宋体" w:cs="宋体"/>
          <w:szCs w:val="21"/>
        </w:rPr>
      </w:pPr>
      <w:r>
        <w:rPr>
          <w:rFonts w:hint="eastAsia" w:ascii="宋体" w:hAnsi="宋体" w:cs="宋体"/>
          <w:szCs w:val="21"/>
        </w:rPr>
        <w:t>1.3.1  比选范围：见投标人须知前附表。</w:t>
      </w:r>
    </w:p>
    <w:p w14:paraId="1805B929">
      <w:pPr>
        <w:spacing w:line="360" w:lineRule="auto"/>
        <w:ind w:firstLine="420" w:firstLineChars="200"/>
        <w:rPr>
          <w:rFonts w:ascii="宋体" w:hAnsi="宋体" w:cs="宋体"/>
          <w:szCs w:val="21"/>
        </w:rPr>
      </w:pPr>
      <w:r>
        <w:rPr>
          <w:rFonts w:hint="eastAsia" w:ascii="宋体" w:hAnsi="宋体" w:cs="宋体"/>
          <w:szCs w:val="21"/>
        </w:rPr>
        <w:t>1.3.2  计划工期：见投标人须知前附表。</w:t>
      </w:r>
    </w:p>
    <w:p w14:paraId="06EC8BA8">
      <w:pPr>
        <w:spacing w:line="360" w:lineRule="auto"/>
        <w:ind w:firstLine="420" w:firstLineChars="200"/>
        <w:rPr>
          <w:rFonts w:ascii="宋体" w:hAnsi="宋体" w:cs="宋体"/>
          <w:szCs w:val="21"/>
        </w:rPr>
      </w:pPr>
      <w:r>
        <w:rPr>
          <w:rFonts w:hint="eastAsia" w:ascii="宋体" w:hAnsi="宋体" w:cs="宋体"/>
          <w:szCs w:val="21"/>
        </w:rPr>
        <w:t>1.3.3  质量要求：见投标人须知前附表。</w:t>
      </w:r>
    </w:p>
    <w:p w14:paraId="5F865746">
      <w:pPr>
        <w:pStyle w:val="5"/>
        <w:spacing w:before="0" w:after="0" w:line="360" w:lineRule="auto"/>
        <w:rPr>
          <w:rFonts w:ascii="宋体" w:hAnsi="宋体" w:cs="宋体"/>
          <w:sz w:val="21"/>
          <w:szCs w:val="21"/>
        </w:rPr>
      </w:pPr>
      <w:bookmarkStart w:id="135" w:name="_Toc9928"/>
      <w:bookmarkStart w:id="136" w:name="_Toc216768159"/>
      <w:r>
        <w:rPr>
          <w:rFonts w:hint="eastAsia" w:ascii="宋体" w:hAnsi="宋体" w:cs="宋体"/>
          <w:sz w:val="21"/>
          <w:szCs w:val="21"/>
        </w:rPr>
        <w:t xml:space="preserve">1.4 </w:t>
      </w:r>
      <w:bookmarkEnd w:id="128"/>
      <w:r>
        <w:rPr>
          <w:rFonts w:hint="eastAsia" w:ascii="宋体" w:hAnsi="宋体" w:cs="宋体"/>
          <w:sz w:val="21"/>
          <w:szCs w:val="21"/>
        </w:rPr>
        <w:t>投标人资格要求</w:t>
      </w:r>
      <w:bookmarkEnd w:id="135"/>
      <w:bookmarkEnd w:id="136"/>
    </w:p>
    <w:p w14:paraId="16061736">
      <w:pPr>
        <w:spacing w:line="360" w:lineRule="auto"/>
        <w:ind w:firstLine="420" w:firstLineChars="200"/>
        <w:rPr>
          <w:rFonts w:ascii="宋体" w:hAnsi="宋体" w:cs="宋体"/>
          <w:szCs w:val="21"/>
        </w:rPr>
      </w:pPr>
      <w:r>
        <w:rPr>
          <w:rFonts w:hint="eastAsia" w:ascii="宋体" w:hAnsi="宋体" w:cs="宋体"/>
          <w:szCs w:val="21"/>
        </w:rPr>
        <w:t>1.4.1 投标人应具备承担本标段施工的资质条件、能力: 见投标人须知前附表。</w:t>
      </w:r>
    </w:p>
    <w:p w14:paraId="6612C9E6">
      <w:pPr>
        <w:spacing w:line="360" w:lineRule="auto"/>
        <w:ind w:firstLine="420" w:firstLineChars="200"/>
        <w:rPr>
          <w:rFonts w:ascii="宋体" w:hAnsi="宋体" w:cs="宋体"/>
          <w:szCs w:val="21"/>
        </w:rPr>
      </w:pPr>
      <w:r>
        <w:rPr>
          <w:rFonts w:hint="eastAsia" w:ascii="宋体" w:hAnsi="宋体" w:cs="宋体"/>
          <w:szCs w:val="21"/>
        </w:rPr>
        <w:t>（1） 资质条件：见投标人须知前附表</w:t>
      </w:r>
    </w:p>
    <w:p w14:paraId="738B2E59">
      <w:pPr>
        <w:spacing w:line="360" w:lineRule="auto"/>
        <w:ind w:firstLine="420" w:firstLineChars="200"/>
        <w:rPr>
          <w:rFonts w:ascii="宋体" w:hAnsi="宋体" w:cs="宋体"/>
          <w:szCs w:val="21"/>
        </w:rPr>
      </w:pPr>
      <w:r>
        <w:rPr>
          <w:rFonts w:hint="eastAsia" w:ascii="宋体" w:hAnsi="宋体" w:cs="宋体"/>
          <w:szCs w:val="21"/>
        </w:rPr>
        <w:t>（2）项目经理资格：见投标人须知前附表</w:t>
      </w:r>
    </w:p>
    <w:p w14:paraId="7DB0CCD8">
      <w:pPr>
        <w:spacing w:line="360" w:lineRule="auto"/>
        <w:ind w:firstLine="420" w:firstLineChars="200"/>
        <w:rPr>
          <w:rFonts w:ascii="宋体" w:hAnsi="宋体" w:cs="宋体"/>
          <w:szCs w:val="21"/>
        </w:rPr>
      </w:pPr>
      <w:r>
        <w:rPr>
          <w:rFonts w:hint="eastAsia" w:ascii="宋体" w:hAnsi="宋体" w:cs="宋体"/>
          <w:szCs w:val="21"/>
        </w:rPr>
        <w:t>（3）项目技术负责人要求：见投标人须知前附表</w:t>
      </w:r>
    </w:p>
    <w:p w14:paraId="4DAD33EA">
      <w:pPr>
        <w:spacing w:line="360" w:lineRule="auto"/>
        <w:ind w:firstLine="420" w:firstLineChars="200"/>
        <w:rPr>
          <w:rFonts w:ascii="宋体" w:hAnsi="宋体" w:cs="宋体"/>
          <w:szCs w:val="21"/>
        </w:rPr>
      </w:pPr>
      <w:r>
        <w:rPr>
          <w:rFonts w:hint="eastAsia" w:ascii="宋体" w:hAnsi="宋体" w:cs="宋体"/>
          <w:szCs w:val="21"/>
        </w:rPr>
        <w:t>（4）其他主要管理人员要求：见投标人须知前附表</w:t>
      </w:r>
    </w:p>
    <w:p w14:paraId="57A82F5B">
      <w:pPr>
        <w:spacing w:line="360" w:lineRule="auto"/>
        <w:ind w:firstLine="420" w:firstLineChars="200"/>
        <w:rPr>
          <w:rFonts w:ascii="宋体" w:hAnsi="宋体" w:cs="宋体"/>
          <w:szCs w:val="21"/>
        </w:rPr>
      </w:pPr>
      <w:r>
        <w:rPr>
          <w:rFonts w:hint="eastAsia" w:ascii="宋体" w:hAnsi="宋体" w:cs="宋体"/>
          <w:szCs w:val="21"/>
        </w:rPr>
        <w:t>（5）委托代理人：见投标人须知前附表</w:t>
      </w:r>
    </w:p>
    <w:p w14:paraId="2AEB0579">
      <w:pPr>
        <w:spacing w:line="360" w:lineRule="auto"/>
        <w:ind w:firstLine="420" w:firstLineChars="200"/>
        <w:rPr>
          <w:rFonts w:ascii="宋体" w:hAnsi="宋体" w:cs="宋体"/>
          <w:szCs w:val="21"/>
        </w:rPr>
      </w:pPr>
      <w:r>
        <w:rPr>
          <w:rFonts w:hint="eastAsia" w:ascii="宋体" w:hAnsi="宋体" w:cs="宋体"/>
          <w:szCs w:val="21"/>
        </w:rPr>
        <w:t>（6）其他要求：见投标人须知前附表。</w:t>
      </w:r>
    </w:p>
    <w:p w14:paraId="260AB22F">
      <w:pPr>
        <w:spacing w:line="360" w:lineRule="auto"/>
        <w:ind w:firstLine="420" w:firstLineChars="200"/>
        <w:rPr>
          <w:rFonts w:ascii="宋体" w:hAnsi="宋体" w:cs="宋体"/>
          <w:szCs w:val="21"/>
        </w:rPr>
      </w:pPr>
      <w:r>
        <w:rPr>
          <w:rFonts w:hint="eastAsia" w:ascii="宋体" w:hAnsi="宋体" w:cs="宋体"/>
          <w:szCs w:val="21"/>
        </w:rPr>
        <w:t>1.4.2 本次比选不接受联合体。</w:t>
      </w:r>
    </w:p>
    <w:p w14:paraId="3065B849">
      <w:pPr>
        <w:spacing w:line="360" w:lineRule="auto"/>
        <w:ind w:firstLine="420" w:firstLineChars="200"/>
        <w:rPr>
          <w:rFonts w:ascii="宋体" w:hAnsi="宋体" w:cs="宋体"/>
          <w:szCs w:val="21"/>
        </w:rPr>
      </w:pPr>
      <w:r>
        <w:rPr>
          <w:rFonts w:hint="eastAsia" w:ascii="宋体" w:hAnsi="宋体" w:cs="宋体"/>
          <w:szCs w:val="21"/>
        </w:rPr>
        <w:t>1.4.3 投标人不得存在下列情形之一：</w:t>
      </w:r>
    </w:p>
    <w:p w14:paraId="32FCADD8">
      <w:pPr>
        <w:spacing w:line="360" w:lineRule="auto"/>
        <w:ind w:firstLine="420" w:firstLineChars="200"/>
        <w:rPr>
          <w:rFonts w:ascii="宋体" w:hAnsi="宋体" w:cs="宋体"/>
          <w:szCs w:val="21"/>
        </w:rPr>
      </w:pPr>
      <w:r>
        <w:rPr>
          <w:rFonts w:hint="eastAsia" w:ascii="宋体" w:hAnsi="宋体" w:cs="宋体"/>
          <w:szCs w:val="21"/>
        </w:rPr>
        <w:t>（1）与比选人存在利害关系可能影响招标公正性的法人、其他组织或者个人；</w:t>
      </w:r>
    </w:p>
    <w:p w14:paraId="17C9BFAB">
      <w:pPr>
        <w:spacing w:line="360" w:lineRule="auto"/>
        <w:ind w:firstLine="420" w:firstLineChars="200"/>
        <w:rPr>
          <w:rFonts w:ascii="宋体" w:hAnsi="宋体" w:cs="宋体"/>
          <w:szCs w:val="21"/>
        </w:rPr>
      </w:pPr>
      <w:r>
        <w:rPr>
          <w:rFonts w:hint="eastAsia" w:ascii="宋体" w:hAnsi="宋体" w:cs="宋体"/>
          <w:szCs w:val="21"/>
        </w:rPr>
        <w:t>（2）为本标段前期准备提供设计或咨询服务的，但设计施工总承包的除外；</w:t>
      </w:r>
    </w:p>
    <w:p w14:paraId="4F05491E">
      <w:pPr>
        <w:spacing w:line="360" w:lineRule="auto"/>
        <w:ind w:firstLine="420" w:firstLineChars="200"/>
        <w:rPr>
          <w:rFonts w:ascii="宋体" w:hAnsi="宋体" w:cs="宋体"/>
          <w:szCs w:val="21"/>
        </w:rPr>
      </w:pPr>
      <w:r>
        <w:rPr>
          <w:rFonts w:hint="eastAsia" w:ascii="宋体" w:hAnsi="宋体" w:cs="宋体"/>
          <w:szCs w:val="21"/>
        </w:rPr>
        <w:t>（3）为本标段的监理人；</w:t>
      </w:r>
    </w:p>
    <w:p w14:paraId="52F42927">
      <w:pPr>
        <w:spacing w:line="360" w:lineRule="auto"/>
        <w:ind w:firstLine="420" w:firstLineChars="200"/>
        <w:rPr>
          <w:rFonts w:ascii="宋体" w:hAnsi="宋体" w:cs="宋体"/>
          <w:szCs w:val="21"/>
        </w:rPr>
      </w:pPr>
      <w:r>
        <w:rPr>
          <w:rFonts w:hint="eastAsia" w:ascii="宋体" w:hAnsi="宋体" w:cs="宋体"/>
          <w:szCs w:val="21"/>
        </w:rPr>
        <w:t>（4）为本标段的代建人；</w:t>
      </w:r>
    </w:p>
    <w:p w14:paraId="030E3A00">
      <w:pPr>
        <w:spacing w:line="360" w:lineRule="auto"/>
        <w:ind w:firstLine="420" w:firstLineChars="200"/>
        <w:rPr>
          <w:rFonts w:ascii="宋体" w:hAnsi="宋体" w:cs="宋体"/>
          <w:szCs w:val="21"/>
        </w:rPr>
      </w:pPr>
      <w:r>
        <w:rPr>
          <w:rFonts w:hint="eastAsia" w:ascii="宋体" w:hAnsi="宋体" w:cs="宋体"/>
          <w:szCs w:val="21"/>
        </w:rPr>
        <w:t>（5）为本标段提供比选代理服务的；</w:t>
      </w:r>
    </w:p>
    <w:p w14:paraId="11A3CA2F">
      <w:pPr>
        <w:spacing w:line="360" w:lineRule="auto"/>
        <w:ind w:firstLine="420" w:firstLineChars="200"/>
        <w:rPr>
          <w:rFonts w:ascii="宋体" w:hAnsi="宋体" w:cs="宋体"/>
          <w:szCs w:val="21"/>
        </w:rPr>
      </w:pPr>
      <w:r>
        <w:rPr>
          <w:rFonts w:hint="eastAsia" w:ascii="宋体" w:hAnsi="宋体" w:cs="宋体"/>
          <w:szCs w:val="21"/>
        </w:rPr>
        <w:t>（6）与本标段的监理人或代建人或比选代理机构同为一个法定代表人的；</w:t>
      </w:r>
    </w:p>
    <w:p w14:paraId="7AC1ACD3">
      <w:pPr>
        <w:spacing w:line="360" w:lineRule="auto"/>
        <w:ind w:firstLine="420" w:firstLineChars="200"/>
        <w:rPr>
          <w:rFonts w:ascii="宋体" w:hAnsi="宋体" w:cs="宋体"/>
          <w:szCs w:val="21"/>
        </w:rPr>
      </w:pPr>
      <w:r>
        <w:rPr>
          <w:rFonts w:hint="eastAsia" w:ascii="宋体" w:hAnsi="宋体" w:cs="宋体"/>
          <w:szCs w:val="21"/>
        </w:rPr>
        <w:t>（7）与本标段的监理人或代建人或比选代理机构相互控股或参股的；</w:t>
      </w:r>
    </w:p>
    <w:p w14:paraId="625EC77B">
      <w:pPr>
        <w:spacing w:line="360" w:lineRule="auto"/>
        <w:ind w:firstLine="420" w:firstLineChars="200"/>
        <w:rPr>
          <w:rFonts w:ascii="宋体" w:hAnsi="宋体" w:cs="宋体"/>
          <w:szCs w:val="21"/>
        </w:rPr>
      </w:pPr>
      <w:r>
        <w:rPr>
          <w:rFonts w:hint="eastAsia" w:ascii="宋体" w:hAnsi="宋体" w:cs="宋体"/>
          <w:szCs w:val="21"/>
        </w:rPr>
        <w:t>（8）与本标段的监理人或代建人或比选代理机构相互任职或工作的；</w:t>
      </w:r>
    </w:p>
    <w:p w14:paraId="4BD4E483">
      <w:pPr>
        <w:spacing w:line="360" w:lineRule="auto"/>
        <w:ind w:firstLine="420" w:firstLineChars="200"/>
        <w:rPr>
          <w:rFonts w:ascii="宋体" w:hAnsi="宋体" w:cs="宋体"/>
          <w:szCs w:val="21"/>
        </w:rPr>
      </w:pPr>
      <w:r>
        <w:rPr>
          <w:rFonts w:hint="eastAsia" w:ascii="宋体" w:hAnsi="宋体" w:cs="宋体"/>
          <w:szCs w:val="21"/>
        </w:rPr>
        <w:t>（9）被责令停业的；</w:t>
      </w:r>
    </w:p>
    <w:p w14:paraId="3A54D783">
      <w:pPr>
        <w:spacing w:line="360" w:lineRule="auto"/>
        <w:ind w:firstLine="420" w:firstLineChars="200"/>
        <w:rPr>
          <w:rFonts w:ascii="宋体" w:hAnsi="宋体" w:cs="宋体"/>
          <w:szCs w:val="21"/>
        </w:rPr>
      </w:pPr>
      <w:r>
        <w:rPr>
          <w:rFonts w:hint="eastAsia" w:ascii="宋体" w:hAnsi="宋体" w:cs="宋体"/>
          <w:szCs w:val="21"/>
        </w:rPr>
        <w:t>（10）被国家、重庆市（含市或任意区县）有关行政部门处以暂停投标资格行政处罚，且在处罚期限内的；</w:t>
      </w:r>
    </w:p>
    <w:p w14:paraId="364AB194">
      <w:pPr>
        <w:spacing w:line="360" w:lineRule="auto"/>
        <w:ind w:firstLine="420" w:firstLineChars="200"/>
        <w:rPr>
          <w:rFonts w:ascii="宋体" w:hAnsi="宋体" w:cs="宋体"/>
          <w:szCs w:val="21"/>
        </w:rPr>
      </w:pPr>
      <w:r>
        <w:rPr>
          <w:rFonts w:hint="eastAsia" w:ascii="宋体" w:hAnsi="宋体" w:cs="宋体"/>
          <w:szCs w:val="21"/>
        </w:rPr>
        <w:t>（11）财产被接管或冻结的；</w:t>
      </w:r>
    </w:p>
    <w:p w14:paraId="10624866">
      <w:pPr>
        <w:spacing w:line="360" w:lineRule="auto"/>
        <w:ind w:firstLine="420" w:firstLineChars="200"/>
        <w:rPr>
          <w:rFonts w:ascii="宋体" w:hAnsi="宋体" w:cs="宋体"/>
          <w:szCs w:val="21"/>
        </w:rPr>
      </w:pPr>
      <w:r>
        <w:rPr>
          <w:rFonts w:hint="eastAsia" w:ascii="宋体" w:hAnsi="宋体" w:cs="宋体"/>
          <w:szCs w:val="21"/>
        </w:rPr>
        <w:t>（12）单位负责人为同一人或者存在控股、管理关系的不同单位，不得在同一标段中同时投标。</w:t>
      </w:r>
    </w:p>
    <w:p w14:paraId="28EC499E">
      <w:pPr>
        <w:pStyle w:val="5"/>
        <w:spacing w:before="0" w:after="0" w:line="360" w:lineRule="auto"/>
        <w:rPr>
          <w:rFonts w:ascii="宋体" w:hAnsi="宋体" w:cs="宋体"/>
          <w:sz w:val="21"/>
          <w:szCs w:val="21"/>
        </w:rPr>
      </w:pPr>
      <w:bookmarkStart w:id="137" w:name="_Toc4874"/>
      <w:bookmarkStart w:id="138" w:name="_Toc293756841"/>
      <w:bookmarkStart w:id="139" w:name="_Toc216768160"/>
      <w:r>
        <w:rPr>
          <w:rFonts w:hint="eastAsia" w:ascii="宋体" w:hAnsi="宋体" w:cs="宋体"/>
          <w:sz w:val="21"/>
          <w:szCs w:val="21"/>
        </w:rPr>
        <w:t>1.5 费用承担</w:t>
      </w:r>
      <w:bookmarkEnd w:id="137"/>
      <w:bookmarkEnd w:id="138"/>
      <w:bookmarkEnd w:id="139"/>
    </w:p>
    <w:p w14:paraId="00696201">
      <w:pPr>
        <w:spacing w:line="360" w:lineRule="auto"/>
        <w:ind w:firstLine="420" w:firstLineChars="200"/>
        <w:rPr>
          <w:rFonts w:ascii="宋体" w:hAnsi="宋体" w:cs="宋体"/>
          <w:szCs w:val="21"/>
        </w:rPr>
      </w:pPr>
      <w:r>
        <w:rPr>
          <w:rFonts w:hint="eastAsia" w:ascii="宋体" w:hAnsi="宋体" w:cs="宋体"/>
          <w:szCs w:val="21"/>
        </w:rPr>
        <w:t>投标人准备和参加比选活动发生的费用自理。</w:t>
      </w:r>
    </w:p>
    <w:p w14:paraId="20713C74">
      <w:pPr>
        <w:pStyle w:val="5"/>
        <w:spacing w:before="0" w:after="0" w:line="360" w:lineRule="auto"/>
        <w:rPr>
          <w:rFonts w:ascii="宋体" w:hAnsi="宋体" w:cs="宋体"/>
          <w:sz w:val="21"/>
          <w:szCs w:val="21"/>
        </w:rPr>
      </w:pPr>
      <w:bookmarkStart w:id="140" w:name="_Toc293756842"/>
      <w:bookmarkStart w:id="141" w:name="_Toc11009"/>
      <w:bookmarkStart w:id="142" w:name="_Toc216768161"/>
      <w:r>
        <w:rPr>
          <w:rFonts w:hint="eastAsia" w:ascii="宋体" w:hAnsi="宋体" w:cs="宋体"/>
          <w:sz w:val="21"/>
          <w:szCs w:val="21"/>
        </w:rPr>
        <w:t>1.6 保密</w:t>
      </w:r>
      <w:bookmarkEnd w:id="140"/>
      <w:bookmarkEnd w:id="141"/>
      <w:bookmarkEnd w:id="142"/>
    </w:p>
    <w:p w14:paraId="44C9ABCC">
      <w:pPr>
        <w:spacing w:line="360" w:lineRule="auto"/>
        <w:ind w:firstLine="420" w:firstLineChars="200"/>
        <w:rPr>
          <w:rFonts w:ascii="宋体" w:hAnsi="宋体" w:cs="宋体"/>
          <w:szCs w:val="21"/>
        </w:rPr>
      </w:pPr>
      <w:r>
        <w:rPr>
          <w:rFonts w:hint="eastAsia" w:ascii="宋体" w:hAnsi="宋体" w:cs="宋体"/>
          <w:szCs w:val="21"/>
        </w:rPr>
        <w:t>参与比选活动的各方应对比选文件和比选文件中的商业和技术等秘密保密，违者应对由此造成的后果承担法律责任。</w:t>
      </w:r>
    </w:p>
    <w:p w14:paraId="1FA60A1E">
      <w:pPr>
        <w:pStyle w:val="5"/>
        <w:spacing w:before="0" w:after="0" w:line="360" w:lineRule="auto"/>
        <w:rPr>
          <w:rFonts w:ascii="宋体" w:hAnsi="宋体" w:cs="宋体"/>
          <w:sz w:val="21"/>
          <w:szCs w:val="21"/>
        </w:rPr>
      </w:pPr>
      <w:bookmarkStart w:id="143" w:name="_Toc18963"/>
      <w:bookmarkStart w:id="144" w:name="_Toc216768162"/>
      <w:bookmarkStart w:id="145" w:name="_Toc293756843"/>
      <w:r>
        <w:rPr>
          <w:rFonts w:hint="eastAsia" w:ascii="宋体" w:hAnsi="宋体" w:cs="宋体"/>
          <w:sz w:val="21"/>
          <w:szCs w:val="21"/>
        </w:rPr>
        <w:t>1.7 语言文字</w:t>
      </w:r>
      <w:bookmarkEnd w:id="143"/>
      <w:bookmarkEnd w:id="144"/>
      <w:bookmarkEnd w:id="145"/>
    </w:p>
    <w:p w14:paraId="3A950092">
      <w:pPr>
        <w:spacing w:line="360" w:lineRule="auto"/>
        <w:ind w:firstLine="420" w:firstLineChars="200"/>
        <w:rPr>
          <w:rFonts w:ascii="宋体" w:hAnsi="宋体" w:cs="宋体"/>
          <w:szCs w:val="21"/>
        </w:rPr>
      </w:pPr>
      <w:r>
        <w:rPr>
          <w:rFonts w:hint="eastAsia" w:ascii="宋体" w:hAnsi="宋体" w:cs="宋体"/>
          <w:szCs w:val="21"/>
        </w:rPr>
        <w:t>除专用术语外，与比选有关的语言均使用中文。必要时专用术语应附有中文注释。</w:t>
      </w:r>
    </w:p>
    <w:p w14:paraId="4A6AF858">
      <w:pPr>
        <w:pStyle w:val="5"/>
        <w:spacing w:before="0" w:after="0" w:line="360" w:lineRule="auto"/>
        <w:rPr>
          <w:rFonts w:ascii="宋体" w:hAnsi="宋体" w:cs="宋体"/>
          <w:sz w:val="21"/>
          <w:szCs w:val="21"/>
        </w:rPr>
      </w:pPr>
      <w:bookmarkStart w:id="146" w:name="_Toc104"/>
      <w:bookmarkStart w:id="147" w:name="_Toc216768163"/>
      <w:bookmarkStart w:id="148" w:name="_Toc293756844"/>
      <w:r>
        <w:rPr>
          <w:rFonts w:hint="eastAsia" w:ascii="宋体" w:hAnsi="宋体" w:cs="宋体"/>
          <w:sz w:val="21"/>
          <w:szCs w:val="21"/>
        </w:rPr>
        <w:t>1.8 计量单位</w:t>
      </w:r>
      <w:bookmarkEnd w:id="146"/>
      <w:bookmarkEnd w:id="147"/>
      <w:bookmarkEnd w:id="148"/>
    </w:p>
    <w:p w14:paraId="743C31A6">
      <w:pPr>
        <w:spacing w:line="360" w:lineRule="auto"/>
        <w:ind w:firstLine="420" w:firstLineChars="200"/>
        <w:rPr>
          <w:rFonts w:ascii="宋体" w:hAnsi="宋体" w:cs="宋体"/>
          <w:szCs w:val="21"/>
        </w:rPr>
      </w:pPr>
      <w:r>
        <w:rPr>
          <w:rFonts w:hint="eastAsia" w:ascii="宋体" w:hAnsi="宋体" w:cs="宋体"/>
          <w:szCs w:val="21"/>
        </w:rPr>
        <w:t>所有计量均采用中华人民共和国法定计量单位。</w:t>
      </w:r>
    </w:p>
    <w:p w14:paraId="0A8CD4BE">
      <w:pPr>
        <w:pStyle w:val="5"/>
        <w:spacing w:before="0" w:after="0" w:line="360" w:lineRule="auto"/>
        <w:rPr>
          <w:rFonts w:ascii="宋体" w:hAnsi="宋体" w:cs="宋体"/>
          <w:sz w:val="21"/>
          <w:szCs w:val="21"/>
        </w:rPr>
      </w:pPr>
      <w:bookmarkStart w:id="149" w:name="_Toc2427"/>
      <w:bookmarkStart w:id="150" w:name="_Toc293756845"/>
      <w:bookmarkStart w:id="151" w:name="_Toc216768164"/>
      <w:r>
        <w:rPr>
          <w:rFonts w:hint="eastAsia" w:ascii="宋体" w:hAnsi="宋体" w:cs="宋体"/>
          <w:sz w:val="21"/>
          <w:szCs w:val="21"/>
        </w:rPr>
        <w:t>1.9 踏勘现场</w:t>
      </w:r>
      <w:bookmarkEnd w:id="149"/>
      <w:bookmarkEnd w:id="150"/>
      <w:bookmarkEnd w:id="151"/>
    </w:p>
    <w:p w14:paraId="0F4971AF">
      <w:pPr>
        <w:spacing w:line="360" w:lineRule="auto"/>
        <w:ind w:firstLine="420" w:firstLineChars="200"/>
        <w:rPr>
          <w:rFonts w:ascii="宋体" w:hAnsi="宋体" w:cs="宋体"/>
          <w:szCs w:val="21"/>
        </w:rPr>
      </w:pPr>
      <w:r>
        <w:rPr>
          <w:rFonts w:hint="eastAsia" w:ascii="宋体" w:hAnsi="宋体" w:cs="宋体"/>
          <w:szCs w:val="21"/>
        </w:rPr>
        <w:t>1.9.1  投标人须知前附表规定组织踏勘现场的，比选人按投标人须知前附表规定的时间、 地点组织投标人踏勘项目现场。</w:t>
      </w:r>
    </w:p>
    <w:p w14:paraId="53448D95">
      <w:pPr>
        <w:spacing w:line="360" w:lineRule="auto"/>
        <w:ind w:firstLine="420" w:firstLineChars="200"/>
        <w:rPr>
          <w:rFonts w:ascii="宋体" w:hAnsi="宋体" w:cs="宋体"/>
          <w:szCs w:val="21"/>
        </w:rPr>
      </w:pPr>
      <w:r>
        <w:rPr>
          <w:rFonts w:hint="eastAsia" w:ascii="宋体" w:hAnsi="宋体" w:cs="宋体"/>
          <w:szCs w:val="21"/>
        </w:rPr>
        <w:t>1.9.2  投标人踏勘现场发生的费用自理。</w:t>
      </w:r>
    </w:p>
    <w:p w14:paraId="37133242">
      <w:pPr>
        <w:spacing w:line="360" w:lineRule="auto"/>
        <w:ind w:firstLine="420" w:firstLineChars="200"/>
        <w:rPr>
          <w:rFonts w:ascii="宋体" w:hAnsi="宋体" w:cs="宋体"/>
          <w:szCs w:val="21"/>
        </w:rPr>
      </w:pPr>
      <w:r>
        <w:rPr>
          <w:rFonts w:hint="eastAsia" w:ascii="宋体" w:hAnsi="宋体" w:cs="宋体"/>
          <w:szCs w:val="21"/>
        </w:rPr>
        <w:t>1.9.3  除比选人的原因外，投标人自行负责在踏勘现场中所发生的人员伤亡和财产损失。</w:t>
      </w:r>
    </w:p>
    <w:p w14:paraId="3BE601CA">
      <w:pPr>
        <w:spacing w:line="360" w:lineRule="auto"/>
        <w:ind w:firstLine="420" w:firstLineChars="200"/>
        <w:rPr>
          <w:rFonts w:ascii="宋体" w:hAnsi="宋体" w:cs="宋体"/>
          <w:szCs w:val="21"/>
        </w:rPr>
      </w:pPr>
      <w:r>
        <w:rPr>
          <w:rFonts w:hint="eastAsia" w:ascii="宋体" w:hAnsi="宋体" w:cs="宋体"/>
          <w:szCs w:val="21"/>
        </w:rPr>
        <w:t>1.9.4  比选人在踏勘现场中介绍的工程场地和相关的周边环境情况，供投标人在编制投标文件时参考，比选人不对投标人据此做出的判断和决策负责。</w:t>
      </w:r>
    </w:p>
    <w:p w14:paraId="2F9D9B4B">
      <w:pPr>
        <w:pStyle w:val="5"/>
        <w:spacing w:before="0" w:after="0" w:line="360" w:lineRule="auto"/>
        <w:rPr>
          <w:rFonts w:ascii="宋体" w:hAnsi="宋体" w:cs="宋体"/>
          <w:sz w:val="21"/>
          <w:szCs w:val="21"/>
        </w:rPr>
      </w:pPr>
      <w:bookmarkStart w:id="152" w:name="_Toc293756846"/>
      <w:bookmarkStart w:id="153" w:name="_Toc216768165"/>
      <w:bookmarkStart w:id="154" w:name="_Toc30203"/>
      <w:r>
        <w:rPr>
          <w:rFonts w:hint="eastAsia" w:ascii="宋体" w:hAnsi="宋体" w:cs="宋体"/>
          <w:sz w:val="21"/>
          <w:szCs w:val="21"/>
        </w:rPr>
        <w:t>1.10 比选预备会</w:t>
      </w:r>
      <w:bookmarkEnd w:id="152"/>
      <w:bookmarkEnd w:id="153"/>
      <w:bookmarkEnd w:id="154"/>
    </w:p>
    <w:p w14:paraId="22FDD968">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1.10.1  投标人须知前附表规定召开投标预备会的，比选人按投标人须知前附表规定的时间和地点召开投标预备会，澄清投标人提出的问题。</w:t>
      </w:r>
    </w:p>
    <w:p w14:paraId="7C175796">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1.10.2  投标人应在投标人须知前附表</w:t>
      </w:r>
      <w:r>
        <w:rPr>
          <w:rFonts w:hint="eastAsia" w:ascii="宋体" w:hAnsi="宋体" w:cs="宋体"/>
          <w:kern w:val="0"/>
          <w:szCs w:val="21"/>
        </w:rPr>
        <w:t>2.2.4</w:t>
      </w:r>
      <w:r>
        <w:rPr>
          <w:rFonts w:hint="eastAsia" w:ascii="宋体" w:hAnsi="宋体" w:cs="宋体"/>
          <w:snapToGrid w:val="0"/>
          <w:kern w:val="0"/>
          <w:szCs w:val="21"/>
        </w:rPr>
        <w:t>规定的时间前，以书面形式将提出的问题送达比选人，以便比选人澄清。</w:t>
      </w:r>
    </w:p>
    <w:p w14:paraId="6E703058">
      <w:pPr>
        <w:spacing w:line="360" w:lineRule="auto"/>
        <w:ind w:firstLine="420" w:firstLineChars="200"/>
        <w:rPr>
          <w:rFonts w:ascii="宋体" w:hAnsi="宋体" w:cs="宋体"/>
          <w:szCs w:val="21"/>
        </w:rPr>
      </w:pPr>
      <w:r>
        <w:rPr>
          <w:rFonts w:hint="eastAsia" w:ascii="宋体" w:hAnsi="宋体" w:cs="宋体"/>
          <w:snapToGrid w:val="0"/>
          <w:kern w:val="0"/>
          <w:szCs w:val="21"/>
        </w:rPr>
        <w:t>1.10.3  比选人在投标人须知前附表规定的时间内，将对投标人所提</w:t>
      </w:r>
      <w:r>
        <w:rPr>
          <w:rFonts w:hint="eastAsia" w:ascii="宋体" w:hAnsi="宋体" w:cs="宋体"/>
          <w:snapToGrid w:val="0"/>
          <w:kern w:val="0"/>
          <w:position w:val="-2"/>
          <w:szCs w:val="21"/>
        </w:rPr>
        <w:t>的</w:t>
      </w:r>
      <w:r>
        <w:rPr>
          <w:rFonts w:hint="eastAsia" w:ascii="宋体" w:hAnsi="宋体" w:cs="宋体"/>
          <w:snapToGrid w:val="0"/>
          <w:kern w:val="0"/>
          <w:szCs w:val="21"/>
        </w:rPr>
        <w:t>问题</w:t>
      </w:r>
      <w:r>
        <w:rPr>
          <w:rFonts w:hint="eastAsia" w:ascii="宋体" w:hAnsi="宋体" w:cs="宋体"/>
          <w:snapToGrid w:val="0"/>
          <w:kern w:val="0"/>
          <w:position w:val="-2"/>
          <w:szCs w:val="21"/>
        </w:rPr>
        <w:t>进行澄清。该澄清内容为比选文件的组成部分。</w:t>
      </w:r>
    </w:p>
    <w:p w14:paraId="1E380762">
      <w:pPr>
        <w:pStyle w:val="5"/>
        <w:spacing w:before="0" w:after="0" w:line="360" w:lineRule="auto"/>
        <w:rPr>
          <w:rFonts w:ascii="宋体" w:hAnsi="宋体" w:cs="宋体"/>
          <w:sz w:val="21"/>
          <w:szCs w:val="21"/>
        </w:rPr>
      </w:pPr>
      <w:bookmarkStart w:id="155" w:name="_Toc293756847"/>
      <w:bookmarkStart w:id="156" w:name="_Toc13696"/>
      <w:bookmarkStart w:id="157" w:name="_Toc216768166"/>
      <w:r>
        <w:rPr>
          <w:rFonts w:hint="eastAsia" w:ascii="宋体" w:hAnsi="宋体" w:cs="宋体"/>
          <w:sz w:val="21"/>
          <w:szCs w:val="21"/>
        </w:rPr>
        <w:t>1.11 分包</w:t>
      </w:r>
      <w:bookmarkEnd w:id="155"/>
      <w:bookmarkEnd w:id="156"/>
      <w:bookmarkEnd w:id="157"/>
    </w:p>
    <w:p w14:paraId="47D0055E">
      <w:pPr>
        <w:spacing w:line="360" w:lineRule="auto"/>
        <w:ind w:firstLine="420" w:firstLineChars="200"/>
        <w:rPr>
          <w:rFonts w:ascii="宋体" w:hAnsi="宋体" w:cs="宋体"/>
          <w:szCs w:val="21"/>
        </w:rPr>
      </w:pPr>
      <w:r>
        <w:rPr>
          <w:rFonts w:hint="eastAsia" w:ascii="宋体" w:hAnsi="宋体" w:cs="宋体"/>
          <w:szCs w:val="21"/>
        </w:rPr>
        <w:t>投标人拟在中标后将中标项目的部分非主体、非关键性工作进行分包的，应符合投标人须知前附表规定的分包内容、分包金额和接受分包的第三人资质要求等限制性条件。</w:t>
      </w:r>
    </w:p>
    <w:p w14:paraId="5BC23AE5">
      <w:pPr>
        <w:spacing w:line="360" w:lineRule="auto"/>
        <w:rPr>
          <w:rFonts w:ascii="宋体" w:hAnsi="宋体" w:cs="宋体"/>
          <w:b/>
          <w:bCs/>
          <w:szCs w:val="21"/>
        </w:rPr>
      </w:pPr>
      <w:r>
        <w:rPr>
          <w:rFonts w:hint="eastAsia" w:ascii="宋体" w:hAnsi="宋体" w:cs="宋体"/>
          <w:b/>
          <w:bCs/>
          <w:szCs w:val="21"/>
        </w:rPr>
        <w:t>1.12 偏离</w:t>
      </w:r>
    </w:p>
    <w:p w14:paraId="25D89BA9">
      <w:pPr>
        <w:spacing w:line="360" w:lineRule="auto"/>
        <w:ind w:firstLine="420" w:firstLineChars="200"/>
        <w:rPr>
          <w:rFonts w:ascii="宋体" w:hAnsi="宋体" w:cs="宋体"/>
          <w:szCs w:val="21"/>
        </w:rPr>
      </w:pPr>
      <w:r>
        <w:rPr>
          <w:rFonts w:hint="eastAsia" w:ascii="宋体" w:hAnsi="宋体" w:cs="宋体"/>
          <w:szCs w:val="21"/>
        </w:rPr>
        <w:t>投标人须知前附表允许投标文件偏离比选文件某些要求的，偏离应当符合比选文件规定的偏离范围和幅度。</w:t>
      </w:r>
    </w:p>
    <w:p w14:paraId="4D8566D0">
      <w:pPr>
        <w:pStyle w:val="5"/>
        <w:spacing w:before="0" w:after="0" w:line="360" w:lineRule="auto"/>
        <w:rPr>
          <w:rFonts w:ascii="宋体" w:hAnsi="宋体" w:cs="宋体"/>
          <w:sz w:val="21"/>
          <w:szCs w:val="21"/>
        </w:rPr>
      </w:pPr>
      <w:bookmarkStart w:id="158" w:name="_Toc216768167"/>
      <w:bookmarkStart w:id="159" w:name="_Toc21334"/>
      <w:r>
        <w:rPr>
          <w:rFonts w:hint="eastAsia" w:ascii="宋体" w:hAnsi="宋体" w:cs="宋体"/>
          <w:sz w:val="21"/>
          <w:szCs w:val="21"/>
        </w:rPr>
        <w:t>2.比选文件</w:t>
      </w:r>
      <w:bookmarkEnd w:id="158"/>
      <w:bookmarkEnd w:id="159"/>
    </w:p>
    <w:p w14:paraId="0E90EDC7">
      <w:pPr>
        <w:pStyle w:val="5"/>
        <w:spacing w:before="0" w:after="0" w:line="360" w:lineRule="auto"/>
        <w:rPr>
          <w:rFonts w:ascii="宋体" w:hAnsi="宋体" w:cs="宋体"/>
          <w:sz w:val="21"/>
          <w:szCs w:val="21"/>
        </w:rPr>
      </w:pPr>
      <w:bookmarkStart w:id="160" w:name="_Toc293756848"/>
      <w:bookmarkStart w:id="161" w:name="_Toc216768168"/>
      <w:bookmarkStart w:id="162" w:name="_Toc25177"/>
      <w:r>
        <w:rPr>
          <w:rFonts w:hint="eastAsia" w:ascii="宋体" w:hAnsi="宋体" w:cs="宋体"/>
          <w:sz w:val="21"/>
          <w:szCs w:val="21"/>
        </w:rPr>
        <w:t>2.1比选文件的组成</w:t>
      </w:r>
      <w:bookmarkEnd w:id="160"/>
      <w:bookmarkEnd w:id="161"/>
      <w:bookmarkEnd w:id="162"/>
    </w:p>
    <w:p w14:paraId="2818E991">
      <w:pPr>
        <w:spacing w:line="360" w:lineRule="auto"/>
        <w:ind w:firstLine="420" w:firstLineChars="200"/>
        <w:rPr>
          <w:rFonts w:ascii="宋体" w:hAnsi="宋体" w:cs="宋体"/>
          <w:szCs w:val="21"/>
        </w:rPr>
      </w:pPr>
      <w:r>
        <w:rPr>
          <w:rFonts w:hint="eastAsia" w:ascii="宋体" w:hAnsi="宋体" w:cs="宋体"/>
          <w:szCs w:val="21"/>
        </w:rPr>
        <w:t>本比选文件包括：</w:t>
      </w:r>
    </w:p>
    <w:p w14:paraId="66575B8F">
      <w:pPr>
        <w:spacing w:line="360" w:lineRule="auto"/>
        <w:ind w:firstLine="420" w:firstLineChars="200"/>
        <w:rPr>
          <w:rFonts w:ascii="宋体" w:hAnsi="宋体" w:cs="宋体"/>
          <w:szCs w:val="21"/>
        </w:rPr>
      </w:pPr>
      <w:r>
        <w:rPr>
          <w:rFonts w:hint="eastAsia" w:ascii="宋体" w:hAnsi="宋体" w:cs="宋体"/>
          <w:szCs w:val="21"/>
        </w:rPr>
        <w:t>（1）比选公告；</w:t>
      </w:r>
    </w:p>
    <w:p w14:paraId="55ABF1C8">
      <w:pPr>
        <w:spacing w:line="360" w:lineRule="auto"/>
        <w:ind w:firstLine="420" w:firstLineChars="200"/>
        <w:rPr>
          <w:rFonts w:ascii="宋体" w:hAnsi="宋体" w:cs="宋体"/>
          <w:szCs w:val="21"/>
        </w:rPr>
      </w:pPr>
      <w:r>
        <w:rPr>
          <w:rFonts w:hint="eastAsia" w:ascii="宋体" w:hAnsi="宋体" w:cs="宋体"/>
          <w:szCs w:val="21"/>
        </w:rPr>
        <w:t>（2）投标人须知；</w:t>
      </w:r>
    </w:p>
    <w:p w14:paraId="3892FBC4">
      <w:pPr>
        <w:spacing w:line="360" w:lineRule="auto"/>
        <w:ind w:firstLine="420" w:firstLineChars="200"/>
        <w:rPr>
          <w:rFonts w:ascii="宋体" w:hAnsi="宋体" w:cs="宋体"/>
          <w:szCs w:val="21"/>
        </w:rPr>
      </w:pPr>
      <w:r>
        <w:rPr>
          <w:rFonts w:hint="eastAsia" w:ascii="宋体" w:hAnsi="宋体" w:cs="宋体"/>
          <w:szCs w:val="21"/>
        </w:rPr>
        <w:t>（3）评标办法；</w:t>
      </w:r>
    </w:p>
    <w:p w14:paraId="71B6B4C3">
      <w:pPr>
        <w:spacing w:line="360" w:lineRule="auto"/>
        <w:ind w:firstLine="420" w:firstLineChars="200"/>
        <w:rPr>
          <w:rFonts w:ascii="宋体" w:hAnsi="宋体" w:cs="宋体"/>
          <w:szCs w:val="21"/>
        </w:rPr>
      </w:pPr>
      <w:r>
        <w:rPr>
          <w:rFonts w:hint="eastAsia" w:ascii="宋体" w:hAnsi="宋体" w:cs="宋体"/>
          <w:szCs w:val="21"/>
        </w:rPr>
        <w:t>（4）合同条款及格式；</w:t>
      </w:r>
    </w:p>
    <w:p w14:paraId="4F12178C">
      <w:pPr>
        <w:spacing w:line="360" w:lineRule="auto"/>
        <w:ind w:firstLine="420" w:firstLineChars="200"/>
        <w:rPr>
          <w:rFonts w:ascii="宋体" w:hAnsi="宋体" w:cs="宋体"/>
          <w:szCs w:val="21"/>
        </w:rPr>
      </w:pPr>
      <w:r>
        <w:rPr>
          <w:rFonts w:hint="eastAsia" w:ascii="宋体" w:hAnsi="宋体" w:cs="宋体"/>
          <w:szCs w:val="21"/>
        </w:rPr>
        <w:t>（5）工程量清单；</w:t>
      </w:r>
    </w:p>
    <w:p w14:paraId="438FFE44">
      <w:pPr>
        <w:spacing w:line="360" w:lineRule="auto"/>
        <w:ind w:firstLine="420" w:firstLineChars="200"/>
        <w:rPr>
          <w:rFonts w:ascii="宋体" w:hAnsi="宋体" w:cs="宋体"/>
          <w:szCs w:val="21"/>
        </w:rPr>
      </w:pPr>
      <w:r>
        <w:rPr>
          <w:rFonts w:hint="eastAsia" w:ascii="宋体" w:hAnsi="宋体" w:cs="宋体"/>
          <w:szCs w:val="21"/>
        </w:rPr>
        <w:t>（6）图纸；</w:t>
      </w:r>
    </w:p>
    <w:p w14:paraId="72DCD876">
      <w:pPr>
        <w:spacing w:line="360" w:lineRule="auto"/>
        <w:ind w:firstLine="420" w:firstLineChars="200"/>
        <w:rPr>
          <w:rFonts w:ascii="宋体" w:hAnsi="宋体" w:cs="宋体"/>
          <w:szCs w:val="21"/>
        </w:rPr>
      </w:pPr>
      <w:r>
        <w:rPr>
          <w:rFonts w:hint="eastAsia" w:ascii="宋体" w:hAnsi="宋体" w:cs="宋体"/>
          <w:szCs w:val="21"/>
        </w:rPr>
        <w:t>（7）技术标准和要求；</w:t>
      </w:r>
    </w:p>
    <w:p w14:paraId="210A48E6">
      <w:pPr>
        <w:spacing w:line="360" w:lineRule="auto"/>
        <w:ind w:firstLine="420" w:firstLineChars="200"/>
        <w:rPr>
          <w:rFonts w:ascii="宋体" w:hAnsi="宋体" w:cs="宋体"/>
          <w:szCs w:val="21"/>
        </w:rPr>
      </w:pPr>
      <w:r>
        <w:rPr>
          <w:rFonts w:hint="eastAsia" w:ascii="宋体" w:hAnsi="宋体" w:cs="宋体"/>
          <w:szCs w:val="21"/>
        </w:rPr>
        <w:t>（8）投标文件格式；</w:t>
      </w:r>
    </w:p>
    <w:p w14:paraId="47A57F7F">
      <w:pPr>
        <w:spacing w:line="360" w:lineRule="auto"/>
        <w:ind w:firstLine="420" w:firstLineChars="200"/>
        <w:rPr>
          <w:rFonts w:ascii="宋体" w:hAnsi="宋体" w:cs="宋体"/>
          <w:szCs w:val="21"/>
        </w:rPr>
      </w:pPr>
      <w:r>
        <w:rPr>
          <w:rFonts w:hint="eastAsia" w:ascii="宋体" w:hAnsi="宋体" w:cs="宋体"/>
          <w:szCs w:val="21"/>
        </w:rPr>
        <w:t>（9）投标人须知前附表规定的其他材料。</w:t>
      </w:r>
    </w:p>
    <w:p w14:paraId="751AF34A">
      <w:pPr>
        <w:spacing w:line="360" w:lineRule="auto"/>
        <w:ind w:firstLine="420" w:firstLineChars="200"/>
        <w:rPr>
          <w:rFonts w:ascii="宋体" w:hAnsi="宋体" w:cs="宋体"/>
          <w:szCs w:val="21"/>
        </w:rPr>
      </w:pPr>
      <w:r>
        <w:rPr>
          <w:rFonts w:hint="eastAsia" w:ascii="宋体" w:hAnsi="宋体" w:cs="宋体"/>
          <w:szCs w:val="21"/>
        </w:rPr>
        <w:t>根据本章第1.10 款、第2.2 款和第2.3 款对比选文件所作的澄清、修改，构成比选文件的组成部分。</w:t>
      </w:r>
    </w:p>
    <w:p w14:paraId="47B2DFD1">
      <w:pPr>
        <w:pStyle w:val="5"/>
        <w:spacing w:before="0" w:after="0" w:line="360" w:lineRule="auto"/>
        <w:rPr>
          <w:rFonts w:ascii="宋体" w:hAnsi="宋体" w:cs="宋体"/>
          <w:sz w:val="21"/>
          <w:szCs w:val="21"/>
        </w:rPr>
      </w:pPr>
      <w:bookmarkStart w:id="163" w:name="_Toc17073"/>
      <w:bookmarkStart w:id="164" w:name="_Toc293756849"/>
      <w:bookmarkStart w:id="165" w:name="_Toc216768169"/>
      <w:r>
        <w:rPr>
          <w:rFonts w:hint="eastAsia" w:ascii="宋体" w:hAnsi="宋体" w:cs="宋体"/>
          <w:sz w:val="21"/>
          <w:szCs w:val="21"/>
        </w:rPr>
        <w:t>2.2比选文件的澄清</w:t>
      </w:r>
      <w:bookmarkEnd w:id="163"/>
      <w:bookmarkEnd w:id="164"/>
      <w:bookmarkEnd w:id="165"/>
    </w:p>
    <w:p w14:paraId="34E33BFC">
      <w:pPr>
        <w:spacing w:line="360" w:lineRule="auto"/>
        <w:ind w:firstLine="420" w:firstLineChars="200"/>
        <w:rPr>
          <w:rFonts w:ascii="宋体" w:hAnsi="宋体" w:cs="宋体"/>
          <w:szCs w:val="21"/>
        </w:rPr>
      </w:pPr>
      <w:r>
        <w:rPr>
          <w:rFonts w:hint="eastAsia" w:ascii="宋体" w:hAnsi="宋体" w:cs="宋体"/>
          <w:szCs w:val="21"/>
        </w:rPr>
        <w:t>2.2.1 投标人应仔细阅读和检查比选文件的全部内容。如发现缺页或附件不全，应及时向比选人提出，以便补齐。如有疑问，应在投标人须知前附表规定的时间前在重庆市公共资源交易网(www.cqggzy.com)提问，要求比选人对比选文件予以澄清。</w:t>
      </w:r>
    </w:p>
    <w:p w14:paraId="451BB487">
      <w:pPr>
        <w:spacing w:line="360" w:lineRule="auto"/>
        <w:ind w:firstLine="420" w:firstLineChars="200"/>
        <w:rPr>
          <w:rFonts w:ascii="宋体" w:hAnsi="宋体" w:cs="宋体"/>
          <w:szCs w:val="21"/>
        </w:rPr>
      </w:pPr>
      <w:r>
        <w:rPr>
          <w:rFonts w:hint="eastAsia" w:ascii="宋体" w:hAnsi="宋体" w:cs="宋体"/>
          <w:szCs w:val="21"/>
        </w:rPr>
        <w:t>2.2.2  比选文件的澄清将在投标人须知前附表规定的投标截止时间2天前在《行采家》https://www.gec123.com/发布，但不指明澄清问题的来源。如果澄清发出的时间距投标截止时间不足2天，相应延长投标截止时间。</w:t>
      </w:r>
    </w:p>
    <w:p w14:paraId="43F38264">
      <w:pPr>
        <w:spacing w:line="360" w:lineRule="auto"/>
        <w:ind w:firstLine="420" w:firstLineChars="200"/>
        <w:rPr>
          <w:rFonts w:ascii="宋体" w:hAnsi="宋体" w:cs="宋体"/>
          <w:szCs w:val="21"/>
        </w:rPr>
      </w:pPr>
      <w:r>
        <w:rPr>
          <w:rFonts w:hint="eastAsia" w:ascii="宋体" w:hAnsi="宋体" w:cs="宋体"/>
          <w:szCs w:val="21"/>
        </w:rPr>
        <w:t>2.2.3  比选人对比选文件的修改内容可能影响投标文件编制的，须在投标截止时间2日前发布，发布时间至投标截止时间不足2日的，须相应延后投标截止时间。</w:t>
      </w:r>
    </w:p>
    <w:p w14:paraId="404F1675">
      <w:pPr>
        <w:pStyle w:val="5"/>
        <w:spacing w:before="0" w:after="0" w:line="360" w:lineRule="auto"/>
        <w:rPr>
          <w:rFonts w:ascii="宋体" w:hAnsi="宋体" w:cs="宋体"/>
          <w:sz w:val="21"/>
          <w:szCs w:val="21"/>
        </w:rPr>
      </w:pPr>
      <w:bookmarkStart w:id="166" w:name="_Toc25781"/>
      <w:bookmarkStart w:id="167" w:name="_Toc293756850"/>
      <w:bookmarkStart w:id="168" w:name="_Toc216768170"/>
      <w:r>
        <w:rPr>
          <w:rFonts w:hint="eastAsia" w:ascii="宋体" w:hAnsi="宋体" w:cs="宋体"/>
          <w:sz w:val="21"/>
          <w:szCs w:val="21"/>
        </w:rPr>
        <w:t>2.3比选文件的修改</w:t>
      </w:r>
      <w:bookmarkEnd w:id="166"/>
      <w:bookmarkEnd w:id="167"/>
      <w:bookmarkEnd w:id="168"/>
    </w:p>
    <w:p w14:paraId="09871D24">
      <w:pPr>
        <w:spacing w:line="360" w:lineRule="auto"/>
        <w:ind w:firstLine="420" w:firstLineChars="200"/>
        <w:rPr>
          <w:rFonts w:ascii="宋体" w:hAnsi="宋体" w:cs="宋体"/>
          <w:szCs w:val="21"/>
        </w:rPr>
      </w:pPr>
      <w:r>
        <w:rPr>
          <w:rFonts w:hint="eastAsia" w:ascii="宋体" w:hAnsi="宋体" w:cs="宋体"/>
          <w:szCs w:val="21"/>
        </w:rPr>
        <w:t>按照本章2.2比选文件的澄清相关内容及方式执行。</w:t>
      </w:r>
    </w:p>
    <w:p w14:paraId="48F40B92">
      <w:pPr>
        <w:pStyle w:val="5"/>
        <w:spacing w:before="0" w:after="0" w:line="360" w:lineRule="auto"/>
        <w:rPr>
          <w:rFonts w:ascii="宋体" w:hAnsi="宋体" w:cs="宋体"/>
          <w:sz w:val="21"/>
          <w:szCs w:val="21"/>
        </w:rPr>
      </w:pPr>
      <w:bookmarkStart w:id="169" w:name="_Toc293756851"/>
      <w:bookmarkStart w:id="170" w:name="_Toc13298"/>
      <w:bookmarkStart w:id="171" w:name="_Toc216768171"/>
      <w:r>
        <w:rPr>
          <w:rFonts w:hint="eastAsia" w:ascii="宋体" w:hAnsi="宋体" w:cs="宋体"/>
          <w:sz w:val="21"/>
          <w:szCs w:val="21"/>
        </w:rPr>
        <w:t>3. 投标文件</w:t>
      </w:r>
      <w:bookmarkEnd w:id="169"/>
      <w:bookmarkEnd w:id="170"/>
      <w:bookmarkEnd w:id="171"/>
    </w:p>
    <w:p w14:paraId="5D476E02">
      <w:pPr>
        <w:pStyle w:val="5"/>
        <w:spacing w:before="0" w:after="0" w:line="360" w:lineRule="auto"/>
        <w:rPr>
          <w:rFonts w:ascii="宋体" w:hAnsi="宋体" w:cs="宋体"/>
          <w:sz w:val="21"/>
          <w:szCs w:val="21"/>
        </w:rPr>
      </w:pPr>
      <w:bookmarkStart w:id="172" w:name="_Toc27406"/>
      <w:bookmarkStart w:id="173" w:name="_Toc293756852"/>
      <w:bookmarkStart w:id="174" w:name="_Toc216768172"/>
      <w:r>
        <w:rPr>
          <w:rFonts w:hint="eastAsia" w:ascii="宋体" w:hAnsi="宋体" w:cs="宋体"/>
          <w:sz w:val="21"/>
          <w:szCs w:val="21"/>
        </w:rPr>
        <w:t>3.1 投标文件的组成</w:t>
      </w:r>
      <w:bookmarkEnd w:id="172"/>
      <w:bookmarkEnd w:id="173"/>
      <w:bookmarkEnd w:id="174"/>
    </w:p>
    <w:p w14:paraId="24805D23">
      <w:pPr>
        <w:spacing w:line="360" w:lineRule="auto"/>
        <w:ind w:firstLine="420" w:firstLineChars="200"/>
        <w:rPr>
          <w:rFonts w:ascii="宋体" w:hAnsi="宋体" w:cs="宋体"/>
          <w:szCs w:val="21"/>
        </w:rPr>
      </w:pPr>
      <w:r>
        <w:rPr>
          <w:rFonts w:hint="eastAsia" w:ascii="宋体" w:hAnsi="宋体" w:cs="宋体"/>
          <w:szCs w:val="21"/>
        </w:rPr>
        <w:t>3.1.1 投标文件应包括下列内容：</w:t>
      </w:r>
    </w:p>
    <w:p w14:paraId="0080B9FD">
      <w:pPr>
        <w:spacing w:line="360" w:lineRule="auto"/>
        <w:ind w:firstLine="420" w:firstLineChars="200"/>
        <w:rPr>
          <w:rFonts w:ascii="宋体" w:hAnsi="宋体" w:cs="宋体"/>
          <w:szCs w:val="21"/>
        </w:rPr>
      </w:pPr>
      <w:r>
        <w:rPr>
          <w:rFonts w:hint="eastAsia" w:ascii="宋体" w:hAnsi="宋体" w:cs="宋体"/>
          <w:szCs w:val="21"/>
        </w:rPr>
        <w:t>（1）投标函及投标函附录；</w:t>
      </w:r>
    </w:p>
    <w:p w14:paraId="298C2492">
      <w:pPr>
        <w:spacing w:line="360" w:lineRule="auto"/>
        <w:ind w:firstLine="420" w:firstLineChars="200"/>
        <w:rPr>
          <w:rFonts w:ascii="宋体" w:hAnsi="宋体" w:cs="宋体"/>
          <w:szCs w:val="21"/>
        </w:rPr>
      </w:pPr>
      <w:r>
        <w:rPr>
          <w:rFonts w:hint="eastAsia" w:ascii="宋体" w:hAnsi="宋体" w:cs="宋体"/>
          <w:szCs w:val="21"/>
        </w:rPr>
        <w:t>（2）法定代表人身份证明或附有法定代表人身份证明的授权委托书；</w:t>
      </w:r>
    </w:p>
    <w:p w14:paraId="3A7C79F0">
      <w:pPr>
        <w:spacing w:line="360" w:lineRule="auto"/>
        <w:ind w:firstLine="420" w:firstLineChars="200"/>
        <w:rPr>
          <w:rFonts w:ascii="宋体" w:hAnsi="宋体" w:cs="宋体"/>
          <w:szCs w:val="21"/>
        </w:rPr>
      </w:pPr>
      <w:r>
        <w:rPr>
          <w:rFonts w:hint="eastAsia" w:ascii="宋体" w:hAnsi="宋体" w:cs="宋体"/>
          <w:szCs w:val="21"/>
        </w:rPr>
        <w:t>（3）联合体协议书（如有）；</w:t>
      </w:r>
    </w:p>
    <w:p w14:paraId="616F9BD9">
      <w:pPr>
        <w:spacing w:line="360" w:lineRule="auto"/>
        <w:ind w:firstLine="420" w:firstLineChars="200"/>
        <w:rPr>
          <w:rFonts w:ascii="宋体" w:hAnsi="宋体" w:cs="宋体"/>
          <w:szCs w:val="21"/>
        </w:rPr>
      </w:pPr>
      <w:r>
        <w:rPr>
          <w:rFonts w:hint="eastAsia" w:ascii="宋体" w:hAnsi="宋体" w:cs="宋体"/>
          <w:szCs w:val="21"/>
        </w:rPr>
        <w:t>（4）已标价工程量清单；</w:t>
      </w:r>
    </w:p>
    <w:p w14:paraId="758E79E5">
      <w:pPr>
        <w:spacing w:line="360" w:lineRule="auto"/>
        <w:ind w:firstLine="420" w:firstLineChars="200"/>
        <w:rPr>
          <w:rFonts w:ascii="宋体" w:hAnsi="宋体" w:cs="宋体"/>
          <w:szCs w:val="21"/>
        </w:rPr>
      </w:pPr>
      <w:r>
        <w:rPr>
          <w:rFonts w:hint="eastAsia" w:ascii="宋体" w:hAnsi="宋体" w:cs="宋体"/>
          <w:szCs w:val="21"/>
        </w:rPr>
        <w:t>（5）技术方案；</w:t>
      </w:r>
    </w:p>
    <w:p w14:paraId="7A00C1D4">
      <w:pPr>
        <w:spacing w:line="360" w:lineRule="auto"/>
        <w:ind w:firstLine="420" w:firstLineChars="200"/>
        <w:rPr>
          <w:rFonts w:ascii="宋体" w:hAnsi="宋体" w:cs="宋体"/>
          <w:szCs w:val="21"/>
        </w:rPr>
      </w:pPr>
      <w:r>
        <w:rPr>
          <w:rFonts w:hint="eastAsia" w:ascii="宋体" w:hAnsi="宋体" w:cs="宋体"/>
          <w:szCs w:val="21"/>
        </w:rPr>
        <w:t>（6）项目管理机构；</w:t>
      </w:r>
    </w:p>
    <w:p w14:paraId="6150F04B">
      <w:pPr>
        <w:spacing w:line="360" w:lineRule="auto"/>
        <w:ind w:firstLine="420" w:firstLineChars="200"/>
        <w:rPr>
          <w:rFonts w:ascii="宋体" w:hAnsi="宋体" w:cs="宋体"/>
          <w:szCs w:val="21"/>
        </w:rPr>
      </w:pPr>
      <w:r>
        <w:rPr>
          <w:rFonts w:hint="eastAsia" w:ascii="宋体" w:hAnsi="宋体" w:cs="宋体"/>
          <w:szCs w:val="21"/>
        </w:rPr>
        <w:t>（7）拟分包项目情况表（如有）；</w:t>
      </w:r>
    </w:p>
    <w:p w14:paraId="25D1E189">
      <w:pPr>
        <w:spacing w:line="360" w:lineRule="auto"/>
        <w:ind w:firstLine="420" w:firstLineChars="200"/>
        <w:rPr>
          <w:rFonts w:ascii="宋体" w:hAnsi="宋体" w:cs="宋体"/>
          <w:szCs w:val="21"/>
        </w:rPr>
      </w:pPr>
      <w:r>
        <w:rPr>
          <w:rFonts w:hint="eastAsia" w:ascii="宋体" w:hAnsi="宋体" w:cs="宋体"/>
          <w:szCs w:val="21"/>
        </w:rPr>
        <w:t>（8）资格审查资料；</w:t>
      </w:r>
    </w:p>
    <w:p w14:paraId="4C6E50E9">
      <w:pPr>
        <w:spacing w:line="360" w:lineRule="auto"/>
        <w:ind w:firstLine="420" w:firstLineChars="200"/>
        <w:rPr>
          <w:rFonts w:ascii="宋体" w:hAnsi="宋体" w:cs="宋体"/>
          <w:szCs w:val="21"/>
        </w:rPr>
      </w:pPr>
      <w:r>
        <w:rPr>
          <w:rFonts w:hint="eastAsia" w:ascii="宋体" w:hAnsi="宋体" w:cs="宋体"/>
          <w:szCs w:val="21"/>
        </w:rPr>
        <w:t>（9）投标人须知前附表规定的其他材料。</w:t>
      </w:r>
    </w:p>
    <w:p w14:paraId="30EE1D00">
      <w:pPr>
        <w:spacing w:line="360" w:lineRule="auto"/>
        <w:ind w:firstLine="420" w:firstLineChars="200"/>
        <w:rPr>
          <w:rFonts w:ascii="宋体" w:hAnsi="宋体" w:cs="宋体"/>
          <w:szCs w:val="21"/>
        </w:rPr>
      </w:pPr>
      <w:r>
        <w:rPr>
          <w:rFonts w:hint="eastAsia" w:ascii="宋体" w:hAnsi="宋体" w:cs="宋体"/>
          <w:szCs w:val="21"/>
        </w:rPr>
        <w:t>3.1.2  投标人须知前附表规定不接受联合体投标的，或投标人没有组成联合体的，投标文件不包括本章第3.1.1（3）目所指的联合体协议书。</w:t>
      </w:r>
    </w:p>
    <w:p w14:paraId="54F14404">
      <w:pPr>
        <w:pStyle w:val="5"/>
        <w:spacing w:before="0" w:after="0" w:line="360" w:lineRule="auto"/>
        <w:rPr>
          <w:rFonts w:ascii="宋体" w:hAnsi="宋体" w:cs="宋体"/>
          <w:sz w:val="21"/>
          <w:szCs w:val="21"/>
        </w:rPr>
      </w:pPr>
      <w:bookmarkStart w:id="175" w:name="_Toc216768173"/>
      <w:bookmarkStart w:id="176" w:name="_Toc18735"/>
      <w:r>
        <w:rPr>
          <w:rFonts w:hint="eastAsia" w:ascii="宋体" w:hAnsi="宋体" w:cs="宋体"/>
          <w:sz w:val="21"/>
          <w:szCs w:val="21"/>
        </w:rPr>
        <w:t>3.2 比选报价</w:t>
      </w:r>
      <w:bookmarkEnd w:id="175"/>
      <w:bookmarkEnd w:id="176"/>
    </w:p>
    <w:p w14:paraId="7D83F18E">
      <w:pPr>
        <w:spacing w:line="360" w:lineRule="auto"/>
        <w:ind w:firstLine="420" w:firstLineChars="200"/>
        <w:rPr>
          <w:rFonts w:ascii="宋体" w:hAnsi="宋体" w:cs="宋体"/>
          <w:szCs w:val="21"/>
        </w:rPr>
      </w:pPr>
      <w:r>
        <w:rPr>
          <w:rFonts w:hint="eastAsia" w:ascii="宋体" w:hAnsi="宋体" w:cs="宋体"/>
          <w:szCs w:val="21"/>
        </w:rPr>
        <w:t>3.2.1  投标人应按第五章“工程量清单”的要求填写相应表格。</w:t>
      </w:r>
    </w:p>
    <w:p w14:paraId="0FA7EDE2">
      <w:pPr>
        <w:spacing w:line="360" w:lineRule="auto"/>
        <w:ind w:firstLine="420" w:firstLineChars="200"/>
        <w:rPr>
          <w:rFonts w:ascii="宋体" w:hAnsi="宋体" w:cs="宋体"/>
          <w:szCs w:val="21"/>
        </w:rPr>
      </w:pPr>
      <w:r>
        <w:rPr>
          <w:rFonts w:hint="eastAsia" w:ascii="宋体" w:hAnsi="宋体" w:cs="宋体"/>
          <w:szCs w:val="21"/>
        </w:rPr>
        <w:t>3.2.2  投标人在投标截止时间前修改投标函中的投标总报价，应同时修改第五章“工程量清单”中的相应报价。此修改须符合本章第 4.3 款的有关要求。</w:t>
      </w:r>
    </w:p>
    <w:p w14:paraId="778FA05E">
      <w:pPr>
        <w:pStyle w:val="5"/>
        <w:spacing w:before="0" w:after="0" w:line="360" w:lineRule="auto"/>
        <w:rPr>
          <w:rFonts w:ascii="宋体" w:hAnsi="宋体" w:cs="宋体"/>
          <w:sz w:val="21"/>
          <w:szCs w:val="21"/>
        </w:rPr>
      </w:pPr>
      <w:bookmarkStart w:id="177" w:name="_Toc3741"/>
      <w:bookmarkStart w:id="178" w:name="_Toc216768174"/>
      <w:r>
        <w:rPr>
          <w:rFonts w:hint="eastAsia" w:ascii="宋体" w:hAnsi="宋体" w:cs="宋体"/>
          <w:sz w:val="21"/>
          <w:szCs w:val="21"/>
        </w:rPr>
        <w:t>3.3  投标有效期</w:t>
      </w:r>
      <w:bookmarkEnd w:id="177"/>
      <w:bookmarkEnd w:id="178"/>
    </w:p>
    <w:p w14:paraId="2C28FE01">
      <w:pPr>
        <w:spacing w:line="360" w:lineRule="auto"/>
        <w:ind w:firstLine="420" w:firstLineChars="200"/>
        <w:rPr>
          <w:rFonts w:ascii="宋体" w:hAnsi="宋体" w:cs="宋体"/>
          <w:szCs w:val="21"/>
        </w:rPr>
      </w:pPr>
      <w:r>
        <w:rPr>
          <w:rFonts w:hint="eastAsia" w:ascii="宋体" w:hAnsi="宋体" w:cs="宋体"/>
          <w:szCs w:val="21"/>
        </w:rPr>
        <w:t>3.3.1  在投标人须知前附表规定的投标有效期内，投标人不得要求撤销或修改其投标文件。</w:t>
      </w:r>
    </w:p>
    <w:p w14:paraId="6AE5B9AB">
      <w:pPr>
        <w:spacing w:line="360" w:lineRule="auto"/>
        <w:ind w:firstLine="420" w:firstLineChars="200"/>
        <w:rPr>
          <w:rFonts w:ascii="宋体" w:hAnsi="宋体" w:cs="宋体"/>
          <w:szCs w:val="21"/>
        </w:rPr>
      </w:pPr>
      <w:r>
        <w:rPr>
          <w:rFonts w:hint="eastAsia" w:ascii="宋体" w:hAnsi="宋体" w:cs="宋体"/>
          <w:szCs w:val="21"/>
        </w:rPr>
        <w:t>3.3.2  出现特殊情况需要延长投标有效期的，比选人以书面形式通知所有投标人延长投标有效期。投标人同意延长的，不得要求或被允许修改或撤销其投标文件；投标人拒绝延长的，其投标失效。</w:t>
      </w:r>
    </w:p>
    <w:p w14:paraId="638A3199">
      <w:pPr>
        <w:pStyle w:val="5"/>
        <w:spacing w:before="0" w:after="0" w:line="360" w:lineRule="auto"/>
        <w:rPr>
          <w:rFonts w:ascii="宋体" w:hAnsi="宋体" w:cs="宋体"/>
          <w:sz w:val="21"/>
          <w:szCs w:val="21"/>
        </w:rPr>
      </w:pPr>
      <w:bookmarkStart w:id="179" w:name="_Toc293756854"/>
      <w:bookmarkStart w:id="180" w:name="_Toc216768175"/>
      <w:bookmarkStart w:id="181" w:name="_Toc250"/>
      <w:r>
        <w:rPr>
          <w:rFonts w:hint="eastAsia" w:ascii="宋体" w:hAnsi="宋体" w:cs="宋体"/>
          <w:sz w:val="21"/>
          <w:szCs w:val="21"/>
        </w:rPr>
        <w:t>3.4 资格审查资料</w:t>
      </w:r>
      <w:bookmarkEnd w:id="179"/>
      <w:bookmarkEnd w:id="180"/>
      <w:bookmarkEnd w:id="181"/>
    </w:p>
    <w:p w14:paraId="6B75F67F">
      <w:pPr>
        <w:spacing w:line="360" w:lineRule="auto"/>
        <w:ind w:firstLine="420" w:firstLineChars="200"/>
        <w:rPr>
          <w:rFonts w:ascii="宋体" w:hAnsi="宋体" w:cs="宋体"/>
          <w:szCs w:val="21"/>
        </w:rPr>
      </w:pPr>
      <w:r>
        <w:rPr>
          <w:rFonts w:hint="eastAsia" w:ascii="宋体" w:hAnsi="宋体" w:cs="宋体"/>
          <w:szCs w:val="21"/>
        </w:rPr>
        <w:t>投标人须在递交投标文件的同时将投标人须知前附表1.4.1中要求的原件一次性提交，评标委员会审查时必须对有关证明和证件的原件核查，若经审查复印件与原件不一致，或未提交原件的，则投标文件作否决投标处理。</w:t>
      </w:r>
    </w:p>
    <w:p w14:paraId="2D6DED97">
      <w:pPr>
        <w:spacing w:line="360" w:lineRule="auto"/>
        <w:ind w:firstLine="420" w:firstLineChars="200"/>
        <w:rPr>
          <w:rFonts w:ascii="宋体" w:hAnsi="宋体" w:cs="宋体"/>
          <w:szCs w:val="21"/>
        </w:rPr>
      </w:pPr>
      <w:r>
        <w:rPr>
          <w:rFonts w:hint="eastAsia" w:ascii="宋体" w:hAnsi="宋体" w:cs="宋体"/>
          <w:szCs w:val="21"/>
        </w:rPr>
        <w:t>联合体投标的，详见投标人须知前附表联合体投标相关内容。</w:t>
      </w:r>
    </w:p>
    <w:p w14:paraId="03B3347C">
      <w:pPr>
        <w:spacing w:line="360" w:lineRule="auto"/>
        <w:rPr>
          <w:rFonts w:ascii="宋体" w:hAnsi="宋体" w:cs="宋体"/>
          <w:b/>
          <w:szCs w:val="21"/>
        </w:rPr>
      </w:pPr>
      <w:r>
        <w:rPr>
          <w:rFonts w:hint="eastAsia" w:ascii="宋体" w:hAnsi="宋体" w:cs="宋体"/>
          <w:b/>
          <w:szCs w:val="21"/>
        </w:rPr>
        <w:t>3.5备选比选方案</w:t>
      </w:r>
    </w:p>
    <w:p w14:paraId="3E72611E">
      <w:pPr>
        <w:spacing w:line="360" w:lineRule="auto"/>
        <w:ind w:firstLine="420" w:firstLineChars="200"/>
        <w:rPr>
          <w:rFonts w:ascii="宋体" w:hAnsi="宋体" w:cs="宋体"/>
          <w:szCs w:val="21"/>
        </w:rPr>
      </w:pPr>
      <w:r>
        <w:rPr>
          <w:rFonts w:hint="eastAsia" w:ascii="宋体" w:hAnsi="宋体" w:cs="宋体"/>
          <w:szCs w:val="21"/>
        </w:rPr>
        <w:t>除投标人须知前附表另有规定外，投标人不得递交备选比选方案。允许投标人递交备选投标方案的，只有中标人所递交的备选投标方案方可予以考虑。评标委员会认为中标人的备选投标方案优于其按照比选文件要求编制的投标方案的，比选人可以接受该备选比选方案。</w:t>
      </w:r>
    </w:p>
    <w:p w14:paraId="4444D887">
      <w:pPr>
        <w:spacing w:line="360" w:lineRule="auto"/>
        <w:rPr>
          <w:rFonts w:ascii="宋体" w:hAnsi="宋体" w:cs="宋体"/>
          <w:b/>
          <w:szCs w:val="21"/>
        </w:rPr>
      </w:pPr>
      <w:r>
        <w:rPr>
          <w:rFonts w:hint="eastAsia" w:ascii="宋体" w:hAnsi="宋体" w:cs="宋体"/>
          <w:b/>
          <w:szCs w:val="21"/>
        </w:rPr>
        <w:t>3.6 投标文件的编制</w:t>
      </w:r>
    </w:p>
    <w:p w14:paraId="4AC5DCCF">
      <w:pPr>
        <w:spacing w:line="360" w:lineRule="auto"/>
        <w:ind w:firstLine="420" w:firstLineChars="200"/>
        <w:rPr>
          <w:rFonts w:ascii="宋体" w:hAnsi="宋体" w:cs="宋体"/>
          <w:szCs w:val="21"/>
        </w:rPr>
      </w:pPr>
      <w:bookmarkStart w:id="182" w:name="_Toc293756855"/>
      <w:r>
        <w:rPr>
          <w:rFonts w:hint="eastAsia" w:ascii="宋体" w:hAnsi="宋体" w:cs="宋体"/>
          <w:szCs w:val="21"/>
        </w:rPr>
        <w:t>3.7.1  投标文件应按第七章“投标文件格式”进行编写，如有必要，可以增加附页，作为投标文件的组成部分。其中，投标函附录在满足比选文件实质性要求的基础上，可以提出比比选文件要求更有利于比选人的承诺。</w:t>
      </w:r>
    </w:p>
    <w:p w14:paraId="5E621C09">
      <w:pPr>
        <w:spacing w:line="360" w:lineRule="auto"/>
        <w:ind w:firstLine="420" w:firstLineChars="200"/>
        <w:rPr>
          <w:rFonts w:ascii="宋体" w:hAnsi="宋体" w:cs="宋体"/>
          <w:szCs w:val="21"/>
        </w:rPr>
      </w:pPr>
      <w:r>
        <w:rPr>
          <w:rFonts w:hint="eastAsia" w:ascii="宋体" w:hAnsi="宋体" w:cs="宋体"/>
          <w:szCs w:val="21"/>
        </w:rPr>
        <w:t>3.7.2  投标文件应当对比选文件有关工期、投标有效期、质量要求、技术标准和要求、比选范围等实质性内容做出响应。</w:t>
      </w:r>
    </w:p>
    <w:p w14:paraId="3CF4EFDB">
      <w:pPr>
        <w:spacing w:line="360" w:lineRule="auto"/>
        <w:ind w:firstLine="420" w:firstLineChars="200"/>
        <w:rPr>
          <w:rFonts w:ascii="宋体" w:hAnsi="宋体" w:cs="宋体"/>
          <w:szCs w:val="21"/>
        </w:rPr>
      </w:pPr>
      <w:r>
        <w:rPr>
          <w:rFonts w:hint="eastAsia" w:ascii="宋体" w:hAnsi="宋体" w:cs="宋体"/>
          <w:szCs w:val="21"/>
        </w:rPr>
        <w:t>3.7.3  投标文件的签字盖章要求：按本章投标人须知前附表第3.7.3项执行。</w:t>
      </w:r>
    </w:p>
    <w:p w14:paraId="45C3B82B">
      <w:pPr>
        <w:spacing w:line="360" w:lineRule="auto"/>
        <w:ind w:firstLine="420" w:firstLineChars="200"/>
        <w:rPr>
          <w:rFonts w:ascii="宋体" w:hAnsi="宋体" w:cs="宋体"/>
          <w:szCs w:val="21"/>
        </w:rPr>
      </w:pPr>
      <w:r>
        <w:rPr>
          <w:rFonts w:hint="eastAsia" w:ascii="宋体" w:hAnsi="宋体" w:cs="宋体"/>
          <w:szCs w:val="21"/>
        </w:rPr>
        <w:t>3.7.4  投标文件的份数见投标人须知前附表。《技术部分》不分正副本，正本和副本的封面上应清楚地标记“正本”或“副本”的字样，正本和副本封面均须加盖单位</w:t>
      </w:r>
      <w:r>
        <w:rPr>
          <w:rFonts w:hint="eastAsia" w:ascii="宋体" w:hAnsi="宋体" w:cs="宋体"/>
          <w:szCs w:val="21"/>
          <w:lang w:val="en-US" w:eastAsia="zh-CN"/>
        </w:rPr>
        <w:t>公</w:t>
      </w:r>
      <w:r>
        <w:rPr>
          <w:rFonts w:hint="eastAsia" w:ascii="宋体" w:hAnsi="宋体" w:cs="宋体"/>
          <w:szCs w:val="21"/>
        </w:rPr>
        <w:t>章，否则作否决投标处理。当副本和正本不一致时，以正本为准。</w:t>
      </w:r>
    </w:p>
    <w:p w14:paraId="0D7C0019">
      <w:pPr>
        <w:spacing w:line="360" w:lineRule="auto"/>
        <w:ind w:firstLine="420" w:firstLineChars="200"/>
        <w:rPr>
          <w:rFonts w:ascii="宋体" w:hAnsi="宋体" w:cs="宋体"/>
          <w:szCs w:val="21"/>
        </w:rPr>
      </w:pPr>
      <w:r>
        <w:rPr>
          <w:rFonts w:hint="eastAsia" w:ascii="宋体" w:hAnsi="宋体" w:cs="宋体"/>
          <w:szCs w:val="21"/>
        </w:rPr>
        <w:t>3.7.5  投标文件的正本与副本应分别装订成册，并编制目录，具体装订要求见投标人须知前附表规定。</w:t>
      </w:r>
    </w:p>
    <w:p w14:paraId="1D3CEA6E">
      <w:pPr>
        <w:pStyle w:val="5"/>
        <w:spacing w:before="0" w:after="0" w:line="360" w:lineRule="auto"/>
        <w:rPr>
          <w:rFonts w:ascii="宋体" w:hAnsi="宋体" w:cs="宋体"/>
          <w:sz w:val="21"/>
          <w:szCs w:val="21"/>
        </w:rPr>
      </w:pPr>
      <w:bookmarkStart w:id="183" w:name="_Toc10924"/>
      <w:bookmarkStart w:id="184" w:name="_Toc216768176"/>
      <w:r>
        <w:rPr>
          <w:rFonts w:hint="eastAsia" w:ascii="宋体" w:hAnsi="宋体" w:cs="宋体"/>
          <w:sz w:val="21"/>
          <w:szCs w:val="21"/>
        </w:rPr>
        <w:t xml:space="preserve">4. </w:t>
      </w:r>
      <w:bookmarkEnd w:id="182"/>
      <w:r>
        <w:rPr>
          <w:rFonts w:hint="eastAsia" w:ascii="宋体" w:hAnsi="宋体" w:cs="宋体"/>
          <w:sz w:val="21"/>
          <w:szCs w:val="21"/>
        </w:rPr>
        <w:t>投标文件的递交等</w:t>
      </w:r>
      <w:bookmarkEnd w:id="183"/>
      <w:bookmarkEnd w:id="184"/>
    </w:p>
    <w:p w14:paraId="6DD709C3">
      <w:pPr>
        <w:pStyle w:val="5"/>
        <w:spacing w:before="0" w:after="0" w:line="360" w:lineRule="auto"/>
        <w:ind w:firstLine="422" w:firstLineChars="200"/>
        <w:rPr>
          <w:rFonts w:ascii="宋体" w:hAnsi="宋体" w:cs="宋体"/>
          <w:sz w:val="21"/>
          <w:szCs w:val="21"/>
        </w:rPr>
      </w:pPr>
      <w:bookmarkStart w:id="185" w:name="_Toc25512"/>
      <w:bookmarkStart w:id="186" w:name="_Toc293756856"/>
      <w:bookmarkStart w:id="187" w:name="_Toc216768177"/>
      <w:r>
        <w:rPr>
          <w:rFonts w:hint="eastAsia" w:ascii="宋体" w:hAnsi="宋体" w:cs="宋体"/>
          <w:sz w:val="21"/>
          <w:szCs w:val="21"/>
        </w:rPr>
        <w:t>4.1 投标文件的密封和标记</w:t>
      </w:r>
      <w:bookmarkEnd w:id="185"/>
      <w:bookmarkEnd w:id="186"/>
      <w:bookmarkEnd w:id="187"/>
    </w:p>
    <w:p w14:paraId="51B317D3">
      <w:pPr>
        <w:spacing w:line="360" w:lineRule="auto"/>
        <w:ind w:firstLine="420" w:firstLineChars="200"/>
        <w:rPr>
          <w:rFonts w:ascii="宋体" w:hAnsi="宋体" w:cs="宋体"/>
          <w:szCs w:val="21"/>
        </w:rPr>
      </w:pPr>
      <w:r>
        <w:rPr>
          <w:rFonts w:hint="eastAsia" w:ascii="宋体" w:hAnsi="宋体" w:cs="宋体"/>
          <w:szCs w:val="21"/>
        </w:rPr>
        <w:t>4.1.1  投标文件的正本与副本密封见投标人须知前附表。</w:t>
      </w:r>
    </w:p>
    <w:p w14:paraId="78022A4C">
      <w:pPr>
        <w:spacing w:line="360" w:lineRule="auto"/>
        <w:ind w:firstLine="420" w:firstLineChars="200"/>
        <w:rPr>
          <w:rFonts w:ascii="宋体" w:hAnsi="宋体" w:cs="宋体"/>
          <w:szCs w:val="21"/>
        </w:rPr>
      </w:pPr>
      <w:r>
        <w:rPr>
          <w:rFonts w:hint="eastAsia" w:ascii="宋体" w:hAnsi="宋体" w:cs="宋体"/>
          <w:szCs w:val="21"/>
        </w:rPr>
        <w:t>4.1.2  投标文件的封套上应写明的内容见投标人须知前附表。</w:t>
      </w:r>
    </w:p>
    <w:p w14:paraId="571097C7">
      <w:pPr>
        <w:spacing w:line="360" w:lineRule="auto"/>
        <w:ind w:firstLine="420" w:firstLineChars="200"/>
        <w:rPr>
          <w:rFonts w:ascii="宋体" w:hAnsi="宋体" w:cs="宋体"/>
          <w:szCs w:val="21"/>
        </w:rPr>
      </w:pPr>
      <w:r>
        <w:rPr>
          <w:rFonts w:hint="eastAsia" w:ascii="宋体" w:hAnsi="宋体" w:cs="宋体"/>
          <w:szCs w:val="21"/>
        </w:rPr>
        <w:t>4.1.3  未按本章第 4.1项要求密封的投标文件，比选人不予受理。</w:t>
      </w:r>
    </w:p>
    <w:p w14:paraId="29A277AD">
      <w:pPr>
        <w:pStyle w:val="5"/>
        <w:spacing w:before="0" w:after="0" w:line="360" w:lineRule="auto"/>
        <w:ind w:firstLine="422" w:firstLineChars="200"/>
        <w:rPr>
          <w:rFonts w:ascii="宋体" w:hAnsi="宋体" w:cs="宋体"/>
          <w:sz w:val="21"/>
          <w:szCs w:val="21"/>
        </w:rPr>
      </w:pPr>
      <w:bookmarkStart w:id="188" w:name="_Toc216768178"/>
      <w:bookmarkStart w:id="189" w:name="_Toc293756857"/>
      <w:bookmarkStart w:id="190" w:name="_Toc2798"/>
      <w:r>
        <w:rPr>
          <w:rFonts w:hint="eastAsia" w:ascii="宋体" w:hAnsi="宋体" w:cs="宋体"/>
          <w:sz w:val="21"/>
          <w:szCs w:val="21"/>
        </w:rPr>
        <w:t>4.2 投标文件的递交</w:t>
      </w:r>
      <w:bookmarkEnd w:id="188"/>
      <w:bookmarkEnd w:id="189"/>
      <w:bookmarkEnd w:id="190"/>
    </w:p>
    <w:p w14:paraId="1B2B039E">
      <w:pPr>
        <w:spacing w:line="360" w:lineRule="auto"/>
        <w:ind w:firstLine="420" w:firstLineChars="200"/>
        <w:rPr>
          <w:rFonts w:ascii="宋体" w:hAnsi="宋体" w:cs="宋体"/>
          <w:szCs w:val="21"/>
        </w:rPr>
      </w:pPr>
      <w:r>
        <w:rPr>
          <w:rFonts w:hint="eastAsia" w:ascii="宋体" w:hAnsi="宋体" w:cs="宋体"/>
          <w:szCs w:val="21"/>
        </w:rPr>
        <w:t>4.2.1 投标人应按本章投标人须知前附表第2.2.2项规定的时间递交投标文件。</w:t>
      </w:r>
    </w:p>
    <w:p w14:paraId="1E3AD2F1">
      <w:pPr>
        <w:spacing w:line="360" w:lineRule="auto"/>
        <w:ind w:firstLine="420" w:firstLineChars="200"/>
        <w:rPr>
          <w:rFonts w:ascii="宋体" w:hAnsi="宋体" w:cs="宋体"/>
          <w:szCs w:val="21"/>
        </w:rPr>
      </w:pPr>
      <w:r>
        <w:rPr>
          <w:rFonts w:hint="eastAsia" w:ascii="宋体" w:hAnsi="宋体" w:cs="宋体"/>
          <w:szCs w:val="21"/>
        </w:rPr>
        <w:t>4.2.2 投标人递交投标文件的地点：见投标人须知前附表。</w:t>
      </w:r>
    </w:p>
    <w:p w14:paraId="015DC09C">
      <w:pPr>
        <w:spacing w:line="360" w:lineRule="auto"/>
        <w:ind w:firstLine="420" w:firstLineChars="200"/>
        <w:rPr>
          <w:rFonts w:ascii="宋体" w:hAnsi="宋体" w:cs="宋体"/>
          <w:szCs w:val="21"/>
        </w:rPr>
      </w:pPr>
      <w:r>
        <w:rPr>
          <w:rFonts w:hint="eastAsia" w:ascii="宋体" w:hAnsi="宋体" w:cs="宋体"/>
          <w:szCs w:val="21"/>
        </w:rPr>
        <w:t>4.2.3 除投标人须知前附表另有规定外，投标人所递交的投标文件不予退还。</w:t>
      </w:r>
    </w:p>
    <w:p w14:paraId="79CD1B9F">
      <w:pPr>
        <w:spacing w:line="360" w:lineRule="auto"/>
        <w:ind w:firstLine="420" w:firstLineChars="200"/>
        <w:rPr>
          <w:rFonts w:ascii="宋体" w:hAnsi="宋体" w:cs="宋体"/>
          <w:szCs w:val="21"/>
        </w:rPr>
      </w:pPr>
      <w:r>
        <w:rPr>
          <w:rFonts w:hint="eastAsia" w:ascii="宋体" w:hAnsi="宋体" w:cs="宋体"/>
          <w:szCs w:val="21"/>
        </w:rPr>
        <w:t>4.2.4 逾期送达的或者未送达指定地点的投标文件，比选人不予受理。</w:t>
      </w:r>
    </w:p>
    <w:p w14:paraId="7DE97995">
      <w:pPr>
        <w:pStyle w:val="5"/>
        <w:spacing w:before="0" w:after="0" w:line="360" w:lineRule="auto"/>
        <w:ind w:firstLine="422" w:firstLineChars="200"/>
        <w:rPr>
          <w:rFonts w:ascii="宋体" w:hAnsi="宋体" w:cs="宋体"/>
          <w:sz w:val="21"/>
          <w:szCs w:val="21"/>
        </w:rPr>
      </w:pPr>
      <w:bookmarkStart w:id="191" w:name="_Toc288"/>
      <w:bookmarkStart w:id="192" w:name="_Toc293756858"/>
      <w:bookmarkStart w:id="193" w:name="_Toc216768179"/>
      <w:r>
        <w:rPr>
          <w:rFonts w:hint="eastAsia" w:ascii="宋体" w:hAnsi="宋体" w:cs="宋体"/>
          <w:sz w:val="21"/>
          <w:szCs w:val="21"/>
        </w:rPr>
        <w:t>4.3 投标文件的修改与撤回</w:t>
      </w:r>
      <w:bookmarkEnd w:id="191"/>
      <w:bookmarkEnd w:id="192"/>
      <w:bookmarkEnd w:id="193"/>
    </w:p>
    <w:p w14:paraId="0FE46B46">
      <w:pPr>
        <w:spacing w:line="360" w:lineRule="auto"/>
        <w:ind w:firstLine="420" w:firstLineChars="200"/>
        <w:rPr>
          <w:rFonts w:ascii="宋体" w:hAnsi="宋体" w:cs="宋体"/>
          <w:szCs w:val="21"/>
        </w:rPr>
      </w:pPr>
      <w:r>
        <w:rPr>
          <w:rFonts w:hint="eastAsia" w:ascii="宋体" w:hAnsi="宋体" w:cs="宋体"/>
          <w:szCs w:val="21"/>
        </w:rPr>
        <w:t>4.3.1 在本章投标人须知前附表第2.2.2项规定的比选截止时间前，投标人可以修改或撤回已递交的投标文件，但应以书面形式通知比选人。</w:t>
      </w:r>
    </w:p>
    <w:p w14:paraId="1C406C3B">
      <w:pPr>
        <w:spacing w:line="360" w:lineRule="auto"/>
        <w:ind w:firstLine="420" w:firstLineChars="200"/>
        <w:rPr>
          <w:rFonts w:ascii="宋体" w:hAnsi="宋体" w:cs="宋体"/>
          <w:szCs w:val="21"/>
        </w:rPr>
      </w:pPr>
      <w:r>
        <w:rPr>
          <w:rFonts w:hint="eastAsia" w:ascii="宋体" w:hAnsi="宋体" w:cs="宋体"/>
          <w:szCs w:val="21"/>
        </w:rPr>
        <w:t>4.3.2 投标人修改或撤回已递交投标文件的书面通知应按照本章第3.7.3 项的要求签字或盖章。比选人收到书面通知后，向投标人出具签收凭证。</w:t>
      </w:r>
    </w:p>
    <w:p w14:paraId="6223B4CE">
      <w:pPr>
        <w:spacing w:line="360" w:lineRule="auto"/>
        <w:ind w:firstLine="420" w:firstLineChars="200"/>
        <w:rPr>
          <w:rFonts w:ascii="宋体" w:hAnsi="宋体" w:cs="宋体"/>
          <w:szCs w:val="21"/>
        </w:rPr>
      </w:pPr>
      <w:r>
        <w:rPr>
          <w:rFonts w:hint="eastAsia" w:ascii="宋体" w:hAnsi="宋体" w:cs="宋体"/>
          <w:szCs w:val="21"/>
        </w:rPr>
        <w:t>4.3.3 修改的内容为投标文件的组成部分。修改的投标文件应按照本章第3 条、第4 条规定进行编制、密封、标记和递交，并标明“修改”字样。</w:t>
      </w:r>
    </w:p>
    <w:p w14:paraId="4FF43927">
      <w:pPr>
        <w:pStyle w:val="5"/>
        <w:spacing w:before="0" w:after="0" w:line="360" w:lineRule="auto"/>
        <w:rPr>
          <w:rFonts w:ascii="宋体" w:hAnsi="宋体" w:cs="宋体"/>
          <w:sz w:val="21"/>
          <w:szCs w:val="21"/>
        </w:rPr>
      </w:pPr>
      <w:bookmarkStart w:id="194" w:name="_Toc293756859"/>
      <w:bookmarkStart w:id="195" w:name="_Toc29290"/>
      <w:bookmarkStart w:id="196" w:name="_Toc216768180"/>
      <w:r>
        <w:rPr>
          <w:rFonts w:hint="eastAsia" w:ascii="宋体" w:hAnsi="宋体" w:cs="宋体"/>
          <w:sz w:val="21"/>
          <w:szCs w:val="21"/>
        </w:rPr>
        <w:t xml:space="preserve">5. </w:t>
      </w:r>
      <w:bookmarkEnd w:id="194"/>
      <w:r>
        <w:rPr>
          <w:rFonts w:hint="eastAsia" w:ascii="宋体" w:hAnsi="宋体" w:cs="宋体"/>
          <w:sz w:val="21"/>
          <w:szCs w:val="21"/>
        </w:rPr>
        <w:t>比选</w:t>
      </w:r>
      <w:bookmarkEnd w:id="195"/>
      <w:bookmarkEnd w:id="196"/>
    </w:p>
    <w:p w14:paraId="489BEE99">
      <w:pPr>
        <w:pStyle w:val="5"/>
        <w:spacing w:before="0" w:after="0" w:line="360" w:lineRule="auto"/>
        <w:ind w:firstLine="422" w:firstLineChars="200"/>
        <w:rPr>
          <w:rFonts w:ascii="宋体" w:hAnsi="宋体" w:cs="宋体"/>
          <w:sz w:val="21"/>
          <w:szCs w:val="21"/>
        </w:rPr>
      </w:pPr>
      <w:bookmarkStart w:id="197" w:name="_Toc293756860"/>
      <w:bookmarkStart w:id="198" w:name="_Toc6939"/>
      <w:bookmarkStart w:id="199" w:name="_Toc216768181"/>
      <w:r>
        <w:rPr>
          <w:rFonts w:hint="eastAsia" w:ascii="宋体" w:hAnsi="宋体" w:cs="宋体"/>
          <w:sz w:val="21"/>
          <w:szCs w:val="21"/>
        </w:rPr>
        <w:t>5.1 比选时间和地点</w:t>
      </w:r>
      <w:bookmarkEnd w:id="197"/>
      <w:bookmarkEnd w:id="198"/>
      <w:bookmarkEnd w:id="199"/>
    </w:p>
    <w:p w14:paraId="29FC4700">
      <w:pPr>
        <w:spacing w:line="360" w:lineRule="auto"/>
        <w:ind w:firstLine="420" w:firstLineChars="200"/>
        <w:rPr>
          <w:rFonts w:ascii="宋体" w:hAnsi="宋体" w:cs="宋体"/>
          <w:szCs w:val="21"/>
        </w:rPr>
      </w:pPr>
      <w:r>
        <w:rPr>
          <w:rFonts w:hint="eastAsia" w:ascii="宋体" w:hAnsi="宋体" w:cs="宋体"/>
          <w:szCs w:val="21"/>
        </w:rPr>
        <w:t>比选人在投标人须知前附表第 2.2.2 项规定的投标截止时间（开标时间）和投标人须知前附表规定的地点公开开标，并邀请所有投标人的法定代表人或其委托代理人准时参加。</w:t>
      </w:r>
    </w:p>
    <w:p w14:paraId="27FB8B99">
      <w:pPr>
        <w:pStyle w:val="5"/>
        <w:spacing w:before="0" w:after="0" w:line="360" w:lineRule="auto"/>
        <w:ind w:firstLine="422" w:firstLineChars="200"/>
        <w:rPr>
          <w:rFonts w:ascii="宋体" w:hAnsi="宋体" w:cs="宋体"/>
          <w:sz w:val="21"/>
          <w:szCs w:val="21"/>
        </w:rPr>
      </w:pPr>
      <w:bookmarkStart w:id="200" w:name="_Toc216768182"/>
      <w:bookmarkStart w:id="201" w:name="_Toc293756861"/>
      <w:bookmarkStart w:id="202" w:name="_Toc716"/>
      <w:r>
        <w:rPr>
          <w:rFonts w:hint="eastAsia" w:ascii="宋体" w:hAnsi="宋体" w:cs="宋体"/>
          <w:sz w:val="21"/>
          <w:szCs w:val="21"/>
        </w:rPr>
        <w:t>5.2 比选程序</w:t>
      </w:r>
      <w:bookmarkEnd w:id="200"/>
      <w:bookmarkEnd w:id="201"/>
      <w:bookmarkEnd w:id="202"/>
    </w:p>
    <w:p w14:paraId="32A702F4">
      <w:pPr>
        <w:spacing w:line="360" w:lineRule="auto"/>
        <w:ind w:firstLine="420" w:firstLineChars="200"/>
        <w:rPr>
          <w:rFonts w:ascii="宋体" w:hAnsi="宋体" w:cs="宋体"/>
          <w:szCs w:val="21"/>
        </w:rPr>
      </w:pPr>
      <w:bookmarkStart w:id="203" w:name="_Toc293756862"/>
      <w:r>
        <w:rPr>
          <w:rFonts w:hint="eastAsia" w:ascii="宋体" w:hAnsi="宋体" w:cs="宋体"/>
          <w:szCs w:val="21"/>
        </w:rPr>
        <w:t>详见投标人须知前附表5.2开标程序。</w:t>
      </w:r>
    </w:p>
    <w:p w14:paraId="39C69290">
      <w:pPr>
        <w:pStyle w:val="5"/>
        <w:spacing w:before="0" w:after="0" w:line="360" w:lineRule="auto"/>
        <w:rPr>
          <w:rFonts w:ascii="宋体" w:hAnsi="宋体" w:cs="宋体"/>
          <w:sz w:val="21"/>
          <w:szCs w:val="21"/>
        </w:rPr>
      </w:pPr>
      <w:bookmarkStart w:id="204" w:name="_Toc24607"/>
      <w:bookmarkStart w:id="205" w:name="_Toc216768183"/>
      <w:r>
        <w:rPr>
          <w:rFonts w:hint="eastAsia" w:ascii="宋体" w:hAnsi="宋体" w:cs="宋体"/>
          <w:sz w:val="21"/>
          <w:szCs w:val="21"/>
        </w:rPr>
        <w:t>6. 评</w:t>
      </w:r>
      <w:bookmarkEnd w:id="203"/>
      <w:r>
        <w:rPr>
          <w:rFonts w:hint="eastAsia" w:ascii="宋体" w:hAnsi="宋体" w:cs="宋体"/>
          <w:sz w:val="21"/>
          <w:szCs w:val="21"/>
        </w:rPr>
        <w:t>审</w:t>
      </w:r>
      <w:bookmarkEnd w:id="204"/>
      <w:bookmarkEnd w:id="205"/>
    </w:p>
    <w:p w14:paraId="7D0CC953">
      <w:pPr>
        <w:snapToGrid w:val="0"/>
        <w:spacing w:line="360" w:lineRule="auto"/>
        <w:ind w:firstLine="422" w:firstLineChars="200"/>
        <w:outlineLvl w:val="2"/>
        <w:rPr>
          <w:rFonts w:ascii="宋体" w:hAnsi="宋体" w:cs="宋体"/>
          <w:b/>
          <w:snapToGrid w:val="0"/>
          <w:szCs w:val="21"/>
        </w:rPr>
      </w:pPr>
      <w:bookmarkStart w:id="206" w:name="_Toc277082587"/>
      <w:bookmarkStart w:id="207" w:name="_Toc216768184"/>
      <w:bookmarkStart w:id="208" w:name="_Toc287620720"/>
      <w:bookmarkStart w:id="209" w:name="_Toc224103352"/>
      <w:bookmarkStart w:id="210" w:name="_Toc7646"/>
      <w:bookmarkStart w:id="211" w:name="_Toc200513161"/>
      <w:bookmarkStart w:id="212" w:name="_Toc509218745"/>
      <w:bookmarkStart w:id="213" w:name="_Toc430530470"/>
      <w:bookmarkStart w:id="214" w:name="_Toc287607781"/>
      <w:bookmarkStart w:id="215" w:name="_Toc293756866"/>
      <w:r>
        <w:rPr>
          <w:rFonts w:hint="eastAsia" w:ascii="宋体" w:hAnsi="宋体" w:cs="宋体"/>
          <w:b/>
          <w:snapToGrid w:val="0"/>
          <w:szCs w:val="21"/>
        </w:rPr>
        <w:t>6.1  评标委员会</w:t>
      </w:r>
      <w:bookmarkEnd w:id="206"/>
      <w:bookmarkEnd w:id="207"/>
      <w:bookmarkEnd w:id="208"/>
      <w:bookmarkEnd w:id="209"/>
      <w:bookmarkEnd w:id="210"/>
      <w:bookmarkEnd w:id="211"/>
      <w:bookmarkEnd w:id="212"/>
      <w:bookmarkEnd w:id="213"/>
      <w:bookmarkEnd w:id="214"/>
    </w:p>
    <w:p w14:paraId="2620B84E">
      <w:pPr>
        <w:autoSpaceDE w:val="0"/>
        <w:autoSpaceDN w:val="0"/>
        <w:adjustRightInd w:val="0"/>
        <w:snapToGrid w:val="0"/>
        <w:spacing w:line="360" w:lineRule="auto"/>
        <w:ind w:firstLine="420" w:firstLineChars="200"/>
        <w:rPr>
          <w:rFonts w:ascii="宋体" w:hAnsi="宋体" w:cs="宋体"/>
          <w:b/>
          <w:snapToGrid w:val="0"/>
          <w:kern w:val="0"/>
          <w:szCs w:val="21"/>
        </w:rPr>
      </w:pPr>
      <w:r>
        <w:rPr>
          <w:rFonts w:hint="eastAsia" w:ascii="宋体" w:hAnsi="宋体" w:cs="宋体"/>
          <w:snapToGrid w:val="0"/>
          <w:kern w:val="0"/>
          <w:szCs w:val="21"/>
        </w:rPr>
        <w:t>6.1.1  评标由比选人依据法律法规和相关规范性文件组建的评标委员会负责。</w:t>
      </w:r>
    </w:p>
    <w:p w14:paraId="7AC40C4F">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6.1.2  评标委员会成员有下列情形之一的，应当回避：</w:t>
      </w:r>
    </w:p>
    <w:p w14:paraId="572E9B01">
      <w:pPr>
        <w:keepNext/>
        <w:keepLines/>
        <w:snapToGrid w:val="0"/>
        <w:spacing w:line="360" w:lineRule="auto"/>
        <w:ind w:firstLine="420" w:firstLineChars="200"/>
        <w:outlineLvl w:val="2"/>
        <w:rPr>
          <w:rFonts w:ascii="宋体" w:hAnsi="宋体" w:cs="宋体"/>
          <w:snapToGrid w:val="0"/>
          <w:kern w:val="0"/>
          <w:szCs w:val="21"/>
        </w:rPr>
      </w:pPr>
      <w:bookmarkStart w:id="216" w:name="_Toc27306"/>
      <w:bookmarkStart w:id="217" w:name="_Toc216768185"/>
      <w:bookmarkStart w:id="218" w:name="_Toc200513162"/>
      <w:bookmarkStart w:id="219" w:name="_Toc509218746"/>
      <w:bookmarkStart w:id="220" w:name="_Toc224103353"/>
      <w:bookmarkStart w:id="221" w:name="_Toc430530471"/>
      <w:bookmarkStart w:id="222" w:name="_Toc287620721"/>
      <w:bookmarkStart w:id="223" w:name="_Toc287607782"/>
      <w:bookmarkStart w:id="224" w:name="_Toc277082588"/>
      <w:r>
        <w:rPr>
          <w:rFonts w:hint="eastAsia" w:ascii="宋体" w:hAnsi="宋体" w:cs="宋体"/>
          <w:snapToGrid w:val="0"/>
          <w:kern w:val="0"/>
          <w:szCs w:val="21"/>
        </w:rPr>
        <w:t>（1）投标人或投标人的主要负责人的近亲属；</w:t>
      </w:r>
      <w:bookmarkEnd w:id="216"/>
      <w:bookmarkEnd w:id="217"/>
    </w:p>
    <w:p w14:paraId="725E535B">
      <w:pPr>
        <w:keepNext/>
        <w:keepLines/>
        <w:snapToGrid w:val="0"/>
        <w:spacing w:line="360" w:lineRule="auto"/>
        <w:ind w:firstLine="420" w:firstLineChars="200"/>
        <w:outlineLvl w:val="2"/>
        <w:rPr>
          <w:rFonts w:ascii="宋体" w:hAnsi="宋体" w:cs="宋体"/>
          <w:snapToGrid w:val="0"/>
          <w:kern w:val="0"/>
          <w:szCs w:val="21"/>
        </w:rPr>
      </w:pPr>
      <w:bookmarkStart w:id="225" w:name="_Toc7327"/>
      <w:bookmarkStart w:id="226" w:name="_Toc216768186"/>
      <w:r>
        <w:rPr>
          <w:rFonts w:hint="eastAsia" w:ascii="宋体" w:hAnsi="宋体" w:cs="宋体"/>
          <w:snapToGrid w:val="0"/>
          <w:kern w:val="0"/>
          <w:szCs w:val="21"/>
        </w:rPr>
        <w:t>（2）项目主管部门或者项目行政监督部门的人员；</w:t>
      </w:r>
      <w:bookmarkEnd w:id="225"/>
      <w:bookmarkEnd w:id="226"/>
    </w:p>
    <w:p w14:paraId="6EA3F5BB">
      <w:pPr>
        <w:keepNext/>
        <w:keepLines/>
        <w:snapToGrid w:val="0"/>
        <w:spacing w:line="360" w:lineRule="auto"/>
        <w:ind w:firstLine="420" w:firstLineChars="200"/>
        <w:outlineLvl w:val="2"/>
        <w:rPr>
          <w:rFonts w:ascii="宋体" w:hAnsi="宋体" w:cs="宋体"/>
          <w:snapToGrid w:val="0"/>
          <w:kern w:val="0"/>
          <w:szCs w:val="21"/>
        </w:rPr>
      </w:pPr>
      <w:bookmarkStart w:id="227" w:name="_Toc216768187"/>
      <w:bookmarkStart w:id="228" w:name="_Toc32357"/>
      <w:r>
        <w:rPr>
          <w:rFonts w:hint="eastAsia" w:ascii="宋体" w:hAnsi="宋体" w:cs="宋体"/>
          <w:snapToGrid w:val="0"/>
          <w:kern w:val="0"/>
          <w:szCs w:val="21"/>
        </w:rPr>
        <w:t>（3）与投标人有利害关系，可能影响对投标公正评审的；</w:t>
      </w:r>
      <w:bookmarkEnd w:id="227"/>
      <w:bookmarkEnd w:id="228"/>
    </w:p>
    <w:p w14:paraId="280901F0">
      <w:pPr>
        <w:keepNext/>
        <w:keepLines/>
        <w:snapToGrid w:val="0"/>
        <w:spacing w:line="360" w:lineRule="auto"/>
        <w:ind w:firstLine="420" w:firstLineChars="200"/>
        <w:outlineLvl w:val="2"/>
        <w:rPr>
          <w:rFonts w:ascii="宋体" w:hAnsi="宋体" w:cs="宋体"/>
          <w:snapToGrid w:val="0"/>
          <w:kern w:val="0"/>
          <w:szCs w:val="21"/>
        </w:rPr>
      </w:pPr>
      <w:bookmarkStart w:id="229" w:name="_Toc28689"/>
      <w:bookmarkStart w:id="230" w:name="_Toc216768188"/>
      <w:r>
        <w:rPr>
          <w:rFonts w:hint="eastAsia" w:ascii="宋体" w:hAnsi="宋体" w:cs="宋体"/>
          <w:snapToGrid w:val="0"/>
          <w:kern w:val="0"/>
          <w:szCs w:val="21"/>
        </w:rPr>
        <w:t>（4）曾因在招标、评标以及其他与招标投标有关活动中从事违法行为而受过行政处罚或刑事处罚的；</w:t>
      </w:r>
      <w:bookmarkEnd w:id="229"/>
      <w:bookmarkEnd w:id="230"/>
    </w:p>
    <w:p w14:paraId="3E554058">
      <w:pPr>
        <w:keepNext/>
        <w:keepLines/>
        <w:snapToGrid w:val="0"/>
        <w:spacing w:line="360" w:lineRule="auto"/>
        <w:ind w:firstLine="420" w:firstLineChars="200"/>
        <w:outlineLvl w:val="2"/>
        <w:rPr>
          <w:rFonts w:ascii="宋体" w:hAnsi="宋体" w:cs="宋体"/>
          <w:snapToGrid w:val="0"/>
          <w:kern w:val="0"/>
          <w:szCs w:val="21"/>
        </w:rPr>
      </w:pPr>
      <w:bookmarkStart w:id="231" w:name="_Toc7240"/>
      <w:bookmarkStart w:id="232" w:name="_Toc216768189"/>
      <w:r>
        <w:rPr>
          <w:rFonts w:hint="eastAsia" w:ascii="宋体" w:hAnsi="宋体" w:cs="宋体"/>
          <w:snapToGrid w:val="0"/>
          <w:kern w:val="0"/>
          <w:szCs w:val="21"/>
        </w:rPr>
        <w:t>（5）法律法规规定的其他情形。</w:t>
      </w:r>
      <w:bookmarkEnd w:id="231"/>
      <w:bookmarkEnd w:id="232"/>
    </w:p>
    <w:p w14:paraId="4578C3E3">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6.1.3  评标过程中，评标委员会成员有回避事由、擅离职守或者因健康等原因不能继续评标的，应当及时更换。被更换的评标委员会成员作出的评审结论无效，由更换后的评标委员会成员重新进行评审。</w:t>
      </w:r>
    </w:p>
    <w:p w14:paraId="6CD8450A">
      <w:pPr>
        <w:pStyle w:val="5"/>
        <w:spacing w:before="0" w:after="0" w:line="360" w:lineRule="auto"/>
        <w:ind w:firstLine="422" w:firstLineChars="200"/>
        <w:rPr>
          <w:rFonts w:ascii="宋体" w:hAnsi="宋体" w:cs="宋体"/>
          <w:sz w:val="21"/>
          <w:szCs w:val="21"/>
        </w:rPr>
      </w:pPr>
      <w:bookmarkStart w:id="233" w:name="_Toc349"/>
      <w:bookmarkStart w:id="234" w:name="_Toc216768190"/>
      <w:r>
        <w:rPr>
          <w:rFonts w:hint="eastAsia" w:ascii="宋体" w:hAnsi="宋体" w:cs="宋体"/>
          <w:sz w:val="21"/>
          <w:szCs w:val="21"/>
        </w:rPr>
        <w:t>6.2  评标原则</w:t>
      </w:r>
      <w:bookmarkEnd w:id="218"/>
      <w:bookmarkEnd w:id="219"/>
      <w:bookmarkEnd w:id="220"/>
      <w:bookmarkEnd w:id="221"/>
      <w:bookmarkEnd w:id="222"/>
      <w:bookmarkEnd w:id="223"/>
      <w:bookmarkEnd w:id="224"/>
      <w:bookmarkEnd w:id="233"/>
      <w:bookmarkEnd w:id="234"/>
    </w:p>
    <w:p w14:paraId="1FECF9AE">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评标活动遵循公平、公正、科学和择优的原则。</w:t>
      </w:r>
    </w:p>
    <w:p w14:paraId="6606E6CD">
      <w:pPr>
        <w:pStyle w:val="5"/>
        <w:spacing w:before="0" w:after="0" w:line="360" w:lineRule="auto"/>
        <w:ind w:firstLine="422" w:firstLineChars="200"/>
        <w:rPr>
          <w:rFonts w:ascii="宋体" w:hAnsi="宋体" w:cs="宋体"/>
          <w:sz w:val="21"/>
          <w:szCs w:val="21"/>
        </w:rPr>
      </w:pPr>
      <w:bookmarkStart w:id="235" w:name="_Toc287607783"/>
      <w:bookmarkStart w:id="236" w:name="_Toc277082589"/>
      <w:bookmarkStart w:id="237" w:name="_Toc216768191"/>
      <w:bookmarkStart w:id="238" w:name="_Toc200513163"/>
      <w:bookmarkStart w:id="239" w:name="_Toc224103354"/>
      <w:bookmarkStart w:id="240" w:name="_Toc3231"/>
      <w:bookmarkStart w:id="241" w:name="_Toc509218747"/>
      <w:bookmarkStart w:id="242" w:name="_Toc287620722"/>
      <w:bookmarkStart w:id="243" w:name="_Toc430530472"/>
      <w:r>
        <w:rPr>
          <w:rFonts w:hint="eastAsia" w:ascii="宋体" w:hAnsi="宋体" w:cs="宋体"/>
          <w:sz w:val="21"/>
          <w:szCs w:val="21"/>
        </w:rPr>
        <w:t>6.3  评标</w:t>
      </w:r>
      <w:bookmarkEnd w:id="235"/>
      <w:bookmarkEnd w:id="236"/>
      <w:bookmarkEnd w:id="237"/>
      <w:bookmarkEnd w:id="238"/>
      <w:bookmarkEnd w:id="239"/>
      <w:bookmarkEnd w:id="240"/>
      <w:bookmarkEnd w:id="241"/>
      <w:bookmarkEnd w:id="242"/>
      <w:bookmarkEnd w:id="243"/>
    </w:p>
    <w:p w14:paraId="1545D315">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评标委员会按照第三章“评标办法”规定的方法、评审因素、标准和程序对投标文件进行评审。第三章“评标办法”没有规定的方法、评审因素和标准，不得作为评标依据。</w:t>
      </w:r>
    </w:p>
    <w:p w14:paraId="2CB266F5">
      <w:pPr>
        <w:pStyle w:val="5"/>
        <w:spacing w:before="0" w:after="0" w:line="360" w:lineRule="auto"/>
        <w:rPr>
          <w:rFonts w:ascii="宋体" w:hAnsi="宋体" w:cs="宋体"/>
          <w:sz w:val="21"/>
          <w:szCs w:val="21"/>
        </w:rPr>
      </w:pPr>
      <w:bookmarkStart w:id="244" w:name="_Toc5190"/>
      <w:bookmarkStart w:id="245" w:name="_Toc216768192"/>
      <w:r>
        <w:rPr>
          <w:rFonts w:hint="eastAsia" w:ascii="宋体" w:hAnsi="宋体" w:cs="宋体"/>
          <w:sz w:val="21"/>
          <w:szCs w:val="21"/>
        </w:rPr>
        <w:t>7. 合同授予</w:t>
      </w:r>
      <w:bookmarkEnd w:id="215"/>
      <w:bookmarkEnd w:id="244"/>
      <w:bookmarkEnd w:id="245"/>
    </w:p>
    <w:p w14:paraId="4359AC95">
      <w:pPr>
        <w:pStyle w:val="5"/>
        <w:spacing w:before="0" w:after="0" w:line="360" w:lineRule="auto"/>
        <w:ind w:firstLine="422" w:firstLineChars="200"/>
        <w:rPr>
          <w:rFonts w:ascii="宋体" w:hAnsi="宋体" w:cs="宋体"/>
          <w:sz w:val="21"/>
          <w:szCs w:val="21"/>
        </w:rPr>
      </w:pPr>
      <w:bookmarkStart w:id="246" w:name="_Toc293756867"/>
      <w:bookmarkStart w:id="247" w:name="_Toc216768193"/>
      <w:bookmarkStart w:id="248" w:name="_Toc13886"/>
      <w:r>
        <w:rPr>
          <w:rFonts w:hint="eastAsia" w:ascii="宋体" w:hAnsi="宋体" w:cs="宋体"/>
          <w:sz w:val="21"/>
          <w:szCs w:val="21"/>
        </w:rPr>
        <w:t>7.1 定选方式</w:t>
      </w:r>
      <w:bookmarkEnd w:id="246"/>
      <w:bookmarkEnd w:id="247"/>
      <w:bookmarkEnd w:id="248"/>
    </w:p>
    <w:p w14:paraId="063D081E">
      <w:pPr>
        <w:spacing w:line="360" w:lineRule="auto"/>
        <w:ind w:firstLine="420" w:firstLineChars="200"/>
        <w:rPr>
          <w:rFonts w:ascii="宋体" w:hAnsi="宋体" w:cs="宋体"/>
          <w:szCs w:val="21"/>
        </w:rPr>
      </w:pPr>
      <w:r>
        <w:rPr>
          <w:rFonts w:hint="eastAsia" w:ascii="宋体" w:hAnsi="宋体" w:cs="宋体"/>
          <w:szCs w:val="21"/>
        </w:rPr>
        <w:t>比选人应当确定排名第一的中标候选人为中标人。排名第一的中标候选人放弃中标、因不可抗力不能履行合同，或者被查实存在影响中标结果的违法行为等情形，不符合中标条件的，比选人可以按照评标委员会提出的中标候选人名单排序依次确定其他中标候选人为中标人，也可以重新招标。</w:t>
      </w:r>
    </w:p>
    <w:p w14:paraId="1BED11F4">
      <w:pPr>
        <w:spacing w:line="360" w:lineRule="auto"/>
        <w:ind w:firstLine="420" w:firstLineChars="200"/>
        <w:rPr>
          <w:rFonts w:ascii="宋体" w:hAnsi="宋体" w:cs="宋体"/>
          <w:szCs w:val="21"/>
        </w:rPr>
      </w:pPr>
      <w:r>
        <w:rPr>
          <w:rFonts w:hint="eastAsia" w:ascii="宋体" w:hAnsi="宋体" w:cs="宋体"/>
          <w:szCs w:val="21"/>
        </w:rPr>
        <w:t>评标委员会推荐中标候选人的人数见投标人须知前附表。</w:t>
      </w:r>
    </w:p>
    <w:p w14:paraId="72B5D7AF">
      <w:pPr>
        <w:pStyle w:val="5"/>
        <w:spacing w:before="0" w:after="0" w:line="360" w:lineRule="auto"/>
        <w:ind w:firstLine="422" w:firstLineChars="200"/>
        <w:rPr>
          <w:rFonts w:ascii="宋体" w:hAnsi="宋体" w:cs="宋体"/>
          <w:sz w:val="21"/>
          <w:szCs w:val="21"/>
        </w:rPr>
      </w:pPr>
      <w:bookmarkStart w:id="249" w:name="_Toc216768194"/>
      <w:bookmarkStart w:id="250" w:name="_Toc17919"/>
      <w:bookmarkStart w:id="251" w:name="_Toc293756868"/>
      <w:r>
        <w:rPr>
          <w:rFonts w:hint="eastAsia" w:ascii="宋体" w:hAnsi="宋体" w:cs="宋体"/>
          <w:sz w:val="21"/>
          <w:szCs w:val="21"/>
        </w:rPr>
        <w:t>7.2 中标通知</w:t>
      </w:r>
      <w:bookmarkEnd w:id="249"/>
      <w:bookmarkEnd w:id="250"/>
      <w:bookmarkEnd w:id="251"/>
    </w:p>
    <w:p w14:paraId="5B015957">
      <w:pPr>
        <w:spacing w:line="360" w:lineRule="auto"/>
        <w:ind w:firstLine="420" w:firstLineChars="200"/>
        <w:rPr>
          <w:rFonts w:ascii="宋体" w:hAnsi="宋体" w:cs="宋体"/>
          <w:szCs w:val="21"/>
        </w:rPr>
      </w:pPr>
      <w:bookmarkStart w:id="252" w:name="_Toc293756869"/>
      <w:r>
        <w:rPr>
          <w:rFonts w:hint="eastAsia" w:ascii="宋体" w:hAnsi="宋体" w:cs="宋体"/>
          <w:szCs w:val="21"/>
        </w:rPr>
        <w:t>比选人在收到评标报告之日起3日内公示中标候选人，公示期不得少于3个工作日。</w:t>
      </w:r>
    </w:p>
    <w:p w14:paraId="6BC0DA17">
      <w:pPr>
        <w:spacing w:line="360" w:lineRule="auto"/>
        <w:ind w:firstLine="420" w:firstLineChars="200"/>
        <w:rPr>
          <w:rFonts w:ascii="宋体" w:hAnsi="宋体" w:cs="宋体"/>
          <w:szCs w:val="21"/>
        </w:rPr>
      </w:pPr>
      <w:r>
        <w:rPr>
          <w:rFonts w:hint="eastAsia" w:ascii="宋体" w:hAnsi="宋体" w:cs="宋体"/>
          <w:szCs w:val="21"/>
        </w:rPr>
        <w:t>在本章第 3.3 款规定的投标有效期内，且未有投标人的异议与投诉，比选人以书面形式向中标人发出中标通知书。</w:t>
      </w:r>
    </w:p>
    <w:p w14:paraId="57EE410B">
      <w:pPr>
        <w:spacing w:line="360" w:lineRule="auto"/>
        <w:ind w:firstLine="422" w:firstLineChars="200"/>
        <w:rPr>
          <w:rFonts w:ascii="宋体" w:hAnsi="宋体" w:cs="宋体"/>
          <w:b/>
          <w:bCs/>
          <w:szCs w:val="21"/>
        </w:rPr>
      </w:pPr>
      <w:r>
        <w:rPr>
          <w:rFonts w:hint="eastAsia" w:ascii="宋体" w:hAnsi="宋体" w:cs="宋体"/>
          <w:b/>
          <w:bCs/>
          <w:szCs w:val="21"/>
        </w:rPr>
        <w:t>7.3 履约担保</w:t>
      </w:r>
      <w:bookmarkEnd w:id="252"/>
    </w:p>
    <w:p w14:paraId="4E59B416">
      <w:pPr>
        <w:pStyle w:val="5"/>
        <w:spacing w:before="0" w:after="0" w:line="360" w:lineRule="auto"/>
        <w:ind w:firstLine="420" w:firstLineChars="200"/>
        <w:rPr>
          <w:rFonts w:ascii="宋体" w:hAnsi="宋体" w:cs="宋体"/>
          <w:b w:val="0"/>
          <w:bCs w:val="0"/>
          <w:sz w:val="21"/>
          <w:szCs w:val="21"/>
        </w:rPr>
      </w:pPr>
      <w:bookmarkStart w:id="253" w:name="_Toc216768195"/>
      <w:bookmarkStart w:id="254" w:name="_Toc5235"/>
      <w:bookmarkStart w:id="255" w:name="_Toc293756870"/>
      <w:r>
        <w:rPr>
          <w:rFonts w:hint="eastAsia" w:ascii="宋体" w:hAnsi="宋体" w:cs="宋体"/>
          <w:b w:val="0"/>
          <w:bCs w:val="0"/>
          <w:sz w:val="21"/>
          <w:szCs w:val="21"/>
        </w:rPr>
        <w:t>无</w:t>
      </w:r>
      <w:bookmarkEnd w:id="253"/>
    </w:p>
    <w:p w14:paraId="2079D428">
      <w:pPr>
        <w:pStyle w:val="5"/>
        <w:spacing w:before="0" w:after="0" w:line="360" w:lineRule="auto"/>
        <w:ind w:firstLine="422" w:firstLineChars="200"/>
        <w:rPr>
          <w:rFonts w:ascii="宋体" w:hAnsi="宋体" w:cs="宋体"/>
          <w:sz w:val="21"/>
          <w:szCs w:val="21"/>
        </w:rPr>
      </w:pPr>
      <w:bookmarkStart w:id="256" w:name="_Toc216768196"/>
      <w:r>
        <w:rPr>
          <w:rFonts w:hint="eastAsia" w:ascii="宋体" w:hAnsi="宋体" w:cs="宋体"/>
          <w:sz w:val="21"/>
          <w:szCs w:val="21"/>
        </w:rPr>
        <w:t>7.4 签订合同</w:t>
      </w:r>
      <w:bookmarkEnd w:id="254"/>
      <w:bookmarkEnd w:id="255"/>
      <w:bookmarkEnd w:id="256"/>
    </w:p>
    <w:p w14:paraId="61263F41">
      <w:pPr>
        <w:spacing w:line="360" w:lineRule="auto"/>
        <w:ind w:firstLine="420" w:firstLineChars="200"/>
        <w:rPr>
          <w:rFonts w:ascii="宋体" w:hAnsi="宋体" w:cs="宋体"/>
          <w:szCs w:val="21"/>
        </w:rPr>
      </w:pPr>
      <w:r>
        <w:rPr>
          <w:rFonts w:hint="eastAsia" w:ascii="宋体" w:hAnsi="宋体" w:cs="宋体"/>
          <w:szCs w:val="21"/>
        </w:rPr>
        <w:t>7.4.1 比选人和中标人应当自中标通知书发出之日起5天内，根据比选文件和中标人的投标文件订立书面合同。中标人放弃中标项目，无正当理由不与比选人签订合同，在签订合同时向比选人提出附加条件或者更改合同实质性内容的，比选人取消其中标资格，其投标保证金不予退还；给比选人造成的损失超过投标保证金数额的，中标人还应当对超过部分予以赔偿。</w:t>
      </w:r>
    </w:p>
    <w:p w14:paraId="35AB43F0">
      <w:pPr>
        <w:spacing w:line="360" w:lineRule="auto"/>
        <w:ind w:firstLine="420" w:firstLineChars="200"/>
        <w:rPr>
          <w:rFonts w:ascii="宋体" w:hAnsi="宋体" w:cs="宋体"/>
          <w:szCs w:val="21"/>
        </w:rPr>
      </w:pPr>
      <w:r>
        <w:rPr>
          <w:rFonts w:hint="eastAsia" w:ascii="宋体" w:hAnsi="宋体" w:cs="宋体"/>
          <w:szCs w:val="21"/>
        </w:rPr>
        <w:t>7.4.2 发出中选通知书后，比选人无正当理由拒签合同的，比选人应向中选人退还比选保证金；给中选人造成损失的，还应当赔偿损失。</w:t>
      </w:r>
    </w:p>
    <w:p w14:paraId="62C26308">
      <w:pPr>
        <w:pStyle w:val="5"/>
        <w:spacing w:before="0" w:after="0" w:line="360" w:lineRule="auto"/>
        <w:rPr>
          <w:rFonts w:ascii="宋体" w:hAnsi="宋体" w:cs="宋体"/>
          <w:sz w:val="21"/>
          <w:szCs w:val="21"/>
        </w:rPr>
      </w:pPr>
      <w:bookmarkStart w:id="257" w:name="_Toc216768197"/>
      <w:bookmarkStart w:id="258" w:name="_Toc21469"/>
      <w:bookmarkStart w:id="259" w:name="_Toc293756871"/>
      <w:r>
        <w:rPr>
          <w:rFonts w:hint="eastAsia" w:ascii="宋体" w:hAnsi="宋体" w:cs="宋体"/>
          <w:sz w:val="21"/>
          <w:szCs w:val="21"/>
        </w:rPr>
        <w:t>8. 重新比选和不再比选</w:t>
      </w:r>
      <w:bookmarkEnd w:id="257"/>
      <w:bookmarkEnd w:id="258"/>
      <w:bookmarkEnd w:id="259"/>
    </w:p>
    <w:p w14:paraId="0B0C80EF">
      <w:pPr>
        <w:keepNext/>
        <w:keepLines/>
        <w:snapToGrid w:val="0"/>
        <w:spacing w:line="360" w:lineRule="auto"/>
        <w:ind w:firstLine="420" w:firstLineChars="200"/>
        <w:outlineLvl w:val="2"/>
        <w:rPr>
          <w:rFonts w:ascii="宋体" w:hAnsi="宋体" w:cs="宋体"/>
          <w:bCs/>
          <w:snapToGrid w:val="0"/>
          <w:szCs w:val="21"/>
        </w:rPr>
      </w:pPr>
      <w:bookmarkStart w:id="260" w:name="_Toc200513170"/>
      <w:bookmarkStart w:id="261" w:name="_Toc287607790"/>
      <w:bookmarkStart w:id="262" w:name="_Toc277082596"/>
      <w:bookmarkStart w:id="263" w:name="_Toc509218754"/>
      <w:bookmarkStart w:id="264" w:name="_Toc430530479"/>
      <w:bookmarkStart w:id="265" w:name="_Toc224103361"/>
      <w:bookmarkStart w:id="266" w:name="_Toc287620729"/>
      <w:bookmarkStart w:id="267" w:name="_Toc27002"/>
      <w:bookmarkStart w:id="268" w:name="_Toc216768198"/>
      <w:bookmarkStart w:id="269" w:name="_Toc284231394"/>
      <w:bookmarkStart w:id="270" w:name="_Toc293756873"/>
      <w:r>
        <w:rPr>
          <w:rFonts w:hint="eastAsia" w:ascii="宋体" w:hAnsi="宋体" w:cs="宋体"/>
          <w:bCs/>
          <w:snapToGrid w:val="0"/>
          <w:szCs w:val="21"/>
        </w:rPr>
        <w:t>8.1  重新</w:t>
      </w:r>
      <w:bookmarkEnd w:id="260"/>
      <w:bookmarkEnd w:id="261"/>
      <w:bookmarkEnd w:id="262"/>
      <w:bookmarkEnd w:id="263"/>
      <w:bookmarkEnd w:id="264"/>
      <w:bookmarkEnd w:id="265"/>
      <w:bookmarkEnd w:id="266"/>
      <w:r>
        <w:rPr>
          <w:rFonts w:hint="eastAsia" w:ascii="宋体" w:hAnsi="宋体" w:cs="宋体"/>
          <w:bCs/>
          <w:snapToGrid w:val="0"/>
          <w:szCs w:val="21"/>
        </w:rPr>
        <w:t>比选</w:t>
      </w:r>
      <w:bookmarkEnd w:id="267"/>
      <w:bookmarkEnd w:id="268"/>
    </w:p>
    <w:p w14:paraId="23C90E09">
      <w:pPr>
        <w:autoSpaceDE w:val="0"/>
        <w:autoSpaceDN w:val="0"/>
        <w:adjustRightInd w:val="0"/>
        <w:snapToGrid w:val="0"/>
        <w:spacing w:line="360" w:lineRule="auto"/>
        <w:ind w:left="359" w:leftChars="171" w:firstLine="420" w:firstLineChars="200"/>
        <w:rPr>
          <w:rFonts w:ascii="宋体" w:hAnsi="宋体" w:cs="宋体"/>
          <w:snapToGrid w:val="0"/>
          <w:kern w:val="0"/>
          <w:szCs w:val="21"/>
        </w:rPr>
      </w:pPr>
      <w:r>
        <w:rPr>
          <w:rFonts w:hint="eastAsia" w:ascii="宋体" w:hAnsi="宋体" w:cs="宋体"/>
          <w:snapToGrid w:val="0"/>
          <w:kern w:val="0"/>
          <w:szCs w:val="21"/>
        </w:rPr>
        <w:t>有下列情形之一的，比选人将重新比选：</w:t>
      </w:r>
    </w:p>
    <w:p w14:paraId="3B5A7662">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（1）投标截止时间止，投标人少于 3 个的；</w:t>
      </w:r>
    </w:p>
    <w:p w14:paraId="53FFFD9A">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（2）经评标委员会评审后否决所有投标的；</w:t>
      </w:r>
    </w:p>
    <w:p w14:paraId="2A31474D">
      <w:pPr>
        <w:widowControl/>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3）经评标委员会评审后部分投标被否决，导致有效投标人不足三个的，评标委员会应当否决所有投标。但是有效投标人的经济、技术等指标仍然具有市场竞争力，能够满足比选文件要求的，评标委员会可以继续评标并确定中标候选人。</w:t>
      </w:r>
    </w:p>
    <w:p w14:paraId="231AB947">
      <w:pPr>
        <w:widowControl/>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（4）法律法规规定的其他情形。</w:t>
      </w:r>
    </w:p>
    <w:p w14:paraId="19CCC44A">
      <w:pPr>
        <w:pStyle w:val="5"/>
        <w:spacing w:before="0" w:after="0" w:line="360" w:lineRule="auto"/>
        <w:ind w:firstLine="422" w:firstLineChars="200"/>
        <w:rPr>
          <w:rFonts w:ascii="宋体" w:hAnsi="宋体" w:cs="宋体"/>
          <w:sz w:val="21"/>
          <w:szCs w:val="21"/>
        </w:rPr>
      </w:pPr>
      <w:bookmarkStart w:id="271" w:name="_Toc28804"/>
      <w:bookmarkStart w:id="272" w:name="_Toc216768199"/>
      <w:r>
        <w:rPr>
          <w:rFonts w:hint="eastAsia" w:ascii="宋体" w:hAnsi="宋体" w:cs="宋体"/>
          <w:sz w:val="21"/>
          <w:szCs w:val="21"/>
        </w:rPr>
        <w:t>8.2 不再</w:t>
      </w:r>
      <w:bookmarkEnd w:id="269"/>
      <w:bookmarkEnd w:id="270"/>
      <w:r>
        <w:rPr>
          <w:rFonts w:hint="eastAsia" w:ascii="宋体" w:hAnsi="宋体" w:cs="宋体"/>
          <w:sz w:val="21"/>
          <w:szCs w:val="21"/>
        </w:rPr>
        <w:t>比选</w:t>
      </w:r>
      <w:bookmarkEnd w:id="271"/>
      <w:bookmarkEnd w:id="272"/>
    </w:p>
    <w:p w14:paraId="51A10372">
      <w:pPr>
        <w:spacing w:line="360" w:lineRule="auto"/>
        <w:ind w:firstLine="420" w:firstLineChars="200"/>
        <w:rPr>
          <w:rFonts w:ascii="宋体" w:hAnsi="宋体" w:cs="宋体"/>
          <w:szCs w:val="21"/>
        </w:rPr>
      </w:pPr>
      <w:bookmarkStart w:id="273" w:name="_Toc284158456"/>
      <w:bookmarkStart w:id="274" w:name="_Toc293756874"/>
      <w:bookmarkStart w:id="275" w:name="_Toc284158539"/>
      <w:bookmarkStart w:id="276" w:name="_Toc288046541"/>
      <w:bookmarkStart w:id="277" w:name="_Toc284159360"/>
      <w:bookmarkStart w:id="278" w:name="_Toc288046894"/>
      <w:bookmarkStart w:id="279" w:name="_Toc284159224"/>
      <w:bookmarkStart w:id="280" w:name="_Toc288052291"/>
      <w:bookmarkStart w:id="281" w:name="_Toc284231395"/>
      <w:bookmarkStart w:id="282" w:name="_Toc288045280"/>
      <w:r>
        <w:rPr>
          <w:rFonts w:hint="eastAsia" w:ascii="宋体" w:hAnsi="宋体" w:cs="宋体"/>
          <w:szCs w:val="21"/>
        </w:rPr>
        <w:t>重新比选后投标人仍少于三个的，按法定程序开展比选和评审，确定中选人。经评审无合格投标人，属于审批或核准项目的，报经原审批部门批准可以不再比选。</w:t>
      </w:r>
      <w:bookmarkEnd w:id="273"/>
      <w:bookmarkEnd w:id="274"/>
      <w:bookmarkEnd w:id="275"/>
      <w:bookmarkEnd w:id="276"/>
      <w:bookmarkEnd w:id="277"/>
      <w:bookmarkEnd w:id="278"/>
      <w:bookmarkEnd w:id="279"/>
      <w:bookmarkEnd w:id="280"/>
      <w:bookmarkEnd w:id="281"/>
      <w:bookmarkEnd w:id="282"/>
    </w:p>
    <w:p w14:paraId="1D8B4A3D">
      <w:pPr>
        <w:pStyle w:val="5"/>
        <w:spacing w:before="0" w:after="0" w:line="360" w:lineRule="auto"/>
        <w:rPr>
          <w:rFonts w:ascii="宋体" w:hAnsi="宋体" w:cs="宋体"/>
          <w:sz w:val="21"/>
          <w:szCs w:val="21"/>
        </w:rPr>
      </w:pPr>
      <w:bookmarkStart w:id="283" w:name="_Toc224103363"/>
      <w:bookmarkStart w:id="284" w:name="_Toc509218756"/>
      <w:bookmarkStart w:id="285" w:name="_Toc277082598"/>
      <w:bookmarkStart w:id="286" w:name="_Toc287607792"/>
      <w:bookmarkStart w:id="287" w:name="_Toc31090"/>
      <w:bookmarkStart w:id="288" w:name="_Toc36043737"/>
      <w:bookmarkStart w:id="289" w:name="_Toc287620731"/>
      <w:bookmarkStart w:id="290" w:name="_Toc216768200"/>
      <w:bookmarkStart w:id="291" w:name="_Toc200513172"/>
      <w:bookmarkStart w:id="292" w:name="_Toc430530481"/>
      <w:r>
        <w:rPr>
          <w:rFonts w:hint="eastAsia" w:ascii="宋体" w:hAnsi="宋体" w:cs="宋体"/>
          <w:sz w:val="21"/>
          <w:szCs w:val="21"/>
        </w:rPr>
        <w:t>9.  纪律和监督</w:t>
      </w:r>
      <w:bookmarkEnd w:id="283"/>
      <w:bookmarkEnd w:id="284"/>
      <w:bookmarkEnd w:id="285"/>
      <w:bookmarkEnd w:id="286"/>
      <w:bookmarkEnd w:id="287"/>
      <w:bookmarkEnd w:id="288"/>
      <w:bookmarkEnd w:id="289"/>
      <w:bookmarkEnd w:id="290"/>
      <w:bookmarkEnd w:id="291"/>
      <w:bookmarkEnd w:id="292"/>
    </w:p>
    <w:p w14:paraId="460D7CBD">
      <w:pPr>
        <w:keepNext/>
        <w:keepLines/>
        <w:snapToGrid w:val="0"/>
        <w:spacing w:line="360" w:lineRule="auto"/>
        <w:outlineLvl w:val="2"/>
        <w:rPr>
          <w:rFonts w:ascii="宋体" w:hAnsi="宋体" w:cs="宋体"/>
          <w:bCs/>
          <w:snapToGrid w:val="0"/>
          <w:szCs w:val="21"/>
        </w:rPr>
      </w:pPr>
      <w:bookmarkStart w:id="293" w:name="_Toc287620732"/>
      <w:bookmarkStart w:id="294" w:name="_Toc430530482"/>
      <w:bookmarkStart w:id="295" w:name="_Toc509218757"/>
      <w:bookmarkStart w:id="296" w:name="_Toc25463"/>
      <w:bookmarkStart w:id="297" w:name="_Toc277082599"/>
      <w:bookmarkStart w:id="298" w:name="_Toc200513173"/>
      <w:bookmarkStart w:id="299" w:name="_Toc287607793"/>
      <w:bookmarkStart w:id="300" w:name="_Toc224103364"/>
      <w:bookmarkStart w:id="301" w:name="_Toc216768201"/>
      <w:r>
        <w:rPr>
          <w:rFonts w:hint="eastAsia" w:ascii="宋体" w:hAnsi="宋体" w:cs="宋体"/>
          <w:bCs/>
          <w:snapToGrid w:val="0"/>
          <w:szCs w:val="21"/>
        </w:rPr>
        <w:t>9.1  对比选人的纪律要求</w:t>
      </w:r>
      <w:bookmarkEnd w:id="293"/>
      <w:bookmarkEnd w:id="294"/>
      <w:bookmarkEnd w:id="295"/>
      <w:bookmarkEnd w:id="296"/>
      <w:bookmarkEnd w:id="297"/>
      <w:bookmarkEnd w:id="298"/>
      <w:bookmarkEnd w:id="299"/>
      <w:bookmarkEnd w:id="300"/>
      <w:bookmarkEnd w:id="301"/>
    </w:p>
    <w:p w14:paraId="64F8AA82">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napToGrid w:val="0"/>
          <w:kern w:val="0"/>
          <w:szCs w:val="21"/>
        </w:rPr>
        <w:t>比选人不得泄漏招标投标活动中应当保密的情况和资料，不得与投标人串通损害国家利 益、社会公共利益或者他人合法权益，</w:t>
      </w:r>
      <w:r>
        <w:rPr>
          <w:rFonts w:hint="eastAsia" w:ascii="宋体" w:hAnsi="宋体" w:cs="宋体"/>
          <w:szCs w:val="21"/>
        </w:rPr>
        <w:t>禁止比选人与投标人串通投标。</w:t>
      </w:r>
    </w:p>
    <w:p w14:paraId="3E743B11">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有下列情形之一的，属于比选人与投标人串通投标：</w:t>
      </w:r>
    </w:p>
    <w:p w14:paraId="40B2FBC0">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（1）比选人在开标前开启投标文件并将有关信息泄露给其他投标人；</w:t>
      </w:r>
    </w:p>
    <w:p w14:paraId="5FA20D4F">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（2）比选人直接或者间接向投标人泄露标底、评标委员会成员等信息；</w:t>
      </w:r>
    </w:p>
    <w:p w14:paraId="3AD4D7D4">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（3）比选人明示或者暗示投标人压低或者抬高投标报价；</w:t>
      </w:r>
    </w:p>
    <w:p w14:paraId="370B8FEA">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（4）比选人授意投标人撤换、修改投标文件；</w:t>
      </w:r>
    </w:p>
    <w:p w14:paraId="0A235C4F">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（5）比选人明示或者暗示投标人为特定投标人中标提供方便；</w:t>
      </w:r>
    </w:p>
    <w:p w14:paraId="053D2123">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zCs w:val="21"/>
        </w:rPr>
        <w:t>（6）比选人与投标人为谋求特定投标人中标而采取的其他串通行为。</w:t>
      </w:r>
    </w:p>
    <w:p w14:paraId="6B5A1D0C">
      <w:pPr>
        <w:keepNext/>
        <w:keepLines/>
        <w:snapToGrid w:val="0"/>
        <w:spacing w:line="360" w:lineRule="auto"/>
        <w:ind w:firstLine="420" w:firstLineChars="200"/>
        <w:outlineLvl w:val="2"/>
        <w:rPr>
          <w:rFonts w:ascii="宋体" w:hAnsi="宋体" w:cs="宋体"/>
          <w:bCs/>
          <w:snapToGrid w:val="0"/>
          <w:szCs w:val="21"/>
        </w:rPr>
      </w:pPr>
      <w:bookmarkStart w:id="302" w:name="_Toc287607794"/>
      <w:bookmarkStart w:id="303" w:name="_Toc200513174"/>
      <w:bookmarkStart w:id="304" w:name="_Toc224103365"/>
      <w:bookmarkStart w:id="305" w:name="_Toc14890"/>
      <w:bookmarkStart w:id="306" w:name="_Toc216768202"/>
      <w:bookmarkStart w:id="307" w:name="_Toc277082600"/>
      <w:bookmarkStart w:id="308" w:name="_Toc430530483"/>
      <w:bookmarkStart w:id="309" w:name="_Toc509218758"/>
      <w:bookmarkStart w:id="310" w:name="_Toc287620733"/>
      <w:r>
        <w:rPr>
          <w:rFonts w:hint="eastAsia" w:ascii="宋体" w:hAnsi="宋体" w:cs="宋体"/>
          <w:bCs/>
          <w:snapToGrid w:val="0"/>
          <w:szCs w:val="21"/>
        </w:rPr>
        <w:t>9.2  对投标人的纪律要求</w:t>
      </w:r>
      <w:bookmarkEnd w:id="302"/>
      <w:bookmarkEnd w:id="303"/>
      <w:bookmarkEnd w:id="304"/>
      <w:bookmarkEnd w:id="305"/>
      <w:bookmarkEnd w:id="306"/>
      <w:bookmarkEnd w:id="307"/>
      <w:bookmarkEnd w:id="308"/>
      <w:bookmarkEnd w:id="309"/>
      <w:bookmarkEnd w:id="310"/>
    </w:p>
    <w:p w14:paraId="22344625">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napToGrid w:val="0"/>
          <w:kern w:val="0"/>
          <w:szCs w:val="21"/>
        </w:rPr>
        <w:t>投标人不得相互串通投标或者与比选人串通投标，不得向比选人或者评标委员会成员行贿谋取中标，不得以他人名义投标或者以其他方式弄虚作假骗取中标；投标人不得以任何方式干扰、影响评标工作。</w:t>
      </w:r>
      <w:r>
        <w:rPr>
          <w:rFonts w:hint="eastAsia" w:ascii="宋体" w:hAnsi="宋体" w:cs="宋体"/>
          <w:szCs w:val="21"/>
        </w:rPr>
        <w:t>有下列情形之一的，属于投标人相互串通投标：</w:t>
      </w:r>
    </w:p>
    <w:p w14:paraId="375F0A42">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（1）投标人之间协商投标报价等投标文件的实质性内容；</w:t>
      </w:r>
    </w:p>
    <w:p w14:paraId="7D7598E3">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（2）投标人之间约定中标人；</w:t>
      </w:r>
    </w:p>
    <w:p w14:paraId="453316A0">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（3）投标人之间约定部分投标人放弃投标或者中标；</w:t>
      </w:r>
    </w:p>
    <w:p w14:paraId="0D48BD28">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（4）属于同一集团、协会、商会等组织成员的投标人按照该组织要求协同投标；</w:t>
      </w:r>
    </w:p>
    <w:p w14:paraId="7790C8B1">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（5）投标人之间为谋取中标或者排斥特定投标人而采取的其他联合行动。</w:t>
      </w:r>
    </w:p>
    <w:p w14:paraId="243A4ADF">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有下列情形之一的，视为投标人相互串通投标：</w:t>
      </w:r>
    </w:p>
    <w:p w14:paraId="306B0590">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（1）不同投标人的投标文件由同一单位或者个人编制；</w:t>
      </w:r>
    </w:p>
    <w:p w14:paraId="4C0F805C">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（2）不同投标人委托同一单位或者个人办理投标事宜；</w:t>
      </w:r>
    </w:p>
    <w:p w14:paraId="754EF671">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（3）不同投标人的投标文件载明的项目管理成员为同一人；</w:t>
      </w:r>
    </w:p>
    <w:p w14:paraId="56C5FEF4">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（4）不同投标人的投标文件异常一致或者投标报价呈规律性差异；</w:t>
      </w:r>
    </w:p>
    <w:p w14:paraId="21B09138">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（5）不同投标人的投标文件相互混装；</w:t>
      </w:r>
    </w:p>
    <w:p w14:paraId="37B52FBC">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（6）不同投标人的投标保证金从同一单位或者个人的账户转出。</w:t>
      </w:r>
    </w:p>
    <w:p w14:paraId="79024969">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使用通过受让或者租借等方式获取的资格、资质证书投标的，属于以他人名义投标。</w:t>
      </w:r>
    </w:p>
    <w:p w14:paraId="2B4FD445">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投标人有下列情形之一的，属于以其他方式弄虚作假的行为：</w:t>
      </w:r>
    </w:p>
    <w:p w14:paraId="045EEF51">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（一）使用伪造、变造的许可证件；</w:t>
      </w:r>
    </w:p>
    <w:p w14:paraId="79F8D1B7">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（二）提供虚假的财务状况或者业绩；</w:t>
      </w:r>
    </w:p>
    <w:p w14:paraId="571D2542">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（三）提供虚假的项目负责人或者主要技术人员简历、劳动关系证明；</w:t>
      </w:r>
    </w:p>
    <w:p w14:paraId="537B84EA">
      <w:pPr>
        <w:autoSpaceDE w:val="0"/>
        <w:autoSpaceDN w:val="0"/>
        <w:adjustRightInd w:val="0"/>
        <w:snapToGrid w:val="0"/>
        <w:spacing w:line="360" w:lineRule="auto"/>
        <w:ind w:firstLine="420" w:firstLineChars="200"/>
        <w:rPr>
          <w:rFonts w:ascii="宋体" w:hAnsi="宋体" w:cs="宋体"/>
          <w:szCs w:val="21"/>
        </w:rPr>
      </w:pPr>
      <w:r>
        <w:rPr>
          <w:rFonts w:hint="eastAsia" w:ascii="宋体" w:hAnsi="宋体" w:cs="宋体"/>
          <w:szCs w:val="21"/>
        </w:rPr>
        <w:t>（四）提供虚假的信用状况；</w:t>
      </w:r>
    </w:p>
    <w:p w14:paraId="59AFAAD3">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zCs w:val="21"/>
        </w:rPr>
        <w:t>（五）其他弄虚作假的行为。</w:t>
      </w:r>
    </w:p>
    <w:p w14:paraId="6031C413">
      <w:pPr>
        <w:keepNext/>
        <w:keepLines/>
        <w:snapToGrid w:val="0"/>
        <w:spacing w:line="360" w:lineRule="auto"/>
        <w:ind w:firstLine="420" w:firstLineChars="200"/>
        <w:outlineLvl w:val="2"/>
        <w:rPr>
          <w:rFonts w:ascii="宋体" w:hAnsi="宋体" w:cs="宋体"/>
          <w:bCs/>
          <w:snapToGrid w:val="0"/>
          <w:szCs w:val="21"/>
        </w:rPr>
      </w:pPr>
      <w:bookmarkStart w:id="311" w:name="_Toc287607795"/>
      <w:bookmarkStart w:id="312" w:name="_Toc20024"/>
      <w:bookmarkStart w:id="313" w:name="_Toc287620734"/>
      <w:bookmarkStart w:id="314" w:name="_Toc224103366"/>
      <w:bookmarkStart w:id="315" w:name="_Toc509218759"/>
      <w:bookmarkStart w:id="316" w:name="_Toc216768203"/>
      <w:bookmarkStart w:id="317" w:name="_Toc430530484"/>
      <w:bookmarkStart w:id="318" w:name="_Toc277082601"/>
      <w:bookmarkStart w:id="319" w:name="_Toc200513175"/>
      <w:r>
        <w:rPr>
          <w:rFonts w:hint="eastAsia" w:ascii="宋体" w:hAnsi="宋体" w:cs="宋体"/>
          <w:bCs/>
          <w:snapToGrid w:val="0"/>
          <w:szCs w:val="21"/>
        </w:rPr>
        <w:t>9.3  对评标委员会成员的纪律要求</w:t>
      </w:r>
      <w:bookmarkEnd w:id="311"/>
      <w:bookmarkEnd w:id="312"/>
      <w:bookmarkEnd w:id="313"/>
      <w:bookmarkEnd w:id="314"/>
      <w:bookmarkEnd w:id="315"/>
      <w:bookmarkEnd w:id="316"/>
      <w:bookmarkEnd w:id="317"/>
      <w:bookmarkEnd w:id="318"/>
      <w:bookmarkEnd w:id="319"/>
    </w:p>
    <w:p w14:paraId="69F4A7F4">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2800FE75">
      <w:pPr>
        <w:keepNext/>
        <w:keepLines/>
        <w:snapToGrid w:val="0"/>
        <w:spacing w:line="360" w:lineRule="auto"/>
        <w:ind w:firstLine="420" w:firstLineChars="200"/>
        <w:outlineLvl w:val="2"/>
        <w:rPr>
          <w:rFonts w:ascii="宋体" w:hAnsi="宋体" w:cs="宋体"/>
          <w:bCs/>
          <w:snapToGrid w:val="0"/>
          <w:szCs w:val="21"/>
        </w:rPr>
      </w:pPr>
      <w:bookmarkStart w:id="320" w:name="_Toc1608"/>
      <w:bookmarkStart w:id="321" w:name="_Toc216768204"/>
      <w:bookmarkStart w:id="322" w:name="_Toc287620735"/>
      <w:bookmarkStart w:id="323" w:name="_Toc509218760"/>
      <w:bookmarkStart w:id="324" w:name="_Toc224103367"/>
      <w:bookmarkStart w:id="325" w:name="_Toc287607796"/>
      <w:bookmarkStart w:id="326" w:name="_Toc200513176"/>
      <w:bookmarkStart w:id="327" w:name="_Toc430530485"/>
      <w:bookmarkStart w:id="328" w:name="_Toc277082602"/>
      <w:r>
        <w:rPr>
          <w:rFonts w:hint="eastAsia" w:ascii="宋体" w:hAnsi="宋体" w:cs="宋体"/>
          <w:bCs/>
          <w:snapToGrid w:val="0"/>
          <w:szCs w:val="21"/>
        </w:rPr>
        <w:t>9.4  对与评标活动有关的工作人员的纪律要求</w:t>
      </w:r>
      <w:bookmarkEnd w:id="320"/>
      <w:bookmarkEnd w:id="321"/>
      <w:bookmarkEnd w:id="322"/>
      <w:bookmarkEnd w:id="323"/>
      <w:bookmarkEnd w:id="324"/>
      <w:bookmarkEnd w:id="325"/>
      <w:bookmarkEnd w:id="326"/>
      <w:bookmarkEnd w:id="327"/>
      <w:bookmarkEnd w:id="328"/>
    </w:p>
    <w:p w14:paraId="71BADA7C">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14:paraId="47E693D9">
      <w:pPr>
        <w:keepNext/>
        <w:keepLines/>
        <w:snapToGrid w:val="0"/>
        <w:spacing w:line="360" w:lineRule="auto"/>
        <w:ind w:firstLine="420" w:firstLineChars="200"/>
        <w:outlineLvl w:val="2"/>
        <w:rPr>
          <w:rFonts w:ascii="宋体" w:hAnsi="宋体" w:cs="宋体"/>
          <w:bCs/>
          <w:snapToGrid w:val="0"/>
          <w:szCs w:val="21"/>
        </w:rPr>
      </w:pPr>
      <w:bookmarkStart w:id="329" w:name="_Toc277082603"/>
      <w:bookmarkStart w:id="330" w:name="_Toc287607797"/>
      <w:bookmarkStart w:id="331" w:name="_Toc200513177"/>
      <w:bookmarkStart w:id="332" w:name="_Toc430530486"/>
      <w:bookmarkStart w:id="333" w:name="_Toc2907"/>
      <w:bookmarkStart w:id="334" w:name="_Toc509218761"/>
      <w:bookmarkStart w:id="335" w:name="_Toc287620736"/>
      <w:bookmarkStart w:id="336" w:name="_Toc224103368"/>
      <w:bookmarkStart w:id="337" w:name="_Toc216768205"/>
      <w:r>
        <w:rPr>
          <w:rFonts w:hint="eastAsia" w:ascii="宋体" w:hAnsi="宋体" w:cs="宋体"/>
          <w:bCs/>
          <w:snapToGrid w:val="0"/>
          <w:szCs w:val="21"/>
        </w:rPr>
        <w:t>9.5  投诉</w:t>
      </w:r>
      <w:bookmarkEnd w:id="329"/>
      <w:bookmarkEnd w:id="330"/>
      <w:bookmarkEnd w:id="331"/>
      <w:bookmarkEnd w:id="332"/>
      <w:bookmarkEnd w:id="333"/>
      <w:bookmarkEnd w:id="334"/>
      <w:bookmarkEnd w:id="335"/>
      <w:bookmarkEnd w:id="336"/>
      <w:bookmarkEnd w:id="337"/>
    </w:p>
    <w:p w14:paraId="2C63B812">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投标人和其他利害关系人认为本次招标活动违反法律、法规和规章规定的，有权向有关行政监督部门投诉。</w:t>
      </w:r>
    </w:p>
    <w:p w14:paraId="49B6D5FB">
      <w:pPr>
        <w:keepNext/>
        <w:keepLines/>
        <w:spacing w:line="360" w:lineRule="auto"/>
        <w:ind w:firstLine="420" w:firstLineChars="200"/>
        <w:rPr>
          <w:rFonts w:ascii="宋体" w:hAnsi="宋体" w:cs="宋体"/>
          <w:bCs/>
          <w:snapToGrid w:val="0"/>
          <w:szCs w:val="21"/>
        </w:rPr>
      </w:pPr>
      <w:bookmarkStart w:id="338" w:name="_Toc287620737"/>
      <w:bookmarkStart w:id="339" w:name="_Toc277082604"/>
      <w:bookmarkStart w:id="340" w:name="_Toc287607798"/>
      <w:bookmarkStart w:id="341" w:name="_Toc224103369"/>
      <w:bookmarkStart w:id="342" w:name="_Toc430530487"/>
      <w:bookmarkStart w:id="343" w:name="_Toc36043738"/>
      <w:bookmarkStart w:id="344" w:name="_Toc509218762"/>
      <w:bookmarkStart w:id="345" w:name="_Toc200513178"/>
      <w:r>
        <w:rPr>
          <w:rFonts w:hint="eastAsia" w:ascii="宋体" w:hAnsi="宋体" w:cs="宋体"/>
          <w:bCs/>
          <w:snapToGrid w:val="0"/>
          <w:szCs w:val="21"/>
        </w:rPr>
        <w:t>10. 需要补充的其他内容</w:t>
      </w:r>
      <w:bookmarkEnd w:id="338"/>
      <w:bookmarkEnd w:id="339"/>
      <w:bookmarkEnd w:id="340"/>
      <w:bookmarkEnd w:id="341"/>
      <w:bookmarkEnd w:id="342"/>
      <w:bookmarkEnd w:id="343"/>
      <w:bookmarkEnd w:id="344"/>
      <w:bookmarkEnd w:id="345"/>
    </w:p>
    <w:p w14:paraId="11628BFC">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需要补充的其他内容：见投标人须知前附表。</w:t>
      </w:r>
    </w:p>
    <w:p w14:paraId="067B9F48">
      <w:pPr>
        <w:spacing w:line="360" w:lineRule="auto"/>
        <w:ind w:firstLine="240" w:firstLineChars="100"/>
        <w:rPr>
          <w:rFonts w:ascii="宋体" w:hAnsi="宋体" w:cs="宋体"/>
          <w:sz w:val="24"/>
        </w:rPr>
        <w:sectPr>
          <w:footerReference r:id="rId13" w:type="first"/>
          <w:footerReference r:id="rId12" w:type="default"/>
          <w:pgSz w:w="11906" w:h="16838"/>
          <w:pgMar w:top="1134" w:right="1418" w:bottom="1134" w:left="1418" w:header="851" w:footer="992" w:gutter="0"/>
          <w:cols w:space="720" w:num="1"/>
          <w:docGrid w:type="lines" w:linePitch="312" w:charSpace="0"/>
        </w:sectPr>
      </w:pPr>
    </w:p>
    <w:p w14:paraId="6BAA6B2F">
      <w:pPr>
        <w:pStyle w:val="3"/>
        <w:spacing w:line="360" w:lineRule="auto"/>
        <w:ind w:firstLine="883" w:firstLineChars="200"/>
        <w:jc w:val="center"/>
        <w:rPr>
          <w:rFonts w:ascii="宋体" w:hAnsi="宋体"/>
        </w:rPr>
      </w:pPr>
      <w:bookmarkStart w:id="346" w:name="_Toc6128"/>
      <w:bookmarkStart w:id="347" w:name="_Toc509218774"/>
      <w:bookmarkStart w:id="348" w:name="_Toc216768206"/>
      <w:bookmarkStart w:id="349" w:name="_Toc287607812"/>
      <w:bookmarkStart w:id="350" w:name="_Toc224103384"/>
      <w:bookmarkStart w:id="351" w:name="_Toc287620751"/>
      <w:bookmarkStart w:id="352" w:name="_Toc200513198"/>
      <w:bookmarkStart w:id="353" w:name="_Toc277082618"/>
      <w:bookmarkStart w:id="354" w:name="_Toc430530500"/>
      <w:r>
        <w:rPr>
          <w:rFonts w:ascii="宋体" w:hAnsi="宋体"/>
        </w:rPr>
        <w:t xml:space="preserve">第三章 </w:t>
      </w:r>
      <w:r>
        <w:rPr>
          <w:rFonts w:hint="eastAsia" w:ascii="宋体" w:hAnsi="宋体"/>
        </w:rPr>
        <w:t xml:space="preserve"> </w:t>
      </w:r>
      <w:r>
        <w:rPr>
          <w:rFonts w:ascii="宋体" w:hAnsi="宋体"/>
        </w:rPr>
        <w:t>评标办法（综合评估法）</w:t>
      </w:r>
      <w:bookmarkEnd w:id="346"/>
      <w:bookmarkEnd w:id="347"/>
      <w:bookmarkEnd w:id="348"/>
      <w:bookmarkStart w:id="355" w:name="_Toc430530499"/>
      <w:bookmarkStart w:id="356" w:name="_Toc287620750"/>
      <w:bookmarkStart w:id="357" w:name="_Toc277082617"/>
      <w:bookmarkStart w:id="358" w:name="_Toc287607811"/>
      <w:bookmarkStart w:id="359" w:name="_Toc224103383"/>
    </w:p>
    <w:p w14:paraId="2D403416">
      <w:pPr>
        <w:pStyle w:val="4"/>
        <w:spacing w:before="100" w:after="100" w:line="360" w:lineRule="auto"/>
        <w:rPr>
          <w:rFonts w:ascii="宋体" w:hAnsi="宋体"/>
        </w:rPr>
      </w:pPr>
      <w:bookmarkStart w:id="360" w:name="_Toc216768207"/>
      <w:bookmarkStart w:id="361" w:name="_Toc32566"/>
      <w:bookmarkStart w:id="362" w:name="_Toc14663"/>
      <w:bookmarkStart w:id="363" w:name="_Toc509218775"/>
      <w:r>
        <w:rPr>
          <w:rFonts w:hint="eastAsia" w:ascii="宋体" w:hAnsi="宋体"/>
        </w:rPr>
        <w:t>评标办法前附表</w:t>
      </w:r>
      <w:bookmarkEnd w:id="360"/>
      <w:bookmarkEnd w:id="361"/>
      <w:bookmarkEnd w:id="362"/>
      <w:bookmarkEnd w:id="363"/>
    </w:p>
    <w:p w14:paraId="53C1F2CA">
      <w:pPr>
        <w:spacing w:line="360" w:lineRule="auto"/>
        <w:ind w:firstLine="420" w:firstLineChars="200"/>
        <w:rPr>
          <w:szCs w:val="21"/>
        </w:rPr>
      </w:pPr>
      <w:r>
        <w:rPr>
          <w:szCs w:val="21"/>
        </w:rPr>
        <w:t>评标办法中的评审内容必须和</w:t>
      </w:r>
      <w:r>
        <w:rPr>
          <w:rFonts w:hint="eastAsia"/>
          <w:szCs w:val="21"/>
        </w:rPr>
        <w:t>投标人</w:t>
      </w:r>
      <w:r>
        <w:rPr>
          <w:szCs w:val="21"/>
        </w:rPr>
        <w:t>须知中的对应内容一致，若</w:t>
      </w:r>
      <w:r>
        <w:rPr>
          <w:rFonts w:hint="eastAsia"/>
          <w:szCs w:val="21"/>
        </w:rPr>
        <w:t>投标人</w:t>
      </w:r>
      <w:r>
        <w:rPr>
          <w:szCs w:val="21"/>
        </w:rPr>
        <w:t>须知中未作要求的内容，不得列入评标办法作为评定依据。</w:t>
      </w:r>
    </w:p>
    <w:bookmarkEnd w:id="355"/>
    <w:bookmarkEnd w:id="356"/>
    <w:bookmarkEnd w:id="357"/>
    <w:bookmarkEnd w:id="358"/>
    <w:bookmarkEnd w:id="359"/>
    <w:tbl>
      <w:tblPr>
        <w:tblStyle w:val="45"/>
        <w:tblW w:w="947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
        <w:gridCol w:w="567"/>
        <w:gridCol w:w="568"/>
        <w:gridCol w:w="978"/>
        <w:gridCol w:w="1013"/>
        <w:gridCol w:w="5493"/>
      </w:tblGrid>
      <w:tr w14:paraId="26EE3D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7E11E356">
            <w:pPr>
              <w:spacing w:line="400" w:lineRule="exact"/>
              <w:jc w:val="center"/>
              <w:rPr>
                <w:rFonts w:ascii="宋体" w:hAnsi="宋体"/>
                <w:b/>
                <w:kern w:val="0"/>
              </w:rPr>
            </w:pPr>
            <w:bookmarkStart w:id="364" w:name="_Toc509218776"/>
            <w:r>
              <w:rPr>
                <w:rFonts w:ascii="宋体" w:hAnsi="宋体"/>
                <w:b/>
                <w:kern w:val="0"/>
              </w:rPr>
              <w:t>条款号</w:t>
            </w:r>
          </w:p>
        </w:tc>
        <w:tc>
          <w:tcPr>
            <w:tcW w:w="2559" w:type="dxa"/>
            <w:gridSpan w:val="3"/>
            <w:vAlign w:val="center"/>
          </w:tcPr>
          <w:p w14:paraId="237D9864">
            <w:pPr>
              <w:spacing w:line="400" w:lineRule="exact"/>
              <w:jc w:val="center"/>
              <w:rPr>
                <w:rFonts w:ascii="宋体" w:hAnsi="宋体"/>
                <w:b/>
                <w:kern w:val="0"/>
              </w:rPr>
            </w:pPr>
            <w:r>
              <w:rPr>
                <w:rFonts w:ascii="宋体" w:hAnsi="宋体"/>
                <w:b/>
                <w:kern w:val="0"/>
              </w:rPr>
              <w:t>评审因素</w:t>
            </w:r>
          </w:p>
        </w:tc>
        <w:tc>
          <w:tcPr>
            <w:tcW w:w="5493" w:type="dxa"/>
            <w:vAlign w:val="center"/>
          </w:tcPr>
          <w:p w14:paraId="1C3EEA54">
            <w:pPr>
              <w:spacing w:line="400" w:lineRule="exact"/>
              <w:jc w:val="center"/>
              <w:rPr>
                <w:rFonts w:ascii="宋体" w:hAnsi="宋体"/>
                <w:b/>
                <w:kern w:val="0"/>
              </w:rPr>
            </w:pPr>
            <w:r>
              <w:rPr>
                <w:rFonts w:ascii="宋体" w:hAnsi="宋体"/>
                <w:b/>
                <w:kern w:val="0"/>
              </w:rPr>
              <w:t>评审标准</w:t>
            </w:r>
          </w:p>
        </w:tc>
      </w:tr>
      <w:tr w14:paraId="6F0058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56EE953D">
            <w:pPr>
              <w:spacing w:line="400" w:lineRule="exact"/>
              <w:jc w:val="center"/>
              <w:rPr>
                <w:rFonts w:ascii="宋体" w:hAnsi="宋体"/>
                <w:kern w:val="0"/>
              </w:rPr>
            </w:pPr>
            <w:r>
              <w:rPr>
                <w:rFonts w:hint="eastAsia" w:ascii="宋体" w:hAnsi="宋体"/>
                <w:kern w:val="0"/>
              </w:rPr>
              <w:t>1</w:t>
            </w:r>
          </w:p>
        </w:tc>
        <w:tc>
          <w:tcPr>
            <w:tcW w:w="2559" w:type="dxa"/>
            <w:gridSpan w:val="3"/>
            <w:vAlign w:val="center"/>
          </w:tcPr>
          <w:p w14:paraId="6165FB43">
            <w:pPr>
              <w:spacing w:line="400" w:lineRule="exact"/>
              <w:jc w:val="center"/>
              <w:rPr>
                <w:rFonts w:ascii="宋体" w:hAnsi="宋体"/>
                <w:kern w:val="0"/>
              </w:rPr>
            </w:pPr>
            <w:r>
              <w:rPr>
                <w:rFonts w:ascii="宋体" w:hAnsi="宋体"/>
                <w:kern w:val="0"/>
              </w:rPr>
              <w:t>评标办法</w:t>
            </w:r>
          </w:p>
        </w:tc>
        <w:tc>
          <w:tcPr>
            <w:tcW w:w="5493" w:type="dxa"/>
            <w:vAlign w:val="center"/>
          </w:tcPr>
          <w:p w14:paraId="43D02E8C">
            <w:pPr>
              <w:spacing w:line="400" w:lineRule="exact"/>
              <w:ind w:firstLine="420" w:firstLineChars="200"/>
              <w:jc w:val="left"/>
              <w:rPr>
                <w:rFonts w:ascii="宋体" w:hAnsi="宋体"/>
                <w:kern w:val="0"/>
              </w:rPr>
            </w:pPr>
            <w:r>
              <w:rPr>
                <w:rFonts w:ascii="宋体" w:hAnsi="宋体"/>
                <w:kern w:val="0"/>
                <w:szCs w:val="21"/>
              </w:rPr>
              <w:t>本次评标采用综合评估法</w:t>
            </w:r>
            <w:r>
              <w:rPr>
                <w:rFonts w:ascii="宋体" w:hAnsi="宋体"/>
                <w:spacing w:val="-47"/>
                <w:kern w:val="0"/>
                <w:szCs w:val="21"/>
              </w:rPr>
              <w:t>。</w:t>
            </w:r>
            <w:r>
              <w:rPr>
                <w:rFonts w:ascii="宋体" w:hAnsi="宋体"/>
                <w:kern w:val="0"/>
                <w:szCs w:val="21"/>
              </w:rPr>
              <w:t xml:space="preserve">评标委员会按照本章第 </w:t>
            </w:r>
            <w:r>
              <w:rPr>
                <w:rFonts w:ascii="宋体" w:hAnsi="宋体"/>
                <w:spacing w:val="1"/>
                <w:kern w:val="0"/>
                <w:szCs w:val="21"/>
              </w:rPr>
              <w:t>2</w:t>
            </w:r>
            <w:r>
              <w:rPr>
                <w:rFonts w:ascii="宋体" w:hAnsi="宋体"/>
                <w:spacing w:val="-1"/>
                <w:kern w:val="0"/>
                <w:szCs w:val="21"/>
              </w:rPr>
              <w:t>.</w:t>
            </w:r>
            <w:r>
              <w:rPr>
                <w:rFonts w:ascii="宋体" w:hAnsi="宋体"/>
                <w:kern w:val="0"/>
                <w:szCs w:val="21"/>
              </w:rPr>
              <w:t>2</w:t>
            </w:r>
            <w:r>
              <w:rPr>
                <w:rFonts w:ascii="宋体" w:hAnsi="宋体"/>
                <w:spacing w:val="1"/>
                <w:kern w:val="0"/>
                <w:szCs w:val="21"/>
              </w:rPr>
              <w:t xml:space="preserve"> </w:t>
            </w:r>
            <w:r>
              <w:rPr>
                <w:rFonts w:ascii="宋体" w:hAnsi="宋体"/>
                <w:kern w:val="0"/>
                <w:szCs w:val="21"/>
              </w:rPr>
              <w:t>款</w:t>
            </w:r>
            <w:r>
              <w:rPr>
                <w:rFonts w:ascii="宋体" w:hAnsi="宋体"/>
                <w:spacing w:val="-1"/>
                <w:kern w:val="0"/>
                <w:szCs w:val="21"/>
              </w:rPr>
              <w:t>规</w:t>
            </w:r>
            <w:r>
              <w:rPr>
                <w:rFonts w:ascii="宋体" w:hAnsi="宋体"/>
                <w:kern w:val="0"/>
                <w:szCs w:val="21"/>
              </w:rPr>
              <w:t>定的评分标准进行</w:t>
            </w:r>
            <w:r>
              <w:rPr>
                <w:rFonts w:hint="eastAsia" w:ascii="宋体" w:hAnsi="宋体"/>
                <w:kern w:val="0"/>
                <w:szCs w:val="21"/>
              </w:rPr>
              <w:t>评分</w:t>
            </w:r>
            <w:r>
              <w:rPr>
                <w:rFonts w:ascii="宋体" w:hAnsi="宋体"/>
                <w:kern w:val="0"/>
                <w:szCs w:val="21"/>
              </w:rPr>
              <w:t>，按得分由高到低顺序推荐中标候选人</w:t>
            </w:r>
            <w:r>
              <w:rPr>
                <w:rFonts w:ascii="宋体" w:hAnsi="宋体"/>
                <w:spacing w:val="-20"/>
                <w:kern w:val="0"/>
                <w:szCs w:val="21"/>
              </w:rPr>
              <w:t>，</w:t>
            </w:r>
            <w:r>
              <w:rPr>
                <w:rFonts w:ascii="宋体" w:hAnsi="宋体"/>
                <w:kern w:val="0"/>
                <w:szCs w:val="21"/>
              </w:rPr>
              <w:t>或根据</w:t>
            </w:r>
            <w:r>
              <w:rPr>
                <w:rFonts w:hint="eastAsia" w:ascii="宋体" w:hAnsi="宋体"/>
                <w:kern w:val="0"/>
                <w:szCs w:val="21"/>
              </w:rPr>
              <w:t>比选人</w:t>
            </w:r>
            <w:r>
              <w:rPr>
                <w:rFonts w:ascii="宋体" w:hAnsi="宋体"/>
                <w:kern w:val="0"/>
                <w:szCs w:val="21"/>
              </w:rPr>
              <w:t>授权直接确定中标人</w:t>
            </w:r>
            <w:r>
              <w:rPr>
                <w:rFonts w:ascii="宋体" w:hAnsi="宋体"/>
                <w:spacing w:val="-31"/>
                <w:kern w:val="0"/>
                <w:szCs w:val="21"/>
              </w:rPr>
              <w:t>。</w:t>
            </w:r>
            <w:r>
              <w:rPr>
                <w:rFonts w:ascii="宋体" w:hAnsi="宋体"/>
                <w:kern w:val="0"/>
                <w:szCs w:val="21"/>
              </w:rPr>
              <w:t>综合评分相等时</w:t>
            </w:r>
            <w:r>
              <w:rPr>
                <w:rFonts w:ascii="宋体" w:hAnsi="宋体"/>
                <w:spacing w:val="-31"/>
                <w:kern w:val="0"/>
                <w:szCs w:val="21"/>
              </w:rPr>
              <w:t>，</w:t>
            </w:r>
            <w:r>
              <w:rPr>
                <w:rFonts w:ascii="宋体" w:hAnsi="宋体"/>
                <w:kern w:val="0"/>
                <w:szCs w:val="21"/>
              </w:rPr>
              <w:t>以投标报价低的优先；投标报价相等的</w:t>
            </w:r>
            <w:r>
              <w:rPr>
                <w:rFonts w:hint="eastAsia" w:ascii="宋体" w:hAnsi="宋体"/>
                <w:kern w:val="0"/>
                <w:szCs w:val="21"/>
              </w:rPr>
              <w:t>，由评标委员会按照</w:t>
            </w:r>
            <w:r>
              <w:rPr>
                <w:rFonts w:hint="eastAsia" w:ascii="宋体" w:hAnsi="宋体"/>
                <w:kern w:val="0"/>
                <w:szCs w:val="21"/>
                <w:u w:val="single"/>
              </w:rPr>
              <w:t xml:space="preserve"> </w:t>
            </w:r>
            <w:r>
              <w:rPr>
                <w:rFonts w:hint="eastAsia" w:ascii="宋体" w:hAnsi="宋体"/>
                <w:color w:val="0000FF"/>
                <w:kern w:val="0"/>
                <w:szCs w:val="21"/>
                <w:u w:val="single"/>
              </w:rPr>
              <w:t>技术部分得分高的优先</w:t>
            </w:r>
            <w:r>
              <w:rPr>
                <w:rFonts w:hint="eastAsia" w:ascii="宋体" w:hAnsi="宋体"/>
                <w:kern w:val="0"/>
                <w:szCs w:val="21"/>
                <w:u w:val="single"/>
              </w:rPr>
              <w:t xml:space="preserve"> </w:t>
            </w:r>
            <w:r>
              <w:rPr>
                <w:rFonts w:hint="eastAsia" w:ascii="宋体" w:hAnsi="宋体"/>
                <w:kern w:val="0"/>
                <w:szCs w:val="21"/>
              </w:rPr>
              <w:t>原则排序。</w:t>
            </w:r>
          </w:p>
        </w:tc>
      </w:tr>
      <w:tr w14:paraId="3FF9F0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1C55E35C">
            <w:pPr>
              <w:spacing w:line="400" w:lineRule="exact"/>
              <w:jc w:val="center"/>
              <w:rPr>
                <w:rFonts w:ascii="宋体" w:hAnsi="宋体"/>
                <w:kern w:val="0"/>
              </w:rPr>
            </w:pPr>
            <w:r>
              <w:rPr>
                <w:rFonts w:ascii="宋体" w:hAnsi="宋体"/>
                <w:kern w:val="0"/>
              </w:rPr>
              <w:t>2.1.</w:t>
            </w:r>
            <w:r>
              <w:rPr>
                <w:rFonts w:hint="eastAsia" w:ascii="宋体" w:hAnsi="宋体"/>
                <w:kern w:val="0"/>
              </w:rPr>
              <w:t>1</w:t>
            </w:r>
          </w:p>
        </w:tc>
        <w:tc>
          <w:tcPr>
            <w:tcW w:w="567" w:type="dxa"/>
            <w:vMerge w:val="restart"/>
            <w:vAlign w:val="center"/>
          </w:tcPr>
          <w:p w14:paraId="38F3765E">
            <w:pPr>
              <w:spacing w:line="400" w:lineRule="exact"/>
              <w:jc w:val="center"/>
              <w:rPr>
                <w:rFonts w:ascii="宋体" w:hAnsi="宋体"/>
                <w:kern w:val="0"/>
              </w:rPr>
            </w:pPr>
            <w:r>
              <w:rPr>
                <w:rFonts w:ascii="宋体" w:hAnsi="宋体"/>
                <w:kern w:val="0"/>
              </w:rPr>
              <w:t>资格评审标准</w:t>
            </w:r>
          </w:p>
        </w:tc>
        <w:tc>
          <w:tcPr>
            <w:tcW w:w="2559" w:type="dxa"/>
            <w:gridSpan w:val="3"/>
            <w:tcBorders>
              <w:bottom w:val="single" w:color="auto" w:sz="4" w:space="0"/>
            </w:tcBorders>
            <w:vAlign w:val="center"/>
          </w:tcPr>
          <w:p w14:paraId="3F2DCBA0">
            <w:pPr>
              <w:spacing w:line="400" w:lineRule="exact"/>
              <w:jc w:val="left"/>
              <w:rPr>
                <w:rFonts w:ascii="宋体" w:hAnsi="宋体"/>
                <w:kern w:val="0"/>
              </w:rPr>
            </w:pPr>
            <w:r>
              <w:rPr>
                <w:rFonts w:hint="eastAsia" w:ascii="宋体" w:hAnsi="宋体"/>
                <w:kern w:val="0"/>
              </w:rPr>
              <w:t>资质条件</w:t>
            </w:r>
          </w:p>
        </w:tc>
        <w:tc>
          <w:tcPr>
            <w:tcW w:w="5493" w:type="dxa"/>
            <w:vAlign w:val="center"/>
          </w:tcPr>
          <w:p w14:paraId="7DA528AC">
            <w:pPr>
              <w:spacing w:line="400" w:lineRule="exact"/>
              <w:ind w:firstLine="420" w:firstLineChars="200"/>
              <w:rPr>
                <w:rFonts w:ascii="宋体" w:hAnsi="宋体"/>
                <w:kern w:val="0"/>
              </w:rPr>
            </w:pPr>
            <w:r>
              <w:rPr>
                <w:rFonts w:ascii="宋体" w:hAnsi="宋体"/>
                <w:kern w:val="0"/>
              </w:rPr>
              <w:t>符合第二章“</w:t>
            </w:r>
            <w:r>
              <w:rPr>
                <w:rFonts w:hint="eastAsia" w:ascii="宋体" w:hAnsi="宋体"/>
                <w:kern w:val="0"/>
              </w:rPr>
              <w:t>投标人</w:t>
            </w:r>
            <w:r>
              <w:rPr>
                <w:rFonts w:ascii="宋体" w:hAnsi="宋体"/>
                <w:kern w:val="0"/>
              </w:rPr>
              <w:t>须知”第1.4.1项规定。</w:t>
            </w:r>
          </w:p>
        </w:tc>
      </w:tr>
      <w:tr w14:paraId="021AC7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56916FF4">
            <w:pPr>
              <w:spacing w:line="400" w:lineRule="exact"/>
              <w:rPr>
                <w:rFonts w:ascii="宋体" w:hAnsi="宋体"/>
              </w:rPr>
            </w:pPr>
          </w:p>
        </w:tc>
        <w:tc>
          <w:tcPr>
            <w:tcW w:w="567" w:type="dxa"/>
            <w:vMerge w:val="continue"/>
          </w:tcPr>
          <w:p w14:paraId="2C3D2E14">
            <w:pPr>
              <w:spacing w:line="400" w:lineRule="exact"/>
              <w:rPr>
                <w:rFonts w:ascii="宋体" w:hAnsi="宋体"/>
              </w:rPr>
            </w:pPr>
          </w:p>
        </w:tc>
        <w:tc>
          <w:tcPr>
            <w:tcW w:w="2559" w:type="dxa"/>
            <w:gridSpan w:val="3"/>
            <w:tcBorders>
              <w:top w:val="single" w:color="auto" w:sz="4" w:space="0"/>
              <w:bottom w:val="single" w:color="auto" w:sz="4" w:space="0"/>
            </w:tcBorders>
          </w:tcPr>
          <w:p w14:paraId="728322FC">
            <w:pPr>
              <w:spacing w:line="400" w:lineRule="exact"/>
              <w:jc w:val="left"/>
              <w:rPr>
                <w:rFonts w:ascii="宋体" w:hAnsi="宋体"/>
                <w:kern w:val="0"/>
              </w:rPr>
            </w:pPr>
            <w:r>
              <w:rPr>
                <w:rFonts w:hint="eastAsia" w:ascii="宋体" w:hAnsi="宋体"/>
                <w:kern w:val="0"/>
              </w:rPr>
              <w:t>营业执照</w:t>
            </w:r>
          </w:p>
        </w:tc>
        <w:tc>
          <w:tcPr>
            <w:tcW w:w="5493" w:type="dxa"/>
            <w:vAlign w:val="center"/>
          </w:tcPr>
          <w:p w14:paraId="1159A871">
            <w:pPr>
              <w:autoSpaceDE w:val="0"/>
              <w:autoSpaceDN w:val="0"/>
              <w:adjustRightInd w:val="0"/>
              <w:spacing w:line="400" w:lineRule="exact"/>
              <w:ind w:firstLine="420" w:firstLineChars="200"/>
              <w:rPr>
                <w:rFonts w:ascii="宋体" w:hAnsi="宋体"/>
                <w:kern w:val="0"/>
              </w:rPr>
            </w:pPr>
            <w:r>
              <w:rPr>
                <w:rFonts w:ascii="宋体" w:hAnsi="宋体"/>
                <w:kern w:val="0"/>
              </w:rPr>
              <w:t>符合第二章“</w:t>
            </w:r>
            <w:r>
              <w:rPr>
                <w:rFonts w:hint="eastAsia" w:ascii="宋体" w:hAnsi="宋体"/>
                <w:kern w:val="0"/>
              </w:rPr>
              <w:t>投标人</w:t>
            </w:r>
            <w:r>
              <w:rPr>
                <w:rFonts w:ascii="宋体" w:hAnsi="宋体"/>
                <w:kern w:val="0"/>
              </w:rPr>
              <w:t>须知”第1.4.1项规定。</w:t>
            </w:r>
          </w:p>
        </w:tc>
      </w:tr>
      <w:tr w14:paraId="0E55CE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51" w:type="dxa"/>
            <w:gridSpan w:val="2"/>
            <w:vMerge w:val="continue"/>
          </w:tcPr>
          <w:p w14:paraId="058B3710">
            <w:pPr>
              <w:spacing w:line="400" w:lineRule="exact"/>
              <w:rPr>
                <w:rFonts w:ascii="宋体" w:hAnsi="宋体"/>
              </w:rPr>
            </w:pPr>
          </w:p>
        </w:tc>
        <w:tc>
          <w:tcPr>
            <w:tcW w:w="567" w:type="dxa"/>
            <w:vMerge w:val="continue"/>
          </w:tcPr>
          <w:p w14:paraId="58AC252F">
            <w:pPr>
              <w:spacing w:line="400" w:lineRule="exact"/>
              <w:rPr>
                <w:rFonts w:ascii="宋体" w:hAnsi="宋体"/>
              </w:rPr>
            </w:pPr>
          </w:p>
        </w:tc>
        <w:tc>
          <w:tcPr>
            <w:tcW w:w="2559" w:type="dxa"/>
            <w:gridSpan w:val="3"/>
            <w:tcBorders>
              <w:top w:val="single" w:color="auto" w:sz="4" w:space="0"/>
            </w:tcBorders>
          </w:tcPr>
          <w:p w14:paraId="116CD574">
            <w:pPr>
              <w:spacing w:line="400" w:lineRule="exact"/>
              <w:jc w:val="left"/>
              <w:rPr>
                <w:rFonts w:ascii="宋体" w:hAnsi="宋体"/>
                <w:kern w:val="0"/>
              </w:rPr>
            </w:pPr>
            <w:r>
              <w:rPr>
                <w:rFonts w:hint="eastAsia" w:ascii="宋体" w:hAnsi="宋体"/>
                <w:kern w:val="0"/>
              </w:rPr>
              <w:t>安全生产条件</w:t>
            </w:r>
          </w:p>
        </w:tc>
        <w:tc>
          <w:tcPr>
            <w:tcW w:w="5493" w:type="dxa"/>
            <w:vAlign w:val="center"/>
          </w:tcPr>
          <w:p w14:paraId="052477FE">
            <w:pPr>
              <w:spacing w:line="400" w:lineRule="exact"/>
              <w:ind w:firstLine="420" w:firstLineChars="200"/>
              <w:rPr>
                <w:rFonts w:ascii="宋体" w:hAnsi="宋体"/>
                <w:kern w:val="0"/>
              </w:rPr>
            </w:pPr>
            <w:r>
              <w:rPr>
                <w:rFonts w:ascii="宋体" w:hAnsi="宋体"/>
                <w:kern w:val="0"/>
              </w:rPr>
              <w:t>符合第二章“</w:t>
            </w:r>
            <w:r>
              <w:rPr>
                <w:rFonts w:hint="eastAsia" w:ascii="宋体" w:hAnsi="宋体"/>
                <w:kern w:val="0"/>
              </w:rPr>
              <w:t>投标人</w:t>
            </w:r>
            <w:r>
              <w:rPr>
                <w:rFonts w:ascii="宋体" w:hAnsi="宋体"/>
                <w:kern w:val="0"/>
              </w:rPr>
              <w:t>须知”第1.4.1项规定</w:t>
            </w:r>
          </w:p>
        </w:tc>
      </w:tr>
      <w:tr w14:paraId="55B7E2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66AF774B">
            <w:pPr>
              <w:spacing w:line="400" w:lineRule="exact"/>
              <w:rPr>
                <w:rFonts w:ascii="宋体" w:hAnsi="宋体"/>
              </w:rPr>
            </w:pPr>
          </w:p>
        </w:tc>
        <w:tc>
          <w:tcPr>
            <w:tcW w:w="567" w:type="dxa"/>
            <w:vMerge w:val="continue"/>
          </w:tcPr>
          <w:p w14:paraId="6892D48D">
            <w:pPr>
              <w:spacing w:line="400" w:lineRule="exact"/>
              <w:rPr>
                <w:rFonts w:ascii="宋体" w:hAnsi="宋体"/>
              </w:rPr>
            </w:pPr>
          </w:p>
        </w:tc>
        <w:tc>
          <w:tcPr>
            <w:tcW w:w="2559" w:type="dxa"/>
            <w:gridSpan w:val="3"/>
            <w:tcBorders>
              <w:top w:val="single" w:color="auto" w:sz="4" w:space="0"/>
              <w:bottom w:val="single" w:color="auto" w:sz="4" w:space="0"/>
            </w:tcBorders>
            <w:vAlign w:val="center"/>
          </w:tcPr>
          <w:p w14:paraId="38C5CEF3">
            <w:pPr>
              <w:spacing w:line="400" w:lineRule="exact"/>
              <w:jc w:val="left"/>
              <w:rPr>
                <w:rFonts w:ascii="宋体" w:hAnsi="宋体"/>
                <w:kern w:val="0"/>
              </w:rPr>
            </w:pPr>
            <w:r>
              <w:rPr>
                <w:rFonts w:hint="eastAsia" w:ascii="宋体" w:hAnsi="宋体" w:cs="宋体"/>
                <w:kern w:val="0"/>
              </w:rPr>
              <w:t>☑</w:t>
            </w:r>
            <w:r>
              <w:rPr>
                <w:rFonts w:ascii="宋体" w:hAnsi="宋体"/>
                <w:kern w:val="0"/>
              </w:rPr>
              <w:t>财务</w:t>
            </w:r>
            <w:r>
              <w:rPr>
                <w:rFonts w:hint="eastAsia" w:ascii="宋体" w:hAnsi="宋体"/>
                <w:kern w:val="0"/>
              </w:rPr>
              <w:t>要求</w:t>
            </w:r>
          </w:p>
        </w:tc>
        <w:tc>
          <w:tcPr>
            <w:tcW w:w="5493" w:type="dxa"/>
            <w:vAlign w:val="center"/>
          </w:tcPr>
          <w:p w14:paraId="6A064FF0">
            <w:pPr>
              <w:spacing w:line="400" w:lineRule="exact"/>
              <w:ind w:firstLine="420" w:firstLineChars="200"/>
              <w:rPr>
                <w:rFonts w:ascii="宋体" w:hAnsi="宋体"/>
                <w:kern w:val="0"/>
              </w:rPr>
            </w:pPr>
            <w:r>
              <w:rPr>
                <w:rFonts w:hint="eastAsia" w:ascii="宋体" w:hAnsi="宋体"/>
                <w:kern w:val="0"/>
              </w:rPr>
              <w:t>符合第二章“投标人须知”第1.4.1项规定</w:t>
            </w:r>
          </w:p>
        </w:tc>
      </w:tr>
      <w:tr w14:paraId="0A6BB9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45DAC01D">
            <w:pPr>
              <w:spacing w:line="400" w:lineRule="exact"/>
              <w:rPr>
                <w:rFonts w:ascii="宋体" w:hAnsi="宋体"/>
              </w:rPr>
            </w:pPr>
          </w:p>
        </w:tc>
        <w:tc>
          <w:tcPr>
            <w:tcW w:w="567" w:type="dxa"/>
            <w:vMerge w:val="continue"/>
          </w:tcPr>
          <w:p w14:paraId="209DAC05">
            <w:pPr>
              <w:spacing w:line="400" w:lineRule="exact"/>
              <w:rPr>
                <w:rFonts w:ascii="宋体" w:hAnsi="宋体"/>
              </w:rPr>
            </w:pPr>
          </w:p>
        </w:tc>
        <w:tc>
          <w:tcPr>
            <w:tcW w:w="2559" w:type="dxa"/>
            <w:gridSpan w:val="3"/>
            <w:tcBorders>
              <w:top w:val="single" w:color="auto" w:sz="4" w:space="0"/>
              <w:bottom w:val="single" w:color="auto" w:sz="4" w:space="0"/>
            </w:tcBorders>
          </w:tcPr>
          <w:p w14:paraId="5FC5BB0C">
            <w:pPr>
              <w:spacing w:line="400" w:lineRule="exact"/>
              <w:jc w:val="left"/>
              <w:rPr>
                <w:rFonts w:ascii="宋体" w:hAnsi="宋体"/>
                <w:kern w:val="0"/>
              </w:rPr>
            </w:pPr>
            <w:r>
              <w:rPr>
                <w:rFonts w:ascii="宋体" w:hAnsi="宋体"/>
                <w:szCs w:val="21"/>
              </w:rPr>
              <w:t>投标截止日投标资格情况</w:t>
            </w:r>
          </w:p>
        </w:tc>
        <w:tc>
          <w:tcPr>
            <w:tcW w:w="5493" w:type="dxa"/>
            <w:vAlign w:val="center"/>
          </w:tcPr>
          <w:p w14:paraId="619BD9CF">
            <w:pPr>
              <w:spacing w:line="400" w:lineRule="exact"/>
              <w:ind w:firstLine="420" w:firstLineChars="200"/>
              <w:rPr>
                <w:rFonts w:ascii="宋体" w:hAnsi="宋体"/>
                <w:kern w:val="0"/>
              </w:rPr>
            </w:pPr>
            <w:r>
              <w:rPr>
                <w:rFonts w:ascii="宋体" w:hAnsi="宋体"/>
                <w:kern w:val="0"/>
              </w:rPr>
              <w:t>符合第二章“</w:t>
            </w:r>
            <w:r>
              <w:rPr>
                <w:rFonts w:hint="eastAsia" w:ascii="宋体" w:hAnsi="宋体"/>
                <w:kern w:val="0"/>
              </w:rPr>
              <w:t>投标人</w:t>
            </w:r>
            <w:r>
              <w:rPr>
                <w:rFonts w:ascii="宋体" w:hAnsi="宋体"/>
                <w:kern w:val="0"/>
              </w:rPr>
              <w:t>须知”第1.4.1项规定</w:t>
            </w:r>
          </w:p>
        </w:tc>
      </w:tr>
      <w:tr w14:paraId="5B03B9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6AB0E58C">
            <w:pPr>
              <w:spacing w:line="400" w:lineRule="exact"/>
              <w:rPr>
                <w:rFonts w:ascii="宋体" w:hAnsi="宋体"/>
              </w:rPr>
            </w:pPr>
          </w:p>
        </w:tc>
        <w:tc>
          <w:tcPr>
            <w:tcW w:w="567" w:type="dxa"/>
            <w:vMerge w:val="continue"/>
          </w:tcPr>
          <w:p w14:paraId="2320171B">
            <w:pPr>
              <w:spacing w:line="400" w:lineRule="exact"/>
              <w:rPr>
                <w:rFonts w:ascii="宋体" w:hAnsi="宋体"/>
              </w:rPr>
            </w:pPr>
          </w:p>
        </w:tc>
        <w:tc>
          <w:tcPr>
            <w:tcW w:w="2559" w:type="dxa"/>
            <w:gridSpan w:val="3"/>
            <w:tcBorders>
              <w:top w:val="single" w:color="auto" w:sz="4" w:space="0"/>
              <w:bottom w:val="single" w:color="auto" w:sz="4" w:space="0"/>
            </w:tcBorders>
          </w:tcPr>
          <w:p w14:paraId="74793C41">
            <w:pPr>
              <w:spacing w:line="400" w:lineRule="exact"/>
              <w:jc w:val="left"/>
              <w:rPr>
                <w:rFonts w:ascii="宋体" w:hAnsi="宋体"/>
                <w:szCs w:val="21"/>
              </w:rPr>
            </w:pPr>
            <w:r>
              <w:rPr>
                <w:rFonts w:ascii="宋体" w:hAnsi="宋体"/>
                <w:kern w:val="0"/>
              </w:rPr>
              <w:t>项目经理资格</w:t>
            </w:r>
            <w:r>
              <w:rPr>
                <w:rFonts w:hint="eastAsia" w:ascii="宋体" w:hAnsi="宋体"/>
                <w:kern w:val="0"/>
              </w:rPr>
              <w:t>要求</w:t>
            </w:r>
          </w:p>
        </w:tc>
        <w:tc>
          <w:tcPr>
            <w:tcW w:w="5493" w:type="dxa"/>
            <w:vAlign w:val="center"/>
          </w:tcPr>
          <w:p w14:paraId="1DA85ADC">
            <w:pPr>
              <w:spacing w:line="400" w:lineRule="exact"/>
              <w:ind w:firstLine="420" w:firstLineChars="200"/>
              <w:rPr>
                <w:rFonts w:ascii="宋体" w:hAnsi="宋体"/>
                <w:kern w:val="0"/>
              </w:rPr>
            </w:pPr>
            <w:r>
              <w:rPr>
                <w:rFonts w:ascii="宋体" w:hAnsi="宋体"/>
                <w:kern w:val="0"/>
              </w:rPr>
              <w:t>符合第二章“投标人须知”第1.4.1项规定</w:t>
            </w:r>
          </w:p>
        </w:tc>
      </w:tr>
      <w:tr w14:paraId="53E5C3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754F2F8A">
            <w:pPr>
              <w:spacing w:line="400" w:lineRule="exact"/>
              <w:rPr>
                <w:rFonts w:ascii="宋体" w:hAnsi="宋体"/>
              </w:rPr>
            </w:pPr>
          </w:p>
        </w:tc>
        <w:tc>
          <w:tcPr>
            <w:tcW w:w="567" w:type="dxa"/>
            <w:vMerge w:val="continue"/>
          </w:tcPr>
          <w:p w14:paraId="4F3A98BD">
            <w:pPr>
              <w:spacing w:line="400" w:lineRule="exact"/>
              <w:rPr>
                <w:rFonts w:ascii="宋体" w:hAnsi="宋体"/>
              </w:rPr>
            </w:pPr>
          </w:p>
        </w:tc>
        <w:tc>
          <w:tcPr>
            <w:tcW w:w="2559" w:type="dxa"/>
            <w:gridSpan w:val="3"/>
            <w:tcBorders>
              <w:top w:val="single" w:color="auto" w:sz="4" w:space="0"/>
              <w:bottom w:val="single" w:color="auto" w:sz="4" w:space="0"/>
            </w:tcBorders>
          </w:tcPr>
          <w:p w14:paraId="461D54A7">
            <w:pPr>
              <w:spacing w:line="400" w:lineRule="exact"/>
              <w:jc w:val="left"/>
              <w:rPr>
                <w:rFonts w:ascii="宋体" w:hAnsi="宋体"/>
                <w:kern w:val="0"/>
              </w:rPr>
            </w:pPr>
            <w:r>
              <w:rPr>
                <w:rFonts w:ascii="宋体" w:hAnsi="宋体"/>
                <w:kern w:val="0"/>
              </w:rPr>
              <w:t>其他要求</w:t>
            </w:r>
          </w:p>
        </w:tc>
        <w:tc>
          <w:tcPr>
            <w:tcW w:w="5493" w:type="dxa"/>
            <w:vAlign w:val="center"/>
          </w:tcPr>
          <w:p w14:paraId="27ECA4ED">
            <w:pPr>
              <w:spacing w:line="400" w:lineRule="exact"/>
              <w:ind w:firstLine="420" w:firstLineChars="200"/>
              <w:rPr>
                <w:rFonts w:ascii="宋体" w:hAnsi="宋体"/>
                <w:kern w:val="0"/>
              </w:rPr>
            </w:pPr>
            <w:r>
              <w:rPr>
                <w:rFonts w:ascii="宋体" w:hAnsi="宋体"/>
                <w:kern w:val="0"/>
              </w:rPr>
              <w:t>符合第二章“</w:t>
            </w:r>
            <w:r>
              <w:rPr>
                <w:rFonts w:hint="eastAsia" w:ascii="宋体" w:hAnsi="宋体"/>
                <w:kern w:val="0"/>
              </w:rPr>
              <w:t>投标人</w:t>
            </w:r>
            <w:r>
              <w:rPr>
                <w:rFonts w:ascii="宋体" w:hAnsi="宋体"/>
                <w:kern w:val="0"/>
              </w:rPr>
              <w:t>须知”第1.4.1项规定</w:t>
            </w:r>
          </w:p>
        </w:tc>
      </w:tr>
      <w:tr w14:paraId="5574E2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472DE771">
            <w:pPr>
              <w:spacing w:line="400" w:lineRule="exact"/>
              <w:jc w:val="center"/>
              <w:rPr>
                <w:rFonts w:ascii="宋体" w:hAnsi="宋体"/>
              </w:rPr>
            </w:pPr>
            <w:r>
              <w:rPr>
                <w:rFonts w:ascii="宋体" w:hAnsi="宋体"/>
                <w:kern w:val="0"/>
              </w:rPr>
              <w:t>2.1.</w:t>
            </w:r>
            <w:r>
              <w:rPr>
                <w:rFonts w:hint="eastAsia" w:ascii="宋体" w:hAnsi="宋体"/>
                <w:kern w:val="0"/>
              </w:rPr>
              <w:t>2</w:t>
            </w:r>
          </w:p>
        </w:tc>
        <w:tc>
          <w:tcPr>
            <w:tcW w:w="567" w:type="dxa"/>
            <w:vMerge w:val="restart"/>
            <w:vAlign w:val="center"/>
          </w:tcPr>
          <w:p w14:paraId="54745BDE">
            <w:pPr>
              <w:spacing w:line="400" w:lineRule="exact"/>
              <w:jc w:val="center"/>
              <w:rPr>
                <w:rFonts w:ascii="宋体" w:hAnsi="宋体"/>
              </w:rPr>
            </w:pPr>
            <w:r>
              <w:rPr>
                <w:rFonts w:ascii="宋体" w:hAnsi="宋体"/>
                <w:kern w:val="0"/>
              </w:rPr>
              <w:t>形式评审标准</w:t>
            </w:r>
          </w:p>
        </w:tc>
        <w:tc>
          <w:tcPr>
            <w:tcW w:w="2559" w:type="dxa"/>
            <w:gridSpan w:val="3"/>
            <w:tcBorders>
              <w:top w:val="single" w:color="auto" w:sz="4" w:space="0"/>
              <w:bottom w:val="single" w:color="auto" w:sz="4" w:space="0"/>
            </w:tcBorders>
            <w:vAlign w:val="center"/>
          </w:tcPr>
          <w:p w14:paraId="7342CB6C">
            <w:pPr>
              <w:spacing w:line="400" w:lineRule="exact"/>
              <w:jc w:val="left"/>
              <w:rPr>
                <w:rFonts w:ascii="宋体" w:hAnsi="宋体"/>
                <w:kern w:val="0"/>
              </w:rPr>
            </w:pPr>
            <w:r>
              <w:rPr>
                <w:rFonts w:hint="eastAsia" w:ascii="宋体" w:hAnsi="宋体"/>
                <w:kern w:val="0"/>
              </w:rPr>
              <w:t>投标人</w:t>
            </w:r>
            <w:r>
              <w:rPr>
                <w:rFonts w:ascii="宋体" w:hAnsi="宋体"/>
                <w:kern w:val="0"/>
              </w:rPr>
              <w:t>名称</w:t>
            </w:r>
          </w:p>
        </w:tc>
        <w:tc>
          <w:tcPr>
            <w:tcW w:w="5493" w:type="dxa"/>
            <w:vAlign w:val="center"/>
          </w:tcPr>
          <w:p w14:paraId="770CC133">
            <w:pPr>
              <w:spacing w:line="400" w:lineRule="exact"/>
              <w:ind w:firstLine="420" w:firstLineChars="200"/>
              <w:rPr>
                <w:rFonts w:ascii="宋体" w:hAnsi="宋体"/>
                <w:kern w:val="0"/>
              </w:rPr>
            </w:pPr>
            <w:r>
              <w:rPr>
                <w:rFonts w:ascii="宋体" w:hAnsi="宋体"/>
                <w:kern w:val="0"/>
              </w:rPr>
              <w:t>与营业执照、资质证书、安全生产许可证一致</w:t>
            </w:r>
            <w:r>
              <w:rPr>
                <w:rFonts w:hint="eastAsia" w:ascii="宋体" w:hAnsi="宋体"/>
                <w:kern w:val="0"/>
              </w:rPr>
              <w:t>，依法变更名称的应提交相应证明材料</w:t>
            </w:r>
            <w:r>
              <w:rPr>
                <w:rFonts w:ascii="宋体" w:hAnsi="宋体"/>
                <w:kern w:val="0"/>
              </w:rPr>
              <w:t>。</w:t>
            </w:r>
          </w:p>
        </w:tc>
      </w:tr>
      <w:tr w14:paraId="0E8818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513DB343">
            <w:pPr>
              <w:spacing w:line="400" w:lineRule="exact"/>
              <w:rPr>
                <w:rFonts w:ascii="宋体" w:hAnsi="宋体"/>
              </w:rPr>
            </w:pPr>
          </w:p>
        </w:tc>
        <w:tc>
          <w:tcPr>
            <w:tcW w:w="567" w:type="dxa"/>
            <w:vMerge w:val="continue"/>
          </w:tcPr>
          <w:p w14:paraId="6FE35920">
            <w:pPr>
              <w:spacing w:line="400" w:lineRule="exact"/>
              <w:rPr>
                <w:rFonts w:ascii="宋体" w:hAnsi="宋体"/>
              </w:rPr>
            </w:pPr>
          </w:p>
        </w:tc>
        <w:tc>
          <w:tcPr>
            <w:tcW w:w="2559" w:type="dxa"/>
            <w:gridSpan w:val="3"/>
            <w:tcBorders>
              <w:top w:val="single" w:color="auto" w:sz="4" w:space="0"/>
              <w:bottom w:val="single" w:color="auto" w:sz="4" w:space="0"/>
            </w:tcBorders>
            <w:vAlign w:val="center"/>
          </w:tcPr>
          <w:p w14:paraId="1AF40751">
            <w:pPr>
              <w:spacing w:line="400" w:lineRule="exact"/>
              <w:jc w:val="left"/>
              <w:rPr>
                <w:rFonts w:ascii="宋体" w:hAnsi="宋体"/>
                <w:kern w:val="0"/>
              </w:rPr>
            </w:pPr>
            <w:r>
              <w:rPr>
                <w:rFonts w:hint="eastAsia" w:ascii="宋体" w:hAnsi="宋体"/>
                <w:kern w:val="0"/>
              </w:rPr>
              <w:t>投标函签名</w:t>
            </w:r>
            <w:r>
              <w:rPr>
                <w:rFonts w:ascii="宋体" w:hAnsi="宋体"/>
                <w:kern w:val="0"/>
              </w:rPr>
              <w:t>盖章</w:t>
            </w:r>
          </w:p>
        </w:tc>
        <w:tc>
          <w:tcPr>
            <w:tcW w:w="5493" w:type="dxa"/>
            <w:vAlign w:val="center"/>
          </w:tcPr>
          <w:p w14:paraId="014B508E">
            <w:pPr>
              <w:spacing w:line="400" w:lineRule="exact"/>
              <w:ind w:firstLine="420" w:firstLineChars="200"/>
              <w:rPr>
                <w:rFonts w:ascii="宋体" w:hAnsi="宋体"/>
                <w:kern w:val="0"/>
              </w:rPr>
            </w:pPr>
            <w:r>
              <w:rPr>
                <w:rFonts w:hint="eastAsia" w:ascii="宋体" w:hAnsi="宋体"/>
                <w:kern w:val="0"/>
              </w:rPr>
              <w:t>投标函</w:t>
            </w:r>
            <w:r>
              <w:rPr>
                <w:rFonts w:ascii="宋体" w:hAnsi="宋体"/>
                <w:kern w:val="0"/>
              </w:rPr>
              <w:t>格式规定</w:t>
            </w:r>
            <w:r>
              <w:rPr>
                <w:rFonts w:hint="eastAsia" w:ascii="宋体" w:hAnsi="宋体"/>
                <w:kern w:val="0"/>
              </w:rPr>
              <w:t>签名、</w:t>
            </w:r>
            <w:r>
              <w:rPr>
                <w:rFonts w:ascii="宋体" w:hAnsi="宋体"/>
                <w:kern w:val="0"/>
              </w:rPr>
              <w:t>盖章的位置有法定代表人或其委托代理人</w:t>
            </w:r>
            <w:r>
              <w:rPr>
                <w:rFonts w:hint="eastAsia" w:ascii="宋体" w:hAnsi="宋体"/>
                <w:kern w:val="0"/>
              </w:rPr>
              <w:t>签名</w:t>
            </w:r>
            <w:r>
              <w:rPr>
                <w:rFonts w:ascii="宋体" w:hAnsi="宋体"/>
                <w:kern w:val="0"/>
              </w:rPr>
              <w:t>（或盖章）、加盖单位</w:t>
            </w:r>
            <w:r>
              <w:rPr>
                <w:rFonts w:hint="eastAsia" w:ascii="宋体" w:hAnsi="宋体"/>
                <w:kern w:val="0"/>
                <w:lang w:val="en-US" w:eastAsia="zh-CN"/>
              </w:rPr>
              <w:t>公</w:t>
            </w:r>
            <w:r>
              <w:rPr>
                <w:rFonts w:ascii="宋体" w:hAnsi="宋体"/>
                <w:kern w:val="0"/>
              </w:rPr>
              <w:t>章。</w:t>
            </w:r>
          </w:p>
        </w:tc>
      </w:tr>
      <w:tr w14:paraId="30CBA4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0D2EA35C">
            <w:pPr>
              <w:spacing w:line="400" w:lineRule="exact"/>
              <w:rPr>
                <w:rFonts w:ascii="宋体" w:hAnsi="宋体"/>
              </w:rPr>
            </w:pPr>
          </w:p>
        </w:tc>
        <w:tc>
          <w:tcPr>
            <w:tcW w:w="567" w:type="dxa"/>
            <w:vMerge w:val="continue"/>
          </w:tcPr>
          <w:p w14:paraId="5BB105A7">
            <w:pPr>
              <w:spacing w:line="400" w:lineRule="exact"/>
              <w:rPr>
                <w:rFonts w:ascii="宋体" w:hAnsi="宋体"/>
              </w:rPr>
            </w:pPr>
          </w:p>
        </w:tc>
        <w:tc>
          <w:tcPr>
            <w:tcW w:w="2559" w:type="dxa"/>
            <w:gridSpan w:val="3"/>
            <w:tcBorders>
              <w:top w:val="single" w:color="auto" w:sz="4" w:space="0"/>
              <w:bottom w:val="single" w:color="auto" w:sz="4" w:space="0"/>
            </w:tcBorders>
            <w:vAlign w:val="center"/>
          </w:tcPr>
          <w:p w14:paraId="2AA1500D">
            <w:pPr>
              <w:spacing w:line="400" w:lineRule="exact"/>
              <w:jc w:val="left"/>
              <w:rPr>
                <w:rFonts w:ascii="宋体" w:hAnsi="宋体"/>
                <w:kern w:val="0"/>
              </w:rPr>
            </w:pPr>
            <w:r>
              <w:rPr>
                <w:rFonts w:hint="eastAsia" w:ascii="宋体" w:hAnsi="宋体"/>
                <w:kern w:val="0"/>
              </w:rPr>
              <w:t>投标文件</w:t>
            </w:r>
            <w:r>
              <w:rPr>
                <w:rFonts w:ascii="宋体" w:hAnsi="宋体"/>
                <w:kern w:val="0"/>
              </w:rPr>
              <w:t>格式</w:t>
            </w:r>
          </w:p>
        </w:tc>
        <w:tc>
          <w:tcPr>
            <w:tcW w:w="5493" w:type="dxa"/>
            <w:vAlign w:val="center"/>
          </w:tcPr>
          <w:p w14:paraId="2F768EBF">
            <w:pPr>
              <w:spacing w:line="400" w:lineRule="exact"/>
              <w:ind w:firstLine="420" w:firstLineChars="200"/>
              <w:rPr>
                <w:rFonts w:ascii="宋体" w:hAnsi="宋体"/>
                <w:kern w:val="0"/>
              </w:rPr>
            </w:pPr>
            <w:r>
              <w:rPr>
                <w:rFonts w:ascii="宋体" w:hAnsi="宋体"/>
                <w:kern w:val="0"/>
              </w:rPr>
              <w:t>符合</w:t>
            </w:r>
            <w:r>
              <w:rPr>
                <w:rFonts w:hint="eastAsia" w:ascii="宋体" w:hAnsi="宋体"/>
                <w:kern w:val="0"/>
              </w:rPr>
              <w:t>第二</w:t>
            </w:r>
            <w:r>
              <w:rPr>
                <w:rFonts w:ascii="宋体" w:hAnsi="宋体"/>
                <w:kern w:val="0"/>
              </w:rPr>
              <w:t>章“</w:t>
            </w:r>
            <w:r>
              <w:rPr>
                <w:rFonts w:hint="eastAsia" w:ascii="宋体" w:hAnsi="宋体"/>
                <w:kern w:val="0"/>
              </w:rPr>
              <w:t>投标人须知</w:t>
            </w:r>
            <w:r>
              <w:rPr>
                <w:rFonts w:ascii="宋体" w:hAnsi="宋体"/>
                <w:kern w:val="0"/>
              </w:rPr>
              <w:t>”</w:t>
            </w:r>
            <w:r>
              <w:rPr>
                <w:rFonts w:hint="eastAsia" w:ascii="宋体" w:hAnsi="宋体"/>
                <w:kern w:val="0"/>
              </w:rPr>
              <w:t>第3.7款</w:t>
            </w:r>
            <w:r>
              <w:rPr>
                <w:rFonts w:ascii="宋体" w:hAnsi="宋体"/>
                <w:kern w:val="0"/>
              </w:rPr>
              <w:t>的要求。</w:t>
            </w:r>
          </w:p>
        </w:tc>
      </w:tr>
      <w:tr w14:paraId="18CCE4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43297B36">
            <w:pPr>
              <w:spacing w:line="400" w:lineRule="exact"/>
              <w:rPr>
                <w:rFonts w:ascii="宋体" w:hAnsi="宋体"/>
              </w:rPr>
            </w:pPr>
          </w:p>
        </w:tc>
        <w:tc>
          <w:tcPr>
            <w:tcW w:w="567" w:type="dxa"/>
            <w:vMerge w:val="continue"/>
          </w:tcPr>
          <w:p w14:paraId="78B75AC5">
            <w:pPr>
              <w:spacing w:line="400" w:lineRule="exact"/>
              <w:rPr>
                <w:rFonts w:ascii="宋体" w:hAnsi="宋体"/>
              </w:rPr>
            </w:pPr>
          </w:p>
        </w:tc>
        <w:tc>
          <w:tcPr>
            <w:tcW w:w="2559" w:type="dxa"/>
            <w:gridSpan w:val="3"/>
            <w:tcBorders>
              <w:top w:val="single" w:color="auto" w:sz="4" w:space="0"/>
              <w:bottom w:val="single" w:color="auto" w:sz="4" w:space="0"/>
            </w:tcBorders>
            <w:vAlign w:val="center"/>
          </w:tcPr>
          <w:p w14:paraId="2BE51A3C">
            <w:pPr>
              <w:spacing w:line="400" w:lineRule="exact"/>
              <w:jc w:val="left"/>
              <w:rPr>
                <w:rFonts w:ascii="宋体" w:hAnsi="宋体"/>
                <w:kern w:val="0"/>
              </w:rPr>
            </w:pPr>
            <w:r>
              <w:rPr>
                <w:rFonts w:hint="eastAsia" w:ascii="宋体" w:hAnsi="宋体"/>
                <w:kern w:val="0"/>
              </w:rPr>
              <w:t>投标文件份数</w:t>
            </w:r>
          </w:p>
        </w:tc>
        <w:tc>
          <w:tcPr>
            <w:tcW w:w="5493" w:type="dxa"/>
            <w:vAlign w:val="center"/>
          </w:tcPr>
          <w:p w14:paraId="7A40D6F1">
            <w:pPr>
              <w:spacing w:line="400" w:lineRule="exact"/>
              <w:ind w:firstLine="420" w:firstLineChars="200"/>
              <w:rPr>
                <w:rFonts w:ascii="宋体" w:hAnsi="宋体"/>
                <w:kern w:val="0"/>
              </w:rPr>
            </w:pPr>
            <w:r>
              <w:rPr>
                <w:rFonts w:hint="eastAsia" w:ascii="宋体" w:hAnsi="宋体"/>
                <w:kern w:val="0"/>
              </w:rPr>
              <w:t>符合第二章“投标人须知”第3.7.4项规定。</w:t>
            </w:r>
          </w:p>
        </w:tc>
      </w:tr>
      <w:tr w14:paraId="37042F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68426787">
            <w:pPr>
              <w:spacing w:line="400" w:lineRule="exact"/>
              <w:rPr>
                <w:rFonts w:ascii="宋体" w:hAnsi="宋体"/>
              </w:rPr>
            </w:pPr>
          </w:p>
        </w:tc>
        <w:tc>
          <w:tcPr>
            <w:tcW w:w="567" w:type="dxa"/>
            <w:vMerge w:val="continue"/>
          </w:tcPr>
          <w:p w14:paraId="0300FB79">
            <w:pPr>
              <w:spacing w:line="400" w:lineRule="exact"/>
              <w:rPr>
                <w:rFonts w:ascii="宋体" w:hAnsi="宋体"/>
              </w:rPr>
            </w:pPr>
          </w:p>
        </w:tc>
        <w:tc>
          <w:tcPr>
            <w:tcW w:w="2559" w:type="dxa"/>
            <w:gridSpan w:val="3"/>
            <w:tcBorders>
              <w:top w:val="single" w:color="auto" w:sz="4" w:space="0"/>
              <w:bottom w:val="single" w:color="auto" w:sz="4" w:space="0"/>
            </w:tcBorders>
            <w:vAlign w:val="center"/>
          </w:tcPr>
          <w:p w14:paraId="0C2B9A7F">
            <w:pPr>
              <w:spacing w:line="400" w:lineRule="exact"/>
              <w:jc w:val="left"/>
              <w:rPr>
                <w:rFonts w:ascii="宋体" w:hAnsi="宋体"/>
                <w:kern w:val="0"/>
              </w:rPr>
            </w:pPr>
            <w:r>
              <w:rPr>
                <w:rFonts w:ascii="宋体" w:hAnsi="宋体"/>
                <w:kern w:val="0"/>
              </w:rPr>
              <w:t>报价唯一</w:t>
            </w:r>
          </w:p>
        </w:tc>
        <w:tc>
          <w:tcPr>
            <w:tcW w:w="5493" w:type="dxa"/>
            <w:vAlign w:val="center"/>
          </w:tcPr>
          <w:p w14:paraId="34FBB871">
            <w:pPr>
              <w:spacing w:line="400" w:lineRule="exact"/>
              <w:ind w:firstLine="420" w:firstLineChars="200"/>
              <w:rPr>
                <w:rFonts w:ascii="宋体" w:hAnsi="宋体"/>
                <w:kern w:val="0"/>
              </w:rPr>
            </w:pPr>
            <w:r>
              <w:rPr>
                <w:rFonts w:ascii="宋体" w:hAnsi="宋体"/>
                <w:kern w:val="0"/>
              </w:rPr>
              <w:t>只能有一个有效报价，在招标文件没有规定的情况下，不得提交选择性报价。</w:t>
            </w:r>
          </w:p>
        </w:tc>
      </w:tr>
      <w:tr w14:paraId="084CD4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549F1599">
            <w:pPr>
              <w:spacing w:line="400" w:lineRule="exact"/>
              <w:rPr>
                <w:rFonts w:ascii="宋体" w:hAnsi="宋体"/>
              </w:rPr>
            </w:pPr>
          </w:p>
        </w:tc>
        <w:tc>
          <w:tcPr>
            <w:tcW w:w="567" w:type="dxa"/>
            <w:vMerge w:val="continue"/>
          </w:tcPr>
          <w:p w14:paraId="692766B9">
            <w:pPr>
              <w:spacing w:line="400" w:lineRule="exact"/>
              <w:rPr>
                <w:rFonts w:ascii="宋体" w:hAnsi="宋体"/>
              </w:rPr>
            </w:pPr>
          </w:p>
        </w:tc>
        <w:tc>
          <w:tcPr>
            <w:tcW w:w="2559" w:type="dxa"/>
            <w:gridSpan w:val="3"/>
            <w:tcBorders>
              <w:top w:val="single" w:color="auto" w:sz="4" w:space="0"/>
              <w:bottom w:val="single" w:color="auto" w:sz="4" w:space="0"/>
            </w:tcBorders>
            <w:vAlign w:val="center"/>
          </w:tcPr>
          <w:p w14:paraId="7EC7CF1B">
            <w:pPr>
              <w:spacing w:line="400" w:lineRule="exact"/>
              <w:jc w:val="left"/>
              <w:rPr>
                <w:rFonts w:ascii="宋体" w:hAnsi="宋体"/>
                <w:kern w:val="0"/>
              </w:rPr>
            </w:pPr>
            <w:r>
              <w:rPr>
                <w:rFonts w:hint="eastAsia" w:ascii="宋体" w:hAnsi="宋体"/>
                <w:kern w:val="0"/>
              </w:rPr>
              <w:t>投标文件</w:t>
            </w:r>
            <w:r>
              <w:rPr>
                <w:rFonts w:ascii="宋体" w:hAnsi="宋体"/>
                <w:kern w:val="0"/>
              </w:rPr>
              <w:t>的签署</w:t>
            </w:r>
          </w:p>
        </w:tc>
        <w:tc>
          <w:tcPr>
            <w:tcW w:w="5493" w:type="dxa"/>
            <w:vAlign w:val="center"/>
          </w:tcPr>
          <w:p w14:paraId="3CDA5415">
            <w:pPr>
              <w:spacing w:line="400" w:lineRule="exact"/>
              <w:ind w:firstLine="420" w:firstLineChars="200"/>
              <w:rPr>
                <w:rFonts w:ascii="宋体" w:hAnsi="宋体"/>
                <w:kern w:val="0"/>
              </w:rPr>
            </w:pPr>
            <w:r>
              <w:rPr>
                <w:rFonts w:hint="eastAsia" w:ascii="宋体" w:hAnsi="宋体"/>
                <w:kern w:val="0"/>
              </w:rPr>
              <w:t>第七章 投标文件格式要求</w:t>
            </w:r>
            <w:r>
              <w:rPr>
                <w:rFonts w:ascii="宋体" w:hAnsi="宋体"/>
                <w:kern w:val="0"/>
              </w:rPr>
              <w:t>法定代表人或其委托代理人</w:t>
            </w:r>
            <w:r>
              <w:rPr>
                <w:rFonts w:hint="eastAsia" w:ascii="宋体" w:hAnsi="宋体"/>
                <w:kern w:val="0"/>
              </w:rPr>
              <w:t>签名</w:t>
            </w:r>
            <w:r>
              <w:rPr>
                <w:rFonts w:ascii="宋体" w:hAnsi="宋体"/>
                <w:kern w:val="0"/>
              </w:rPr>
              <w:t>（或盖章）</w:t>
            </w:r>
            <w:r>
              <w:rPr>
                <w:rFonts w:hint="eastAsia" w:ascii="宋体" w:hAnsi="宋体"/>
                <w:kern w:val="0"/>
              </w:rPr>
              <w:t>的须</w:t>
            </w:r>
            <w:r>
              <w:rPr>
                <w:rFonts w:ascii="宋体" w:hAnsi="宋体"/>
                <w:kern w:val="0"/>
              </w:rPr>
              <w:t>齐全。</w:t>
            </w:r>
          </w:p>
          <w:p w14:paraId="011EB77B">
            <w:pPr>
              <w:autoSpaceDE w:val="0"/>
              <w:autoSpaceDN w:val="0"/>
              <w:adjustRightInd w:val="0"/>
              <w:snapToGrid w:val="0"/>
              <w:spacing w:line="400" w:lineRule="exact"/>
              <w:ind w:firstLine="420" w:firstLineChars="200"/>
              <w:rPr>
                <w:rFonts w:ascii="宋体" w:hAnsi="宋体"/>
                <w:kern w:val="0"/>
              </w:rPr>
            </w:pPr>
            <w:r>
              <w:rPr>
                <w:rFonts w:hint="eastAsia" w:ascii="宋体" w:hAnsi="宋体"/>
                <w:snapToGrid w:val="0"/>
                <w:kern w:val="0"/>
                <w:szCs w:val="21"/>
              </w:rPr>
              <w:t>若投标单位为联合体，则联合体协议书各联合体成员单位签名（或盖章）须齐全，联合体协议书以外的</w:t>
            </w:r>
            <w:r>
              <w:rPr>
                <w:rFonts w:hint="eastAsia" w:ascii="宋体" w:hAnsi="宋体"/>
                <w:kern w:val="0"/>
              </w:rPr>
              <w:t>投标文件格式中，要求</w:t>
            </w:r>
            <w:r>
              <w:rPr>
                <w:rFonts w:hint="eastAsia" w:ascii="宋体" w:hAnsi="宋体"/>
                <w:snapToGrid w:val="0"/>
                <w:kern w:val="0"/>
                <w:szCs w:val="21"/>
              </w:rPr>
              <w:t>联合体牵头人</w:t>
            </w:r>
            <w:r>
              <w:rPr>
                <w:rFonts w:ascii="宋体" w:hAnsi="宋体"/>
                <w:kern w:val="0"/>
              </w:rPr>
              <w:t>法定代表人或其委托代理人</w:t>
            </w:r>
            <w:r>
              <w:rPr>
                <w:rFonts w:hint="eastAsia" w:ascii="宋体" w:hAnsi="宋体"/>
                <w:kern w:val="0"/>
              </w:rPr>
              <w:t>签名</w:t>
            </w:r>
            <w:r>
              <w:rPr>
                <w:rFonts w:ascii="宋体" w:hAnsi="宋体"/>
                <w:kern w:val="0"/>
              </w:rPr>
              <w:t>（或盖章）</w:t>
            </w:r>
            <w:r>
              <w:rPr>
                <w:rFonts w:hint="eastAsia" w:ascii="宋体" w:hAnsi="宋体"/>
                <w:kern w:val="0"/>
              </w:rPr>
              <w:t>的须</w:t>
            </w:r>
            <w:r>
              <w:rPr>
                <w:rFonts w:ascii="宋体" w:hAnsi="宋体"/>
                <w:kern w:val="0"/>
              </w:rPr>
              <w:t>齐全。</w:t>
            </w:r>
          </w:p>
        </w:tc>
      </w:tr>
      <w:tr w14:paraId="28E272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34B87470">
            <w:pPr>
              <w:spacing w:line="400" w:lineRule="exact"/>
              <w:rPr>
                <w:rFonts w:ascii="宋体" w:hAnsi="宋体"/>
              </w:rPr>
            </w:pPr>
          </w:p>
        </w:tc>
        <w:tc>
          <w:tcPr>
            <w:tcW w:w="567" w:type="dxa"/>
            <w:vMerge w:val="continue"/>
          </w:tcPr>
          <w:p w14:paraId="30962F23">
            <w:pPr>
              <w:spacing w:line="400" w:lineRule="exact"/>
              <w:rPr>
                <w:rFonts w:ascii="宋体" w:hAnsi="宋体"/>
              </w:rPr>
            </w:pPr>
          </w:p>
        </w:tc>
        <w:tc>
          <w:tcPr>
            <w:tcW w:w="2559" w:type="dxa"/>
            <w:gridSpan w:val="3"/>
            <w:tcBorders>
              <w:top w:val="single" w:color="auto" w:sz="4" w:space="0"/>
              <w:bottom w:val="single" w:color="auto" w:sz="4" w:space="0"/>
            </w:tcBorders>
            <w:vAlign w:val="center"/>
          </w:tcPr>
          <w:p w14:paraId="44BB7B6F">
            <w:pPr>
              <w:spacing w:line="400" w:lineRule="exact"/>
              <w:jc w:val="left"/>
              <w:rPr>
                <w:rFonts w:ascii="宋体" w:hAnsi="宋体"/>
                <w:kern w:val="0"/>
              </w:rPr>
            </w:pPr>
            <w:r>
              <w:rPr>
                <w:rFonts w:ascii="宋体" w:hAnsi="宋体"/>
                <w:kern w:val="0"/>
              </w:rPr>
              <w:t>委托代理人</w:t>
            </w:r>
          </w:p>
        </w:tc>
        <w:tc>
          <w:tcPr>
            <w:tcW w:w="5493" w:type="dxa"/>
            <w:vAlign w:val="center"/>
          </w:tcPr>
          <w:p w14:paraId="4A179C51">
            <w:pPr>
              <w:spacing w:line="400" w:lineRule="exact"/>
              <w:ind w:firstLine="420" w:firstLineChars="200"/>
              <w:rPr>
                <w:rFonts w:ascii="宋体" w:hAnsi="宋体"/>
                <w:kern w:val="0"/>
              </w:rPr>
            </w:pPr>
            <w:r>
              <w:rPr>
                <w:rFonts w:hint="eastAsia" w:ascii="宋体" w:hAnsi="宋体"/>
                <w:kern w:val="0"/>
              </w:rPr>
              <w:t>投标人</w:t>
            </w:r>
            <w:r>
              <w:rPr>
                <w:rFonts w:ascii="宋体" w:hAnsi="宋体"/>
                <w:kern w:val="0"/>
              </w:rPr>
              <w:t>法定代表人的委托代理人有法定代表人签署的授权委托书</w:t>
            </w:r>
            <w:r>
              <w:rPr>
                <w:rFonts w:hint="eastAsia" w:ascii="宋体" w:hAnsi="宋体"/>
                <w:kern w:val="0"/>
              </w:rPr>
              <w:t>和投标人为其缴纳的养老保险。</w:t>
            </w:r>
          </w:p>
        </w:tc>
      </w:tr>
      <w:tr w14:paraId="213502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047C175C">
            <w:pPr>
              <w:spacing w:line="400" w:lineRule="exact"/>
              <w:jc w:val="center"/>
              <w:rPr>
                <w:rFonts w:ascii="宋体" w:hAnsi="宋体"/>
              </w:rPr>
            </w:pPr>
            <w:r>
              <w:rPr>
                <w:rFonts w:ascii="宋体" w:hAnsi="宋体"/>
                <w:kern w:val="0"/>
              </w:rPr>
              <w:t>2.1.3</w:t>
            </w:r>
          </w:p>
        </w:tc>
        <w:tc>
          <w:tcPr>
            <w:tcW w:w="567" w:type="dxa"/>
            <w:vMerge w:val="restart"/>
            <w:vAlign w:val="center"/>
          </w:tcPr>
          <w:p w14:paraId="0AB8BF0A">
            <w:pPr>
              <w:spacing w:line="400" w:lineRule="exact"/>
              <w:jc w:val="center"/>
              <w:rPr>
                <w:rFonts w:ascii="宋体" w:hAnsi="宋体"/>
              </w:rPr>
            </w:pPr>
            <w:r>
              <w:rPr>
                <w:rFonts w:ascii="宋体" w:hAnsi="宋体"/>
                <w:kern w:val="0"/>
              </w:rPr>
              <w:t>响应性评审标准</w:t>
            </w:r>
          </w:p>
        </w:tc>
        <w:tc>
          <w:tcPr>
            <w:tcW w:w="2559" w:type="dxa"/>
            <w:gridSpan w:val="3"/>
            <w:vAlign w:val="center"/>
          </w:tcPr>
          <w:p w14:paraId="4C007635">
            <w:pPr>
              <w:spacing w:line="400" w:lineRule="exact"/>
              <w:jc w:val="left"/>
              <w:rPr>
                <w:rFonts w:ascii="宋体" w:hAnsi="宋体"/>
                <w:kern w:val="0"/>
              </w:rPr>
            </w:pPr>
            <w:r>
              <w:rPr>
                <w:rFonts w:ascii="宋体" w:hAnsi="宋体"/>
                <w:kern w:val="0"/>
              </w:rPr>
              <w:t>投标总报价</w:t>
            </w:r>
          </w:p>
        </w:tc>
        <w:tc>
          <w:tcPr>
            <w:tcW w:w="5493" w:type="dxa"/>
            <w:vAlign w:val="center"/>
          </w:tcPr>
          <w:p w14:paraId="27E02DA3">
            <w:pPr>
              <w:spacing w:line="400" w:lineRule="exact"/>
              <w:ind w:firstLine="420" w:firstLineChars="200"/>
              <w:rPr>
                <w:rFonts w:ascii="宋体" w:hAnsi="宋体"/>
                <w:kern w:val="0"/>
              </w:rPr>
            </w:pPr>
            <w:r>
              <w:rPr>
                <w:rFonts w:hint="eastAsia" w:ascii="宋体" w:hAnsi="宋体"/>
                <w:kern w:val="0"/>
              </w:rPr>
              <w:t>1.</w:t>
            </w:r>
            <w:r>
              <w:rPr>
                <w:rFonts w:hint="eastAsia" w:ascii="宋体" w:hAnsi="宋体" w:cs="宋体"/>
                <w:szCs w:val="21"/>
              </w:rPr>
              <w:t>投标总报价必须与已标价工程量清单总报价一致。</w:t>
            </w:r>
          </w:p>
          <w:p w14:paraId="6E4C462B">
            <w:pPr>
              <w:spacing w:line="400" w:lineRule="exact"/>
              <w:ind w:firstLine="420" w:firstLineChars="200"/>
              <w:rPr>
                <w:rFonts w:ascii="宋体" w:hAnsi="宋体"/>
                <w:kern w:val="0"/>
              </w:rPr>
            </w:pPr>
            <w:r>
              <w:rPr>
                <w:rFonts w:hint="eastAsia" w:ascii="宋体" w:hAnsi="宋体"/>
                <w:kern w:val="0"/>
              </w:rPr>
              <w:t>2</w:t>
            </w:r>
            <w:r>
              <w:rPr>
                <w:rFonts w:ascii="宋体" w:hAnsi="宋体"/>
                <w:kern w:val="0"/>
              </w:rPr>
              <w:t>.投标总报价不得高于</w:t>
            </w:r>
            <w:r>
              <w:rPr>
                <w:rFonts w:hint="eastAsia" w:ascii="宋体" w:hAnsi="宋体"/>
                <w:kern w:val="0"/>
              </w:rPr>
              <w:t>比选人</w:t>
            </w:r>
            <w:r>
              <w:rPr>
                <w:rFonts w:ascii="宋体" w:hAnsi="宋体"/>
                <w:kern w:val="0"/>
              </w:rPr>
              <w:t>公布的投标总报价最高限价</w:t>
            </w:r>
            <w:r>
              <w:rPr>
                <w:rFonts w:hint="eastAsia" w:ascii="宋体" w:hAnsi="宋体"/>
                <w:kern w:val="0"/>
              </w:rPr>
              <w:t>。</w:t>
            </w:r>
          </w:p>
        </w:tc>
      </w:tr>
      <w:tr w14:paraId="3CD0D0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center"/>
          </w:tcPr>
          <w:p w14:paraId="4E1BFADC">
            <w:pPr>
              <w:spacing w:line="400" w:lineRule="exact"/>
              <w:jc w:val="center"/>
              <w:rPr>
                <w:rFonts w:ascii="宋体" w:hAnsi="宋体"/>
                <w:kern w:val="0"/>
              </w:rPr>
            </w:pPr>
          </w:p>
        </w:tc>
        <w:tc>
          <w:tcPr>
            <w:tcW w:w="567" w:type="dxa"/>
            <w:vMerge w:val="continue"/>
            <w:textDirection w:val="tbRlV"/>
            <w:vAlign w:val="center"/>
          </w:tcPr>
          <w:p w14:paraId="398F925E">
            <w:pPr>
              <w:spacing w:line="400" w:lineRule="exact"/>
              <w:jc w:val="center"/>
              <w:rPr>
                <w:rFonts w:ascii="宋体" w:hAnsi="宋体"/>
                <w:kern w:val="0"/>
              </w:rPr>
            </w:pPr>
          </w:p>
        </w:tc>
        <w:tc>
          <w:tcPr>
            <w:tcW w:w="2559" w:type="dxa"/>
            <w:gridSpan w:val="3"/>
            <w:vAlign w:val="center"/>
          </w:tcPr>
          <w:p w14:paraId="15C13BF4">
            <w:pPr>
              <w:spacing w:line="400" w:lineRule="exact"/>
              <w:jc w:val="left"/>
              <w:rPr>
                <w:rFonts w:ascii="宋体" w:hAnsi="宋体"/>
                <w:kern w:val="0"/>
              </w:rPr>
            </w:pPr>
            <w:r>
              <w:rPr>
                <w:rFonts w:hint="eastAsia" w:ascii="宋体" w:hAnsi="宋体"/>
                <w:kern w:val="0"/>
              </w:rPr>
              <w:t>暂定金额</w:t>
            </w:r>
          </w:p>
        </w:tc>
        <w:tc>
          <w:tcPr>
            <w:tcW w:w="5493" w:type="dxa"/>
            <w:vAlign w:val="center"/>
          </w:tcPr>
          <w:p w14:paraId="1422D27A">
            <w:pPr>
              <w:spacing w:line="400" w:lineRule="exact"/>
              <w:ind w:firstLine="420" w:firstLineChars="200"/>
              <w:rPr>
                <w:rFonts w:ascii="宋体" w:hAnsi="宋体"/>
                <w:kern w:val="0"/>
              </w:rPr>
            </w:pPr>
            <w:r>
              <w:rPr>
                <w:rFonts w:hint="eastAsia" w:ascii="宋体" w:hAnsi="宋体"/>
                <w:kern w:val="0"/>
              </w:rPr>
              <w:t>暂列金额、暂估价、安全文明施工费等暂定金额必须按照招标文件给定的金额填报</w:t>
            </w:r>
          </w:p>
        </w:tc>
      </w:tr>
      <w:tr w14:paraId="108969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center"/>
          </w:tcPr>
          <w:p w14:paraId="21E9D376">
            <w:pPr>
              <w:spacing w:line="400" w:lineRule="exact"/>
              <w:jc w:val="center"/>
              <w:rPr>
                <w:rFonts w:ascii="宋体" w:hAnsi="宋体"/>
                <w:kern w:val="0"/>
              </w:rPr>
            </w:pPr>
          </w:p>
        </w:tc>
        <w:tc>
          <w:tcPr>
            <w:tcW w:w="567" w:type="dxa"/>
            <w:vMerge w:val="continue"/>
            <w:textDirection w:val="tbRlV"/>
            <w:vAlign w:val="center"/>
          </w:tcPr>
          <w:p w14:paraId="71F11581">
            <w:pPr>
              <w:spacing w:line="400" w:lineRule="exact"/>
              <w:jc w:val="center"/>
              <w:rPr>
                <w:rFonts w:ascii="宋体" w:hAnsi="宋体"/>
                <w:kern w:val="0"/>
              </w:rPr>
            </w:pPr>
          </w:p>
        </w:tc>
        <w:tc>
          <w:tcPr>
            <w:tcW w:w="2559" w:type="dxa"/>
            <w:gridSpan w:val="3"/>
            <w:vAlign w:val="center"/>
          </w:tcPr>
          <w:p w14:paraId="65E79048">
            <w:pPr>
              <w:spacing w:line="400" w:lineRule="exact"/>
              <w:jc w:val="left"/>
              <w:rPr>
                <w:rFonts w:ascii="宋体" w:hAnsi="宋体"/>
                <w:kern w:val="0"/>
              </w:rPr>
            </w:pPr>
            <w:r>
              <w:rPr>
                <w:rFonts w:ascii="宋体" w:hAnsi="宋体"/>
                <w:kern w:val="0"/>
              </w:rPr>
              <w:t>投标内容</w:t>
            </w:r>
          </w:p>
        </w:tc>
        <w:tc>
          <w:tcPr>
            <w:tcW w:w="5493" w:type="dxa"/>
            <w:vAlign w:val="center"/>
          </w:tcPr>
          <w:p w14:paraId="04B0D236">
            <w:pPr>
              <w:spacing w:line="400" w:lineRule="exact"/>
              <w:ind w:firstLine="420" w:firstLineChars="200"/>
              <w:jc w:val="left"/>
              <w:rPr>
                <w:rFonts w:ascii="宋体" w:hAnsi="宋体"/>
                <w:kern w:val="0"/>
              </w:rPr>
            </w:pPr>
            <w:r>
              <w:rPr>
                <w:rFonts w:ascii="宋体" w:hAnsi="宋体"/>
                <w:kern w:val="0"/>
              </w:rPr>
              <w:t>符合第二章“</w:t>
            </w:r>
            <w:r>
              <w:rPr>
                <w:rFonts w:hint="eastAsia" w:ascii="宋体" w:hAnsi="宋体"/>
                <w:kern w:val="0"/>
              </w:rPr>
              <w:t>投标人</w:t>
            </w:r>
            <w:r>
              <w:rPr>
                <w:rFonts w:ascii="宋体" w:hAnsi="宋体"/>
                <w:kern w:val="0"/>
              </w:rPr>
              <w:t>须知”第1.3.1项规定</w:t>
            </w:r>
          </w:p>
        </w:tc>
      </w:tr>
      <w:tr w14:paraId="1C5756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77A6F3FF">
            <w:pPr>
              <w:spacing w:line="400" w:lineRule="exact"/>
              <w:jc w:val="center"/>
              <w:rPr>
                <w:rFonts w:ascii="宋体" w:hAnsi="宋体"/>
              </w:rPr>
            </w:pPr>
          </w:p>
        </w:tc>
        <w:tc>
          <w:tcPr>
            <w:tcW w:w="567" w:type="dxa"/>
            <w:vMerge w:val="continue"/>
          </w:tcPr>
          <w:p w14:paraId="09EE957D">
            <w:pPr>
              <w:spacing w:line="400" w:lineRule="exact"/>
              <w:jc w:val="center"/>
              <w:rPr>
                <w:rFonts w:ascii="宋体" w:hAnsi="宋体"/>
              </w:rPr>
            </w:pPr>
          </w:p>
        </w:tc>
        <w:tc>
          <w:tcPr>
            <w:tcW w:w="2559" w:type="dxa"/>
            <w:gridSpan w:val="3"/>
            <w:vAlign w:val="center"/>
          </w:tcPr>
          <w:p w14:paraId="7DA35C60">
            <w:pPr>
              <w:spacing w:line="400" w:lineRule="exact"/>
              <w:jc w:val="left"/>
              <w:rPr>
                <w:rFonts w:ascii="宋体" w:hAnsi="宋体"/>
                <w:kern w:val="0"/>
              </w:rPr>
            </w:pPr>
            <w:r>
              <w:rPr>
                <w:rFonts w:ascii="宋体" w:hAnsi="宋体"/>
                <w:kern w:val="0"/>
              </w:rPr>
              <w:t>工期</w:t>
            </w:r>
          </w:p>
        </w:tc>
        <w:tc>
          <w:tcPr>
            <w:tcW w:w="5493" w:type="dxa"/>
            <w:vAlign w:val="center"/>
          </w:tcPr>
          <w:p w14:paraId="33F3F21F">
            <w:pPr>
              <w:spacing w:line="400" w:lineRule="exact"/>
              <w:ind w:firstLine="420" w:firstLineChars="200"/>
              <w:jc w:val="left"/>
              <w:rPr>
                <w:rFonts w:ascii="宋体" w:hAnsi="宋体"/>
                <w:kern w:val="0"/>
              </w:rPr>
            </w:pPr>
            <w:r>
              <w:rPr>
                <w:rFonts w:ascii="宋体" w:hAnsi="宋体"/>
                <w:kern w:val="0"/>
              </w:rPr>
              <w:t>符合第二章“</w:t>
            </w:r>
            <w:r>
              <w:rPr>
                <w:rFonts w:hint="eastAsia" w:ascii="宋体" w:hAnsi="宋体"/>
                <w:kern w:val="0"/>
              </w:rPr>
              <w:t>投标人</w:t>
            </w:r>
            <w:r>
              <w:rPr>
                <w:rFonts w:ascii="宋体" w:hAnsi="宋体"/>
                <w:kern w:val="0"/>
              </w:rPr>
              <w:t>须知”第1.3.2项规定</w:t>
            </w:r>
          </w:p>
        </w:tc>
      </w:tr>
      <w:tr w14:paraId="645CE1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17C34A29">
            <w:pPr>
              <w:spacing w:line="400" w:lineRule="exact"/>
              <w:jc w:val="center"/>
              <w:rPr>
                <w:rFonts w:ascii="宋体" w:hAnsi="宋体"/>
              </w:rPr>
            </w:pPr>
          </w:p>
        </w:tc>
        <w:tc>
          <w:tcPr>
            <w:tcW w:w="567" w:type="dxa"/>
            <w:vMerge w:val="continue"/>
          </w:tcPr>
          <w:p w14:paraId="2F5DE376">
            <w:pPr>
              <w:spacing w:line="400" w:lineRule="exact"/>
              <w:jc w:val="center"/>
              <w:rPr>
                <w:rFonts w:ascii="宋体" w:hAnsi="宋体"/>
              </w:rPr>
            </w:pPr>
          </w:p>
        </w:tc>
        <w:tc>
          <w:tcPr>
            <w:tcW w:w="2559" w:type="dxa"/>
            <w:gridSpan w:val="3"/>
            <w:vAlign w:val="center"/>
          </w:tcPr>
          <w:p w14:paraId="7DD2E897">
            <w:pPr>
              <w:spacing w:line="400" w:lineRule="exact"/>
              <w:jc w:val="left"/>
              <w:rPr>
                <w:rFonts w:ascii="宋体" w:hAnsi="宋体"/>
                <w:kern w:val="0"/>
              </w:rPr>
            </w:pPr>
            <w:r>
              <w:rPr>
                <w:rFonts w:ascii="宋体" w:hAnsi="宋体"/>
                <w:kern w:val="0"/>
              </w:rPr>
              <w:t>工程质量</w:t>
            </w:r>
          </w:p>
        </w:tc>
        <w:tc>
          <w:tcPr>
            <w:tcW w:w="5493" w:type="dxa"/>
            <w:vAlign w:val="center"/>
          </w:tcPr>
          <w:p w14:paraId="139B00EF">
            <w:pPr>
              <w:spacing w:line="400" w:lineRule="exact"/>
              <w:ind w:firstLine="420" w:firstLineChars="200"/>
              <w:jc w:val="left"/>
              <w:rPr>
                <w:rFonts w:ascii="宋体" w:hAnsi="宋体"/>
                <w:kern w:val="0"/>
              </w:rPr>
            </w:pPr>
            <w:r>
              <w:rPr>
                <w:rFonts w:ascii="宋体" w:hAnsi="宋体"/>
                <w:kern w:val="0"/>
              </w:rPr>
              <w:t>符合第二章“</w:t>
            </w:r>
            <w:r>
              <w:rPr>
                <w:rFonts w:hint="eastAsia" w:ascii="宋体" w:hAnsi="宋体"/>
                <w:kern w:val="0"/>
              </w:rPr>
              <w:t>投标人</w:t>
            </w:r>
            <w:r>
              <w:rPr>
                <w:rFonts w:ascii="宋体" w:hAnsi="宋体"/>
                <w:kern w:val="0"/>
              </w:rPr>
              <w:t>须知”第1.3.3项规定</w:t>
            </w:r>
          </w:p>
        </w:tc>
      </w:tr>
      <w:tr w14:paraId="20BA47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372498CF">
            <w:pPr>
              <w:spacing w:line="400" w:lineRule="exact"/>
              <w:jc w:val="center"/>
              <w:rPr>
                <w:rFonts w:ascii="宋体" w:hAnsi="宋体"/>
              </w:rPr>
            </w:pPr>
          </w:p>
        </w:tc>
        <w:tc>
          <w:tcPr>
            <w:tcW w:w="567" w:type="dxa"/>
            <w:vMerge w:val="continue"/>
          </w:tcPr>
          <w:p w14:paraId="3D21A77D">
            <w:pPr>
              <w:spacing w:line="400" w:lineRule="exact"/>
              <w:jc w:val="center"/>
              <w:rPr>
                <w:rFonts w:ascii="宋体" w:hAnsi="宋体"/>
              </w:rPr>
            </w:pPr>
          </w:p>
        </w:tc>
        <w:tc>
          <w:tcPr>
            <w:tcW w:w="2559" w:type="dxa"/>
            <w:gridSpan w:val="3"/>
            <w:vAlign w:val="center"/>
          </w:tcPr>
          <w:p w14:paraId="165324FD">
            <w:pPr>
              <w:spacing w:line="400" w:lineRule="exact"/>
              <w:jc w:val="left"/>
              <w:rPr>
                <w:rFonts w:ascii="宋体" w:hAnsi="宋体"/>
                <w:kern w:val="0"/>
              </w:rPr>
            </w:pPr>
            <w:r>
              <w:rPr>
                <w:rFonts w:ascii="宋体" w:hAnsi="宋体"/>
                <w:kern w:val="0"/>
              </w:rPr>
              <w:t>投标有效期</w:t>
            </w:r>
          </w:p>
        </w:tc>
        <w:tc>
          <w:tcPr>
            <w:tcW w:w="5493" w:type="dxa"/>
            <w:vAlign w:val="center"/>
          </w:tcPr>
          <w:p w14:paraId="7AA7E654">
            <w:pPr>
              <w:spacing w:line="400" w:lineRule="exact"/>
              <w:ind w:firstLine="420" w:firstLineChars="200"/>
              <w:jc w:val="left"/>
              <w:rPr>
                <w:rFonts w:ascii="宋体" w:hAnsi="宋体"/>
                <w:kern w:val="0"/>
              </w:rPr>
            </w:pPr>
            <w:r>
              <w:rPr>
                <w:rFonts w:ascii="宋体" w:hAnsi="宋体"/>
                <w:kern w:val="0"/>
              </w:rPr>
              <w:t>符合第二章“</w:t>
            </w:r>
            <w:r>
              <w:rPr>
                <w:rFonts w:hint="eastAsia" w:ascii="宋体" w:hAnsi="宋体"/>
                <w:kern w:val="0"/>
              </w:rPr>
              <w:t>投标人</w:t>
            </w:r>
            <w:r>
              <w:rPr>
                <w:rFonts w:ascii="宋体" w:hAnsi="宋体"/>
                <w:kern w:val="0"/>
              </w:rPr>
              <w:t>须知”第3.3.1项规定</w:t>
            </w:r>
          </w:p>
        </w:tc>
      </w:tr>
      <w:tr w14:paraId="2A33F9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7F987A6B">
            <w:pPr>
              <w:spacing w:line="400" w:lineRule="exact"/>
              <w:jc w:val="center"/>
              <w:rPr>
                <w:rFonts w:ascii="宋体" w:hAnsi="宋体"/>
              </w:rPr>
            </w:pPr>
          </w:p>
        </w:tc>
        <w:tc>
          <w:tcPr>
            <w:tcW w:w="567" w:type="dxa"/>
            <w:vMerge w:val="continue"/>
          </w:tcPr>
          <w:p w14:paraId="06232B65">
            <w:pPr>
              <w:spacing w:line="400" w:lineRule="exact"/>
              <w:jc w:val="center"/>
              <w:rPr>
                <w:rFonts w:ascii="宋体" w:hAnsi="宋体"/>
              </w:rPr>
            </w:pPr>
          </w:p>
        </w:tc>
        <w:tc>
          <w:tcPr>
            <w:tcW w:w="2559" w:type="dxa"/>
            <w:gridSpan w:val="3"/>
            <w:vAlign w:val="center"/>
          </w:tcPr>
          <w:p w14:paraId="0F387FE7">
            <w:pPr>
              <w:spacing w:line="400" w:lineRule="exact"/>
              <w:jc w:val="left"/>
              <w:rPr>
                <w:rFonts w:ascii="宋体" w:hAnsi="宋体"/>
                <w:kern w:val="0"/>
              </w:rPr>
            </w:pPr>
            <w:r>
              <w:rPr>
                <w:rFonts w:ascii="宋体" w:hAnsi="宋体"/>
                <w:kern w:val="0"/>
              </w:rPr>
              <w:t>投标保证金</w:t>
            </w:r>
          </w:p>
        </w:tc>
        <w:tc>
          <w:tcPr>
            <w:tcW w:w="5493" w:type="dxa"/>
            <w:vAlign w:val="center"/>
          </w:tcPr>
          <w:p w14:paraId="0576D40E">
            <w:pPr>
              <w:tabs>
                <w:tab w:val="left" w:pos="601"/>
                <w:tab w:val="left" w:pos="669"/>
              </w:tabs>
              <w:snapToGrid w:val="0"/>
              <w:spacing w:line="400" w:lineRule="exact"/>
              <w:ind w:firstLine="420" w:firstLineChars="200"/>
              <w:rPr>
                <w:rFonts w:ascii="宋体" w:hAnsi="宋体"/>
                <w:kern w:val="0"/>
              </w:rPr>
            </w:pPr>
            <w:r>
              <w:rPr>
                <w:rFonts w:ascii="宋体" w:hAnsi="宋体"/>
                <w:kern w:val="0"/>
                <w:szCs w:val="21"/>
              </w:rPr>
              <w:t>符合第二章</w:t>
            </w:r>
            <w:r>
              <w:rPr>
                <w:rFonts w:hint="eastAsia" w:ascii="宋体" w:hAnsi="宋体"/>
                <w:kern w:val="0"/>
                <w:szCs w:val="21"/>
              </w:rPr>
              <w:t>投标人</w:t>
            </w:r>
            <w:r>
              <w:rPr>
                <w:rFonts w:ascii="宋体" w:hAnsi="宋体"/>
                <w:kern w:val="0"/>
                <w:szCs w:val="21"/>
              </w:rPr>
              <w:t>须知前附表第3.4</w:t>
            </w:r>
            <w:r>
              <w:rPr>
                <w:rFonts w:hint="eastAsia" w:ascii="宋体" w:hAnsi="宋体"/>
                <w:kern w:val="0"/>
                <w:szCs w:val="21"/>
              </w:rPr>
              <w:t>款</w:t>
            </w:r>
            <w:r>
              <w:rPr>
                <w:rFonts w:ascii="宋体" w:hAnsi="宋体"/>
                <w:kern w:val="0"/>
              </w:rPr>
              <w:t>规定</w:t>
            </w:r>
          </w:p>
        </w:tc>
      </w:tr>
      <w:tr w14:paraId="4E3312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451D7076">
            <w:pPr>
              <w:spacing w:line="400" w:lineRule="exact"/>
              <w:jc w:val="center"/>
              <w:rPr>
                <w:rFonts w:ascii="宋体" w:hAnsi="宋体"/>
              </w:rPr>
            </w:pPr>
          </w:p>
        </w:tc>
        <w:tc>
          <w:tcPr>
            <w:tcW w:w="567" w:type="dxa"/>
            <w:vMerge w:val="continue"/>
          </w:tcPr>
          <w:p w14:paraId="0499EB64">
            <w:pPr>
              <w:spacing w:line="400" w:lineRule="exact"/>
              <w:jc w:val="center"/>
              <w:rPr>
                <w:rFonts w:ascii="宋体" w:hAnsi="宋体"/>
              </w:rPr>
            </w:pPr>
          </w:p>
        </w:tc>
        <w:tc>
          <w:tcPr>
            <w:tcW w:w="2559" w:type="dxa"/>
            <w:gridSpan w:val="3"/>
            <w:vAlign w:val="center"/>
          </w:tcPr>
          <w:p w14:paraId="11D7A5A9">
            <w:pPr>
              <w:spacing w:line="400" w:lineRule="exact"/>
              <w:jc w:val="left"/>
              <w:rPr>
                <w:rFonts w:ascii="宋体" w:hAnsi="宋体"/>
                <w:kern w:val="0"/>
              </w:rPr>
            </w:pPr>
            <w:r>
              <w:rPr>
                <w:rFonts w:ascii="宋体" w:hAnsi="宋体"/>
                <w:kern w:val="0"/>
              </w:rPr>
              <w:t>权利义务</w:t>
            </w:r>
          </w:p>
        </w:tc>
        <w:tc>
          <w:tcPr>
            <w:tcW w:w="5493" w:type="dxa"/>
            <w:vAlign w:val="center"/>
          </w:tcPr>
          <w:p w14:paraId="3959BD91">
            <w:pPr>
              <w:spacing w:after="62" w:afterLines="20" w:line="400" w:lineRule="exact"/>
              <w:ind w:firstLine="420" w:firstLineChars="200"/>
              <w:rPr>
                <w:rFonts w:ascii="宋体" w:hAnsi="宋体"/>
                <w:kern w:val="0"/>
              </w:rPr>
            </w:pPr>
            <w:r>
              <w:rPr>
                <w:rFonts w:ascii="宋体" w:hAnsi="宋体"/>
                <w:kern w:val="0"/>
              </w:rPr>
              <w:t>符合第四章“合同条款及格式”规定，</w:t>
            </w:r>
            <w:r>
              <w:rPr>
                <w:rFonts w:hint="eastAsia" w:ascii="宋体" w:hAnsi="宋体"/>
                <w:kern w:val="0"/>
              </w:rPr>
              <w:t>投标文件</w:t>
            </w:r>
            <w:r>
              <w:rPr>
                <w:rFonts w:ascii="宋体" w:hAnsi="宋体"/>
                <w:kern w:val="0"/>
              </w:rPr>
              <w:t>不应附有</w:t>
            </w:r>
            <w:r>
              <w:rPr>
                <w:rFonts w:hint="eastAsia" w:ascii="宋体" w:hAnsi="宋体"/>
                <w:kern w:val="0"/>
              </w:rPr>
              <w:t>比选人</w:t>
            </w:r>
            <w:r>
              <w:rPr>
                <w:rFonts w:ascii="宋体" w:hAnsi="宋体"/>
                <w:kern w:val="0"/>
              </w:rPr>
              <w:t>不能接受的条件。</w:t>
            </w:r>
            <w:r>
              <w:rPr>
                <w:rFonts w:hint="eastAsia" w:ascii="宋体" w:hAnsi="宋体" w:cs="宋体"/>
                <w:kern w:val="0"/>
              </w:rPr>
              <w:t>（由投标人承诺，承诺书格式详见第七章投标文件格式。）</w:t>
            </w:r>
          </w:p>
        </w:tc>
      </w:tr>
      <w:tr w14:paraId="76A319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3581025D">
            <w:pPr>
              <w:spacing w:line="400" w:lineRule="exact"/>
              <w:jc w:val="center"/>
              <w:rPr>
                <w:rFonts w:ascii="宋体" w:hAnsi="宋体"/>
              </w:rPr>
            </w:pPr>
          </w:p>
        </w:tc>
        <w:tc>
          <w:tcPr>
            <w:tcW w:w="567" w:type="dxa"/>
            <w:vMerge w:val="continue"/>
          </w:tcPr>
          <w:p w14:paraId="3EC81C0E">
            <w:pPr>
              <w:spacing w:line="400" w:lineRule="exact"/>
              <w:jc w:val="center"/>
              <w:rPr>
                <w:rFonts w:ascii="宋体" w:hAnsi="宋体"/>
              </w:rPr>
            </w:pPr>
          </w:p>
        </w:tc>
        <w:tc>
          <w:tcPr>
            <w:tcW w:w="2559" w:type="dxa"/>
            <w:gridSpan w:val="3"/>
            <w:vAlign w:val="center"/>
          </w:tcPr>
          <w:p w14:paraId="08F5174F">
            <w:pPr>
              <w:spacing w:line="400" w:lineRule="exact"/>
              <w:jc w:val="left"/>
              <w:rPr>
                <w:rFonts w:ascii="宋体" w:hAnsi="宋体"/>
                <w:kern w:val="0"/>
              </w:rPr>
            </w:pPr>
            <w:r>
              <w:rPr>
                <w:rFonts w:hint="eastAsia" w:ascii="宋体" w:hAnsi="宋体"/>
                <w:kern w:val="0"/>
              </w:rPr>
              <w:t>☑</w:t>
            </w:r>
            <w:r>
              <w:rPr>
                <w:rFonts w:ascii="宋体" w:hAnsi="宋体"/>
                <w:kern w:val="0"/>
              </w:rPr>
              <w:t>技术标准和要求</w:t>
            </w:r>
          </w:p>
        </w:tc>
        <w:tc>
          <w:tcPr>
            <w:tcW w:w="5493" w:type="dxa"/>
            <w:vAlign w:val="center"/>
          </w:tcPr>
          <w:p w14:paraId="530CE581">
            <w:pPr>
              <w:spacing w:line="400" w:lineRule="exact"/>
              <w:ind w:firstLine="420" w:firstLineChars="200"/>
              <w:rPr>
                <w:rFonts w:ascii="宋体" w:hAnsi="宋体"/>
                <w:kern w:val="0"/>
              </w:rPr>
            </w:pPr>
            <w:r>
              <w:rPr>
                <w:rFonts w:ascii="宋体" w:hAnsi="宋体"/>
                <w:kern w:val="0"/>
              </w:rPr>
              <w:t>符合第七章“技术标准和要求”规定</w:t>
            </w:r>
            <w:r>
              <w:rPr>
                <w:rFonts w:hint="eastAsia" w:ascii="宋体" w:hAnsi="宋体"/>
                <w:kern w:val="0"/>
              </w:rPr>
              <w:t>。</w:t>
            </w:r>
            <w:r>
              <w:rPr>
                <w:rFonts w:hint="eastAsia" w:ascii="宋体" w:hAnsi="宋体" w:cs="宋体"/>
                <w:kern w:val="0"/>
              </w:rPr>
              <w:t>（由投标人承诺，承诺书格式详见第七章投标文件格式。）</w:t>
            </w:r>
          </w:p>
        </w:tc>
      </w:tr>
      <w:tr w14:paraId="4DF944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center"/>
          </w:tcPr>
          <w:p w14:paraId="7AFF3B85">
            <w:pPr>
              <w:spacing w:line="400" w:lineRule="exact"/>
              <w:jc w:val="center"/>
              <w:rPr>
                <w:rFonts w:ascii="宋体" w:hAnsi="宋体"/>
              </w:rPr>
            </w:pPr>
          </w:p>
        </w:tc>
        <w:tc>
          <w:tcPr>
            <w:tcW w:w="567" w:type="dxa"/>
            <w:vMerge w:val="continue"/>
            <w:vAlign w:val="center"/>
          </w:tcPr>
          <w:p w14:paraId="01D855F0">
            <w:pPr>
              <w:spacing w:line="400" w:lineRule="exact"/>
              <w:jc w:val="center"/>
              <w:rPr>
                <w:rFonts w:ascii="宋体" w:hAnsi="宋体"/>
              </w:rPr>
            </w:pPr>
          </w:p>
        </w:tc>
        <w:tc>
          <w:tcPr>
            <w:tcW w:w="2559" w:type="dxa"/>
            <w:gridSpan w:val="3"/>
            <w:vAlign w:val="center"/>
          </w:tcPr>
          <w:p w14:paraId="3C72DECA">
            <w:pPr>
              <w:spacing w:line="400" w:lineRule="exact"/>
              <w:jc w:val="left"/>
              <w:rPr>
                <w:rFonts w:ascii="宋体" w:hAnsi="宋体"/>
                <w:kern w:val="0"/>
              </w:rPr>
            </w:pPr>
            <w:r>
              <w:rPr>
                <w:rFonts w:ascii="宋体" w:hAnsi="宋体"/>
                <w:kern w:val="0"/>
              </w:rPr>
              <w:t>已标价工程量清单</w:t>
            </w:r>
          </w:p>
        </w:tc>
        <w:tc>
          <w:tcPr>
            <w:tcW w:w="5493" w:type="dxa"/>
            <w:vAlign w:val="center"/>
          </w:tcPr>
          <w:p w14:paraId="23FC7109">
            <w:pPr>
              <w:spacing w:after="62" w:afterLines="20" w:line="400" w:lineRule="exact"/>
              <w:ind w:firstLine="420" w:firstLineChars="200"/>
              <w:rPr>
                <w:rFonts w:ascii="宋体" w:hAnsi="宋体"/>
                <w:kern w:val="0"/>
              </w:rPr>
            </w:pPr>
            <w:r>
              <w:rPr>
                <w:rFonts w:hint="eastAsia" w:ascii="宋体" w:hAnsi="宋体"/>
                <w:kern w:val="0"/>
              </w:rPr>
              <w:t>投标人承诺满足以下内容：</w:t>
            </w:r>
          </w:p>
          <w:p w14:paraId="41095DB7">
            <w:pPr>
              <w:spacing w:after="62" w:afterLines="20" w:line="400" w:lineRule="exact"/>
              <w:ind w:firstLine="420" w:firstLineChars="200"/>
              <w:rPr>
                <w:rFonts w:ascii="宋体" w:hAnsi="宋体"/>
                <w:kern w:val="0"/>
              </w:rPr>
            </w:pPr>
            <w:r>
              <w:rPr>
                <w:rFonts w:hint="eastAsia" w:ascii="宋体" w:hAnsi="宋体"/>
                <w:kern w:val="0"/>
              </w:rPr>
              <w:t>1</w:t>
            </w:r>
            <w:r>
              <w:rPr>
                <w:rFonts w:ascii="宋体" w:hAnsi="宋体"/>
                <w:kern w:val="0"/>
              </w:rPr>
              <w:t>.符合第五章“工程量清单”给出的范围及数量。</w:t>
            </w:r>
          </w:p>
          <w:p w14:paraId="4BF59159">
            <w:pPr>
              <w:spacing w:after="62" w:afterLines="20" w:line="400" w:lineRule="exact"/>
              <w:ind w:firstLine="420" w:firstLineChars="200"/>
              <w:rPr>
                <w:rFonts w:ascii="宋体" w:hAnsi="宋体"/>
                <w:kern w:val="0"/>
              </w:rPr>
            </w:pPr>
            <w:r>
              <w:rPr>
                <w:rFonts w:ascii="宋体" w:hAnsi="宋体"/>
                <w:kern w:val="0"/>
              </w:rPr>
              <w:t>2.</w:t>
            </w:r>
            <w:r>
              <w:rPr>
                <w:rFonts w:hint="eastAsia" w:ascii="宋体" w:hAnsi="宋体"/>
                <w:kern w:val="0"/>
              </w:rPr>
              <w:t>招标文件中规定工程量清单不允许修改的内容不得修改。</w:t>
            </w:r>
          </w:p>
          <w:p w14:paraId="56D9457A">
            <w:pPr>
              <w:spacing w:after="62" w:afterLines="20" w:line="400" w:lineRule="exact"/>
              <w:ind w:firstLine="420" w:firstLineChars="200"/>
              <w:rPr>
                <w:rFonts w:ascii="宋体" w:hAnsi="宋体"/>
                <w:kern w:val="0"/>
              </w:rPr>
            </w:pPr>
            <w:r>
              <w:rPr>
                <w:rFonts w:hint="eastAsia" w:ascii="宋体" w:hAnsi="宋体"/>
                <w:kern w:val="0"/>
              </w:rPr>
              <w:t>3.每项全费用工程量清单综合单价报价不得高于对应全费用工程量清单综合单价最高限价。</w:t>
            </w:r>
          </w:p>
        </w:tc>
      </w:tr>
      <w:tr w14:paraId="24666C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540E360C">
            <w:pPr>
              <w:spacing w:line="400" w:lineRule="exact"/>
              <w:rPr>
                <w:rFonts w:ascii="宋体" w:hAnsi="宋体"/>
              </w:rPr>
            </w:pPr>
          </w:p>
        </w:tc>
        <w:tc>
          <w:tcPr>
            <w:tcW w:w="567" w:type="dxa"/>
            <w:vMerge w:val="continue"/>
          </w:tcPr>
          <w:p w14:paraId="434B96D4">
            <w:pPr>
              <w:spacing w:line="400" w:lineRule="exact"/>
              <w:rPr>
                <w:rFonts w:ascii="宋体" w:hAnsi="宋体"/>
              </w:rPr>
            </w:pPr>
          </w:p>
        </w:tc>
        <w:tc>
          <w:tcPr>
            <w:tcW w:w="2559" w:type="dxa"/>
            <w:gridSpan w:val="3"/>
            <w:vAlign w:val="center"/>
          </w:tcPr>
          <w:p w14:paraId="03F2E3A2">
            <w:pPr>
              <w:spacing w:line="400" w:lineRule="exact"/>
              <w:jc w:val="left"/>
              <w:rPr>
                <w:rFonts w:ascii="宋体" w:hAnsi="宋体"/>
                <w:kern w:val="0"/>
              </w:rPr>
            </w:pPr>
            <w:r>
              <w:rPr>
                <w:rFonts w:ascii="宋体" w:hAnsi="宋体"/>
                <w:kern w:val="0"/>
              </w:rPr>
              <w:t>投标报价算术错误修正</w:t>
            </w:r>
          </w:p>
        </w:tc>
        <w:tc>
          <w:tcPr>
            <w:tcW w:w="5493" w:type="dxa"/>
            <w:vAlign w:val="center"/>
          </w:tcPr>
          <w:p w14:paraId="2D6F9551">
            <w:pPr>
              <w:spacing w:line="400" w:lineRule="exact"/>
              <w:ind w:firstLine="420" w:firstLineChars="200"/>
              <w:rPr>
                <w:rFonts w:ascii="宋体" w:hAnsi="宋体"/>
                <w:kern w:val="0"/>
              </w:rPr>
            </w:pPr>
            <w:r>
              <w:rPr>
                <w:rFonts w:ascii="宋体" w:hAnsi="宋体"/>
                <w:kern w:val="0"/>
              </w:rPr>
              <w:t>符合第三章3.评标程序第3.1.3项规定。</w:t>
            </w:r>
          </w:p>
        </w:tc>
      </w:tr>
      <w:tr w14:paraId="6778F5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2A8E6076">
            <w:pPr>
              <w:spacing w:line="400" w:lineRule="exact"/>
              <w:rPr>
                <w:rFonts w:ascii="宋体" w:hAnsi="宋体"/>
              </w:rPr>
            </w:pPr>
          </w:p>
        </w:tc>
        <w:tc>
          <w:tcPr>
            <w:tcW w:w="567" w:type="dxa"/>
            <w:vMerge w:val="continue"/>
          </w:tcPr>
          <w:p w14:paraId="40FCB369">
            <w:pPr>
              <w:spacing w:line="400" w:lineRule="exact"/>
              <w:rPr>
                <w:rFonts w:ascii="宋体" w:hAnsi="宋体"/>
              </w:rPr>
            </w:pPr>
          </w:p>
        </w:tc>
        <w:tc>
          <w:tcPr>
            <w:tcW w:w="2559" w:type="dxa"/>
            <w:gridSpan w:val="3"/>
            <w:vAlign w:val="center"/>
          </w:tcPr>
          <w:p w14:paraId="6E08D15F">
            <w:pPr>
              <w:spacing w:line="400" w:lineRule="exact"/>
              <w:jc w:val="left"/>
              <w:rPr>
                <w:rFonts w:ascii="宋体" w:hAnsi="宋体"/>
                <w:kern w:val="0"/>
              </w:rPr>
            </w:pPr>
            <w:r>
              <w:rPr>
                <w:rFonts w:ascii="宋体" w:hAnsi="宋体"/>
                <w:kern w:val="0"/>
              </w:rPr>
              <w:t>实质性要求</w:t>
            </w:r>
          </w:p>
        </w:tc>
        <w:tc>
          <w:tcPr>
            <w:tcW w:w="5493" w:type="dxa"/>
            <w:vAlign w:val="center"/>
          </w:tcPr>
          <w:p w14:paraId="2C14F249">
            <w:pPr>
              <w:spacing w:after="62" w:afterLines="20" w:line="400" w:lineRule="exact"/>
              <w:ind w:firstLine="420" w:firstLineChars="200"/>
              <w:rPr>
                <w:rFonts w:ascii="宋体" w:hAnsi="宋体"/>
                <w:kern w:val="0"/>
              </w:rPr>
            </w:pPr>
            <w:r>
              <w:rPr>
                <w:rFonts w:hint="eastAsia" w:ascii="宋体" w:hAnsi="宋体"/>
                <w:kern w:val="0"/>
              </w:rPr>
              <w:t>符合第二章“投标人须知”第1.4.3项规定。</w:t>
            </w:r>
          </w:p>
          <w:p w14:paraId="1F739766">
            <w:pPr>
              <w:spacing w:after="62" w:afterLines="20" w:line="400" w:lineRule="exact"/>
              <w:ind w:firstLine="420" w:firstLineChars="200"/>
              <w:rPr>
                <w:rFonts w:ascii="宋体" w:hAnsi="宋体"/>
                <w:kern w:val="0"/>
              </w:rPr>
            </w:pPr>
            <w:r>
              <w:rPr>
                <w:rFonts w:hint="eastAsia" w:ascii="宋体" w:hAnsi="宋体"/>
                <w:kern w:val="0"/>
              </w:rPr>
              <w:t>本次投标不得有串通投标</w:t>
            </w:r>
            <w:r>
              <w:rPr>
                <w:rFonts w:ascii="宋体" w:hAnsi="宋体"/>
                <w:kern w:val="0"/>
              </w:rPr>
              <w:t>、弄虚作假等其他违反招投标相关法律、法规行为。</w:t>
            </w:r>
          </w:p>
          <w:p w14:paraId="19B7EBF3">
            <w:pPr>
              <w:spacing w:after="62" w:afterLines="20" w:line="400" w:lineRule="exact"/>
              <w:ind w:firstLine="420" w:firstLineChars="200"/>
              <w:rPr>
                <w:rFonts w:ascii="宋体" w:hAnsi="宋体"/>
                <w:kern w:val="0"/>
              </w:rPr>
            </w:pPr>
            <w:r>
              <w:rPr>
                <w:rFonts w:hint="eastAsia" w:ascii="宋体" w:hAnsi="宋体" w:cs="宋体"/>
                <w:kern w:val="0"/>
              </w:rPr>
              <w:t>按评标委员会要求澄清、说明或补正。</w:t>
            </w:r>
          </w:p>
        </w:tc>
      </w:tr>
      <w:tr w14:paraId="4A2711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362200B8">
            <w:pPr>
              <w:spacing w:line="400" w:lineRule="exact"/>
              <w:ind w:firstLine="210" w:firstLineChars="100"/>
              <w:jc w:val="center"/>
              <w:rPr>
                <w:rFonts w:ascii="宋体" w:hAnsi="宋体"/>
                <w:kern w:val="0"/>
              </w:rPr>
            </w:pPr>
            <w:r>
              <w:rPr>
                <w:rFonts w:ascii="宋体" w:hAnsi="宋体"/>
                <w:kern w:val="0"/>
              </w:rPr>
              <w:t>2.2.1</w:t>
            </w:r>
          </w:p>
        </w:tc>
        <w:tc>
          <w:tcPr>
            <w:tcW w:w="2559" w:type="dxa"/>
            <w:gridSpan w:val="3"/>
            <w:vAlign w:val="center"/>
          </w:tcPr>
          <w:p w14:paraId="467D89D5">
            <w:pPr>
              <w:tabs>
                <w:tab w:val="left" w:pos="1875"/>
              </w:tabs>
              <w:spacing w:line="400" w:lineRule="exact"/>
              <w:jc w:val="center"/>
              <w:rPr>
                <w:rFonts w:ascii="宋体" w:hAnsi="宋体"/>
                <w:kern w:val="0"/>
              </w:rPr>
            </w:pPr>
            <w:r>
              <w:rPr>
                <w:rFonts w:ascii="宋体" w:hAnsi="宋体"/>
                <w:kern w:val="0"/>
              </w:rPr>
              <w:t>分值构成 （总分1</w:t>
            </w:r>
            <w:r>
              <w:rPr>
                <w:rFonts w:hint="eastAsia" w:ascii="宋体" w:hAnsi="宋体"/>
                <w:kern w:val="0"/>
              </w:rPr>
              <w:t>00</w:t>
            </w:r>
            <w:r>
              <w:rPr>
                <w:rFonts w:ascii="宋体" w:hAnsi="宋体"/>
                <w:kern w:val="0"/>
              </w:rPr>
              <w:t>分）</w:t>
            </w:r>
          </w:p>
        </w:tc>
        <w:tc>
          <w:tcPr>
            <w:tcW w:w="5493" w:type="dxa"/>
            <w:vAlign w:val="center"/>
          </w:tcPr>
          <w:p w14:paraId="7FB7D28A">
            <w:pPr>
              <w:snapToGrid w:val="0"/>
              <w:spacing w:line="400" w:lineRule="exact"/>
              <w:ind w:firstLine="420" w:firstLineChars="200"/>
              <w:rPr>
                <w:rFonts w:ascii="宋体" w:hAnsi="宋体"/>
                <w:color w:val="0000FF"/>
                <w:kern w:val="0"/>
              </w:rPr>
            </w:pPr>
            <w:r>
              <w:rPr>
                <w:rFonts w:hint="eastAsia" w:ascii="宋体" w:hAnsi="宋体"/>
                <w:color w:val="0000FF"/>
                <w:kern w:val="0"/>
              </w:rPr>
              <w:t>1</w:t>
            </w:r>
            <w:r>
              <w:rPr>
                <w:rFonts w:ascii="宋体" w:hAnsi="宋体"/>
                <w:color w:val="0000FF"/>
                <w:kern w:val="0"/>
              </w:rPr>
              <w:t>.</w:t>
            </w:r>
            <w:r>
              <w:rPr>
                <w:rFonts w:hint="eastAsia" w:ascii="宋体" w:hAnsi="宋体"/>
                <w:color w:val="0000FF"/>
                <w:kern w:val="0"/>
              </w:rPr>
              <w:t xml:space="preserve">技术部分 </w:t>
            </w:r>
            <w:r>
              <w:rPr>
                <w:rFonts w:ascii="宋体" w:hAnsi="宋体"/>
                <w:color w:val="0000FF"/>
                <w:kern w:val="0"/>
                <w:u w:val="single"/>
              </w:rPr>
              <w:t>　</w:t>
            </w:r>
            <w:r>
              <w:rPr>
                <w:rFonts w:hint="eastAsia" w:ascii="宋体" w:hAnsi="宋体"/>
                <w:color w:val="0000FF"/>
                <w:kern w:val="0"/>
                <w:u w:val="single"/>
              </w:rPr>
              <w:t>30</w:t>
            </w:r>
            <w:r>
              <w:rPr>
                <w:rFonts w:ascii="宋体" w:hAnsi="宋体"/>
                <w:color w:val="0000FF"/>
                <w:kern w:val="0"/>
                <w:u w:val="single"/>
              </w:rPr>
              <w:t>　</w:t>
            </w:r>
            <w:r>
              <w:rPr>
                <w:rFonts w:ascii="宋体" w:hAnsi="宋体"/>
                <w:color w:val="0000FF"/>
                <w:kern w:val="0"/>
              </w:rPr>
              <w:t>分</w:t>
            </w:r>
            <w:r>
              <w:rPr>
                <w:rFonts w:hint="eastAsia" w:ascii="宋体" w:hAnsi="宋体"/>
                <w:i/>
                <w:color w:val="0000FF"/>
                <w:kern w:val="0"/>
              </w:rPr>
              <w:t>[提示：</w:t>
            </w:r>
            <w:r>
              <w:rPr>
                <w:rFonts w:ascii="宋体" w:hAnsi="宋体"/>
                <w:i/>
                <w:color w:val="0000FF"/>
                <w:kern w:val="0"/>
              </w:rPr>
              <w:t>不高于</w:t>
            </w:r>
            <w:r>
              <w:rPr>
                <w:rFonts w:hint="eastAsia" w:ascii="宋体" w:hAnsi="宋体"/>
                <w:i/>
                <w:color w:val="0000FF"/>
                <w:kern w:val="0"/>
              </w:rPr>
              <w:t>30</w:t>
            </w:r>
            <w:r>
              <w:rPr>
                <w:rFonts w:ascii="宋体" w:hAnsi="宋体"/>
                <w:i/>
                <w:color w:val="0000FF"/>
                <w:kern w:val="0"/>
              </w:rPr>
              <w:t>分</w:t>
            </w:r>
            <w:r>
              <w:rPr>
                <w:rFonts w:hint="eastAsia" w:ascii="宋体" w:hAnsi="宋体"/>
                <w:i/>
                <w:color w:val="0000FF"/>
                <w:kern w:val="0"/>
              </w:rPr>
              <w:t>]</w:t>
            </w:r>
            <w:r>
              <w:rPr>
                <w:rFonts w:hint="eastAsia" w:ascii="宋体" w:hAnsi="宋体"/>
                <w:color w:val="0000FF"/>
                <w:kern w:val="0"/>
              </w:rPr>
              <w:t>；</w:t>
            </w:r>
          </w:p>
          <w:p w14:paraId="0A9DDF9F">
            <w:pPr>
              <w:snapToGrid w:val="0"/>
              <w:spacing w:line="400" w:lineRule="exact"/>
              <w:ind w:firstLine="420" w:firstLineChars="200"/>
              <w:rPr>
                <w:rFonts w:ascii="宋体" w:hAnsi="宋体"/>
                <w:i/>
                <w:color w:val="0000FF"/>
                <w:kern w:val="0"/>
              </w:rPr>
            </w:pPr>
            <w:r>
              <w:rPr>
                <w:rFonts w:hint="eastAsia" w:ascii="宋体" w:hAnsi="宋体"/>
                <w:color w:val="0000FF"/>
                <w:kern w:val="0"/>
              </w:rPr>
              <w:t>2.投标总报价</w:t>
            </w:r>
            <w:r>
              <w:rPr>
                <w:rFonts w:hint="eastAsia" w:ascii="宋体" w:hAnsi="宋体"/>
                <w:color w:val="0000FF"/>
                <w:kern w:val="0"/>
                <w:u w:val="single"/>
              </w:rPr>
              <w:t xml:space="preserve"> 70  </w:t>
            </w:r>
            <w:r>
              <w:rPr>
                <w:rFonts w:hint="eastAsia" w:ascii="宋体" w:hAnsi="宋体"/>
                <w:color w:val="0000FF"/>
                <w:kern w:val="0"/>
              </w:rPr>
              <w:t>分</w:t>
            </w:r>
            <w:r>
              <w:rPr>
                <w:rFonts w:hint="eastAsia" w:ascii="宋体" w:hAnsi="宋体"/>
                <w:i/>
                <w:color w:val="0000FF"/>
                <w:kern w:val="0"/>
              </w:rPr>
              <w:t>[提示：不低于70分]</w:t>
            </w:r>
            <w:r>
              <w:rPr>
                <w:rFonts w:hint="eastAsia" w:ascii="宋体" w:hAnsi="宋体"/>
                <w:color w:val="0000FF"/>
                <w:kern w:val="0"/>
              </w:rPr>
              <w:t>。</w:t>
            </w:r>
          </w:p>
        </w:tc>
      </w:tr>
      <w:tr w14:paraId="20DE6C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restart"/>
            <w:tcBorders>
              <w:right w:val="single" w:color="auto" w:sz="4" w:space="0"/>
            </w:tcBorders>
            <w:vAlign w:val="center"/>
          </w:tcPr>
          <w:p w14:paraId="3E07AC07">
            <w:pPr>
              <w:spacing w:line="400" w:lineRule="exact"/>
              <w:jc w:val="center"/>
              <w:rPr>
                <w:rFonts w:ascii="宋体" w:hAnsi="宋体"/>
                <w:kern w:val="0"/>
              </w:rPr>
            </w:pPr>
            <w:r>
              <w:rPr>
                <w:rFonts w:hint="eastAsia" w:ascii="宋体" w:hAnsi="宋体"/>
                <w:kern w:val="0"/>
              </w:rPr>
              <w:t>2.2.2</w:t>
            </w:r>
          </w:p>
        </w:tc>
        <w:tc>
          <w:tcPr>
            <w:tcW w:w="585" w:type="dxa"/>
            <w:gridSpan w:val="2"/>
            <w:vMerge w:val="restart"/>
            <w:tcBorders>
              <w:left w:val="single" w:color="auto" w:sz="4" w:space="0"/>
            </w:tcBorders>
            <w:vAlign w:val="center"/>
          </w:tcPr>
          <w:p w14:paraId="6B389C8E">
            <w:pPr>
              <w:spacing w:line="400" w:lineRule="exact"/>
              <w:jc w:val="center"/>
              <w:rPr>
                <w:rFonts w:ascii="宋体" w:hAnsi="宋体"/>
                <w:kern w:val="0"/>
              </w:rPr>
            </w:pPr>
            <w:r>
              <w:rPr>
                <w:rFonts w:hint="eastAsia" w:ascii="宋体" w:hAnsi="宋体"/>
                <w:kern w:val="0"/>
              </w:rPr>
              <w:t>技术部分评分标准</w:t>
            </w:r>
          </w:p>
        </w:tc>
        <w:tc>
          <w:tcPr>
            <w:tcW w:w="568" w:type="dxa"/>
            <w:vMerge w:val="restart"/>
            <w:tcBorders>
              <w:right w:val="single" w:color="auto" w:sz="4" w:space="0"/>
            </w:tcBorders>
            <w:vAlign w:val="center"/>
          </w:tcPr>
          <w:p w14:paraId="55636BEB">
            <w:pPr>
              <w:tabs>
                <w:tab w:val="left" w:pos="1875"/>
              </w:tabs>
              <w:spacing w:line="400" w:lineRule="exact"/>
              <w:jc w:val="center"/>
              <w:rPr>
                <w:rFonts w:ascii="宋体" w:hAnsi="宋体"/>
                <w:kern w:val="0"/>
              </w:rPr>
            </w:pPr>
            <w:r>
              <w:rPr>
                <w:rFonts w:ascii="宋体" w:hAnsi="宋体"/>
                <w:kern w:val="0"/>
              </w:rPr>
              <w:t>技</w:t>
            </w:r>
          </w:p>
          <w:p w14:paraId="2B7B1835">
            <w:pPr>
              <w:tabs>
                <w:tab w:val="left" w:pos="1875"/>
              </w:tabs>
              <w:spacing w:line="400" w:lineRule="exact"/>
              <w:jc w:val="center"/>
              <w:rPr>
                <w:rFonts w:ascii="宋体" w:hAnsi="宋体"/>
                <w:kern w:val="0"/>
              </w:rPr>
            </w:pPr>
            <w:r>
              <w:rPr>
                <w:rFonts w:ascii="宋体" w:hAnsi="宋体"/>
                <w:kern w:val="0"/>
              </w:rPr>
              <w:t>术</w:t>
            </w:r>
          </w:p>
          <w:p w14:paraId="79B05F4A">
            <w:pPr>
              <w:tabs>
                <w:tab w:val="left" w:pos="1875"/>
              </w:tabs>
              <w:spacing w:line="400" w:lineRule="exact"/>
              <w:jc w:val="center"/>
              <w:rPr>
                <w:rFonts w:ascii="宋体" w:hAnsi="宋体"/>
                <w:kern w:val="0"/>
              </w:rPr>
            </w:pPr>
            <w:r>
              <w:rPr>
                <w:rFonts w:ascii="宋体" w:hAnsi="宋体"/>
                <w:kern w:val="0"/>
              </w:rPr>
              <w:t>方</w:t>
            </w:r>
          </w:p>
          <w:p w14:paraId="6746705A">
            <w:pPr>
              <w:tabs>
                <w:tab w:val="left" w:pos="1875"/>
              </w:tabs>
              <w:spacing w:line="400" w:lineRule="exact"/>
              <w:jc w:val="center"/>
              <w:rPr>
                <w:rFonts w:ascii="宋体" w:hAnsi="宋体"/>
                <w:kern w:val="0"/>
              </w:rPr>
            </w:pPr>
            <w:r>
              <w:rPr>
                <w:rFonts w:ascii="宋体" w:hAnsi="宋体"/>
                <w:kern w:val="0"/>
              </w:rPr>
              <w:t>案</w:t>
            </w:r>
          </w:p>
          <w:p w14:paraId="4176AE91">
            <w:pPr>
              <w:tabs>
                <w:tab w:val="left" w:pos="1875"/>
              </w:tabs>
              <w:spacing w:line="400" w:lineRule="exact"/>
              <w:jc w:val="center"/>
              <w:rPr>
                <w:rFonts w:ascii="宋体" w:hAnsi="宋体"/>
                <w:kern w:val="0"/>
              </w:rPr>
            </w:pPr>
            <w:r>
              <w:rPr>
                <w:rFonts w:ascii="宋体" w:hAnsi="宋体"/>
                <w:kern w:val="0"/>
              </w:rPr>
              <w:t>评</w:t>
            </w:r>
          </w:p>
          <w:p w14:paraId="2F534198">
            <w:pPr>
              <w:tabs>
                <w:tab w:val="left" w:pos="1875"/>
              </w:tabs>
              <w:spacing w:line="400" w:lineRule="exact"/>
              <w:jc w:val="center"/>
              <w:rPr>
                <w:rFonts w:ascii="宋体" w:hAnsi="宋体"/>
                <w:kern w:val="0"/>
              </w:rPr>
            </w:pPr>
            <w:r>
              <w:rPr>
                <w:rFonts w:ascii="宋体" w:hAnsi="宋体"/>
                <w:kern w:val="0"/>
              </w:rPr>
              <w:t>审</w:t>
            </w:r>
          </w:p>
        </w:tc>
        <w:tc>
          <w:tcPr>
            <w:tcW w:w="1991" w:type="dxa"/>
            <w:gridSpan w:val="2"/>
            <w:tcBorders>
              <w:left w:val="single" w:color="auto" w:sz="4" w:space="0"/>
            </w:tcBorders>
            <w:vAlign w:val="center"/>
          </w:tcPr>
          <w:p w14:paraId="17B3081E">
            <w:pPr>
              <w:spacing w:line="400" w:lineRule="exact"/>
              <w:jc w:val="center"/>
              <w:rPr>
                <w:rFonts w:ascii="宋体" w:hAnsi="宋体" w:cs="宋体"/>
                <w:color w:val="0000FF"/>
                <w:kern w:val="0"/>
                <w:szCs w:val="21"/>
              </w:rPr>
            </w:pPr>
            <w:r>
              <w:rPr>
                <w:rFonts w:ascii="宋体" w:hAnsi="宋体"/>
                <w:color w:val="0000FF"/>
                <w:kern w:val="0"/>
                <w:szCs w:val="21"/>
              </w:rPr>
              <w:t>内容完整性和编制水平</w:t>
            </w:r>
          </w:p>
        </w:tc>
        <w:tc>
          <w:tcPr>
            <w:tcW w:w="5493" w:type="dxa"/>
            <w:vAlign w:val="center"/>
          </w:tcPr>
          <w:p w14:paraId="6CDDE3B9">
            <w:pPr>
              <w:spacing w:line="300" w:lineRule="exact"/>
              <w:ind w:firstLine="420" w:firstLineChars="200"/>
              <w:rPr>
                <w:rFonts w:ascii="宋体" w:hAnsi="宋体" w:cs="宋体"/>
                <w:color w:val="0000FF"/>
                <w:kern w:val="0"/>
                <w:szCs w:val="21"/>
              </w:rPr>
            </w:pPr>
            <w:r>
              <w:rPr>
                <w:rFonts w:hint="eastAsia" w:ascii="宋体" w:hAnsi="宋体" w:cs="宋体"/>
                <w:color w:val="0000FF"/>
                <w:kern w:val="0"/>
                <w:szCs w:val="21"/>
                <w:u w:val="single"/>
              </w:rPr>
              <w:t xml:space="preserve"> 4 </w:t>
            </w:r>
            <w:r>
              <w:rPr>
                <w:rFonts w:hint="eastAsia" w:ascii="宋体" w:hAnsi="宋体" w:cs="宋体"/>
                <w:color w:val="0000FF"/>
                <w:kern w:val="0"/>
                <w:szCs w:val="21"/>
              </w:rPr>
              <w:t>分   编制要点：内容（含图表等）完整、全面、重点突出。（0-4分）</w:t>
            </w:r>
          </w:p>
        </w:tc>
      </w:tr>
      <w:tr w14:paraId="5FA58A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3109099E">
            <w:pPr>
              <w:spacing w:line="400" w:lineRule="exact"/>
              <w:ind w:firstLine="210" w:firstLineChars="100"/>
              <w:jc w:val="center"/>
              <w:rPr>
                <w:rFonts w:ascii="宋体" w:hAnsi="宋体"/>
                <w:kern w:val="0"/>
              </w:rPr>
            </w:pPr>
          </w:p>
        </w:tc>
        <w:tc>
          <w:tcPr>
            <w:tcW w:w="585" w:type="dxa"/>
            <w:gridSpan w:val="2"/>
            <w:vMerge w:val="continue"/>
            <w:tcBorders>
              <w:left w:val="single" w:color="auto" w:sz="4" w:space="0"/>
            </w:tcBorders>
            <w:vAlign w:val="center"/>
          </w:tcPr>
          <w:p w14:paraId="1E9FE685">
            <w:pPr>
              <w:spacing w:line="400" w:lineRule="exact"/>
              <w:ind w:firstLine="210" w:firstLineChars="100"/>
              <w:jc w:val="center"/>
              <w:rPr>
                <w:rFonts w:ascii="宋体" w:hAnsi="宋体"/>
                <w:kern w:val="0"/>
              </w:rPr>
            </w:pPr>
          </w:p>
        </w:tc>
        <w:tc>
          <w:tcPr>
            <w:tcW w:w="568" w:type="dxa"/>
            <w:vMerge w:val="continue"/>
            <w:tcBorders>
              <w:right w:val="single" w:color="auto" w:sz="4" w:space="0"/>
            </w:tcBorders>
            <w:vAlign w:val="center"/>
          </w:tcPr>
          <w:p w14:paraId="31F1C8B9">
            <w:pPr>
              <w:tabs>
                <w:tab w:val="left" w:pos="1875"/>
              </w:tabs>
              <w:spacing w:line="400" w:lineRule="exact"/>
              <w:jc w:val="left"/>
              <w:rPr>
                <w:rFonts w:ascii="宋体" w:hAnsi="宋体"/>
                <w:kern w:val="0"/>
              </w:rPr>
            </w:pPr>
          </w:p>
        </w:tc>
        <w:tc>
          <w:tcPr>
            <w:tcW w:w="1991" w:type="dxa"/>
            <w:gridSpan w:val="2"/>
            <w:tcBorders>
              <w:left w:val="single" w:color="auto" w:sz="4" w:space="0"/>
            </w:tcBorders>
            <w:vAlign w:val="center"/>
          </w:tcPr>
          <w:p w14:paraId="42542165">
            <w:pPr>
              <w:spacing w:line="400" w:lineRule="exact"/>
              <w:jc w:val="center"/>
              <w:rPr>
                <w:rFonts w:ascii="宋体" w:hAnsi="宋体" w:cs="宋体"/>
                <w:color w:val="0000FF"/>
                <w:kern w:val="0"/>
                <w:szCs w:val="21"/>
              </w:rPr>
            </w:pPr>
            <w:r>
              <w:rPr>
                <w:rFonts w:hint="eastAsia" w:ascii="宋体" w:hAnsi="宋体" w:cs="宋体"/>
                <w:color w:val="0000FF"/>
                <w:kern w:val="0"/>
                <w:szCs w:val="21"/>
              </w:rPr>
              <w:t>施工方案与技术措施</w:t>
            </w:r>
          </w:p>
        </w:tc>
        <w:tc>
          <w:tcPr>
            <w:tcW w:w="5493" w:type="dxa"/>
            <w:vAlign w:val="center"/>
          </w:tcPr>
          <w:p w14:paraId="269E9F95">
            <w:pPr>
              <w:spacing w:line="300" w:lineRule="exact"/>
              <w:ind w:firstLine="420" w:firstLineChars="200"/>
              <w:rPr>
                <w:rFonts w:ascii="宋体" w:hAnsi="宋体" w:cs="宋体"/>
                <w:color w:val="0000FF"/>
                <w:kern w:val="0"/>
                <w:szCs w:val="21"/>
              </w:rPr>
            </w:pPr>
            <w:r>
              <w:rPr>
                <w:rFonts w:hint="eastAsia" w:ascii="宋体" w:hAnsi="宋体" w:cs="宋体"/>
                <w:color w:val="0000FF"/>
                <w:kern w:val="0"/>
                <w:szCs w:val="21"/>
              </w:rPr>
              <w:t xml:space="preserve"> </w:t>
            </w:r>
            <w:r>
              <w:rPr>
                <w:rFonts w:hint="eastAsia" w:ascii="宋体" w:hAnsi="宋体" w:cs="宋体"/>
                <w:color w:val="0000FF"/>
                <w:kern w:val="0"/>
                <w:szCs w:val="21"/>
                <w:u w:val="single"/>
              </w:rPr>
              <w:t xml:space="preserve">5 </w:t>
            </w:r>
            <w:r>
              <w:rPr>
                <w:rFonts w:hint="eastAsia" w:ascii="宋体" w:hAnsi="宋体" w:cs="宋体"/>
                <w:color w:val="0000FF"/>
                <w:kern w:val="0"/>
                <w:szCs w:val="21"/>
              </w:rPr>
              <w:t>分   编制要点：施工组织设计、规程措施针对性强，便于施工，施工技术适用性强。（0-5分）</w:t>
            </w:r>
          </w:p>
        </w:tc>
      </w:tr>
      <w:tr w14:paraId="61AD9A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37C6D640">
            <w:pPr>
              <w:spacing w:line="400" w:lineRule="exact"/>
              <w:ind w:firstLine="210" w:firstLineChars="100"/>
              <w:jc w:val="center"/>
              <w:rPr>
                <w:rFonts w:ascii="宋体" w:hAnsi="宋体"/>
                <w:kern w:val="0"/>
              </w:rPr>
            </w:pPr>
          </w:p>
        </w:tc>
        <w:tc>
          <w:tcPr>
            <w:tcW w:w="585" w:type="dxa"/>
            <w:gridSpan w:val="2"/>
            <w:vMerge w:val="continue"/>
            <w:tcBorders>
              <w:left w:val="single" w:color="auto" w:sz="4" w:space="0"/>
            </w:tcBorders>
            <w:vAlign w:val="center"/>
          </w:tcPr>
          <w:p w14:paraId="0EE2D16C">
            <w:pPr>
              <w:spacing w:line="400" w:lineRule="exact"/>
              <w:ind w:firstLine="210" w:firstLineChars="100"/>
              <w:jc w:val="center"/>
              <w:rPr>
                <w:rFonts w:ascii="宋体" w:hAnsi="宋体"/>
                <w:kern w:val="0"/>
              </w:rPr>
            </w:pPr>
          </w:p>
        </w:tc>
        <w:tc>
          <w:tcPr>
            <w:tcW w:w="568" w:type="dxa"/>
            <w:vMerge w:val="continue"/>
            <w:tcBorders>
              <w:right w:val="single" w:color="auto" w:sz="4" w:space="0"/>
            </w:tcBorders>
            <w:vAlign w:val="center"/>
          </w:tcPr>
          <w:p w14:paraId="20647B86">
            <w:pPr>
              <w:tabs>
                <w:tab w:val="left" w:pos="1875"/>
              </w:tabs>
              <w:spacing w:line="400" w:lineRule="exact"/>
              <w:jc w:val="left"/>
              <w:rPr>
                <w:rFonts w:ascii="宋体" w:hAnsi="宋体"/>
                <w:kern w:val="0"/>
              </w:rPr>
            </w:pPr>
          </w:p>
        </w:tc>
        <w:tc>
          <w:tcPr>
            <w:tcW w:w="1991" w:type="dxa"/>
            <w:gridSpan w:val="2"/>
            <w:tcBorders>
              <w:left w:val="single" w:color="auto" w:sz="4" w:space="0"/>
            </w:tcBorders>
            <w:vAlign w:val="center"/>
          </w:tcPr>
          <w:p w14:paraId="4D5B2301">
            <w:pPr>
              <w:spacing w:line="400" w:lineRule="exact"/>
              <w:jc w:val="center"/>
              <w:rPr>
                <w:rFonts w:ascii="宋体" w:hAnsi="宋体" w:cs="宋体"/>
                <w:color w:val="0000FF"/>
                <w:kern w:val="0"/>
                <w:szCs w:val="21"/>
              </w:rPr>
            </w:pPr>
            <w:r>
              <w:rPr>
                <w:rFonts w:hint="eastAsia" w:ascii="宋体" w:hAnsi="宋体" w:cs="宋体"/>
                <w:color w:val="0000FF"/>
                <w:kern w:val="0"/>
                <w:szCs w:val="21"/>
              </w:rPr>
              <w:t>质量管理体系与措施</w:t>
            </w:r>
          </w:p>
        </w:tc>
        <w:tc>
          <w:tcPr>
            <w:tcW w:w="5493" w:type="dxa"/>
            <w:vAlign w:val="center"/>
          </w:tcPr>
          <w:p w14:paraId="34877E9B">
            <w:pPr>
              <w:spacing w:line="300" w:lineRule="exact"/>
              <w:ind w:firstLine="420" w:firstLineChars="200"/>
              <w:rPr>
                <w:rFonts w:ascii="宋体" w:hAnsi="宋体" w:cs="宋体"/>
                <w:color w:val="0000FF"/>
                <w:kern w:val="0"/>
                <w:szCs w:val="21"/>
              </w:rPr>
            </w:pPr>
            <w:r>
              <w:rPr>
                <w:rFonts w:hint="eastAsia" w:ascii="宋体" w:hAnsi="宋体" w:cs="宋体"/>
                <w:color w:val="0000FF"/>
                <w:kern w:val="0"/>
                <w:szCs w:val="21"/>
              </w:rPr>
              <w:t xml:space="preserve"> </w:t>
            </w:r>
            <w:r>
              <w:rPr>
                <w:rFonts w:hint="eastAsia" w:ascii="宋体" w:hAnsi="宋体" w:cs="宋体"/>
                <w:color w:val="0000FF"/>
                <w:kern w:val="0"/>
                <w:szCs w:val="21"/>
                <w:u w:val="single"/>
              </w:rPr>
              <w:t xml:space="preserve">5 </w:t>
            </w:r>
            <w:r>
              <w:rPr>
                <w:rFonts w:hint="eastAsia" w:ascii="宋体" w:hAnsi="宋体" w:cs="宋体"/>
                <w:color w:val="0000FF"/>
                <w:kern w:val="0"/>
                <w:szCs w:val="21"/>
              </w:rPr>
              <w:t>分   编制要点：施工质量保证体系和质量检查监督机构健全，并有有效的控制措施和手段。（0-5分）</w:t>
            </w:r>
          </w:p>
        </w:tc>
      </w:tr>
      <w:tr w14:paraId="448869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19C07442">
            <w:pPr>
              <w:spacing w:line="400" w:lineRule="exact"/>
              <w:ind w:firstLine="210" w:firstLineChars="100"/>
              <w:jc w:val="center"/>
              <w:rPr>
                <w:rFonts w:ascii="宋体" w:hAnsi="宋体"/>
                <w:kern w:val="0"/>
              </w:rPr>
            </w:pPr>
          </w:p>
        </w:tc>
        <w:tc>
          <w:tcPr>
            <w:tcW w:w="585" w:type="dxa"/>
            <w:gridSpan w:val="2"/>
            <w:vMerge w:val="continue"/>
            <w:tcBorders>
              <w:left w:val="single" w:color="auto" w:sz="4" w:space="0"/>
            </w:tcBorders>
            <w:vAlign w:val="center"/>
          </w:tcPr>
          <w:p w14:paraId="0E5634B8">
            <w:pPr>
              <w:spacing w:line="400" w:lineRule="exact"/>
              <w:ind w:firstLine="210" w:firstLineChars="100"/>
              <w:jc w:val="center"/>
              <w:rPr>
                <w:rFonts w:ascii="宋体" w:hAnsi="宋体"/>
                <w:kern w:val="0"/>
              </w:rPr>
            </w:pPr>
          </w:p>
        </w:tc>
        <w:tc>
          <w:tcPr>
            <w:tcW w:w="568" w:type="dxa"/>
            <w:vMerge w:val="continue"/>
            <w:tcBorders>
              <w:right w:val="single" w:color="auto" w:sz="4" w:space="0"/>
            </w:tcBorders>
            <w:vAlign w:val="center"/>
          </w:tcPr>
          <w:p w14:paraId="59BD35CD">
            <w:pPr>
              <w:tabs>
                <w:tab w:val="left" w:pos="1875"/>
              </w:tabs>
              <w:spacing w:line="400" w:lineRule="exact"/>
              <w:jc w:val="left"/>
              <w:rPr>
                <w:rFonts w:ascii="宋体" w:hAnsi="宋体"/>
                <w:kern w:val="0"/>
              </w:rPr>
            </w:pPr>
          </w:p>
        </w:tc>
        <w:tc>
          <w:tcPr>
            <w:tcW w:w="1991" w:type="dxa"/>
            <w:gridSpan w:val="2"/>
            <w:tcBorders>
              <w:left w:val="single" w:color="auto" w:sz="4" w:space="0"/>
            </w:tcBorders>
            <w:vAlign w:val="center"/>
          </w:tcPr>
          <w:p w14:paraId="0062C375">
            <w:pPr>
              <w:spacing w:line="400" w:lineRule="exact"/>
              <w:jc w:val="center"/>
              <w:rPr>
                <w:rFonts w:ascii="宋体" w:hAnsi="宋体" w:cs="宋体"/>
                <w:color w:val="0000FF"/>
                <w:kern w:val="0"/>
                <w:szCs w:val="21"/>
              </w:rPr>
            </w:pPr>
            <w:r>
              <w:rPr>
                <w:rFonts w:hint="eastAsia" w:ascii="宋体" w:hAnsi="宋体" w:cs="宋体"/>
                <w:color w:val="0000FF"/>
                <w:kern w:val="0"/>
                <w:szCs w:val="21"/>
              </w:rPr>
              <w:t>安全管理体系与措施</w:t>
            </w:r>
          </w:p>
        </w:tc>
        <w:tc>
          <w:tcPr>
            <w:tcW w:w="5493" w:type="dxa"/>
            <w:vAlign w:val="center"/>
          </w:tcPr>
          <w:p w14:paraId="1D75F978">
            <w:pPr>
              <w:spacing w:line="300" w:lineRule="exact"/>
              <w:ind w:firstLine="420" w:firstLineChars="200"/>
              <w:rPr>
                <w:rFonts w:ascii="宋体" w:hAnsi="宋体" w:cs="宋体"/>
                <w:color w:val="0000FF"/>
                <w:kern w:val="0"/>
                <w:szCs w:val="21"/>
              </w:rPr>
            </w:pPr>
            <w:r>
              <w:rPr>
                <w:rFonts w:hint="eastAsia" w:ascii="宋体" w:hAnsi="宋体" w:cs="宋体"/>
                <w:color w:val="0000FF"/>
                <w:kern w:val="0"/>
                <w:szCs w:val="21"/>
              </w:rPr>
              <w:t xml:space="preserve"> </w:t>
            </w:r>
            <w:r>
              <w:rPr>
                <w:rFonts w:hint="eastAsia" w:ascii="宋体" w:hAnsi="宋体" w:cs="宋体"/>
                <w:color w:val="0000FF"/>
                <w:kern w:val="0"/>
                <w:szCs w:val="21"/>
                <w:u w:val="single"/>
              </w:rPr>
              <w:t xml:space="preserve">5 </w:t>
            </w:r>
            <w:r>
              <w:rPr>
                <w:rFonts w:hint="eastAsia" w:ascii="宋体" w:hAnsi="宋体" w:cs="宋体"/>
                <w:color w:val="0000FF"/>
                <w:kern w:val="0"/>
                <w:szCs w:val="21"/>
              </w:rPr>
              <w:t>分   编制要点：建立了施工安全保障体系，施工现场管理人员安全生产职责明确、施工安全保证目标明确，针对工程特点、周边环境和施工工艺，确定危险源并制定具体的防护措施。（0-5分）</w:t>
            </w:r>
          </w:p>
        </w:tc>
      </w:tr>
      <w:tr w14:paraId="7B1E1C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466C627D">
            <w:pPr>
              <w:spacing w:line="400" w:lineRule="exact"/>
              <w:ind w:firstLine="210" w:firstLineChars="100"/>
              <w:jc w:val="center"/>
              <w:rPr>
                <w:rFonts w:ascii="宋体" w:hAnsi="宋体"/>
                <w:kern w:val="0"/>
              </w:rPr>
            </w:pPr>
          </w:p>
        </w:tc>
        <w:tc>
          <w:tcPr>
            <w:tcW w:w="585" w:type="dxa"/>
            <w:gridSpan w:val="2"/>
            <w:vMerge w:val="continue"/>
            <w:tcBorders>
              <w:left w:val="single" w:color="auto" w:sz="4" w:space="0"/>
            </w:tcBorders>
            <w:vAlign w:val="center"/>
          </w:tcPr>
          <w:p w14:paraId="08ACDF3B">
            <w:pPr>
              <w:spacing w:line="400" w:lineRule="exact"/>
              <w:ind w:firstLine="210" w:firstLineChars="100"/>
              <w:jc w:val="center"/>
              <w:rPr>
                <w:rFonts w:ascii="宋体" w:hAnsi="宋体"/>
                <w:kern w:val="0"/>
              </w:rPr>
            </w:pPr>
          </w:p>
        </w:tc>
        <w:tc>
          <w:tcPr>
            <w:tcW w:w="568" w:type="dxa"/>
            <w:vMerge w:val="continue"/>
            <w:tcBorders>
              <w:right w:val="single" w:color="auto" w:sz="4" w:space="0"/>
            </w:tcBorders>
            <w:vAlign w:val="center"/>
          </w:tcPr>
          <w:p w14:paraId="5DC023D8">
            <w:pPr>
              <w:tabs>
                <w:tab w:val="left" w:pos="1875"/>
              </w:tabs>
              <w:spacing w:line="400" w:lineRule="exact"/>
              <w:jc w:val="left"/>
              <w:rPr>
                <w:rFonts w:ascii="宋体" w:hAnsi="宋体"/>
                <w:kern w:val="0"/>
              </w:rPr>
            </w:pPr>
          </w:p>
        </w:tc>
        <w:tc>
          <w:tcPr>
            <w:tcW w:w="1991" w:type="dxa"/>
            <w:gridSpan w:val="2"/>
            <w:tcBorders>
              <w:left w:val="single" w:color="auto" w:sz="4" w:space="0"/>
            </w:tcBorders>
            <w:vAlign w:val="center"/>
          </w:tcPr>
          <w:p w14:paraId="599F1466">
            <w:pPr>
              <w:spacing w:line="400" w:lineRule="exact"/>
              <w:jc w:val="center"/>
              <w:rPr>
                <w:rFonts w:ascii="宋体" w:hAnsi="宋体" w:cs="宋体"/>
                <w:color w:val="0000FF"/>
                <w:kern w:val="0"/>
                <w:szCs w:val="21"/>
              </w:rPr>
            </w:pPr>
            <w:r>
              <w:rPr>
                <w:rFonts w:hint="eastAsia" w:ascii="宋体" w:hAnsi="宋体" w:cs="宋体"/>
                <w:color w:val="0000FF"/>
                <w:kern w:val="0"/>
                <w:szCs w:val="21"/>
              </w:rPr>
              <w:t>环境保护管理体系措施</w:t>
            </w:r>
          </w:p>
        </w:tc>
        <w:tc>
          <w:tcPr>
            <w:tcW w:w="5493" w:type="dxa"/>
            <w:vAlign w:val="center"/>
          </w:tcPr>
          <w:p w14:paraId="2C46E0AC">
            <w:pPr>
              <w:spacing w:line="300" w:lineRule="exact"/>
              <w:ind w:firstLine="420" w:firstLineChars="200"/>
              <w:rPr>
                <w:rFonts w:ascii="宋体" w:hAnsi="宋体" w:cs="宋体"/>
                <w:color w:val="0000FF"/>
                <w:kern w:val="0"/>
                <w:szCs w:val="21"/>
              </w:rPr>
            </w:pPr>
            <w:r>
              <w:rPr>
                <w:rFonts w:hint="eastAsia" w:ascii="宋体" w:hAnsi="宋体" w:cs="宋体"/>
                <w:color w:val="0000FF"/>
                <w:kern w:val="0"/>
                <w:szCs w:val="21"/>
              </w:rPr>
              <w:t xml:space="preserve"> </w:t>
            </w:r>
            <w:r>
              <w:rPr>
                <w:rFonts w:hint="eastAsia" w:ascii="宋体" w:hAnsi="宋体" w:cs="宋体"/>
                <w:color w:val="0000FF"/>
                <w:kern w:val="0"/>
                <w:szCs w:val="21"/>
                <w:u w:val="single"/>
              </w:rPr>
              <w:t xml:space="preserve">4 </w:t>
            </w:r>
            <w:r>
              <w:rPr>
                <w:rFonts w:hint="eastAsia" w:ascii="宋体" w:hAnsi="宋体" w:cs="宋体"/>
                <w:color w:val="0000FF"/>
                <w:kern w:val="0"/>
                <w:szCs w:val="21"/>
              </w:rPr>
              <w:t>分   编制要点：对废弃物的管理和处理措施妥当，对施工车辆有效控制。（0-4分）</w:t>
            </w:r>
          </w:p>
        </w:tc>
      </w:tr>
      <w:tr w14:paraId="0E2D53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17D53533">
            <w:pPr>
              <w:spacing w:line="400" w:lineRule="exact"/>
              <w:ind w:firstLine="210" w:firstLineChars="100"/>
              <w:jc w:val="center"/>
              <w:rPr>
                <w:rFonts w:ascii="宋体" w:hAnsi="宋体"/>
                <w:kern w:val="0"/>
              </w:rPr>
            </w:pPr>
          </w:p>
        </w:tc>
        <w:tc>
          <w:tcPr>
            <w:tcW w:w="585" w:type="dxa"/>
            <w:gridSpan w:val="2"/>
            <w:vMerge w:val="continue"/>
            <w:tcBorders>
              <w:left w:val="single" w:color="auto" w:sz="4" w:space="0"/>
            </w:tcBorders>
            <w:vAlign w:val="center"/>
          </w:tcPr>
          <w:p w14:paraId="5300DC9E">
            <w:pPr>
              <w:spacing w:line="400" w:lineRule="exact"/>
              <w:ind w:firstLine="210" w:firstLineChars="100"/>
              <w:jc w:val="center"/>
              <w:rPr>
                <w:rFonts w:ascii="宋体" w:hAnsi="宋体"/>
                <w:kern w:val="0"/>
              </w:rPr>
            </w:pPr>
          </w:p>
        </w:tc>
        <w:tc>
          <w:tcPr>
            <w:tcW w:w="568" w:type="dxa"/>
            <w:vMerge w:val="continue"/>
            <w:tcBorders>
              <w:right w:val="single" w:color="auto" w:sz="4" w:space="0"/>
            </w:tcBorders>
            <w:vAlign w:val="center"/>
          </w:tcPr>
          <w:p w14:paraId="135DC04C">
            <w:pPr>
              <w:tabs>
                <w:tab w:val="left" w:pos="1875"/>
              </w:tabs>
              <w:spacing w:line="400" w:lineRule="exact"/>
              <w:jc w:val="left"/>
              <w:rPr>
                <w:rFonts w:ascii="宋体" w:hAnsi="宋体"/>
                <w:kern w:val="0"/>
              </w:rPr>
            </w:pPr>
          </w:p>
        </w:tc>
        <w:tc>
          <w:tcPr>
            <w:tcW w:w="1991" w:type="dxa"/>
            <w:gridSpan w:val="2"/>
            <w:tcBorders>
              <w:left w:val="single" w:color="auto" w:sz="4" w:space="0"/>
            </w:tcBorders>
            <w:vAlign w:val="center"/>
          </w:tcPr>
          <w:p w14:paraId="684689BA">
            <w:pPr>
              <w:spacing w:line="400" w:lineRule="exact"/>
              <w:jc w:val="center"/>
              <w:rPr>
                <w:rFonts w:ascii="宋体" w:hAnsi="宋体" w:cs="宋体"/>
                <w:color w:val="0000FF"/>
                <w:kern w:val="0"/>
                <w:szCs w:val="21"/>
              </w:rPr>
            </w:pPr>
            <w:r>
              <w:rPr>
                <w:rFonts w:hint="eastAsia" w:ascii="宋体" w:hAnsi="宋体" w:cs="宋体"/>
                <w:color w:val="0000FF"/>
                <w:kern w:val="0"/>
                <w:szCs w:val="21"/>
              </w:rPr>
              <w:t>工程进度计划与措施</w:t>
            </w:r>
          </w:p>
        </w:tc>
        <w:tc>
          <w:tcPr>
            <w:tcW w:w="5493" w:type="dxa"/>
            <w:vAlign w:val="center"/>
          </w:tcPr>
          <w:p w14:paraId="2AF2C26E">
            <w:pPr>
              <w:spacing w:line="300" w:lineRule="exact"/>
              <w:ind w:firstLine="420" w:firstLineChars="200"/>
              <w:rPr>
                <w:rFonts w:ascii="宋体" w:hAnsi="宋体" w:cs="宋体"/>
                <w:color w:val="0000FF"/>
                <w:kern w:val="0"/>
                <w:szCs w:val="21"/>
              </w:rPr>
            </w:pPr>
            <w:r>
              <w:rPr>
                <w:rFonts w:hint="eastAsia" w:ascii="宋体" w:hAnsi="宋体" w:cs="宋体"/>
                <w:color w:val="0000FF"/>
                <w:kern w:val="0"/>
                <w:szCs w:val="21"/>
              </w:rPr>
              <w:t>4</w:t>
            </w:r>
            <w:r>
              <w:rPr>
                <w:rFonts w:hint="eastAsia" w:ascii="宋体" w:hAnsi="宋体" w:cs="宋体"/>
                <w:color w:val="0000FF"/>
                <w:kern w:val="0"/>
                <w:szCs w:val="21"/>
                <w:u w:val="single"/>
              </w:rPr>
              <w:t xml:space="preserve"> </w:t>
            </w:r>
            <w:r>
              <w:rPr>
                <w:rFonts w:hint="eastAsia" w:ascii="宋体" w:hAnsi="宋体" w:cs="宋体"/>
                <w:color w:val="0000FF"/>
                <w:kern w:val="0"/>
                <w:szCs w:val="21"/>
              </w:rPr>
              <w:t>分   编制要点：具备有效的进度控制计划、赶工方案。（0-4分）</w:t>
            </w:r>
          </w:p>
        </w:tc>
      </w:tr>
      <w:tr w14:paraId="15C46F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35EE0666">
            <w:pPr>
              <w:spacing w:line="400" w:lineRule="exact"/>
              <w:ind w:firstLine="210" w:firstLineChars="100"/>
              <w:jc w:val="center"/>
              <w:rPr>
                <w:rFonts w:ascii="宋体" w:hAnsi="宋体"/>
                <w:kern w:val="0"/>
              </w:rPr>
            </w:pPr>
          </w:p>
        </w:tc>
        <w:tc>
          <w:tcPr>
            <w:tcW w:w="585" w:type="dxa"/>
            <w:gridSpan w:val="2"/>
            <w:vMerge w:val="continue"/>
            <w:tcBorders>
              <w:left w:val="single" w:color="auto" w:sz="4" w:space="0"/>
            </w:tcBorders>
            <w:vAlign w:val="center"/>
          </w:tcPr>
          <w:p w14:paraId="1A0D2CD8">
            <w:pPr>
              <w:spacing w:line="400" w:lineRule="exact"/>
              <w:ind w:firstLine="210" w:firstLineChars="100"/>
              <w:jc w:val="center"/>
              <w:rPr>
                <w:rFonts w:ascii="宋体" w:hAnsi="宋体"/>
                <w:kern w:val="0"/>
              </w:rPr>
            </w:pPr>
          </w:p>
        </w:tc>
        <w:tc>
          <w:tcPr>
            <w:tcW w:w="568" w:type="dxa"/>
            <w:vMerge w:val="continue"/>
            <w:tcBorders>
              <w:right w:val="single" w:color="auto" w:sz="4" w:space="0"/>
            </w:tcBorders>
            <w:vAlign w:val="center"/>
          </w:tcPr>
          <w:p w14:paraId="33750C8F">
            <w:pPr>
              <w:tabs>
                <w:tab w:val="left" w:pos="1875"/>
              </w:tabs>
              <w:spacing w:line="400" w:lineRule="exact"/>
              <w:jc w:val="left"/>
              <w:rPr>
                <w:rFonts w:ascii="宋体" w:hAnsi="宋体"/>
                <w:kern w:val="0"/>
              </w:rPr>
            </w:pPr>
          </w:p>
        </w:tc>
        <w:tc>
          <w:tcPr>
            <w:tcW w:w="1991" w:type="dxa"/>
            <w:gridSpan w:val="2"/>
            <w:tcBorders>
              <w:left w:val="single" w:color="auto" w:sz="4" w:space="0"/>
            </w:tcBorders>
            <w:vAlign w:val="center"/>
          </w:tcPr>
          <w:p w14:paraId="5C9C9056">
            <w:pPr>
              <w:spacing w:line="400" w:lineRule="exact"/>
              <w:jc w:val="center"/>
              <w:rPr>
                <w:rFonts w:ascii="宋体" w:hAnsi="宋体" w:cs="宋体"/>
                <w:color w:val="0000FF"/>
                <w:kern w:val="0"/>
                <w:szCs w:val="21"/>
              </w:rPr>
            </w:pPr>
            <w:r>
              <w:rPr>
                <w:rFonts w:hint="eastAsia" w:ascii="宋体" w:hAnsi="宋体" w:cs="宋体"/>
                <w:color w:val="0000FF"/>
                <w:kern w:val="0"/>
                <w:szCs w:val="21"/>
              </w:rPr>
              <w:t>资源配备计划与先进性</w:t>
            </w:r>
          </w:p>
        </w:tc>
        <w:tc>
          <w:tcPr>
            <w:tcW w:w="5493" w:type="dxa"/>
            <w:vAlign w:val="center"/>
          </w:tcPr>
          <w:p w14:paraId="3D057FBD">
            <w:pPr>
              <w:spacing w:line="300" w:lineRule="exact"/>
              <w:ind w:firstLine="420" w:firstLineChars="200"/>
              <w:rPr>
                <w:rFonts w:ascii="宋体" w:hAnsi="宋体" w:cs="宋体"/>
                <w:color w:val="0000FF"/>
                <w:kern w:val="0"/>
                <w:szCs w:val="21"/>
              </w:rPr>
            </w:pPr>
            <w:r>
              <w:rPr>
                <w:rFonts w:hint="eastAsia" w:ascii="宋体" w:hAnsi="宋体" w:cs="宋体"/>
                <w:color w:val="0000FF"/>
                <w:kern w:val="0"/>
                <w:szCs w:val="21"/>
                <w:u w:val="single"/>
              </w:rPr>
              <w:t xml:space="preserve"> 3 </w:t>
            </w:r>
            <w:r>
              <w:rPr>
                <w:rFonts w:hint="eastAsia" w:ascii="宋体" w:hAnsi="宋体" w:cs="宋体"/>
                <w:color w:val="0000FF"/>
                <w:kern w:val="0"/>
                <w:szCs w:val="21"/>
              </w:rPr>
              <w:t>分   编制要点：施工设备、材料和人力能保证施工顺畅，有备用计划。（0-3分）</w:t>
            </w:r>
          </w:p>
        </w:tc>
      </w:tr>
      <w:tr w14:paraId="197B16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33" w:type="dxa"/>
            <w:vAlign w:val="center"/>
          </w:tcPr>
          <w:p w14:paraId="27FF2982">
            <w:pPr>
              <w:spacing w:line="400" w:lineRule="exact"/>
              <w:jc w:val="center"/>
              <w:rPr>
                <w:rFonts w:ascii="宋体" w:hAnsi="宋体"/>
                <w:kern w:val="0"/>
              </w:rPr>
            </w:pPr>
            <w:r>
              <w:rPr>
                <w:rFonts w:ascii="宋体" w:hAnsi="宋体"/>
                <w:kern w:val="0"/>
              </w:rPr>
              <w:t>2.2.</w:t>
            </w:r>
            <w:r>
              <w:rPr>
                <w:rFonts w:hint="eastAsia" w:ascii="宋体" w:hAnsi="宋体"/>
                <w:kern w:val="0"/>
              </w:rPr>
              <w:t>3</w:t>
            </w:r>
          </w:p>
        </w:tc>
        <w:tc>
          <w:tcPr>
            <w:tcW w:w="2131" w:type="dxa"/>
            <w:gridSpan w:val="4"/>
            <w:vAlign w:val="center"/>
          </w:tcPr>
          <w:p w14:paraId="135181E6">
            <w:pPr>
              <w:snapToGrid w:val="0"/>
              <w:spacing w:line="400" w:lineRule="exact"/>
              <w:ind w:firstLine="422" w:firstLineChars="200"/>
              <w:jc w:val="left"/>
              <w:rPr>
                <w:rFonts w:ascii="宋体" w:hAnsi="宋体"/>
                <w:b/>
                <w:kern w:val="0"/>
              </w:rPr>
            </w:pPr>
            <w:r>
              <w:rPr>
                <w:rFonts w:hint="eastAsia" w:ascii="宋体" w:hAnsi="宋体"/>
                <w:b/>
                <w:kern w:val="0"/>
              </w:rPr>
              <w:t>☑选项一：</w:t>
            </w:r>
          </w:p>
          <w:p w14:paraId="0F37B8F7">
            <w:pPr>
              <w:spacing w:line="400" w:lineRule="exact"/>
              <w:jc w:val="center"/>
              <w:rPr>
                <w:rFonts w:ascii="宋体" w:hAnsi="宋体"/>
                <w:kern w:val="0"/>
              </w:rPr>
            </w:pPr>
            <w:r>
              <w:rPr>
                <w:rFonts w:ascii="宋体" w:hAnsi="宋体"/>
                <w:kern w:val="0"/>
              </w:rPr>
              <w:t>评标基准价计算方法</w:t>
            </w:r>
          </w:p>
        </w:tc>
        <w:tc>
          <w:tcPr>
            <w:tcW w:w="1013" w:type="dxa"/>
            <w:vAlign w:val="center"/>
          </w:tcPr>
          <w:p w14:paraId="5DA13019">
            <w:pPr>
              <w:spacing w:line="400" w:lineRule="exact"/>
              <w:jc w:val="center"/>
              <w:rPr>
                <w:rFonts w:ascii="宋体" w:hAnsi="宋体"/>
                <w:kern w:val="0"/>
              </w:rPr>
            </w:pPr>
            <w:r>
              <w:rPr>
                <w:rFonts w:ascii="宋体" w:hAnsi="宋体"/>
                <w:kern w:val="0"/>
              </w:rPr>
              <w:t>投标总报价</w:t>
            </w:r>
          </w:p>
        </w:tc>
        <w:tc>
          <w:tcPr>
            <w:tcW w:w="5493" w:type="dxa"/>
          </w:tcPr>
          <w:p w14:paraId="565E7C5D">
            <w:pPr>
              <w:snapToGrid w:val="0"/>
              <w:spacing w:line="400" w:lineRule="exact"/>
              <w:ind w:firstLine="420" w:firstLineChars="200"/>
              <w:rPr>
                <w:rFonts w:ascii="宋体" w:hAnsi="宋体"/>
                <w:i/>
                <w:kern w:val="0"/>
                <w:szCs w:val="21"/>
              </w:rPr>
            </w:pPr>
            <w:r>
              <w:rPr>
                <w:rFonts w:ascii="宋体" w:hAnsi="宋体"/>
                <w:kern w:val="0"/>
                <w:szCs w:val="21"/>
              </w:rPr>
              <w:t>所有通过初步评审合格的</w:t>
            </w:r>
            <w:r>
              <w:rPr>
                <w:rFonts w:hint="eastAsia" w:ascii="宋体" w:hAnsi="宋体"/>
                <w:kern w:val="0"/>
                <w:szCs w:val="21"/>
              </w:rPr>
              <w:t>投标人</w:t>
            </w:r>
            <w:r>
              <w:rPr>
                <w:rFonts w:ascii="宋体" w:hAnsi="宋体"/>
                <w:szCs w:val="21"/>
              </w:rPr>
              <w:t>的投标总报</w:t>
            </w:r>
            <w:r>
              <w:rPr>
                <w:rFonts w:ascii="宋体" w:hAnsi="宋体"/>
                <w:kern w:val="0"/>
                <w:szCs w:val="21"/>
              </w:rPr>
              <w:t>价中去掉六分之一（不能整除的按小数点前整数取整，不足六家报价则不去掉）的最低价和相同家数的最高价后的算术平均值</w:t>
            </w:r>
            <w:r>
              <w:rPr>
                <w:rFonts w:hint="eastAsia" w:ascii="宋体" w:hAnsi="宋体"/>
                <w:kern w:val="0"/>
                <w:szCs w:val="21"/>
              </w:rPr>
              <w:t>，即为本项目的投标总报价的评标基准价。</w:t>
            </w:r>
          </w:p>
          <w:p w14:paraId="4FC7EBDF">
            <w:pPr>
              <w:snapToGrid w:val="0"/>
              <w:spacing w:line="400" w:lineRule="exact"/>
              <w:ind w:firstLine="420" w:firstLineChars="200"/>
              <w:rPr>
                <w:rFonts w:ascii="宋体" w:hAnsi="宋体"/>
                <w:kern w:val="0"/>
                <w:szCs w:val="21"/>
              </w:rPr>
            </w:pPr>
            <w:r>
              <w:rPr>
                <w:rFonts w:hint="eastAsia" w:ascii="宋体" w:hAnsi="宋体"/>
                <w:kern w:val="0"/>
                <w:szCs w:val="21"/>
              </w:rPr>
              <w:t>评标基准价计算的最终</w:t>
            </w:r>
            <w:r>
              <w:rPr>
                <w:rFonts w:ascii="宋体" w:hAnsi="宋体"/>
                <w:kern w:val="0"/>
                <w:szCs w:val="21"/>
              </w:rPr>
              <w:t>结果取小数点后两位，第三位四舍五入。</w:t>
            </w:r>
          </w:p>
          <w:p w14:paraId="76FFB36C">
            <w:pPr>
              <w:snapToGrid w:val="0"/>
              <w:spacing w:line="400" w:lineRule="exact"/>
              <w:ind w:firstLine="420" w:firstLineChars="200"/>
              <w:rPr>
                <w:rFonts w:ascii="宋体" w:hAnsi="宋体"/>
                <w:kern w:val="0"/>
                <w:szCs w:val="21"/>
              </w:rPr>
            </w:pPr>
            <w:r>
              <w:rPr>
                <w:rFonts w:ascii="宋体" w:hAnsi="宋体"/>
                <w:kern w:val="0"/>
                <w:szCs w:val="21"/>
              </w:rPr>
              <w:t>在评标基准价计算完成后（除计算错误外），在后续的评审中不得再对其做出调整。</w:t>
            </w:r>
          </w:p>
        </w:tc>
      </w:tr>
      <w:tr w14:paraId="50D6D0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restart"/>
            <w:vAlign w:val="center"/>
          </w:tcPr>
          <w:p w14:paraId="3F2B84EB">
            <w:pPr>
              <w:spacing w:line="400" w:lineRule="exact"/>
              <w:jc w:val="center"/>
              <w:rPr>
                <w:rFonts w:ascii="宋体" w:hAnsi="宋体"/>
                <w:kern w:val="0"/>
              </w:rPr>
            </w:pPr>
            <w:r>
              <w:rPr>
                <w:rFonts w:ascii="宋体" w:hAnsi="宋体"/>
                <w:kern w:val="0"/>
              </w:rPr>
              <w:t>2.2.</w:t>
            </w:r>
            <w:r>
              <w:rPr>
                <w:rFonts w:hint="eastAsia" w:ascii="宋体" w:hAnsi="宋体"/>
                <w:kern w:val="0"/>
              </w:rPr>
              <w:t>4</w:t>
            </w:r>
          </w:p>
          <w:p w14:paraId="313220BB">
            <w:pPr>
              <w:spacing w:line="400" w:lineRule="exact"/>
              <w:jc w:val="center"/>
              <w:rPr>
                <w:rFonts w:ascii="宋体" w:hAnsi="宋体"/>
                <w:kern w:val="0"/>
              </w:rPr>
            </w:pPr>
            <w:r>
              <w:rPr>
                <w:rFonts w:hint="eastAsia" w:ascii="宋体" w:hAnsi="宋体"/>
                <w:kern w:val="0"/>
              </w:rPr>
              <w:t>（1）</w:t>
            </w:r>
          </w:p>
        </w:tc>
        <w:tc>
          <w:tcPr>
            <w:tcW w:w="3144" w:type="dxa"/>
            <w:gridSpan w:val="5"/>
            <w:vMerge w:val="restart"/>
            <w:vAlign w:val="center"/>
          </w:tcPr>
          <w:p w14:paraId="1171AD9A">
            <w:pPr>
              <w:spacing w:line="400" w:lineRule="exact"/>
              <w:jc w:val="center"/>
              <w:rPr>
                <w:rFonts w:ascii="宋体" w:hAnsi="宋体"/>
                <w:kern w:val="0"/>
              </w:rPr>
            </w:pPr>
            <w:r>
              <w:rPr>
                <w:rFonts w:hint="eastAsia" w:ascii="宋体" w:hAnsi="宋体"/>
                <w:kern w:val="0"/>
              </w:rPr>
              <w:t>允许偏差率</w:t>
            </w:r>
          </w:p>
        </w:tc>
        <w:tc>
          <w:tcPr>
            <w:tcW w:w="5493" w:type="dxa"/>
            <w:vAlign w:val="center"/>
          </w:tcPr>
          <w:p w14:paraId="2C311B25">
            <w:pPr>
              <w:spacing w:line="400" w:lineRule="exact"/>
              <w:ind w:firstLine="420" w:firstLineChars="200"/>
              <w:jc w:val="left"/>
              <w:rPr>
                <w:rFonts w:ascii="宋体" w:hAnsi="宋体"/>
                <w:kern w:val="0"/>
              </w:rPr>
            </w:pPr>
            <w:r>
              <w:rPr>
                <w:rFonts w:ascii="宋体" w:hAnsi="宋体"/>
                <w:kern w:val="0"/>
              </w:rPr>
              <w:t>投标总报价的偏差率计算公式</w:t>
            </w:r>
          </w:p>
          <w:p w14:paraId="7177892A">
            <w:pPr>
              <w:spacing w:line="400" w:lineRule="exact"/>
              <w:ind w:firstLine="420" w:firstLineChars="200"/>
              <w:jc w:val="left"/>
              <w:rPr>
                <w:rFonts w:ascii="宋体" w:hAnsi="宋体"/>
                <w:kern w:val="0"/>
              </w:rPr>
            </w:pPr>
            <w:r>
              <w:rPr>
                <w:rFonts w:ascii="宋体" w:hAnsi="宋体"/>
                <w:kern w:val="0"/>
              </w:rPr>
              <w:t>偏差率</w:t>
            </w:r>
            <w:r>
              <w:rPr>
                <w:rFonts w:ascii="宋体" w:hAnsi="宋体"/>
                <w:kern w:val="0"/>
                <w:sz w:val="28"/>
                <w:szCs w:val="28"/>
              </w:rPr>
              <w:t>=</w:t>
            </w:r>
            <w:r>
              <w:rPr>
                <w:rFonts w:ascii="宋体" w:hAnsi="宋体"/>
                <w:kern w:val="0"/>
              </w:rPr>
              <w:t>100％×（</w:t>
            </w:r>
            <w:r>
              <w:rPr>
                <w:rFonts w:hint="eastAsia" w:ascii="宋体" w:hAnsi="宋体"/>
                <w:kern w:val="0"/>
              </w:rPr>
              <w:t>投标人</w:t>
            </w:r>
            <w:r>
              <w:rPr>
                <w:rFonts w:ascii="宋体" w:hAnsi="宋体"/>
                <w:kern w:val="0"/>
              </w:rPr>
              <w:t>报价一评标基准价）／评标基准价</w:t>
            </w:r>
          </w:p>
          <w:p w14:paraId="51B0348C">
            <w:pPr>
              <w:spacing w:line="400" w:lineRule="exact"/>
              <w:ind w:firstLine="200"/>
              <w:rPr>
                <w:rFonts w:ascii="宋体" w:hAnsi="宋体"/>
                <w:kern w:val="0"/>
              </w:rPr>
            </w:pPr>
            <w:r>
              <w:rPr>
                <w:rFonts w:ascii="宋体" w:hAnsi="宋体"/>
                <w:kern w:val="0"/>
              </w:rPr>
              <w:t xml:space="preserve">  偏差率</w:t>
            </w:r>
            <w:r>
              <w:rPr>
                <w:rFonts w:ascii="宋体" w:hAnsi="宋体"/>
                <w:kern w:val="0"/>
                <w:szCs w:val="21"/>
              </w:rPr>
              <w:t>计算的最终结果</w:t>
            </w:r>
            <w:r>
              <w:rPr>
                <w:rFonts w:hint="eastAsia" w:ascii="宋体" w:hAnsi="宋体"/>
                <w:kern w:val="0"/>
                <w:szCs w:val="21"/>
              </w:rPr>
              <w:t>取</w:t>
            </w:r>
            <w:r>
              <w:rPr>
                <w:rFonts w:ascii="宋体" w:hAnsi="宋体"/>
                <w:kern w:val="0"/>
                <w:szCs w:val="21"/>
              </w:rPr>
              <w:t>小数点后两位，小数点后第三位“四舍五入”。</w:t>
            </w:r>
          </w:p>
        </w:tc>
      </w:tr>
      <w:tr w14:paraId="13CDA3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vAlign w:val="center"/>
          </w:tcPr>
          <w:p w14:paraId="02097675">
            <w:pPr>
              <w:spacing w:line="400" w:lineRule="exact"/>
              <w:jc w:val="center"/>
              <w:rPr>
                <w:rFonts w:ascii="宋体" w:hAnsi="宋体"/>
                <w:kern w:val="0"/>
              </w:rPr>
            </w:pPr>
          </w:p>
        </w:tc>
        <w:tc>
          <w:tcPr>
            <w:tcW w:w="3144" w:type="dxa"/>
            <w:gridSpan w:val="5"/>
            <w:vMerge w:val="continue"/>
            <w:vAlign w:val="center"/>
          </w:tcPr>
          <w:p w14:paraId="7592C7FE">
            <w:pPr>
              <w:spacing w:line="400" w:lineRule="exact"/>
              <w:jc w:val="center"/>
              <w:rPr>
                <w:rFonts w:ascii="宋体" w:hAnsi="宋体"/>
                <w:kern w:val="0"/>
              </w:rPr>
            </w:pPr>
          </w:p>
        </w:tc>
        <w:tc>
          <w:tcPr>
            <w:tcW w:w="5493" w:type="dxa"/>
            <w:vAlign w:val="center"/>
          </w:tcPr>
          <w:p w14:paraId="752BA258">
            <w:pPr>
              <w:snapToGrid w:val="0"/>
              <w:spacing w:line="400" w:lineRule="exact"/>
              <w:ind w:firstLine="420" w:firstLineChars="200"/>
              <w:jc w:val="left"/>
              <w:rPr>
                <w:rFonts w:ascii="宋体" w:hAnsi="宋体"/>
                <w:szCs w:val="28"/>
              </w:rPr>
            </w:pPr>
            <w:r>
              <w:rPr>
                <w:rFonts w:hint="eastAsia" w:ascii="宋体" w:hAnsi="宋体"/>
                <w:szCs w:val="28"/>
              </w:rPr>
              <w:t>本项目</w:t>
            </w:r>
            <w:r>
              <w:rPr>
                <w:rFonts w:ascii="宋体" w:hAnsi="宋体"/>
                <w:szCs w:val="28"/>
              </w:rPr>
              <w:t>投标总报价</w:t>
            </w:r>
            <w:r>
              <w:rPr>
                <w:rFonts w:hint="eastAsia" w:ascii="宋体" w:hAnsi="宋体"/>
                <w:szCs w:val="28"/>
              </w:rPr>
              <w:t>允许偏差范围</w:t>
            </w:r>
            <w:r>
              <w:rPr>
                <w:rFonts w:ascii="宋体" w:hAnsi="宋体"/>
                <w:szCs w:val="28"/>
              </w:rPr>
              <w:t>为：</w:t>
            </w:r>
          </w:p>
          <w:p w14:paraId="0BA29160">
            <w:pPr>
              <w:snapToGrid w:val="0"/>
              <w:spacing w:line="400" w:lineRule="exact"/>
              <w:ind w:firstLine="420" w:firstLineChars="200"/>
              <w:jc w:val="left"/>
              <w:rPr>
                <w:rFonts w:ascii="宋体" w:hAnsi="宋体"/>
                <w:i/>
                <w:kern w:val="0"/>
              </w:rPr>
            </w:pPr>
            <w:r>
              <w:rPr>
                <w:rFonts w:hint="eastAsia" w:ascii="宋体" w:hAnsi="宋体"/>
                <w:kern w:val="0"/>
              </w:rPr>
              <w:t>☑不设偏差范围。</w:t>
            </w:r>
          </w:p>
        </w:tc>
      </w:tr>
      <w:tr w14:paraId="5A451F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Align w:val="center"/>
          </w:tcPr>
          <w:p w14:paraId="33545FCB">
            <w:pPr>
              <w:spacing w:line="400" w:lineRule="exact"/>
              <w:jc w:val="center"/>
              <w:rPr>
                <w:rFonts w:ascii="宋体" w:hAnsi="宋体"/>
                <w:kern w:val="0"/>
              </w:rPr>
            </w:pPr>
            <w:r>
              <w:rPr>
                <w:rFonts w:ascii="宋体" w:hAnsi="宋体"/>
              </w:rPr>
              <w:t>3</w:t>
            </w:r>
          </w:p>
        </w:tc>
        <w:tc>
          <w:tcPr>
            <w:tcW w:w="1135" w:type="dxa"/>
            <w:gridSpan w:val="2"/>
            <w:vAlign w:val="center"/>
          </w:tcPr>
          <w:p w14:paraId="67BAA7E4">
            <w:pPr>
              <w:spacing w:line="400" w:lineRule="exact"/>
              <w:jc w:val="center"/>
              <w:rPr>
                <w:rFonts w:ascii="宋体" w:hAnsi="宋体"/>
                <w:kern w:val="0"/>
              </w:rPr>
            </w:pPr>
            <w:r>
              <w:rPr>
                <w:rFonts w:ascii="宋体" w:hAnsi="宋体"/>
              </w:rPr>
              <w:t>评标程序</w:t>
            </w:r>
          </w:p>
        </w:tc>
        <w:tc>
          <w:tcPr>
            <w:tcW w:w="7484" w:type="dxa"/>
            <w:gridSpan w:val="3"/>
          </w:tcPr>
          <w:p w14:paraId="5EDFB33C">
            <w:pPr>
              <w:spacing w:line="400" w:lineRule="exact"/>
              <w:ind w:firstLine="420" w:firstLineChars="200"/>
              <w:rPr>
                <w:rFonts w:ascii="宋体" w:hAnsi="宋体"/>
                <w:szCs w:val="21"/>
              </w:rPr>
            </w:pPr>
            <w:r>
              <w:rPr>
                <w:rFonts w:hint="eastAsia" w:ascii="宋体" w:hAnsi="宋体"/>
                <w:szCs w:val="21"/>
              </w:rPr>
              <w:t>1.按本章评标办法第3.1款进行初步评审。未通过初步评审或评标委员会认定为无效的投标文件的不再进行后续评审。</w:t>
            </w:r>
          </w:p>
          <w:p w14:paraId="4CC849FA">
            <w:pPr>
              <w:spacing w:line="400" w:lineRule="exact"/>
              <w:ind w:firstLine="420" w:firstLineChars="200"/>
              <w:rPr>
                <w:rFonts w:ascii="宋体" w:hAnsi="宋体"/>
                <w:szCs w:val="21"/>
              </w:rPr>
            </w:pPr>
            <w:r>
              <w:rPr>
                <w:rFonts w:hint="eastAsia" w:ascii="宋体" w:hAnsi="宋体"/>
                <w:szCs w:val="21"/>
              </w:rPr>
              <w:t>2.按本章评标办法前附表第2.2.2项及第3.2.1（1）目的规定对技术部分进行评审。</w:t>
            </w:r>
          </w:p>
          <w:p w14:paraId="3038326E">
            <w:pPr>
              <w:spacing w:line="400" w:lineRule="exact"/>
              <w:ind w:firstLine="420" w:firstLineChars="200"/>
              <w:rPr>
                <w:rFonts w:ascii="宋体" w:hAnsi="宋体"/>
                <w:szCs w:val="21"/>
              </w:rPr>
            </w:pPr>
            <w:r>
              <w:rPr>
                <w:rFonts w:hint="eastAsia" w:ascii="宋体" w:hAnsi="宋体"/>
                <w:szCs w:val="21"/>
              </w:rPr>
              <w:t>3.因评标委员会作否决投标处理导致有效投标人不足三个的，评标委员会应当否决所有投标。但是有效投标人的经济、技术等指标仍然具有市场竞争力，能够满足招标文件要求的，评标委员会可以继续评标并确定中标候选人。</w:t>
            </w:r>
          </w:p>
          <w:p w14:paraId="3FEB367F">
            <w:pPr>
              <w:spacing w:line="400" w:lineRule="exact"/>
              <w:ind w:firstLine="420" w:firstLineChars="200"/>
              <w:rPr>
                <w:rFonts w:ascii="宋体" w:hAnsi="宋体"/>
                <w:szCs w:val="21"/>
              </w:rPr>
            </w:pPr>
            <w:r>
              <w:rPr>
                <w:rFonts w:hint="eastAsia" w:ascii="宋体" w:hAnsi="宋体"/>
                <w:szCs w:val="21"/>
              </w:rPr>
              <w:t>4.对初步评审合格的投标人按照本章第2.2.3项计算方法计算评标基准价，并按本附表第3.2.1（2）目规定的评分方法对投标总报价进行评分。</w:t>
            </w:r>
          </w:p>
          <w:p w14:paraId="1FB59811">
            <w:pPr>
              <w:spacing w:line="400" w:lineRule="exact"/>
              <w:ind w:firstLine="420" w:firstLineChars="200"/>
              <w:rPr>
                <w:rFonts w:ascii="宋体" w:hAnsi="宋体"/>
                <w:szCs w:val="21"/>
              </w:rPr>
            </w:pPr>
            <w:r>
              <w:rPr>
                <w:rFonts w:hint="eastAsia" w:ascii="宋体" w:hAnsi="宋体"/>
                <w:szCs w:val="21"/>
              </w:rPr>
              <w:t>5.对技术部分、投标总报价得分进行汇总，确定得分由高至低前三名投标人为中标候选人。</w:t>
            </w:r>
          </w:p>
        </w:tc>
      </w:tr>
      <w:tr w14:paraId="45EA4C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851" w:type="dxa"/>
            <w:gridSpan w:val="2"/>
            <w:vMerge w:val="restart"/>
            <w:vAlign w:val="center"/>
          </w:tcPr>
          <w:p w14:paraId="1637A386">
            <w:pPr>
              <w:spacing w:line="400" w:lineRule="exact"/>
              <w:jc w:val="center"/>
              <w:rPr>
                <w:rFonts w:ascii="宋体" w:hAnsi="宋体"/>
              </w:rPr>
            </w:pPr>
            <w:r>
              <w:rPr>
                <w:rFonts w:ascii="宋体" w:hAnsi="宋体"/>
              </w:rPr>
              <w:t>3.2.1</w:t>
            </w:r>
          </w:p>
          <w:p w14:paraId="0F2A230A">
            <w:pPr>
              <w:spacing w:line="400" w:lineRule="exact"/>
              <w:jc w:val="center"/>
              <w:rPr>
                <w:rFonts w:ascii="宋体" w:hAnsi="宋体"/>
              </w:rPr>
            </w:pPr>
            <w:r>
              <w:rPr>
                <w:rFonts w:ascii="宋体" w:hAnsi="宋体"/>
              </w:rPr>
              <w:t>（</w:t>
            </w:r>
            <w:r>
              <w:rPr>
                <w:rFonts w:hint="eastAsia" w:ascii="宋体" w:hAnsi="宋体"/>
              </w:rPr>
              <w:t>1</w:t>
            </w:r>
            <w:r>
              <w:rPr>
                <w:rFonts w:ascii="宋体" w:hAnsi="宋体"/>
              </w:rPr>
              <w:t>）</w:t>
            </w:r>
          </w:p>
        </w:tc>
        <w:tc>
          <w:tcPr>
            <w:tcW w:w="1135" w:type="dxa"/>
            <w:gridSpan w:val="2"/>
            <w:vMerge w:val="restart"/>
            <w:vAlign w:val="center"/>
          </w:tcPr>
          <w:p w14:paraId="61AB7B1D">
            <w:pPr>
              <w:spacing w:line="400" w:lineRule="exact"/>
              <w:jc w:val="center"/>
              <w:rPr>
                <w:rFonts w:ascii="宋体" w:hAnsi="宋体"/>
              </w:rPr>
            </w:pPr>
            <w:r>
              <w:rPr>
                <w:rFonts w:hint="eastAsia" w:ascii="宋体" w:hAnsi="宋体"/>
              </w:rPr>
              <w:t>技术部分</w:t>
            </w:r>
            <w:r>
              <w:rPr>
                <w:rFonts w:ascii="宋体" w:hAnsi="宋体"/>
                <w:kern w:val="0"/>
              </w:rPr>
              <w:t>得分</w:t>
            </w:r>
            <w:r>
              <w:rPr>
                <w:rFonts w:ascii="宋体" w:hAnsi="宋体"/>
                <w:spacing w:val="-4"/>
              </w:rPr>
              <w:t>（</w:t>
            </w:r>
            <w:r>
              <w:rPr>
                <w:rFonts w:hint="eastAsia" w:ascii="宋体" w:hAnsi="宋体"/>
                <w:spacing w:val="-4"/>
              </w:rPr>
              <w:t>A）</w:t>
            </w:r>
          </w:p>
        </w:tc>
        <w:tc>
          <w:tcPr>
            <w:tcW w:w="1991" w:type="dxa"/>
            <w:gridSpan w:val="2"/>
            <w:tcBorders>
              <w:bottom w:val="single" w:color="auto" w:sz="4" w:space="0"/>
            </w:tcBorders>
            <w:vAlign w:val="center"/>
          </w:tcPr>
          <w:p w14:paraId="06554BF0">
            <w:pPr>
              <w:spacing w:line="400" w:lineRule="exact"/>
              <w:jc w:val="left"/>
              <w:rPr>
                <w:rFonts w:ascii="宋体" w:hAnsi="宋体"/>
              </w:rPr>
            </w:pPr>
            <w:r>
              <w:rPr>
                <w:rFonts w:ascii="宋体" w:hAnsi="宋体"/>
                <w:kern w:val="0"/>
              </w:rPr>
              <w:t>内容完整性和编制水平</w:t>
            </w:r>
          </w:p>
        </w:tc>
        <w:tc>
          <w:tcPr>
            <w:tcW w:w="5493" w:type="dxa"/>
            <w:vMerge w:val="restart"/>
            <w:vAlign w:val="center"/>
          </w:tcPr>
          <w:p w14:paraId="54E19A56">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不符合第二章投标人须知前附表第3.7.5项要求的，技术方案得0分。</w:t>
            </w:r>
          </w:p>
          <w:p w14:paraId="76F67218">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zCs w:val="21"/>
              </w:rPr>
              <w:t>评标委员会按第2.2.2项各评审因素设定的分值评分。</w:t>
            </w:r>
          </w:p>
          <w:p w14:paraId="2F32BFC1">
            <w:pPr>
              <w:autoSpaceDE w:val="0"/>
              <w:autoSpaceDN w:val="0"/>
              <w:adjustRightInd w:val="0"/>
              <w:snapToGrid w:val="0"/>
              <w:spacing w:line="400" w:lineRule="exact"/>
              <w:ind w:firstLine="420" w:firstLineChars="200"/>
              <w:rPr>
                <w:rFonts w:ascii="宋体" w:hAnsi="宋体" w:cs="宋体"/>
                <w:szCs w:val="21"/>
              </w:rPr>
            </w:pPr>
            <w:r>
              <w:rPr>
                <w:rFonts w:hint="eastAsia" w:ascii="宋体" w:hAnsi="宋体" w:cs="宋体"/>
                <w:snapToGrid w:val="0"/>
                <w:kern w:val="0"/>
                <w:szCs w:val="21"/>
              </w:rPr>
              <w:t>当评标委员会成员为3人及以上时（含3人），投标人技术方案得分应在所有评委打分中取算术平均值为该投标人技术方案得分。</w:t>
            </w:r>
          </w:p>
          <w:p w14:paraId="3C887E44">
            <w:pPr>
              <w:spacing w:line="400" w:lineRule="exact"/>
              <w:ind w:firstLine="420" w:firstLineChars="200"/>
              <w:rPr>
                <w:rFonts w:ascii="宋体" w:hAnsi="宋体"/>
                <w:kern w:val="0"/>
                <w:szCs w:val="21"/>
              </w:rPr>
            </w:pPr>
            <w:r>
              <w:rPr>
                <w:rFonts w:hint="eastAsia" w:ascii="宋体" w:hAnsi="宋体" w:cs="宋体"/>
                <w:szCs w:val="21"/>
              </w:rPr>
              <w:t>技术方案得分的最终结果取小数点后两位，第三位四舍五入。</w:t>
            </w:r>
          </w:p>
        </w:tc>
      </w:tr>
      <w:tr w14:paraId="5E7F40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851" w:type="dxa"/>
            <w:gridSpan w:val="2"/>
            <w:vMerge w:val="continue"/>
            <w:vAlign w:val="center"/>
          </w:tcPr>
          <w:p w14:paraId="0DE14540">
            <w:pPr>
              <w:spacing w:line="400" w:lineRule="exact"/>
              <w:jc w:val="center"/>
              <w:rPr>
                <w:rFonts w:ascii="宋体" w:hAnsi="宋体"/>
              </w:rPr>
            </w:pPr>
          </w:p>
        </w:tc>
        <w:tc>
          <w:tcPr>
            <w:tcW w:w="1135" w:type="dxa"/>
            <w:gridSpan w:val="2"/>
            <w:vMerge w:val="continue"/>
            <w:vAlign w:val="center"/>
          </w:tcPr>
          <w:p w14:paraId="48115E28">
            <w:pPr>
              <w:spacing w:line="400" w:lineRule="exact"/>
              <w:jc w:val="center"/>
              <w:rPr>
                <w:rFonts w:ascii="宋体" w:hAnsi="宋体"/>
              </w:rPr>
            </w:pPr>
          </w:p>
        </w:tc>
        <w:tc>
          <w:tcPr>
            <w:tcW w:w="1991" w:type="dxa"/>
            <w:gridSpan w:val="2"/>
            <w:tcBorders>
              <w:top w:val="single" w:color="auto" w:sz="4" w:space="0"/>
              <w:bottom w:val="single" w:color="auto" w:sz="4" w:space="0"/>
            </w:tcBorders>
            <w:vAlign w:val="center"/>
          </w:tcPr>
          <w:p w14:paraId="4D2D4489">
            <w:pPr>
              <w:spacing w:line="400" w:lineRule="exact"/>
              <w:jc w:val="left"/>
              <w:rPr>
                <w:rFonts w:ascii="宋体" w:hAnsi="宋体"/>
              </w:rPr>
            </w:pPr>
            <w:r>
              <w:rPr>
                <w:rFonts w:ascii="宋体" w:hAnsi="宋体"/>
                <w:kern w:val="0"/>
              </w:rPr>
              <w:t>施工方案与技术措施</w:t>
            </w:r>
          </w:p>
        </w:tc>
        <w:tc>
          <w:tcPr>
            <w:tcW w:w="5493" w:type="dxa"/>
            <w:vMerge w:val="continue"/>
            <w:vAlign w:val="center"/>
          </w:tcPr>
          <w:p w14:paraId="2BA4CB00">
            <w:pPr>
              <w:autoSpaceDE w:val="0"/>
              <w:autoSpaceDN w:val="0"/>
              <w:adjustRightInd w:val="0"/>
              <w:snapToGrid w:val="0"/>
              <w:spacing w:line="400" w:lineRule="exact"/>
              <w:ind w:firstLine="420" w:firstLineChars="200"/>
              <w:rPr>
                <w:rFonts w:ascii="宋体" w:hAnsi="宋体"/>
                <w:szCs w:val="21"/>
              </w:rPr>
            </w:pPr>
          </w:p>
        </w:tc>
      </w:tr>
      <w:tr w14:paraId="6417D2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51" w:hRule="atLeast"/>
          <w:jc w:val="center"/>
        </w:trPr>
        <w:tc>
          <w:tcPr>
            <w:tcW w:w="851" w:type="dxa"/>
            <w:gridSpan w:val="2"/>
            <w:vMerge w:val="continue"/>
            <w:vAlign w:val="center"/>
          </w:tcPr>
          <w:p w14:paraId="0014F5F9">
            <w:pPr>
              <w:spacing w:line="400" w:lineRule="exact"/>
              <w:jc w:val="center"/>
              <w:rPr>
                <w:rFonts w:ascii="宋体" w:hAnsi="宋体"/>
              </w:rPr>
            </w:pPr>
          </w:p>
        </w:tc>
        <w:tc>
          <w:tcPr>
            <w:tcW w:w="1135" w:type="dxa"/>
            <w:gridSpan w:val="2"/>
            <w:vMerge w:val="continue"/>
            <w:vAlign w:val="center"/>
          </w:tcPr>
          <w:p w14:paraId="6C625AEC">
            <w:pPr>
              <w:spacing w:line="400" w:lineRule="exact"/>
              <w:jc w:val="center"/>
              <w:rPr>
                <w:rFonts w:ascii="宋体" w:hAnsi="宋体"/>
              </w:rPr>
            </w:pPr>
          </w:p>
        </w:tc>
        <w:tc>
          <w:tcPr>
            <w:tcW w:w="1991" w:type="dxa"/>
            <w:gridSpan w:val="2"/>
            <w:tcBorders>
              <w:top w:val="single" w:color="auto" w:sz="4" w:space="0"/>
              <w:bottom w:val="single" w:color="auto" w:sz="4" w:space="0"/>
            </w:tcBorders>
            <w:vAlign w:val="center"/>
          </w:tcPr>
          <w:p w14:paraId="3C5D74B5">
            <w:pPr>
              <w:spacing w:line="400" w:lineRule="exact"/>
              <w:jc w:val="left"/>
              <w:rPr>
                <w:rFonts w:ascii="宋体" w:hAnsi="宋体"/>
              </w:rPr>
            </w:pPr>
            <w:r>
              <w:rPr>
                <w:rFonts w:ascii="宋体" w:hAnsi="宋体"/>
                <w:kern w:val="0"/>
              </w:rPr>
              <w:t>质量管理体系与措施</w:t>
            </w:r>
          </w:p>
        </w:tc>
        <w:tc>
          <w:tcPr>
            <w:tcW w:w="5493" w:type="dxa"/>
            <w:vMerge w:val="continue"/>
            <w:vAlign w:val="center"/>
          </w:tcPr>
          <w:p w14:paraId="3F30BCEE">
            <w:pPr>
              <w:autoSpaceDE w:val="0"/>
              <w:autoSpaceDN w:val="0"/>
              <w:adjustRightInd w:val="0"/>
              <w:snapToGrid w:val="0"/>
              <w:spacing w:line="400" w:lineRule="exact"/>
              <w:ind w:firstLine="420" w:firstLineChars="200"/>
              <w:rPr>
                <w:rFonts w:ascii="宋体" w:hAnsi="宋体"/>
                <w:szCs w:val="21"/>
              </w:rPr>
            </w:pPr>
          </w:p>
        </w:tc>
      </w:tr>
      <w:tr w14:paraId="78EB3D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851" w:type="dxa"/>
            <w:gridSpan w:val="2"/>
            <w:vMerge w:val="continue"/>
            <w:vAlign w:val="center"/>
          </w:tcPr>
          <w:p w14:paraId="21DA01C9">
            <w:pPr>
              <w:spacing w:line="400" w:lineRule="exact"/>
              <w:jc w:val="center"/>
              <w:rPr>
                <w:rFonts w:ascii="宋体" w:hAnsi="宋体"/>
              </w:rPr>
            </w:pPr>
          </w:p>
        </w:tc>
        <w:tc>
          <w:tcPr>
            <w:tcW w:w="1135" w:type="dxa"/>
            <w:gridSpan w:val="2"/>
            <w:vMerge w:val="continue"/>
            <w:vAlign w:val="center"/>
          </w:tcPr>
          <w:p w14:paraId="0CD26572">
            <w:pPr>
              <w:spacing w:line="400" w:lineRule="exact"/>
              <w:jc w:val="center"/>
              <w:rPr>
                <w:rFonts w:ascii="宋体" w:hAnsi="宋体"/>
              </w:rPr>
            </w:pPr>
          </w:p>
        </w:tc>
        <w:tc>
          <w:tcPr>
            <w:tcW w:w="1991" w:type="dxa"/>
            <w:gridSpan w:val="2"/>
            <w:tcBorders>
              <w:top w:val="single" w:color="auto" w:sz="4" w:space="0"/>
              <w:bottom w:val="single" w:color="auto" w:sz="4" w:space="0"/>
            </w:tcBorders>
            <w:vAlign w:val="center"/>
          </w:tcPr>
          <w:p w14:paraId="2782C9DA">
            <w:pPr>
              <w:spacing w:line="400" w:lineRule="exact"/>
              <w:jc w:val="left"/>
              <w:rPr>
                <w:rFonts w:ascii="宋体" w:hAnsi="宋体"/>
              </w:rPr>
            </w:pPr>
            <w:r>
              <w:rPr>
                <w:rFonts w:ascii="宋体" w:hAnsi="宋体"/>
                <w:kern w:val="0"/>
              </w:rPr>
              <w:t>安全管理体系与措施</w:t>
            </w:r>
          </w:p>
        </w:tc>
        <w:tc>
          <w:tcPr>
            <w:tcW w:w="5493" w:type="dxa"/>
            <w:vMerge w:val="continue"/>
            <w:vAlign w:val="center"/>
          </w:tcPr>
          <w:p w14:paraId="43A85214">
            <w:pPr>
              <w:autoSpaceDE w:val="0"/>
              <w:autoSpaceDN w:val="0"/>
              <w:adjustRightInd w:val="0"/>
              <w:snapToGrid w:val="0"/>
              <w:spacing w:line="400" w:lineRule="exact"/>
              <w:ind w:firstLine="420" w:firstLineChars="200"/>
              <w:rPr>
                <w:rFonts w:ascii="宋体" w:hAnsi="宋体"/>
                <w:szCs w:val="21"/>
              </w:rPr>
            </w:pPr>
          </w:p>
        </w:tc>
      </w:tr>
      <w:tr w14:paraId="02C473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851" w:type="dxa"/>
            <w:gridSpan w:val="2"/>
            <w:vMerge w:val="continue"/>
            <w:vAlign w:val="center"/>
          </w:tcPr>
          <w:p w14:paraId="2186CF57">
            <w:pPr>
              <w:spacing w:line="400" w:lineRule="exact"/>
              <w:jc w:val="center"/>
              <w:rPr>
                <w:rFonts w:ascii="宋体" w:hAnsi="宋体"/>
              </w:rPr>
            </w:pPr>
          </w:p>
        </w:tc>
        <w:tc>
          <w:tcPr>
            <w:tcW w:w="1135" w:type="dxa"/>
            <w:gridSpan w:val="2"/>
            <w:vMerge w:val="continue"/>
            <w:vAlign w:val="center"/>
          </w:tcPr>
          <w:p w14:paraId="4D554E2E">
            <w:pPr>
              <w:spacing w:line="400" w:lineRule="exact"/>
              <w:jc w:val="center"/>
              <w:rPr>
                <w:rFonts w:ascii="宋体" w:hAnsi="宋体"/>
              </w:rPr>
            </w:pPr>
          </w:p>
        </w:tc>
        <w:tc>
          <w:tcPr>
            <w:tcW w:w="1991" w:type="dxa"/>
            <w:gridSpan w:val="2"/>
            <w:tcBorders>
              <w:top w:val="single" w:color="auto" w:sz="4" w:space="0"/>
              <w:bottom w:val="single" w:color="auto" w:sz="4" w:space="0"/>
            </w:tcBorders>
            <w:vAlign w:val="center"/>
          </w:tcPr>
          <w:p w14:paraId="23E3D663">
            <w:pPr>
              <w:spacing w:line="400" w:lineRule="exact"/>
              <w:jc w:val="left"/>
              <w:rPr>
                <w:rFonts w:ascii="宋体" w:hAnsi="宋体"/>
              </w:rPr>
            </w:pPr>
            <w:r>
              <w:rPr>
                <w:rFonts w:ascii="宋体" w:hAnsi="宋体"/>
                <w:kern w:val="0"/>
              </w:rPr>
              <w:t>环境保护管理体系措施</w:t>
            </w:r>
          </w:p>
        </w:tc>
        <w:tc>
          <w:tcPr>
            <w:tcW w:w="5493" w:type="dxa"/>
            <w:vMerge w:val="continue"/>
            <w:vAlign w:val="center"/>
          </w:tcPr>
          <w:p w14:paraId="57BC3E2F">
            <w:pPr>
              <w:autoSpaceDE w:val="0"/>
              <w:autoSpaceDN w:val="0"/>
              <w:adjustRightInd w:val="0"/>
              <w:snapToGrid w:val="0"/>
              <w:spacing w:line="400" w:lineRule="exact"/>
              <w:ind w:firstLine="420" w:firstLineChars="200"/>
              <w:rPr>
                <w:rFonts w:ascii="宋体" w:hAnsi="宋体"/>
                <w:szCs w:val="21"/>
              </w:rPr>
            </w:pPr>
          </w:p>
        </w:tc>
      </w:tr>
      <w:tr w14:paraId="2C21406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851" w:type="dxa"/>
            <w:gridSpan w:val="2"/>
            <w:vMerge w:val="continue"/>
            <w:vAlign w:val="center"/>
          </w:tcPr>
          <w:p w14:paraId="6810A153">
            <w:pPr>
              <w:spacing w:line="400" w:lineRule="exact"/>
              <w:jc w:val="center"/>
              <w:rPr>
                <w:rFonts w:ascii="宋体" w:hAnsi="宋体"/>
              </w:rPr>
            </w:pPr>
          </w:p>
        </w:tc>
        <w:tc>
          <w:tcPr>
            <w:tcW w:w="1135" w:type="dxa"/>
            <w:gridSpan w:val="2"/>
            <w:vMerge w:val="continue"/>
            <w:vAlign w:val="center"/>
          </w:tcPr>
          <w:p w14:paraId="1742F5E0">
            <w:pPr>
              <w:spacing w:line="400" w:lineRule="exact"/>
              <w:jc w:val="center"/>
              <w:rPr>
                <w:rFonts w:ascii="宋体" w:hAnsi="宋体"/>
              </w:rPr>
            </w:pPr>
          </w:p>
        </w:tc>
        <w:tc>
          <w:tcPr>
            <w:tcW w:w="1991" w:type="dxa"/>
            <w:gridSpan w:val="2"/>
            <w:tcBorders>
              <w:top w:val="single" w:color="auto" w:sz="4" w:space="0"/>
              <w:bottom w:val="single" w:color="auto" w:sz="4" w:space="0"/>
            </w:tcBorders>
            <w:vAlign w:val="center"/>
          </w:tcPr>
          <w:p w14:paraId="5A8AF964">
            <w:pPr>
              <w:spacing w:line="400" w:lineRule="exact"/>
              <w:jc w:val="left"/>
              <w:rPr>
                <w:rFonts w:ascii="宋体" w:hAnsi="宋体"/>
              </w:rPr>
            </w:pPr>
            <w:r>
              <w:rPr>
                <w:rFonts w:ascii="宋体" w:hAnsi="宋体"/>
                <w:kern w:val="0"/>
              </w:rPr>
              <w:t>工程进度计划与措施</w:t>
            </w:r>
          </w:p>
        </w:tc>
        <w:tc>
          <w:tcPr>
            <w:tcW w:w="5493" w:type="dxa"/>
            <w:vMerge w:val="continue"/>
            <w:vAlign w:val="center"/>
          </w:tcPr>
          <w:p w14:paraId="3952D226">
            <w:pPr>
              <w:autoSpaceDE w:val="0"/>
              <w:autoSpaceDN w:val="0"/>
              <w:adjustRightInd w:val="0"/>
              <w:snapToGrid w:val="0"/>
              <w:spacing w:line="400" w:lineRule="exact"/>
              <w:ind w:firstLine="420" w:firstLineChars="200"/>
              <w:rPr>
                <w:rFonts w:ascii="宋体" w:hAnsi="宋体"/>
                <w:szCs w:val="21"/>
              </w:rPr>
            </w:pPr>
          </w:p>
        </w:tc>
      </w:tr>
      <w:tr w14:paraId="29AF8A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851" w:type="dxa"/>
            <w:gridSpan w:val="2"/>
            <w:vMerge w:val="continue"/>
            <w:vAlign w:val="center"/>
          </w:tcPr>
          <w:p w14:paraId="0622FC89">
            <w:pPr>
              <w:spacing w:line="400" w:lineRule="exact"/>
              <w:jc w:val="center"/>
              <w:rPr>
                <w:rFonts w:ascii="宋体" w:hAnsi="宋体"/>
              </w:rPr>
            </w:pPr>
          </w:p>
        </w:tc>
        <w:tc>
          <w:tcPr>
            <w:tcW w:w="1135" w:type="dxa"/>
            <w:gridSpan w:val="2"/>
            <w:vMerge w:val="continue"/>
            <w:vAlign w:val="center"/>
          </w:tcPr>
          <w:p w14:paraId="420D0E9D">
            <w:pPr>
              <w:spacing w:line="400" w:lineRule="exact"/>
              <w:jc w:val="center"/>
              <w:rPr>
                <w:rFonts w:ascii="宋体" w:hAnsi="宋体"/>
              </w:rPr>
            </w:pPr>
          </w:p>
        </w:tc>
        <w:tc>
          <w:tcPr>
            <w:tcW w:w="1991" w:type="dxa"/>
            <w:gridSpan w:val="2"/>
            <w:tcBorders>
              <w:top w:val="single" w:color="auto" w:sz="4" w:space="0"/>
              <w:bottom w:val="single" w:color="auto" w:sz="4" w:space="0"/>
            </w:tcBorders>
            <w:vAlign w:val="center"/>
          </w:tcPr>
          <w:p w14:paraId="1BFA1C40">
            <w:pPr>
              <w:spacing w:line="400" w:lineRule="exact"/>
              <w:jc w:val="left"/>
              <w:rPr>
                <w:rFonts w:ascii="宋体" w:hAnsi="宋体"/>
              </w:rPr>
            </w:pPr>
            <w:r>
              <w:rPr>
                <w:rFonts w:ascii="宋体" w:hAnsi="宋体"/>
                <w:kern w:val="0"/>
              </w:rPr>
              <w:t>资源配备计划与先进性</w:t>
            </w:r>
          </w:p>
        </w:tc>
        <w:tc>
          <w:tcPr>
            <w:tcW w:w="5493" w:type="dxa"/>
            <w:vMerge w:val="continue"/>
            <w:vAlign w:val="center"/>
          </w:tcPr>
          <w:p w14:paraId="24E07662">
            <w:pPr>
              <w:autoSpaceDE w:val="0"/>
              <w:autoSpaceDN w:val="0"/>
              <w:adjustRightInd w:val="0"/>
              <w:snapToGrid w:val="0"/>
              <w:spacing w:line="400" w:lineRule="exact"/>
              <w:ind w:firstLine="420" w:firstLineChars="200"/>
              <w:rPr>
                <w:rFonts w:ascii="宋体" w:hAnsi="宋体"/>
                <w:szCs w:val="21"/>
              </w:rPr>
            </w:pPr>
          </w:p>
        </w:tc>
      </w:tr>
      <w:tr w14:paraId="07A31C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51" w:type="dxa"/>
            <w:gridSpan w:val="2"/>
            <w:vAlign w:val="center"/>
          </w:tcPr>
          <w:p w14:paraId="0AA88B2B">
            <w:pPr>
              <w:spacing w:line="400" w:lineRule="exact"/>
              <w:jc w:val="center"/>
              <w:rPr>
                <w:rFonts w:ascii="宋体" w:hAnsi="宋体"/>
              </w:rPr>
            </w:pPr>
            <w:r>
              <w:rPr>
                <w:rFonts w:ascii="宋体" w:hAnsi="宋体"/>
              </w:rPr>
              <w:t>3.2.1（</w:t>
            </w:r>
            <w:r>
              <w:rPr>
                <w:rFonts w:hint="eastAsia" w:ascii="宋体" w:hAnsi="宋体"/>
              </w:rPr>
              <w:t>2</w:t>
            </w:r>
            <w:r>
              <w:rPr>
                <w:rFonts w:ascii="宋体" w:hAnsi="宋体"/>
              </w:rPr>
              <w:t>）</w:t>
            </w:r>
          </w:p>
        </w:tc>
        <w:tc>
          <w:tcPr>
            <w:tcW w:w="1135" w:type="dxa"/>
            <w:gridSpan w:val="2"/>
            <w:vAlign w:val="center"/>
          </w:tcPr>
          <w:p w14:paraId="0044C77A">
            <w:pPr>
              <w:spacing w:line="400" w:lineRule="exact"/>
              <w:rPr>
                <w:rFonts w:ascii="宋体" w:hAnsi="宋体"/>
                <w:kern w:val="0"/>
                <w:szCs w:val="21"/>
              </w:rPr>
            </w:pPr>
            <w:r>
              <w:rPr>
                <w:rFonts w:hint="eastAsia" w:ascii="宋体" w:hAnsi="宋体"/>
                <w:b/>
                <w:bCs/>
                <w:kern w:val="0"/>
                <w:szCs w:val="21"/>
              </w:rPr>
              <w:t>☑</w:t>
            </w:r>
            <w:r>
              <w:rPr>
                <w:rFonts w:ascii="宋体" w:hAnsi="宋体"/>
                <w:b/>
                <w:bCs/>
                <w:kern w:val="0"/>
                <w:szCs w:val="21"/>
              </w:rPr>
              <w:t>选项一</w:t>
            </w:r>
            <w:r>
              <w:rPr>
                <w:rFonts w:ascii="宋体" w:hAnsi="宋体"/>
                <w:kern w:val="0"/>
              </w:rPr>
              <w:t>：</w:t>
            </w:r>
          </w:p>
          <w:p w14:paraId="66AD4BA4">
            <w:pPr>
              <w:spacing w:line="400" w:lineRule="exact"/>
              <w:jc w:val="center"/>
              <w:rPr>
                <w:rFonts w:ascii="宋体" w:hAnsi="宋体"/>
              </w:rPr>
            </w:pPr>
            <w:r>
              <w:rPr>
                <w:rFonts w:ascii="宋体" w:hAnsi="宋体"/>
              </w:rPr>
              <w:t>投标报价</w:t>
            </w:r>
            <w:r>
              <w:rPr>
                <w:rFonts w:ascii="宋体" w:hAnsi="宋体"/>
                <w:kern w:val="0"/>
              </w:rPr>
              <w:t>得分</w:t>
            </w:r>
            <w:r>
              <w:rPr>
                <w:rFonts w:ascii="宋体" w:hAnsi="宋体"/>
                <w:spacing w:val="-8"/>
              </w:rPr>
              <w:t>（</w:t>
            </w:r>
            <w:r>
              <w:rPr>
                <w:rFonts w:hint="eastAsia" w:ascii="宋体" w:hAnsi="宋体"/>
                <w:spacing w:val="-8"/>
              </w:rPr>
              <w:t>B</w:t>
            </w:r>
            <w:r>
              <w:rPr>
                <w:rFonts w:ascii="宋体" w:hAnsi="宋体"/>
                <w:spacing w:val="-8"/>
              </w:rPr>
              <w:t>）</w:t>
            </w:r>
          </w:p>
        </w:tc>
        <w:tc>
          <w:tcPr>
            <w:tcW w:w="1991" w:type="dxa"/>
            <w:gridSpan w:val="2"/>
            <w:tcBorders>
              <w:top w:val="single" w:color="auto" w:sz="4" w:space="0"/>
            </w:tcBorders>
            <w:vAlign w:val="center"/>
          </w:tcPr>
          <w:p w14:paraId="3FB24A17">
            <w:pPr>
              <w:spacing w:line="400" w:lineRule="exact"/>
              <w:jc w:val="center"/>
              <w:rPr>
                <w:rFonts w:ascii="宋体" w:hAnsi="宋体"/>
              </w:rPr>
            </w:pPr>
            <w:r>
              <w:rPr>
                <w:rFonts w:ascii="宋体" w:hAnsi="宋体"/>
              </w:rPr>
              <w:t>投标总报价</w:t>
            </w:r>
          </w:p>
        </w:tc>
        <w:tc>
          <w:tcPr>
            <w:tcW w:w="5493" w:type="dxa"/>
            <w:vAlign w:val="center"/>
          </w:tcPr>
          <w:p w14:paraId="2026C53C">
            <w:pPr>
              <w:spacing w:line="400" w:lineRule="exact"/>
              <w:ind w:firstLine="420" w:firstLineChars="200"/>
              <w:rPr>
                <w:rFonts w:ascii="宋体" w:hAnsi="宋体"/>
                <w:color w:val="0000FF"/>
                <w:szCs w:val="21"/>
              </w:rPr>
            </w:pPr>
            <w:r>
              <w:rPr>
                <w:rFonts w:hint="eastAsia" w:ascii="宋体" w:hAnsi="宋体"/>
                <w:bCs/>
                <w:color w:val="0000FF"/>
                <w:kern w:val="0"/>
                <w:szCs w:val="21"/>
              </w:rPr>
              <w:t>设置允许偏差范围的，</w:t>
            </w:r>
            <w:r>
              <w:rPr>
                <w:rFonts w:ascii="宋体" w:hAnsi="宋体"/>
                <w:color w:val="0000FF"/>
                <w:kern w:val="0"/>
              </w:rPr>
              <w:t>投标总报价的偏差在</w:t>
            </w:r>
            <w:r>
              <w:rPr>
                <w:rFonts w:ascii="宋体" w:hAnsi="宋体"/>
                <w:color w:val="0000FF"/>
                <w:szCs w:val="21"/>
              </w:rPr>
              <w:t>允许偏差范围外的，</w:t>
            </w:r>
            <w:r>
              <w:rPr>
                <w:rFonts w:ascii="宋体" w:hAnsi="宋体"/>
                <w:bCs/>
                <w:color w:val="0000FF"/>
                <w:szCs w:val="28"/>
              </w:rPr>
              <w:t>得零分</w:t>
            </w:r>
            <w:r>
              <w:rPr>
                <w:rFonts w:ascii="宋体" w:hAnsi="宋体"/>
                <w:color w:val="0000FF"/>
                <w:kern w:val="0"/>
              </w:rPr>
              <w:t>；</w:t>
            </w:r>
            <w:r>
              <w:rPr>
                <w:rFonts w:hint="eastAsia" w:ascii="宋体" w:hAnsi="宋体"/>
                <w:color w:val="0000FF"/>
                <w:kern w:val="0"/>
              </w:rPr>
              <w:t>不设置允许偏差范围或</w:t>
            </w:r>
            <w:r>
              <w:rPr>
                <w:rFonts w:ascii="宋体" w:hAnsi="宋体"/>
                <w:color w:val="0000FF"/>
                <w:szCs w:val="21"/>
              </w:rPr>
              <w:t>投标总报价偏差在允许范围内的（含上、下限值），得</w:t>
            </w:r>
            <w:r>
              <w:rPr>
                <w:rFonts w:ascii="宋体" w:hAnsi="宋体"/>
                <w:bCs/>
                <w:color w:val="0000FF"/>
                <w:szCs w:val="28"/>
              </w:rPr>
              <w:t>本附表</w:t>
            </w:r>
            <w:r>
              <w:rPr>
                <w:rFonts w:hint="eastAsia" w:ascii="宋体" w:hAnsi="宋体"/>
                <w:bCs/>
                <w:color w:val="0000FF"/>
                <w:szCs w:val="28"/>
              </w:rPr>
              <w:t>第</w:t>
            </w:r>
            <w:r>
              <w:rPr>
                <w:rFonts w:ascii="宋体" w:hAnsi="宋体"/>
                <w:bCs/>
                <w:color w:val="0000FF"/>
                <w:szCs w:val="28"/>
              </w:rPr>
              <w:t>2.2.1</w:t>
            </w:r>
            <w:r>
              <w:rPr>
                <w:rFonts w:hint="eastAsia" w:ascii="宋体" w:hAnsi="宋体"/>
                <w:bCs/>
                <w:color w:val="0000FF"/>
                <w:szCs w:val="28"/>
              </w:rPr>
              <w:t>项</w:t>
            </w:r>
            <w:r>
              <w:rPr>
                <w:rFonts w:ascii="宋体" w:hAnsi="宋体"/>
                <w:bCs/>
                <w:color w:val="0000FF"/>
                <w:szCs w:val="28"/>
              </w:rPr>
              <w:t>规定分值的满分</w:t>
            </w:r>
            <w:r>
              <w:rPr>
                <w:rFonts w:ascii="宋体" w:hAnsi="宋体"/>
                <w:bCs/>
                <w:color w:val="0000FF"/>
                <w:szCs w:val="28"/>
                <w:u w:val="single"/>
              </w:rPr>
              <w:t xml:space="preserve"> </w:t>
            </w:r>
            <w:r>
              <w:rPr>
                <w:rFonts w:hint="eastAsia" w:ascii="宋体" w:hAnsi="宋体"/>
                <w:bCs/>
                <w:color w:val="0000FF"/>
                <w:szCs w:val="28"/>
                <w:u w:val="single"/>
              </w:rPr>
              <w:t>70</w:t>
            </w:r>
            <w:r>
              <w:rPr>
                <w:rFonts w:ascii="宋体" w:hAnsi="宋体"/>
                <w:bCs/>
                <w:color w:val="0000FF"/>
                <w:szCs w:val="28"/>
                <w:u w:val="single"/>
              </w:rPr>
              <w:t xml:space="preserve"> </w:t>
            </w:r>
            <w:r>
              <w:rPr>
                <w:rFonts w:ascii="宋体" w:hAnsi="宋体"/>
                <w:color w:val="0000FF"/>
                <w:szCs w:val="21"/>
              </w:rPr>
              <w:t>分。在此基础上，投标总报价与评标基准价相比，每增加1%扣</w:t>
            </w:r>
            <w:r>
              <w:rPr>
                <w:rFonts w:ascii="宋体" w:hAnsi="宋体"/>
                <w:color w:val="0000FF"/>
                <w:szCs w:val="21"/>
                <w:u w:val="single"/>
              </w:rPr>
              <w:t>　</w:t>
            </w:r>
            <w:r>
              <w:rPr>
                <w:rFonts w:hint="eastAsia" w:ascii="宋体" w:hAnsi="宋体"/>
                <w:color w:val="0000FF"/>
                <w:szCs w:val="21"/>
                <w:u w:val="single"/>
              </w:rPr>
              <w:t>0.5</w:t>
            </w:r>
            <w:r>
              <w:rPr>
                <w:rFonts w:ascii="宋体" w:hAnsi="宋体"/>
                <w:color w:val="0000FF"/>
                <w:szCs w:val="21"/>
                <w:u w:val="single"/>
              </w:rPr>
              <w:t>　</w:t>
            </w:r>
            <w:r>
              <w:rPr>
                <w:rFonts w:ascii="宋体" w:hAnsi="宋体"/>
                <w:color w:val="0000FF"/>
                <w:szCs w:val="21"/>
              </w:rPr>
              <w:t>分，每减少1%扣</w:t>
            </w:r>
            <w:r>
              <w:rPr>
                <w:rFonts w:hint="eastAsia" w:ascii="宋体" w:hAnsi="宋体"/>
                <w:color w:val="0000FF"/>
                <w:szCs w:val="21"/>
                <w:u w:val="single"/>
              </w:rPr>
              <w:t>0.25</w:t>
            </w:r>
            <w:r>
              <w:rPr>
                <w:rFonts w:ascii="宋体" w:hAnsi="宋体"/>
                <w:color w:val="0000FF"/>
                <w:szCs w:val="21"/>
              </w:rPr>
              <w:t>分，</w:t>
            </w:r>
            <w:r>
              <w:rPr>
                <w:rFonts w:hint="eastAsia" w:ascii="宋体" w:hAnsi="宋体"/>
                <w:color w:val="0000FF"/>
                <w:szCs w:val="21"/>
              </w:rPr>
              <w:t>最多扣3分</w:t>
            </w:r>
            <w:r>
              <w:rPr>
                <w:rFonts w:ascii="宋体" w:hAnsi="宋体"/>
                <w:color w:val="0000FF"/>
                <w:szCs w:val="21"/>
              </w:rPr>
              <w:t>。</w:t>
            </w:r>
          </w:p>
          <w:p w14:paraId="4F290F46">
            <w:pPr>
              <w:spacing w:line="400" w:lineRule="exact"/>
              <w:ind w:firstLine="420" w:firstLineChars="200"/>
              <w:rPr>
                <w:rFonts w:ascii="宋体" w:hAnsi="宋体"/>
                <w:szCs w:val="21"/>
              </w:rPr>
            </w:pPr>
            <w:r>
              <w:rPr>
                <w:rFonts w:ascii="宋体" w:hAnsi="宋体"/>
                <w:szCs w:val="21"/>
              </w:rPr>
              <w:t>按插入法计算得分。</w:t>
            </w:r>
          </w:p>
          <w:p w14:paraId="3E234DF2">
            <w:pPr>
              <w:spacing w:line="400" w:lineRule="exact"/>
              <w:ind w:firstLine="420" w:firstLineChars="200"/>
              <w:rPr>
                <w:rFonts w:ascii="宋体" w:hAnsi="宋体"/>
                <w:szCs w:val="21"/>
              </w:rPr>
            </w:pPr>
            <w:r>
              <w:rPr>
                <w:rFonts w:ascii="宋体" w:hAnsi="宋体"/>
                <w:szCs w:val="21"/>
              </w:rPr>
              <w:t>在偏差范围内，未参与评标基准价计算的投标报价，仍应参加计算相应分值。</w:t>
            </w:r>
          </w:p>
          <w:p w14:paraId="7C8DC2F9">
            <w:pPr>
              <w:spacing w:line="400" w:lineRule="exact"/>
              <w:ind w:firstLine="420" w:firstLineChars="200"/>
              <w:rPr>
                <w:rFonts w:ascii="宋体" w:hAnsi="宋体"/>
                <w:kern w:val="0"/>
                <w:szCs w:val="21"/>
              </w:rPr>
            </w:pPr>
            <w:r>
              <w:rPr>
                <w:rFonts w:hint="eastAsia" w:ascii="宋体" w:hAnsi="宋体"/>
                <w:kern w:val="0"/>
                <w:szCs w:val="21"/>
              </w:rPr>
              <w:t>投标总报价得分最终结果</w:t>
            </w:r>
            <w:r>
              <w:rPr>
                <w:rFonts w:ascii="宋体" w:hAnsi="宋体"/>
                <w:kern w:val="0"/>
                <w:szCs w:val="21"/>
              </w:rPr>
              <w:t>取小数点后两位，第三位四舍五入。</w:t>
            </w:r>
          </w:p>
        </w:tc>
      </w:tr>
      <w:tr w14:paraId="38ADC0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86" w:type="dxa"/>
            <w:gridSpan w:val="4"/>
            <w:vAlign w:val="center"/>
          </w:tcPr>
          <w:p w14:paraId="753ED1A7">
            <w:pPr>
              <w:spacing w:line="400" w:lineRule="exact"/>
              <w:ind w:firstLine="18" w:firstLineChars="9"/>
              <w:jc w:val="center"/>
              <w:rPr>
                <w:rFonts w:ascii="宋体" w:hAnsi="宋体"/>
                <w:szCs w:val="21"/>
              </w:rPr>
            </w:pPr>
            <w:r>
              <w:rPr>
                <w:rFonts w:ascii="宋体" w:hAnsi="宋体"/>
                <w:szCs w:val="21"/>
              </w:rPr>
              <w:t>3.2.3</w:t>
            </w:r>
          </w:p>
        </w:tc>
        <w:tc>
          <w:tcPr>
            <w:tcW w:w="1991" w:type="dxa"/>
            <w:gridSpan w:val="2"/>
            <w:vAlign w:val="center"/>
          </w:tcPr>
          <w:p w14:paraId="6EAC9B92">
            <w:pPr>
              <w:spacing w:line="400" w:lineRule="exact"/>
              <w:ind w:firstLine="18" w:firstLineChars="9"/>
              <w:jc w:val="center"/>
              <w:rPr>
                <w:rFonts w:ascii="宋体" w:hAnsi="宋体"/>
                <w:szCs w:val="21"/>
              </w:rPr>
            </w:pPr>
            <w:r>
              <w:rPr>
                <w:rFonts w:hint="eastAsia" w:ascii="宋体" w:hAnsi="宋体"/>
                <w:szCs w:val="21"/>
              </w:rPr>
              <w:t>投标人</w:t>
            </w:r>
            <w:r>
              <w:rPr>
                <w:rFonts w:ascii="宋体" w:hAnsi="宋体"/>
                <w:szCs w:val="21"/>
              </w:rPr>
              <w:t>得分</w:t>
            </w:r>
          </w:p>
        </w:tc>
        <w:tc>
          <w:tcPr>
            <w:tcW w:w="5493" w:type="dxa"/>
            <w:vAlign w:val="center"/>
          </w:tcPr>
          <w:p w14:paraId="16E09B29">
            <w:pPr>
              <w:spacing w:line="400" w:lineRule="exact"/>
              <w:jc w:val="center"/>
              <w:rPr>
                <w:rFonts w:ascii="宋体" w:hAnsi="宋体"/>
                <w:szCs w:val="21"/>
                <w:u w:val="single"/>
              </w:rPr>
            </w:pPr>
            <w:r>
              <w:rPr>
                <w:rFonts w:hint="eastAsia" w:ascii="宋体" w:hAnsi="宋体"/>
                <w:szCs w:val="21"/>
                <w:u w:val="single"/>
              </w:rPr>
              <w:t>投标人</w:t>
            </w:r>
            <w:r>
              <w:rPr>
                <w:rFonts w:ascii="宋体" w:hAnsi="宋体"/>
                <w:szCs w:val="21"/>
                <w:u w:val="single"/>
              </w:rPr>
              <w:t>得分=A+B</w:t>
            </w:r>
          </w:p>
        </w:tc>
      </w:tr>
    </w:tbl>
    <w:p w14:paraId="231185CF">
      <w:pPr>
        <w:pStyle w:val="4"/>
        <w:spacing w:before="0" w:after="0" w:line="360" w:lineRule="auto"/>
        <w:rPr>
          <w:rFonts w:ascii="宋体" w:hAnsi="宋体"/>
          <w:b w:val="0"/>
          <w:snapToGrid w:val="0"/>
        </w:rPr>
      </w:pPr>
    </w:p>
    <w:p w14:paraId="525DB613">
      <w:pPr>
        <w:pStyle w:val="4"/>
        <w:spacing w:before="0" w:after="0" w:line="360" w:lineRule="auto"/>
        <w:rPr>
          <w:rFonts w:ascii="宋体" w:hAnsi="宋体"/>
          <w:b w:val="0"/>
          <w:snapToGrid w:val="0"/>
        </w:rPr>
      </w:pPr>
      <w:r>
        <w:rPr>
          <w:rFonts w:ascii="宋体" w:hAnsi="宋体"/>
          <w:b w:val="0"/>
          <w:snapToGrid w:val="0"/>
        </w:rPr>
        <w:br w:type="page"/>
      </w:r>
      <w:bookmarkStart w:id="365" w:name="_Toc216768208"/>
      <w:bookmarkStart w:id="366" w:name="_Toc2957"/>
      <w:bookmarkStart w:id="367" w:name="_Toc23094"/>
      <w:r>
        <w:rPr>
          <w:rFonts w:ascii="宋体" w:hAnsi="宋体"/>
          <w:b w:val="0"/>
          <w:snapToGrid w:val="0"/>
        </w:rPr>
        <w:t>1.  评标方法</w:t>
      </w:r>
      <w:bookmarkEnd w:id="349"/>
      <w:bookmarkEnd w:id="350"/>
      <w:bookmarkEnd w:id="351"/>
      <w:bookmarkEnd w:id="352"/>
      <w:bookmarkEnd w:id="353"/>
      <w:bookmarkEnd w:id="354"/>
      <w:bookmarkEnd w:id="364"/>
      <w:bookmarkEnd w:id="365"/>
      <w:bookmarkEnd w:id="366"/>
      <w:bookmarkEnd w:id="367"/>
    </w:p>
    <w:p w14:paraId="6460DC39">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本次评标采用综合评估法</w:t>
      </w:r>
      <w:r>
        <w:rPr>
          <w:rFonts w:ascii="宋体" w:hAnsi="宋体"/>
          <w:spacing w:val="-47"/>
          <w:kern w:val="0"/>
          <w:szCs w:val="21"/>
        </w:rPr>
        <w:t>。</w:t>
      </w:r>
      <w:r>
        <w:rPr>
          <w:rFonts w:ascii="宋体" w:hAnsi="宋体"/>
          <w:kern w:val="0"/>
          <w:szCs w:val="21"/>
        </w:rPr>
        <w:t xml:space="preserve">评标委员会按照本章第 </w:t>
      </w:r>
      <w:r>
        <w:rPr>
          <w:rFonts w:ascii="宋体" w:hAnsi="宋体"/>
          <w:spacing w:val="1"/>
          <w:kern w:val="0"/>
          <w:szCs w:val="21"/>
        </w:rPr>
        <w:t>2</w:t>
      </w:r>
      <w:r>
        <w:rPr>
          <w:rFonts w:ascii="宋体" w:hAnsi="宋体"/>
          <w:spacing w:val="-1"/>
          <w:kern w:val="0"/>
          <w:szCs w:val="21"/>
        </w:rPr>
        <w:t>.</w:t>
      </w:r>
      <w:r>
        <w:rPr>
          <w:rFonts w:ascii="宋体" w:hAnsi="宋体"/>
          <w:kern w:val="0"/>
          <w:szCs w:val="21"/>
        </w:rPr>
        <w:t>2</w:t>
      </w:r>
      <w:r>
        <w:rPr>
          <w:rFonts w:ascii="宋体" w:hAnsi="宋体"/>
          <w:spacing w:val="1"/>
          <w:kern w:val="0"/>
          <w:szCs w:val="21"/>
        </w:rPr>
        <w:t xml:space="preserve"> </w:t>
      </w:r>
      <w:r>
        <w:rPr>
          <w:rFonts w:ascii="宋体" w:hAnsi="宋体"/>
          <w:kern w:val="0"/>
          <w:szCs w:val="21"/>
        </w:rPr>
        <w:t>款</w:t>
      </w:r>
      <w:r>
        <w:rPr>
          <w:rFonts w:ascii="宋体" w:hAnsi="宋体"/>
          <w:spacing w:val="-1"/>
          <w:kern w:val="0"/>
          <w:szCs w:val="21"/>
        </w:rPr>
        <w:t>规</w:t>
      </w:r>
      <w:r>
        <w:rPr>
          <w:rFonts w:ascii="宋体" w:hAnsi="宋体"/>
          <w:kern w:val="0"/>
          <w:szCs w:val="21"/>
        </w:rPr>
        <w:t>定的评分标准进行</w:t>
      </w:r>
      <w:r>
        <w:rPr>
          <w:rFonts w:hint="eastAsia" w:ascii="宋体" w:hAnsi="宋体"/>
          <w:kern w:val="0"/>
          <w:szCs w:val="21"/>
        </w:rPr>
        <w:t>评分</w:t>
      </w:r>
      <w:r>
        <w:rPr>
          <w:rFonts w:ascii="宋体" w:hAnsi="宋体"/>
          <w:kern w:val="0"/>
          <w:szCs w:val="21"/>
        </w:rPr>
        <w:t>，按得分由高到低顺序推荐中标候选人</w:t>
      </w:r>
      <w:r>
        <w:rPr>
          <w:rFonts w:ascii="宋体" w:hAnsi="宋体"/>
          <w:spacing w:val="-20"/>
          <w:kern w:val="0"/>
          <w:szCs w:val="21"/>
        </w:rPr>
        <w:t>，</w:t>
      </w:r>
      <w:r>
        <w:rPr>
          <w:rFonts w:ascii="宋体" w:hAnsi="宋体"/>
          <w:kern w:val="0"/>
          <w:szCs w:val="21"/>
        </w:rPr>
        <w:t>或根据</w:t>
      </w:r>
      <w:r>
        <w:rPr>
          <w:rFonts w:hint="eastAsia" w:ascii="宋体" w:hAnsi="宋体"/>
          <w:kern w:val="0"/>
          <w:szCs w:val="21"/>
        </w:rPr>
        <w:t>比选人</w:t>
      </w:r>
      <w:r>
        <w:rPr>
          <w:rFonts w:ascii="宋体" w:hAnsi="宋体"/>
          <w:kern w:val="0"/>
          <w:szCs w:val="21"/>
        </w:rPr>
        <w:t>授权直接确定中标人</w:t>
      </w:r>
      <w:r>
        <w:rPr>
          <w:rFonts w:hint="eastAsia" w:ascii="宋体" w:hAnsi="宋体"/>
          <w:kern w:val="0"/>
          <w:szCs w:val="21"/>
        </w:rPr>
        <w:t>，若出现投标人投标报价相同的，以评标办法前附表约定的原则确定排序</w:t>
      </w:r>
      <w:r>
        <w:rPr>
          <w:rFonts w:ascii="宋体" w:hAnsi="宋体"/>
          <w:spacing w:val="-31"/>
          <w:kern w:val="0"/>
          <w:szCs w:val="21"/>
        </w:rPr>
        <w:t>。</w:t>
      </w:r>
    </w:p>
    <w:p w14:paraId="6CE1CFF7">
      <w:pPr>
        <w:pStyle w:val="4"/>
        <w:spacing w:before="0" w:after="0" w:line="360" w:lineRule="auto"/>
        <w:rPr>
          <w:rFonts w:ascii="宋体" w:hAnsi="宋体"/>
          <w:b w:val="0"/>
          <w:snapToGrid w:val="0"/>
        </w:rPr>
      </w:pPr>
      <w:bookmarkStart w:id="368" w:name="_Toc216768209"/>
      <w:bookmarkStart w:id="369" w:name="_Toc277082619"/>
      <w:bookmarkStart w:id="370" w:name="_Toc224103385"/>
      <w:bookmarkStart w:id="371" w:name="_Toc200513199"/>
      <w:bookmarkStart w:id="372" w:name="_Toc287607813"/>
      <w:bookmarkStart w:id="373" w:name="_Toc430530501"/>
      <w:bookmarkStart w:id="374" w:name="_Toc287620752"/>
      <w:bookmarkStart w:id="375" w:name="_Toc12057"/>
      <w:bookmarkStart w:id="376" w:name="_Toc509218777"/>
      <w:bookmarkStart w:id="377" w:name="_Toc28040"/>
      <w:r>
        <w:rPr>
          <w:rFonts w:ascii="宋体" w:hAnsi="宋体"/>
          <w:b w:val="0"/>
          <w:snapToGrid w:val="0"/>
        </w:rPr>
        <w:t>2.  评审标准</w:t>
      </w:r>
      <w:bookmarkEnd w:id="368"/>
      <w:bookmarkEnd w:id="369"/>
      <w:bookmarkEnd w:id="370"/>
      <w:bookmarkEnd w:id="371"/>
      <w:bookmarkEnd w:id="372"/>
      <w:bookmarkEnd w:id="373"/>
      <w:bookmarkEnd w:id="374"/>
      <w:bookmarkEnd w:id="375"/>
      <w:bookmarkEnd w:id="376"/>
      <w:bookmarkEnd w:id="377"/>
    </w:p>
    <w:p w14:paraId="6665649B">
      <w:pPr>
        <w:pStyle w:val="5"/>
        <w:snapToGrid w:val="0"/>
        <w:spacing w:before="0" w:after="0" w:line="360" w:lineRule="auto"/>
        <w:rPr>
          <w:rFonts w:ascii="宋体" w:hAnsi="宋体"/>
          <w:b w:val="0"/>
          <w:snapToGrid w:val="0"/>
          <w:sz w:val="24"/>
          <w:szCs w:val="24"/>
        </w:rPr>
      </w:pPr>
      <w:bookmarkStart w:id="378" w:name="_Toc2588"/>
      <w:bookmarkStart w:id="379" w:name="_Toc200513200"/>
      <w:bookmarkStart w:id="380" w:name="_Toc287607814"/>
      <w:bookmarkStart w:id="381" w:name="_Toc224103386"/>
      <w:bookmarkStart w:id="382" w:name="_Toc430530502"/>
      <w:bookmarkStart w:id="383" w:name="_Toc287620753"/>
      <w:bookmarkStart w:id="384" w:name="_Toc509218778"/>
      <w:bookmarkStart w:id="385" w:name="_Toc277082620"/>
      <w:bookmarkStart w:id="386" w:name="_Toc20474"/>
      <w:bookmarkStart w:id="387" w:name="_Toc216768210"/>
      <w:r>
        <w:rPr>
          <w:rFonts w:ascii="宋体" w:hAnsi="宋体"/>
          <w:b w:val="0"/>
          <w:snapToGrid w:val="0"/>
          <w:sz w:val="24"/>
          <w:szCs w:val="24"/>
        </w:rPr>
        <w:t>2.1  初步评审标准</w:t>
      </w:r>
      <w:bookmarkEnd w:id="378"/>
      <w:bookmarkEnd w:id="379"/>
      <w:bookmarkEnd w:id="380"/>
      <w:bookmarkEnd w:id="381"/>
      <w:bookmarkEnd w:id="382"/>
      <w:bookmarkEnd w:id="383"/>
      <w:bookmarkEnd w:id="384"/>
      <w:bookmarkEnd w:id="385"/>
      <w:bookmarkEnd w:id="386"/>
      <w:bookmarkEnd w:id="387"/>
    </w:p>
    <w:p w14:paraId="7FD287D7">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2.1.</w:t>
      </w:r>
      <w:r>
        <w:rPr>
          <w:rFonts w:hint="eastAsia" w:ascii="宋体" w:hAnsi="宋体"/>
          <w:kern w:val="0"/>
          <w:szCs w:val="21"/>
        </w:rPr>
        <w:t>1A</w:t>
      </w:r>
      <w:r>
        <w:rPr>
          <w:rFonts w:ascii="宋体" w:hAnsi="宋体"/>
          <w:kern w:val="0"/>
          <w:szCs w:val="21"/>
        </w:rPr>
        <w:t xml:space="preserve">  资格评审标准：见评标办法前附表（适用于未进行资格预审的）。</w:t>
      </w:r>
    </w:p>
    <w:p w14:paraId="3AA628CE">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2.1.</w:t>
      </w:r>
      <w:r>
        <w:rPr>
          <w:rFonts w:hint="eastAsia" w:ascii="宋体" w:hAnsi="宋体"/>
          <w:kern w:val="0"/>
          <w:szCs w:val="21"/>
        </w:rPr>
        <w:t>1B</w:t>
      </w:r>
      <w:r>
        <w:rPr>
          <w:rFonts w:ascii="宋体" w:hAnsi="宋体"/>
          <w:kern w:val="0"/>
          <w:szCs w:val="21"/>
        </w:rPr>
        <w:t xml:space="preserve">  资格评审标准：见资格预审文件第三章“资格审查办法”详细审查标准（适用于已进行资格预审的）。</w:t>
      </w:r>
    </w:p>
    <w:p w14:paraId="17444A6E">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2.1.</w:t>
      </w:r>
      <w:r>
        <w:rPr>
          <w:rFonts w:hint="eastAsia" w:ascii="宋体" w:hAnsi="宋体"/>
          <w:kern w:val="0"/>
          <w:szCs w:val="21"/>
        </w:rPr>
        <w:t>2</w:t>
      </w:r>
      <w:r>
        <w:rPr>
          <w:rFonts w:ascii="宋体" w:hAnsi="宋体"/>
          <w:kern w:val="0"/>
          <w:szCs w:val="21"/>
        </w:rPr>
        <w:t xml:space="preserve">  形式评审标准：见评标办法前附表。</w:t>
      </w:r>
    </w:p>
    <w:p w14:paraId="235EF3FB">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2.1.3  响应性评审标准：见评标办法前附表。</w:t>
      </w:r>
    </w:p>
    <w:p w14:paraId="653E381B">
      <w:pPr>
        <w:pStyle w:val="5"/>
        <w:snapToGrid w:val="0"/>
        <w:spacing w:before="0" w:after="0" w:line="360" w:lineRule="auto"/>
        <w:rPr>
          <w:rFonts w:ascii="宋体" w:hAnsi="宋体"/>
          <w:b w:val="0"/>
          <w:snapToGrid w:val="0"/>
          <w:sz w:val="24"/>
          <w:szCs w:val="24"/>
        </w:rPr>
      </w:pPr>
      <w:bookmarkStart w:id="388" w:name="_Toc17923"/>
      <w:bookmarkStart w:id="389" w:name="_Toc287620754"/>
      <w:bookmarkStart w:id="390" w:name="_Toc23340"/>
      <w:bookmarkStart w:id="391" w:name="_Toc509218779"/>
      <w:bookmarkStart w:id="392" w:name="_Toc200513201"/>
      <w:bookmarkStart w:id="393" w:name="_Toc430530503"/>
      <w:bookmarkStart w:id="394" w:name="_Toc224103387"/>
      <w:bookmarkStart w:id="395" w:name="_Toc216768211"/>
      <w:bookmarkStart w:id="396" w:name="_Toc277082621"/>
      <w:bookmarkStart w:id="397" w:name="_Toc287607815"/>
      <w:r>
        <w:rPr>
          <w:rFonts w:ascii="宋体" w:hAnsi="宋体"/>
          <w:b w:val="0"/>
          <w:snapToGrid w:val="0"/>
          <w:sz w:val="24"/>
          <w:szCs w:val="24"/>
        </w:rPr>
        <w:t>2.2  分值构成与评分标准</w:t>
      </w:r>
      <w:bookmarkEnd w:id="388"/>
      <w:bookmarkEnd w:id="389"/>
      <w:bookmarkEnd w:id="390"/>
      <w:bookmarkEnd w:id="391"/>
      <w:bookmarkEnd w:id="392"/>
      <w:bookmarkEnd w:id="393"/>
      <w:bookmarkEnd w:id="394"/>
      <w:bookmarkEnd w:id="395"/>
      <w:bookmarkEnd w:id="396"/>
      <w:bookmarkEnd w:id="397"/>
    </w:p>
    <w:p w14:paraId="273AB422">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2.2.1  分值构成</w:t>
      </w:r>
    </w:p>
    <w:p w14:paraId="066427E4">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spacing w:val="1"/>
          <w:kern w:val="0"/>
          <w:szCs w:val="21"/>
        </w:rPr>
        <w:t>1</w:t>
      </w:r>
      <w:r>
        <w:rPr>
          <w:rFonts w:ascii="宋体" w:hAnsi="宋体"/>
          <w:kern w:val="0"/>
          <w:szCs w:val="21"/>
        </w:rPr>
        <w:t>）技术</w:t>
      </w:r>
      <w:r>
        <w:rPr>
          <w:rFonts w:hint="eastAsia" w:ascii="宋体" w:hAnsi="宋体"/>
          <w:kern w:val="0"/>
          <w:szCs w:val="21"/>
        </w:rPr>
        <w:t>部分</w:t>
      </w:r>
      <w:r>
        <w:rPr>
          <w:rFonts w:ascii="宋体" w:hAnsi="宋体"/>
          <w:kern w:val="0"/>
          <w:szCs w:val="21"/>
        </w:rPr>
        <w:t>：见评标办法前附表</w:t>
      </w:r>
      <w:r>
        <w:rPr>
          <w:rFonts w:hint="eastAsia" w:ascii="宋体" w:hAnsi="宋体"/>
          <w:kern w:val="0"/>
          <w:szCs w:val="21"/>
        </w:rPr>
        <w:t>；</w:t>
      </w:r>
    </w:p>
    <w:p w14:paraId="4374E213">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spacing w:val="1"/>
          <w:kern w:val="0"/>
          <w:szCs w:val="21"/>
        </w:rPr>
        <w:t>2</w:t>
      </w:r>
      <w:r>
        <w:rPr>
          <w:rFonts w:ascii="宋体" w:hAnsi="宋体"/>
          <w:kern w:val="0"/>
          <w:szCs w:val="21"/>
        </w:rPr>
        <w:t>）投标</w:t>
      </w:r>
      <w:r>
        <w:rPr>
          <w:rFonts w:hint="eastAsia" w:ascii="宋体" w:hAnsi="宋体"/>
          <w:kern w:val="0"/>
          <w:szCs w:val="21"/>
        </w:rPr>
        <w:t>总</w:t>
      </w:r>
      <w:r>
        <w:rPr>
          <w:rFonts w:ascii="宋体" w:hAnsi="宋体"/>
          <w:spacing w:val="-1"/>
          <w:kern w:val="0"/>
          <w:szCs w:val="21"/>
        </w:rPr>
        <w:t>报</w:t>
      </w:r>
      <w:r>
        <w:rPr>
          <w:rFonts w:ascii="宋体" w:hAnsi="宋体"/>
          <w:kern w:val="0"/>
          <w:szCs w:val="21"/>
        </w:rPr>
        <w:t>价：见评标办法前附表</w:t>
      </w:r>
      <w:r>
        <w:rPr>
          <w:rFonts w:hint="eastAsia" w:ascii="宋体" w:hAnsi="宋体"/>
          <w:kern w:val="0"/>
          <w:szCs w:val="21"/>
        </w:rPr>
        <w:t>。</w:t>
      </w:r>
    </w:p>
    <w:p w14:paraId="1B2410A0">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 xml:space="preserve">2.2.2  </w:t>
      </w:r>
      <w:r>
        <w:rPr>
          <w:rFonts w:hint="eastAsia" w:ascii="宋体" w:hAnsi="宋体"/>
          <w:kern w:val="0"/>
          <w:szCs w:val="21"/>
        </w:rPr>
        <w:t>评分标准</w:t>
      </w:r>
    </w:p>
    <w:p w14:paraId="1611B73A">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技术</w:t>
      </w:r>
      <w:r>
        <w:rPr>
          <w:rFonts w:hint="eastAsia" w:ascii="宋体" w:hAnsi="宋体"/>
          <w:kern w:val="0"/>
          <w:szCs w:val="21"/>
        </w:rPr>
        <w:t>部分</w:t>
      </w:r>
      <w:r>
        <w:rPr>
          <w:rFonts w:ascii="宋体" w:hAnsi="宋体"/>
          <w:kern w:val="0"/>
          <w:szCs w:val="21"/>
        </w:rPr>
        <w:t>评分标准：见评标办法前附表；（对于施工难度大、专业技术复杂的项目，应由</w:t>
      </w:r>
      <w:r>
        <w:rPr>
          <w:rFonts w:hint="eastAsia" w:ascii="宋体" w:hAnsi="宋体"/>
          <w:kern w:val="0"/>
          <w:szCs w:val="21"/>
        </w:rPr>
        <w:t>比选人</w:t>
      </w:r>
      <w:r>
        <w:rPr>
          <w:rFonts w:ascii="宋体" w:hAnsi="宋体"/>
          <w:kern w:val="0"/>
          <w:szCs w:val="21"/>
        </w:rPr>
        <w:t>会同设计单位提出技术方案编写要点，作为评分标准）。</w:t>
      </w:r>
    </w:p>
    <w:p w14:paraId="64D4786A">
      <w:pPr>
        <w:autoSpaceDE w:val="0"/>
        <w:autoSpaceDN w:val="0"/>
        <w:adjustRightInd w:val="0"/>
        <w:snapToGrid w:val="0"/>
        <w:spacing w:line="360" w:lineRule="auto"/>
        <w:ind w:firstLine="420" w:firstLineChars="200"/>
        <w:rPr>
          <w:rFonts w:ascii="宋体" w:hAnsi="宋体"/>
          <w:kern w:val="0"/>
          <w:szCs w:val="21"/>
        </w:rPr>
      </w:pPr>
      <w:r>
        <w:rPr>
          <w:rFonts w:hint="eastAsia" w:ascii="宋体" w:hAnsi="宋体"/>
          <w:kern w:val="0"/>
          <w:szCs w:val="21"/>
        </w:rPr>
        <w:t xml:space="preserve">2.2.3  </w:t>
      </w:r>
      <w:r>
        <w:rPr>
          <w:rFonts w:ascii="宋体" w:hAnsi="宋体"/>
          <w:kern w:val="0"/>
          <w:szCs w:val="21"/>
        </w:rPr>
        <w:t>评标基准价计算</w:t>
      </w:r>
    </w:p>
    <w:p w14:paraId="65CE8C13">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评标基准价计算方法：见评标办法前附表。</w:t>
      </w:r>
    </w:p>
    <w:p w14:paraId="2BA5428D">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2.2.</w:t>
      </w:r>
      <w:r>
        <w:rPr>
          <w:rFonts w:hint="eastAsia" w:ascii="宋体" w:hAnsi="宋体"/>
          <w:kern w:val="0"/>
          <w:szCs w:val="21"/>
        </w:rPr>
        <w:t>4</w:t>
      </w:r>
      <w:r>
        <w:rPr>
          <w:rFonts w:ascii="宋体" w:hAnsi="宋体"/>
          <w:kern w:val="0"/>
          <w:szCs w:val="21"/>
        </w:rPr>
        <w:t xml:space="preserve">  投标报价的偏差率计算</w:t>
      </w:r>
      <w:r>
        <w:rPr>
          <w:rFonts w:hint="eastAsia" w:ascii="宋体" w:hAnsi="宋体"/>
          <w:kern w:val="0"/>
          <w:szCs w:val="21"/>
        </w:rPr>
        <w:t>和允许偏差范围</w:t>
      </w:r>
    </w:p>
    <w:p w14:paraId="6A026FC7">
      <w:pPr>
        <w:autoSpaceDE w:val="0"/>
        <w:autoSpaceDN w:val="0"/>
        <w:adjustRightInd w:val="0"/>
        <w:snapToGrid w:val="0"/>
        <w:spacing w:line="360" w:lineRule="auto"/>
        <w:ind w:firstLine="420" w:firstLineChars="200"/>
        <w:rPr>
          <w:rFonts w:ascii="宋体" w:hAnsi="宋体"/>
          <w:kern w:val="0"/>
          <w:szCs w:val="21"/>
        </w:rPr>
      </w:pPr>
      <w:r>
        <w:rPr>
          <w:rFonts w:hint="eastAsia" w:ascii="宋体" w:hAnsi="宋体"/>
          <w:kern w:val="0"/>
          <w:szCs w:val="21"/>
        </w:rPr>
        <w:t>（1）</w:t>
      </w:r>
      <w:r>
        <w:rPr>
          <w:rFonts w:ascii="宋体" w:hAnsi="宋体"/>
          <w:kern w:val="0"/>
          <w:szCs w:val="21"/>
        </w:rPr>
        <w:t>投标报价的偏差率计算公式：见评标办法前附表</w:t>
      </w:r>
      <w:r>
        <w:rPr>
          <w:rFonts w:hint="eastAsia" w:ascii="宋体" w:hAnsi="宋体"/>
          <w:kern w:val="0"/>
          <w:szCs w:val="21"/>
        </w:rPr>
        <w:t>；</w:t>
      </w:r>
    </w:p>
    <w:p w14:paraId="56998004">
      <w:pPr>
        <w:autoSpaceDE w:val="0"/>
        <w:autoSpaceDN w:val="0"/>
        <w:adjustRightInd w:val="0"/>
        <w:snapToGrid w:val="0"/>
        <w:spacing w:line="360" w:lineRule="auto"/>
        <w:ind w:firstLine="420" w:firstLineChars="200"/>
        <w:rPr>
          <w:rFonts w:ascii="宋体" w:hAnsi="宋体"/>
          <w:kern w:val="0"/>
          <w:szCs w:val="21"/>
        </w:rPr>
      </w:pPr>
      <w:r>
        <w:rPr>
          <w:rFonts w:hint="eastAsia" w:ascii="宋体" w:hAnsi="宋体"/>
          <w:kern w:val="0"/>
          <w:szCs w:val="21"/>
        </w:rPr>
        <w:t>（2）投标报价的允许偏差范围</w:t>
      </w:r>
      <w:r>
        <w:rPr>
          <w:rFonts w:ascii="宋体" w:hAnsi="宋体"/>
          <w:kern w:val="0"/>
          <w:szCs w:val="21"/>
        </w:rPr>
        <w:t>：见评标办法前附表</w:t>
      </w:r>
      <w:r>
        <w:rPr>
          <w:rFonts w:hint="eastAsia" w:ascii="宋体" w:hAnsi="宋体"/>
          <w:kern w:val="0"/>
          <w:szCs w:val="21"/>
        </w:rPr>
        <w:t>。</w:t>
      </w:r>
    </w:p>
    <w:p w14:paraId="1D9D36A8">
      <w:pPr>
        <w:pStyle w:val="4"/>
        <w:spacing w:before="0" w:after="0" w:line="360" w:lineRule="auto"/>
        <w:rPr>
          <w:rFonts w:ascii="宋体" w:hAnsi="宋体"/>
          <w:b w:val="0"/>
          <w:snapToGrid w:val="0"/>
        </w:rPr>
      </w:pPr>
      <w:bookmarkStart w:id="398" w:name="_Toc277082622"/>
      <w:bookmarkStart w:id="399" w:name="_Toc4568"/>
      <w:bookmarkStart w:id="400" w:name="_Toc509218780"/>
      <w:bookmarkStart w:id="401" w:name="_Toc200513202"/>
      <w:bookmarkStart w:id="402" w:name="_Toc287607816"/>
      <w:bookmarkStart w:id="403" w:name="_Toc224103388"/>
      <w:bookmarkStart w:id="404" w:name="_Toc287620755"/>
      <w:bookmarkStart w:id="405" w:name="_Toc19139"/>
      <w:bookmarkStart w:id="406" w:name="_Toc430530504"/>
      <w:bookmarkStart w:id="407" w:name="_Toc216768212"/>
      <w:r>
        <w:rPr>
          <w:rFonts w:ascii="宋体" w:hAnsi="宋体"/>
          <w:b w:val="0"/>
          <w:snapToGrid w:val="0"/>
        </w:rPr>
        <w:t>3.  评标程序</w:t>
      </w:r>
      <w:bookmarkEnd w:id="398"/>
      <w:bookmarkEnd w:id="399"/>
      <w:bookmarkEnd w:id="400"/>
      <w:bookmarkEnd w:id="401"/>
      <w:bookmarkEnd w:id="402"/>
      <w:bookmarkEnd w:id="403"/>
      <w:bookmarkEnd w:id="404"/>
      <w:bookmarkEnd w:id="405"/>
      <w:bookmarkEnd w:id="406"/>
      <w:bookmarkEnd w:id="407"/>
    </w:p>
    <w:p w14:paraId="7394DA62">
      <w:pPr>
        <w:pStyle w:val="5"/>
        <w:snapToGrid w:val="0"/>
        <w:spacing w:before="0" w:after="0" w:line="360" w:lineRule="auto"/>
        <w:rPr>
          <w:rFonts w:ascii="宋体" w:hAnsi="宋体"/>
          <w:b w:val="0"/>
          <w:snapToGrid w:val="0"/>
          <w:sz w:val="24"/>
          <w:szCs w:val="24"/>
        </w:rPr>
      </w:pPr>
      <w:bookmarkStart w:id="408" w:name="_Toc216768213"/>
      <w:bookmarkStart w:id="409" w:name="_Toc287607817"/>
      <w:bookmarkStart w:id="410" w:name="_Toc224103389"/>
      <w:bookmarkStart w:id="411" w:name="_Toc277082623"/>
      <w:bookmarkStart w:id="412" w:name="_Toc30829"/>
      <w:bookmarkStart w:id="413" w:name="_Toc287620756"/>
      <w:bookmarkStart w:id="414" w:name="_Toc21102"/>
      <w:bookmarkStart w:id="415" w:name="_Toc200513203"/>
      <w:bookmarkStart w:id="416" w:name="_Toc509218781"/>
      <w:bookmarkStart w:id="417" w:name="_Toc430530505"/>
      <w:r>
        <w:rPr>
          <w:rFonts w:ascii="宋体" w:hAnsi="宋体"/>
          <w:b w:val="0"/>
          <w:snapToGrid w:val="0"/>
          <w:sz w:val="24"/>
          <w:szCs w:val="24"/>
        </w:rPr>
        <w:t>3.1  初步评审</w:t>
      </w:r>
      <w:bookmarkEnd w:id="408"/>
      <w:bookmarkEnd w:id="409"/>
      <w:bookmarkEnd w:id="410"/>
      <w:bookmarkEnd w:id="411"/>
      <w:bookmarkEnd w:id="412"/>
      <w:bookmarkEnd w:id="413"/>
      <w:bookmarkEnd w:id="414"/>
      <w:bookmarkEnd w:id="415"/>
      <w:bookmarkEnd w:id="416"/>
      <w:bookmarkEnd w:id="417"/>
    </w:p>
    <w:p w14:paraId="0CE9791F">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3.1.1  评标委员会依据本章第 2.1 款规定的标准对</w:t>
      </w:r>
      <w:r>
        <w:rPr>
          <w:rFonts w:hint="eastAsia" w:ascii="宋体" w:hAnsi="宋体"/>
          <w:kern w:val="0"/>
          <w:szCs w:val="21"/>
        </w:rPr>
        <w:t>投标文件</w:t>
      </w:r>
      <w:r>
        <w:rPr>
          <w:rFonts w:ascii="宋体" w:hAnsi="宋体"/>
          <w:kern w:val="0"/>
          <w:szCs w:val="21"/>
        </w:rPr>
        <w:t>进行初步评审。有一项不符合评审标准的，作否决投标处理。（适用于未进行资格预审的）</w:t>
      </w:r>
    </w:p>
    <w:p w14:paraId="67CBE1A9">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3.1.1  评标委员会依据本章第2.1.1项</w:t>
      </w:r>
      <w:r>
        <w:rPr>
          <w:rFonts w:hint="eastAsia" w:ascii="宋体" w:hAnsi="宋体"/>
          <w:kern w:val="0"/>
          <w:szCs w:val="21"/>
        </w:rPr>
        <w:t>至</w:t>
      </w:r>
      <w:r>
        <w:rPr>
          <w:rFonts w:ascii="宋体" w:hAnsi="宋体"/>
          <w:kern w:val="0"/>
          <w:szCs w:val="21"/>
        </w:rPr>
        <w:t>第2.1.3项规定的评审标准对</w:t>
      </w:r>
      <w:r>
        <w:rPr>
          <w:rFonts w:hint="eastAsia" w:ascii="宋体" w:hAnsi="宋体"/>
          <w:kern w:val="0"/>
          <w:szCs w:val="21"/>
        </w:rPr>
        <w:t>投标文件</w:t>
      </w:r>
      <w:r>
        <w:rPr>
          <w:rFonts w:ascii="宋体" w:hAnsi="宋体"/>
          <w:kern w:val="0"/>
          <w:szCs w:val="21"/>
        </w:rPr>
        <w:t>进行初步评审。有一项不符合评审标准的，作否决投标处理。当</w:t>
      </w:r>
      <w:r>
        <w:rPr>
          <w:rFonts w:hint="eastAsia" w:ascii="宋体" w:hAnsi="宋体"/>
          <w:kern w:val="0"/>
          <w:szCs w:val="21"/>
        </w:rPr>
        <w:t>投标人</w:t>
      </w:r>
      <w:r>
        <w:rPr>
          <w:rFonts w:ascii="宋体" w:hAnsi="宋体"/>
          <w:kern w:val="0"/>
          <w:szCs w:val="21"/>
        </w:rPr>
        <w:t>资格预审申请文件的内容发生重大变化时，评标委员会依据本章第2.1.2项规定的标准对其更新资料进行评审</w:t>
      </w:r>
      <w:r>
        <w:rPr>
          <w:rFonts w:hint="eastAsia" w:ascii="宋体" w:hAnsi="宋体"/>
          <w:kern w:val="0"/>
          <w:szCs w:val="21"/>
        </w:rPr>
        <w:t>。</w:t>
      </w:r>
      <w:r>
        <w:rPr>
          <w:rFonts w:ascii="宋体" w:hAnsi="宋体"/>
          <w:kern w:val="0"/>
          <w:szCs w:val="21"/>
        </w:rPr>
        <w:t>（适用于已进行资格预审的）</w:t>
      </w:r>
    </w:p>
    <w:p w14:paraId="7BDA80AF">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 xml:space="preserve">3.1.2  </w:t>
      </w:r>
      <w:r>
        <w:rPr>
          <w:rFonts w:hint="eastAsia" w:ascii="宋体" w:hAnsi="宋体"/>
          <w:kern w:val="0"/>
          <w:szCs w:val="21"/>
        </w:rPr>
        <w:t>投标人</w:t>
      </w:r>
      <w:r>
        <w:rPr>
          <w:rFonts w:ascii="宋体" w:hAnsi="宋体"/>
          <w:kern w:val="0"/>
          <w:szCs w:val="21"/>
        </w:rPr>
        <w:t>有以下情形之一的，其投标作否决投标处理：</w:t>
      </w:r>
    </w:p>
    <w:p w14:paraId="4DC70C91">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ascii="宋体" w:hAnsi="宋体"/>
          <w:spacing w:val="1"/>
          <w:kern w:val="0"/>
          <w:szCs w:val="21"/>
        </w:rPr>
        <w:t>1</w:t>
      </w:r>
      <w:r>
        <w:rPr>
          <w:rFonts w:ascii="宋体" w:hAnsi="宋体"/>
          <w:kern w:val="0"/>
          <w:szCs w:val="21"/>
        </w:rPr>
        <w:t>）第二</w:t>
      </w:r>
      <w:r>
        <w:rPr>
          <w:rFonts w:ascii="宋体" w:hAnsi="宋体"/>
          <w:spacing w:val="-1"/>
          <w:kern w:val="0"/>
          <w:szCs w:val="21"/>
        </w:rPr>
        <w:t>章</w:t>
      </w:r>
      <w:r>
        <w:rPr>
          <w:rFonts w:ascii="宋体" w:hAnsi="宋体"/>
          <w:kern w:val="0"/>
          <w:szCs w:val="21"/>
        </w:rPr>
        <w:t>“</w:t>
      </w:r>
      <w:r>
        <w:rPr>
          <w:rFonts w:hint="eastAsia" w:ascii="宋体" w:hAnsi="宋体"/>
          <w:kern w:val="0"/>
          <w:szCs w:val="21"/>
        </w:rPr>
        <w:t>投标人</w:t>
      </w:r>
      <w:r>
        <w:rPr>
          <w:rFonts w:ascii="宋体" w:hAnsi="宋体"/>
          <w:kern w:val="0"/>
          <w:szCs w:val="21"/>
        </w:rPr>
        <w:t>须知”第</w:t>
      </w:r>
      <w:r>
        <w:rPr>
          <w:rFonts w:ascii="宋体" w:hAnsi="宋体"/>
          <w:spacing w:val="1"/>
          <w:kern w:val="0"/>
          <w:szCs w:val="21"/>
        </w:rPr>
        <w:t>1</w:t>
      </w:r>
      <w:r>
        <w:rPr>
          <w:rFonts w:ascii="宋体" w:hAnsi="宋体"/>
          <w:spacing w:val="-1"/>
          <w:kern w:val="0"/>
          <w:szCs w:val="21"/>
        </w:rPr>
        <w:t>.</w:t>
      </w:r>
      <w:r>
        <w:rPr>
          <w:rFonts w:ascii="宋体" w:hAnsi="宋体"/>
          <w:spacing w:val="1"/>
          <w:kern w:val="0"/>
          <w:szCs w:val="21"/>
        </w:rPr>
        <w:t>4</w:t>
      </w:r>
      <w:r>
        <w:rPr>
          <w:rFonts w:ascii="宋体" w:hAnsi="宋体"/>
          <w:spacing w:val="-1"/>
          <w:kern w:val="0"/>
          <w:szCs w:val="21"/>
        </w:rPr>
        <w:t>.</w:t>
      </w:r>
      <w:r>
        <w:rPr>
          <w:rFonts w:ascii="宋体" w:hAnsi="宋体"/>
          <w:kern w:val="0"/>
          <w:szCs w:val="21"/>
        </w:rPr>
        <w:t>3项规定的任何一种情形的；</w:t>
      </w:r>
    </w:p>
    <w:p w14:paraId="11F819F6">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ascii="宋体" w:hAnsi="宋体"/>
          <w:spacing w:val="1"/>
          <w:kern w:val="0"/>
          <w:szCs w:val="21"/>
        </w:rPr>
        <w:t>2</w:t>
      </w:r>
      <w:r>
        <w:rPr>
          <w:rFonts w:ascii="宋体" w:hAnsi="宋体"/>
          <w:kern w:val="0"/>
          <w:szCs w:val="21"/>
        </w:rPr>
        <w:t>）</w:t>
      </w:r>
      <w:r>
        <w:rPr>
          <w:rFonts w:hint="eastAsia" w:ascii="宋体" w:hAnsi="宋体" w:cs="宋体"/>
          <w:szCs w:val="21"/>
        </w:rPr>
        <w:t>本次投标有串通投标、弄虚作假等其他违反招投标相关法律、法规行为的</w:t>
      </w:r>
      <w:r>
        <w:rPr>
          <w:rFonts w:ascii="宋体" w:hAnsi="宋体"/>
          <w:kern w:val="0"/>
          <w:szCs w:val="21"/>
        </w:rPr>
        <w:t>；</w:t>
      </w:r>
    </w:p>
    <w:p w14:paraId="6C79E3BD">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ascii="宋体" w:hAnsi="宋体"/>
          <w:spacing w:val="1"/>
          <w:kern w:val="0"/>
          <w:szCs w:val="21"/>
        </w:rPr>
        <w:t>3</w:t>
      </w:r>
      <w:r>
        <w:rPr>
          <w:rFonts w:ascii="宋体" w:hAnsi="宋体"/>
          <w:kern w:val="0"/>
          <w:szCs w:val="21"/>
        </w:rPr>
        <w:t>）</w:t>
      </w:r>
      <w:r>
        <w:rPr>
          <w:rFonts w:hint="eastAsia" w:ascii="宋体" w:hAnsi="宋体"/>
          <w:kern w:val="0"/>
          <w:szCs w:val="21"/>
        </w:rPr>
        <w:t>拒绝</w:t>
      </w:r>
      <w:r>
        <w:rPr>
          <w:rFonts w:ascii="宋体" w:hAnsi="宋体"/>
          <w:kern w:val="0"/>
          <w:szCs w:val="21"/>
        </w:rPr>
        <w:t>按</w:t>
      </w:r>
      <w:r>
        <w:rPr>
          <w:rFonts w:ascii="宋体" w:hAnsi="宋体"/>
          <w:spacing w:val="-1"/>
          <w:kern w:val="0"/>
          <w:szCs w:val="21"/>
        </w:rPr>
        <w:t>评</w:t>
      </w:r>
      <w:r>
        <w:rPr>
          <w:rFonts w:ascii="宋体" w:hAnsi="宋体"/>
          <w:kern w:val="0"/>
          <w:szCs w:val="21"/>
        </w:rPr>
        <w:t>标委员会要求澄清、说明或补正的</w:t>
      </w:r>
      <w:r>
        <w:rPr>
          <w:rFonts w:hint="eastAsia" w:ascii="宋体" w:hAnsi="宋体"/>
          <w:kern w:val="0"/>
          <w:szCs w:val="21"/>
        </w:rPr>
        <w:t>。</w:t>
      </w:r>
    </w:p>
    <w:p w14:paraId="5EC71BB4">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3.1.3  投标报价有算术错误的，评标委员会按以下原则对投标报价进行修正，修正的价格经</w:t>
      </w:r>
      <w:r>
        <w:rPr>
          <w:rFonts w:hint="eastAsia" w:ascii="宋体" w:hAnsi="宋体"/>
          <w:kern w:val="0"/>
          <w:szCs w:val="21"/>
        </w:rPr>
        <w:t>投标人</w:t>
      </w:r>
      <w:r>
        <w:rPr>
          <w:rFonts w:ascii="宋体" w:hAnsi="宋体"/>
          <w:kern w:val="0"/>
          <w:szCs w:val="21"/>
        </w:rPr>
        <w:t>书面确认后具有约束力</w:t>
      </w:r>
      <w:r>
        <w:rPr>
          <w:rFonts w:hint="eastAsia" w:ascii="宋体" w:hAnsi="宋体"/>
          <w:kern w:val="0"/>
          <w:szCs w:val="21"/>
        </w:rPr>
        <w:t>，修正原则如下：</w:t>
      </w:r>
    </w:p>
    <w:p w14:paraId="43548313">
      <w:pPr>
        <w:autoSpaceDE w:val="0"/>
        <w:autoSpaceDN w:val="0"/>
        <w:adjustRightInd w:val="0"/>
        <w:snapToGrid w:val="0"/>
        <w:spacing w:line="360" w:lineRule="auto"/>
        <w:ind w:firstLine="532"/>
        <w:rPr>
          <w:rFonts w:ascii="宋体" w:hAnsi="宋体"/>
          <w:kern w:val="0"/>
          <w:szCs w:val="21"/>
        </w:rPr>
      </w:pPr>
      <w:r>
        <w:rPr>
          <w:rFonts w:ascii="宋体" w:hAnsi="宋体"/>
          <w:spacing w:val="-1"/>
          <w:kern w:val="0"/>
          <w:szCs w:val="21"/>
        </w:rPr>
        <w:t>（1）</w:t>
      </w:r>
      <w:r>
        <w:rPr>
          <w:rFonts w:hint="eastAsia" w:ascii="宋体" w:hAnsi="宋体"/>
          <w:spacing w:val="-1"/>
          <w:kern w:val="0"/>
          <w:szCs w:val="21"/>
        </w:rPr>
        <w:t>投标文件</w:t>
      </w:r>
      <w:r>
        <w:rPr>
          <w:rFonts w:ascii="宋体" w:hAnsi="宋体"/>
          <w:spacing w:val="-1"/>
          <w:kern w:val="0"/>
          <w:szCs w:val="21"/>
        </w:rPr>
        <w:t>中的大写金额与小写金额不一致的，以大写金</w:t>
      </w:r>
      <w:r>
        <w:rPr>
          <w:rFonts w:ascii="宋体" w:hAnsi="宋体"/>
          <w:kern w:val="0"/>
          <w:szCs w:val="21"/>
        </w:rPr>
        <w:t>额为准</w:t>
      </w:r>
      <w:r>
        <w:rPr>
          <w:rFonts w:hint="eastAsia" w:ascii="宋体" w:hAnsi="宋体"/>
          <w:kern w:val="0"/>
          <w:szCs w:val="21"/>
        </w:rPr>
        <w:t>；</w:t>
      </w:r>
    </w:p>
    <w:p w14:paraId="6B85010F">
      <w:pPr>
        <w:autoSpaceDE w:val="0"/>
        <w:autoSpaceDN w:val="0"/>
        <w:adjustRightInd w:val="0"/>
        <w:snapToGrid w:val="0"/>
        <w:spacing w:line="360" w:lineRule="auto"/>
        <w:ind w:firstLine="532"/>
        <w:rPr>
          <w:rFonts w:ascii="宋体" w:hAnsi="宋体"/>
          <w:kern w:val="0"/>
          <w:szCs w:val="21"/>
        </w:rPr>
      </w:pPr>
      <w:r>
        <w:rPr>
          <w:rFonts w:hint="eastAsia" w:ascii="宋体" w:hAnsi="宋体"/>
          <w:kern w:val="0"/>
          <w:szCs w:val="21"/>
        </w:rPr>
        <w:t>（2）投标函中的总报价与已标价工程量清单总报价不一致的，由评标委员会作否决投标处理。</w:t>
      </w:r>
    </w:p>
    <w:p w14:paraId="5DBAB46B">
      <w:pPr>
        <w:pStyle w:val="5"/>
        <w:snapToGrid w:val="0"/>
        <w:spacing w:before="0" w:after="0" w:line="360" w:lineRule="auto"/>
        <w:rPr>
          <w:rFonts w:ascii="宋体" w:hAnsi="宋体"/>
          <w:b w:val="0"/>
          <w:snapToGrid w:val="0"/>
          <w:sz w:val="24"/>
          <w:szCs w:val="24"/>
        </w:rPr>
      </w:pPr>
      <w:bookmarkStart w:id="418" w:name="_Toc277082624"/>
      <w:bookmarkStart w:id="419" w:name="_Toc216768214"/>
      <w:bookmarkStart w:id="420" w:name="_Toc287607818"/>
      <w:bookmarkStart w:id="421" w:name="_Toc200513204"/>
      <w:bookmarkStart w:id="422" w:name="_Toc31837"/>
      <w:bookmarkStart w:id="423" w:name="_Toc430530506"/>
      <w:bookmarkStart w:id="424" w:name="_Toc287620757"/>
      <w:bookmarkStart w:id="425" w:name="_Toc509218782"/>
      <w:bookmarkStart w:id="426" w:name="_Toc10836"/>
      <w:bookmarkStart w:id="427" w:name="_Toc224103390"/>
      <w:r>
        <w:rPr>
          <w:rFonts w:ascii="宋体" w:hAnsi="宋体"/>
          <w:b w:val="0"/>
          <w:snapToGrid w:val="0"/>
          <w:sz w:val="24"/>
          <w:szCs w:val="24"/>
        </w:rPr>
        <w:t>3.2  详细评审</w:t>
      </w:r>
      <w:bookmarkEnd w:id="418"/>
      <w:bookmarkEnd w:id="419"/>
      <w:bookmarkEnd w:id="420"/>
      <w:bookmarkEnd w:id="421"/>
      <w:bookmarkEnd w:id="422"/>
      <w:bookmarkEnd w:id="423"/>
      <w:bookmarkEnd w:id="424"/>
      <w:bookmarkEnd w:id="425"/>
      <w:bookmarkEnd w:id="426"/>
      <w:bookmarkEnd w:id="427"/>
    </w:p>
    <w:p w14:paraId="73462812">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3.2.1  评标委员会按本章第2.2款规定的量化因素和分值进行</w:t>
      </w:r>
      <w:r>
        <w:rPr>
          <w:rFonts w:hint="eastAsia" w:ascii="宋体" w:hAnsi="宋体"/>
          <w:kern w:val="0"/>
          <w:szCs w:val="21"/>
        </w:rPr>
        <w:t>评分</w:t>
      </w:r>
      <w:r>
        <w:rPr>
          <w:rFonts w:ascii="宋体" w:hAnsi="宋体"/>
          <w:kern w:val="0"/>
          <w:szCs w:val="21"/>
        </w:rPr>
        <w:t>，并计算出综合评估得分。</w:t>
      </w:r>
    </w:p>
    <w:p w14:paraId="253D311E">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kern w:val="0"/>
          <w:szCs w:val="21"/>
        </w:rPr>
        <w:t>1</w:t>
      </w:r>
      <w:r>
        <w:rPr>
          <w:rFonts w:ascii="宋体" w:hAnsi="宋体"/>
          <w:kern w:val="0"/>
          <w:szCs w:val="21"/>
        </w:rPr>
        <w:t>）按本章第3.2.1（</w:t>
      </w:r>
      <w:r>
        <w:rPr>
          <w:rFonts w:hint="eastAsia" w:ascii="宋体" w:hAnsi="宋体"/>
          <w:kern w:val="0"/>
          <w:szCs w:val="21"/>
        </w:rPr>
        <w:t>1</w:t>
      </w:r>
      <w:r>
        <w:rPr>
          <w:rFonts w:ascii="宋体" w:hAnsi="宋体"/>
          <w:kern w:val="0"/>
          <w:szCs w:val="21"/>
        </w:rPr>
        <w:t>）目规定的评审因素和分值对技术方案计算出得分</w:t>
      </w:r>
      <w:r>
        <w:rPr>
          <w:rFonts w:hint="eastAsia" w:ascii="宋体" w:hAnsi="宋体"/>
          <w:kern w:val="0"/>
          <w:szCs w:val="21"/>
        </w:rPr>
        <w:t>A</w:t>
      </w:r>
      <w:r>
        <w:rPr>
          <w:rFonts w:ascii="宋体" w:hAnsi="宋体"/>
          <w:kern w:val="0"/>
          <w:szCs w:val="21"/>
        </w:rPr>
        <w:t>(</w:t>
      </w:r>
      <w:r>
        <w:rPr>
          <w:rFonts w:ascii="宋体" w:hAnsi="宋体"/>
          <w:snapToGrid w:val="0"/>
          <w:kern w:val="0"/>
          <w:szCs w:val="21"/>
        </w:rPr>
        <w:t>所有评委</w:t>
      </w:r>
      <w:r>
        <w:rPr>
          <w:rFonts w:hint="eastAsia" w:ascii="宋体" w:hAnsi="宋体"/>
          <w:snapToGrid w:val="0"/>
          <w:kern w:val="0"/>
          <w:szCs w:val="21"/>
        </w:rPr>
        <w:t>评分</w:t>
      </w:r>
      <w:r>
        <w:rPr>
          <w:rFonts w:ascii="宋体" w:hAnsi="宋体"/>
          <w:snapToGrid w:val="0"/>
          <w:kern w:val="0"/>
          <w:szCs w:val="21"/>
        </w:rPr>
        <w:t>中去掉一个最高和一个最低分，余下评委</w:t>
      </w:r>
      <w:r>
        <w:rPr>
          <w:rFonts w:hint="eastAsia" w:ascii="宋体" w:hAnsi="宋体"/>
          <w:snapToGrid w:val="0"/>
          <w:kern w:val="0"/>
          <w:szCs w:val="21"/>
        </w:rPr>
        <w:t>评分</w:t>
      </w:r>
      <w:r>
        <w:rPr>
          <w:rFonts w:ascii="宋体" w:hAnsi="宋体"/>
          <w:snapToGrid w:val="0"/>
          <w:kern w:val="0"/>
          <w:szCs w:val="21"/>
        </w:rPr>
        <w:t>取算术平均值为该</w:t>
      </w:r>
      <w:r>
        <w:rPr>
          <w:rFonts w:hint="eastAsia" w:ascii="宋体" w:hAnsi="宋体"/>
          <w:snapToGrid w:val="0"/>
          <w:kern w:val="0"/>
          <w:szCs w:val="21"/>
        </w:rPr>
        <w:t>投标人</w:t>
      </w:r>
      <w:r>
        <w:rPr>
          <w:rFonts w:ascii="宋体" w:hAnsi="宋体"/>
          <w:snapToGrid w:val="0"/>
          <w:kern w:val="0"/>
          <w:szCs w:val="21"/>
        </w:rPr>
        <w:t>技术方案得分。</w:t>
      </w:r>
      <w:r>
        <w:rPr>
          <w:rFonts w:ascii="宋体" w:hAnsi="宋体"/>
          <w:kern w:val="0"/>
          <w:szCs w:val="21"/>
        </w:rPr>
        <w:t>）</w:t>
      </w:r>
    </w:p>
    <w:p w14:paraId="6FC7AE71">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w:t>
      </w:r>
      <w:r>
        <w:rPr>
          <w:rFonts w:hint="eastAsia" w:ascii="宋体" w:hAnsi="宋体"/>
          <w:kern w:val="0"/>
          <w:szCs w:val="21"/>
        </w:rPr>
        <w:t>2</w:t>
      </w:r>
      <w:r>
        <w:rPr>
          <w:rFonts w:ascii="宋体" w:hAnsi="宋体"/>
          <w:kern w:val="0"/>
          <w:szCs w:val="21"/>
        </w:rPr>
        <w:t>）按本章第3.2.1（</w:t>
      </w:r>
      <w:r>
        <w:rPr>
          <w:rFonts w:hint="eastAsia" w:ascii="宋体" w:hAnsi="宋体"/>
          <w:kern w:val="0"/>
          <w:szCs w:val="21"/>
        </w:rPr>
        <w:t>2</w:t>
      </w:r>
      <w:r>
        <w:rPr>
          <w:rFonts w:ascii="宋体" w:hAnsi="宋体"/>
          <w:kern w:val="0"/>
          <w:szCs w:val="21"/>
        </w:rPr>
        <w:t>）目规定的评审因素和分值对投标总报价计算出得分</w:t>
      </w:r>
      <w:r>
        <w:rPr>
          <w:rFonts w:hint="eastAsia" w:ascii="宋体" w:hAnsi="宋体"/>
          <w:kern w:val="0"/>
          <w:szCs w:val="21"/>
        </w:rPr>
        <w:t>B。</w:t>
      </w:r>
    </w:p>
    <w:p w14:paraId="160610E6">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3.2.2  各类评分分值的最终计算结果保留小数点后两位，小数点后第三位“四舍五入”。</w:t>
      </w:r>
    </w:p>
    <w:p w14:paraId="12CEBE3C">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 xml:space="preserve">3.2.3  </w:t>
      </w:r>
      <w:r>
        <w:rPr>
          <w:rFonts w:hint="eastAsia" w:ascii="宋体" w:hAnsi="宋体"/>
          <w:kern w:val="0"/>
          <w:szCs w:val="21"/>
        </w:rPr>
        <w:t>投标人</w:t>
      </w:r>
      <w:r>
        <w:rPr>
          <w:rFonts w:ascii="宋体" w:hAnsi="宋体"/>
          <w:kern w:val="0"/>
          <w:szCs w:val="21"/>
        </w:rPr>
        <w:t>得分=A+B</w:t>
      </w:r>
      <w:r>
        <w:rPr>
          <w:rFonts w:hint="eastAsia" w:ascii="宋体" w:hAnsi="宋体"/>
          <w:kern w:val="0"/>
          <w:szCs w:val="21"/>
        </w:rPr>
        <w:t>。</w:t>
      </w:r>
    </w:p>
    <w:p w14:paraId="4ECBABBE">
      <w:pPr>
        <w:pStyle w:val="5"/>
        <w:snapToGrid w:val="0"/>
        <w:spacing w:before="0" w:after="0" w:line="360" w:lineRule="auto"/>
        <w:rPr>
          <w:rFonts w:ascii="宋体" w:hAnsi="宋体"/>
          <w:b w:val="0"/>
          <w:snapToGrid w:val="0"/>
          <w:sz w:val="24"/>
          <w:szCs w:val="24"/>
        </w:rPr>
      </w:pPr>
      <w:bookmarkStart w:id="428" w:name="_Toc224103391"/>
      <w:bookmarkStart w:id="429" w:name="_Toc287620758"/>
      <w:bookmarkStart w:id="430" w:name="_Toc277082625"/>
      <w:bookmarkStart w:id="431" w:name="_Toc29615"/>
      <w:bookmarkStart w:id="432" w:name="_Toc430530507"/>
      <w:bookmarkStart w:id="433" w:name="_Toc287607819"/>
      <w:bookmarkStart w:id="434" w:name="_Toc509218783"/>
      <w:bookmarkStart w:id="435" w:name="_Toc4958"/>
      <w:bookmarkStart w:id="436" w:name="_Toc200513205"/>
      <w:bookmarkStart w:id="437" w:name="_Toc216768215"/>
      <w:r>
        <w:rPr>
          <w:rFonts w:ascii="宋体" w:hAnsi="宋体"/>
          <w:b w:val="0"/>
          <w:snapToGrid w:val="0"/>
          <w:sz w:val="24"/>
          <w:szCs w:val="24"/>
        </w:rPr>
        <w:t xml:space="preserve">3.3  </w:t>
      </w:r>
      <w:r>
        <w:rPr>
          <w:rFonts w:hint="eastAsia" w:ascii="宋体" w:hAnsi="宋体"/>
          <w:b w:val="0"/>
          <w:snapToGrid w:val="0"/>
          <w:sz w:val="24"/>
          <w:szCs w:val="24"/>
        </w:rPr>
        <w:t>投标文件</w:t>
      </w:r>
      <w:r>
        <w:rPr>
          <w:rFonts w:ascii="宋体" w:hAnsi="宋体"/>
          <w:b w:val="0"/>
          <w:snapToGrid w:val="0"/>
          <w:sz w:val="24"/>
          <w:szCs w:val="24"/>
        </w:rPr>
        <w:t>的澄清和补正</w:t>
      </w:r>
      <w:bookmarkEnd w:id="428"/>
      <w:bookmarkEnd w:id="429"/>
      <w:bookmarkEnd w:id="430"/>
      <w:bookmarkEnd w:id="431"/>
      <w:bookmarkEnd w:id="432"/>
      <w:bookmarkEnd w:id="433"/>
      <w:bookmarkEnd w:id="434"/>
      <w:bookmarkEnd w:id="435"/>
      <w:bookmarkEnd w:id="436"/>
      <w:bookmarkEnd w:id="437"/>
    </w:p>
    <w:p w14:paraId="77DFCF0B">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3.3.1  在评标过程中，评标委员会可以书面形式要求</w:t>
      </w:r>
      <w:r>
        <w:rPr>
          <w:rFonts w:hint="eastAsia" w:ascii="宋体" w:hAnsi="宋体"/>
          <w:kern w:val="0"/>
          <w:szCs w:val="21"/>
        </w:rPr>
        <w:t>投标人</w:t>
      </w:r>
      <w:r>
        <w:rPr>
          <w:rFonts w:ascii="宋体" w:hAnsi="宋体"/>
          <w:kern w:val="0"/>
          <w:szCs w:val="21"/>
        </w:rPr>
        <w:t>对所提交</w:t>
      </w:r>
      <w:r>
        <w:rPr>
          <w:rFonts w:hint="eastAsia" w:ascii="宋体" w:hAnsi="宋体"/>
          <w:kern w:val="0"/>
          <w:szCs w:val="21"/>
        </w:rPr>
        <w:t>投标文件</w:t>
      </w:r>
      <w:r>
        <w:rPr>
          <w:rFonts w:ascii="宋体" w:hAnsi="宋体"/>
          <w:kern w:val="0"/>
          <w:szCs w:val="21"/>
        </w:rPr>
        <w:t>中不明确的内容进行书面澄清或说明，或者对细微偏差进行补正。评标委员会不接受</w:t>
      </w:r>
      <w:r>
        <w:rPr>
          <w:rFonts w:hint="eastAsia" w:ascii="宋体" w:hAnsi="宋体"/>
          <w:kern w:val="0"/>
          <w:szCs w:val="21"/>
        </w:rPr>
        <w:t>投标人</w:t>
      </w:r>
      <w:r>
        <w:rPr>
          <w:rFonts w:ascii="宋体" w:hAnsi="宋体"/>
          <w:kern w:val="0"/>
          <w:szCs w:val="21"/>
        </w:rPr>
        <w:t>主动提出的澄清、说明或补正。</w:t>
      </w:r>
    </w:p>
    <w:p w14:paraId="51FC034C">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3.3.2  澄清、说明和补正不得改变</w:t>
      </w:r>
      <w:r>
        <w:rPr>
          <w:rFonts w:hint="eastAsia" w:ascii="宋体" w:hAnsi="宋体"/>
          <w:kern w:val="0"/>
          <w:szCs w:val="21"/>
        </w:rPr>
        <w:t>投标文件</w:t>
      </w:r>
      <w:r>
        <w:rPr>
          <w:rFonts w:ascii="宋体" w:hAnsi="宋体"/>
          <w:kern w:val="0"/>
          <w:szCs w:val="21"/>
        </w:rPr>
        <w:t>的实质性内容（算术性错误修正的除外）。</w:t>
      </w:r>
      <w:r>
        <w:rPr>
          <w:rFonts w:hint="eastAsia" w:ascii="宋体" w:hAnsi="宋体"/>
          <w:kern w:val="0"/>
          <w:szCs w:val="21"/>
        </w:rPr>
        <w:t>投标人</w:t>
      </w:r>
      <w:r>
        <w:rPr>
          <w:rFonts w:ascii="宋体" w:hAnsi="宋体"/>
          <w:kern w:val="0"/>
          <w:szCs w:val="21"/>
        </w:rPr>
        <w:t>的书面澄清、说明和补正属于</w:t>
      </w:r>
      <w:r>
        <w:rPr>
          <w:rFonts w:hint="eastAsia" w:ascii="宋体" w:hAnsi="宋体"/>
          <w:kern w:val="0"/>
          <w:szCs w:val="21"/>
        </w:rPr>
        <w:t>投标文件</w:t>
      </w:r>
      <w:r>
        <w:rPr>
          <w:rFonts w:ascii="宋体" w:hAnsi="宋体"/>
          <w:kern w:val="0"/>
          <w:szCs w:val="21"/>
        </w:rPr>
        <w:t>的组成部分。</w:t>
      </w:r>
    </w:p>
    <w:p w14:paraId="41A049B3">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3.3.3  评标委员会对</w:t>
      </w:r>
      <w:r>
        <w:rPr>
          <w:rFonts w:hint="eastAsia" w:ascii="宋体" w:hAnsi="宋体"/>
          <w:kern w:val="0"/>
          <w:szCs w:val="21"/>
        </w:rPr>
        <w:t>投标人</w:t>
      </w:r>
      <w:r>
        <w:rPr>
          <w:rFonts w:ascii="宋体" w:hAnsi="宋体"/>
          <w:kern w:val="0"/>
          <w:szCs w:val="21"/>
        </w:rPr>
        <w:t>提交的澄清、说明或补正有疑问的，可以要求</w:t>
      </w:r>
      <w:r>
        <w:rPr>
          <w:rFonts w:hint="eastAsia" w:ascii="宋体" w:hAnsi="宋体"/>
          <w:kern w:val="0"/>
          <w:szCs w:val="21"/>
        </w:rPr>
        <w:t>投标人</w:t>
      </w:r>
      <w:r>
        <w:rPr>
          <w:rFonts w:ascii="宋体" w:hAnsi="宋体"/>
          <w:kern w:val="0"/>
          <w:szCs w:val="21"/>
        </w:rPr>
        <w:t>进一步澄清、说明或补正，直至满足评标委员会的要求。</w:t>
      </w:r>
    </w:p>
    <w:p w14:paraId="6DFA1EDD">
      <w:pPr>
        <w:pStyle w:val="5"/>
        <w:snapToGrid w:val="0"/>
        <w:spacing w:before="0" w:after="0" w:line="360" w:lineRule="auto"/>
        <w:rPr>
          <w:rFonts w:ascii="宋体" w:hAnsi="宋体"/>
          <w:b w:val="0"/>
          <w:snapToGrid w:val="0"/>
          <w:sz w:val="24"/>
          <w:szCs w:val="24"/>
        </w:rPr>
      </w:pPr>
      <w:bookmarkStart w:id="438" w:name="_Toc3502"/>
      <w:bookmarkStart w:id="439" w:name="_Toc17868"/>
      <w:bookmarkStart w:id="440" w:name="_Toc287607820"/>
      <w:bookmarkStart w:id="441" w:name="_Toc224103392"/>
      <w:bookmarkStart w:id="442" w:name="_Toc509218784"/>
      <w:bookmarkStart w:id="443" w:name="_Toc430530508"/>
      <w:bookmarkStart w:id="444" w:name="_Toc216768216"/>
      <w:bookmarkStart w:id="445" w:name="_Toc277082626"/>
      <w:bookmarkStart w:id="446" w:name="_Toc287620759"/>
      <w:bookmarkStart w:id="447" w:name="_Toc200513206"/>
      <w:r>
        <w:rPr>
          <w:rFonts w:ascii="宋体" w:hAnsi="宋体"/>
          <w:b w:val="0"/>
          <w:snapToGrid w:val="0"/>
          <w:sz w:val="24"/>
          <w:szCs w:val="24"/>
        </w:rPr>
        <w:t>3.4  评标结果</w:t>
      </w:r>
      <w:bookmarkEnd w:id="438"/>
      <w:bookmarkEnd w:id="439"/>
      <w:bookmarkEnd w:id="440"/>
      <w:bookmarkEnd w:id="441"/>
      <w:bookmarkEnd w:id="442"/>
      <w:bookmarkEnd w:id="443"/>
      <w:bookmarkEnd w:id="444"/>
      <w:bookmarkEnd w:id="445"/>
      <w:bookmarkEnd w:id="446"/>
      <w:bookmarkEnd w:id="447"/>
    </w:p>
    <w:p w14:paraId="6A7A811E">
      <w:pPr>
        <w:autoSpaceDE w:val="0"/>
        <w:autoSpaceDN w:val="0"/>
        <w:adjustRightInd w:val="0"/>
        <w:snapToGrid w:val="0"/>
        <w:spacing w:line="360" w:lineRule="auto"/>
        <w:ind w:firstLine="420" w:firstLineChars="200"/>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 xml:space="preserve">.1 </w:t>
      </w:r>
      <w:r>
        <w:rPr>
          <w:rFonts w:ascii="宋体" w:hAnsi="宋体"/>
          <w:spacing w:val="1"/>
          <w:kern w:val="0"/>
          <w:szCs w:val="21"/>
        </w:rPr>
        <w:t xml:space="preserve"> </w:t>
      </w:r>
      <w:r>
        <w:rPr>
          <w:rFonts w:ascii="宋体" w:hAnsi="宋体"/>
          <w:kern w:val="0"/>
          <w:szCs w:val="21"/>
        </w:rPr>
        <w:t>除第二章“</w:t>
      </w:r>
      <w:r>
        <w:rPr>
          <w:rFonts w:hint="eastAsia" w:ascii="宋体" w:hAnsi="宋体"/>
          <w:kern w:val="0"/>
          <w:szCs w:val="21"/>
        </w:rPr>
        <w:t>投标人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员会按照</w:t>
      </w:r>
      <w:r>
        <w:rPr>
          <w:rFonts w:ascii="宋体" w:hAnsi="宋体"/>
          <w:spacing w:val="1"/>
          <w:kern w:val="0"/>
          <w:szCs w:val="21"/>
        </w:rPr>
        <w:t>得分</w:t>
      </w:r>
      <w:r>
        <w:rPr>
          <w:rFonts w:ascii="宋体" w:hAnsi="宋体"/>
          <w:kern w:val="0"/>
          <w:szCs w:val="21"/>
        </w:rPr>
        <w:t>由高到低的顺序推荐中标候选人。</w:t>
      </w:r>
    </w:p>
    <w:p w14:paraId="79304C38">
      <w:pPr>
        <w:autoSpaceDE w:val="0"/>
        <w:autoSpaceDN w:val="0"/>
        <w:adjustRightInd w:val="0"/>
        <w:snapToGrid w:val="0"/>
        <w:spacing w:line="360" w:lineRule="auto"/>
        <w:ind w:firstLine="424" w:firstLineChars="200"/>
        <w:rPr>
          <w:rFonts w:ascii="宋体" w:hAnsi="宋体"/>
          <w:kern w:val="0"/>
          <w:szCs w:val="21"/>
        </w:rPr>
      </w:pPr>
      <w:r>
        <w:rPr>
          <w:rFonts w:ascii="宋体" w:hAnsi="宋体"/>
          <w:spacing w:val="1"/>
          <w:kern w:val="0"/>
          <w:szCs w:val="21"/>
        </w:rPr>
        <w:t>3</w:t>
      </w:r>
      <w:r>
        <w:rPr>
          <w:rFonts w:ascii="宋体" w:hAnsi="宋体"/>
          <w:kern w:val="0"/>
          <w:szCs w:val="21"/>
        </w:rPr>
        <w:t>.4.2  评标</w:t>
      </w:r>
      <w:r>
        <w:rPr>
          <w:rFonts w:ascii="宋体" w:hAnsi="宋体"/>
          <w:spacing w:val="-1"/>
          <w:kern w:val="0"/>
          <w:szCs w:val="21"/>
        </w:rPr>
        <w:t>委</w:t>
      </w:r>
      <w:r>
        <w:rPr>
          <w:rFonts w:ascii="宋体" w:hAnsi="宋体"/>
          <w:kern w:val="0"/>
          <w:szCs w:val="21"/>
        </w:rPr>
        <w:t>员会完成评标后，应当向</w:t>
      </w:r>
      <w:r>
        <w:rPr>
          <w:rFonts w:hint="eastAsia" w:ascii="宋体" w:hAnsi="宋体"/>
          <w:kern w:val="0"/>
          <w:szCs w:val="21"/>
        </w:rPr>
        <w:t>比选人</w:t>
      </w:r>
      <w:r>
        <w:rPr>
          <w:rFonts w:ascii="宋体" w:hAnsi="宋体"/>
          <w:kern w:val="0"/>
          <w:szCs w:val="21"/>
        </w:rPr>
        <w:t>提交书面评标报告。</w:t>
      </w:r>
    </w:p>
    <w:p w14:paraId="5E723E29">
      <w:pPr>
        <w:spacing w:line="360" w:lineRule="auto"/>
        <w:rPr>
          <w:rFonts w:ascii="宋体" w:hAnsi="宋体"/>
          <w:b/>
          <w:szCs w:val="20"/>
        </w:rPr>
      </w:pPr>
      <w:r>
        <w:rPr>
          <w:rFonts w:ascii="宋体" w:hAnsi="宋体"/>
          <w:kern w:val="0"/>
          <w:sz w:val="20"/>
          <w:szCs w:val="20"/>
        </w:rPr>
        <w:br w:type="page"/>
      </w:r>
    </w:p>
    <w:p w14:paraId="2B8C9363">
      <w:pPr>
        <w:pStyle w:val="33"/>
        <w:spacing w:line="360" w:lineRule="auto"/>
        <w:rPr>
          <w:rFonts w:ascii="宋体" w:hAnsi="宋体"/>
          <w:b/>
          <w:sz w:val="28"/>
          <w:szCs w:val="28"/>
          <w:u w:val="none"/>
          <w:lang w:eastAsia="zh-CN"/>
        </w:rPr>
      </w:pPr>
      <w:bookmarkStart w:id="448" w:name="招标文件03章02评标办法综合评估法02附件02"/>
      <w:bookmarkEnd w:id="448"/>
      <w:bookmarkStart w:id="449" w:name="招标文件04章合同条款及格式"/>
      <w:bookmarkEnd w:id="449"/>
      <w:bookmarkStart w:id="450" w:name="_Toc230410480"/>
      <w:bookmarkStart w:id="451" w:name="_Toc277082627"/>
      <w:r>
        <w:rPr>
          <w:rFonts w:ascii="宋体" w:hAnsi="宋体"/>
          <w:b/>
          <w:sz w:val="28"/>
          <w:szCs w:val="28"/>
          <w:u w:val="none"/>
          <w:lang w:eastAsia="zh-CN"/>
        </w:rPr>
        <w:t>附件A：综合评估法否决投标情况一览表</w:t>
      </w:r>
      <w:bookmarkEnd w:id="450"/>
    </w:p>
    <w:bookmarkEnd w:id="451"/>
    <w:p w14:paraId="15944772">
      <w:pPr>
        <w:pStyle w:val="33"/>
        <w:spacing w:line="360" w:lineRule="auto"/>
        <w:ind w:firstLine="420" w:firstLineChars="200"/>
        <w:jc w:val="both"/>
        <w:rPr>
          <w:rFonts w:ascii="宋体" w:hAnsi="宋体"/>
          <w:sz w:val="21"/>
          <w:szCs w:val="21"/>
          <w:u w:val="none"/>
          <w:lang w:eastAsia="zh-CN"/>
        </w:rPr>
      </w:pPr>
      <w:r>
        <w:rPr>
          <w:rFonts w:hint="eastAsia" w:ascii="宋体" w:hAnsi="宋体"/>
          <w:sz w:val="21"/>
          <w:szCs w:val="21"/>
          <w:u w:val="none"/>
          <w:lang w:eastAsia="zh-CN"/>
        </w:rPr>
        <w:t>投标文件存在本一览表下列情形之一的，投标文件视为重大偏差并作否决投标处理，否则，评标委员会不得视为重大偏差而否决投标人的投标文件</w:t>
      </w:r>
      <w:r>
        <w:rPr>
          <w:rFonts w:ascii="宋体" w:hAnsi="宋体"/>
          <w:sz w:val="21"/>
          <w:szCs w:val="21"/>
          <w:u w:val="none"/>
          <w:lang w:eastAsia="zh-CN"/>
        </w:rPr>
        <w:t>。</w:t>
      </w:r>
    </w:p>
    <w:tbl>
      <w:tblPr>
        <w:tblStyle w:val="45"/>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0726B8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7AA33109">
            <w:pPr>
              <w:spacing w:line="400" w:lineRule="exact"/>
              <w:jc w:val="center"/>
              <w:rPr>
                <w:rFonts w:ascii="宋体" w:hAnsi="宋体"/>
                <w:b/>
                <w:szCs w:val="21"/>
              </w:rPr>
            </w:pPr>
            <w:r>
              <w:rPr>
                <w:rFonts w:ascii="宋体" w:hAnsi="宋体"/>
                <w:b/>
                <w:szCs w:val="21"/>
              </w:rPr>
              <w:t>章节号</w:t>
            </w:r>
          </w:p>
        </w:tc>
        <w:tc>
          <w:tcPr>
            <w:tcW w:w="1899" w:type="dxa"/>
            <w:vAlign w:val="center"/>
          </w:tcPr>
          <w:p w14:paraId="56C4BA1E">
            <w:pPr>
              <w:spacing w:line="400" w:lineRule="exact"/>
              <w:jc w:val="center"/>
              <w:rPr>
                <w:rFonts w:ascii="宋体" w:hAnsi="宋体"/>
                <w:b/>
                <w:szCs w:val="21"/>
              </w:rPr>
            </w:pPr>
            <w:r>
              <w:rPr>
                <w:rFonts w:ascii="宋体" w:hAnsi="宋体"/>
                <w:b/>
                <w:szCs w:val="21"/>
              </w:rPr>
              <w:t>条款名称</w:t>
            </w:r>
          </w:p>
        </w:tc>
        <w:tc>
          <w:tcPr>
            <w:tcW w:w="6333" w:type="dxa"/>
            <w:vAlign w:val="center"/>
          </w:tcPr>
          <w:p w14:paraId="40603954">
            <w:pPr>
              <w:spacing w:line="400" w:lineRule="exact"/>
              <w:jc w:val="center"/>
              <w:rPr>
                <w:rFonts w:ascii="宋体" w:hAnsi="宋体"/>
                <w:b/>
                <w:szCs w:val="21"/>
              </w:rPr>
            </w:pPr>
            <w:r>
              <w:rPr>
                <w:rFonts w:ascii="宋体" w:hAnsi="宋体"/>
                <w:b/>
                <w:szCs w:val="21"/>
              </w:rPr>
              <w:t>否决投标条件</w:t>
            </w:r>
          </w:p>
        </w:tc>
      </w:tr>
      <w:tr w14:paraId="079C21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06F93AEF">
            <w:pPr>
              <w:spacing w:line="400" w:lineRule="exact"/>
              <w:jc w:val="center"/>
              <w:rPr>
                <w:rFonts w:ascii="宋体" w:hAnsi="宋体"/>
                <w:szCs w:val="21"/>
              </w:rPr>
            </w:pPr>
          </w:p>
        </w:tc>
        <w:tc>
          <w:tcPr>
            <w:tcW w:w="1899" w:type="dxa"/>
            <w:vMerge w:val="restart"/>
            <w:vAlign w:val="center"/>
          </w:tcPr>
          <w:p w14:paraId="5B1CE17F">
            <w:pPr>
              <w:spacing w:line="400" w:lineRule="exact"/>
              <w:jc w:val="center"/>
              <w:rPr>
                <w:rFonts w:ascii="宋体" w:hAnsi="宋体"/>
                <w:szCs w:val="21"/>
              </w:rPr>
            </w:pPr>
            <w:r>
              <w:rPr>
                <w:rFonts w:hint="eastAsia" w:ascii="宋体" w:hAnsi="宋体"/>
                <w:szCs w:val="21"/>
              </w:rPr>
              <w:t>资格评审</w:t>
            </w:r>
          </w:p>
        </w:tc>
        <w:tc>
          <w:tcPr>
            <w:tcW w:w="6333" w:type="dxa"/>
            <w:vAlign w:val="center"/>
          </w:tcPr>
          <w:p w14:paraId="1F04AB21">
            <w:pPr>
              <w:spacing w:line="400" w:lineRule="exact"/>
              <w:ind w:firstLine="420" w:firstLineChars="200"/>
              <w:rPr>
                <w:rFonts w:ascii="宋体" w:hAnsi="宋体"/>
                <w:szCs w:val="21"/>
              </w:rPr>
            </w:pPr>
            <w:r>
              <w:rPr>
                <w:rFonts w:hint="eastAsia" w:ascii="宋体" w:hAnsi="宋体"/>
                <w:szCs w:val="21"/>
              </w:rPr>
              <w:t>A-1投标人的资质条件、营业执照及安全生产条件须满足投标人须知前附表1.4.1项的要求，否则由评标委员会作否决投标处理。</w:t>
            </w:r>
          </w:p>
        </w:tc>
      </w:tr>
      <w:tr w14:paraId="759822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44CFB747">
            <w:pPr>
              <w:spacing w:line="400" w:lineRule="exact"/>
              <w:jc w:val="center"/>
              <w:rPr>
                <w:rFonts w:ascii="宋体" w:hAnsi="宋体"/>
                <w:szCs w:val="21"/>
              </w:rPr>
            </w:pPr>
          </w:p>
        </w:tc>
        <w:tc>
          <w:tcPr>
            <w:tcW w:w="1899" w:type="dxa"/>
            <w:vMerge w:val="continue"/>
            <w:vAlign w:val="center"/>
          </w:tcPr>
          <w:p w14:paraId="66E57969">
            <w:pPr>
              <w:spacing w:line="400" w:lineRule="exact"/>
              <w:jc w:val="center"/>
              <w:rPr>
                <w:rFonts w:ascii="宋体" w:hAnsi="宋体"/>
                <w:szCs w:val="21"/>
              </w:rPr>
            </w:pPr>
          </w:p>
        </w:tc>
        <w:tc>
          <w:tcPr>
            <w:tcW w:w="6333" w:type="dxa"/>
            <w:vAlign w:val="center"/>
          </w:tcPr>
          <w:p w14:paraId="5F3868B6">
            <w:pPr>
              <w:spacing w:line="400" w:lineRule="exact"/>
              <w:ind w:firstLine="420" w:firstLineChars="200"/>
              <w:rPr>
                <w:rFonts w:ascii="宋体" w:hAnsi="宋体"/>
                <w:szCs w:val="21"/>
              </w:rPr>
            </w:pPr>
            <w:r>
              <w:rPr>
                <w:rFonts w:hint="eastAsia" w:ascii="宋体" w:hAnsi="宋体"/>
                <w:szCs w:val="21"/>
              </w:rPr>
              <w:t>A-2投标人的财务须满足投标人须知前附表第1.4.1项的要求，否则由评标委员会作否决投标处理（如有）。</w:t>
            </w:r>
          </w:p>
        </w:tc>
      </w:tr>
      <w:tr w14:paraId="03F65D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31176B65">
            <w:pPr>
              <w:spacing w:line="400" w:lineRule="exact"/>
              <w:jc w:val="center"/>
              <w:rPr>
                <w:rFonts w:ascii="宋体" w:hAnsi="宋体"/>
                <w:szCs w:val="21"/>
              </w:rPr>
            </w:pPr>
          </w:p>
        </w:tc>
        <w:tc>
          <w:tcPr>
            <w:tcW w:w="1899" w:type="dxa"/>
            <w:vMerge w:val="continue"/>
            <w:vAlign w:val="center"/>
          </w:tcPr>
          <w:p w14:paraId="687DBD03">
            <w:pPr>
              <w:spacing w:line="400" w:lineRule="exact"/>
              <w:jc w:val="center"/>
              <w:rPr>
                <w:rFonts w:ascii="宋体" w:hAnsi="宋体"/>
                <w:szCs w:val="21"/>
              </w:rPr>
            </w:pPr>
          </w:p>
        </w:tc>
        <w:tc>
          <w:tcPr>
            <w:tcW w:w="6333" w:type="dxa"/>
            <w:vAlign w:val="center"/>
          </w:tcPr>
          <w:p w14:paraId="2701FFF4">
            <w:pPr>
              <w:spacing w:line="400" w:lineRule="exact"/>
              <w:ind w:firstLine="420" w:firstLineChars="200"/>
              <w:rPr>
                <w:rFonts w:ascii="宋体" w:hAnsi="宋体"/>
                <w:szCs w:val="21"/>
              </w:rPr>
            </w:pPr>
            <w:r>
              <w:rPr>
                <w:rFonts w:hint="eastAsia" w:ascii="宋体" w:hAnsi="宋体"/>
                <w:szCs w:val="21"/>
              </w:rPr>
              <w:t>A-3投标人的业绩须满足投标人须知前附表第1.4.1项的要求，否则由评标委员会作否决投标处理（如有）。</w:t>
            </w:r>
          </w:p>
        </w:tc>
      </w:tr>
      <w:tr w14:paraId="101C24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2962D178">
            <w:pPr>
              <w:spacing w:line="400" w:lineRule="exact"/>
              <w:jc w:val="center"/>
              <w:rPr>
                <w:rFonts w:ascii="宋体" w:hAnsi="宋体"/>
                <w:szCs w:val="21"/>
              </w:rPr>
            </w:pPr>
          </w:p>
        </w:tc>
        <w:tc>
          <w:tcPr>
            <w:tcW w:w="1899" w:type="dxa"/>
            <w:vMerge w:val="continue"/>
            <w:vAlign w:val="center"/>
          </w:tcPr>
          <w:p w14:paraId="3D6DB535">
            <w:pPr>
              <w:spacing w:line="400" w:lineRule="exact"/>
              <w:jc w:val="center"/>
              <w:rPr>
                <w:rFonts w:ascii="宋体" w:hAnsi="宋体"/>
                <w:szCs w:val="21"/>
              </w:rPr>
            </w:pPr>
          </w:p>
        </w:tc>
        <w:tc>
          <w:tcPr>
            <w:tcW w:w="6333" w:type="dxa"/>
            <w:vAlign w:val="center"/>
          </w:tcPr>
          <w:p w14:paraId="4B6BB5C4">
            <w:pPr>
              <w:spacing w:line="400" w:lineRule="exact"/>
              <w:ind w:firstLine="420" w:firstLineChars="200"/>
              <w:rPr>
                <w:rFonts w:ascii="宋体" w:hAnsi="宋体"/>
                <w:szCs w:val="21"/>
              </w:rPr>
            </w:pPr>
            <w:r>
              <w:rPr>
                <w:rFonts w:hint="eastAsia" w:ascii="宋体" w:hAnsi="宋体"/>
                <w:szCs w:val="21"/>
              </w:rPr>
              <w:t>A-4投标人的投标截止日投标资格情况须满足投标人须知前附表第1.4.1项的要求，否则由评标委员会作否决投标处理。</w:t>
            </w:r>
          </w:p>
        </w:tc>
      </w:tr>
      <w:tr w14:paraId="4C235C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369FCEAA">
            <w:pPr>
              <w:spacing w:line="400" w:lineRule="exact"/>
              <w:jc w:val="center"/>
              <w:rPr>
                <w:rFonts w:ascii="宋体" w:hAnsi="宋体"/>
                <w:szCs w:val="21"/>
              </w:rPr>
            </w:pPr>
          </w:p>
        </w:tc>
        <w:tc>
          <w:tcPr>
            <w:tcW w:w="1899" w:type="dxa"/>
            <w:vMerge w:val="continue"/>
            <w:vAlign w:val="center"/>
          </w:tcPr>
          <w:p w14:paraId="2715E549">
            <w:pPr>
              <w:spacing w:line="400" w:lineRule="exact"/>
              <w:jc w:val="center"/>
              <w:rPr>
                <w:rFonts w:ascii="宋体" w:hAnsi="宋体"/>
                <w:szCs w:val="21"/>
              </w:rPr>
            </w:pPr>
          </w:p>
        </w:tc>
        <w:tc>
          <w:tcPr>
            <w:tcW w:w="6333" w:type="dxa"/>
            <w:vAlign w:val="center"/>
          </w:tcPr>
          <w:p w14:paraId="6C1F7B44">
            <w:pPr>
              <w:spacing w:line="400" w:lineRule="exact"/>
              <w:ind w:firstLine="420" w:firstLineChars="200"/>
              <w:rPr>
                <w:rFonts w:ascii="宋体" w:hAnsi="宋体"/>
                <w:szCs w:val="21"/>
              </w:rPr>
            </w:pPr>
            <w:r>
              <w:rPr>
                <w:rFonts w:hint="eastAsia" w:ascii="宋体" w:hAnsi="宋体"/>
                <w:szCs w:val="21"/>
              </w:rPr>
              <w:t>A-5投标人的项目经理资格须满足投标人须知前附表第1.4.1项的要求，否则由评标委员会作否决投标处理（如有）。</w:t>
            </w:r>
          </w:p>
        </w:tc>
      </w:tr>
      <w:tr w14:paraId="604937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336B6653">
            <w:pPr>
              <w:spacing w:line="400" w:lineRule="exact"/>
              <w:jc w:val="center"/>
              <w:rPr>
                <w:rFonts w:ascii="宋体" w:hAnsi="宋体"/>
                <w:szCs w:val="21"/>
              </w:rPr>
            </w:pPr>
          </w:p>
        </w:tc>
        <w:tc>
          <w:tcPr>
            <w:tcW w:w="1899" w:type="dxa"/>
            <w:vMerge w:val="continue"/>
            <w:vAlign w:val="center"/>
          </w:tcPr>
          <w:p w14:paraId="329986B1">
            <w:pPr>
              <w:spacing w:line="400" w:lineRule="exact"/>
              <w:jc w:val="center"/>
              <w:rPr>
                <w:rFonts w:ascii="宋体" w:hAnsi="宋体"/>
                <w:szCs w:val="21"/>
              </w:rPr>
            </w:pPr>
          </w:p>
        </w:tc>
        <w:tc>
          <w:tcPr>
            <w:tcW w:w="6333" w:type="dxa"/>
            <w:vAlign w:val="center"/>
          </w:tcPr>
          <w:p w14:paraId="5DD247FC">
            <w:pPr>
              <w:spacing w:line="400" w:lineRule="exact"/>
              <w:ind w:firstLine="420" w:firstLineChars="200"/>
              <w:rPr>
                <w:rFonts w:ascii="宋体" w:hAnsi="宋体"/>
                <w:szCs w:val="21"/>
              </w:rPr>
            </w:pPr>
            <w:r>
              <w:rPr>
                <w:rFonts w:hint="eastAsia" w:ascii="宋体" w:hAnsi="宋体"/>
                <w:szCs w:val="21"/>
              </w:rPr>
              <w:t>A-6投标人的其他要求须满足投标人须知前附表第1.4.1项的要求，否则由评标委员会作否决投标处理。</w:t>
            </w:r>
          </w:p>
        </w:tc>
      </w:tr>
      <w:tr w14:paraId="74D9BF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4ABA711A">
            <w:pPr>
              <w:spacing w:line="400" w:lineRule="exact"/>
              <w:jc w:val="center"/>
              <w:rPr>
                <w:rFonts w:ascii="宋体" w:hAnsi="宋体"/>
                <w:szCs w:val="21"/>
              </w:rPr>
            </w:pPr>
          </w:p>
        </w:tc>
        <w:tc>
          <w:tcPr>
            <w:tcW w:w="1899" w:type="dxa"/>
            <w:vMerge w:val="continue"/>
            <w:vAlign w:val="center"/>
          </w:tcPr>
          <w:p w14:paraId="4E7F5C53">
            <w:pPr>
              <w:spacing w:line="400" w:lineRule="exact"/>
              <w:jc w:val="center"/>
              <w:rPr>
                <w:rFonts w:ascii="宋体" w:hAnsi="宋体"/>
                <w:szCs w:val="21"/>
              </w:rPr>
            </w:pPr>
          </w:p>
        </w:tc>
        <w:tc>
          <w:tcPr>
            <w:tcW w:w="6333" w:type="dxa"/>
            <w:vAlign w:val="center"/>
          </w:tcPr>
          <w:p w14:paraId="56BD0FF1">
            <w:pPr>
              <w:spacing w:line="400" w:lineRule="exact"/>
              <w:ind w:firstLine="420" w:firstLineChars="200"/>
              <w:rPr>
                <w:rFonts w:ascii="宋体" w:hAnsi="宋体"/>
                <w:szCs w:val="21"/>
              </w:rPr>
            </w:pPr>
            <w:r>
              <w:rPr>
                <w:rFonts w:hint="eastAsia" w:ascii="宋体" w:hAnsi="宋体"/>
                <w:szCs w:val="21"/>
              </w:rPr>
              <w:t>A-7若有联合体投标人，则：</w:t>
            </w:r>
          </w:p>
          <w:p w14:paraId="1C7C1FC3">
            <w:pPr>
              <w:spacing w:line="400" w:lineRule="exact"/>
              <w:ind w:firstLine="420" w:firstLineChars="200"/>
              <w:rPr>
                <w:rFonts w:ascii="宋体" w:hAnsi="宋体"/>
                <w:szCs w:val="21"/>
              </w:rPr>
            </w:pPr>
            <w:r>
              <w:rPr>
                <w:rFonts w:hint="eastAsia" w:ascii="宋体" w:hAnsi="宋体"/>
                <w:szCs w:val="21"/>
              </w:rPr>
              <w:t>（1）联合体各方应按照招标文件提供的格式签订联合体协议书，明确联合体牵头人和各方权利义务；</w:t>
            </w:r>
          </w:p>
          <w:p w14:paraId="19E53E0B">
            <w:pPr>
              <w:spacing w:line="400" w:lineRule="exact"/>
              <w:ind w:firstLine="420" w:firstLineChars="200"/>
              <w:rPr>
                <w:rFonts w:ascii="宋体" w:hAnsi="宋体"/>
                <w:szCs w:val="21"/>
              </w:rPr>
            </w:pPr>
            <w:r>
              <w:rPr>
                <w:rFonts w:hint="eastAsia" w:ascii="宋体" w:hAnsi="宋体"/>
                <w:szCs w:val="21"/>
              </w:rPr>
              <w:t>（2）联合体各方均应当具备承担招标项目的相应能力，联合体协议约定同一专业分工由两个及以上单位共同承担的，按照资质等级较低的单位确定资质等级；</w:t>
            </w:r>
          </w:p>
          <w:p w14:paraId="45223000">
            <w:pPr>
              <w:spacing w:line="400" w:lineRule="exact"/>
              <w:ind w:firstLine="420" w:firstLineChars="200"/>
              <w:rPr>
                <w:rFonts w:ascii="宋体" w:hAnsi="宋体"/>
                <w:szCs w:val="21"/>
              </w:rPr>
            </w:pPr>
            <w:r>
              <w:rPr>
                <w:rFonts w:hint="eastAsia" w:ascii="宋体" w:hAnsi="宋体"/>
                <w:szCs w:val="21"/>
              </w:rPr>
              <w:t>（3）联合体各方不得再以自己名义单独或参加其他联合体在同一标段中投标。</w:t>
            </w:r>
          </w:p>
          <w:p w14:paraId="45E4120C">
            <w:pPr>
              <w:spacing w:line="400" w:lineRule="exact"/>
              <w:ind w:firstLine="420" w:firstLineChars="200"/>
              <w:rPr>
                <w:rFonts w:ascii="宋体" w:hAnsi="宋体"/>
                <w:szCs w:val="21"/>
              </w:rPr>
            </w:pPr>
            <w:r>
              <w:rPr>
                <w:rFonts w:hint="eastAsia" w:ascii="宋体" w:hAnsi="宋体"/>
                <w:szCs w:val="21"/>
              </w:rPr>
              <w:t>否则由评标委员会作否决投标处理（如有）。</w:t>
            </w:r>
          </w:p>
        </w:tc>
      </w:tr>
      <w:tr w14:paraId="7DED4C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73D77CE">
            <w:pPr>
              <w:spacing w:line="400" w:lineRule="exact"/>
              <w:jc w:val="center"/>
              <w:rPr>
                <w:rFonts w:ascii="宋体" w:hAnsi="宋体"/>
                <w:szCs w:val="21"/>
              </w:rPr>
            </w:pPr>
          </w:p>
        </w:tc>
        <w:tc>
          <w:tcPr>
            <w:tcW w:w="1899" w:type="dxa"/>
            <w:vMerge w:val="restart"/>
            <w:vAlign w:val="center"/>
          </w:tcPr>
          <w:p w14:paraId="16644A74">
            <w:pPr>
              <w:spacing w:line="400" w:lineRule="exact"/>
              <w:jc w:val="center"/>
              <w:rPr>
                <w:rFonts w:ascii="宋体" w:hAnsi="宋体"/>
                <w:szCs w:val="21"/>
              </w:rPr>
            </w:pPr>
            <w:r>
              <w:rPr>
                <w:rFonts w:hint="eastAsia" w:ascii="宋体" w:hAnsi="宋体"/>
                <w:szCs w:val="21"/>
              </w:rPr>
              <w:t>形式评审</w:t>
            </w:r>
          </w:p>
        </w:tc>
        <w:tc>
          <w:tcPr>
            <w:tcW w:w="6333" w:type="dxa"/>
          </w:tcPr>
          <w:p w14:paraId="1DFB3C1A">
            <w:pPr>
              <w:spacing w:line="400" w:lineRule="exact"/>
              <w:ind w:firstLine="420" w:firstLineChars="200"/>
              <w:rPr>
                <w:rFonts w:ascii="宋体" w:hAnsi="宋体"/>
                <w:szCs w:val="21"/>
              </w:rPr>
            </w:pPr>
            <w:r>
              <w:rPr>
                <w:rFonts w:hint="eastAsia" w:ascii="宋体" w:hAnsi="宋体"/>
                <w:szCs w:val="21"/>
              </w:rPr>
              <w:t>A-8投标人名称必须与营业执照、资质证书、安全生产许可证一致，依法变更名称的应提交相应证明材料，</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14:paraId="59F12B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2F47CCE">
            <w:pPr>
              <w:spacing w:line="400" w:lineRule="exact"/>
              <w:jc w:val="center"/>
              <w:rPr>
                <w:rFonts w:ascii="宋体" w:hAnsi="宋体"/>
                <w:szCs w:val="21"/>
              </w:rPr>
            </w:pPr>
          </w:p>
        </w:tc>
        <w:tc>
          <w:tcPr>
            <w:tcW w:w="1899" w:type="dxa"/>
            <w:vMerge w:val="continue"/>
            <w:vAlign w:val="center"/>
          </w:tcPr>
          <w:p w14:paraId="1DC3AB6B">
            <w:pPr>
              <w:spacing w:line="400" w:lineRule="exact"/>
              <w:jc w:val="center"/>
              <w:rPr>
                <w:rFonts w:ascii="宋体" w:hAnsi="宋体"/>
                <w:szCs w:val="21"/>
              </w:rPr>
            </w:pPr>
          </w:p>
        </w:tc>
        <w:tc>
          <w:tcPr>
            <w:tcW w:w="6333" w:type="dxa"/>
          </w:tcPr>
          <w:p w14:paraId="7DAC329F">
            <w:pPr>
              <w:spacing w:line="400" w:lineRule="exact"/>
              <w:ind w:firstLine="420" w:firstLineChars="200"/>
              <w:rPr>
                <w:rFonts w:ascii="宋体" w:hAnsi="宋体"/>
                <w:szCs w:val="21"/>
              </w:rPr>
            </w:pPr>
            <w:r>
              <w:rPr>
                <w:rFonts w:hint="eastAsia" w:ascii="宋体" w:hAnsi="宋体"/>
                <w:szCs w:val="21"/>
              </w:rPr>
              <w:t>A-9投标函格式规定签名、盖章的位置有法定代表人或其委托代理人签名（或盖章）、加盖单位</w:t>
            </w:r>
            <w:r>
              <w:rPr>
                <w:rFonts w:hint="eastAsia" w:ascii="宋体" w:hAnsi="宋体"/>
                <w:szCs w:val="21"/>
                <w:lang w:val="en-US" w:eastAsia="zh-CN"/>
              </w:rPr>
              <w:t>公</w:t>
            </w:r>
            <w:r>
              <w:rPr>
                <w:rFonts w:hint="eastAsia" w:ascii="宋体" w:hAnsi="宋体"/>
                <w:szCs w:val="21"/>
              </w:rPr>
              <w:t>章，否则由评标委员会作否决投标处理。</w:t>
            </w:r>
          </w:p>
        </w:tc>
      </w:tr>
      <w:tr w14:paraId="35D26A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A7F04E6">
            <w:pPr>
              <w:spacing w:line="400" w:lineRule="exact"/>
              <w:jc w:val="center"/>
              <w:rPr>
                <w:rFonts w:ascii="宋体" w:hAnsi="宋体"/>
                <w:szCs w:val="21"/>
              </w:rPr>
            </w:pPr>
          </w:p>
        </w:tc>
        <w:tc>
          <w:tcPr>
            <w:tcW w:w="1899" w:type="dxa"/>
            <w:vMerge w:val="continue"/>
            <w:vAlign w:val="center"/>
          </w:tcPr>
          <w:p w14:paraId="77DA6BB3">
            <w:pPr>
              <w:spacing w:line="400" w:lineRule="exact"/>
              <w:jc w:val="center"/>
              <w:rPr>
                <w:rFonts w:ascii="宋体" w:hAnsi="宋体"/>
                <w:szCs w:val="21"/>
              </w:rPr>
            </w:pPr>
          </w:p>
        </w:tc>
        <w:tc>
          <w:tcPr>
            <w:tcW w:w="6333" w:type="dxa"/>
          </w:tcPr>
          <w:p w14:paraId="3FE6DB7D">
            <w:pPr>
              <w:spacing w:line="400" w:lineRule="exact"/>
              <w:ind w:firstLine="420" w:firstLineChars="200"/>
              <w:rPr>
                <w:rFonts w:ascii="宋体" w:hAnsi="宋体"/>
                <w:szCs w:val="21"/>
              </w:rPr>
            </w:pPr>
            <w:r>
              <w:rPr>
                <w:rFonts w:hint="eastAsia" w:ascii="宋体" w:hAnsi="宋体"/>
                <w:szCs w:val="21"/>
              </w:rPr>
              <w:t>A-10投标文件格式符合第二章“投标人须知”第3.7款的要求，否则由评标委员会作否决投标处理。</w:t>
            </w:r>
          </w:p>
          <w:p w14:paraId="5631847F">
            <w:pPr>
              <w:spacing w:line="400" w:lineRule="exact"/>
              <w:ind w:firstLine="420" w:firstLineChars="200"/>
              <w:rPr>
                <w:rFonts w:ascii="宋体" w:hAnsi="宋体"/>
                <w:szCs w:val="21"/>
              </w:rPr>
            </w:pPr>
            <w:r>
              <w:rPr>
                <w:rFonts w:hint="eastAsia" w:ascii="宋体" w:hAnsi="宋体"/>
                <w:kern w:val="0"/>
                <w:szCs w:val="21"/>
              </w:rPr>
              <w:t>编制投标文件时不得对第七章“投标文件格式”的相应要素作实质性修改，否则由评标委员会作否决投标处理。</w:t>
            </w:r>
          </w:p>
        </w:tc>
      </w:tr>
      <w:tr w14:paraId="1D022F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8310A65">
            <w:pPr>
              <w:spacing w:line="400" w:lineRule="exact"/>
              <w:jc w:val="center"/>
              <w:rPr>
                <w:rFonts w:ascii="宋体" w:hAnsi="宋体"/>
                <w:szCs w:val="21"/>
              </w:rPr>
            </w:pPr>
          </w:p>
        </w:tc>
        <w:tc>
          <w:tcPr>
            <w:tcW w:w="1899" w:type="dxa"/>
            <w:vMerge w:val="continue"/>
            <w:vAlign w:val="center"/>
          </w:tcPr>
          <w:p w14:paraId="374F973C">
            <w:pPr>
              <w:spacing w:line="400" w:lineRule="exact"/>
              <w:jc w:val="center"/>
              <w:rPr>
                <w:rFonts w:ascii="宋体" w:hAnsi="宋体"/>
                <w:szCs w:val="21"/>
              </w:rPr>
            </w:pPr>
          </w:p>
        </w:tc>
        <w:tc>
          <w:tcPr>
            <w:tcW w:w="6333" w:type="dxa"/>
          </w:tcPr>
          <w:p w14:paraId="5E21377E">
            <w:pPr>
              <w:autoSpaceDE w:val="0"/>
              <w:autoSpaceDN w:val="0"/>
              <w:adjustRightInd w:val="0"/>
              <w:snapToGrid w:val="0"/>
              <w:spacing w:line="400" w:lineRule="exact"/>
              <w:ind w:firstLine="420" w:firstLineChars="200"/>
              <w:rPr>
                <w:rFonts w:ascii="宋体" w:hAnsi="宋体"/>
                <w:i/>
                <w:szCs w:val="21"/>
              </w:rPr>
            </w:pPr>
            <w:r>
              <w:rPr>
                <w:rFonts w:hint="eastAsia" w:ascii="宋体" w:hAnsi="宋体"/>
                <w:szCs w:val="21"/>
              </w:rPr>
              <w:t>A-11投标文件份数符合第二章“投标人须知”第3.7.4项的规定，</w:t>
            </w:r>
            <w:r>
              <w:rPr>
                <w:rFonts w:hint="eastAsia" w:ascii="宋体" w:hAnsi="宋体"/>
                <w:kern w:val="0"/>
                <w:szCs w:val="21"/>
              </w:rPr>
              <w:t>否则由评标委员会作否决投标处理。</w:t>
            </w:r>
          </w:p>
        </w:tc>
      </w:tr>
      <w:tr w14:paraId="7BD1B7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98815AC">
            <w:pPr>
              <w:spacing w:line="400" w:lineRule="exact"/>
              <w:jc w:val="center"/>
              <w:rPr>
                <w:rFonts w:ascii="宋体" w:hAnsi="宋体"/>
                <w:szCs w:val="21"/>
              </w:rPr>
            </w:pPr>
          </w:p>
        </w:tc>
        <w:tc>
          <w:tcPr>
            <w:tcW w:w="1899" w:type="dxa"/>
            <w:vMerge w:val="continue"/>
            <w:vAlign w:val="center"/>
          </w:tcPr>
          <w:p w14:paraId="546917AA">
            <w:pPr>
              <w:spacing w:line="400" w:lineRule="exact"/>
              <w:jc w:val="center"/>
              <w:rPr>
                <w:rFonts w:ascii="宋体" w:hAnsi="宋体"/>
                <w:szCs w:val="21"/>
              </w:rPr>
            </w:pPr>
          </w:p>
        </w:tc>
        <w:tc>
          <w:tcPr>
            <w:tcW w:w="6333" w:type="dxa"/>
          </w:tcPr>
          <w:p w14:paraId="011FC6DD">
            <w:pPr>
              <w:spacing w:line="400" w:lineRule="exact"/>
              <w:ind w:firstLine="420" w:firstLineChars="200"/>
              <w:rPr>
                <w:rFonts w:ascii="宋体" w:hAnsi="宋体"/>
                <w:szCs w:val="21"/>
              </w:rPr>
            </w:pPr>
            <w:r>
              <w:rPr>
                <w:rFonts w:hint="eastAsia" w:ascii="宋体" w:hAnsi="宋体"/>
                <w:szCs w:val="21"/>
              </w:rPr>
              <w:t>A-12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标委员会作否决投标处理（如有）。</w:t>
            </w:r>
          </w:p>
        </w:tc>
      </w:tr>
      <w:tr w14:paraId="5E237F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EC421CA">
            <w:pPr>
              <w:spacing w:line="400" w:lineRule="exact"/>
              <w:jc w:val="center"/>
              <w:rPr>
                <w:rFonts w:ascii="宋体" w:hAnsi="宋体"/>
                <w:szCs w:val="21"/>
              </w:rPr>
            </w:pPr>
          </w:p>
        </w:tc>
        <w:tc>
          <w:tcPr>
            <w:tcW w:w="1899" w:type="dxa"/>
            <w:vMerge w:val="continue"/>
            <w:vAlign w:val="center"/>
          </w:tcPr>
          <w:p w14:paraId="69177BE2">
            <w:pPr>
              <w:spacing w:line="400" w:lineRule="exact"/>
              <w:jc w:val="center"/>
              <w:rPr>
                <w:rFonts w:ascii="宋体" w:hAnsi="宋体"/>
                <w:szCs w:val="21"/>
              </w:rPr>
            </w:pPr>
          </w:p>
        </w:tc>
        <w:tc>
          <w:tcPr>
            <w:tcW w:w="6333" w:type="dxa"/>
          </w:tcPr>
          <w:p w14:paraId="4252E8F6">
            <w:pPr>
              <w:spacing w:line="400" w:lineRule="exact"/>
              <w:ind w:firstLine="420" w:firstLineChars="200"/>
              <w:rPr>
                <w:rFonts w:ascii="宋体" w:hAnsi="宋体"/>
                <w:szCs w:val="21"/>
              </w:rPr>
            </w:pPr>
            <w:r>
              <w:rPr>
                <w:rFonts w:hint="eastAsia" w:ascii="宋体" w:hAnsi="宋体"/>
                <w:szCs w:val="21"/>
              </w:rPr>
              <w:t>A-13只能有一个有效报价。在招标文件没有规定的情况下，不得提交选择性报价，否则由评标委员会作否决投标处理。</w:t>
            </w:r>
          </w:p>
        </w:tc>
      </w:tr>
      <w:tr w14:paraId="739520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978563A">
            <w:pPr>
              <w:spacing w:line="400" w:lineRule="exact"/>
              <w:jc w:val="center"/>
              <w:rPr>
                <w:rFonts w:ascii="宋体" w:hAnsi="宋体"/>
                <w:szCs w:val="21"/>
              </w:rPr>
            </w:pPr>
          </w:p>
        </w:tc>
        <w:tc>
          <w:tcPr>
            <w:tcW w:w="1899" w:type="dxa"/>
            <w:vMerge w:val="continue"/>
            <w:vAlign w:val="center"/>
          </w:tcPr>
          <w:p w14:paraId="200B4234">
            <w:pPr>
              <w:spacing w:line="400" w:lineRule="exact"/>
              <w:jc w:val="center"/>
              <w:rPr>
                <w:rFonts w:ascii="宋体" w:hAnsi="宋体"/>
                <w:szCs w:val="21"/>
              </w:rPr>
            </w:pPr>
          </w:p>
        </w:tc>
        <w:tc>
          <w:tcPr>
            <w:tcW w:w="6333" w:type="dxa"/>
          </w:tcPr>
          <w:p w14:paraId="08AB92FC">
            <w:pPr>
              <w:autoSpaceDE w:val="0"/>
              <w:autoSpaceDN w:val="0"/>
              <w:adjustRightInd w:val="0"/>
              <w:snapToGrid w:val="0"/>
              <w:spacing w:line="400" w:lineRule="exact"/>
              <w:ind w:firstLine="420" w:firstLineChars="200"/>
              <w:rPr>
                <w:rFonts w:ascii="宋体" w:hAnsi="宋体"/>
                <w:szCs w:val="21"/>
              </w:rPr>
            </w:pPr>
            <w:r>
              <w:rPr>
                <w:rFonts w:hint="eastAsia" w:ascii="宋体" w:hAnsi="宋体"/>
                <w:szCs w:val="21"/>
              </w:rPr>
              <w:t>A-14</w:t>
            </w:r>
            <w:r>
              <w:rPr>
                <w:rFonts w:hint="eastAsia" w:ascii="宋体" w:hAnsi="宋体" w:cs="宋体"/>
                <w:kern w:val="0"/>
              </w:rPr>
              <w:t>第七章 投标文件格式要求法定代表人或其委托代理人签名（或盖章）的须齐全。</w:t>
            </w:r>
            <w:r>
              <w:rPr>
                <w:rFonts w:hint="eastAsia" w:ascii="宋体" w:hAnsi="宋体" w:cs="宋体"/>
                <w:snapToGrid w:val="0"/>
                <w:kern w:val="0"/>
                <w:szCs w:val="21"/>
              </w:rPr>
              <w:t>若投标单位为联合体，则联合体协议书中各联合体各成员单位签名（或盖章）须齐全，联合体协议书以外的</w:t>
            </w:r>
            <w:r>
              <w:rPr>
                <w:rFonts w:hint="eastAsia" w:ascii="宋体" w:hAnsi="宋体" w:cs="宋体"/>
                <w:kern w:val="0"/>
              </w:rPr>
              <w:t>投标文件格式中，要求</w:t>
            </w:r>
            <w:r>
              <w:rPr>
                <w:rFonts w:hint="eastAsia" w:ascii="宋体" w:hAnsi="宋体" w:cs="宋体"/>
                <w:snapToGrid w:val="0"/>
                <w:kern w:val="0"/>
                <w:szCs w:val="21"/>
              </w:rPr>
              <w:t>联合体牵头人</w:t>
            </w:r>
            <w:r>
              <w:rPr>
                <w:rFonts w:hint="eastAsia" w:ascii="宋体" w:hAnsi="宋体" w:cs="宋体"/>
                <w:kern w:val="0"/>
              </w:rPr>
              <w:t>法定代表人或其委托代理人签名（或盖章）的须齐全</w:t>
            </w:r>
            <w:r>
              <w:rPr>
                <w:rFonts w:hint="eastAsia" w:ascii="宋体" w:hAnsi="宋体"/>
                <w:szCs w:val="21"/>
              </w:rPr>
              <w:t>，否则由评标委员会作否决投标处理。</w:t>
            </w:r>
          </w:p>
        </w:tc>
      </w:tr>
      <w:tr w14:paraId="20EC3C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9F2B8FD">
            <w:pPr>
              <w:spacing w:line="400" w:lineRule="exact"/>
              <w:jc w:val="center"/>
              <w:rPr>
                <w:rFonts w:ascii="宋体" w:hAnsi="宋体"/>
                <w:szCs w:val="21"/>
              </w:rPr>
            </w:pPr>
          </w:p>
        </w:tc>
        <w:tc>
          <w:tcPr>
            <w:tcW w:w="1899" w:type="dxa"/>
            <w:vMerge w:val="continue"/>
            <w:vAlign w:val="center"/>
          </w:tcPr>
          <w:p w14:paraId="3BD25490">
            <w:pPr>
              <w:spacing w:line="400" w:lineRule="exact"/>
              <w:jc w:val="center"/>
              <w:rPr>
                <w:rFonts w:ascii="宋体" w:hAnsi="宋体"/>
                <w:szCs w:val="21"/>
              </w:rPr>
            </w:pPr>
          </w:p>
        </w:tc>
        <w:tc>
          <w:tcPr>
            <w:tcW w:w="6333" w:type="dxa"/>
          </w:tcPr>
          <w:p w14:paraId="7ECB1879">
            <w:pPr>
              <w:spacing w:line="400" w:lineRule="exact"/>
              <w:ind w:firstLine="420" w:firstLineChars="200"/>
              <w:rPr>
                <w:rFonts w:ascii="宋体" w:hAnsi="宋体"/>
                <w:szCs w:val="21"/>
              </w:rPr>
            </w:pPr>
            <w:r>
              <w:rPr>
                <w:rFonts w:hint="eastAsia" w:ascii="宋体" w:hAnsi="宋体"/>
                <w:szCs w:val="21"/>
              </w:rPr>
              <w:t>A-15投标人法定代表人的委托代理人有法定代表人签署的授权委托书和投标人为其缴纳的养老保险证明材料，否则由评标委员会作否决投标处理。</w:t>
            </w:r>
          </w:p>
        </w:tc>
      </w:tr>
      <w:tr w14:paraId="5F4455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2B15C8E">
            <w:pPr>
              <w:spacing w:line="400" w:lineRule="exact"/>
              <w:jc w:val="center"/>
              <w:rPr>
                <w:rFonts w:ascii="宋体" w:hAnsi="宋体"/>
                <w:szCs w:val="21"/>
              </w:rPr>
            </w:pPr>
          </w:p>
        </w:tc>
        <w:tc>
          <w:tcPr>
            <w:tcW w:w="1899" w:type="dxa"/>
            <w:vMerge w:val="restart"/>
            <w:vAlign w:val="center"/>
          </w:tcPr>
          <w:p w14:paraId="56BB1B77">
            <w:pPr>
              <w:spacing w:line="400" w:lineRule="exact"/>
              <w:jc w:val="center"/>
              <w:rPr>
                <w:rFonts w:ascii="宋体" w:hAnsi="宋体"/>
                <w:szCs w:val="21"/>
              </w:rPr>
            </w:pPr>
            <w:r>
              <w:rPr>
                <w:rFonts w:hint="eastAsia" w:ascii="宋体" w:hAnsi="宋体"/>
                <w:szCs w:val="21"/>
              </w:rPr>
              <w:t>响应性评审</w:t>
            </w:r>
          </w:p>
        </w:tc>
        <w:tc>
          <w:tcPr>
            <w:tcW w:w="6333" w:type="dxa"/>
            <w:vAlign w:val="center"/>
          </w:tcPr>
          <w:p w14:paraId="014DCD6F">
            <w:pPr>
              <w:spacing w:line="400" w:lineRule="exact"/>
              <w:ind w:firstLine="420" w:firstLineChars="200"/>
              <w:rPr>
                <w:rFonts w:ascii="宋体" w:hAnsi="宋体"/>
                <w:szCs w:val="21"/>
              </w:rPr>
            </w:pPr>
            <w:r>
              <w:rPr>
                <w:rFonts w:hint="eastAsia" w:ascii="宋体" w:hAnsi="宋体"/>
                <w:szCs w:val="21"/>
              </w:rPr>
              <w:t>A-16</w:t>
            </w:r>
            <w:r>
              <w:rPr>
                <w:rFonts w:hint="eastAsia" w:ascii="宋体" w:hAnsi="宋体" w:cs="宋体"/>
                <w:szCs w:val="21"/>
              </w:rPr>
              <w:t>投标总报价必须与已标价工程量清单总报价一致</w:t>
            </w:r>
            <w:r>
              <w:rPr>
                <w:rFonts w:hint="eastAsia" w:ascii="宋体" w:hAnsi="宋体"/>
                <w:szCs w:val="21"/>
              </w:rPr>
              <w:t>，否则由评标委员会作否决投标处理。</w:t>
            </w:r>
          </w:p>
        </w:tc>
      </w:tr>
      <w:tr w14:paraId="612C53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054B456">
            <w:pPr>
              <w:spacing w:line="400" w:lineRule="exact"/>
              <w:jc w:val="center"/>
              <w:rPr>
                <w:rFonts w:ascii="宋体" w:hAnsi="宋体"/>
                <w:szCs w:val="21"/>
              </w:rPr>
            </w:pPr>
          </w:p>
        </w:tc>
        <w:tc>
          <w:tcPr>
            <w:tcW w:w="1899" w:type="dxa"/>
            <w:vMerge w:val="continue"/>
            <w:vAlign w:val="center"/>
          </w:tcPr>
          <w:p w14:paraId="2EE561B0">
            <w:pPr>
              <w:spacing w:line="400" w:lineRule="exact"/>
              <w:jc w:val="center"/>
              <w:rPr>
                <w:rFonts w:ascii="宋体" w:hAnsi="宋体"/>
                <w:szCs w:val="21"/>
              </w:rPr>
            </w:pPr>
          </w:p>
        </w:tc>
        <w:tc>
          <w:tcPr>
            <w:tcW w:w="6333" w:type="dxa"/>
            <w:vAlign w:val="center"/>
          </w:tcPr>
          <w:p w14:paraId="2DB53301">
            <w:pPr>
              <w:spacing w:line="400" w:lineRule="exact"/>
              <w:ind w:firstLine="420" w:firstLineChars="200"/>
              <w:rPr>
                <w:rFonts w:ascii="宋体" w:hAnsi="宋体"/>
                <w:szCs w:val="21"/>
              </w:rPr>
            </w:pPr>
            <w:r>
              <w:rPr>
                <w:rFonts w:hint="eastAsia" w:ascii="宋体" w:hAnsi="宋体"/>
                <w:szCs w:val="21"/>
              </w:rPr>
              <w:t>A-17投标总报价不得高于比选人公布的投标总报价最高限价，否则由评标委员会作否决投标处理。</w:t>
            </w:r>
          </w:p>
        </w:tc>
      </w:tr>
      <w:tr w14:paraId="61A6572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AF41EE2">
            <w:pPr>
              <w:spacing w:line="400" w:lineRule="exact"/>
              <w:jc w:val="center"/>
              <w:rPr>
                <w:rFonts w:ascii="宋体" w:hAnsi="宋体"/>
                <w:szCs w:val="21"/>
              </w:rPr>
            </w:pPr>
          </w:p>
        </w:tc>
        <w:tc>
          <w:tcPr>
            <w:tcW w:w="1899" w:type="dxa"/>
            <w:vMerge w:val="continue"/>
            <w:vAlign w:val="center"/>
          </w:tcPr>
          <w:p w14:paraId="3A553D26">
            <w:pPr>
              <w:spacing w:line="400" w:lineRule="exact"/>
              <w:jc w:val="center"/>
              <w:rPr>
                <w:rFonts w:ascii="宋体" w:hAnsi="宋体"/>
                <w:szCs w:val="21"/>
              </w:rPr>
            </w:pPr>
          </w:p>
        </w:tc>
        <w:tc>
          <w:tcPr>
            <w:tcW w:w="6333" w:type="dxa"/>
            <w:vAlign w:val="center"/>
          </w:tcPr>
          <w:p w14:paraId="52017FC5">
            <w:pPr>
              <w:spacing w:line="400" w:lineRule="exact"/>
              <w:ind w:firstLine="420" w:firstLineChars="200"/>
              <w:rPr>
                <w:rFonts w:ascii="宋体" w:hAnsi="宋体"/>
                <w:szCs w:val="21"/>
              </w:rPr>
            </w:pPr>
            <w:r>
              <w:rPr>
                <w:rFonts w:hint="eastAsia" w:ascii="宋体" w:hAnsi="宋体"/>
                <w:szCs w:val="21"/>
              </w:rPr>
              <w:t>A-18暂列金额、暂估价、安全文明施工费等暂定金额必须按照招标文件给定的金额填报，否则由评标委员会作否决投标处理。</w:t>
            </w:r>
          </w:p>
        </w:tc>
      </w:tr>
      <w:tr w14:paraId="2989412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054F1DC">
            <w:pPr>
              <w:spacing w:line="400" w:lineRule="exact"/>
              <w:jc w:val="center"/>
              <w:rPr>
                <w:rFonts w:ascii="宋体" w:hAnsi="宋体"/>
                <w:szCs w:val="21"/>
              </w:rPr>
            </w:pPr>
          </w:p>
        </w:tc>
        <w:tc>
          <w:tcPr>
            <w:tcW w:w="1899" w:type="dxa"/>
            <w:vMerge w:val="continue"/>
            <w:vAlign w:val="center"/>
          </w:tcPr>
          <w:p w14:paraId="7364C120">
            <w:pPr>
              <w:spacing w:line="400" w:lineRule="exact"/>
              <w:jc w:val="center"/>
              <w:rPr>
                <w:rFonts w:ascii="宋体" w:hAnsi="宋体"/>
                <w:szCs w:val="21"/>
              </w:rPr>
            </w:pPr>
          </w:p>
        </w:tc>
        <w:tc>
          <w:tcPr>
            <w:tcW w:w="6333" w:type="dxa"/>
            <w:vAlign w:val="center"/>
          </w:tcPr>
          <w:p w14:paraId="15FF3B05">
            <w:pPr>
              <w:spacing w:line="400" w:lineRule="exact"/>
              <w:ind w:firstLine="420" w:firstLineChars="200"/>
              <w:rPr>
                <w:rFonts w:ascii="宋体" w:hAnsi="宋体"/>
                <w:szCs w:val="21"/>
              </w:rPr>
            </w:pPr>
            <w:r>
              <w:rPr>
                <w:rFonts w:hint="eastAsia" w:ascii="宋体" w:hAnsi="宋体"/>
                <w:szCs w:val="21"/>
              </w:rPr>
              <w:t>A-19投标内容符合第二章“投标人须知”第1.3.1项规定，否则由评标委员会作否决投标处理。</w:t>
            </w:r>
          </w:p>
        </w:tc>
      </w:tr>
      <w:tr w14:paraId="6DBFE78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D8E00C3">
            <w:pPr>
              <w:spacing w:line="400" w:lineRule="exact"/>
              <w:jc w:val="center"/>
              <w:rPr>
                <w:rFonts w:ascii="宋体" w:hAnsi="宋体"/>
                <w:szCs w:val="21"/>
              </w:rPr>
            </w:pPr>
          </w:p>
        </w:tc>
        <w:tc>
          <w:tcPr>
            <w:tcW w:w="1899" w:type="dxa"/>
            <w:vMerge w:val="continue"/>
            <w:vAlign w:val="center"/>
          </w:tcPr>
          <w:p w14:paraId="430CF403">
            <w:pPr>
              <w:spacing w:line="400" w:lineRule="exact"/>
              <w:jc w:val="center"/>
              <w:rPr>
                <w:rFonts w:ascii="宋体" w:hAnsi="宋体"/>
                <w:szCs w:val="21"/>
              </w:rPr>
            </w:pPr>
          </w:p>
        </w:tc>
        <w:tc>
          <w:tcPr>
            <w:tcW w:w="6333" w:type="dxa"/>
            <w:vAlign w:val="center"/>
          </w:tcPr>
          <w:p w14:paraId="26378C69">
            <w:pPr>
              <w:spacing w:line="400" w:lineRule="exact"/>
              <w:ind w:firstLine="420" w:firstLineChars="200"/>
              <w:rPr>
                <w:rFonts w:ascii="宋体" w:hAnsi="宋体"/>
                <w:szCs w:val="21"/>
              </w:rPr>
            </w:pPr>
            <w:r>
              <w:rPr>
                <w:rFonts w:hint="eastAsia" w:ascii="宋体" w:hAnsi="宋体"/>
                <w:szCs w:val="21"/>
              </w:rPr>
              <w:t>A-20工期符合第二章“投标人须知”第1.3.2项规定，否则由评标委员会作否决投标处理。</w:t>
            </w:r>
          </w:p>
        </w:tc>
      </w:tr>
      <w:tr w14:paraId="6C5F19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EBF52C3">
            <w:pPr>
              <w:spacing w:line="400" w:lineRule="exact"/>
              <w:jc w:val="center"/>
              <w:rPr>
                <w:rFonts w:ascii="宋体" w:hAnsi="宋体"/>
                <w:szCs w:val="21"/>
              </w:rPr>
            </w:pPr>
          </w:p>
        </w:tc>
        <w:tc>
          <w:tcPr>
            <w:tcW w:w="1899" w:type="dxa"/>
            <w:vMerge w:val="continue"/>
            <w:vAlign w:val="center"/>
          </w:tcPr>
          <w:p w14:paraId="1B2FAE90">
            <w:pPr>
              <w:spacing w:line="400" w:lineRule="exact"/>
              <w:jc w:val="center"/>
              <w:rPr>
                <w:rFonts w:ascii="宋体" w:hAnsi="宋体"/>
                <w:szCs w:val="21"/>
              </w:rPr>
            </w:pPr>
          </w:p>
        </w:tc>
        <w:tc>
          <w:tcPr>
            <w:tcW w:w="6333" w:type="dxa"/>
            <w:vAlign w:val="center"/>
          </w:tcPr>
          <w:p w14:paraId="40EFDAC0">
            <w:pPr>
              <w:spacing w:line="400" w:lineRule="exact"/>
              <w:ind w:firstLine="420" w:firstLineChars="200"/>
              <w:rPr>
                <w:rFonts w:ascii="宋体" w:hAnsi="宋体"/>
                <w:szCs w:val="21"/>
              </w:rPr>
            </w:pPr>
            <w:r>
              <w:rPr>
                <w:rFonts w:hint="eastAsia" w:ascii="宋体" w:hAnsi="宋体"/>
                <w:szCs w:val="21"/>
              </w:rPr>
              <w:t>A-21工程质量符合第二章“投标人须知”第1.3.3项规定，否则由评标委员会作否决投标处理。</w:t>
            </w:r>
          </w:p>
        </w:tc>
      </w:tr>
      <w:tr w14:paraId="10355A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EA2C4C1">
            <w:pPr>
              <w:spacing w:line="400" w:lineRule="exact"/>
              <w:jc w:val="center"/>
              <w:rPr>
                <w:rFonts w:ascii="宋体" w:hAnsi="宋体"/>
                <w:szCs w:val="21"/>
              </w:rPr>
            </w:pPr>
          </w:p>
        </w:tc>
        <w:tc>
          <w:tcPr>
            <w:tcW w:w="1899" w:type="dxa"/>
            <w:vMerge w:val="continue"/>
            <w:vAlign w:val="center"/>
          </w:tcPr>
          <w:p w14:paraId="208F95E6">
            <w:pPr>
              <w:spacing w:line="400" w:lineRule="exact"/>
              <w:jc w:val="center"/>
              <w:rPr>
                <w:rFonts w:ascii="宋体" w:hAnsi="宋体"/>
                <w:szCs w:val="21"/>
              </w:rPr>
            </w:pPr>
          </w:p>
        </w:tc>
        <w:tc>
          <w:tcPr>
            <w:tcW w:w="6333" w:type="dxa"/>
            <w:vAlign w:val="center"/>
          </w:tcPr>
          <w:p w14:paraId="44EE5F01">
            <w:pPr>
              <w:spacing w:line="400" w:lineRule="exact"/>
              <w:ind w:firstLine="420" w:firstLineChars="200"/>
              <w:rPr>
                <w:rFonts w:ascii="宋体" w:hAnsi="宋体"/>
                <w:szCs w:val="21"/>
              </w:rPr>
            </w:pPr>
            <w:r>
              <w:rPr>
                <w:rFonts w:hint="eastAsia" w:ascii="宋体" w:hAnsi="宋体"/>
                <w:szCs w:val="21"/>
              </w:rPr>
              <w:t>A-22投标有效期符合第二章“投标人须知”第3.3.1项规定，否则由评标委员会作否决投标处理。</w:t>
            </w:r>
          </w:p>
        </w:tc>
      </w:tr>
      <w:tr w14:paraId="363130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E41B7B0">
            <w:pPr>
              <w:spacing w:line="400" w:lineRule="exact"/>
              <w:jc w:val="center"/>
              <w:rPr>
                <w:rFonts w:ascii="宋体" w:hAnsi="宋体"/>
                <w:szCs w:val="21"/>
              </w:rPr>
            </w:pPr>
          </w:p>
        </w:tc>
        <w:tc>
          <w:tcPr>
            <w:tcW w:w="1899" w:type="dxa"/>
            <w:vMerge w:val="continue"/>
            <w:vAlign w:val="center"/>
          </w:tcPr>
          <w:p w14:paraId="422F8C3B">
            <w:pPr>
              <w:spacing w:line="400" w:lineRule="exact"/>
              <w:jc w:val="center"/>
              <w:rPr>
                <w:rFonts w:ascii="宋体" w:hAnsi="宋体"/>
                <w:szCs w:val="21"/>
              </w:rPr>
            </w:pPr>
          </w:p>
        </w:tc>
        <w:tc>
          <w:tcPr>
            <w:tcW w:w="6333" w:type="dxa"/>
            <w:vAlign w:val="center"/>
          </w:tcPr>
          <w:p w14:paraId="6D76D491">
            <w:pPr>
              <w:spacing w:line="400" w:lineRule="exact"/>
              <w:ind w:firstLine="420" w:firstLineChars="200"/>
              <w:rPr>
                <w:rFonts w:ascii="宋体" w:hAnsi="宋体"/>
                <w:szCs w:val="21"/>
              </w:rPr>
            </w:pPr>
            <w:r>
              <w:rPr>
                <w:rFonts w:hint="eastAsia" w:ascii="宋体" w:hAnsi="宋体"/>
                <w:szCs w:val="21"/>
              </w:rPr>
              <w:t>A-23投标人</w:t>
            </w:r>
            <w:r>
              <w:rPr>
                <w:rFonts w:ascii="宋体" w:hAnsi="宋体"/>
                <w:szCs w:val="21"/>
              </w:rPr>
              <w:t>应按</w:t>
            </w:r>
            <w:r>
              <w:rPr>
                <w:rFonts w:hint="eastAsia" w:ascii="宋体" w:hAnsi="宋体"/>
                <w:szCs w:val="21"/>
              </w:rPr>
              <w:t>投标人</w:t>
            </w:r>
            <w:r>
              <w:rPr>
                <w:rFonts w:ascii="宋体" w:hAnsi="宋体"/>
                <w:szCs w:val="21"/>
              </w:rPr>
              <w:t>须知前附表</w:t>
            </w:r>
            <w:r>
              <w:rPr>
                <w:rFonts w:hint="eastAsia" w:ascii="宋体" w:hAnsi="宋体"/>
                <w:szCs w:val="21"/>
              </w:rPr>
              <w:t>第3.4款的</w:t>
            </w:r>
            <w:r>
              <w:rPr>
                <w:rFonts w:ascii="宋体" w:hAnsi="宋体"/>
                <w:szCs w:val="21"/>
              </w:rPr>
              <w:t>规定递交投标保证金，并作为其</w:t>
            </w:r>
            <w:r>
              <w:rPr>
                <w:rFonts w:hint="eastAsia" w:ascii="宋体" w:hAnsi="宋体"/>
                <w:szCs w:val="21"/>
              </w:rPr>
              <w:t>投标文件</w:t>
            </w:r>
            <w:r>
              <w:rPr>
                <w:rFonts w:ascii="宋体" w:hAnsi="宋体"/>
                <w:szCs w:val="21"/>
              </w:rPr>
              <w:t>的组成部分</w:t>
            </w:r>
            <w:r>
              <w:rPr>
                <w:rFonts w:hint="eastAsia" w:ascii="宋体" w:hAnsi="宋体"/>
                <w:szCs w:val="21"/>
              </w:rPr>
              <w:t>，</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14:paraId="5C3AD8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F6EC94C">
            <w:pPr>
              <w:spacing w:line="400" w:lineRule="exact"/>
              <w:jc w:val="center"/>
              <w:rPr>
                <w:rFonts w:ascii="宋体" w:hAnsi="宋体"/>
                <w:szCs w:val="21"/>
              </w:rPr>
            </w:pPr>
          </w:p>
        </w:tc>
        <w:tc>
          <w:tcPr>
            <w:tcW w:w="1899" w:type="dxa"/>
            <w:vMerge w:val="continue"/>
            <w:vAlign w:val="center"/>
          </w:tcPr>
          <w:p w14:paraId="2F49EBAA">
            <w:pPr>
              <w:spacing w:line="400" w:lineRule="exact"/>
              <w:jc w:val="center"/>
              <w:rPr>
                <w:rFonts w:ascii="宋体" w:hAnsi="宋体"/>
                <w:szCs w:val="21"/>
              </w:rPr>
            </w:pPr>
          </w:p>
        </w:tc>
        <w:tc>
          <w:tcPr>
            <w:tcW w:w="6333" w:type="dxa"/>
            <w:vAlign w:val="center"/>
          </w:tcPr>
          <w:p w14:paraId="06E4C0CA">
            <w:pPr>
              <w:spacing w:line="400" w:lineRule="exact"/>
              <w:ind w:firstLine="420" w:firstLineChars="200"/>
              <w:rPr>
                <w:rFonts w:ascii="宋体" w:hAnsi="宋体"/>
                <w:szCs w:val="21"/>
              </w:rPr>
            </w:pPr>
            <w:r>
              <w:rPr>
                <w:rFonts w:hint="eastAsia" w:ascii="宋体" w:hAnsi="宋体"/>
                <w:szCs w:val="21"/>
              </w:rPr>
              <w:t>A-24符合第四章“合同条款及格式”规定，投标文件不应附有比选人不能接受的条件，否则由评标委员会作否决投标处理。（由投标人承诺，承诺书格式详见第七章投标文件格式。）</w:t>
            </w:r>
          </w:p>
        </w:tc>
      </w:tr>
      <w:tr w14:paraId="69FD4F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26AC420">
            <w:pPr>
              <w:spacing w:line="400" w:lineRule="exact"/>
              <w:jc w:val="center"/>
              <w:rPr>
                <w:rFonts w:ascii="宋体" w:hAnsi="宋体"/>
                <w:szCs w:val="21"/>
              </w:rPr>
            </w:pPr>
          </w:p>
        </w:tc>
        <w:tc>
          <w:tcPr>
            <w:tcW w:w="1899" w:type="dxa"/>
            <w:vMerge w:val="continue"/>
            <w:vAlign w:val="center"/>
          </w:tcPr>
          <w:p w14:paraId="1F2084F2">
            <w:pPr>
              <w:spacing w:line="400" w:lineRule="exact"/>
              <w:jc w:val="center"/>
              <w:rPr>
                <w:rFonts w:ascii="宋体" w:hAnsi="宋体"/>
                <w:szCs w:val="21"/>
              </w:rPr>
            </w:pPr>
          </w:p>
        </w:tc>
        <w:tc>
          <w:tcPr>
            <w:tcW w:w="6333" w:type="dxa"/>
            <w:vAlign w:val="center"/>
          </w:tcPr>
          <w:p w14:paraId="1D5B8D64">
            <w:pPr>
              <w:spacing w:line="400" w:lineRule="exact"/>
              <w:ind w:firstLine="420" w:firstLineChars="200"/>
              <w:rPr>
                <w:rFonts w:ascii="宋体" w:hAnsi="宋体"/>
                <w:szCs w:val="21"/>
              </w:rPr>
            </w:pPr>
            <w:r>
              <w:rPr>
                <w:rFonts w:hint="eastAsia" w:ascii="宋体" w:hAnsi="宋体"/>
                <w:szCs w:val="21"/>
              </w:rPr>
              <w:t>A-25符合第七章“技术标准和要求”规定。否则由评标委员会作否决投标处理（如有）。（由投标人承诺，承诺书格式详见第七章投标文件格式。）</w:t>
            </w:r>
          </w:p>
        </w:tc>
      </w:tr>
      <w:tr w14:paraId="2C17AE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B6B0A3B">
            <w:pPr>
              <w:spacing w:line="400" w:lineRule="exact"/>
              <w:jc w:val="center"/>
              <w:rPr>
                <w:rFonts w:ascii="宋体" w:hAnsi="宋体"/>
                <w:szCs w:val="21"/>
              </w:rPr>
            </w:pPr>
          </w:p>
        </w:tc>
        <w:tc>
          <w:tcPr>
            <w:tcW w:w="1899" w:type="dxa"/>
            <w:vMerge w:val="continue"/>
            <w:vAlign w:val="center"/>
          </w:tcPr>
          <w:p w14:paraId="7D1C662A">
            <w:pPr>
              <w:spacing w:line="400" w:lineRule="exact"/>
              <w:jc w:val="center"/>
              <w:rPr>
                <w:rFonts w:ascii="宋体" w:hAnsi="宋体"/>
                <w:szCs w:val="21"/>
              </w:rPr>
            </w:pPr>
          </w:p>
        </w:tc>
        <w:tc>
          <w:tcPr>
            <w:tcW w:w="6333" w:type="dxa"/>
            <w:vAlign w:val="center"/>
          </w:tcPr>
          <w:p w14:paraId="6413540B">
            <w:pPr>
              <w:spacing w:line="400" w:lineRule="exact"/>
              <w:ind w:firstLine="420" w:firstLineChars="200"/>
              <w:rPr>
                <w:rFonts w:ascii="宋体" w:hAnsi="宋体"/>
                <w:szCs w:val="21"/>
              </w:rPr>
            </w:pPr>
            <w:r>
              <w:rPr>
                <w:rFonts w:hint="eastAsia" w:ascii="宋体" w:hAnsi="宋体"/>
                <w:szCs w:val="21"/>
              </w:rPr>
              <w:t>A-26投标人提供的关于已标价工程量清单的承诺符合招标文件的要求，</w:t>
            </w:r>
            <w:r>
              <w:rPr>
                <w:rFonts w:ascii="宋体" w:hAnsi="宋体"/>
                <w:szCs w:val="21"/>
              </w:rPr>
              <w:t>否则</w:t>
            </w:r>
            <w:r>
              <w:rPr>
                <w:rFonts w:hint="eastAsia" w:ascii="宋体" w:hAnsi="宋体"/>
                <w:szCs w:val="21"/>
              </w:rPr>
              <w:t>由评标委员会</w:t>
            </w:r>
            <w:r>
              <w:rPr>
                <w:rFonts w:ascii="宋体" w:hAnsi="宋体"/>
                <w:szCs w:val="21"/>
              </w:rPr>
              <w:t>作否决投标处理。</w:t>
            </w:r>
          </w:p>
        </w:tc>
      </w:tr>
      <w:tr w14:paraId="566017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FDFC95A">
            <w:pPr>
              <w:spacing w:line="400" w:lineRule="exact"/>
              <w:jc w:val="center"/>
              <w:rPr>
                <w:rFonts w:ascii="宋体" w:hAnsi="宋体"/>
                <w:szCs w:val="21"/>
              </w:rPr>
            </w:pPr>
          </w:p>
        </w:tc>
        <w:tc>
          <w:tcPr>
            <w:tcW w:w="1899" w:type="dxa"/>
            <w:vMerge w:val="continue"/>
            <w:vAlign w:val="center"/>
          </w:tcPr>
          <w:p w14:paraId="26C9DF36">
            <w:pPr>
              <w:spacing w:line="400" w:lineRule="exact"/>
              <w:jc w:val="center"/>
              <w:rPr>
                <w:rFonts w:ascii="宋体" w:hAnsi="宋体"/>
                <w:szCs w:val="21"/>
              </w:rPr>
            </w:pPr>
          </w:p>
        </w:tc>
        <w:tc>
          <w:tcPr>
            <w:tcW w:w="6333" w:type="dxa"/>
            <w:vAlign w:val="center"/>
          </w:tcPr>
          <w:p w14:paraId="32A3A7E8">
            <w:pPr>
              <w:spacing w:line="400" w:lineRule="exact"/>
              <w:ind w:firstLine="420" w:firstLineChars="200"/>
              <w:rPr>
                <w:rFonts w:ascii="宋体" w:hAnsi="宋体"/>
                <w:szCs w:val="21"/>
              </w:rPr>
            </w:pPr>
            <w:r>
              <w:rPr>
                <w:rFonts w:hint="eastAsia" w:ascii="宋体" w:hAnsi="宋体"/>
                <w:szCs w:val="21"/>
              </w:rPr>
              <w:t>A-27投标报价有算术错误的，按照第三章“评标办法”第3.1.3项规定执行，否则由评标委员会作否决投标处理</w:t>
            </w:r>
            <w:r>
              <w:rPr>
                <w:rFonts w:ascii="宋体" w:hAnsi="宋体"/>
                <w:szCs w:val="21"/>
              </w:rPr>
              <w:t>。</w:t>
            </w:r>
          </w:p>
        </w:tc>
      </w:tr>
      <w:tr w14:paraId="2C10BF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0CF1DEB">
            <w:pPr>
              <w:spacing w:line="400" w:lineRule="exact"/>
              <w:jc w:val="center"/>
              <w:rPr>
                <w:rFonts w:ascii="宋体" w:hAnsi="宋体"/>
                <w:szCs w:val="21"/>
              </w:rPr>
            </w:pPr>
          </w:p>
        </w:tc>
        <w:tc>
          <w:tcPr>
            <w:tcW w:w="1899" w:type="dxa"/>
            <w:vMerge w:val="continue"/>
            <w:vAlign w:val="center"/>
          </w:tcPr>
          <w:p w14:paraId="636AB314">
            <w:pPr>
              <w:spacing w:line="400" w:lineRule="exact"/>
              <w:jc w:val="center"/>
              <w:rPr>
                <w:rFonts w:ascii="宋体" w:hAnsi="宋体"/>
                <w:szCs w:val="21"/>
              </w:rPr>
            </w:pPr>
          </w:p>
        </w:tc>
        <w:tc>
          <w:tcPr>
            <w:tcW w:w="6333" w:type="dxa"/>
            <w:vAlign w:val="center"/>
          </w:tcPr>
          <w:p w14:paraId="283426BD">
            <w:pPr>
              <w:spacing w:line="400" w:lineRule="exact"/>
              <w:ind w:firstLine="420" w:firstLineChars="200"/>
              <w:rPr>
                <w:rFonts w:ascii="宋体" w:hAnsi="宋体"/>
                <w:szCs w:val="21"/>
              </w:rPr>
            </w:pPr>
            <w:r>
              <w:rPr>
                <w:rFonts w:hint="eastAsia" w:ascii="宋体" w:hAnsi="宋体"/>
                <w:szCs w:val="21"/>
              </w:rPr>
              <w:t>A-28投标人有以下情形之一的，其投标文件由评标委员会</w:t>
            </w:r>
            <w:r>
              <w:rPr>
                <w:rFonts w:ascii="宋体" w:hAnsi="宋体"/>
                <w:szCs w:val="21"/>
              </w:rPr>
              <w:t>作否决投标处理</w:t>
            </w:r>
            <w:r>
              <w:rPr>
                <w:rFonts w:hint="eastAsia" w:ascii="宋体" w:hAnsi="宋体"/>
                <w:szCs w:val="21"/>
              </w:rPr>
              <w:t>：</w:t>
            </w:r>
          </w:p>
          <w:p w14:paraId="329A1924">
            <w:pPr>
              <w:spacing w:line="400" w:lineRule="exact"/>
              <w:ind w:firstLine="420" w:firstLineChars="200"/>
              <w:rPr>
                <w:rFonts w:ascii="宋体" w:hAnsi="宋体"/>
                <w:szCs w:val="21"/>
              </w:rPr>
            </w:pPr>
            <w:r>
              <w:rPr>
                <w:rFonts w:hint="eastAsia" w:ascii="宋体" w:hAnsi="宋体"/>
                <w:szCs w:val="21"/>
              </w:rPr>
              <w:t>1.第二章“投标人须知”第1.4.3项规定的任何一种情形的；</w:t>
            </w:r>
          </w:p>
          <w:p w14:paraId="6386E964">
            <w:pPr>
              <w:spacing w:line="400" w:lineRule="exact"/>
              <w:ind w:firstLine="420" w:firstLineChars="200"/>
              <w:rPr>
                <w:rFonts w:ascii="宋体" w:hAnsi="宋体"/>
                <w:szCs w:val="21"/>
              </w:rPr>
            </w:pPr>
            <w:r>
              <w:rPr>
                <w:rFonts w:hint="eastAsia" w:ascii="宋体" w:hAnsi="宋体"/>
                <w:szCs w:val="21"/>
              </w:rPr>
              <w:t>2.本次投标有串通投标、弄虚作假等违反招投标相关法律、法规的行为的；</w:t>
            </w:r>
          </w:p>
          <w:p w14:paraId="5A97C1BC">
            <w:pPr>
              <w:spacing w:line="400" w:lineRule="exact"/>
              <w:ind w:firstLine="420" w:firstLineChars="200"/>
              <w:rPr>
                <w:rFonts w:ascii="宋体" w:hAnsi="宋体"/>
                <w:szCs w:val="21"/>
              </w:rPr>
            </w:pPr>
            <w:r>
              <w:rPr>
                <w:rFonts w:hint="eastAsia" w:ascii="宋体" w:hAnsi="宋体"/>
                <w:szCs w:val="21"/>
              </w:rPr>
              <w:t>3.拒绝按评标委员会要求澄清、说明或补正的。</w:t>
            </w:r>
          </w:p>
        </w:tc>
      </w:tr>
      <w:tr w14:paraId="515407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1DE4D378">
            <w:pPr>
              <w:spacing w:line="400" w:lineRule="exact"/>
              <w:jc w:val="center"/>
              <w:rPr>
                <w:rFonts w:ascii="宋体" w:hAnsi="宋体"/>
                <w:szCs w:val="21"/>
              </w:rPr>
            </w:pPr>
            <w:r>
              <w:rPr>
                <w:rFonts w:ascii="宋体" w:hAnsi="宋体"/>
                <w:szCs w:val="21"/>
              </w:rPr>
              <w:t>其他</w:t>
            </w:r>
          </w:p>
        </w:tc>
        <w:tc>
          <w:tcPr>
            <w:tcW w:w="1899" w:type="dxa"/>
            <w:vAlign w:val="center"/>
          </w:tcPr>
          <w:p w14:paraId="426AFF69">
            <w:pPr>
              <w:spacing w:line="400" w:lineRule="exact"/>
              <w:jc w:val="center"/>
              <w:rPr>
                <w:rFonts w:ascii="宋体" w:hAnsi="宋体"/>
                <w:szCs w:val="21"/>
              </w:rPr>
            </w:pPr>
          </w:p>
        </w:tc>
        <w:tc>
          <w:tcPr>
            <w:tcW w:w="6333" w:type="dxa"/>
          </w:tcPr>
          <w:p w14:paraId="759AA144">
            <w:pPr>
              <w:spacing w:line="400" w:lineRule="exact"/>
              <w:ind w:firstLine="420" w:firstLineChars="200"/>
              <w:rPr>
                <w:rFonts w:ascii="宋体" w:hAnsi="宋体"/>
                <w:i/>
                <w:szCs w:val="21"/>
              </w:rPr>
            </w:pPr>
            <w:r>
              <w:rPr>
                <w:rFonts w:hint="eastAsia" w:ascii="宋体" w:hAnsi="宋体"/>
                <w:i/>
                <w:szCs w:val="21"/>
              </w:rPr>
              <w:t>[提示：比选人必须将所有否决投标条款集中罗列于此表，若无其他否决投标条款则在该条写无。]</w:t>
            </w:r>
          </w:p>
        </w:tc>
      </w:tr>
    </w:tbl>
    <w:p w14:paraId="40E716DF">
      <w:pPr>
        <w:autoSpaceDE w:val="0"/>
        <w:autoSpaceDN w:val="0"/>
        <w:adjustRightInd w:val="0"/>
        <w:snapToGrid w:val="0"/>
        <w:spacing w:line="360" w:lineRule="auto"/>
        <w:jc w:val="left"/>
        <w:rPr>
          <w:rFonts w:ascii="宋体" w:hAnsi="宋体"/>
          <w:b/>
          <w:kern w:val="0"/>
          <w:sz w:val="20"/>
          <w:szCs w:val="20"/>
        </w:rPr>
      </w:pPr>
    </w:p>
    <w:p w14:paraId="39C0C49A">
      <w:pPr>
        <w:autoSpaceDE w:val="0"/>
        <w:autoSpaceDN w:val="0"/>
        <w:adjustRightInd w:val="0"/>
        <w:snapToGrid w:val="0"/>
        <w:spacing w:before="340" w:after="330" w:line="360" w:lineRule="auto"/>
        <w:jc w:val="left"/>
        <w:rPr>
          <w:rFonts w:ascii="宋体" w:hAnsi="宋体"/>
          <w:kern w:val="0"/>
          <w:sz w:val="52"/>
          <w:szCs w:val="52"/>
        </w:rPr>
      </w:pPr>
      <w:r>
        <w:rPr>
          <w:rFonts w:ascii="宋体" w:hAnsi="宋体"/>
          <w:kern w:val="0"/>
        </w:rPr>
        <w:br w:type="page"/>
      </w:r>
    </w:p>
    <w:p w14:paraId="30974518">
      <w:pPr>
        <w:pStyle w:val="3"/>
        <w:spacing w:line="360" w:lineRule="auto"/>
        <w:jc w:val="center"/>
        <w:rPr>
          <w:rFonts w:ascii="宋体" w:hAnsi="宋体"/>
          <w:kern w:val="0"/>
        </w:rPr>
      </w:pPr>
      <w:bookmarkStart w:id="452" w:name="_Toc509218785"/>
      <w:bookmarkStart w:id="453" w:name="_Toc8427"/>
      <w:bookmarkStart w:id="454" w:name="_Toc216768217"/>
      <w:bookmarkStart w:id="455" w:name="_Toc430530509"/>
      <w:r>
        <w:rPr>
          <w:rFonts w:hint="eastAsia" w:ascii="宋体" w:hAnsi="宋体"/>
          <w:kern w:val="0"/>
        </w:rPr>
        <w:t>第四章  合同条款及格式</w:t>
      </w:r>
      <w:bookmarkEnd w:id="452"/>
      <w:bookmarkEnd w:id="453"/>
      <w:bookmarkEnd w:id="454"/>
      <w:bookmarkEnd w:id="455"/>
    </w:p>
    <w:p w14:paraId="62A52476">
      <w:pPr>
        <w:rPr>
          <w:rFonts w:ascii="宋体" w:hAnsi="宋体"/>
          <w:sz w:val="44"/>
          <w:szCs w:val="44"/>
        </w:rPr>
      </w:pPr>
      <w:r>
        <w:rPr>
          <w:rFonts w:ascii="宋体" w:hAnsi="宋体"/>
        </w:rPr>
        <w:br w:type="page"/>
      </w:r>
      <w:bookmarkStart w:id="456" w:name="_Toc296503025"/>
      <w:bookmarkStart w:id="457" w:name="_Toc351203480"/>
      <w:bookmarkStart w:id="458" w:name="_Toc296890982"/>
    </w:p>
    <w:p w14:paraId="49E092F4">
      <w:pPr>
        <w:spacing w:line="360" w:lineRule="auto"/>
        <w:jc w:val="center"/>
        <w:rPr>
          <w:rFonts w:ascii="宋体" w:hAnsi="宋体"/>
          <w:sz w:val="44"/>
          <w:szCs w:val="44"/>
        </w:rPr>
      </w:pPr>
      <w:bookmarkStart w:id="459" w:name="_Toc287620797"/>
      <w:bookmarkStart w:id="460" w:name="_Toc287607855"/>
      <w:bookmarkStart w:id="461" w:name="_Toc534185822"/>
      <w:bookmarkStart w:id="462" w:name="_Toc509218843"/>
      <w:bookmarkStart w:id="463" w:name="_Toc430530513"/>
      <w:bookmarkStart w:id="464" w:name="_Toc16194"/>
      <w:r>
        <w:rPr>
          <w:rFonts w:hint="eastAsia" w:ascii="宋体" w:hAnsi="宋体"/>
          <w:sz w:val="44"/>
          <w:szCs w:val="44"/>
        </w:rPr>
        <w:t>第一部分 合同协议书</w:t>
      </w:r>
    </w:p>
    <w:p w14:paraId="5F41E8F8">
      <w:pPr>
        <w:pStyle w:val="137"/>
        <w:snapToGrid w:val="0"/>
        <w:spacing w:before="0" w:line="360" w:lineRule="auto"/>
        <w:ind w:firstLine="562" w:firstLineChars="200"/>
        <w:rPr>
          <w:rFonts w:ascii="宋体" w:hAnsi="宋体"/>
          <w:color w:val="auto"/>
        </w:rPr>
      </w:pPr>
    </w:p>
    <w:p w14:paraId="4D945C1E">
      <w:pPr>
        <w:pStyle w:val="137"/>
        <w:snapToGrid w:val="0"/>
        <w:spacing w:before="0" w:line="360" w:lineRule="auto"/>
        <w:ind w:firstLine="480" w:firstLineChars="200"/>
        <w:rPr>
          <w:rFonts w:ascii="宋体" w:hAnsi="宋体"/>
          <w:b w:val="0"/>
          <w:i/>
          <w:color w:val="auto"/>
          <w:sz w:val="24"/>
          <w:szCs w:val="24"/>
        </w:rPr>
      </w:pPr>
      <w:bookmarkStart w:id="465" w:name="_Toc28182"/>
      <w:bookmarkStart w:id="466" w:name="_Toc9255"/>
      <w:r>
        <w:rPr>
          <w:rFonts w:ascii="宋体" w:hAnsi="宋体"/>
          <w:b w:val="0"/>
          <w:i/>
          <w:color w:val="auto"/>
          <w:sz w:val="24"/>
          <w:szCs w:val="24"/>
        </w:rPr>
        <w:t>[提示</w:t>
      </w:r>
      <w:r>
        <w:rPr>
          <w:rFonts w:hint="eastAsia" w:ascii="宋体" w:hAnsi="宋体"/>
          <w:b w:val="0"/>
          <w:i/>
          <w:color w:val="auto"/>
          <w:sz w:val="24"/>
          <w:szCs w:val="24"/>
        </w:rPr>
        <w:t>：</w:t>
      </w:r>
      <w:r>
        <w:rPr>
          <w:rFonts w:ascii="宋体" w:hAnsi="宋体"/>
          <w:b w:val="0"/>
          <w:i/>
          <w:color w:val="auto"/>
          <w:sz w:val="21"/>
          <w:szCs w:val="21"/>
        </w:rPr>
        <w:t>合同协议书为示范性内容，</w:t>
      </w:r>
      <w:r>
        <w:rPr>
          <w:rFonts w:hint="eastAsia" w:ascii="宋体" w:hAnsi="宋体"/>
          <w:b w:val="0"/>
          <w:i/>
          <w:color w:val="auto"/>
          <w:sz w:val="21"/>
          <w:szCs w:val="21"/>
        </w:rPr>
        <w:t>比选人</w:t>
      </w:r>
      <w:r>
        <w:rPr>
          <w:rFonts w:ascii="宋体" w:hAnsi="宋体"/>
          <w:b w:val="0"/>
          <w:i/>
          <w:color w:val="auto"/>
          <w:sz w:val="21"/>
          <w:szCs w:val="21"/>
        </w:rPr>
        <w:t>在编制招标文件时不必填写，供中标后签订合同时填写。</w:t>
      </w:r>
      <w:bookmarkEnd w:id="465"/>
      <w:bookmarkEnd w:id="466"/>
      <w:r>
        <w:rPr>
          <w:rFonts w:ascii="宋体" w:hAnsi="宋体"/>
          <w:b w:val="0"/>
          <w:i/>
          <w:color w:val="auto"/>
          <w:sz w:val="24"/>
          <w:szCs w:val="24"/>
        </w:rPr>
        <w:t>]</w:t>
      </w:r>
    </w:p>
    <w:p w14:paraId="7C08EAF9">
      <w:pPr>
        <w:rPr>
          <w:rFonts w:ascii="宋体" w:hAnsi="宋体"/>
          <w:b/>
        </w:rPr>
      </w:pPr>
      <w:r>
        <w:rPr>
          <w:rFonts w:ascii="宋体" w:hAnsi="宋体"/>
        </w:rPr>
        <w:br w:type="page"/>
      </w:r>
    </w:p>
    <w:p w14:paraId="79F9E1FA">
      <w:pPr>
        <w:pStyle w:val="5"/>
        <w:jc w:val="center"/>
        <w:rPr>
          <w:rFonts w:ascii="宋体" w:hAnsi="宋体"/>
          <w:b w:val="0"/>
          <w:sz w:val="44"/>
          <w:szCs w:val="44"/>
        </w:rPr>
      </w:pPr>
      <w:bookmarkStart w:id="467" w:name="_Toc12845"/>
      <w:bookmarkStart w:id="468" w:name="_Toc30076"/>
      <w:bookmarkStart w:id="469" w:name="_Toc509218786"/>
      <w:bookmarkStart w:id="470" w:name="_Toc216768218"/>
      <w:bookmarkStart w:id="471" w:name="_Toc534185765"/>
      <w:bookmarkStart w:id="472" w:name="_Toc351203494"/>
      <w:r>
        <w:rPr>
          <w:rFonts w:ascii="宋体" w:hAnsi="宋体"/>
          <w:sz w:val="44"/>
          <w:szCs w:val="44"/>
        </w:rPr>
        <w:t>第一部分 合同协议书</w:t>
      </w:r>
      <w:bookmarkEnd w:id="467"/>
      <w:bookmarkEnd w:id="468"/>
      <w:bookmarkEnd w:id="469"/>
      <w:bookmarkEnd w:id="470"/>
      <w:bookmarkEnd w:id="471"/>
    </w:p>
    <w:bookmarkEnd w:id="472"/>
    <w:p w14:paraId="3F31D902">
      <w:pPr>
        <w:snapToGrid w:val="0"/>
        <w:spacing w:line="600" w:lineRule="exact"/>
        <w:ind w:firstLine="480" w:firstLineChars="200"/>
        <w:rPr>
          <w:rFonts w:ascii="宋体" w:hAnsi="宋体"/>
          <w:sz w:val="24"/>
        </w:rPr>
      </w:pPr>
      <w:bookmarkStart w:id="473" w:name="_Toc351203632"/>
    </w:p>
    <w:p w14:paraId="3934A8D2">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重庆市正联实业发展有限公司           </w:t>
      </w:r>
    </w:p>
    <w:p w14:paraId="129157E5">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14:paraId="3DD05281">
      <w:pPr>
        <w:spacing w:line="360" w:lineRule="auto"/>
        <w:ind w:firstLine="420" w:firstLineChars="200"/>
        <w:rPr>
          <w:rFonts w:ascii="宋体" w:hAnsi="宋体"/>
          <w:b/>
          <w:szCs w:val="21"/>
          <w:u w:val="single"/>
        </w:rPr>
      </w:pPr>
      <w:r>
        <w:rPr>
          <w:rFonts w:hint="eastAsia" w:ascii="宋体" w:hAnsi="宋体"/>
          <w:szCs w:val="21"/>
        </w:rPr>
        <w:t>根据《中华人民共和国民法典》、《中华人民共和国建筑法》及有关法律、法规规定，遵循平等、自愿、公平和诚实信用的原则，双方就</w:t>
      </w:r>
      <w:r>
        <w:rPr>
          <w:rFonts w:hint="eastAsia" w:ascii="宋体" w:hAnsi="宋体"/>
          <w:szCs w:val="21"/>
          <w:u w:val="single"/>
        </w:rPr>
        <w:t xml:space="preserve">                           </w:t>
      </w:r>
      <w:r>
        <w:rPr>
          <w:rFonts w:hint="eastAsia" w:ascii="宋体" w:hAnsi="宋体"/>
          <w:szCs w:val="21"/>
        </w:rPr>
        <w:t>工程施工及有关事项协商一致，共同达成如下协议：</w:t>
      </w:r>
    </w:p>
    <w:p w14:paraId="072F3EEE">
      <w:pPr>
        <w:pStyle w:val="6"/>
        <w:keepNext/>
        <w:keepLines/>
        <w:spacing w:before="120" w:after="120" w:line="360" w:lineRule="auto"/>
        <w:ind w:firstLine="422" w:firstLineChars="200"/>
        <w:jc w:val="both"/>
        <w:rPr>
          <w:kern w:val="2"/>
          <w:sz w:val="21"/>
          <w:szCs w:val="21"/>
        </w:rPr>
      </w:pPr>
      <w:bookmarkStart w:id="474" w:name="_Toc351203481"/>
      <w:bookmarkStart w:id="475" w:name="_Toc532377166"/>
      <w:bookmarkStart w:id="476" w:name="_Toc532375573"/>
      <w:r>
        <w:rPr>
          <w:rFonts w:hint="eastAsia"/>
          <w:kern w:val="2"/>
          <w:sz w:val="21"/>
          <w:szCs w:val="21"/>
        </w:rPr>
        <w:t>一、工程概况</w:t>
      </w:r>
      <w:bookmarkEnd w:id="474"/>
      <w:bookmarkEnd w:id="475"/>
      <w:bookmarkEnd w:id="476"/>
    </w:p>
    <w:p w14:paraId="50EB0017">
      <w:pPr>
        <w:snapToGrid w:val="0"/>
        <w:spacing w:line="360" w:lineRule="auto"/>
        <w:ind w:firstLine="420" w:firstLineChars="200"/>
        <w:rPr>
          <w:rFonts w:ascii="宋体" w:hAnsi="宋体"/>
          <w:szCs w:val="21"/>
          <w:u w:val="single"/>
        </w:rPr>
      </w:pPr>
      <w:r>
        <w:rPr>
          <w:rFonts w:hint="eastAsia" w:ascii="宋体" w:hAnsi="宋体"/>
          <w:bCs/>
          <w:szCs w:val="21"/>
        </w:rPr>
        <w:t>1.工程名称</w:t>
      </w:r>
      <w:r>
        <w:rPr>
          <w:rFonts w:hint="eastAsia" w:ascii="宋体" w:hAnsi="宋体"/>
          <w:szCs w:val="21"/>
        </w:rPr>
        <w:t>：</w:t>
      </w:r>
      <w:r>
        <w:rPr>
          <w:rFonts w:hint="eastAsia" w:ascii="宋体" w:hAnsi="宋体"/>
          <w:szCs w:val="21"/>
          <w:u w:val="single"/>
        </w:rPr>
        <w:t xml:space="preserve">                                 </w:t>
      </w:r>
      <w:r>
        <w:rPr>
          <w:rFonts w:hint="eastAsia" w:ascii="宋体" w:hAnsi="宋体"/>
          <w:szCs w:val="21"/>
        </w:rPr>
        <w:t>。</w:t>
      </w:r>
    </w:p>
    <w:p w14:paraId="4D28198F">
      <w:pPr>
        <w:snapToGrid w:val="0"/>
        <w:spacing w:line="360" w:lineRule="auto"/>
        <w:ind w:firstLine="420" w:firstLineChars="200"/>
        <w:rPr>
          <w:rFonts w:ascii="宋体" w:hAnsi="宋体"/>
          <w:bCs/>
          <w:szCs w:val="21"/>
        </w:rPr>
      </w:pPr>
      <w:r>
        <w:rPr>
          <w:rFonts w:hint="eastAsia" w:ascii="宋体" w:hAnsi="宋体"/>
          <w:bCs/>
          <w:szCs w:val="21"/>
        </w:rPr>
        <w:t>2.工程地点：</w:t>
      </w:r>
      <w:r>
        <w:rPr>
          <w:rFonts w:hint="eastAsia" w:ascii="宋体" w:hAnsi="宋体"/>
          <w:szCs w:val="21"/>
          <w:u w:val="single"/>
        </w:rPr>
        <w:t xml:space="preserve">                                 </w:t>
      </w:r>
      <w:r>
        <w:rPr>
          <w:rFonts w:hint="eastAsia" w:ascii="宋体" w:hAnsi="宋体"/>
          <w:szCs w:val="21"/>
        </w:rPr>
        <w:t>。</w:t>
      </w:r>
    </w:p>
    <w:p w14:paraId="07471D55">
      <w:pPr>
        <w:snapToGrid w:val="0"/>
        <w:spacing w:line="360" w:lineRule="auto"/>
        <w:ind w:firstLine="420" w:firstLineChars="200"/>
        <w:rPr>
          <w:rFonts w:ascii="宋体" w:hAnsi="宋体"/>
          <w:bCs/>
          <w:szCs w:val="21"/>
        </w:rPr>
      </w:pPr>
      <w:r>
        <w:rPr>
          <w:rFonts w:hint="eastAsia" w:ascii="宋体" w:hAnsi="宋体"/>
          <w:bCs/>
          <w:szCs w:val="21"/>
        </w:rPr>
        <w:t>3.工程立项批准文号：</w:t>
      </w:r>
      <w:r>
        <w:rPr>
          <w:rFonts w:hint="eastAsia" w:ascii="宋体" w:hAnsi="宋体"/>
          <w:szCs w:val="21"/>
          <w:u w:val="single"/>
        </w:rPr>
        <w:t xml:space="preserve">                        </w:t>
      </w:r>
      <w:r>
        <w:rPr>
          <w:rFonts w:hint="eastAsia" w:ascii="宋体" w:hAnsi="宋体"/>
          <w:bCs/>
          <w:szCs w:val="21"/>
        </w:rPr>
        <w:t>。</w:t>
      </w:r>
    </w:p>
    <w:p w14:paraId="1F56C512">
      <w:pPr>
        <w:snapToGrid w:val="0"/>
        <w:spacing w:line="360" w:lineRule="auto"/>
        <w:ind w:firstLine="420" w:firstLineChars="200"/>
        <w:rPr>
          <w:rFonts w:ascii="宋体" w:hAnsi="宋体"/>
          <w:bCs/>
          <w:szCs w:val="21"/>
        </w:rPr>
      </w:pPr>
      <w:r>
        <w:rPr>
          <w:rFonts w:hint="eastAsia" w:ascii="宋体" w:hAnsi="宋体"/>
          <w:bCs/>
          <w:szCs w:val="21"/>
        </w:rPr>
        <w:t>4.资金来源：</w:t>
      </w:r>
      <w:r>
        <w:rPr>
          <w:rFonts w:hint="eastAsia" w:ascii="宋体" w:hAnsi="宋体"/>
          <w:szCs w:val="21"/>
          <w:u w:val="single"/>
        </w:rPr>
        <w:t xml:space="preserve">                                 </w:t>
      </w:r>
      <w:r>
        <w:rPr>
          <w:rFonts w:hint="eastAsia" w:ascii="宋体" w:hAnsi="宋体"/>
          <w:szCs w:val="21"/>
        </w:rPr>
        <w:t>。</w:t>
      </w:r>
    </w:p>
    <w:p w14:paraId="1D08A582">
      <w:pPr>
        <w:snapToGrid w:val="0"/>
        <w:spacing w:line="360" w:lineRule="auto"/>
        <w:ind w:firstLine="420" w:firstLineChars="200"/>
        <w:rPr>
          <w:rFonts w:ascii="宋体" w:hAnsi="宋体"/>
          <w:bCs/>
          <w:szCs w:val="21"/>
        </w:rPr>
      </w:pPr>
      <w:r>
        <w:rPr>
          <w:rFonts w:hint="eastAsia" w:ascii="宋体" w:hAnsi="宋体"/>
          <w:bCs/>
          <w:szCs w:val="21"/>
        </w:rPr>
        <w:t>5.工程内容：</w:t>
      </w:r>
      <w:r>
        <w:rPr>
          <w:rFonts w:hint="eastAsia" w:ascii="宋体" w:hAnsi="宋体"/>
          <w:szCs w:val="21"/>
          <w:u w:val="single"/>
        </w:rPr>
        <w:t xml:space="preserve">                                 </w:t>
      </w:r>
      <w:r>
        <w:rPr>
          <w:rFonts w:hint="eastAsia" w:ascii="宋体" w:hAnsi="宋体"/>
          <w:szCs w:val="21"/>
        </w:rPr>
        <w:t>。</w:t>
      </w:r>
    </w:p>
    <w:p w14:paraId="013DC746">
      <w:pPr>
        <w:snapToGrid w:val="0"/>
        <w:spacing w:line="360" w:lineRule="auto"/>
        <w:ind w:firstLine="420" w:firstLineChars="200"/>
        <w:jc w:val="left"/>
        <w:rPr>
          <w:rFonts w:ascii="宋体" w:hAnsi="宋体"/>
          <w:bCs/>
          <w:szCs w:val="21"/>
        </w:rPr>
      </w:pPr>
      <w:r>
        <w:rPr>
          <w:rFonts w:hint="eastAsia" w:ascii="宋体" w:hAnsi="宋体"/>
          <w:bCs/>
          <w:szCs w:val="21"/>
        </w:rPr>
        <w:t>6.工程承包范围：</w:t>
      </w:r>
      <w:r>
        <w:rPr>
          <w:rFonts w:hint="eastAsia" w:ascii="宋体" w:hAnsi="宋体"/>
          <w:szCs w:val="21"/>
          <w:u w:val="single"/>
        </w:rPr>
        <w:t xml:space="preserve">                     </w:t>
      </w:r>
      <w:r>
        <w:rPr>
          <w:rFonts w:hint="eastAsia" w:ascii="宋体" w:hAnsi="宋体"/>
          <w:szCs w:val="21"/>
        </w:rPr>
        <w:t>。</w:t>
      </w:r>
    </w:p>
    <w:p w14:paraId="53544C14">
      <w:pPr>
        <w:pStyle w:val="6"/>
        <w:keepNext/>
        <w:keepLines/>
        <w:spacing w:before="120" w:after="120" w:line="360" w:lineRule="auto"/>
        <w:ind w:firstLine="422" w:firstLineChars="200"/>
        <w:jc w:val="both"/>
        <w:rPr>
          <w:kern w:val="2"/>
          <w:sz w:val="21"/>
          <w:szCs w:val="21"/>
        </w:rPr>
      </w:pPr>
      <w:bookmarkStart w:id="477" w:name="_Toc532375574"/>
      <w:bookmarkStart w:id="478" w:name="_Toc351203482"/>
      <w:bookmarkStart w:id="479" w:name="_Toc532377167"/>
      <w:r>
        <w:rPr>
          <w:rFonts w:hint="eastAsia"/>
          <w:kern w:val="2"/>
          <w:sz w:val="21"/>
          <w:szCs w:val="21"/>
        </w:rPr>
        <w:t>二、合同工期</w:t>
      </w:r>
      <w:bookmarkEnd w:id="477"/>
      <w:bookmarkEnd w:id="478"/>
      <w:bookmarkEnd w:id="479"/>
    </w:p>
    <w:p w14:paraId="65D71D69">
      <w:pPr>
        <w:spacing w:line="360" w:lineRule="auto"/>
        <w:ind w:firstLine="420" w:firstLineChars="200"/>
        <w:rPr>
          <w:rFonts w:ascii="宋体" w:hAnsi="宋体"/>
          <w:bCs/>
          <w:szCs w:val="21"/>
        </w:rPr>
      </w:pPr>
      <w:r>
        <w:rPr>
          <w:rFonts w:hint="eastAsia" w:ascii="宋体" w:hAnsi="宋体"/>
          <w:bCs/>
          <w:szCs w:val="21"/>
        </w:rPr>
        <w:t>承包人投标函中承诺的工期：</w:t>
      </w:r>
      <w:r>
        <w:rPr>
          <w:rFonts w:hint="eastAsia" w:ascii="宋体" w:hAnsi="宋体"/>
          <w:bCs/>
          <w:szCs w:val="21"/>
          <w:u w:val="single"/>
        </w:rPr>
        <w:t>日历天</w:t>
      </w:r>
      <w:r>
        <w:rPr>
          <w:rFonts w:hint="eastAsia" w:ascii="宋体" w:hAnsi="宋体"/>
          <w:bCs/>
          <w:szCs w:val="21"/>
        </w:rPr>
        <w:t>。</w:t>
      </w:r>
    </w:p>
    <w:p w14:paraId="14443711">
      <w:pPr>
        <w:spacing w:line="360" w:lineRule="auto"/>
        <w:ind w:firstLine="420" w:firstLineChars="200"/>
        <w:rPr>
          <w:rFonts w:ascii="宋体" w:hAnsi="宋体"/>
          <w:bCs/>
          <w:szCs w:val="21"/>
        </w:rPr>
      </w:pPr>
      <w:r>
        <w:rPr>
          <w:rFonts w:hint="eastAsia" w:ascii="宋体" w:hAnsi="宋体"/>
          <w:bCs/>
          <w:szCs w:val="21"/>
        </w:rPr>
        <w:t>计划开工日期：</w:t>
      </w:r>
      <w:r>
        <w:rPr>
          <w:rFonts w:hint="eastAsia" w:ascii="宋体" w:hAnsi="宋体"/>
          <w:bCs/>
          <w:szCs w:val="21"/>
          <w:u w:val="single"/>
        </w:rPr>
        <w:t></w:t>
      </w:r>
      <w:r>
        <w:rPr>
          <w:rFonts w:hint="eastAsia" w:ascii="宋体" w:hAnsi="宋体"/>
          <w:bCs/>
          <w:szCs w:val="21"/>
        </w:rPr>
        <w:t>年</w:t>
      </w:r>
      <w:r>
        <w:rPr>
          <w:rFonts w:hint="eastAsia" w:ascii="宋体" w:hAnsi="宋体"/>
          <w:bCs/>
          <w:szCs w:val="21"/>
          <w:u w:val="single"/>
        </w:rPr>
        <w:t></w:t>
      </w:r>
      <w:r>
        <w:rPr>
          <w:rFonts w:hint="eastAsia" w:ascii="宋体" w:hAnsi="宋体"/>
          <w:bCs/>
          <w:szCs w:val="21"/>
        </w:rPr>
        <w:t>月</w:t>
      </w:r>
      <w:r>
        <w:rPr>
          <w:rFonts w:hint="eastAsia" w:ascii="宋体" w:hAnsi="宋体"/>
          <w:bCs/>
          <w:szCs w:val="21"/>
          <w:u w:val="single"/>
        </w:rPr>
        <w:t></w:t>
      </w:r>
      <w:r>
        <w:rPr>
          <w:rFonts w:hint="eastAsia" w:ascii="宋体" w:hAnsi="宋体"/>
          <w:bCs/>
          <w:szCs w:val="21"/>
        </w:rPr>
        <w:t>日，实际开工日期以监理工程师签发的工程开工通知明确的开工日期为准。</w:t>
      </w:r>
    </w:p>
    <w:p w14:paraId="2A91948C">
      <w:pPr>
        <w:spacing w:line="360" w:lineRule="auto"/>
        <w:ind w:firstLine="420" w:firstLineChars="200"/>
        <w:rPr>
          <w:rFonts w:ascii="宋体" w:hAnsi="宋体"/>
          <w:bCs/>
          <w:szCs w:val="21"/>
        </w:rPr>
      </w:pPr>
      <w:r>
        <w:rPr>
          <w:rFonts w:hint="eastAsia" w:ascii="宋体" w:hAnsi="宋体"/>
          <w:bCs/>
          <w:szCs w:val="21"/>
        </w:rPr>
        <w:t>计划竣工日期：</w:t>
      </w:r>
      <w:r>
        <w:rPr>
          <w:rFonts w:hint="eastAsia" w:ascii="宋体" w:hAnsi="宋体"/>
          <w:bCs/>
          <w:szCs w:val="21"/>
          <w:u w:val="single"/>
        </w:rPr>
        <w:t></w:t>
      </w:r>
      <w:r>
        <w:rPr>
          <w:rFonts w:hint="eastAsia" w:ascii="宋体" w:hAnsi="宋体"/>
          <w:bCs/>
          <w:szCs w:val="21"/>
        </w:rPr>
        <w:t>年</w:t>
      </w:r>
      <w:r>
        <w:rPr>
          <w:rFonts w:hint="eastAsia" w:ascii="宋体" w:hAnsi="宋体"/>
          <w:bCs/>
          <w:szCs w:val="21"/>
          <w:u w:val="single"/>
        </w:rPr>
        <w:t></w:t>
      </w:r>
      <w:r>
        <w:rPr>
          <w:rFonts w:hint="eastAsia" w:ascii="宋体" w:hAnsi="宋体"/>
          <w:bCs/>
          <w:szCs w:val="21"/>
        </w:rPr>
        <w:t>月</w:t>
      </w:r>
      <w:r>
        <w:rPr>
          <w:rFonts w:hint="eastAsia" w:ascii="宋体" w:hAnsi="宋体"/>
          <w:bCs/>
          <w:szCs w:val="21"/>
          <w:u w:val="single"/>
        </w:rPr>
        <w:t></w:t>
      </w:r>
      <w:r>
        <w:rPr>
          <w:rFonts w:hint="eastAsia" w:ascii="宋体" w:hAnsi="宋体"/>
          <w:bCs/>
          <w:szCs w:val="21"/>
        </w:rPr>
        <w:t>日，实际竣工日期以工程竣工验收合格之日为准。</w:t>
      </w:r>
    </w:p>
    <w:p w14:paraId="089D38BB">
      <w:pPr>
        <w:spacing w:line="360" w:lineRule="auto"/>
        <w:ind w:firstLine="420" w:firstLineChars="200"/>
        <w:rPr>
          <w:rFonts w:ascii="宋体" w:hAnsi="宋体"/>
          <w:szCs w:val="21"/>
        </w:rPr>
      </w:pPr>
      <w:r>
        <w:rPr>
          <w:rFonts w:hint="eastAsia" w:ascii="宋体" w:hAnsi="宋体"/>
          <w:bCs/>
          <w:szCs w:val="21"/>
        </w:rPr>
        <w:t>工期总日历天数</w:t>
      </w:r>
      <w:r>
        <w:rPr>
          <w:rFonts w:hint="eastAsia" w:ascii="宋体" w:hAnsi="宋体"/>
          <w:bCs/>
          <w:szCs w:val="21"/>
          <w:u w:val="single"/>
        </w:rPr>
        <w:t></w:t>
      </w:r>
      <w:r>
        <w:rPr>
          <w:rFonts w:hint="eastAsia" w:ascii="宋体" w:hAnsi="宋体"/>
          <w:bCs/>
          <w:szCs w:val="21"/>
        </w:rPr>
        <w:t>天。工期总日历天数与根据前述计划开竣工日期计算的工期天数不一</w:t>
      </w:r>
      <w:r>
        <w:rPr>
          <w:rFonts w:hint="eastAsia" w:ascii="宋体" w:hAnsi="宋体"/>
          <w:szCs w:val="21"/>
        </w:rPr>
        <w:t>致的，以工期总日历天数为准。</w:t>
      </w:r>
    </w:p>
    <w:p w14:paraId="624856F5">
      <w:pPr>
        <w:pStyle w:val="6"/>
        <w:keepNext/>
        <w:keepLines/>
        <w:spacing w:before="120" w:after="120" w:line="360" w:lineRule="auto"/>
        <w:ind w:firstLine="422" w:firstLineChars="200"/>
        <w:jc w:val="both"/>
        <w:rPr>
          <w:kern w:val="2"/>
          <w:sz w:val="21"/>
          <w:szCs w:val="21"/>
        </w:rPr>
      </w:pPr>
      <w:bookmarkStart w:id="480" w:name="_Toc351203483"/>
      <w:bookmarkStart w:id="481" w:name="_Toc532375575"/>
      <w:bookmarkStart w:id="482" w:name="_Toc532377168"/>
      <w:r>
        <w:rPr>
          <w:rFonts w:hint="eastAsia"/>
          <w:kern w:val="2"/>
          <w:sz w:val="21"/>
          <w:szCs w:val="21"/>
        </w:rPr>
        <w:t>三、质量标准</w:t>
      </w:r>
      <w:bookmarkEnd w:id="480"/>
      <w:bookmarkEnd w:id="481"/>
      <w:bookmarkEnd w:id="482"/>
    </w:p>
    <w:p w14:paraId="6AAB1FD4">
      <w:pPr>
        <w:snapToGrid w:val="0"/>
        <w:spacing w:line="360" w:lineRule="auto"/>
        <w:ind w:firstLine="420" w:firstLineChars="200"/>
        <w:rPr>
          <w:rFonts w:ascii="宋体" w:hAnsi="宋体"/>
          <w:szCs w:val="21"/>
        </w:rPr>
      </w:pPr>
      <w:r>
        <w:rPr>
          <w:rFonts w:hint="eastAsia" w:ascii="宋体" w:hAnsi="宋体"/>
          <w:szCs w:val="21"/>
        </w:rPr>
        <w:t>工程质量符合强制性质量标准，</w:t>
      </w:r>
      <w:r>
        <w:rPr>
          <w:rFonts w:hint="eastAsia" w:ascii="宋体" w:hAnsi="宋体"/>
          <w:szCs w:val="21"/>
          <w:u w:val="single"/>
        </w:rPr>
        <w:t>符合国家和重庆市现行有关施工质量验收规范和标准要求，并达到合格</w:t>
      </w:r>
      <w:r>
        <w:rPr>
          <w:rFonts w:hint="eastAsia" w:ascii="宋体" w:hAnsi="宋体"/>
          <w:szCs w:val="21"/>
        </w:rPr>
        <w:t>标准。</w:t>
      </w:r>
    </w:p>
    <w:p w14:paraId="510B7B52">
      <w:pPr>
        <w:pStyle w:val="6"/>
        <w:keepNext/>
        <w:keepLines/>
        <w:spacing w:before="120" w:after="120" w:line="360" w:lineRule="auto"/>
        <w:ind w:firstLine="422" w:firstLineChars="200"/>
        <w:jc w:val="both"/>
        <w:rPr>
          <w:kern w:val="2"/>
          <w:sz w:val="21"/>
          <w:szCs w:val="21"/>
        </w:rPr>
      </w:pPr>
      <w:bookmarkStart w:id="483" w:name="_Toc532377169"/>
      <w:bookmarkStart w:id="484" w:name="_Toc351203484"/>
      <w:bookmarkStart w:id="485" w:name="_Toc532375576"/>
      <w:r>
        <w:rPr>
          <w:rFonts w:hint="eastAsia"/>
          <w:kern w:val="2"/>
          <w:sz w:val="21"/>
          <w:szCs w:val="21"/>
        </w:rPr>
        <w:t>四、签约合同价与合同价格形式</w:t>
      </w:r>
      <w:bookmarkEnd w:id="483"/>
      <w:bookmarkEnd w:id="484"/>
      <w:bookmarkEnd w:id="485"/>
      <w:r>
        <w:rPr>
          <w:rFonts w:hint="eastAsia"/>
          <w:kern w:val="2"/>
          <w:sz w:val="21"/>
          <w:szCs w:val="21"/>
        </w:rPr>
        <w:tab/>
      </w:r>
    </w:p>
    <w:p w14:paraId="480904C0">
      <w:pPr>
        <w:spacing w:line="360" w:lineRule="auto"/>
        <w:ind w:firstLine="420" w:firstLineChars="200"/>
        <w:rPr>
          <w:rFonts w:ascii="宋体" w:hAnsi="宋体"/>
          <w:szCs w:val="21"/>
        </w:rPr>
      </w:pPr>
      <w:r>
        <w:rPr>
          <w:rFonts w:hint="eastAsia" w:ascii="宋体" w:hAnsi="宋体"/>
          <w:szCs w:val="21"/>
        </w:rPr>
        <w:t>1.承包人投标函中承诺的中标价为：</w:t>
      </w:r>
    </w:p>
    <w:p w14:paraId="08976C53">
      <w:pPr>
        <w:spacing w:line="360" w:lineRule="auto"/>
        <w:ind w:firstLine="420" w:firstLineChars="200"/>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元）；</w:t>
      </w:r>
    </w:p>
    <w:p w14:paraId="570D53D9">
      <w:pPr>
        <w:spacing w:line="360" w:lineRule="auto"/>
        <w:ind w:firstLine="420" w:firstLineChars="200"/>
        <w:rPr>
          <w:rFonts w:ascii="宋体" w:hAnsi="宋体"/>
          <w:szCs w:val="21"/>
        </w:rPr>
      </w:pPr>
      <w:r>
        <w:rPr>
          <w:rFonts w:hint="eastAsia" w:ascii="宋体" w:hAnsi="宋体"/>
          <w:szCs w:val="21"/>
        </w:rPr>
        <w:t>2.签约合同价为：</w:t>
      </w:r>
    </w:p>
    <w:p w14:paraId="784FBA6D">
      <w:pPr>
        <w:snapToGrid w:val="0"/>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14:paraId="73849491">
      <w:pPr>
        <w:snapToGrid w:val="0"/>
        <w:spacing w:line="360" w:lineRule="auto"/>
        <w:ind w:firstLine="420" w:firstLineChars="200"/>
        <w:rPr>
          <w:rFonts w:ascii="宋体" w:hAnsi="宋体"/>
          <w:szCs w:val="21"/>
        </w:rPr>
      </w:pPr>
      <w:r>
        <w:rPr>
          <w:rFonts w:hint="eastAsia" w:ascii="宋体" w:hAnsi="宋体"/>
          <w:szCs w:val="21"/>
        </w:rPr>
        <w:t>其中：</w:t>
      </w:r>
    </w:p>
    <w:p w14:paraId="46CD3542">
      <w:pPr>
        <w:spacing w:line="360" w:lineRule="auto"/>
        <w:ind w:firstLine="420" w:firstLineChars="200"/>
        <w:rPr>
          <w:rFonts w:ascii="宋体" w:hAnsi="宋体"/>
          <w:szCs w:val="21"/>
        </w:rPr>
      </w:pPr>
      <w:r>
        <w:rPr>
          <w:rFonts w:hint="eastAsia" w:ascii="宋体" w:hAnsi="宋体"/>
          <w:szCs w:val="21"/>
        </w:rPr>
        <w:t>（1）安全文明施工费：</w:t>
      </w:r>
    </w:p>
    <w:p w14:paraId="51823EBD">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14:paraId="4A916B41">
      <w:pPr>
        <w:spacing w:line="360" w:lineRule="auto"/>
        <w:ind w:firstLine="420" w:firstLineChars="200"/>
        <w:rPr>
          <w:rFonts w:ascii="宋体" w:hAnsi="宋体"/>
          <w:szCs w:val="21"/>
        </w:rPr>
      </w:pPr>
      <w:r>
        <w:rPr>
          <w:rFonts w:hint="eastAsia" w:ascii="宋体" w:hAnsi="宋体"/>
          <w:szCs w:val="21"/>
        </w:rPr>
        <w:t>（2）材料和工程设备暂估价金额：</w:t>
      </w:r>
    </w:p>
    <w:p w14:paraId="243DF736">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14:paraId="32ED8A93">
      <w:pPr>
        <w:spacing w:line="360" w:lineRule="auto"/>
        <w:ind w:firstLine="420" w:firstLineChars="200"/>
        <w:rPr>
          <w:rFonts w:ascii="宋体" w:hAnsi="宋体"/>
          <w:szCs w:val="21"/>
        </w:rPr>
      </w:pPr>
      <w:r>
        <w:rPr>
          <w:rFonts w:hint="eastAsia" w:ascii="宋体" w:hAnsi="宋体"/>
          <w:szCs w:val="21"/>
        </w:rPr>
        <w:t>（3）专业工程暂估价金额：</w:t>
      </w:r>
    </w:p>
    <w:p w14:paraId="4984F0F4">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14:paraId="24076782">
      <w:pPr>
        <w:spacing w:line="360" w:lineRule="auto"/>
        <w:ind w:firstLine="420" w:firstLineChars="200"/>
        <w:rPr>
          <w:rFonts w:ascii="宋体" w:hAnsi="宋体"/>
          <w:szCs w:val="21"/>
        </w:rPr>
      </w:pPr>
      <w:r>
        <w:rPr>
          <w:rFonts w:hint="eastAsia" w:ascii="宋体" w:hAnsi="宋体"/>
          <w:szCs w:val="21"/>
        </w:rPr>
        <w:t>（4）暂列金额：</w:t>
      </w:r>
    </w:p>
    <w:p w14:paraId="2863E9E0">
      <w:pPr>
        <w:spacing w:line="360" w:lineRule="auto"/>
        <w:ind w:firstLine="420" w:firstLineChars="200"/>
        <w:rPr>
          <w:rFonts w:ascii="宋体" w:hAnsi="宋体"/>
          <w:szCs w:val="21"/>
        </w:rPr>
      </w:pPr>
      <w:r>
        <w:rPr>
          <w:rFonts w:hint="eastAsia" w:ascii="宋体" w:hAnsi="宋体"/>
          <w:szCs w:val="21"/>
        </w:rPr>
        <w:t>人民币（大写）</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szCs w:val="21"/>
        </w:rPr>
        <w:t>元）</w:t>
      </w:r>
      <w:r>
        <w:rPr>
          <w:rFonts w:hint="eastAsia" w:ascii="宋体" w:hAnsi="宋体"/>
          <w:szCs w:val="21"/>
        </w:rPr>
        <w:t>。</w:t>
      </w:r>
    </w:p>
    <w:p w14:paraId="51CE307A">
      <w:pPr>
        <w:spacing w:line="360" w:lineRule="auto"/>
        <w:ind w:firstLine="420" w:firstLineChars="200"/>
        <w:rPr>
          <w:rFonts w:ascii="宋体" w:hAnsi="宋体"/>
          <w:szCs w:val="21"/>
        </w:rPr>
      </w:pPr>
      <w:r>
        <w:rPr>
          <w:rFonts w:hint="eastAsia" w:ascii="宋体" w:hAnsi="宋体"/>
          <w:szCs w:val="21"/>
        </w:rPr>
        <w:t>（5）人工费（工资款）</w:t>
      </w:r>
    </w:p>
    <w:p w14:paraId="40233285">
      <w:pPr>
        <w:spacing w:line="360" w:lineRule="auto"/>
        <w:ind w:firstLine="420" w:firstLineChars="200"/>
        <w:rPr>
          <w:rFonts w:ascii="宋体" w:hAnsi="宋体"/>
          <w:szCs w:val="21"/>
        </w:rPr>
      </w:pPr>
      <w:r>
        <w:rPr>
          <w:rFonts w:hint="eastAsia" w:ascii="宋体" w:hAnsi="宋体"/>
          <w:szCs w:val="21"/>
        </w:rPr>
        <w:t>该项目实行人工费（工资款）与其他工程款分账管理，发包人将应付工程款中的人工费（工资款），以不低于已完成合同价款的</w:t>
      </w:r>
      <w:r>
        <w:rPr>
          <w:rFonts w:hint="eastAsia" w:ascii="宋体" w:hAnsi="宋体"/>
          <w:szCs w:val="21"/>
          <w:u w:val="single"/>
        </w:rPr>
        <w:t xml:space="preserve"> 25% </w:t>
      </w:r>
      <w:r>
        <w:rPr>
          <w:rFonts w:hint="eastAsia" w:ascii="宋体" w:hAnsi="宋体"/>
          <w:szCs w:val="21"/>
        </w:rPr>
        <w:t>，农民工工资单独支付至承包人设立的农民工工资专用账户。</w:t>
      </w:r>
    </w:p>
    <w:p w14:paraId="54DC4281">
      <w:pPr>
        <w:spacing w:line="360" w:lineRule="auto"/>
        <w:ind w:firstLine="420" w:firstLineChars="200"/>
        <w:rPr>
          <w:rFonts w:ascii="宋体" w:hAnsi="宋体"/>
          <w:szCs w:val="21"/>
        </w:rPr>
      </w:pPr>
      <w:r>
        <w:rPr>
          <w:rFonts w:hint="eastAsia" w:ascii="宋体" w:hAnsi="宋体"/>
          <w:szCs w:val="21"/>
        </w:rPr>
        <w:t>3.合同价格形式：</w:t>
      </w:r>
      <w:r>
        <w:rPr>
          <w:rFonts w:ascii="宋体" w:hAnsi="宋体"/>
          <w:szCs w:val="21"/>
          <w:u w:val="single"/>
        </w:rPr>
        <w:t xml:space="preserve">              </w:t>
      </w:r>
      <w:r>
        <w:rPr>
          <w:rFonts w:hint="eastAsia" w:ascii="宋体" w:hAnsi="宋体"/>
          <w:szCs w:val="21"/>
        </w:rPr>
        <w:t>。</w:t>
      </w:r>
    </w:p>
    <w:p w14:paraId="7B15CC55">
      <w:pPr>
        <w:pStyle w:val="6"/>
        <w:keepNext/>
        <w:keepLines/>
        <w:spacing w:before="120" w:after="120" w:line="360" w:lineRule="auto"/>
        <w:ind w:firstLine="422" w:firstLineChars="200"/>
        <w:jc w:val="both"/>
        <w:rPr>
          <w:kern w:val="2"/>
          <w:sz w:val="21"/>
          <w:szCs w:val="21"/>
        </w:rPr>
      </w:pPr>
      <w:bookmarkStart w:id="486" w:name="_Toc351203485"/>
      <w:bookmarkStart w:id="487" w:name="_Toc532375577"/>
      <w:bookmarkStart w:id="488" w:name="_Toc532377170"/>
      <w:r>
        <w:rPr>
          <w:rFonts w:hint="eastAsia"/>
          <w:kern w:val="2"/>
          <w:sz w:val="21"/>
          <w:szCs w:val="21"/>
        </w:rPr>
        <w:t>五、</w:t>
      </w:r>
      <w:bookmarkEnd w:id="486"/>
      <w:r>
        <w:rPr>
          <w:rFonts w:hint="eastAsia"/>
          <w:kern w:val="2"/>
          <w:sz w:val="21"/>
          <w:szCs w:val="21"/>
        </w:rPr>
        <w:t>项目经理及技术负责人</w:t>
      </w:r>
      <w:bookmarkEnd w:id="487"/>
      <w:bookmarkEnd w:id="488"/>
    </w:p>
    <w:p w14:paraId="017AD483">
      <w:pPr>
        <w:spacing w:line="360" w:lineRule="auto"/>
        <w:ind w:firstLine="420" w:firstLineChars="200"/>
        <w:rPr>
          <w:rFonts w:ascii="宋体" w:hAnsi="宋体"/>
          <w:szCs w:val="21"/>
        </w:rPr>
      </w:pPr>
      <w:r>
        <w:rPr>
          <w:rFonts w:hint="eastAsia" w:ascii="宋体" w:hAnsi="宋体"/>
          <w:szCs w:val="21"/>
        </w:rPr>
        <w:t>承包人投标文件中承诺的项目经理：</w:t>
      </w:r>
    </w:p>
    <w:p w14:paraId="217C308F">
      <w:pPr>
        <w:spacing w:line="360" w:lineRule="auto"/>
        <w:ind w:firstLine="420" w:firstLineChars="200"/>
        <w:rPr>
          <w:rFonts w:ascii="宋体" w:hAnsi="宋体"/>
          <w:szCs w:val="21"/>
        </w:rPr>
      </w:pPr>
      <w:r>
        <w:rPr>
          <w:rFonts w:hint="eastAsia" w:ascii="宋体" w:hAnsi="宋体"/>
          <w:szCs w:val="21"/>
        </w:rPr>
        <w:t>姓名：</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14:paraId="1A998112">
      <w:pPr>
        <w:spacing w:line="360" w:lineRule="auto"/>
        <w:ind w:firstLine="420" w:firstLineChars="200"/>
        <w:rPr>
          <w:rFonts w:ascii="宋体" w:hAnsi="宋体"/>
          <w:szCs w:val="21"/>
        </w:rPr>
      </w:pPr>
      <w:r>
        <w:rPr>
          <w:rFonts w:hint="eastAsia" w:ascii="宋体" w:hAnsi="宋体"/>
          <w:szCs w:val="21"/>
        </w:rPr>
        <w:t>身份证号码：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14:paraId="0A0688F6">
      <w:pPr>
        <w:spacing w:line="360" w:lineRule="auto"/>
        <w:ind w:firstLine="420" w:firstLineChars="200"/>
        <w:rPr>
          <w:rFonts w:ascii="宋体" w:hAnsi="宋体"/>
          <w:szCs w:val="21"/>
        </w:rPr>
      </w:pPr>
      <w:r>
        <w:rPr>
          <w:rFonts w:hint="eastAsia" w:ascii="宋体" w:hAnsi="宋体"/>
          <w:szCs w:val="21"/>
        </w:rPr>
        <w:t>建造师</w:t>
      </w:r>
      <w:r>
        <w:rPr>
          <w:rFonts w:ascii="宋体" w:hAnsi="宋体"/>
          <w:szCs w:val="21"/>
        </w:rPr>
        <w:t>注册证书号</w:t>
      </w:r>
      <w:r>
        <w:rPr>
          <w:rFonts w:hint="eastAsia"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14:paraId="08B19172">
      <w:pPr>
        <w:spacing w:line="360" w:lineRule="auto"/>
        <w:ind w:firstLine="420" w:firstLineChars="200"/>
        <w:rPr>
          <w:rFonts w:ascii="宋体" w:hAnsi="宋体"/>
          <w:szCs w:val="21"/>
        </w:rPr>
      </w:pPr>
      <w:r>
        <w:rPr>
          <w:rFonts w:hint="eastAsia" w:ascii="宋体" w:hAnsi="宋体"/>
          <w:szCs w:val="21"/>
        </w:rPr>
        <w:t>承包人投标文件中承诺的技术负责人：</w:t>
      </w:r>
    </w:p>
    <w:p w14:paraId="4175CEE6">
      <w:pPr>
        <w:spacing w:line="360" w:lineRule="auto"/>
        <w:ind w:firstLine="420" w:firstLineChars="200"/>
        <w:rPr>
          <w:rFonts w:ascii="宋体" w:hAnsi="宋体"/>
          <w:szCs w:val="21"/>
        </w:rPr>
      </w:pPr>
      <w:r>
        <w:rPr>
          <w:rFonts w:hint="eastAsia" w:ascii="宋体" w:hAnsi="宋体"/>
          <w:szCs w:val="21"/>
        </w:rPr>
        <w:t>姓名：</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14:paraId="27075555">
      <w:pPr>
        <w:spacing w:line="360" w:lineRule="auto"/>
        <w:ind w:firstLine="420" w:firstLineChars="200"/>
        <w:rPr>
          <w:rFonts w:ascii="宋体" w:hAnsi="宋体"/>
          <w:szCs w:val="21"/>
        </w:rPr>
      </w:pPr>
      <w:r>
        <w:rPr>
          <w:rFonts w:hint="eastAsia" w:ascii="宋体" w:hAnsi="宋体"/>
          <w:szCs w:val="21"/>
        </w:rPr>
        <w:t>身份证号码：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w:t>
      </w:r>
    </w:p>
    <w:p w14:paraId="2A61D80C">
      <w:pPr>
        <w:pStyle w:val="2"/>
        <w:spacing w:line="360" w:lineRule="auto"/>
        <w:rPr>
          <w:rFonts w:ascii="宋体" w:hAnsi="宋体"/>
          <w:szCs w:val="21"/>
        </w:rPr>
      </w:pPr>
      <w:r>
        <w:rPr>
          <w:rFonts w:hint="eastAsia" w:ascii="宋体" w:hAnsi="宋体"/>
          <w:szCs w:val="21"/>
        </w:rPr>
        <w:t xml:space="preserve">    证书名称</w:t>
      </w:r>
      <w:r>
        <w:rPr>
          <w:rFonts w:ascii="宋体" w:hAnsi="宋体"/>
          <w:szCs w:val="21"/>
        </w:rPr>
        <w:t>及号码：</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14:paraId="4FC7C006">
      <w:pPr>
        <w:pStyle w:val="6"/>
        <w:keepNext/>
        <w:keepLines/>
        <w:spacing w:before="120" w:after="120" w:line="360" w:lineRule="auto"/>
        <w:ind w:firstLine="422" w:firstLineChars="200"/>
        <w:jc w:val="both"/>
        <w:rPr>
          <w:kern w:val="2"/>
          <w:sz w:val="21"/>
          <w:szCs w:val="21"/>
        </w:rPr>
      </w:pPr>
      <w:bookmarkStart w:id="489" w:name="_Toc351203486"/>
      <w:bookmarkStart w:id="490" w:name="_Toc532377171"/>
      <w:bookmarkStart w:id="491" w:name="_Toc532375578"/>
      <w:r>
        <w:rPr>
          <w:rFonts w:hint="eastAsia"/>
          <w:kern w:val="2"/>
          <w:sz w:val="21"/>
          <w:szCs w:val="21"/>
        </w:rPr>
        <w:t>六、合同文件构成</w:t>
      </w:r>
      <w:bookmarkEnd w:id="489"/>
      <w:bookmarkEnd w:id="490"/>
      <w:bookmarkEnd w:id="491"/>
    </w:p>
    <w:p w14:paraId="17CFE948">
      <w:pPr>
        <w:spacing w:line="360" w:lineRule="auto"/>
        <w:ind w:firstLine="420" w:firstLineChars="200"/>
        <w:rPr>
          <w:rFonts w:ascii="宋体" w:hAnsi="宋体"/>
          <w:bCs/>
          <w:szCs w:val="21"/>
        </w:rPr>
      </w:pPr>
      <w:r>
        <w:rPr>
          <w:rFonts w:hint="eastAsia" w:ascii="宋体" w:hAnsi="宋体"/>
          <w:bCs/>
          <w:szCs w:val="21"/>
        </w:rPr>
        <w:t>合同由以下文件构成：</w:t>
      </w:r>
    </w:p>
    <w:p w14:paraId="685A5EFE">
      <w:pPr>
        <w:spacing w:line="360" w:lineRule="auto"/>
        <w:ind w:firstLine="420" w:firstLineChars="200"/>
        <w:rPr>
          <w:rFonts w:ascii="宋体" w:hAnsi="宋体"/>
          <w:szCs w:val="21"/>
        </w:rPr>
      </w:pPr>
      <w:r>
        <w:rPr>
          <w:rFonts w:hint="eastAsia" w:ascii="宋体" w:hAnsi="宋体"/>
          <w:szCs w:val="21"/>
        </w:rPr>
        <w:t>（1）合同协议书；</w:t>
      </w:r>
    </w:p>
    <w:p w14:paraId="6B45774D">
      <w:pPr>
        <w:spacing w:line="360" w:lineRule="auto"/>
        <w:ind w:firstLine="420" w:firstLineChars="200"/>
        <w:rPr>
          <w:rFonts w:ascii="宋体" w:hAnsi="宋体"/>
          <w:szCs w:val="21"/>
        </w:rPr>
      </w:pPr>
      <w:r>
        <w:rPr>
          <w:rFonts w:hint="eastAsia" w:ascii="宋体" w:hAnsi="宋体"/>
          <w:szCs w:val="21"/>
        </w:rPr>
        <w:t>（2）中标通知书；</w:t>
      </w:r>
    </w:p>
    <w:p w14:paraId="47B8E395">
      <w:pPr>
        <w:spacing w:line="360" w:lineRule="auto"/>
        <w:ind w:firstLine="420" w:firstLineChars="200"/>
        <w:rPr>
          <w:rFonts w:ascii="宋体" w:hAnsi="宋体"/>
          <w:szCs w:val="21"/>
        </w:rPr>
      </w:pPr>
      <w:r>
        <w:rPr>
          <w:rFonts w:hint="eastAsia" w:ascii="宋体" w:hAnsi="宋体"/>
          <w:szCs w:val="21"/>
        </w:rPr>
        <w:t>（3）投标函及投标函附录；</w:t>
      </w:r>
    </w:p>
    <w:p w14:paraId="144921C2">
      <w:pPr>
        <w:spacing w:line="360" w:lineRule="auto"/>
        <w:ind w:firstLine="420" w:firstLineChars="200"/>
        <w:rPr>
          <w:rFonts w:ascii="宋体" w:hAnsi="宋体"/>
          <w:szCs w:val="21"/>
        </w:rPr>
      </w:pPr>
      <w:r>
        <w:rPr>
          <w:rFonts w:hint="eastAsia" w:ascii="宋体" w:hAnsi="宋体"/>
          <w:szCs w:val="21"/>
        </w:rPr>
        <w:t>（4）专用合同条款及其附件；</w:t>
      </w:r>
    </w:p>
    <w:p w14:paraId="3570F8BF">
      <w:pPr>
        <w:spacing w:line="360" w:lineRule="auto"/>
        <w:ind w:firstLine="420" w:firstLineChars="200"/>
        <w:rPr>
          <w:rFonts w:ascii="宋体" w:hAnsi="宋体"/>
          <w:szCs w:val="21"/>
        </w:rPr>
      </w:pPr>
      <w:r>
        <w:rPr>
          <w:rFonts w:hint="eastAsia" w:ascii="宋体" w:hAnsi="宋体"/>
          <w:szCs w:val="21"/>
        </w:rPr>
        <w:t>（5）通用合同条款；</w:t>
      </w:r>
    </w:p>
    <w:p w14:paraId="3BE8C6E3">
      <w:pPr>
        <w:spacing w:line="360" w:lineRule="auto"/>
        <w:ind w:firstLine="420" w:firstLineChars="200"/>
        <w:rPr>
          <w:rFonts w:ascii="宋体" w:hAnsi="宋体"/>
          <w:szCs w:val="21"/>
        </w:rPr>
      </w:pPr>
      <w:r>
        <w:rPr>
          <w:rFonts w:hint="eastAsia" w:ascii="宋体" w:hAnsi="宋体"/>
          <w:szCs w:val="21"/>
        </w:rPr>
        <w:t>（6）投标文件（投标函及投标函附录除外）；</w:t>
      </w:r>
    </w:p>
    <w:p w14:paraId="2B168ED7">
      <w:pPr>
        <w:spacing w:line="360" w:lineRule="auto"/>
        <w:ind w:firstLine="420" w:firstLineChars="200"/>
        <w:rPr>
          <w:rFonts w:ascii="宋体" w:hAnsi="宋体"/>
          <w:szCs w:val="21"/>
        </w:rPr>
      </w:pPr>
      <w:r>
        <w:rPr>
          <w:rFonts w:hint="eastAsia" w:ascii="宋体" w:hAnsi="宋体"/>
          <w:szCs w:val="21"/>
        </w:rPr>
        <w:t>（7）招标文件及修改文件；</w:t>
      </w:r>
    </w:p>
    <w:p w14:paraId="739300B4">
      <w:pPr>
        <w:spacing w:line="360" w:lineRule="auto"/>
        <w:ind w:firstLine="420" w:firstLineChars="200"/>
        <w:rPr>
          <w:rFonts w:ascii="宋体" w:hAnsi="宋体"/>
          <w:szCs w:val="21"/>
        </w:rPr>
      </w:pPr>
      <w:r>
        <w:rPr>
          <w:rFonts w:hint="eastAsia" w:ascii="宋体" w:hAnsi="宋体"/>
          <w:szCs w:val="21"/>
        </w:rPr>
        <w:t>（8）技术标准和要求；</w:t>
      </w:r>
    </w:p>
    <w:p w14:paraId="531D3B1F">
      <w:pPr>
        <w:spacing w:line="360" w:lineRule="auto"/>
        <w:ind w:firstLine="420" w:firstLineChars="200"/>
        <w:rPr>
          <w:rFonts w:ascii="宋体" w:hAnsi="宋体"/>
          <w:szCs w:val="21"/>
        </w:rPr>
      </w:pPr>
      <w:r>
        <w:rPr>
          <w:rFonts w:hint="eastAsia" w:ascii="宋体" w:hAnsi="宋体"/>
          <w:szCs w:val="21"/>
        </w:rPr>
        <w:t>（9）图纸；</w:t>
      </w:r>
    </w:p>
    <w:p w14:paraId="2A061E77">
      <w:pPr>
        <w:spacing w:line="360" w:lineRule="auto"/>
        <w:ind w:firstLine="420" w:firstLineChars="200"/>
        <w:rPr>
          <w:rFonts w:ascii="宋体" w:hAnsi="宋体"/>
          <w:szCs w:val="21"/>
        </w:rPr>
      </w:pPr>
      <w:r>
        <w:rPr>
          <w:rFonts w:hint="eastAsia" w:ascii="宋体" w:hAnsi="宋体"/>
          <w:szCs w:val="21"/>
        </w:rPr>
        <w:t>（10）其他合同文件。</w:t>
      </w:r>
    </w:p>
    <w:p w14:paraId="6FB9C06E">
      <w:pPr>
        <w:spacing w:line="360" w:lineRule="auto"/>
        <w:ind w:firstLine="420" w:firstLineChars="200"/>
        <w:rPr>
          <w:rFonts w:ascii="宋体" w:hAnsi="宋体"/>
          <w:szCs w:val="21"/>
        </w:rPr>
      </w:pPr>
      <w:r>
        <w:rPr>
          <w:rFonts w:hint="eastAsia" w:ascii="宋体" w:hAnsi="宋体"/>
          <w:szCs w:val="21"/>
        </w:rPr>
        <w:t>在合同订立、履行过程中形成的与合同有关的书面形式的文件均构成合同文件组成部分。</w:t>
      </w:r>
    </w:p>
    <w:p w14:paraId="05D33E2C">
      <w:pPr>
        <w:spacing w:line="360" w:lineRule="auto"/>
        <w:ind w:firstLine="420" w:firstLineChars="200"/>
        <w:rPr>
          <w:rFonts w:ascii="宋体" w:hAnsi="宋体"/>
          <w:szCs w:val="21"/>
        </w:rPr>
      </w:pPr>
      <w:r>
        <w:rPr>
          <w:rFonts w:hint="eastAsia" w:ascii="宋体" w:hAnsi="宋体"/>
          <w:szCs w:val="21"/>
        </w:rPr>
        <w:t>上述各项合同文件包括合同当事人就该项合同文件所作出的补充和修改，属于同一类内容的文件，应以最新签署的为准。专用合同条款及其附件须经合同当事人签名并盖章。</w:t>
      </w:r>
    </w:p>
    <w:p w14:paraId="72776441">
      <w:pPr>
        <w:pStyle w:val="6"/>
        <w:keepNext/>
        <w:keepLines/>
        <w:spacing w:before="120" w:after="120" w:line="360" w:lineRule="auto"/>
        <w:ind w:firstLine="422" w:firstLineChars="200"/>
        <w:jc w:val="both"/>
        <w:rPr>
          <w:kern w:val="2"/>
          <w:sz w:val="21"/>
          <w:szCs w:val="21"/>
        </w:rPr>
      </w:pPr>
      <w:bookmarkStart w:id="492" w:name="_Toc532377172"/>
      <w:bookmarkStart w:id="493" w:name="_Toc532375579"/>
      <w:bookmarkStart w:id="494" w:name="_Toc351203487"/>
      <w:r>
        <w:rPr>
          <w:rFonts w:hint="eastAsia"/>
          <w:kern w:val="2"/>
          <w:sz w:val="21"/>
          <w:szCs w:val="21"/>
        </w:rPr>
        <w:t>七、承诺</w:t>
      </w:r>
      <w:bookmarkEnd w:id="492"/>
      <w:bookmarkEnd w:id="493"/>
      <w:bookmarkEnd w:id="494"/>
    </w:p>
    <w:p w14:paraId="3502F640">
      <w:pPr>
        <w:spacing w:line="360" w:lineRule="auto"/>
        <w:ind w:firstLine="420" w:firstLineChars="200"/>
        <w:rPr>
          <w:rFonts w:ascii="宋体" w:hAnsi="宋体"/>
          <w:bCs/>
          <w:szCs w:val="21"/>
        </w:rPr>
      </w:pPr>
      <w:r>
        <w:rPr>
          <w:rFonts w:hint="eastAsia" w:ascii="宋体" w:hAnsi="宋体"/>
          <w:bCs/>
          <w:szCs w:val="21"/>
        </w:rPr>
        <w:t>1.发包人承诺按照法律规定履行项目审批手续、筹集工程建设资金并按照合同约定的期限和方式支付合同价款。</w:t>
      </w:r>
    </w:p>
    <w:p w14:paraId="0BDB767B">
      <w:pPr>
        <w:spacing w:line="360" w:lineRule="auto"/>
        <w:ind w:firstLine="420" w:firstLineChars="200"/>
        <w:rPr>
          <w:rFonts w:ascii="宋体" w:hAnsi="宋体"/>
          <w:bCs/>
          <w:szCs w:val="21"/>
        </w:rPr>
      </w:pPr>
      <w:r>
        <w:rPr>
          <w:rFonts w:hint="eastAsia" w:ascii="宋体" w:hAnsi="宋体"/>
          <w:bCs/>
          <w:szCs w:val="21"/>
        </w:rPr>
        <w:t>2.</w:t>
      </w:r>
      <w:r>
        <w:rPr>
          <w:rFonts w:hint="eastAsia" w:ascii="宋体" w:hAnsi="宋体"/>
          <w:szCs w:val="21"/>
        </w:rPr>
        <w:t>承包人承诺按照法律规定及合同约定组织完成工程施工，确保工程质量和安全，不进行转包及违法分包，并在缺陷责任期及保修期内承担相应的工程维修责任</w:t>
      </w:r>
      <w:r>
        <w:rPr>
          <w:rFonts w:hint="eastAsia" w:ascii="宋体" w:hAnsi="宋体"/>
          <w:bCs/>
          <w:szCs w:val="21"/>
        </w:rPr>
        <w:t>。</w:t>
      </w:r>
    </w:p>
    <w:p w14:paraId="576101E4">
      <w:pPr>
        <w:spacing w:line="360" w:lineRule="auto"/>
        <w:ind w:firstLine="420" w:firstLineChars="200"/>
        <w:rPr>
          <w:rFonts w:ascii="宋体" w:hAnsi="宋体"/>
          <w:bCs/>
          <w:szCs w:val="21"/>
        </w:rPr>
      </w:pPr>
      <w:r>
        <w:rPr>
          <w:rFonts w:hint="eastAsia" w:ascii="宋体" w:hAnsi="宋体"/>
          <w:bCs/>
          <w:szCs w:val="21"/>
        </w:rPr>
        <w:t>3.发包人和承包人通过招投标形式签订合同的，双方理解并承诺不再就同一工程另行签订与合同实质性内容相背离的协议。</w:t>
      </w:r>
    </w:p>
    <w:p w14:paraId="387F8D33">
      <w:pPr>
        <w:pStyle w:val="6"/>
        <w:keepNext/>
        <w:keepLines/>
        <w:spacing w:before="120" w:after="120" w:line="360" w:lineRule="auto"/>
        <w:ind w:firstLine="422" w:firstLineChars="200"/>
        <w:jc w:val="both"/>
        <w:rPr>
          <w:kern w:val="2"/>
          <w:sz w:val="21"/>
          <w:szCs w:val="21"/>
        </w:rPr>
      </w:pPr>
      <w:bookmarkStart w:id="495" w:name="_Toc351203488"/>
      <w:bookmarkStart w:id="496" w:name="_Toc532375580"/>
      <w:bookmarkStart w:id="497" w:name="_Toc532377173"/>
      <w:r>
        <w:rPr>
          <w:rFonts w:hint="eastAsia"/>
          <w:kern w:val="2"/>
          <w:sz w:val="21"/>
          <w:szCs w:val="21"/>
        </w:rPr>
        <w:t>八、词语含义</w:t>
      </w:r>
      <w:bookmarkEnd w:id="495"/>
      <w:bookmarkEnd w:id="496"/>
      <w:bookmarkEnd w:id="497"/>
    </w:p>
    <w:p w14:paraId="6DA91C43">
      <w:pPr>
        <w:spacing w:line="360" w:lineRule="auto"/>
        <w:ind w:firstLine="420" w:firstLineChars="200"/>
        <w:rPr>
          <w:rFonts w:ascii="宋体" w:hAnsi="宋体"/>
          <w:bCs/>
          <w:szCs w:val="21"/>
        </w:rPr>
      </w:pPr>
      <w:r>
        <w:rPr>
          <w:rFonts w:hint="eastAsia" w:ascii="宋体" w:hAnsi="宋体"/>
          <w:bCs/>
          <w:szCs w:val="21"/>
        </w:rPr>
        <w:t>本协议书中词语含义与专用合同条款及通用合同条款中赋予的含义相同。</w:t>
      </w:r>
    </w:p>
    <w:p w14:paraId="47389F5D">
      <w:pPr>
        <w:pStyle w:val="6"/>
        <w:keepNext/>
        <w:keepLines/>
        <w:spacing w:before="120" w:after="120" w:line="360" w:lineRule="auto"/>
        <w:ind w:firstLine="422" w:firstLineChars="200"/>
        <w:jc w:val="both"/>
        <w:rPr>
          <w:kern w:val="2"/>
          <w:sz w:val="21"/>
          <w:szCs w:val="21"/>
        </w:rPr>
      </w:pPr>
      <w:bookmarkStart w:id="498" w:name="_Toc532375581"/>
      <w:bookmarkStart w:id="499" w:name="_Toc532377174"/>
      <w:r>
        <w:rPr>
          <w:rFonts w:hint="eastAsia"/>
          <w:kern w:val="2"/>
          <w:sz w:val="21"/>
          <w:szCs w:val="21"/>
        </w:rPr>
        <w:t>九、签订时间</w:t>
      </w:r>
      <w:bookmarkEnd w:id="498"/>
      <w:bookmarkEnd w:id="499"/>
    </w:p>
    <w:p w14:paraId="18916B68">
      <w:pPr>
        <w:spacing w:line="360" w:lineRule="auto"/>
        <w:ind w:firstLine="420" w:firstLineChars="200"/>
        <w:rPr>
          <w:rFonts w:ascii="宋体" w:hAnsi="宋体"/>
          <w:szCs w:val="21"/>
        </w:rPr>
      </w:pPr>
      <w:r>
        <w:rPr>
          <w:rFonts w:hint="eastAsia" w:ascii="宋体" w:hAnsi="宋体"/>
          <w:bCs/>
          <w:szCs w:val="21"/>
        </w:rPr>
        <w:t>合同于</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日签订</w:t>
      </w:r>
    </w:p>
    <w:p w14:paraId="3C2E311A">
      <w:pPr>
        <w:pStyle w:val="6"/>
        <w:keepNext/>
        <w:keepLines/>
        <w:spacing w:before="120" w:after="120" w:line="360" w:lineRule="auto"/>
        <w:ind w:firstLine="422" w:firstLineChars="200"/>
        <w:jc w:val="both"/>
        <w:rPr>
          <w:kern w:val="2"/>
          <w:sz w:val="21"/>
          <w:szCs w:val="21"/>
        </w:rPr>
      </w:pPr>
      <w:bookmarkStart w:id="500" w:name="_Toc351203489"/>
      <w:bookmarkStart w:id="501" w:name="_Toc532377175"/>
      <w:bookmarkStart w:id="502" w:name="_Toc532375582"/>
      <w:r>
        <w:rPr>
          <w:rFonts w:hint="eastAsia"/>
          <w:kern w:val="2"/>
          <w:sz w:val="21"/>
          <w:szCs w:val="21"/>
        </w:rPr>
        <w:t>十、</w:t>
      </w:r>
      <w:bookmarkEnd w:id="500"/>
      <w:bookmarkStart w:id="503" w:name="_Toc351203490"/>
      <w:r>
        <w:rPr>
          <w:rFonts w:hint="eastAsia"/>
          <w:kern w:val="2"/>
          <w:sz w:val="21"/>
          <w:szCs w:val="21"/>
        </w:rPr>
        <w:t>签订地点</w:t>
      </w:r>
      <w:bookmarkEnd w:id="501"/>
      <w:bookmarkEnd w:id="502"/>
      <w:bookmarkEnd w:id="503"/>
    </w:p>
    <w:p w14:paraId="0B8FEC59">
      <w:pPr>
        <w:spacing w:line="360" w:lineRule="auto"/>
        <w:ind w:firstLine="420" w:firstLineChars="200"/>
        <w:rPr>
          <w:rFonts w:ascii="宋体" w:hAnsi="宋体"/>
          <w:bCs/>
          <w:szCs w:val="21"/>
        </w:rPr>
      </w:pPr>
      <w:r>
        <w:rPr>
          <w:rFonts w:hint="eastAsia" w:ascii="宋体" w:hAnsi="宋体"/>
          <w:bCs/>
          <w:szCs w:val="21"/>
        </w:rPr>
        <w:t>合同在</w:t>
      </w:r>
      <w:r>
        <w:rPr>
          <w:rFonts w:hint="eastAsia" w:ascii="宋体" w:hAnsi="宋体"/>
          <w:bCs/>
          <w:szCs w:val="21"/>
          <w:u w:val="single"/>
        </w:rPr>
        <w:t xml:space="preserve">        </w:t>
      </w:r>
      <w:r>
        <w:rPr>
          <w:rFonts w:hint="eastAsia" w:ascii="宋体" w:hAnsi="宋体"/>
          <w:bCs/>
          <w:szCs w:val="21"/>
        </w:rPr>
        <w:t>签订。</w:t>
      </w:r>
    </w:p>
    <w:p w14:paraId="0D5BD1EE">
      <w:pPr>
        <w:pStyle w:val="6"/>
        <w:keepNext/>
        <w:keepLines/>
        <w:spacing w:before="120" w:after="120" w:line="360" w:lineRule="auto"/>
        <w:ind w:firstLine="422" w:firstLineChars="200"/>
        <w:jc w:val="both"/>
        <w:rPr>
          <w:kern w:val="2"/>
          <w:sz w:val="21"/>
          <w:szCs w:val="21"/>
        </w:rPr>
      </w:pPr>
      <w:bookmarkStart w:id="504" w:name="_Toc532375583"/>
      <w:bookmarkStart w:id="505" w:name="_Toc351203491"/>
      <w:bookmarkStart w:id="506" w:name="_Toc532377176"/>
      <w:r>
        <w:rPr>
          <w:rFonts w:hint="eastAsia"/>
          <w:kern w:val="2"/>
          <w:sz w:val="21"/>
          <w:szCs w:val="21"/>
        </w:rPr>
        <w:t>十一、补充协议</w:t>
      </w:r>
      <w:bookmarkEnd w:id="504"/>
      <w:bookmarkEnd w:id="505"/>
      <w:bookmarkEnd w:id="506"/>
    </w:p>
    <w:p w14:paraId="185CD5FD">
      <w:pPr>
        <w:spacing w:line="360" w:lineRule="auto"/>
        <w:ind w:firstLine="420" w:firstLineChars="200"/>
        <w:rPr>
          <w:rFonts w:ascii="宋体" w:hAnsi="宋体"/>
          <w:b/>
          <w:bCs/>
          <w:szCs w:val="21"/>
        </w:rPr>
      </w:pPr>
      <w:r>
        <w:rPr>
          <w:rFonts w:hint="eastAsia" w:ascii="宋体" w:hAnsi="宋体"/>
          <w:bCs/>
          <w:szCs w:val="21"/>
        </w:rPr>
        <w:t>合同未尽事宜，合同当事人另行签订补充协议，补充协议是合同的组成部分。</w:t>
      </w:r>
    </w:p>
    <w:p w14:paraId="2DC94710">
      <w:pPr>
        <w:pStyle w:val="6"/>
        <w:keepNext/>
        <w:keepLines/>
        <w:spacing w:before="120" w:after="120" w:line="360" w:lineRule="auto"/>
        <w:ind w:firstLine="422" w:firstLineChars="200"/>
        <w:jc w:val="both"/>
        <w:rPr>
          <w:kern w:val="2"/>
          <w:sz w:val="21"/>
          <w:szCs w:val="21"/>
        </w:rPr>
      </w:pPr>
      <w:bookmarkStart w:id="507" w:name="_Toc532375584"/>
      <w:bookmarkStart w:id="508" w:name="_Toc351203492"/>
      <w:bookmarkStart w:id="509" w:name="_Toc532377177"/>
      <w:r>
        <w:rPr>
          <w:rFonts w:hint="eastAsia"/>
          <w:kern w:val="2"/>
          <w:sz w:val="21"/>
          <w:szCs w:val="21"/>
        </w:rPr>
        <w:t>十二、合同生效</w:t>
      </w:r>
      <w:bookmarkEnd w:id="507"/>
      <w:bookmarkEnd w:id="508"/>
      <w:bookmarkEnd w:id="509"/>
    </w:p>
    <w:p w14:paraId="3F372F3F">
      <w:pPr>
        <w:spacing w:line="360" w:lineRule="auto"/>
        <w:ind w:firstLine="420" w:firstLineChars="200"/>
        <w:rPr>
          <w:rFonts w:ascii="宋体" w:hAnsi="宋体"/>
          <w:bCs/>
          <w:szCs w:val="21"/>
        </w:rPr>
      </w:pPr>
      <w:r>
        <w:rPr>
          <w:rFonts w:hint="eastAsia" w:ascii="宋体" w:hAnsi="宋体"/>
          <w:bCs/>
          <w:szCs w:val="21"/>
        </w:rPr>
        <w:t>合同在以下条件全部满足之后生效：</w:t>
      </w:r>
    </w:p>
    <w:p w14:paraId="6602F183">
      <w:pPr>
        <w:spacing w:line="360" w:lineRule="auto"/>
        <w:ind w:firstLine="420" w:firstLineChars="200"/>
        <w:rPr>
          <w:rFonts w:ascii="宋体" w:hAnsi="宋体"/>
          <w:szCs w:val="21"/>
        </w:rPr>
      </w:pPr>
      <w:r>
        <w:rPr>
          <w:rFonts w:hint="eastAsia" w:ascii="宋体" w:hAnsi="宋体"/>
          <w:bCs/>
          <w:szCs w:val="21"/>
        </w:rPr>
        <w:t>1.合同</w:t>
      </w:r>
      <w:r>
        <w:rPr>
          <w:rFonts w:hint="eastAsia" w:ascii="宋体" w:hAnsi="宋体"/>
          <w:szCs w:val="21"/>
        </w:rPr>
        <w:t>经双方法定代表人或其委托代理人签名并加盖单位</w:t>
      </w:r>
      <w:r>
        <w:rPr>
          <w:rFonts w:hint="eastAsia" w:ascii="宋体" w:hAnsi="宋体"/>
          <w:snapToGrid w:val="0"/>
          <w:kern w:val="0"/>
          <w:szCs w:val="21"/>
        </w:rPr>
        <w:t>公章或合同专用章</w:t>
      </w:r>
      <w:r>
        <w:rPr>
          <w:rFonts w:hint="eastAsia" w:ascii="宋体" w:hAnsi="宋体"/>
          <w:szCs w:val="21"/>
        </w:rPr>
        <w:t>；</w:t>
      </w:r>
    </w:p>
    <w:p w14:paraId="4566193B">
      <w:pPr>
        <w:spacing w:line="360" w:lineRule="auto"/>
        <w:ind w:firstLine="420" w:firstLineChars="200"/>
        <w:rPr>
          <w:rFonts w:ascii="宋体" w:hAnsi="宋体"/>
          <w:szCs w:val="21"/>
        </w:rPr>
      </w:pPr>
      <w:r>
        <w:rPr>
          <w:rFonts w:hint="eastAsia" w:ascii="宋体" w:hAnsi="宋体"/>
          <w:szCs w:val="21"/>
        </w:rPr>
        <w:t>2.采用保函形式递交履约担保的，承包人按合同约定向发包人提交履约担保后；</w:t>
      </w:r>
    </w:p>
    <w:p w14:paraId="6F6DDEAC">
      <w:pPr>
        <w:spacing w:line="360" w:lineRule="auto"/>
        <w:ind w:firstLine="420" w:firstLineChars="200"/>
        <w:rPr>
          <w:rFonts w:ascii="宋体" w:hAnsi="宋体"/>
          <w:bCs/>
          <w:szCs w:val="21"/>
        </w:rPr>
      </w:pPr>
      <w:r>
        <w:rPr>
          <w:rFonts w:hint="eastAsia" w:ascii="宋体" w:hAnsi="宋体"/>
          <w:bCs/>
          <w:szCs w:val="21"/>
        </w:rPr>
        <w:t>3.</w:t>
      </w:r>
      <w:r>
        <w:rPr>
          <w:rFonts w:hint="eastAsia" w:ascii="宋体" w:hAnsi="宋体"/>
          <w:szCs w:val="21"/>
          <w:u w:val="single"/>
        </w:rPr>
        <w:t xml:space="preserve">        </w:t>
      </w:r>
      <w:r>
        <w:rPr>
          <w:rFonts w:hint="eastAsia" w:ascii="宋体" w:hAnsi="宋体"/>
          <w:szCs w:val="21"/>
        </w:rPr>
        <w:t>。</w:t>
      </w:r>
    </w:p>
    <w:p w14:paraId="1C0411C2">
      <w:pPr>
        <w:pStyle w:val="6"/>
        <w:keepNext/>
        <w:keepLines/>
        <w:spacing w:before="120" w:after="120" w:line="360" w:lineRule="auto"/>
        <w:ind w:firstLine="422" w:firstLineChars="200"/>
        <w:jc w:val="both"/>
        <w:rPr>
          <w:kern w:val="2"/>
          <w:sz w:val="21"/>
          <w:szCs w:val="21"/>
        </w:rPr>
      </w:pPr>
      <w:bookmarkStart w:id="510" w:name="_Toc351203493"/>
      <w:bookmarkStart w:id="511" w:name="_Toc532375585"/>
      <w:bookmarkStart w:id="512" w:name="_Toc532377178"/>
      <w:r>
        <w:rPr>
          <w:rFonts w:hint="eastAsia"/>
          <w:kern w:val="2"/>
          <w:sz w:val="21"/>
          <w:szCs w:val="21"/>
        </w:rPr>
        <w:t>十三、合同份数</w:t>
      </w:r>
      <w:bookmarkEnd w:id="510"/>
      <w:bookmarkEnd w:id="511"/>
      <w:bookmarkEnd w:id="512"/>
    </w:p>
    <w:p w14:paraId="04B0E677">
      <w:pPr>
        <w:spacing w:line="360" w:lineRule="auto"/>
        <w:ind w:firstLine="420" w:firstLineChars="200"/>
        <w:rPr>
          <w:rFonts w:ascii="宋体" w:hAnsi="宋体"/>
          <w:bCs/>
          <w:szCs w:val="21"/>
        </w:rPr>
      </w:pPr>
      <w:r>
        <w:rPr>
          <w:rFonts w:hint="eastAsia" w:ascii="宋体" w:hAnsi="宋体" w:cs="Microsoft Sans Serif"/>
          <w:bCs/>
          <w:szCs w:val="21"/>
        </w:rPr>
        <w:t>合同一式</w:t>
      </w:r>
      <w:r>
        <w:rPr>
          <w:rFonts w:hint="eastAsia" w:ascii="宋体" w:hAnsi="宋体" w:cs="Microsoft Sans Serif"/>
          <w:bCs/>
          <w:szCs w:val="21"/>
          <w:u w:val="single"/>
        </w:rPr>
        <w:t xml:space="preserve">     </w:t>
      </w:r>
      <w:r>
        <w:rPr>
          <w:rFonts w:hint="eastAsia" w:ascii="宋体" w:hAnsi="宋体" w:cs="Microsoft Sans Serif"/>
          <w:bCs/>
          <w:szCs w:val="21"/>
        </w:rPr>
        <w:t>份，其中正本</w:t>
      </w:r>
      <w:r>
        <w:rPr>
          <w:rFonts w:hint="eastAsia" w:ascii="宋体" w:hAnsi="宋体" w:cs="Microsoft Sans Serif"/>
          <w:bCs/>
          <w:szCs w:val="21"/>
          <w:u w:val="single"/>
        </w:rPr>
        <w:t xml:space="preserve">    </w:t>
      </w:r>
      <w:r>
        <w:rPr>
          <w:rFonts w:hint="eastAsia" w:ascii="宋体" w:hAnsi="宋体" w:cs="Microsoft Sans Serif"/>
          <w:bCs/>
          <w:szCs w:val="21"/>
        </w:rPr>
        <w:t>份，双方各持</w:t>
      </w:r>
      <w:r>
        <w:rPr>
          <w:rFonts w:hint="eastAsia" w:ascii="宋体" w:hAnsi="宋体" w:cs="Microsoft Sans Serif"/>
          <w:bCs/>
          <w:szCs w:val="21"/>
          <w:u w:val="single"/>
        </w:rPr>
        <w:t xml:space="preserve">    </w:t>
      </w:r>
      <w:r>
        <w:rPr>
          <w:rFonts w:hint="eastAsia" w:ascii="宋体" w:hAnsi="宋体" w:cs="Microsoft Sans Serif"/>
          <w:bCs/>
          <w:szCs w:val="21"/>
        </w:rPr>
        <w:t>份，副本</w:t>
      </w:r>
      <w:r>
        <w:rPr>
          <w:rFonts w:hint="eastAsia" w:ascii="宋体" w:hAnsi="宋体" w:cs="Microsoft Sans Serif"/>
          <w:bCs/>
          <w:szCs w:val="21"/>
          <w:u w:val="single"/>
        </w:rPr>
        <w:t xml:space="preserve">    </w:t>
      </w:r>
      <w:r>
        <w:rPr>
          <w:rFonts w:hint="eastAsia" w:ascii="宋体" w:hAnsi="宋体" w:cs="Microsoft Sans Serif"/>
          <w:bCs/>
          <w:szCs w:val="21"/>
        </w:rPr>
        <w:t>份，双方各执</w:t>
      </w:r>
      <w:r>
        <w:rPr>
          <w:rFonts w:hint="eastAsia" w:ascii="宋体" w:hAnsi="宋体" w:cs="Microsoft Sans Serif"/>
          <w:bCs/>
          <w:szCs w:val="21"/>
          <w:u w:val="single"/>
        </w:rPr>
        <w:t xml:space="preserve">    </w:t>
      </w:r>
      <w:r>
        <w:rPr>
          <w:rFonts w:hint="eastAsia" w:ascii="宋体" w:hAnsi="宋体" w:cs="Microsoft Sans Serif"/>
          <w:bCs/>
          <w:szCs w:val="21"/>
        </w:rPr>
        <w:t>份。副本与正本不一致时，以正本为准</w:t>
      </w:r>
      <w:r>
        <w:rPr>
          <w:rFonts w:hint="eastAsia" w:ascii="宋体" w:hAnsi="宋体"/>
          <w:bCs/>
          <w:szCs w:val="21"/>
        </w:rPr>
        <w:t>。</w:t>
      </w:r>
    </w:p>
    <w:p w14:paraId="23C9A91A">
      <w:pPr>
        <w:spacing w:line="360" w:lineRule="auto"/>
        <w:ind w:firstLine="420" w:firstLineChars="200"/>
        <w:rPr>
          <w:rFonts w:ascii="宋体" w:hAnsi="宋体"/>
          <w:bCs/>
          <w:szCs w:val="21"/>
        </w:rPr>
      </w:pPr>
    </w:p>
    <w:p w14:paraId="71C6D6FB">
      <w:pPr>
        <w:spacing w:line="360" w:lineRule="auto"/>
        <w:ind w:firstLine="420" w:firstLineChars="200"/>
        <w:rPr>
          <w:rFonts w:ascii="宋体" w:hAnsi="宋体"/>
          <w:bCs/>
          <w:szCs w:val="21"/>
        </w:rPr>
      </w:pPr>
      <w:r>
        <w:rPr>
          <w:rFonts w:hint="eastAsia" w:ascii="宋体" w:hAnsi="宋体"/>
          <w:bCs/>
          <w:szCs w:val="21"/>
        </w:rPr>
        <w:t>（以下为签名盖章页）。</w:t>
      </w:r>
    </w:p>
    <w:p w14:paraId="4E2CA48D">
      <w:pPr>
        <w:pStyle w:val="2"/>
        <w:spacing w:line="360" w:lineRule="auto"/>
        <w:ind w:firstLine="420" w:firstLineChars="200"/>
        <w:rPr>
          <w:rFonts w:ascii="宋体" w:hAnsi="宋体"/>
          <w:szCs w:val="21"/>
        </w:rPr>
      </w:pPr>
    </w:p>
    <w:p w14:paraId="4D38AF9E">
      <w:pPr>
        <w:pStyle w:val="2"/>
        <w:spacing w:line="360" w:lineRule="auto"/>
        <w:ind w:firstLine="420" w:firstLineChars="200"/>
        <w:rPr>
          <w:rFonts w:ascii="宋体" w:hAnsi="宋体"/>
          <w:szCs w:val="21"/>
        </w:rPr>
      </w:pPr>
    </w:p>
    <w:p w14:paraId="7FC89125">
      <w:pPr>
        <w:adjustRightInd w:val="0"/>
        <w:spacing w:line="360" w:lineRule="auto"/>
        <w:ind w:firstLine="420" w:firstLineChars="200"/>
        <w:rPr>
          <w:rFonts w:ascii="宋体" w:hAnsi="宋体"/>
          <w:snapToGrid w:val="0"/>
          <w:kern w:val="0"/>
          <w:szCs w:val="21"/>
        </w:rPr>
      </w:pPr>
      <w:bookmarkStart w:id="513" w:name="_Toc467689623"/>
      <w:r>
        <w:rPr>
          <w:rFonts w:ascii="宋体" w:hAnsi="宋体"/>
          <w:snapToGrid w:val="0"/>
          <w:kern w:val="0"/>
          <w:szCs w:val="21"/>
        </w:rPr>
        <w:t>发包人：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盖单位</w:t>
      </w:r>
      <w:r>
        <w:rPr>
          <w:rFonts w:ascii="宋体" w:hAnsi="宋体"/>
          <w:snapToGrid w:val="0"/>
          <w:kern w:val="0"/>
          <w:szCs w:val="21"/>
        </w:rPr>
        <w:t>公章</w:t>
      </w:r>
      <w:r>
        <w:rPr>
          <w:rFonts w:hint="eastAsia" w:ascii="宋体" w:hAnsi="宋体"/>
          <w:snapToGrid w:val="0"/>
          <w:kern w:val="0"/>
          <w:szCs w:val="21"/>
        </w:rPr>
        <w:t>或合同专用章</w:t>
      </w:r>
      <w:r>
        <w:rPr>
          <w:rFonts w:ascii="宋体" w:hAnsi="宋体"/>
          <w:snapToGrid w:val="0"/>
          <w:kern w:val="0"/>
          <w:szCs w:val="21"/>
        </w:rPr>
        <w:t>）</w:t>
      </w:r>
    </w:p>
    <w:p w14:paraId="333519C5">
      <w:pPr>
        <w:spacing w:line="360" w:lineRule="auto"/>
        <w:ind w:firstLine="420" w:firstLineChars="20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w:t>
      </w:r>
    </w:p>
    <w:p w14:paraId="57C1F359">
      <w:pPr>
        <w:spacing w:line="360" w:lineRule="auto"/>
        <w:ind w:firstLine="420" w:firstLineChars="200"/>
        <w:rPr>
          <w:rFonts w:ascii="宋体" w:hAnsi="宋体"/>
          <w:snapToGrid w:val="0"/>
          <w:kern w:val="0"/>
          <w:szCs w:val="21"/>
        </w:rPr>
      </w:pPr>
      <w:r>
        <w:rPr>
          <w:rFonts w:hint="eastAsia" w:ascii="宋体" w:hAnsi="宋体"/>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5A01B7CE">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109794B0">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地    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5C56F915">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电    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3690BC66">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3F835AC1">
      <w:pPr>
        <w:spacing w:line="360" w:lineRule="auto"/>
        <w:ind w:firstLine="420" w:firstLineChars="200"/>
        <w:rPr>
          <w:rFonts w:ascii="宋体" w:hAnsi="宋体"/>
          <w:szCs w:val="21"/>
        </w:rPr>
      </w:pPr>
      <w:r>
        <w:rPr>
          <w:rFonts w:hint="eastAsia" w:ascii="宋体" w:hAnsi="宋体"/>
          <w:snapToGrid w:val="0"/>
          <w:kern w:val="0"/>
          <w:szCs w:val="21"/>
        </w:rPr>
        <w:t>账    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147ECF7F">
      <w:pPr>
        <w:spacing w:line="360" w:lineRule="auto"/>
        <w:rPr>
          <w:rFonts w:ascii="宋体" w:hAnsi="宋体"/>
          <w:snapToGrid w:val="0"/>
          <w:kern w:val="0"/>
          <w:szCs w:val="21"/>
        </w:rPr>
      </w:pPr>
    </w:p>
    <w:p w14:paraId="41A91B50">
      <w:pPr>
        <w:spacing w:line="360" w:lineRule="auto"/>
        <w:ind w:firstLine="420" w:firstLineChars="200"/>
        <w:rPr>
          <w:rFonts w:ascii="宋体" w:hAnsi="宋体"/>
          <w:szCs w:val="21"/>
        </w:rPr>
      </w:pPr>
      <w:r>
        <w:rPr>
          <w:rFonts w:ascii="宋体" w:hAnsi="宋体"/>
          <w:snapToGrid w:val="0"/>
          <w:kern w:val="0"/>
          <w:szCs w:val="21"/>
        </w:rPr>
        <w:t>承包人：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盖单位</w:t>
      </w:r>
      <w:r>
        <w:rPr>
          <w:rFonts w:ascii="宋体" w:hAnsi="宋体"/>
          <w:snapToGrid w:val="0"/>
          <w:kern w:val="0"/>
          <w:szCs w:val="21"/>
        </w:rPr>
        <w:t>公章</w:t>
      </w:r>
      <w:r>
        <w:rPr>
          <w:rFonts w:hint="eastAsia" w:ascii="宋体" w:hAnsi="宋体"/>
          <w:snapToGrid w:val="0"/>
          <w:kern w:val="0"/>
          <w:szCs w:val="21"/>
        </w:rPr>
        <w:t>或合同专用章</w:t>
      </w:r>
      <w:r>
        <w:rPr>
          <w:rFonts w:ascii="宋体" w:hAnsi="宋体"/>
          <w:snapToGrid w:val="0"/>
          <w:kern w:val="0"/>
          <w:szCs w:val="21"/>
        </w:rPr>
        <w:t>）</w:t>
      </w:r>
    </w:p>
    <w:p w14:paraId="0AE01150">
      <w:pPr>
        <w:spacing w:line="360" w:lineRule="auto"/>
        <w:ind w:firstLine="420" w:firstLineChars="20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w:t>
      </w:r>
    </w:p>
    <w:p w14:paraId="60A808BE">
      <w:pPr>
        <w:spacing w:line="360" w:lineRule="auto"/>
        <w:ind w:firstLine="420" w:firstLineChars="200"/>
        <w:rPr>
          <w:rFonts w:ascii="宋体" w:hAnsi="宋体"/>
          <w:snapToGrid w:val="0"/>
          <w:kern w:val="0"/>
          <w:szCs w:val="21"/>
        </w:rPr>
      </w:pPr>
      <w:r>
        <w:rPr>
          <w:rFonts w:hint="eastAsia" w:ascii="宋体" w:hAnsi="宋体"/>
          <w:snapToGrid w:val="0"/>
          <w:kern w:val="0"/>
          <w:szCs w:val="21"/>
        </w:rPr>
        <w:t>统一社会信用代码：</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361AF751">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纳税人识别号：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5F13C7CA">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地    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0BB8A7BE">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电    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3517A89E">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开户银行：</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5DF79D51">
      <w:pPr>
        <w:spacing w:line="360" w:lineRule="auto"/>
        <w:ind w:firstLine="420" w:firstLineChars="200"/>
        <w:rPr>
          <w:rFonts w:ascii="宋体" w:hAnsi="宋体"/>
          <w:snapToGrid w:val="0"/>
          <w:kern w:val="0"/>
          <w:szCs w:val="21"/>
          <w:u w:val="single"/>
        </w:rPr>
      </w:pPr>
      <w:r>
        <w:rPr>
          <w:rFonts w:hint="eastAsia" w:ascii="宋体" w:hAnsi="宋体"/>
          <w:snapToGrid w:val="0"/>
          <w:kern w:val="0"/>
          <w:szCs w:val="21"/>
        </w:rPr>
        <w:t>账    号：</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4E33987D">
      <w:pPr>
        <w:pStyle w:val="2"/>
        <w:spacing w:line="360" w:lineRule="auto"/>
        <w:rPr>
          <w:rFonts w:ascii="宋体" w:hAnsi="宋体"/>
          <w:szCs w:val="21"/>
        </w:rPr>
      </w:pPr>
    </w:p>
    <w:p w14:paraId="21B04FFB">
      <w:pPr>
        <w:spacing w:line="360" w:lineRule="auto"/>
        <w:jc w:val="right"/>
        <w:rPr>
          <w:rFonts w:ascii="宋体" w:hAnsi="宋体"/>
          <w:snapToGrid w:val="0"/>
          <w:kern w:val="0"/>
          <w:szCs w:val="21"/>
        </w:rPr>
      </w:pPr>
    </w:p>
    <w:p w14:paraId="7265C6BB">
      <w:pPr>
        <w:spacing w:line="360" w:lineRule="auto"/>
        <w:jc w:val="right"/>
        <w:rPr>
          <w:rFonts w:ascii="宋体" w:hAnsi="宋体"/>
          <w:snapToGrid w:val="0"/>
          <w:kern w:val="0"/>
          <w:szCs w:val="21"/>
        </w:rPr>
      </w:pPr>
    </w:p>
    <w:p w14:paraId="437AE48E">
      <w:pPr>
        <w:spacing w:line="360" w:lineRule="auto"/>
        <w:jc w:val="right"/>
        <w:rPr>
          <w:rFonts w:ascii="宋体" w:hAnsi="宋体"/>
          <w:snapToGrid w:val="0"/>
          <w:kern w:val="0"/>
          <w:szCs w:val="21"/>
        </w:rPr>
      </w:pPr>
      <w:r>
        <w:rPr>
          <w:rFonts w:hint="eastAsia" w:ascii="宋体" w:hAnsi="宋体"/>
          <w:snapToGrid w:val="0"/>
          <w:kern w:val="0"/>
          <w:szCs w:val="21"/>
        </w:rPr>
        <w:t>签约时间：</w:t>
      </w:r>
      <w:r>
        <w:rPr>
          <w:rFonts w:hint="eastAsia" w:ascii="宋体" w:hAnsi="宋体"/>
          <w:snapToGrid w:val="0"/>
          <w:kern w:val="0"/>
          <w:szCs w:val="21"/>
          <w:u w:val="single"/>
        </w:rPr>
        <w:t xml:space="preserve">     </w:t>
      </w:r>
      <w:r>
        <w:rPr>
          <w:rFonts w:hint="eastAsia" w:ascii="宋体" w:hAnsi="宋体"/>
          <w:snapToGrid w:val="0"/>
          <w:kern w:val="0"/>
          <w:szCs w:val="21"/>
        </w:rPr>
        <w:t>年</w:t>
      </w:r>
      <w:r>
        <w:rPr>
          <w:rFonts w:hint="eastAsia" w:ascii="宋体" w:hAnsi="宋体"/>
          <w:snapToGrid w:val="0"/>
          <w:kern w:val="0"/>
          <w:szCs w:val="21"/>
          <w:u w:val="single"/>
        </w:rPr>
        <w:t xml:space="preserve">     </w:t>
      </w:r>
      <w:r>
        <w:rPr>
          <w:rFonts w:hint="eastAsia" w:ascii="宋体" w:hAnsi="宋体"/>
          <w:snapToGrid w:val="0"/>
          <w:kern w:val="0"/>
          <w:szCs w:val="21"/>
        </w:rPr>
        <w:t>月</w:t>
      </w:r>
      <w:r>
        <w:rPr>
          <w:rFonts w:hint="eastAsia" w:ascii="宋体" w:hAnsi="宋体"/>
          <w:snapToGrid w:val="0"/>
          <w:kern w:val="0"/>
          <w:szCs w:val="21"/>
          <w:u w:val="single"/>
        </w:rPr>
        <w:t xml:space="preserve">     </w:t>
      </w:r>
      <w:r>
        <w:rPr>
          <w:rFonts w:hint="eastAsia" w:ascii="宋体" w:hAnsi="宋体"/>
          <w:snapToGrid w:val="0"/>
          <w:kern w:val="0"/>
          <w:szCs w:val="21"/>
        </w:rPr>
        <w:t>日</w:t>
      </w:r>
      <w:bookmarkEnd w:id="513"/>
    </w:p>
    <w:p w14:paraId="489918FF">
      <w:pPr>
        <w:pStyle w:val="5"/>
        <w:jc w:val="center"/>
        <w:rPr>
          <w:rFonts w:ascii="宋体" w:hAnsi="宋体"/>
          <w:bCs w:val="0"/>
          <w:sz w:val="21"/>
          <w:szCs w:val="21"/>
        </w:rPr>
      </w:pPr>
      <w:r>
        <w:rPr>
          <w:rFonts w:hint="eastAsia" w:ascii="宋体" w:hAnsi="宋体"/>
          <w:b w:val="0"/>
          <w:snapToGrid w:val="0"/>
          <w:sz w:val="21"/>
          <w:szCs w:val="21"/>
          <w:lang w:val="zh-CN"/>
        </w:rPr>
        <w:br w:type="page"/>
      </w:r>
      <w:bookmarkStart w:id="514" w:name="_Toc532375586"/>
      <w:bookmarkStart w:id="515" w:name="_Toc216768219"/>
      <w:bookmarkStart w:id="516" w:name="_Toc529388289"/>
      <w:bookmarkStart w:id="517" w:name="_Toc13806"/>
      <w:bookmarkStart w:id="518" w:name="_Toc532377179"/>
      <w:bookmarkStart w:id="519" w:name="_Toc19856"/>
      <w:r>
        <w:rPr>
          <w:rFonts w:hint="eastAsia" w:ascii="宋体" w:hAnsi="宋体"/>
          <w:sz w:val="44"/>
          <w:szCs w:val="44"/>
        </w:rPr>
        <w:t>第二部分 通用合同条款</w:t>
      </w:r>
      <w:bookmarkEnd w:id="514"/>
      <w:bookmarkEnd w:id="515"/>
      <w:bookmarkEnd w:id="516"/>
      <w:bookmarkEnd w:id="517"/>
      <w:bookmarkEnd w:id="518"/>
      <w:bookmarkEnd w:id="519"/>
    </w:p>
    <w:p w14:paraId="2B31DE78">
      <w:pPr>
        <w:spacing w:before="68" w:line="356" w:lineRule="auto"/>
        <w:ind w:firstLine="509"/>
        <w:rPr>
          <w:rFonts w:ascii="宋体" w:hAnsi="宋体" w:cs="宋体"/>
          <w:szCs w:val="21"/>
        </w:rPr>
      </w:pPr>
      <w:bookmarkStart w:id="520" w:name="_Toc532377180"/>
      <w:bookmarkStart w:id="521" w:name="_Toc351203495"/>
      <w:bookmarkStart w:id="522" w:name="_Toc532375587"/>
      <w:r>
        <w:rPr>
          <w:rFonts w:ascii="宋体" w:hAnsi="宋体" w:cs="宋体"/>
          <w:spacing w:val="-4"/>
          <w:szCs w:val="21"/>
        </w:rPr>
        <w:t>“通用合同条款”采用《中华人民共和国标准施工招标文件（2007</w:t>
      </w:r>
      <w:r>
        <w:rPr>
          <w:rFonts w:ascii="宋体" w:hAnsi="宋体" w:cs="宋体"/>
          <w:spacing w:val="-28"/>
          <w:szCs w:val="21"/>
        </w:rPr>
        <w:t xml:space="preserve"> </w:t>
      </w:r>
      <w:r>
        <w:rPr>
          <w:rFonts w:ascii="宋体" w:hAnsi="宋体" w:cs="宋体"/>
          <w:spacing w:val="-4"/>
          <w:szCs w:val="21"/>
        </w:rPr>
        <w:t>版）</w:t>
      </w:r>
      <w:r>
        <w:rPr>
          <w:rFonts w:ascii="宋体" w:hAnsi="宋体" w:cs="宋体"/>
          <w:spacing w:val="-9"/>
          <w:szCs w:val="21"/>
        </w:rPr>
        <w:t xml:space="preserve"> </w:t>
      </w:r>
      <w:r>
        <w:rPr>
          <w:rFonts w:ascii="宋体" w:hAnsi="宋体" w:cs="宋体"/>
          <w:spacing w:val="-4"/>
          <w:szCs w:val="21"/>
        </w:rPr>
        <w:t>》第四章第一节的“通用合同</w:t>
      </w:r>
      <w:r>
        <w:rPr>
          <w:rFonts w:ascii="宋体" w:hAnsi="宋体" w:cs="宋体"/>
          <w:szCs w:val="21"/>
        </w:rPr>
        <w:t xml:space="preserve"> </w:t>
      </w:r>
      <w:r>
        <w:rPr>
          <w:rFonts w:ascii="宋体" w:hAnsi="宋体" w:cs="宋体"/>
          <w:spacing w:val="-8"/>
          <w:szCs w:val="21"/>
        </w:rPr>
        <w:t>条款”。</w:t>
      </w:r>
    </w:p>
    <w:bookmarkEnd w:id="520"/>
    <w:bookmarkEnd w:id="521"/>
    <w:bookmarkEnd w:id="522"/>
    <w:p w14:paraId="421E0746">
      <w:pPr>
        <w:pStyle w:val="5"/>
        <w:jc w:val="center"/>
        <w:rPr>
          <w:rFonts w:ascii="宋体" w:hAnsi="宋体"/>
          <w:sz w:val="44"/>
          <w:szCs w:val="44"/>
        </w:rPr>
      </w:pPr>
      <w:bookmarkStart w:id="523" w:name="_Toc529388290"/>
      <w:bookmarkStart w:id="524" w:name="_Toc532375607"/>
      <w:bookmarkStart w:id="525" w:name="_Toc532377320"/>
      <w:bookmarkStart w:id="526" w:name="_Toc17694"/>
    </w:p>
    <w:p w14:paraId="5F99FA84">
      <w:pPr>
        <w:rPr>
          <w:rFonts w:ascii="宋体" w:hAnsi="宋体"/>
          <w:sz w:val="44"/>
          <w:szCs w:val="44"/>
        </w:rPr>
      </w:pPr>
    </w:p>
    <w:p w14:paraId="303D98F9">
      <w:pPr>
        <w:pStyle w:val="2"/>
        <w:rPr>
          <w:rFonts w:ascii="宋体" w:hAnsi="宋体"/>
          <w:sz w:val="44"/>
          <w:szCs w:val="44"/>
        </w:rPr>
      </w:pPr>
    </w:p>
    <w:p w14:paraId="6A140F4B">
      <w:pPr>
        <w:pStyle w:val="56"/>
        <w:rPr>
          <w:rFonts w:ascii="宋体" w:hAnsi="宋体"/>
          <w:sz w:val="44"/>
          <w:szCs w:val="44"/>
        </w:rPr>
      </w:pPr>
    </w:p>
    <w:p w14:paraId="0BA9FFD4">
      <w:pPr>
        <w:rPr>
          <w:rFonts w:ascii="宋体" w:hAnsi="宋体"/>
          <w:sz w:val="44"/>
          <w:szCs w:val="44"/>
        </w:rPr>
      </w:pPr>
    </w:p>
    <w:p w14:paraId="3129249D">
      <w:pPr>
        <w:pStyle w:val="2"/>
        <w:rPr>
          <w:rFonts w:ascii="宋体" w:hAnsi="宋体"/>
          <w:sz w:val="44"/>
          <w:szCs w:val="44"/>
        </w:rPr>
      </w:pPr>
    </w:p>
    <w:p w14:paraId="6618A455">
      <w:pPr>
        <w:pStyle w:val="56"/>
        <w:rPr>
          <w:rFonts w:ascii="宋体" w:hAnsi="宋体"/>
          <w:sz w:val="44"/>
          <w:szCs w:val="44"/>
        </w:rPr>
      </w:pPr>
    </w:p>
    <w:p w14:paraId="26C60B35">
      <w:pPr>
        <w:rPr>
          <w:rFonts w:ascii="宋体" w:hAnsi="宋体"/>
          <w:sz w:val="44"/>
          <w:szCs w:val="44"/>
        </w:rPr>
      </w:pPr>
    </w:p>
    <w:p w14:paraId="1E4C9A91">
      <w:pPr>
        <w:pStyle w:val="2"/>
        <w:rPr>
          <w:rFonts w:ascii="宋体" w:hAnsi="宋体"/>
          <w:sz w:val="44"/>
          <w:szCs w:val="44"/>
        </w:rPr>
      </w:pPr>
    </w:p>
    <w:p w14:paraId="3A19DDEA">
      <w:pPr>
        <w:pStyle w:val="56"/>
        <w:rPr>
          <w:rFonts w:ascii="宋体" w:hAnsi="宋体"/>
          <w:sz w:val="44"/>
          <w:szCs w:val="44"/>
        </w:rPr>
      </w:pPr>
    </w:p>
    <w:p w14:paraId="4AE257CA">
      <w:pPr>
        <w:rPr>
          <w:rFonts w:ascii="宋体" w:hAnsi="宋体"/>
          <w:sz w:val="44"/>
          <w:szCs w:val="44"/>
        </w:rPr>
      </w:pPr>
    </w:p>
    <w:p w14:paraId="44A16DE8">
      <w:pPr>
        <w:pStyle w:val="2"/>
        <w:rPr>
          <w:rFonts w:ascii="宋体" w:hAnsi="宋体"/>
          <w:sz w:val="44"/>
          <w:szCs w:val="44"/>
        </w:rPr>
      </w:pPr>
    </w:p>
    <w:p w14:paraId="0B74A8D6">
      <w:pPr>
        <w:pStyle w:val="56"/>
        <w:rPr>
          <w:rFonts w:ascii="宋体" w:hAnsi="宋体"/>
          <w:sz w:val="44"/>
          <w:szCs w:val="44"/>
        </w:rPr>
      </w:pPr>
    </w:p>
    <w:p w14:paraId="00389FD4">
      <w:pPr>
        <w:rPr>
          <w:rFonts w:ascii="宋体" w:hAnsi="宋体"/>
          <w:sz w:val="44"/>
          <w:szCs w:val="44"/>
        </w:rPr>
      </w:pPr>
    </w:p>
    <w:p w14:paraId="530B2C00">
      <w:pPr>
        <w:pStyle w:val="2"/>
        <w:rPr>
          <w:rFonts w:ascii="宋体" w:hAnsi="宋体"/>
          <w:sz w:val="44"/>
          <w:szCs w:val="44"/>
        </w:rPr>
      </w:pPr>
    </w:p>
    <w:p w14:paraId="2E643A77">
      <w:pPr>
        <w:pStyle w:val="56"/>
      </w:pPr>
    </w:p>
    <w:p w14:paraId="45D4F983">
      <w:pPr>
        <w:pStyle w:val="5"/>
        <w:jc w:val="center"/>
        <w:rPr>
          <w:rFonts w:ascii="宋体" w:hAnsi="宋体"/>
          <w:sz w:val="44"/>
          <w:szCs w:val="44"/>
        </w:rPr>
      </w:pPr>
      <w:bookmarkStart w:id="527" w:name="_Toc216768220"/>
      <w:bookmarkStart w:id="528" w:name="_Toc16166"/>
      <w:r>
        <w:rPr>
          <w:rFonts w:hint="eastAsia" w:ascii="宋体" w:hAnsi="宋体"/>
          <w:sz w:val="44"/>
          <w:szCs w:val="44"/>
        </w:rPr>
        <w:t>第三部分 专用合同条款</w:t>
      </w:r>
      <w:bookmarkEnd w:id="523"/>
      <w:bookmarkEnd w:id="524"/>
      <w:bookmarkEnd w:id="525"/>
      <w:bookmarkEnd w:id="526"/>
      <w:bookmarkEnd w:id="527"/>
      <w:bookmarkEnd w:id="528"/>
    </w:p>
    <w:p w14:paraId="1E4F1193">
      <w:pPr>
        <w:pStyle w:val="6"/>
        <w:keepNext/>
        <w:keepLines/>
        <w:spacing w:before="156" w:beforeLines="50" w:beforeAutospacing="0" w:after="156" w:afterLines="50" w:afterAutospacing="0" w:line="360" w:lineRule="auto"/>
        <w:jc w:val="both"/>
        <w:rPr>
          <w:bCs w:val="0"/>
          <w:kern w:val="2"/>
          <w:sz w:val="21"/>
          <w:szCs w:val="21"/>
        </w:rPr>
      </w:pPr>
      <w:bookmarkStart w:id="529" w:name="_Toc532377321"/>
      <w:bookmarkStart w:id="530" w:name="_Toc532375608"/>
      <w:bookmarkStart w:id="531" w:name="_Toc351203633"/>
      <w:bookmarkStart w:id="532" w:name="_Hlk528927191"/>
      <w:r>
        <w:rPr>
          <w:rFonts w:hint="eastAsia"/>
          <w:kern w:val="2"/>
          <w:sz w:val="21"/>
          <w:szCs w:val="21"/>
        </w:rPr>
        <w:t>1</w:t>
      </w:r>
      <w:bookmarkStart w:id="533" w:name="_Toc297120456"/>
      <w:bookmarkStart w:id="534" w:name="_Toc297048342"/>
      <w:bookmarkStart w:id="535" w:name="_Toc296944495"/>
      <w:bookmarkStart w:id="536" w:name="_Toc296890984"/>
      <w:bookmarkStart w:id="537" w:name="_Toc296346657"/>
      <w:bookmarkStart w:id="538" w:name="_Toc292559866"/>
      <w:bookmarkStart w:id="539" w:name="_Toc296347155"/>
      <w:bookmarkStart w:id="540" w:name="_Toc296891196"/>
      <w:bookmarkStart w:id="541" w:name="_Toc296503156"/>
      <w:bookmarkStart w:id="542" w:name="_Toc292559361"/>
      <w:r>
        <w:rPr>
          <w:rFonts w:hint="eastAsia"/>
          <w:kern w:val="2"/>
          <w:sz w:val="21"/>
          <w:szCs w:val="21"/>
        </w:rPr>
        <w:t>. 一般约定</w:t>
      </w:r>
      <w:bookmarkEnd w:id="529"/>
      <w:bookmarkEnd w:id="530"/>
      <w:bookmarkEnd w:id="531"/>
    </w:p>
    <w:bookmarkEnd w:id="533"/>
    <w:bookmarkEnd w:id="534"/>
    <w:bookmarkEnd w:id="535"/>
    <w:bookmarkEnd w:id="536"/>
    <w:bookmarkEnd w:id="537"/>
    <w:bookmarkEnd w:id="538"/>
    <w:bookmarkEnd w:id="539"/>
    <w:bookmarkEnd w:id="540"/>
    <w:bookmarkEnd w:id="541"/>
    <w:bookmarkEnd w:id="542"/>
    <w:p w14:paraId="5B609EE9">
      <w:pPr>
        <w:pStyle w:val="7"/>
        <w:spacing w:before="0" w:beforeAutospacing="0" w:after="0" w:afterAutospacing="0" w:line="360" w:lineRule="auto"/>
        <w:ind w:firstLine="422" w:firstLineChars="200"/>
        <w:rPr>
          <w:sz w:val="21"/>
          <w:szCs w:val="21"/>
        </w:rPr>
      </w:pPr>
      <w:bookmarkStart w:id="543" w:name="_Toc532377322"/>
      <w:r>
        <w:rPr>
          <w:rFonts w:hint="eastAsia"/>
          <w:sz w:val="21"/>
          <w:szCs w:val="21"/>
        </w:rPr>
        <w:t>1.1词语定义与解释</w:t>
      </w:r>
      <w:bookmarkEnd w:id="543"/>
    </w:p>
    <w:p w14:paraId="57EE6137">
      <w:pPr>
        <w:spacing w:line="360" w:lineRule="auto"/>
        <w:ind w:firstLine="420" w:firstLineChars="200"/>
        <w:jc w:val="left"/>
        <w:rPr>
          <w:rFonts w:ascii="宋体" w:hAnsi="宋体"/>
          <w:kern w:val="0"/>
          <w:szCs w:val="21"/>
        </w:rPr>
      </w:pPr>
      <w:r>
        <w:rPr>
          <w:rFonts w:hint="eastAsia" w:ascii="宋体" w:hAnsi="宋体"/>
          <w:kern w:val="0"/>
          <w:szCs w:val="21"/>
        </w:rPr>
        <w:t>1.1.1 合同</w:t>
      </w:r>
    </w:p>
    <w:p w14:paraId="435F9FEE">
      <w:pPr>
        <w:spacing w:line="360" w:lineRule="auto"/>
        <w:ind w:firstLine="420" w:firstLineChars="200"/>
        <w:jc w:val="left"/>
        <w:rPr>
          <w:rFonts w:ascii="宋体" w:hAnsi="宋体"/>
          <w:kern w:val="0"/>
          <w:szCs w:val="21"/>
        </w:rPr>
      </w:pPr>
      <w:r>
        <w:rPr>
          <w:rFonts w:hint="eastAsia" w:ascii="宋体" w:hAnsi="宋体"/>
          <w:kern w:val="0"/>
          <w:szCs w:val="21"/>
        </w:rPr>
        <w:t>1.1.1.6技术标准和要求：</w:t>
      </w:r>
      <w:r>
        <w:rPr>
          <w:rFonts w:hint="eastAsia" w:ascii="宋体" w:hAnsi="宋体"/>
          <w:kern w:val="0"/>
          <w:szCs w:val="21"/>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hint="eastAsia" w:ascii="宋体" w:hAnsi="宋体"/>
          <w:kern w:val="0"/>
          <w:szCs w:val="21"/>
        </w:rPr>
        <w:t>。</w:t>
      </w:r>
    </w:p>
    <w:p w14:paraId="794B1DA9">
      <w:pPr>
        <w:spacing w:line="360" w:lineRule="auto"/>
        <w:ind w:firstLine="420" w:firstLineChars="200"/>
        <w:jc w:val="left"/>
        <w:rPr>
          <w:rFonts w:ascii="宋体" w:hAnsi="宋体"/>
          <w:kern w:val="0"/>
          <w:szCs w:val="21"/>
        </w:rPr>
      </w:pPr>
      <w:r>
        <w:rPr>
          <w:rFonts w:hint="eastAsia" w:ascii="宋体" w:hAnsi="宋体"/>
          <w:kern w:val="0"/>
          <w:szCs w:val="21"/>
        </w:rPr>
        <w:t>1.1.1.8 已标价工程量清单：</w:t>
      </w:r>
      <w:r>
        <w:rPr>
          <w:rFonts w:hint="eastAsia" w:ascii="宋体" w:hAnsi="宋体"/>
          <w:kern w:val="0"/>
          <w:szCs w:val="21"/>
          <w:u w:val="single"/>
        </w:rPr>
        <w:t>指构成合同的由承包人按照发包人规定的格式和要求填写并标明价格、经算术性错误修订及其他错误修订（如有）且承包人已确认的工程量清单</w:t>
      </w:r>
      <w:r>
        <w:rPr>
          <w:rFonts w:hint="eastAsia" w:ascii="宋体" w:hAnsi="宋体"/>
          <w:kern w:val="0"/>
          <w:szCs w:val="21"/>
        </w:rPr>
        <w:t>。</w:t>
      </w:r>
    </w:p>
    <w:p w14:paraId="5561A7F0">
      <w:pPr>
        <w:spacing w:line="360" w:lineRule="auto"/>
        <w:ind w:firstLine="420" w:firstLineChars="200"/>
        <w:jc w:val="left"/>
        <w:rPr>
          <w:rFonts w:ascii="宋体" w:hAnsi="宋体"/>
          <w:szCs w:val="21"/>
        </w:rPr>
      </w:pPr>
      <w:r>
        <w:rPr>
          <w:rFonts w:hint="eastAsia" w:ascii="宋体" w:hAnsi="宋体"/>
          <w:kern w:val="0"/>
          <w:szCs w:val="21"/>
        </w:rPr>
        <w:t>1.1.1.10 其他合同文件包括：</w:t>
      </w:r>
      <w:r>
        <w:rPr>
          <w:rFonts w:hint="eastAsia" w:ascii="宋体" w:hAnsi="宋体"/>
          <w:szCs w:val="21"/>
          <w:u w:val="single"/>
        </w:rPr>
        <w:t>按照合同协议书</w:t>
      </w:r>
      <w:r>
        <w:rPr>
          <w:rFonts w:hint="eastAsia" w:ascii="宋体" w:hAnsi="宋体"/>
          <w:bCs/>
          <w:szCs w:val="21"/>
          <w:u w:val="single"/>
        </w:rPr>
        <w:t>〔</w:t>
      </w:r>
      <w:r>
        <w:rPr>
          <w:rFonts w:hint="eastAsia" w:ascii="宋体" w:hAnsi="宋体"/>
          <w:szCs w:val="21"/>
          <w:u w:val="single"/>
        </w:rPr>
        <w:t>第六条</w:t>
      </w:r>
      <w:r>
        <w:rPr>
          <w:rFonts w:hint="eastAsia" w:ascii="宋体" w:hAnsi="宋体"/>
          <w:bCs/>
          <w:szCs w:val="21"/>
          <w:u w:val="single"/>
        </w:rPr>
        <w:t>〕</w:t>
      </w:r>
      <w:r>
        <w:rPr>
          <w:rFonts w:hint="eastAsia" w:ascii="宋体" w:hAnsi="宋体"/>
          <w:szCs w:val="21"/>
          <w:u w:val="single"/>
        </w:rPr>
        <w:t>约定执行</w:t>
      </w:r>
      <w:r>
        <w:rPr>
          <w:rFonts w:hint="eastAsia" w:ascii="宋体" w:hAnsi="宋体"/>
          <w:szCs w:val="21"/>
        </w:rPr>
        <w:t>。</w:t>
      </w:r>
    </w:p>
    <w:p w14:paraId="4B4C7098">
      <w:pPr>
        <w:spacing w:line="360" w:lineRule="auto"/>
        <w:ind w:firstLine="420" w:firstLineChars="200"/>
        <w:jc w:val="left"/>
        <w:rPr>
          <w:rFonts w:ascii="宋体" w:hAnsi="宋体"/>
          <w:kern w:val="0"/>
          <w:szCs w:val="21"/>
        </w:rPr>
      </w:pPr>
      <w:r>
        <w:rPr>
          <w:rFonts w:hint="eastAsia" w:ascii="宋体" w:hAnsi="宋体"/>
          <w:kern w:val="0"/>
          <w:szCs w:val="21"/>
        </w:rPr>
        <w:t>本项补充1.1.1.11～1.1.1.16目：</w:t>
      </w:r>
    </w:p>
    <w:p w14:paraId="25BF9976">
      <w:pPr>
        <w:spacing w:line="360" w:lineRule="auto"/>
        <w:ind w:firstLine="420" w:firstLineChars="200"/>
        <w:jc w:val="left"/>
        <w:rPr>
          <w:rFonts w:ascii="宋体" w:hAnsi="宋体"/>
          <w:kern w:val="0"/>
          <w:szCs w:val="21"/>
        </w:rPr>
      </w:pPr>
      <w:r>
        <w:rPr>
          <w:rFonts w:hint="eastAsia" w:ascii="宋体" w:hAnsi="宋体"/>
          <w:kern w:val="0"/>
          <w:szCs w:val="21"/>
        </w:rPr>
        <w:t>1.1.1.11 招标文件：</w:t>
      </w:r>
      <w:r>
        <w:rPr>
          <w:rFonts w:hint="eastAsia" w:ascii="宋体" w:hAnsi="宋体"/>
          <w:kern w:val="0"/>
          <w:szCs w:val="21"/>
          <w:u w:val="single"/>
        </w:rPr>
        <w:t>指本工程的招标文件、图纸、其他技术资料及比选人发出的对招标文件所作的澄清、修改等资料</w:t>
      </w:r>
      <w:r>
        <w:rPr>
          <w:rFonts w:hint="eastAsia" w:ascii="宋体" w:hAnsi="宋体"/>
          <w:kern w:val="0"/>
          <w:szCs w:val="21"/>
        </w:rPr>
        <w:t>。</w:t>
      </w:r>
    </w:p>
    <w:p w14:paraId="1FA53B3F">
      <w:pPr>
        <w:spacing w:line="360" w:lineRule="auto"/>
        <w:ind w:firstLine="420" w:firstLineChars="200"/>
        <w:jc w:val="left"/>
        <w:rPr>
          <w:rFonts w:ascii="宋体" w:hAnsi="宋体"/>
          <w:kern w:val="0"/>
          <w:szCs w:val="21"/>
        </w:rPr>
      </w:pPr>
      <w:r>
        <w:rPr>
          <w:rFonts w:hint="eastAsia" w:ascii="宋体" w:hAnsi="宋体"/>
          <w:kern w:val="0"/>
          <w:szCs w:val="21"/>
        </w:rPr>
        <w:t>1.1.1.12 工作：</w:t>
      </w:r>
      <w:r>
        <w:rPr>
          <w:rFonts w:hint="eastAsia" w:ascii="宋体" w:hAnsi="宋体"/>
          <w:kern w:val="0"/>
          <w:szCs w:val="21"/>
          <w:u w:val="single"/>
        </w:rPr>
        <w:t>指根据合同条款规定，或根据合同合理推及的，为本工程（包括永久工程和临时工程）施工与维护所需要的管理、劳务、材料、施工设备和其他物品的提供</w:t>
      </w:r>
      <w:r>
        <w:rPr>
          <w:rFonts w:hint="eastAsia" w:ascii="宋体" w:hAnsi="宋体"/>
          <w:kern w:val="0"/>
          <w:szCs w:val="21"/>
        </w:rPr>
        <w:t>。</w:t>
      </w:r>
    </w:p>
    <w:p w14:paraId="08E40491">
      <w:pPr>
        <w:spacing w:line="360" w:lineRule="auto"/>
        <w:ind w:firstLine="420" w:firstLineChars="200"/>
        <w:jc w:val="left"/>
        <w:rPr>
          <w:rFonts w:ascii="宋体" w:hAnsi="宋体"/>
          <w:szCs w:val="21"/>
        </w:rPr>
      </w:pPr>
      <w:r>
        <w:rPr>
          <w:rFonts w:hint="eastAsia" w:ascii="宋体" w:hAnsi="宋体"/>
          <w:szCs w:val="21"/>
        </w:rPr>
        <w:t>1.1.1.13 重大设计变更：按照规定需要重新报建设行政主管部门批准的设计变更。</w:t>
      </w:r>
    </w:p>
    <w:p w14:paraId="4C64DA20">
      <w:pPr>
        <w:spacing w:line="360" w:lineRule="auto"/>
        <w:ind w:firstLine="420" w:firstLineChars="200"/>
        <w:jc w:val="left"/>
        <w:rPr>
          <w:rFonts w:ascii="宋体" w:hAnsi="宋体"/>
          <w:szCs w:val="21"/>
        </w:rPr>
      </w:pPr>
      <w:r>
        <w:rPr>
          <w:rFonts w:ascii="宋体" w:hAnsi="宋体"/>
          <w:szCs w:val="21"/>
        </w:rPr>
        <w:t>1.1.1.</w:t>
      </w:r>
      <w:r>
        <w:rPr>
          <w:rFonts w:hint="eastAsia" w:ascii="宋体" w:hAnsi="宋体"/>
          <w:szCs w:val="21"/>
        </w:rPr>
        <w:t>14 公章：专指法定单位名称章</w:t>
      </w:r>
      <w:r>
        <w:rPr>
          <w:rFonts w:ascii="宋体" w:hAnsi="宋体"/>
          <w:szCs w:val="21"/>
        </w:rPr>
        <w:t>。</w:t>
      </w:r>
    </w:p>
    <w:bookmarkEnd w:id="532"/>
    <w:p w14:paraId="00F1D292">
      <w:pPr>
        <w:spacing w:line="360" w:lineRule="auto"/>
        <w:ind w:firstLine="420" w:firstLineChars="200"/>
        <w:jc w:val="left"/>
        <w:rPr>
          <w:rFonts w:ascii="宋体" w:hAnsi="宋体"/>
          <w:szCs w:val="21"/>
        </w:rPr>
      </w:pPr>
      <w:r>
        <w:rPr>
          <w:rFonts w:hint="eastAsia" w:ascii="宋体" w:hAnsi="宋体"/>
          <w:szCs w:val="21"/>
        </w:rPr>
        <w:t>1.1.1.15 到岗：指承包人按照到岗履职承诺安排满足办理施工许可手续相关要求的项目主要管理人员实际到施工现场就职履约的行为。</w:t>
      </w:r>
    </w:p>
    <w:p w14:paraId="2B28BE43">
      <w:pPr>
        <w:spacing w:line="360" w:lineRule="auto"/>
        <w:ind w:firstLine="420" w:firstLineChars="200"/>
        <w:jc w:val="left"/>
        <w:rPr>
          <w:rFonts w:ascii="宋体" w:hAnsi="宋体"/>
          <w:szCs w:val="21"/>
        </w:rPr>
      </w:pPr>
      <w:r>
        <w:rPr>
          <w:rFonts w:hint="eastAsia" w:ascii="宋体" w:hAnsi="宋体"/>
          <w:szCs w:val="21"/>
        </w:rPr>
        <w:t>1.1.1.16 项目法人：指具有民事权利能力和民事行为能力，依法独立享有民事权利和承担民事义务，以建设项目为目的，从事项目管理的机构、单位或组织。</w:t>
      </w:r>
    </w:p>
    <w:p w14:paraId="6661B6BD">
      <w:pPr>
        <w:spacing w:line="360" w:lineRule="auto"/>
        <w:ind w:firstLine="420" w:firstLineChars="200"/>
        <w:jc w:val="left"/>
        <w:rPr>
          <w:rFonts w:ascii="宋体" w:hAnsi="宋体"/>
          <w:szCs w:val="21"/>
        </w:rPr>
      </w:pPr>
      <w:r>
        <w:rPr>
          <w:rFonts w:hint="eastAsia" w:ascii="宋体" w:hAnsi="宋体"/>
          <w:szCs w:val="21"/>
        </w:rPr>
        <w:t>1.1.2 合同当事人及其他相关方</w:t>
      </w:r>
    </w:p>
    <w:p w14:paraId="4E07CED6">
      <w:pPr>
        <w:spacing w:line="360" w:lineRule="auto"/>
        <w:ind w:firstLine="420" w:firstLineChars="200"/>
        <w:jc w:val="left"/>
        <w:rPr>
          <w:rFonts w:ascii="宋体" w:hAnsi="宋体"/>
          <w:szCs w:val="21"/>
        </w:rPr>
      </w:pPr>
      <w:r>
        <w:rPr>
          <w:rFonts w:hint="eastAsia" w:ascii="宋体" w:hAnsi="宋体"/>
          <w:szCs w:val="21"/>
        </w:rPr>
        <w:t>1.1.2.4 监理人：</w:t>
      </w:r>
    </w:p>
    <w:p w14:paraId="2ED5C487">
      <w:pPr>
        <w:spacing w:line="360" w:lineRule="auto"/>
        <w:ind w:firstLine="420" w:firstLineChars="200"/>
        <w:jc w:val="left"/>
        <w:rPr>
          <w:rFonts w:ascii="宋体" w:hAnsi="宋体"/>
          <w:szCs w:val="21"/>
        </w:rPr>
      </w:pPr>
      <w:r>
        <w:rPr>
          <w:rFonts w:hint="eastAsia" w:ascii="宋体" w:hAnsi="宋体"/>
          <w:szCs w:val="21"/>
        </w:rPr>
        <w:t>名    称：</w:t>
      </w:r>
      <w:r>
        <w:rPr>
          <w:rFonts w:ascii="宋体" w:hAnsi="宋体"/>
          <w:szCs w:val="21"/>
          <w:u w:val="single"/>
        </w:rPr>
        <w:t xml:space="preserve">    </w:t>
      </w:r>
      <w:r>
        <w:rPr>
          <w:rFonts w:hint="eastAsia" w:ascii="宋体" w:hAnsi="宋体"/>
          <w:szCs w:val="21"/>
        </w:rPr>
        <w:t>；</w:t>
      </w:r>
    </w:p>
    <w:p w14:paraId="24F1B57B">
      <w:pPr>
        <w:spacing w:line="360" w:lineRule="auto"/>
        <w:ind w:firstLine="420" w:firstLineChars="200"/>
        <w:jc w:val="left"/>
        <w:rPr>
          <w:rFonts w:ascii="宋体" w:hAnsi="宋体"/>
          <w:szCs w:val="21"/>
        </w:rPr>
      </w:pPr>
      <w:r>
        <w:rPr>
          <w:rFonts w:hint="eastAsia" w:ascii="宋体" w:hAnsi="宋体"/>
          <w:szCs w:val="21"/>
        </w:rPr>
        <w:t>资质类别和等级：</w:t>
      </w:r>
      <w:r>
        <w:rPr>
          <w:rFonts w:ascii="宋体" w:hAnsi="宋体"/>
          <w:szCs w:val="21"/>
          <w:u w:val="single"/>
        </w:rPr>
        <w:t></w:t>
      </w:r>
      <w:r>
        <w:rPr>
          <w:rFonts w:hint="eastAsia" w:ascii="宋体" w:hAnsi="宋体"/>
          <w:szCs w:val="21"/>
        </w:rPr>
        <w:t>；</w:t>
      </w:r>
    </w:p>
    <w:p w14:paraId="6AFC92AA">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w:t>
      </w:r>
      <w:r>
        <w:rPr>
          <w:rFonts w:hint="eastAsia" w:ascii="宋体" w:hAnsi="宋体"/>
          <w:szCs w:val="21"/>
        </w:rPr>
        <w:t>。</w:t>
      </w:r>
    </w:p>
    <w:p w14:paraId="11300A44">
      <w:pPr>
        <w:spacing w:line="360" w:lineRule="auto"/>
        <w:ind w:firstLine="420" w:firstLineChars="200"/>
        <w:jc w:val="left"/>
        <w:rPr>
          <w:rFonts w:ascii="宋体" w:hAnsi="宋体"/>
          <w:szCs w:val="21"/>
        </w:rPr>
      </w:pPr>
      <w:r>
        <w:rPr>
          <w:rFonts w:hint="eastAsia" w:ascii="宋体" w:hAnsi="宋体"/>
          <w:szCs w:val="21"/>
        </w:rPr>
        <w:t>1.1.2.5 设计人：</w:t>
      </w:r>
    </w:p>
    <w:p w14:paraId="63A29542">
      <w:pPr>
        <w:spacing w:line="360" w:lineRule="auto"/>
        <w:ind w:firstLine="420" w:firstLineChars="200"/>
        <w:jc w:val="left"/>
        <w:rPr>
          <w:rFonts w:ascii="宋体" w:hAnsi="宋体"/>
          <w:szCs w:val="21"/>
        </w:rPr>
      </w:pPr>
      <w:r>
        <w:rPr>
          <w:rFonts w:hint="eastAsia" w:ascii="宋体" w:hAnsi="宋体"/>
          <w:szCs w:val="21"/>
        </w:rPr>
        <w:t>名    称：</w:t>
      </w:r>
      <w:r>
        <w:rPr>
          <w:rFonts w:ascii="宋体" w:hAnsi="宋体"/>
          <w:szCs w:val="21"/>
          <w:u w:val="single"/>
        </w:rPr>
        <w:t xml:space="preserve">    </w:t>
      </w:r>
      <w:r>
        <w:rPr>
          <w:rFonts w:hint="eastAsia" w:ascii="宋体" w:hAnsi="宋体"/>
          <w:szCs w:val="21"/>
        </w:rPr>
        <w:t>；</w:t>
      </w:r>
    </w:p>
    <w:p w14:paraId="2E9EFAA4">
      <w:pPr>
        <w:spacing w:line="360" w:lineRule="auto"/>
        <w:ind w:firstLine="420" w:firstLineChars="200"/>
        <w:jc w:val="left"/>
        <w:rPr>
          <w:rFonts w:ascii="宋体" w:hAnsi="宋体"/>
          <w:szCs w:val="21"/>
        </w:rPr>
      </w:pPr>
      <w:r>
        <w:rPr>
          <w:rFonts w:hint="eastAsia" w:ascii="宋体" w:hAnsi="宋体"/>
          <w:szCs w:val="21"/>
        </w:rPr>
        <w:t>资质类别和等级：</w:t>
      </w:r>
      <w:r>
        <w:rPr>
          <w:rFonts w:ascii="宋体" w:hAnsi="宋体"/>
          <w:szCs w:val="21"/>
          <w:u w:val="single"/>
        </w:rPr>
        <w:t></w:t>
      </w:r>
      <w:r>
        <w:rPr>
          <w:rFonts w:hint="eastAsia" w:ascii="宋体" w:hAnsi="宋体"/>
          <w:szCs w:val="21"/>
        </w:rPr>
        <w:t>；</w:t>
      </w:r>
    </w:p>
    <w:p w14:paraId="6705D9F2">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w:t>
      </w:r>
      <w:r>
        <w:rPr>
          <w:rFonts w:hint="eastAsia" w:ascii="宋体" w:hAnsi="宋体"/>
          <w:szCs w:val="21"/>
        </w:rPr>
        <w:t>。</w:t>
      </w:r>
    </w:p>
    <w:p w14:paraId="1626B814">
      <w:pPr>
        <w:spacing w:line="360" w:lineRule="auto"/>
        <w:ind w:firstLine="420" w:firstLineChars="200"/>
        <w:jc w:val="left"/>
        <w:rPr>
          <w:rFonts w:ascii="宋体" w:hAnsi="宋体"/>
          <w:szCs w:val="21"/>
        </w:rPr>
      </w:pPr>
      <w:r>
        <w:rPr>
          <w:rFonts w:hint="eastAsia" w:ascii="宋体" w:hAnsi="宋体"/>
          <w:szCs w:val="21"/>
        </w:rPr>
        <w:t>1.1.3 工程和设备</w:t>
      </w:r>
    </w:p>
    <w:p w14:paraId="08BBCD02">
      <w:pPr>
        <w:spacing w:line="360" w:lineRule="auto"/>
        <w:ind w:firstLine="420" w:firstLineChars="200"/>
        <w:jc w:val="left"/>
        <w:rPr>
          <w:rFonts w:ascii="宋体" w:hAnsi="宋体"/>
          <w:szCs w:val="21"/>
        </w:rPr>
      </w:pPr>
      <w:r>
        <w:rPr>
          <w:rFonts w:hint="eastAsia" w:ascii="宋体" w:hAnsi="宋体"/>
          <w:kern w:val="0"/>
          <w:szCs w:val="21"/>
        </w:rPr>
        <w:t>1.1.3.7 作为施工现场组成部分的其他场所包括：</w:t>
      </w:r>
      <w:r>
        <w:rPr>
          <w:rFonts w:hint="eastAsia" w:ascii="宋体" w:hAnsi="宋体"/>
          <w:kern w:val="0"/>
          <w:szCs w:val="21"/>
          <w:u w:val="single"/>
        </w:rPr>
        <w:t>永久占地、临时占地以及为修建临时工程而租用、占用的土地</w:t>
      </w:r>
      <w:r>
        <w:rPr>
          <w:rFonts w:hint="eastAsia" w:ascii="宋体" w:hAnsi="宋体"/>
          <w:szCs w:val="21"/>
        </w:rPr>
        <w:t>。</w:t>
      </w:r>
    </w:p>
    <w:p w14:paraId="78948A26">
      <w:pPr>
        <w:spacing w:line="360" w:lineRule="auto"/>
        <w:ind w:firstLine="420" w:firstLineChars="200"/>
        <w:jc w:val="left"/>
        <w:rPr>
          <w:rFonts w:ascii="宋体" w:hAnsi="宋体"/>
          <w:szCs w:val="21"/>
        </w:rPr>
      </w:pPr>
      <w:r>
        <w:rPr>
          <w:rFonts w:hint="eastAsia" w:ascii="宋体" w:hAnsi="宋体"/>
          <w:kern w:val="0"/>
          <w:szCs w:val="21"/>
        </w:rPr>
        <w:t>1.1.3.9 永久占地包括：</w:t>
      </w:r>
      <w:r>
        <w:rPr>
          <w:rFonts w:hint="eastAsia" w:ascii="宋体" w:hAnsi="宋体"/>
          <w:kern w:val="0"/>
          <w:szCs w:val="21"/>
          <w:u w:val="single"/>
        </w:rPr>
        <w:t>为实施合同工程而需要的一切永久占用的土地，即合同工程</w:t>
      </w:r>
      <w:r>
        <w:rPr>
          <w:rFonts w:hint="eastAsia" w:ascii="宋体" w:hAnsi="宋体"/>
          <w:szCs w:val="21"/>
          <w:u w:val="single"/>
        </w:rPr>
        <w:t>用地红线范围内的土地</w:t>
      </w:r>
      <w:r>
        <w:rPr>
          <w:rFonts w:hint="eastAsia" w:ascii="宋体" w:hAnsi="宋体"/>
          <w:szCs w:val="21"/>
        </w:rPr>
        <w:t>。</w:t>
      </w:r>
    </w:p>
    <w:p w14:paraId="4B7359BA">
      <w:pPr>
        <w:spacing w:line="360" w:lineRule="auto"/>
        <w:ind w:firstLine="420" w:firstLineChars="200"/>
        <w:jc w:val="left"/>
        <w:rPr>
          <w:rFonts w:ascii="宋体" w:hAnsi="宋体"/>
          <w:szCs w:val="21"/>
        </w:rPr>
      </w:pPr>
      <w:r>
        <w:rPr>
          <w:rFonts w:hint="eastAsia" w:ascii="宋体" w:hAnsi="宋体"/>
          <w:szCs w:val="21"/>
        </w:rPr>
        <w:t>1.1.3.10 临时占地包括：</w:t>
      </w:r>
      <w:r>
        <w:rPr>
          <w:rFonts w:hint="eastAsia" w:ascii="宋体" w:hAnsi="宋体"/>
          <w:szCs w:val="21"/>
          <w:u w:val="single"/>
        </w:rPr>
        <w:t>为实施合同工程而需要</w:t>
      </w:r>
      <w:r>
        <w:rPr>
          <w:rFonts w:hint="eastAsia" w:ascii="宋体" w:hAnsi="宋体"/>
          <w:kern w:val="0"/>
          <w:szCs w:val="21"/>
          <w:u w:val="single"/>
        </w:rPr>
        <w:t>的一切</w:t>
      </w:r>
      <w:r>
        <w:rPr>
          <w:rFonts w:hint="eastAsia" w:ascii="宋体" w:hAnsi="宋体"/>
          <w:szCs w:val="21"/>
          <w:u w:val="single"/>
        </w:rPr>
        <w:t>临时占用的土地，包括施工所用的临时便道等的临时出入道，以及生产（办公）、生活等临时设施用地</w:t>
      </w:r>
      <w:r>
        <w:rPr>
          <w:rFonts w:hint="eastAsia" w:ascii="宋体" w:hAnsi="宋体"/>
          <w:szCs w:val="21"/>
        </w:rPr>
        <w:t>。</w:t>
      </w:r>
    </w:p>
    <w:p w14:paraId="72FB12F7">
      <w:pPr>
        <w:spacing w:line="360" w:lineRule="auto"/>
        <w:ind w:firstLine="420" w:firstLineChars="200"/>
        <w:jc w:val="left"/>
        <w:rPr>
          <w:rFonts w:ascii="宋体" w:hAnsi="宋体"/>
          <w:szCs w:val="21"/>
        </w:rPr>
      </w:pPr>
      <w:r>
        <w:rPr>
          <w:rFonts w:hint="eastAsia" w:ascii="宋体" w:hAnsi="宋体"/>
          <w:szCs w:val="21"/>
        </w:rPr>
        <w:t>1.1.6 其他</w:t>
      </w:r>
    </w:p>
    <w:p w14:paraId="14F0A762">
      <w:pPr>
        <w:spacing w:line="360" w:lineRule="auto"/>
        <w:ind w:firstLine="420" w:firstLineChars="200"/>
        <w:jc w:val="left"/>
        <w:rPr>
          <w:rFonts w:ascii="宋体" w:hAnsi="宋体"/>
          <w:szCs w:val="21"/>
        </w:rPr>
      </w:pPr>
      <w:bookmarkStart w:id="544" w:name="_Hlk528927262"/>
      <w:r>
        <w:rPr>
          <w:rFonts w:hint="eastAsia" w:ascii="宋体" w:hAnsi="宋体"/>
          <w:szCs w:val="21"/>
        </w:rPr>
        <w:t>本项补充1.1.6.2～1.1.6.3目：</w:t>
      </w:r>
    </w:p>
    <w:p w14:paraId="3C0DA8FA">
      <w:pPr>
        <w:spacing w:line="360" w:lineRule="auto"/>
        <w:ind w:firstLine="420" w:firstLineChars="200"/>
        <w:jc w:val="left"/>
        <w:rPr>
          <w:rFonts w:ascii="宋体" w:hAnsi="宋体"/>
          <w:szCs w:val="21"/>
        </w:rPr>
      </w:pPr>
      <w:r>
        <w:rPr>
          <w:rFonts w:hint="eastAsia" w:ascii="宋体" w:hAnsi="宋体"/>
          <w:szCs w:val="21"/>
        </w:rPr>
        <w:t>1.1.6.2 转包、违法分包及挂靠：指符合《住房和城乡建设部关于印发建筑工程施工发包与承包违法行为认定查处管理办法的通知》（建市规〔2019〕1号）规定认定条件的</w:t>
      </w:r>
      <w:r>
        <w:rPr>
          <w:rFonts w:hint="eastAsia" w:ascii="宋体" w:hAnsi="宋体"/>
          <w:kern w:val="0"/>
          <w:szCs w:val="21"/>
        </w:rPr>
        <w:t>违法行为</w:t>
      </w:r>
      <w:r>
        <w:rPr>
          <w:rFonts w:hint="eastAsia" w:ascii="宋体" w:hAnsi="宋体"/>
          <w:szCs w:val="21"/>
        </w:rPr>
        <w:t>。</w:t>
      </w:r>
    </w:p>
    <w:bookmarkEnd w:id="544"/>
    <w:p w14:paraId="03911803">
      <w:pPr>
        <w:spacing w:line="360" w:lineRule="auto"/>
        <w:ind w:firstLine="420" w:firstLineChars="200"/>
        <w:jc w:val="left"/>
        <w:rPr>
          <w:rFonts w:ascii="宋体" w:hAnsi="宋体"/>
          <w:szCs w:val="21"/>
        </w:rPr>
      </w:pPr>
      <w:r>
        <w:rPr>
          <w:rFonts w:hint="eastAsia" w:ascii="宋体" w:hAnsi="宋体"/>
          <w:szCs w:val="21"/>
        </w:rPr>
        <w:t>1.1.6.3 危险性较大的分部分项工程（以下简称“危大工程”）：指住房和城乡建设部令第37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14:paraId="392AFEA4">
      <w:pPr>
        <w:pStyle w:val="7"/>
        <w:spacing w:before="0" w:beforeAutospacing="0" w:after="0" w:afterAutospacing="0" w:line="360" w:lineRule="auto"/>
        <w:ind w:firstLine="422" w:firstLineChars="200"/>
        <w:rPr>
          <w:sz w:val="21"/>
          <w:szCs w:val="21"/>
        </w:rPr>
      </w:pPr>
      <w:bookmarkStart w:id="545" w:name="_Toc532377323"/>
      <w:r>
        <w:rPr>
          <w:rFonts w:hint="eastAsia"/>
          <w:sz w:val="21"/>
          <w:szCs w:val="21"/>
        </w:rPr>
        <w:t>1.4 标准和规范</w:t>
      </w:r>
      <w:bookmarkEnd w:id="545"/>
    </w:p>
    <w:p w14:paraId="2CE6CF23">
      <w:pPr>
        <w:spacing w:line="360" w:lineRule="auto"/>
        <w:ind w:firstLine="420" w:firstLineChars="200"/>
        <w:jc w:val="left"/>
        <w:rPr>
          <w:rFonts w:ascii="宋体" w:hAnsi="宋体"/>
          <w:szCs w:val="21"/>
        </w:rPr>
      </w:pPr>
      <w:r>
        <w:rPr>
          <w:rFonts w:hint="eastAsia" w:ascii="宋体" w:hAnsi="宋体"/>
          <w:szCs w:val="21"/>
        </w:rPr>
        <w:t>1.4.1 适用于工程的标准规范包括：</w:t>
      </w:r>
    </w:p>
    <w:p w14:paraId="64B85F42">
      <w:pPr>
        <w:spacing w:line="360" w:lineRule="auto"/>
        <w:ind w:firstLine="420" w:firstLineChars="200"/>
        <w:jc w:val="left"/>
        <w:rPr>
          <w:rFonts w:ascii="宋体" w:hAnsi="宋体"/>
          <w:szCs w:val="21"/>
        </w:rPr>
      </w:pPr>
      <w:r>
        <w:rPr>
          <w:rFonts w:hint="eastAsia" w:ascii="宋体" w:hAnsi="宋体"/>
          <w:szCs w:val="21"/>
        </w:rPr>
        <w:t>（1）施工图所涉及的技术标准、规范、规程、图集等；</w:t>
      </w:r>
    </w:p>
    <w:p w14:paraId="78DE5472">
      <w:pPr>
        <w:spacing w:line="360" w:lineRule="auto"/>
        <w:ind w:firstLine="420" w:firstLineChars="200"/>
        <w:jc w:val="left"/>
        <w:rPr>
          <w:rFonts w:ascii="宋体" w:hAnsi="宋体"/>
          <w:szCs w:val="21"/>
          <w:u w:val="single"/>
        </w:rPr>
      </w:pPr>
      <w:r>
        <w:rPr>
          <w:rFonts w:hint="eastAsia" w:ascii="宋体" w:hAnsi="宋体"/>
          <w:szCs w:val="21"/>
        </w:rPr>
        <w:t>（2）国家、行业或重庆市与本工程有关的标准，以及相应的规范、规程等，当这些标准、规范、规程不一致时，以标准、规范、规程要求最高的为准。</w:t>
      </w:r>
    </w:p>
    <w:p w14:paraId="054601DD">
      <w:pPr>
        <w:spacing w:line="360" w:lineRule="auto"/>
        <w:ind w:firstLine="420" w:firstLineChars="200"/>
        <w:jc w:val="left"/>
        <w:rPr>
          <w:rFonts w:ascii="宋体" w:hAnsi="宋体"/>
          <w:szCs w:val="21"/>
          <w:u w:val="single"/>
        </w:rPr>
      </w:pPr>
      <w:r>
        <w:rPr>
          <w:rFonts w:ascii="宋体" w:hAnsi="宋体"/>
          <w:szCs w:val="21"/>
        </w:rPr>
        <w:t>（</w:t>
      </w:r>
      <w:r>
        <w:rPr>
          <w:rFonts w:hint="eastAsia" w:ascii="宋体" w:hAnsi="宋体"/>
          <w:szCs w:val="21"/>
        </w:rPr>
        <w:t>3</w:t>
      </w:r>
      <w:r>
        <w:rPr>
          <w:rFonts w:ascii="宋体" w:hAnsi="宋体"/>
          <w:szCs w:val="21"/>
        </w:rPr>
        <w:t>）</w:t>
      </w:r>
      <w:r>
        <w:rPr>
          <w:rFonts w:hint="eastAsia" w:ascii="宋体" w:hAnsi="宋体"/>
          <w:szCs w:val="21"/>
          <w:u w:val="single"/>
        </w:rPr>
        <w:t xml:space="preserve"> 其他应当遵守的法律法规、规范和标准  </w:t>
      </w:r>
      <w:r>
        <w:rPr>
          <w:rFonts w:hint="eastAsia" w:ascii="宋体" w:hAnsi="宋体"/>
          <w:szCs w:val="21"/>
        </w:rPr>
        <w:t>。</w:t>
      </w:r>
    </w:p>
    <w:p w14:paraId="64FD3237">
      <w:pPr>
        <w:spacing w:line="360" w:lineRule="auto"/>
        <w:ind w:firstLine="420" w:firstLineChars="200"/>
        <w:jc w:val="left"/>
        <w:rPr>
          <w:rFonts w:ascii="宋体" w:hAnsi="宋体"/>
          <w:kern w:val="0"/>
          <w:szCs w:val="21"/>
        </w:rPr>
      </w:pPr>
      <w:r>
        <w:rPr>
          <w:rFonts w:hint="eastAsia" w:ascii="宋体" w:hAnsi="宋体"/>
          <w:kern w:val="0"/>
          <w:szCs w:val="21"/>
        </w:rPr>
        <w:t>1.4.2 发包人提供国外标准、规范的名称：</w:t>
      </w:r>
      <w:r>
        <w:rPr>
          <w:rFonts w:hint="eastAsia" w:ascii="宋体" w:hAnsi="宋体"/>
          <w:kern w:val="0"/>
          <w:szCs w:val="21"/>
          <w:u w:val="single"/>
        </w:rPr>
        <w:t xml:space="preserve"> / </w:t>
      </w:r>
      <w:r>
        <w:rPr>
          <w:rFonts w:hint="eastAsia" w:ascii="宋体" w:hAnsi="宋体"/>
          <w:kern w:val="0"/>
          <w:szCs w:val="21"/>
        </w:rPr>
        <w:t>；</w:t>
      </w:r>
    </w:p>
    <w:p w14:paraId="525FC36E">
      <w:pPr>
        <w:spacing w:line="360" w:lineRule="auto"/>
        <w:ind w:firstLine="420" w:firstLineChars="200"/>
        <w:jc w:val="left"/>
        <w:rPr>
          <w:rFonts w:ascii="宋体" w:hAnsi="宋体"/>
          <w:kern w:val="0"/>
          <w:szCs w:val="21"/>
        </w:rPr>
      </w:pPr>
      <w:r>
        <w:rPr>
          <w:rFonts w:hint="eastAsia" w:ascii="宋体" w:hAnsi="宋体"/>
          <w:kern w:val="0"/>
          <w:szCs w:val="21"/>
        </w:rPr>
        <w:t>发包人提供国外标准、规范的份数：</w:t>
      </w:r>
      <w:r>
        <w:rPr>
          <w:rFonts w:hint="eastAsia" w:ascii="宋体" w:hAnsi="宋体"/>
          <w:kern w:val="0"/>
          <w:szCs w:val="21"/>
          <w:u w:val="single"/>
        </w:rPr>
        <w:t xml:space="preserve"> / </w:t>
      </w:r>
      <w:r>
        <w:rPr>
          <w:rFonts w:hint="eastAsia" w:ascii="宋体" w:hAnsi="宋体"/>
          <w:kern w:val="0"/>
          <w:szCs w:val="21"/>
        </w:rPr>
        <w:t>；</w:t>
      </w:r>
    </w:p>
    <w:p w14:paraId="64242663">
      <w:pPr>
        <w:spacing w:line="360" w:lineRule="auto"/>
        <w:ind w:firstLine="420" w:firstLineChars="200"/>
        <w:jc w:val="left"/>
        <w:rPr>
          <w:rFonts w:ascii="宋体" w:hAnsi="宋体"/>
          <w:kern w:val="0"/>
          <w:szCs w:val="21"/>
        </w:rPr>
      </w:pPr>
      <w:r>
        <w:rPr>
          <w:rFonts w:hint="eastAsia" w:ascii="宋体" w:hAnsi="宋体"/>
          <w:kern w:val="0"/>
          <w:szCs w:val="21"/>
        </w:rPr>
        <w:t>发包人提供国外标准、规范的名称：</w:t>
      </w:r>
      <w:r>
        <w:rPr>
          <w:rFonts w:hint="eastAsia" w:ascii="宋体" w:hAnsi="宋体"/>
          <w:kern w:val="0"/>
          <w:szCs w:val="21"/>
          <w:u w:val="single"/>
        </w:rPr>
        <w:t xml:space="preserve"> / </w:t>
      </w:r>
      <w:r>
        <w:rPr>
          <w:rFonts w:hint="eastAsia" w:ascii="宋体" w:hAnsi="宋体"/>
          <w:kern w:val="0"/>
          <w:szCs w:val="21"/>
        </w:rPr>
        <w:t>。</w:t>
      </w:r>
    </w:p>
    <w:p w14:paraId="15C2B70E">
      <w:pPr>
        <w:spacing w:line="360" w:lineRule="auto"/>
        <w:ind w:firstLine="420" w:firstLineChars="200"/>
        <w:jc w:val="left"/>
        <w:rPr>
          <w:rFonts w:ascii="宋体" w:hAnsi="宋体"/>
          <w:szCs w:val="21"/>
        </w:rPr>
      </w:pPr>
      <w:r>
        <w:rPr>
          <w:rFonts w:hint="eastAsia" w:ascii="宋体" w:hAnsi="宋体"/>
          <w:szCs w:val="21"/>
        </w:rPr>
        <w:t>1.4.3 发包人对工程的技术标准和功能要求的特殊要求：</w:t>
      </w:r>
      <w:r>
        <w:rPr>
          <w:rFonts w:hint="eastAsia" w:ascii="宋体" w:hAnsi="宋体"/>
          <w:kern w:val="0"/>
          <w:szCs w:val="21"/>
          <w:u w:val="single"/>
        </w:rPr>
        <w:t xml:space="preserve">/ </w:t>
      </w:r>
      <w:r>
        <w:rPr>
          <w:rFonts w:hint="eastAsia" w:ascii="宋体" w:hAnsi="宋体"/>
          <w:szCs w:val="21"/>
        </w:rPr>
        <w:t>。</w:t>
      </w:r>
    </w:p>
    <w:p w14:paraId="0234047F">
      <w:pPr>
        <w:pStyle w:val="7"/>
        <w:spacing w:before="0" w:beforeAutospacing="0" w:after="0" w:afterAutospacing="0" w:line="360" w:lineRule="auto"/>
        <w:ind w:firstLine="422" w:firstLineChars="200"/>
        <w:rPr>
          <w:sz w:val="21"/>
          <w:szCs w:val="21"/>
        </w:rPr>
      </w:pPr>
      <w:bookmarkStart w:id="546" w:name="_Toc532377324"/>
      <w:r>
        <w:rPr>
          <w:rFonts w:hint="eastAsia"/>
          <w:sz w:val="21"/>
          <w:szCs w:val="21"/>
        </w:rPr>
        <w:t>1.5 合同文件的优先顺序</w:t>
      </w:r>
      <w:bookmarkEnd w:id="546"/>
    </w:p>
    <w:p w14:paraId="6C245962">
      <w:pPr>
        <w:spacing w:line="360" w:lineRule="auto"/>
        <w:ind w:firstLine="420" w:firstLineChars="200"/>
        <w:jc w:val="left"/>
        <w:rPr>
          <w:rFonts w:ascii="宋体" w:hAnsi="宋体"/>
          <w:szCs w:val="21"/>
        </w:rPr>
      </w:pPr>
      <w:r>
        <w:rPr>
          <w:rFonts w:hint="eastAsia" w:ascii="宋体" w:hAnsi="宋体"/>
          <w:szCs w:val="21"/>
        </w:rPr>
        <w:t>合同文件组成及优先顺序为：</w:t>
      </w:r>
      <w:r>
        <w:rPr>
          <w:rFonts w:hint="eastAsia" w:ascii="宋体" w:hAnsi="宋体"/>
          <w:szCs w:val="21"/>
          <w:u w:val="single"/>
        </w:rPr>
        <w:t>按照合同协议书</w:t>
      </w:r>
      <w:r>
        <w:rPr>
          <w:rFonts w:hint="eastAsia" w:ascii="宋体" w:hAnsi="宋体"/>
          <w:bCs/>
          <w:szCs w:val="21"/>
          <w:u w:val="single"/>
        </w:rPr>
        <w:t>〔</w:t>
      </w:r>
      <w:r>
        <w:rPr>
          <w:rFonts w:hint="eastAsia" w:ascii="宋体" w:hAnsi="宋体"/>
          <w:szCs w:val="21"/>
          <w:u w:val="single"/>
        </w:rPr>
        <w:t>第六条</w:t>
      </w:r>
      <w:r>
        <w:rPr>
          <w:rFonts w:hint="eastAsia" w:ascii="宋体" w:hAnsi="宋体"/>
          <w:bCs/>
          <w:szCs w:val="21"/>
          <w:u w:val="single"/>
        </w:rPr>
        <w:t>〕</w:t>
      </w:r>
      <w:r>
        <w:rPr>
          <w:rFonts w:hint="eastAsia" w:ascii="宋体" w:hAnsi="宋体"/>
          <w:szCs w:val="21"/>
          <w:u w:val="single"/>
        </w:rPr>
        <w:t>约定执行</w:t>
      </w:r>
      <w:r>
        <w:rPr>
          <w:rFonts w:hint="eastAsia" w:ascii="宋体" w:hAnsi="宋体"/>
          <w:szCs w:val="21"/>
        </w:rPr>
        <w:t>。</w:t>
      </w:r>
    </w:p>
    <w:p w14:paraId="4CC0E41A">
      <w:pPr>
        <w:pStyle w:val="7"/>
        <w:spacing w:before="0" w:beforeAutospacing="0" w:after="0" w:afterAutospacing="0" w:line="360" w:lineRule="auto"/>
        <w:ind w:firstLine="422" w:firstLineChars="200"/>
        <w:rPr>
          <w:sz w:val="21"/>
          <w:szCs w:val="21"/>
        </w:rPr>
      </w:pPr>
      <w:bookmarkStart w:id="547" w:name="_Toc532377325"/>
      <w:r>
        <w:rPr>
          <w:rFonts w:hint="eastAsia"/>
          <w:sz w:val="21"/>
          <w:szCs w:val="21"/>
        </w:rPr>
        <w:t>1.6 图纸和承包人文件</w:t>
      </w:r>
      <w:bookmarkEnd w:id="547"/>
    </w:p>
    <w:p w14:paraId="461B5EAA">
      <w:pPr>
        <w:spacing w:line="360" w:lineRule="auto"/>
        <w:ind w:firstLine="420" w:firstLineChars="200"/>
        <w:jc w:val="left"/>
        <w:rPr>
          <w:rFonts w:ascii="宋体" w:hAnsi="宋体"/>
          <w:szCs w:val="21"/>
        </w:rPr>
      </w:pPr>
      <w:r>
        <w:rPr>
          <w:rFonts w:hint="eastAsia" w:ascii="宋体" w:hAnsi="宋体"/>
          <w:szCs w:val="21"/>
        </w:rPr>
        <w:t>1.6.1 图纸的提供和交底</w:t>
      </w:r>
    </w:p>
    <w:p w14:paraId="657413DA">
      <w:pPr>
        <w:spacing w:line="360" w:lineRule="auto"/>
        <w:ind w:firstLine="420" w:firstLineChars="200"/>
        <w:jc w:val="left"/>
        <w:rPr>
          <w:rFonts w:ascii="宋体" w:hAnsi="宋体"/>
          <w:szCs w:val="21"/>
        </w:rPr>
      </w:pPr>
      <w:r>
        <w:rPr>
          <w:rFonts w:hint="eastAsia" w:ascii="宋体" w:hAnsi="宋体"/>
          <w:szCs w:val="21"/>
        </w:rPr>
        <w:t>发包人向承包人提供图纸的期限：</w:t>
      </w:r>
      <w:r>
        <w:rPr>
          <w:rFonts w:hint="eastAsia" w:ascii="宋体" w:hAnsi="宋体"/>
          <w:szCs w:val="21"/>
          <w:u w:val="single"/>
        </w:rPr>
        <w:t>通用合同条款第7.3.2款</w:t>
      </w:r>
      <w:r>
        <w:rPr>
          <w:rFonts w:hint="eastAsia" w:ascii="宋体" w:hAnsi="宋体"/>
          <w:bCs/>
          <w:szCs w:val="21"/>
          <w:u w:val="single"/>
        </w:rPr>
        <w:t>〔</w:t>
      </w:r>
      <w:r>
        <w:rPr>
          <w:rFonts w:hint="eastAsia" w:ascii="宋体" w:hAnsi="宋体"/>
          <w:szCs w:val="21"/>
          <w:u w:val="single"/>
        </w:rPr>
        <w:t>开工通知</w:t>
      </w:r>
      <w:r>
        <w:rPr>
          <w:rFonts w:hint="eastAsia" w:ascii="宋体" w:hAnsi="宋体"/>
          <w:bCs/>
          <w:szCs w:val="21"/>
          <w:u w:val="single"/>
        </w:rPr>
        <w:t>〕</w:t>
      </w:r>
      <w:r>
        <w:rPr>
          <w:rFonts w:hint="eastAsia" w:ascii="宋体" w:hAnsi="宋体"/>
          <w:szCs w:val="21"/>
          <w:u w:val="single"/>
        </w:rPr>
        <w:t>载明的开工日期前14天</w:t>
      </w:r>
      <w:r>
        <w:rPr>
          <w:rFonts w:hint="eastAsia" w:ascii="宋体" w:hAnsi="宋体"/>
          <w:szCs w:val="21"/>
        </w:rPr>
        <w:t>；</w:t>
      </w:r>
    </w:p>
    <w:p w14:paraId="421F124B">
      <w:pPr>
        <w:spacing w:line="360" w:lineRule="auto"/>
        <w:ind w:firstLine="420" w:firstLineChars="200"/>
        <w:jc w:val="left"/>
        <w:rPr>
          <w:rFonts w:ascii="宋体" w:hAnsi="宋体"/>
          <w:szCs w:val="21"/>
        </w:rPr>
      </w:pPr>
      <w:r>
        <w:rPr>
          <w:rFonts w:hint="eastAsia" w:ascii="宋体" w:hAnsi="宋体"/>
          <w:szCs w:val="21"/>
        </w:rPr>
        <w:t>发包人向承包人提供图纸的数量：</w:t>
      </w:r>
      <w:r>
        <w:rPr>
          <w:rFonts w:hint="eastAsia" w:ascii="宋体" w:hAnsi="宋体"/>
          <w:szCs w:val="21"/>
          <w:u w:val="single"/>
        </w:rPr>
        <w:t xml:space="preserve">  2套</w:t>
      </w:r>
      <w:r>
        <w:rPr>
          <w:rFonts w:hint="eastAsia" w:ascii="宋体" w:hAnsi="宋体"/>
          <w:szCs w:val="21"/>
        </w:rPr>
        <w:t xml:space="preserve">； </w:t>
      </w:r>
    </w:p>
    <w:p w14:paraId="453792F4">
      <w:pPr>
        <w:spacing w:line="360" w:lineRule="auto"/>
        <w:ind w:firstLine="420" w:firstLineChars="200"/>
        <w:jc w:val="left"/>
        <w:rPr>
          <w:rFonts w:ascii="宋体" w:hAnsi="宋体"/>
          <w:szCs w:val="21"/>
        </w:rPr>
      </w:pPr>
      <w:r>
        <w:rPr>
          <w:rFonts w:hint="eastAsia" w:ascii="宋体" w:hAnsi="宋体"/>
          <w:szCs w:val="21"/>
        </w:rPr>
        <w:t>发包人向承包人提供图纸的内容：</w:t>
      </w:r>
      <w:r>
        <w:rPr>
          <w:rFonts w:hint="eastAsia" w:ascii="宋体" w:hAnsi="宋体"/>
          <w:szCs w:val="21"/>
          <w:u w:val="single"/>
        </w:rPr>
        <w:t>工程承包范围内工程的施工图设计文件</w:t>
      </w:r>
      <w:r>
        <w:rPr>
          <w:rFonts w:hint="eastAsia" w:ascii="宋体" w:hAnsi="宋体"/>
          <w:szCs w:val="21"/>
        </w:rPr>
        <w:t>；</w:t>
      </w:r>
    </w:p>
    <w:p w14:paraId="7F0C639D">
      <w:pPr>
        <w:spacing w:line="360" w:lineRule="auto"/>
        <w:ind w:firstLine="420" w:firstLineChars="200"/>
        <w:jc w:val="left"/>
        <w:rPr>
          <w:rFonts w:ascii="宋体" w:hAnsi="宋体"/>
          <w:szCs w:val="21"/>
          <w:u w:val="single"/>
        </w:rPr>
      </w:pPr>
      <w:r>
        <w:rPr>
          <w:rFonts w:hint="eastAsia" w:ascii="宋体" w:hAnsi="宋体"/>
          <w:szCs w:val="21"/>
        </w:rPr>
        <w:t>发包人组织承包人、监理人和设计人进行图纸会审和设计交底的时间：</w:t>
      </w:r>
      <w:r>
        <w:rPr>
          <w:rFonts w:hint="eastAsia" w:ascii="宋体" w:hAnsi="宋体"/>
          <w:szCs w:val="21"/>
          <w:u w:val="single"/>
        </w:rPr>
        <w:t>提供施工图后7天内</w:t>
      </w:r>
      <w:r>
        <w:rPr>
          <w:rFonts w:hint="eastAsia" w:ascii="宋体" w:hAnsi="宋体"/>
          <w:szCs w:val="21"/>
        </w:rPr>
        <w:t>。</w:t>
      </w:r>
    </w:p>
    <w:p w14:paraId="0470A83A">
      <w:pPr>
        <w:spacing w:line="360" w:lineRule="auto"/>
        <w:ind w:firstLine="420" w:firstLineChars="200"/>
        <w:jc w:val="left"/>
        <w:rPr>
          <w:rFonts w:ascii="宋体" w:hAnsi="宋体"/>
          <w:szCs w:val="21"/>
          <w:u w:val="single"/>
        </w:rPr>
      </w:pPr>
      <w:r>
        <w:rPr>
          <w:rFonts w:hint="eastAsia" w:ascii="宋体" w:hAnsi="宋体"/>
          <w:szCs w:val="21"/>
          <w:u w:val="single"/>
        </w:rPr>
        <w:t>承包人可以书面方式通过监理人向发包人申请进行紧急的设计交底，发包人认为确有必要且条件许可时，应尽快组织实施承包人申请的设计交底。</w:t>
      </w:r>
    </w:p>
    <w:p w14:paraId="2F34CA72">
      <w:pPr>
        <w:spacing w:line="360" w:lineRule="auto"/>
        <w:ind w:firstLine="420" w:firstLineChars="200"/>
        <w:jc w:val="left"/>
        <w:rPr>
          <w:rFonts w:ascii="宋体" w:hAnsi="宋体"/>
          <w:szCs w:val="21"/>
        </w:rPr>
      </w:pPr>
      <w:r>
        <w:rPr>
          <w:rFonts w:hint="eastAsia" w:ascii="宋体" w:hAnsi="宋体"/>
          <w:szCs w:val="21"/>
        </w:rPr>
        <w:t>1.6.2 图纸的错误</w:t>
      </w:r>
    </w:p>
    <w:p w14:paraId="07223AEC">
      <w:pPr>
        <w:spacing w:line="360" w:lineRule="auto"/>
        <w:ind w:firstLine="420" w:firstLineChars="200"/>
        <w:jc w:val="left"/>
        <w:rPr>
          <w:rFonts w:ascii="宋体" w:hAnsi="宋体"/>
          <w:szCs w:val="21"/>
        </w:rPr>
      </w:pPr>
      <w:r>
        <w:rPr>
          <w:rFonts w:hint="eastAsia" w:ascii="宋体" w:hAnsi="宋体"/>
          <w:szCs w:val="21"/>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14:paraId="446BD4F6">
      <w:pPr>
        <w:spacing w:line="360" w:lineRule="auto"/>
        <w:ind w:firstLine="420" w:firstLineChars="200"/>
        <w:jc w:val="left"/>
        <w:rPr>
          <w:rFonts w:ascii="宋体" w:hAnsi="宋体"/>
          <w:szCs w:val="21"/>
          <w:u w:val="single"/>
        </w:rPr>
      </w:pPr>
      <w:r>
        <w:rPr>
          <w:rFonts w:hint="eastAsia" w:ascii="宋体" w:hAnsi="宋体"/>
          <w:szCs w:val="21"/>
        </w:rPr>
        <w:t>承包人不得利用图纸的差错、遗漏或缺陷，从中获得不正当的利益。</w:t>
      </w:r>
    </w:p>
    <w:p w14:paraId="6A7C240B">
      <w:pPr>
        <w:spacing w:line="360" w:lineRule="auto"/>
        <w:ind w:firstLine="420" w:firstLineChars="200"/>
        <w:jc w:val="left"/>
        <w:rPr>
          <w:rFonts w:ascii="宋体" w:hAnsi="宋体"/>
          <w:szCs w:val="21"/>
        </w:rPr>
      </w:pPr>
      <w:r>
        <w:rPr>
          <w:rFonts w:hint="eastAsia" w:ascii="宋体" w:hAnsi="宋体"/>
          <w:szCs w:val="21"/>
        </w:rPr>
        <w:t>1.6.4 承包人文件</w:t>
      </w:r>
    </w:p>
    <w:p w14:paraId="50DFEB2A">
      <w:pPr>
        <w:spacing w:line="360" w:lineRule="auto"/>
        <w:ind w:firstLine="420" w:firstLineChars="200"/>
        <w:jc w:val="left"/>
        <w:rPr>
          <w:rFonts w:ascii="宋体" w:hAnsi="宋体"/>
          <w:szCs w:val="21"/>
        </w:rPr>
      </w:pPr>
      <w:r>
        <w:rPr>
          <w:rFonts w:hint="eastAsia" w:ascii="宋体" w:hAnsi="宋体"/>
          <w:szCs w:val="21"/>
        </w:rPr>
        <w:t>需要由承包人提供的书面文件，包括：</w:t>
      </w:r>
      <w:r>
        <w:rPr>
          <w:rFonts w:hint="eastAsia" w:ascii="宋体" w:hAnsi="宋体"/>
          <w:szCs w:val="21"/>
          <w:u w:val="single"/>
        </w:rPr>
        <w:t>施工组织设计、专项施工方案、</w:t>
      </w:r>
      <w:r>
        <w:rPr>
          <w:rFonts w:ascii="宋体" w:hAnsi="宋体"/>
          <w:szCs w:val="21"/>
          <w:u w:val="single"/>
        </w:rPr>
        <w:t>危险性较大分部分项工程施工方案</w:t>
      </w:r>
      <w:r>
        <w:rPr>
          <w:rFonts w:hint="eastAsia" w:ascii="宋体" w:hAnsi="宋体"/>
          <w:szCs w:val="21"/>
          <w:u w:val="single"/>
        </w:rPr>
        <w:t>（如有）、安全应急方案、进度计划、报表及计划、竣工资料及施工过程中因工程变更需要报送的施工方案、施工过程中涉及工程价款变更的相关资料、完整的竣工结算资料等</w:t>
      </w:r>
      <w:r>
        <w:rPr>
          <w:rFonts w:hint="eastAsia" w:ascii="宋体" w:hAnsi="宋体"/>
          <w:szCs w:val="21"/>
        </w:rPr>
        <w:t>。</w:t>
      </w:r>
    </w:p>
    <w:p w14:paraId="349F8E65">
      <w:pPr>
        <w:spacing w:line="360" w:lineRule="auto"/>
        <w:ind w:firstLine="420" w:firstLineChars="200"/>
        <w:jc w:val="left"/>
        <w:rPr>
          <w:rFonts w:ascii="宋体" w:hAnsi="宋体"/>
          <w:szCs w:val="21"/>
        </w:rPr>
      </w:pPr>
      <w:r>
        <w:rPr>
          <w:rFonts w:hint="eastAsia" w:ascii="宋体" w:hAnsi="宋体"/>
          <w:szCs w:val="21"/>
        </w:rPr>
        <w:t>承包人提供文件的期限、数量：</w:t>
      </w:r>
    </w:p>
    <w:p w14:paraId="3CFDFBF7">
      <w:pPr>
        <w:spacing w:line="360" w:lineRule="auto"/>
        <w:ind w:firstLine="420" w:firstLineChars="200"/>
        <w:jc w:val="left"/>
        <w:rPr>
          <w:rFonts w:ascii="宋体" w:hAnsi="宋体"/>
          <w:szCs w:val="21"/>
          <w:u w:val="single"/>
        </w:rPr>
      </w:pPr>
      <w:r>
        <w:rPr>
          <w:rFonts w:hint="eastAsia" w:ascii="宋体" w:hAnsi="宋体"/>
          <w:szCs w:val="21"/>
        </w:rPr>
        <w:t>（1）</w:t>
      </w:r>
      <w:r>
        <w:rPr>
          <w:rFonts w:hint="eastAsia" w:ascii="宋体" w:hAnsi="宋体"/>
          <w:szCs w:val="21"/>
          <w:u w:val="single"/>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hint="eastAsia" w:ascii="宋体" w:hAnsi="宋体"/>
          <w:szCs w:val="21"/>
        </w:rPr>
        <w:t>。</w:t>
      </w:r>
    </w:p>
    <w:p w14:paraId="39B247E1">
      <w:pPr>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u w:val="single"/>
        </w:rPr>
        <w:t>每月  日前报送月工程进度完成报表</w:t>
      </w:r>
      <w:r>
        <w:rPr>
          <w:rFonts w:hint="eastAsia" w:ascii="宋体" w:hAnsi="宋体"/>
          <w:szCs w:val="21"/>
        </w:rPr>
        <w:t>。</w:t>
      </w:r>
    </w:p>
    <w:p w14:paraId="7C028E98">
      <w:pPr>
        <w:spacing w:line="360" w:lineRule="auto"/>
        <w:ind w:firstLine="420" w:firstLineChars="200"/>
        <w:jc w:val="left"/>
        <w:rPr>
          <w:rFonts w:ascii="宋体" w:hAnsi="宋体"/>
          <w:szCs w:val="21"/>
          <w:u w:val="single"/>
        </w:rPr>
      </w:pPr>
      <w:r>
        <w:rPr>
          <w:rFonts w:hint="eastAsia" w:ascii="宋体" w:hAnsi="宋体"/>
          <w:szCs w:val="21"/>
        </w:rPr>
        <w:t>（3）合同另有约定的，按照其约定。</w:t>
      </w:r>
    </w:p>
    <w:p w14:paraId="5928E199">
      <w:pPr>
        <w:spacing w:line="360" w:lineRule="auto"/>
        <w:ind w:firstLine="420" w:firstLineChars="200"/>
        <w:jc w:val="left"/>
        <w:rPr>
          <w:rFonts w:ascii="宋体" w:hAnsi="宋体"/>
          <w:szCs w:val="21"/>
          <w:u w:val="single"/>
        </w:rPr>
      </w:pPr>
      <w:r>
        <w:rPr>
          <w:rFonts w:hint="eastAsia" w:ascii="宋体" w:hAnsi="宋体"/>
          <w:szCs w:val="21"/>
        </w:rPr>
        <w:t>承包人提供的文件的形式：□采用电子招标的，投标文件以电子文档为准，其他文件以书面文件为准；□采用纸质招标的，当书面文件与电子文档不一致的，以书面文件为准。监理人审批承包人文件的期限：</w:t>
      </w:r>
      <w:r>
        <w:rPr>
          <w:rFonts w:hint="eastAsia" w:ascii="宋体" w:hAnsi="宋体"/>
          <w:szCs w:val="21"/>
          <w:u w:val="single"/>
        </w:rPr>
        <w:t>收到施工组织设计和工程总体进度计划及当年年度施工进度计划后7天内；合同另有约定的，从其约定</w:t>
      </w:r>
      <w:r>
        <w:rPr>
          <w:rFonts w:hint="eastAsia" w:ascii="宋体" w:hAnsi="宋体"/>
          <w:szCs w:val="21"/>
        </w:rPr>
        <w:t>。</w:t>
      </w:r>
    </w:p>
    <w:p w14:paraId="775A1CF3">
      <w:pPr>
        <w:spacing w:line="360" w:lineRule="auto"/>
        <w:ind w:firstLine="420" w:firstLineChars="200"/>
        <w:jc w:val="left"/>
        <w:rPr>
          <w:rFonts w:ascii="宋体" w:hAnsi="宋体"/>
          <w:szCs w:val="21"/>
        </w:rPr>
      </w:pPr>
      <w:r>
        <w:rPr>
          <w:rFonts w:hint="eastAsia" w:ascii="宋体" w:hAnsi="宋体"/>
          <w:szCs w:val="21"/>
        </w:rPr>
        <w:t>承包人提供的文件的费用：</w:t>
      </w:r>
      <w:r>
        <w:rPr>
          <w:rFonts w:hint="eastAsia" w:ascii="宋体" w:hAnsi="宋体"/>
          <w:szCs w:val="21"/>
          <w:u w:val="single"/>
        </w:rPr>
        <w:t>由承包人承担</w:t>
      </w:r>
      <w:r>
        <w:rPr>
          <w:rFonts w:hint="eastAsia" w:ascii="宋体" w:hAnsi="宋体"/>
          <w:szCs w:val="21"/>
        </w:rPr>
        <w:t>。</w:t>
      </w:r>
    </w:p>
    <w:p w14:paraId="5DC2EFB6">
      <w:pPr>
        <w:spacing w:line="360" w:lineRule="auto"/>
        <w:ind w:firstLine="420" w:firstLineChars="200"/>
        <w:jc w:val="left"/>
        <w:rPr>
          <w:rFonts w:ascii="宋体" w:hAnsi="宋体"/>
          <w:szCs w:val="21"/>
          <w:u w:val="single"/>
        </w:rPr>
      </w:pPr>
      <w:r>
        <w:rPr>
          <w:rFonts w:hint="eastAsia" w:ascii="宋体" w:hAnsi="宋体"/>
          <w:szCs w:val="21"/>
        </w:rPr>
        <w:t>发包人审批承包人文件的期限：</w:t>
      </w:r>
      <w:r>
        <w:rPr>
          <w:rFonts w:hint="eastAsia" w:ascii="宋体" w:hAnsi="宋体"/>
          <w:szCs w:val="21"/>
          <w:u w:val="single"/>
        </w:rPr>
        <w:t>收到后14天内；合同另有约定的，从其约定</w:t>
      </w:r>
      <w:r>
        <w:rPr>
          <w:rFonts w:hint="eastAsia" w:ascii="宋体" w:hAnsi="宋体"/>
          <w:szCs w:val="21"/>
        </w:rPr>
        <w:t>。</w:t>
      </w:r>
    </w:p>
    <w:p w14:paraId="4AC69DCB">
      <w:pPr>
        <w:spacing w:line="360" w:lineRule="auto"/>
        <w:ind w:firstLine="420" w:firstLineChars="200"/>
        <w:jc w:val="left"/>
        <w:rPr>
          <w:rFonts w:ascii="宋体" w:hAnsi="宋体"/>
          <w:szCs w:val="21"/>
        </w:rPr>
      </w:pPr>
      <w:r>
        <w:rPr>
          <w:rFonts w:hint="eastAsia" w:ascii="宋体" w:hAnsi="宋体"/>
          <w:szCs w:val="21"/>
          <w:u w:val="single"/>
        </w:rPr>
        <w:t>监理人、发包人的修改意见和审批，不免除或减轻承包人对该工作、工程、材料、工程设备等应承担的责任和义务</w:t>
      </w:r>
      <w:r>
        <w:rPr>
          <w:rFonts w:hint="eastAsia" w:ascii="宋体" w:hAnsi="宋体"/>
          <w:szCs w:val="21"/>
        </w:rPr>
        <w:t>。</w:t>
      </w:r>
    </w:p>
    <w:p w14:paraId="60B05BC5">
      <w:pPr>
        <w:pStyle w:val="7"/>
        <w:spacing w:before="0" w:beforeAutospacing="0" w:after="0" w:afterAutospacing="0" w:line="360" w:lineRule="auto"/>
        <w:ind w:firstLine="422" w:firstLineChars="200"/>
        <w:rPr>
          <w:sz w:val="21"/>
          <w:szCs w:val="21"/>
        </w:rPr>
      </w:pPr>
      <w:bookmarkStart w:id="548" w:name="_Toc532377326"/>
      <w:r>
        <w:rPr>
          <w:rFonts w:hint="eastAsia"/>
          <w:sz w:val="21"/>
          <w:szCs w:val="21"/>
        </w:rPr>
        <w:t>1.7 联络</w:t>
      </w:r>
      <w:bookmarkEnd w:id="548"/>
    </w:p>
    <w:p w14:paraId="1ED044C5">
      <w:pPr>
        <w:spacing w:line="360" w:lineRule="auto"/>
        <w:ind w:firstLine="420" w:firstLineChars="200"/>
        <w:jc w:val="left"/>
        <w:rPr>
          <w:rFonts w:ascii="宋体" w:hAnsi="宋体"/>
          <w:kern w:val="0"/>
          <w:szCs w:val="21"/>
        </w:rPr>
      </w:pPr>
      <w:r>
        <w:rPr>
          <w:rFonts w:hint="eastAsia" w:ascii="宋体" w:hAnsi="宋体"/>
          <w:kern w:val="0"/>
          <w:szCs w:val="21"/>
        </w:rPr>
        <w:t>1.7.1 发包人和承包人应当在</w:t>
      </w:r>
      <w:r>
        <w:rPr>
          <w:rFonts w:hint="eastAsia" w:ascii="宋体" w:hAnsi="宋体"/>
          <w:szCs w:val="21"/>
          <w:u w:val="single"/>
        </w:rPr>
        <w:t xml:space="preserve"> 1 </w:t>
      </w:r>
      <w:r>
        <w:rPr>
          <w:rFonts w:hint="eastAsia" w:ascii="宋体" w:hAnsi="宋体"/>
          <w:kern w:val="0"/>
          <w:szCs w:val="21"/>
        </w:rPr>
        <w:t>天内将与合同有关的通知、批准、证明、证书、指示、指令、要求、请求、同意、意见、确定和决定等书面函件送达对方当事人，并办理书面签收手续。</w:t>
      </w:r>
    </w:p>
    <w:p w14:paraId="07A740FE">
      <w:pPr>
        <w:tabs>
          <w:tab w:val="left" w:pos="7513"/>
        </w:tabs>
        <w:spacing w:line="360" w:lineRule="auto"/>
        <w:ind w:firstLine="420" w:firstLineChars="200"/>
        <w:jc w:val="left"/>
        <w:rPr>
          <w:rFonts w:ascii="宋体" w:hAnsi="宋体"/>
          <w:kern w:val="0"/>
          <w:szCs w:val="21"/>
        </w:rPr>
      </w:pPr>
      <w:r>
        <w:rPr>
          <w:rFonts w:hint="eastAsia" w:ascii="宋体" w:hAnsi="宋体"/>
          <w:kern w:val="0"/>
          <w:szCs w:val="21"/>
        </w:rPr>
        <w:t>1.7.2 发包人接收文件地点：</w:t>
      </w:r>
      <w:r>
        <w:rPr>
          <w:rFonts w:ascii="宋体" w:hAnsi="宋体"/>
          <w:kern w:val="0"/>
          <w:szCs w:val="21"/>
          <w:u w:val="single"/>
        </w:rPr>
        <w:t xml:space="preserve">                        </w:t>
      </w:r>
      <w:r>
        <w:rPr>
          <w:rFonts w:hint="eastAsia" w:ascii="宋体" w:hAnsi="宋体"/>
          <w:kern w:val="0"/>
          <w:szCs w:val="21"/>
        </w:rPr>
        <w:t>；</w:t>
      </w:r>
    </w:p>
    <w:p w14:paraId="54F46A59">
      <w:pPr>
        <w:spacing w:line="360" w:lineRule="auto"/>
        <w:ind w:firstLine="420" w:firstLineChars="200"/>
        <w:jc w:val="left"/>
        <w:rPr>
          <w:rFonts w:ascii="宋体" w:hAnsi="宋体"/>
          <w:kern w:val="0"/>
          <w:szCs w:val="21"/>
        </w:rPr>
      </w:pPr>
      <w:r>
        <w:rPr>
          <w:rFonts w:hint="eastAsia" w:ascii="宋体" w:hAnsi="宋体"/>
          <w:kern w:val="0"/>
          <w:szCs w:val="21"/>
        </w:rPr>
        <w:t>发包人指定的接收人：</w:t>
      </w:r>
      <w:bookmarkStart w:id="549" w:name="_Hlk528493983"/>
      <w:bookmarkEnd w:id="549"/>
      <w:r>
        <w:rPr>
          <w:rFonts w:ascii="宋体" w:hAnsi="宋体"/>
          <w:kern w:val="0"/>
          <w:szCs w:val="21"/>
          <w:u w:val="single"/>
        </w:rPr>
        <w:t xml:space="preserve">                             </w:t>
      </w:r>
      <w:r>
        <w:rPr>
          <w:rFonts w:hint="eastAsia" w:ascii="宋体" w:hAnsi="宋体"/>
          <w:kern w:val="0"/>
          <w:szCs w:val="21"/>
        </w:rPr>
        <w:t>；</w:t>
      </w:r>
    </w:p>
    <w:p w14:paraId="6FD7611F">
      <w:pPr>
        <w:tabs>
          <w:tab w:val="left" w:pos="7513"/>
        </w:tabs>
        <w:spacing w:line="360" w:lineRule="auto"/>
        <w:ind w:firstLine="420" w:firstLineChars="200"/>
        <w:jc w:val="left"/>
        <w:rPr>
          <w:rFonts w:ascii="宋体" w:hAnsi="宋体"/>
          <w:kern w:val="0"/>
          <w:szCs w:val="21"/>
        </w:rPr>
      </w:pPr>
      <w:r>
        <w:rPr>
          <w:rFonts w:hint="eastAsia" w:ascii="宋体" w:hAnsi="宋体"/>
          <w:kern w:val="0"/>
          <w:szCs w:val="21"/>
        </w:rPr>
        <w:t>承包人接收文件地点：</w:t>
      </w:r>
      <w:r>
        <w:rPr>
          <w:rFonts w:ascii="宋体" w:hAnsi="宋体"/>
          <w:kern w:val="0"/>
          <w:szCs w:val="21"/>
          <w:u w:val="single"/>
        </w:rPr>
        <w:t xml:space="preserve">                             </w:t>
      </w:r>
      <w:r>
        <w:rPr>
          <w:rFonts w:hint="eastAsia" w:ascii="宋体" w:hAnsi="宋体"/>
          <w:kern w:val="0"/>
          <w:szCs w:val="21"/>
        </w:rPr>
        <w:t>；</w:t>
      </w:r>
    </w:p>
    <w:p w14:paraId="730F18F8">
      <w:pPr>
        <w:spacing w:line="360" w:lineRule="auto"/>
        <w:ind w:firstLine="420" w:firstLineChars="200"/>
        <w:jc w:val="left"/>
        <w:rPr>
          <w:rFonts w:ascii="宋体" w:hAnsi="宋体"/>
          <w:kern w:val="0"/>
          <w:szCs w:val="21"/>
        </w:rPr>
      </w:pPr>
      <w:r>
        <w:rPr>
          <w:rFonts w:hint="eastAsia" w:ascii="宋体" w:hAnsi="宋体"/>
          <w:kern w:val="0"/>
          <w:szCs w:val="21"/>
        </w:rPr>
        <w:t>承包人指定的接收人：</w:t>
      </w:r>
      <w:r>
        <w:rPr>
          <w:rFonts w:ascii="宋体" w:hAnsi="宋体"/>
          <w:kern w:val="0"/>
          <w:szCs w:val="21"/>
          <w:u w:val="single"/>
        </w:rPr>
        <w:t xml:space="preserve">                             </w:t>
      </w:r>
      <w:r>
        <w:rPr>
          <w:rFonts w:hint="eastAsia" w:ascii="宋体" w:hAnsi="宋体"/>
          <w:kern w:val="0"/>
          <w:szCs w:val="21"/>
        </w:rPr>
        <w:t>；</w:t>
      </w:r>
    </w:p>
    <w:p w14:paraId="67B65503">
      <w:pPr>
        <w:tabs>
          <w:tab w:val="left" w:pos="7371"/>
        </w:tabs>
        <w:spacing w:line="360" w:lineRule="auto"/>
        <w:ind w:firstLine="420" w:firstLineChars="200"/>
        <w:jc w:val="left"/>
        <w:rPr>
          <w:rFonts w:ascii="宋体" w:hAnsi="宋体"/>
          <w:kern w:val="0"/>
          <w:szCs w:val="21"/>
        </w:rPr>
      </w:pPr>
      <w:r>
        <w:rPr>
          <w:rFonts w:hint="eastAsia" w:ascii="宋体" w:hAnsi="宋体"/>
          <w:kern w:val="0"/>
          <w:szCs w:val="21"/>
        </w:rPr>
        <w:t>监理人接收文件地点：</w:t>
      </w:r>
      <w:r>
        <w:rPr>
          <w:rFonts w:ascii="宋体" w:hAnsi="宋体"/>
          <w:kern w:val="0"/>
          <w:szCs w:val="21"/>
          <w:u w:val="single"/>
        </w:rPr>
        <w:t xml:space="preserve">                             </w:t>
      </w:r>
      <w:r>
        <w:rPr>
          <w:rFonts w:hint="eastAsia" w:ascii="宋体" w:hAnsi="宋体"/>
          <w:kern w:val="0"/>
          <w:szCs w:val="21"/>
        </w:rPr>
        <w:t>；</w:t>
      </w:r>
    </w:p>
    <w:p w14:paraId="2C3A8602">
      <w:pPr>
        <w:spacing w:line="360" w:lineRule="auto"/>
        <w:ind w:firstLine="420" w:firstLineChars="200"/>
        <w:jc w:val="left"/>
        <w:rPr>
          <w:rFonts w:ascii="宋体" w:hAnsi="宋体"/>
          <w:kern w:val="0"/>
          <w:szCs w:val="21"/>
        </w:rPr>
      </w:pPr>
      <w:r>
        <w:rPr>
          <w:rFonts w:hint="eastAsia" w:ascii="宋体" w:hAnsi="宋体"/>
          <w:kern w:val="0"/>
          <w:szCs w:val="21"/>
        </w:rPr>
        <w:t>监理人指定的接收人：</w:t>
      </w:r>
      <w:r>
        <w:rPr>
          <w:rFonts w:ascii="宋体" w:hAnsi="宋体"/>
          <w:kern w:val="0"/>
          <w:szCs w:val="21"/>
          <w:u w:val="single"/>
        </w:rPr>
        <w:t xml:space="preserve">                             </w:t>
      </w:r>
      <w:r>
        <w:rPr>
          <w:rFonts w:hint="eastAsia" w:ascii="宋体" w:hAnsi="宋体"/>
          <w:kern w:val="0"/>
          <w:szCs w:val="21"/>
        </w:rPr>
        <w:t>。</w:t>
      </w:r>
    </w:p>
    <w:p w14:paraId="1A7CAE0D">
      <w:pPr>
        <w:pStyle w:val="7"/>
        <w:spacing w:before="0" w:beforeAutospacing="0" w:after="0" w:afterAutospacing="0" w:line="360" w:lineRule="auto"/>
        <w:ind w:firstLine="422" w:firstLineChars="200"/>
        <w:rPr>
          <w:sz w:val="21"/>
          <w:szCs w:val="21"/>
        </w:rPr>
      </w:pPr>
      <w:bookmarkStart w:id="550" w:name="_Toc532377327"/>
      <w:r>
        <w:rPr>
          <w:rFonts w:hint="eastAsia"/>
          <w:sz w:val="21"/>
          <w:szCs w:val="21"/>
        </w:rPr>
        <w:t>1.8 严禁贿赂</w:t>
      </w:r>
      <w:bookmarkEnd w:id="550"/>
    </w:p>
    <w:p w14:paraId="074C76FE">
      <w:pPr>
        <w:spacing w:line="360" w:lineRule="auto"/>
        <w:ind w:firstLine="420" w:firstLineChars="200"/>
        <w:jc w:val="left"/>
        <w:rPr>
          <w:rFonts w:ascii="宋体" w:hAnsi="宋体"/>
          <w:kern w:val="0"/>
          <w:szCs w:val="21"/>
        </w:rPr>
      </w:pPr>
      <w:r>
        <w:rPr>
          <w:rFonts w:hint="eastAsia" w:ascii="宋体" w:hAnsi="宋体"/>
          <w:kern w:val="0"/>
          <w:szCs w:val="21"/>
        </w:rPr>
        <w:t>本款补充以下内容：</w:t>
      </w:r>
    </w:p>
    <w:p w14:paraId="063FADFB">
      <w:pPr>
        <w:spacing w:line="360" w:lineRule="auto"/>
        <w:ind w:firstLine="420" w:firstLineChars="200"/>
        <w:jc w:val="left"/>
        <w:rPr>
          <w:rFonts w:ascii="宋体" w:hAnsi="宋体"/>
          <w:kern w:val="0"/>
          <w:szCs w:val="21"/>
          <w:u w:val="single"/>
        </w:rPr>
      </w:pPr>
      <w:r>
        <w:rPr>
          <w:rFonts w:hint="eastAsia" w:ascii="宋体" w:hAnsi="宋体"/>
          <w:kern w:val="0"/>
          <w:szCs w:val="21"/>
        </w:rPr>
        <w:t>在合同执行过程中，合同当事人应严格履行附件8《廉洁从业协议》。</w:t>
      </w:r>
    </w:p>
    <w:p w14:paraId="66AB75B1">
      <w:pPr>
        <w:pStyle w:val="7"/>
        <w:spacing w:before="0" w:beforeAutospacing="0" w:after="0" w:afterAutospacing="0" w:line="360" w:lineRule="auto"/>
        <w:ind w:firstLine="422" w:firstLineChars="200"/>
        <w:rPr>
          <w:sz w:val="21"/>
          <w:szCs w:val="21"/>
        </w:rPr>
      </w:pPr>
      <w:bookmarkStart w:id="551" w:name="_Toc532377328"/>
      <w:r>
        <w:rPr>
          <w:rFonts w:hint="eastAsia"/>
          <w:sz w:val="21"/>
          <w:szCs w:val="21"/>
        </w:rPr>
        <w:t>1.10 交通运输</w:t>
      </w:r>
      <w:bookmarkEnd w:id="551"/>
    </w:p>
    <w:p w14:paraId="78509A95">
      <w:pPr>
        <w:spacing w:line="360" w:lineRule="auto"/>
        <w:ind w:firstLine="420" w:firstLineChars="200"/>
        <w:jc w:val="left"/>
        <w:rPr>
          <w:rFonts w:ascii="宋体" w:hAnsi="宋体"/>
          <w:szCs w:val="21"/>
        </w:rPr>
      </w:pPr>
      <w:r>
        <w:rPr>
          <w:rFonts w:hint="eastAsia" w:ascii="宋体" w:hAnsi="宋体"/>
          <w:szCs w:val="21"/>
        </w:rPr>
        <w:t>1</w:t>
      </w:r>
      <w:bookmarkStart w:id="552" w:name="_Toc318581155"/>
      <w:bookmarkStart w:id="553" w:name="_Toc304295521"/>
      <w:bookmarkStart w:id="554" w:name="_Toc300934943"/>
      <w:bookmarkStart w:id="555" w:name="_Toc312677986"/>
      <w:bookmarkStart w:id="556" w:name="_Toc303539100"/>
      <w:r>
        <w:rPr>
          <w:rFonts w:hint="eastAsia" w:ascii="宋体" w:hAnsi="宋体"/>
          <w:szCs w:val="21"/>
        </w:rPr>
        <w:t>.10.1 出入现场的权利</w:t>
      </w:r>
    </w:p>
    <w:p w14:paraId="7BE44E95">
      <w:pPr>
        <w:spacing w:line="360" w:lineRule="auto"/>
        <w:ind w:firstLine="420" w:firstLineChars="200"/>
        <w:jc w:val="left"/>
        <w:rPr>
          <w:rFonts w:ascii="宋体" w:hAnsi="宋体"/>
          <w:kern w:val="0"/>
          <w:szCs w:val="21"/>
        </w:rPr>
      </w:pPr>
      <w:r>
        <w:rPr>
          <w:rFonts w:hint="eastAsia" w:ascii="宋体" w:hAnsi="宋体"/>
          <w:szCs w:val="21"/>
        </w:rPr>
        <w:t>关于出入现场的权利的约定：</w:t>
      </w:r>
      <w:r>
        <w:rPr>
          <w:rFonts w:hint="eastAsia" w:ascii="宋体" w:hAnsi="宋体"/>
          <w:szCs w:val="21"/>
          <w:u w:val="single"/>
        </w:rPr>
        <w:t xml:space="preserve"> 承包人应安排专人值守现场出入门岗，对确因工作需要、材料运输、机械进出场、接受监督检查等需要可以放行，其余人员不得随意进场施工红线内区域 </w:t>
      </w:r>
      <w:r>
        <w:rPr>
          <w:rFonts w:hint="eastAsia" w:ascii="宋体" w:hAnsi="宋体"/>
          <w:szCs w:val="21"/>
        </w:rPr>
        <w:t>。</w:t>
      </w:r>
    </w:p>
    <w:bookmarkEnd w:id="552"/>
    <w:bookmarkEnd w:id="553"/>
    <w:bookmarkEnd w:id="554"/>
    <w:bookmarkEnd w:id="555"/>
    <w:bookmarkEnd w:id="556"/>
    <w:p w14:paraId="2E6A57C7">
      <w:pPr>
        <w:spacing w:line="360" w:lineRule="auto"/>
        <w:ind w:firstLine="420" w:firstLineChars="200"/>
        <w:jc w:val="left"/>
        <w:rPr>
          <w:rFonts w:ascii="宋体" w:hAnsi="宋体"/>
          <w:szCs w:val="21"/>
        </w:rPr>
      </w:pPr>
      <w:r>
        <w:rPr>
          <w:rFonts w:hint="eastAsia" w:ascii="宋体" w:hAnsi="宋体"/>
          <w:szCs w:val="21"/>
        </w:rPr>
        <w:t>1.10.2 场外交通</w:t>
      </w:r>
    </w:p>
    <w:p w14:paraId="0C4EC031">
      <w:pPr>
        <w:spacing w:line="360" w:lineRule="auto"/>
        <w:ind w:firstLine="420" w:firstLineChars="200"/>
        <w:jc w:val="left"/>
        <w:rPr>
          <w:rFonts w:ascii="宋体" w:hAnsi="宋体"/>
          <w:kern w:val="0"/>
          <w:szCs w:val="21"/>
        </w:rPr>
      </w:pPr>
      <w:r>
        <w:rPr>
          <w:rFonts w:hint="eastAsia" w:ascii="宋体" w:hAnsi="宋体"/>
          <w:kern w:val="0"/>
          <w:szCs w:val="21"/>
        </w:rPr>
        <w:t>承包人应遵守有关交通法规，执行有关道路限速、限行、禁止超载的规定，并配合交通管理部门的监督和检查。场外交通以施工场地移交时的现状为准。</w:t>
      </w:r>
    </w:p>
    <w:p w14:paraId="722B2762">
      <w:pPr>
        <w:spacing w:line="360" w:lineRule="auto"/>
        <w:ind w:firstLine="420" w:firstLineChars="200"/>
        <w:jc w:val="left"/>
        <w:rPr>
          <w:rFonts w:ascii="宋体" w:hAnsi="宋体"/>
          <w:szCs w:val="21"/>
        </w:rPr>
      </w:pPr>
      <w:r>
        <w:rPr>
          <w:rFonts w:hint="eastAsia" w:ascii="宋体" w:hAnsi="宋体"/>
          <w:szCs w:val="21"/>
        </w:rPr>
        <w:t>1</w:t>
      </w:r>
      <w:bookmarkStart w:id="557" w:name="_Toc312677987"/>
      <w:bookmarkStart w:id="558" w:name="_Toc318581156"/>
      <w:bookmarkStart w:id="559" w:name="_Toc303539101"/>
      <w:bookmarkStart w:id="560" w:name="_Toc304295522"/>
      <w:bookmarkStart w:id="561" w:name="_Toc300934944"/>
      <w:r>
        <w:rPr>
          <w:rFonts w:hint="eastAsia" w:ascii="宋体" w:hAnsi="宋体"/>
          <w:szCs w:val="21"/>
        </w:rPr>
        <w:t>.10.3 场内交通</w:t>
      </w:r>
    </w:p>
    <w:p w14:paraId="0A497B6B">
      <w:pPr>
        <w:spacing w:line="360" w:lineRule="auto"/>
        <w:ind w:firstLine="420" w:firstLineChars="200"/>
        <w:jc w:val="left"/>
        <w:rPr>
          <w:rFonts w:ascii="宋体" w:hAnsi="宋体"/>
          <w:szCs w:val="21"/>
          <w:u w:val="single"/>
        </w:rPr>
      </w:pPr>
      <w:r>
        <w:rPr>
          <w:rFonts w:hint="eastAsia" w:ascii="宋体" w:hAnsi="宋体"/>
          <w:kern w:val="0"/>
          <w:szCs w:val="21"/>
        </w:rPr>
        <w:t>关于场外交通和场内交通的边界的约定：</w:t>
      </w:r>
      <w:r>
        <w:rPr>
          <w:rFonts w:hint="eastAsia" w:ascii="宋体" w:hAnsi="宋体"/>
          <w:szCs w:val="21"/>
          <w:u w:val="single"/>
        </w:rPr>
        <w:t>以合同工程用地红线为界，用地红线外为场外交通，用地红线范围内为场内交通（场外道路穿越场内的除外）</w:t>
      </w:r>
      <w:r>
        <w:rPr>
          <w:rFonts w:hint="eastAsia" w:ascii="宋体" w:hAnsi="宋体"/>
          <w:szCs w:val="21"/>
        </w:rPr>
        <w:t>。</w:t>
      </w:r>
    </w:p>
    <w:p w14:paraId="3868EFCD">
      <w:pPr>
        <w:spacing w:line="360" w:lineRule="auto"/>
        <w:ind w:firstLine="420" w:firstLineChars="200"/>
        <w:jc w:val="left"/>
        <w:rPr>
          <w:rFonts w:ascii="宋体" w:hAnsi="宋体"/>
          <w:szCs w:val="21"/>
        </w:rPr>
      </w:pPr>
      <w:r>
        <w:rPr>
          <w:rFonts w:hint="eastAsia" w:ascii="宋体" w:hAnsi="宋体"/>
          <w:kern w:val="0"/>
          <w:szCs w:val="21"/>
        </w:rPr>
        <w:t>关于发包人向承包人免费提供满足工程施工需要的场内道路和交通设施的约定：</w:t>
      </w:r>
      <w:r>
        <w:rPr>
          <w:rFonts w:hint="eastAsia" w:ascii="宋体" w:hAnsi="宋体"/>
          <w:kern w:val="0"/>
          <w:szCs w:val="21"/>
          <w:u w:val="single"/>
        </w:rPr>
        <w:t>以施工场地移交时的现状为准</w:t>
      </w:r>
      <w:r>
        <w:rPr>
          <w:rFonts w:hint="eastAsia" w:ascii="宋体" w:hAnsi="宋体"/>
          <w:szCs w:val="21"/>
        </w:rPr>
        <w:t>。</w:t>
      </w:r>
    </w:p>
    <w:bookmarkEnd w:id="557"/>
    <w:bookmarkEnd w:id="558"/>
    <w:bookmarkEnd w:id="559"/>
    <w:bookmarkEnd w:id="560"/>
    <w:bookmarkEnd w:id="561"/>
    <w:p w14:paraId="70F2D345">
      <w:pPr>
        <w:spacing w:line="360" w:lineRule="auto"/>
        <w:ind w:firstLine="420" w:firstLineChars="200"/>
        <w:jc w:val="left"/>
        <w:rPr>
          <w:rFonts w:ascii="宋体" w:hAnsi="宋体"/>
          <w:szCs w:val="21"/>
        </w:rPr>
      </w:pPr>
      <w:bookmarkStart w:id="562" w:name="_Toc318581157"/>
      <w:r>
        <w:rPr>
          <w:rFonts w:hint="eastAsia" w:ascii="宋体" w:hAnsi="宋体"/>
          <w:szCs w:val="21"/>
        </w:rPr>
        <w:t>1.10.4 超大件和超重件的运输</w:t>
      </w:r>
    </w:p>
    <w:p w14:paraId="28780BA9">
      <w:pPr>
        <w:spacing w:line="360" w:lineRule="auto"/>
        <w:ind w:firstLine="420" w:firstLineChars="200"/>
        <w:jc w:val="left"/>
        <w:rPr>
          <w:rFonts w:ascii="宋体" w:hAnsi="宋体"/>
          <w:szCs w:val="21"/>
        </w:rPr>
      </w:pPr>
      <w:r>
        <w:rPr>
          <w:rFonts w:hint="eastAsia" w:ascii="宋体" w:hAnsi="宋体"/>
          <w:szCs w:val="21"/>
        </w:rPr>
        <w:t>运输超大件或超重件所需的道路和桥梁临时加固改造费用和其他有关费用由</w:t>
      </w:r>
      <w:r>
        <w:rPr>
          <w:rFonts w:hint="eastAsia" w:ascii="宋体" w:hAnsi="宋体"/>
          <w:szCs w:val="21"/>
          <w:u w:val="single"/>
        </w:rPr>
        <w:t>发包人</w:t>
      </w:r>
      <w:r>
        <w:rPr>
          <w:rFonts w:hint="eastAsia" w:ascii="宋体" w:hAnsi="宋体"/>
          <w:szCs w:val="21"/>
        </w:rPr>
        <w:t>承担。</w:t>
      </w:r>
    </w:p>
    <w:bookmarkEnd w:id="562"/>
    <w:p w14:paraId="73B02AFE">
      <w:pPr>
        <w:pStyle w:val="7"/>
        <w:spacing w:before="0" w:beforeAutospacing="0" w:after="0" w:afterAutospacing="0" w:line="360" w:lineRule="auto"/>
        <w:ind w:firstLine="422" w:firstLineChars="200"/>
        <w:rPr>
          <w:sz w:val="21"/>
          <w:szCs w:val="21"/>
        </w:rPr>
      </w:pPr>
      <w:bookmarkStart w:id="563" w:name="_Toc532377329"/>
      <w:r>
        <w:rPr>
          <w:rFonts w:hint="eastAsia"/>
          <w:sz w:val="21"/>
          <w:szCs w:val="21"/>
        </w:rPr>
        <w:t>1.11 知识产权</w:t>
      </w:r>
      <w:bookmarkEnd w:id="563"/>
    </w:p>
    <w:p w14:paraId="67BF607F">
      <w:pPr>
        <w:spacing w:line="360" w:lineRule="auto"/>
        <w:ind w:firstLine="420" w:firstLineChars="200"/>
        <w:jc w:val="left"/>
        <w:rPr>
          <w:rFonts w:ascii="宋体" w:hAnsi="宋体"/>
          <w:szCs w:val="21"/>
        </w:rPr>
      </w:pPr>
      <w:r>
        <w:rPr>
          <w:rFonts w:hint="eastAsia" w:ascii="宋体" w:hAnsi="宋体"/>
          <w:szCs w:val="21"/>
        </w:rPr>
        <w:t>1.11.1 关于发包人提供给承包人的图纸、发包人为实施工程自行编制或委托编制的技术规范以及反映发包人关于合同要求或其他类似性质的文件的著作权的归属：</w:t>
      </w:r>
      <w:r>
        <w:rPr>
          <w:rFonts w:hint="eastAsia" w:ascii="宋体" w:hAnsi="宋体"/>
          <w:szCs w:val="21"/>
          <w:u w:val="single"/>
        </w:rPr>
        <w:t>属于发包人</w:t>
      </w:r>
      <w:r>
        <w:rPr>
          <w:rFonts w:hint="eastAsia" w:ascii="宋体" w:hAnsi="宋体"/>
          <w:szCs w:val="21"/>
        </w:rPr>
        <w:t>。</w:t>
      </w:r>
    </w:p>
    <w:p w14:paraId="6737E0E7">
      <w:pPr>
        <w:spacing w:line="360" w:lineRule="auto"/>
        <w:ind w:firstLine="420" w:firstLineChars="200"/>
        <w:jc w:val="left"/>
        <w:rPr>
          <w:rFonts w:ascii="宋体" w:hAnsi="宋体"/>
          <w:szCs w:val="21"/>
        </w:rPr>
      </w:pPr>
      <w:r>
        <w:rPr>
          <w:rFonts w:hint="eastAsia" w:ascii="宋体" w:hAnsi="宋体"/>
          <w:szCs w:val="21"/>
        </w:rPr>
        <w:t>关于发包人提供的上述文件的使用限制的要求：</w:t>
      </w:r>
      <w:r>
        <w:rPr>
          <w:rFonts w:hint="eastAsia" w:ascii="宋体" w:hAnsi="宋体"/>
          <w:szCs w:val="21"/>
          <w:u w:val="single"/>
        </w:rPr>
        <w:t>按通用合同条款执行</w:t>
      </w:r>
      <w:r>
        <w:rPr>
          <w:rFonts w:hint="eastAsia" w:ascii="宋体" w:hAnsi="宋体"/>
          <w:szCs w:val="21"/>
        </w:rPr>
        <w:t>。</w:t>
      </w:r>
    </w:p>
    <w:p w14:paraId="34CDFEEB">
      <w:pPr>
        <w:spacing w:line="360" w:lineRule="auto"/>
        <w:ind w:firstLine="420" w:firstLineChars="200"/>
        <w:jc w:val="left"/>
        <w:rPr>
          <w:rFonts w:ascii="宋体" w:hAnsi="宋体"/>
          <w:szCs w:val="21"/>
        </w:rPr>
      </w:pPr>
      <w:r>
        <w:rPr>
          <w:rFonts w:hint="eastAsia" w:ascii="宋体" w:hAnsi="宋体"/>
          <w:szCs w:val="21"/>
        </w:rPr>
        <w:t>1.11.4 承包人在施工过程中所采用的专利、专有技术、技术秘密的使用费的承担方式：</w:t>
      </w:r>
      <w:r>
        <w:rPr>
          <w:rFonts w:hint="eastAsia" w:ascii="宋体" w:hAnsi="宋体"/>
          <w:szCs w:val="21"/>
          <w:u w:val="single"/>
        </w:rPr>
        <w:t xml:space="preserve">   承包人独立承担  </w:t>
      </w:r>
      <w:r>
        <w:rPr>
          <w:rFonts w:hint="eastAsia" w:ascii="宋体" w:hAnsi="宋体"/>
          <w:szCs w:val="21"/>
        </w:rPr>
        <w:t>。</w:t>
      </w:r>
    </w:p>
    <w:p w14:paraId="0D321BE6">
      <w:pPr>
        <w:pStyle w:val="7"/>
        <w:spacing w:before="0" w:beforeAutospacing="0" w:after="0" w:afterAutospacing="0" w:line="360" w:lineRule="auto"/>
        <w:ind w:firstLine="422" w:firstLineChars="200"/>
        <w:rPr>
          <w:sz w:val="21"/>
          <w:szCs w:val="21"/>
        </w:rPr>
      </w:pPr>
      <w:bookmarkStart w:id="564" w:name="_Toc532377330"/>
      <w:r>
        <w:rPr>
          <w:rFonts w:hint="eastAsia"/>
          <w:sz w:val="21"/>
          <w:szCs w:val="21"/>
        </w:rPr>
        <w:t>1.13工程量清单错误的修正</w:t>
      </w:r>
      <w:bookmarkEnd w:id="564"/>
    </w:p>
    <w:p w14:paraId="370FD05E">
      <w:pPr>
        <w:spacing w:line="360" w:lineRule="auto"/>
        <w:ind w:firstLine="420" w:firstLineChars="200"/>
        <w:jc w:val="left"/>
        <w:rPr>
          <w:rFonts w:ascii="宋体" w:hAnsi="宋体"/>
          <w:szCs w:val="21"/>
        </w:rPr>
      </w:pPr>
      <w:r>
        <w:rPr>
          <w:rFonts w:hint="eastAsia" w:ascii="宋体" w:hAnsi="宋体"/>
          <w:szCs w:val="21"/>
        </w:rPr>
        <w:t>出现工程量清单错误时，责任和权利划分：</w:t>
      </w:r>
      <w:r>
        <w:rPr>
          <w:rFonts w:hint="eastAsia" w:ascii="宋体" w:hAnsi="宋体"/>
          <w:szCs w:val="21"/>
          <w:u w:val="single"/>
        </w:rPr>
        <w:t xml:space="preserve">     </w:t>
      </w:r>
      <w:r>
        <w:rPr>
          <w:rFonts w:hint="eastAsia" w:ascii="宋体" w:hAnsi="宋体"/>
          <w:szCs w:val="21"/>
        </w:rPr>
        <w:t>。</w:t>
      </w:r>
    </w:p>
    <w:p w14:paraId="523FD13D">
      <w:pPr>
        <w:spacing w:line="360" w:lineRule="auto"/>
        <w:ind w:firstLine="420" w:firstLineChars="200"/>
        <w:jc w:val="left"/>
        <w:rPr>
          <w:rFonts w:ascii="宋体" w:hAnsi="宋体"/>
          <w:szCs w:val="21"/>
        </w:rPr>
      </w:pPr>
      <w:r>
        <w:rPr>
          <w:rFonts w:hint="eastAsia" w:ascii="宋体" w:hAnsi="宋体"/>
          <w:szCs w:val="21"/>
        </w:rPr>
        <w:t>出现工程量清单错误时，是否调整合同价格：</w:t>
      </w:r>
      <w:r>
        <w:rPr>
          <w:rFonts w:hint="eastAsia" w:ascii="宋体" w:hAnsi="宋体"/>
          <w:szCs w:val="21"/>
          <w:u w:val="single"/>
        </w:rPr>
        <w:t xml:space="preserve"> 不调整 </w:t>
      </w:r>
      <w:r>
        <w:rPr>
          <w:rFonts w:hint="eastAsia" w:ascii="宋体" w:hAnsi="宋体"/>
          <w:kern w:val="0"/>
          <w:szCs w:val="21"/>
        </w:rPr>
        <w:t>。</w:t>
      </w:r>
    </w:p>
    <w:p w14:paraId="22C1B21D">
      <w:pPr>
        <w:spacing w:line="360" w:lineRule="auto"/>
        <w:ind w:firstLine="420" w:firstLineChars="200"/>
        <w:jc w:val="left"/>
        <w:rPr>
          <w:rFonts w:ascii="宋体" w:hAnsi="宋体"/>
          <w:szCs w:val="21"/>
        </w:rPr>
      </w:pPr>
      <w:r>
        <w:rPr>
          <w:rFonts w:hint="eastAsia" w:ascii="宋体" w:hAnsi="宋体"/>
          <w:szCs w:val="21"/>
        </w:rPr>
        <w:t>允许调整合同价格的工程量偏差范围：</w:t>
      </w:r>
      <w:r>
        <w:rPr>
          <w:rFonts w:hint="eastAsia" w:ascii="宋体" w:hAnsi="宋体"/>
          <w:szCs w:val="21"/>
          <w:u w:val="single"/>
        </w:rPr>
        <w:t xml:space="preserve"> 不调整</w:t>
      </w:r>
      <w:r>
        <w:rPr>
          <w:rFonts w:hint="eastAsia" w:ascii="宋体" w:hAnsi="宋体"/>
          <w:szCs w:val="21"/>
        </w:rPr>
        <w:t>。</w:t>
      </w:r>
    </w:p>
    <w:p w14:paraId="398DEA91">
      <w:pPr>
        <w:pStyle w:val="6"/>
        <w:keepNext/>
        <w:keepLines/>
        <w:spacing w:before="156" w:beforeLines="50" w:beforeAutospacing="0" w:after="156" w:afterLines="50" w:afterAutospacing="0" w:line="360" w:lineRule="auto"/>
        <w:jc w:val="both"/>
        <w:rPr>
          <w:bCs w:val="0"/>
          <w:kern w:val="2"/>
          <w:sz w:val="21"/>
          <w:szCs w:val="21"/>
        </w:rPr>
      </w:pPr>
      <w:bookmarkStart w:id="565" w:name="_Toc532377331"/>
      <w:bookmarkStart w:id="566" w:name="_Toc532375609"/>
      <w:bookmarkStart w:id="567" w:name="_Toc351203634"/>
      <w:r>
        <w:rPr>
          <w:rFonts w:hint="eastAsia"/>
          <w:kern w:val="2"/>
          <w:sz w:val="21"/>
          <w:szCs w:val="21"/>
        </w:rPr>
        <w:t>2</w:t>
      </w:r>
      <w:bookmarkStart w:id="568" w:name="_Toc297120457"/>
      <w:bookmarkStart w:id="569" w:name="_Toc296944496"/>
      <w:bookmarkStart w:id="570" w:name="_Toc296890985"/>
      <w:bookmarkStart w:id="571" w:name="_Toc296346658"/>
      <w:bookmarkStart w:id="572" w:name="_Toc296503157"/>
      <w:bookmarkStart w:id="573" w:name="_Toc296347156"/>
      <w:bookmarkStart w:id="574" w:name="_Toc292559362"/>
      <w:bookmarkStart w:id="575" w:name="_Toc292559867"/>
      <w:bookmarkStart w:id="576" w:name="_Toc296891197"/>
      <w:bookmarkStart w:id="577" w:name="_Toc297048343"/>
      <w:r>
        <w:rPr>
          <w:rFonts w:hint="eastAsia"/>
          <w:kern w:val="2"/>
          <w:sz w:val="21"/>
          <w:szCs w:val="21"/>
        </w:rPr>
        <w:t>. 发包人</w:t>
      </w:r>
      <w:bookmarkEnd w:id="565"/>
      <w:bookmarkEnd w:id="566"/>
      <w:bookmarkEnd w:id="567"/>
    </w:p>
    <w:bookmarkEnd w:id="568"/>
    <w:bookmarkEnd w:id="569"/>
    <w:bookmarkEnd w:id="570"/>
    <w:bookmarkEnd w:id="571"/>
    <w:bookmarkEnd w:id="572"/>
    <w:bookmarkEnd w:id="573"/>
    <w:bookmarkEnd w:id="574"/>
    <w:bookmarkEnd w:id="575"/>
    <w:bookmarkEnd w:id="576"/>
    <w:bookmarkEnd w:id="577"/>
    <w:p w14:paraId="70AD4196">
      <w:pPr>
        <w:spacing w:line="360" w:lineRule="auto"/>
        <w:ind w:firstLine="420" w:firstLineChars="200"/>
        <w:jc w:val="left"/>
        <w:rPr>
          <w:rFonts w:ascii="宋体" w:hAnsi="宋体"/>
          <w:szCs w:val="21"/>
        </w:rPr>
      </w:pPr>
      <w:r>
        <w:rPr>
          <w:rFonts w:hint="eastAsia" w:ascii="宋体" w:hAnsi="宋体"/>
          <w:szCs w:val="21"/>
        </w:rPr>
        <w:t>2.2.1 发包人代表</w:t>
      </w:r>
    </w:p>
    <w:p w14:paraId="0FF7D35C">
      <w:pPr>
        <w:spacing w:line="360" w:lineRule="auto"/>
        <w:ind w:firstLine="420" w:firstLineChars="200"/>
        <w:jc w:val="left"/>
        <w:rPr>
          <w:rFonts w:ascii="宋体" w:hAnsi="宋体"/>
          <w:szCs w:val="21"/>
        </w:rPr>
      </w:pPr>
      <w:r>
        <w:rPr>
          <w:rFonts w:hint="eastAsia" w:ascii="宋体" w:hAnsi="宋体"/>
          <w:szCs w:val="21"/>
        </w:rPr>
        <w:t>发包人代表：</w:t>
      </w:r>
    </w:p>
    <w:p w14:paraId="2853C7CA">
      <w:pPr>
        <w:spacing w:line="360" w:lineRule="auto"/>
        <w:ind w:firstLine="420" w:firstLineChars="200"/>
        <w:jc w:val="left"/>
        <w:rPr>
          <w:rFonts w:ascii="宋体" w:hAnsi="宋体"/>
          <w:szCs w:val="21"/>
        </w:rPr>
      </w:pPr>
      <w:r>
        <w:rPr>
          <w:rFonts w:hint="eastAsia" w:ascii="宋体" w:hAnsi="宋体"/>
          <w:szCs w:val="21"/>
        </w:rPr>
        <w:t>姓    名：</w:t>
      </w:r>
      <w:r>
        <w:rPr>
          <w:rFonts w:ascii="宋体" w:hAnsi="宋体"/>
          <w:szCs w:val="21"/>
          <w:u w:val="single"/>
        </w:rPr>
        <w:t xml:space="preserve">              </w:t>
      </w:r>
      <w:r>
        <w:rPr>
          <w:rFonts w:hint="eastAsia" w:ascii="宋体" w:hAnsi="宋体"/>
          <w:szCs w:val="21"/>
        </w:rPr>
        <w:t>；</w:t>
      </w:r>
    </w:p>
    <w:p w14:paraId="4DBFEB67">
      <w:pPr>
        <w:spacing w:line="360" w:lineRule="auto"/>
        <w:ind w:firstLine="420" w:firstLineChars="200"/>
        <w:jc w:val="left"/>
        <w:rPr>
          <w:rFonts w:ascii="宋体" w:hAnsi="宋体"/>
          <w:szCs w:val="21"/>
        </w:rPr>
      </w:pPr>
      <w:r>
        <w:rPr>
          <w:rFonts w:hint="eastAsia" w:ascii="宋体" w:hAnsi="宋体"/>
          <w:szCs w:val="21"/>
        </w:rPr>
        <w:t>身份证号：</w:t>
      </w:r>
      <w:r>
        <w:rPr>
          <w:rFonts w:ascii="宋体" w:hAnsi="宋体"/>
          <w:szCs w:val="21"/>
          <w:u w:val="single"/>
        </w:rPr>
        <w:t xml:space="preserve">              </w:t>
      </w:r>
      <w:r>
        <w:rPr>
          <w:rFonts w:hint="eastAsia" w:ascii="宋体" w:hAnsi="宋体"/>
          <w:szCs w:val="21"/>
        </w:rPr>
        <w:t>；</w:t>
      </w:r>
    </w:p>
    <w:p w14:paraId="78091E3A">
      <w:pPr>
        <w:spacing w:line="360" w:lineRule="auto"/>
        <w:ind w:firstLine="420" w:firstLineChars="200"/>
        <w:jc w:val="left"/>
        <w:rPr>
          <w:rFonts w:ascii="宋体" w:hAnsi="宋体"/>
          <w:szCs w:val="21"/>
        </w:rPr>
      </w:pPr>
      <w:r>
        <w:rPr>
          <w:rFonts w:hint="eastAsia" w:ascii="宋体" w:hAnsi="宋体"/>
          <w:szCs w:val="21"/>
        </w:rPr>
        <w:t>职    务：</w:t>
      </w:r>
      <w:r>
        <w:rPr>
          <w:rFonts w:ascii="宋体" w:hAnsi="宋体"/>
          <w:szCs w:val="21"/>
          <w:u w:val="single"/>
        </w:rPr>
        <w:t xml:space="preserve">              </w:t>
      </w:r>
      <w:r>
        <w:rPr>
          <w:rFonts w:hint="eastAsia" w:ascii="宋体" w:hAnsi="宋体"/>
          <w:szCs w:val="21"/>
        </w:rPr>
        <w:t>；</w:t>
      </w:r>
    </w:p>
    <w:p w14:paraId="73776C02">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   </w:t>
      </w:r>
      <w:r>
        <w:rPr>
          <w:rFonts w:hint="eastAsia" w:ascii="宋体" w:hAnsi="宋体"/>
          <w:szCs w:val="21"/>
        </w:rPr>
        <w:t>；</w:t>
      </w:r>
    </w:p>
    <w:p w14:paraId="07E165D5">
      <w:pPr>
        <w:spacing w:line="360" w:lineRule="auto"/>
        <w:ind w:firstLine="420" w:firstLineChars="200"/>
        <w:jc w:val="left"/>
        <w:rPr>
          <w:rFonts w:ascii="宋体" w:hAnsi="宋体"/>
          <w:szCs w:val="21"/>
        </w:rPr>
      </w:pPr>
      <w:r>
        <w:rPr>
          <w:rFonts w:hint="eastAsia" w:ascii="宋体" w:hAnsi="宋体"/>
          <w:szCs w:val="21"/>
        </w:rPr>
        <w:t>邮    编：</w:t>
      </w:r>
      <w:r>
        <w:rPr>
          <w:rFonts w:ascii="宋体" w:hAnsi="宋体"/>
          <w:szCs w:val="21"/>
          <w:u w:val="single"/>
        </w:rPr>
        <w:t xml:space="preserve">              </w:t>
      </w:r>
      <w:r>
        <w:rPr>
          <w:rFonts w:hint="eastAsia" w:ascii="宋体" w:hAnsi="宋体"/>
          <w:szCs w:val="21"/>
        </w:rPr>
        <w:t>；</w:t>
      </w:r>
    </w:p>
    <w:p w14:paraId="62831362">
      <w:pPr>
        <w:spacing w:line="360" w:lineRule="auto"/>
        <w:ind w:firstLine="420" w:firstLineChars="200"/>
        <w:jc w:val="left"/>
        <w:rPr>
          <w:rFonts w:ascii="宋体" w:hAnsi="宋体"/>
          <w:szCs w:val="21"/>
        </w:rPr>
      </w:pPr>
      <w:r>
        <w:rPr>
          <w:rFonts w:hint="eastAsia" w:ascii="宋体" w:hAnsi="宋体"/>
          <w:szCs w:val="21"/>
        </w:rPr>
        <w:t>发包人对发包人代表的授权范围如下：</w:t>
      </w:r>
      <w:r>
        <w:rPr>
          <w:rFonts w:hint="eastAsia" w:ascii="宋体" w:hAnsi="宋体"/>
          <w:szCs w:val="21"/>
          <w:u w:val="single"/>
        </w:rPr>
        <w:t>代表发包人对项目建设进行协调、管控、审查，确保安全、质量、环保、进度、成本可控，及时处理项目相关问题，向承包人、监理人等下达各类指令。由发包人授权的，以授权书载明的授权范围为准</w:t>
      </w:r>
      <w:r>
        <w:rPr>
          <w:rFonts w:hint="eastAsia" w:ascii="宋体" w:hAnsi="宋体"/>
          <w:szCs w:val="21"/>
        </w:rPr>
        <w:t>。</w:t>
      </w:r>
    </w:p>
    <w:p w14:paraId="0A582C90">
      <w:pPr>
        <w:pStyle w:val="7"/>
        <w:spacing w:before="0" w:beforeAutospacing="0" w:after="0" w:afterAutospacing="0" w:line="360" w:lineRule="auto"/>
        <w:ind w:firstLine="422" w:firstLineChars="200"/>
        <w:rPr>
          <w:sz w:val="21"/>
          <w:szCs w:val="21"/>
        </w:rPr>
      </w:pPr>
      <w:bookmarkStart w:id="578" w:name="_Toc532377332"/>
      <w:r>
        <w:rPr>
          <w:rFonts w:hint="eastAsia"/>
          <w:sz w:val="21"/>
          <w:szCs w:val="21"/>
        </w:rPr>
        <w:t>2.4 施工现场、施工条件和基础资料的提供</w:t>
      </w:r>
      <w:bookmarkEnd w:id="578"/>
    </w:p>
    <w:p w14:paraId="2E6076A2">
      <w:pPr>
        <w:spacing w:line="360" w:lineRule="auto"/>
        <w:ind w:firstLine="420" w:firstLineChars="200"/>
        <w:jc w:val="left"/>
        <w:rPr>
          <w:rFonts w:ascii="宋体" w:hAnsi="宋体"/>
          <w:szCs w:val="21"/>
        </w:rPr>
      </w:pPr>
      <w:r>
        <w:rPr>
          <w:rFonts w:hint="eastAsia" w:ascii="宋体" w:hAnsi="宋体"/>
          <w:szCs w:val="21"/>
        </w:rPr>
        <w:t>2.4.1 提供施工现场</w:t>
      </w:r>
    </w:p>
    <w:p w14:paraId="2AC28B09">
      <w:pPr>
        <w:spacing w:line="360" w:lineRule="auto"/>
        <w:ind w:firstLine="420" w:firstLineChars="200"/>
        <w:jc w:val="left"/>
        <w:rPr>
          <w:rFonts w:ascii="宋体" w:hAnsi="宋体"/>
          <w:szCs w:val="21"/>
        </w:rPr>
      </w:pPr>
      <w:r>
        <w:rPr>
          <w:rFonts w:hint="eastAsia" w:ascii="宋体" w:hAnsi="宋体"/>
          <w:szCs w:val="21"/>
        </w:rPr>
        <w:t>2.4.1.1 提供场地：</w:t>
      </w:r>
    </w:p>
    <w:p w14:paraId="52CB5106">
      <w:pPr>
        <w:spacing w:line="360" w:lineRule="auto"/>
        <w:ind w:firstLine="420" w:firstLineChars="200"/>
        <w:jc w:val="left"/>
        <w:rPr>
          <w:rFonts w:ascii="宋体" w:hAnsi="宋体"/>
          <w:szCs w:val="21"/>
        </w:rPr>
      </w:pPr>
      <w:r>
        <w:rPr>
          <w:rFonts w:hint="eastAsia" w:ascii="宋体" w:hAnsi="宋体"/>
          <w:szCs w:val="21"/>
        </w:rPr>
        <w:t>施工场地的提供采用以下第</w:t>
      </w:r>
      <w:r>
        <w:rPr>
          <w:rFonts w:hint="eastAsia" w:ascii="宋体" w:hAnsi="宋体"/>
          <w:szCs w:val="21"/>
          <w:u w:val="single"/>
        </w:rPr>
        <w:t xml:space="preserve">  （1）  </w:t>
      </w:r>
      <w:r>
        <w:rPr>
          <w:rFonts w:hint="eastAsia" w:ascii="宋体" w:hAnsi="宋体"/>
          <w:szCs w:val="21"/>
        </w:rPr>
        <w:t>种方式：</w:t>
      </w:r>
    </w:p>
    <w:p w14:paraId="254EB9A4">
      <w:pPr>
        <w:spacing w:line="360" w:lineRule="auto"/>
        <w:ind w:firstLine="420" w:firstLineChars="200"/>
        <w:jc w:val="left"/>
        <w:rPr>
          <w:rFonts w:ascii="宋体" w:hAnsi="宋体"/>
          <w:szCs w:val="21"/>
        </w:rPr>
      </w:pPr>
      <w:r>
        <w:rPr>
          <w:rFonts w:hint="eastAsia" w:ascii="宋体" w:hAnsi="宋体"/>
          <w:szCs w:val="21"/>
        </w:rPr>
        <w:t>（1）一次提供全部施工场地：发包人于</w:t>
      </w:r>
      <w:r>
        <w:rPr>
          <w:rFonts w:hint="eastAsia" w:ascii="宋体" w:hAnsi="宋体"/>
          <w:szCs w:val="21"/>
          <w:u w:val="single"/>
        </w:rPr>
        <w:t>开工</w:t>
      </w:r>
      <w:r>
        <w:rPr>
          <w:rFonts w:hint="eastAsia" w:ascii="宋体" w:hAnsi="宋体"/>
          <w:szCs w:val="21"/>
        </w:rPr>
        <w:t>前向承包人提供合同工程用地红线范围内的施工场地。</w:t>
      </w:r>
    </w:p>
    <w:p w14:paraId="3956A092">
      <w:pPr>
        <w:spacing w:line="360" w:lineRule="auto"/>
        <w:ind w:firstLine="420" w:firstLineChars="200"/>
        <w:jc w:val="left"/>
        <w:rPr>
          <w:rFonts w:ascii="宋体" w:hAnsi="宋体"/>
          <w:szCs w:val="21"/>
        </w:rPr>
      </w:pPr>
      <w:r>
        <w:rPr>
          <w:rFonts w:hint="eastAsia" w:ascii="宋体" w:hAnsi="宋体"/>
          <w:szCs w:val="21"/>
        </w:rPr>
        <w:t>（2）分次提供全部施工场地：</w:t>
      </w:r>
      <w:r>
        <w:rPr>
          <w:rFonts w:hint="eastAsia" w:ascii="宋体" w:hAnsi="宋体"/>
          <w:szCs w:val="21"/>
          <w:u w:val="single"/>
        </w:rPr>
        <w:t>发包人按约定的时间分次向承包人提供合同工程用地红线范围内的施工场地</w:t>
      </w:r>
      <w:r>
        <w:rPr>
          <w:rFonts w:hint="eastAsia" w:ascii="宋体" w:hAnsi="宋体"/>
          <w:szCs w:val="21"/>
        </w:rPr>
        <w:t>。</w:t>
      </w:r>
    </w:p>
    <w:p w14:paraId="36F8F9E7">
      <w:pPr>
        <w:spacing w:line="360" w:lineRule="auto"/>
        <w:ind w:firstLine="420" w:firstLineChars="200"/>
        <w:jc w:val="left"/>
        <w:rPr>
          <w:rFonts w:ascii="宋体" w:hAnsi="宋体"/>
          <w:szCs w:val="21"/>
        </w:rPr>
      </w:pPr>
      <w:r>
        <w:rPr>
          <w:rFonts w:hint="eastAsia" w:ascii="宋体" w:hAnsi="宋体"/>
          <w:szCs w:val="21"/>
          <w:u w:val="single"/>
        </w:rPr>
        <w:t>承包人编制的施工组织计划已充分考虑了施工场地提供的因素</w:t>
      </w:r>
      <w:r>
        <w:rPr>
          <w:rFonts w:hint="eastAsia" w:ascii="宋体" w:hAnsi="宋体"/>
          <w:szCs w:val="21"/>
        </w:rPr>
        <w:t>。</w:t>
      </w:r>
    </w:p>
    <w:p w14:paraId="61A8105A">
      <w:pPr>
        <w:spacing w:line="360" w:lineRule="auto"/>
        <w:ind w:firstLine="420" w:firstLineChars="200"/>
        <w:jc w:val="left"/>
        <w:rPr>
          <w:rFonts w:ascii="宋体" w:hAnsi="宋体"/>
          <w:szCs w:val="21"/>
        </w:rPr>
      </w:pPr>
      <w:r>
        <w:rPr>
          <w:rFonts w:hint="eastAsia" w:ascii="宋体" w:hAnsi="宋体"/>
          <w:szCs w:val="21"/>
          <w:u w:val="single"/>
        </w:rPr>
        <w:t>施工场地未能按约定提供的，承包人应结合施工场地实际交地情况，优化施工组织计划。施工场地未能按约定提供，影响项目关键线路的，承包人可提交索赔申请，并经监理人、发包人审批后可按约定顺延项目工期，否则工期不予顺延</w:t>
      </w:r>
      <w:r>
        <w:rPr>
          <w:rFonts w:hint="eastAsia" w:ascii="宋体" w:hAnsi="宋体"/>
          <w:szCs w:val="21"/>
        </w:rPr>
        <w:t>。</w:t>
      </w:r>
    </w:p>
    <w:p w14:paraId="4749873F">
      <w:pPr>
        <w:spacing w:line="360" w:lineRule="auto"/>
        <w:ind w:firstLine="420" w:firstLineChars="200"/>
        <w:jc w:val="left"/>
        <w:rPr>
          <w:rFonts w:ascii="宋体" w:hAnsi="宋体"/>
          <w:szCs w:val="21"/>
        </w:rPr>
      </w:pPr>
      <w:r>
        <w:rPr>
          <w:rFonts w:hint="eastAsia" w:ascii="宋体" w:hAnsi="宋体"/>
          <w:szCs w:val="21"/>
        </w:rPr>
        <w:t>2.4.2 提供施工条件</w:t>
      </w:r>
    </w:p>
    <w:p w14:paraId="03579278">
      <w:pPr>
        <w:spacing w:line="360" w:lineRule="auto"/>
        <w:ind w:firstLine="420" w:firstLineChars="200"/>
        <w:jc w:val="left"/>
        <w:rPr>
          <w:rFonts w:ascii="宋体" w:hAnsi="宋体"/>
          <w:szCs w:val="21"/>
        </w:rPr>
      </w:pPr>
      <w:r>
        <w:rPr>
          <w:rFonts w:hint="eastAsia" w:ascii="宋体" w:hAnsi="宋体"/>
          <w:szCs w:val="21"/>
        </w:rPr>
        <w:t>关于发包人应负责提供施工所需要的条件：</w:t>
      </w:r>
      <w:r>
        <w:rPr>
          <w:rFonts w:hint="eastAsia" w:ascii="宋体" w:hAnsi="宋体"/>
          <w:szCs w:val="21"/>
          <w:u w:val="single"/>
        </w:rPr>
        <w:t>指定用水、电力、通讯线路等施工所必需的临时管线搭接点，协助施工承包企业办理相关手续，但所需费用由施工承包企业自行承担；向承包人提供正常施工所需要的达到施工区域红线边缘的交通条件；协调处理施工现场地下管线、建筑物和构筑物的保护工作；协助施工企业对本项目涉及的古树、名木、文物的进行保护，相关费用由施工企业承担</w:t>
      </w:r>
      <w:r>
        <w:rPr>
          <w:rFonts w:hint="eastAsia" w:ascii="宋体" w:hAnsi="宋体"/>
          <w:szCs w:val="21"/>
        </w:rPr>
        <w:t>。</w:t>
      </w:r>
    </w:p>
    <w:p w14:paraId="700351F1">
      <w:pPr>
        <w:pStyle w:val="7"/>
        <w:spacing w:before="0" w:beforeAutospacing="0" w:after="0" w:afterAutospacing="0" w:line="360" w:lineRule="auto"/>
        <w:ind w:firstLine="422" w:firstLineChars="200"/>
        <w:rPr>
          <w:sz w:val="21"/>
          <w:szCs w:val="21"/>
        </w:rPr>
      </w:pPr>
      <w:bookmarkStart w:id="579" w:name="_Toc532377333"/>
      <w:r>
        <w:rPr>
          <w:rFonts w:hint="eastAsia"/>
          <w:sz w:val="21"/>
          <w:szCs w:val="21"/>
        </w:rPr>
        <w:t>2.5 资金来源证明及支付担保</w:t>
      </w:r>
      <w:bookmarkEnd w:id="579"/>
    </w:p>
    <w:p w14:paraId="07C13071">
      <w:pPr>
        <w:spacing w:line="360" w:lineRule="auto"/>
        <w:ind w:firstLine="420" w:firstLineChars="200"/>
        <w:jc w:val="left"/>
        <w:rPr>
          <w:rFonts w:ascii="宋体" w:hAnsi="宋体"/>
          <w:szCs w:val="21"/>
        </w:rPr>
      </w:pPr>
      <w:r>
        <w:rPr>
          <w:rFonts w:hint="eastAsia" w:ascii="宋体" w:hAnsi="宋体"/>
          <w:szCs w:val="21"/>
        </w:rPr>
        <w:t>发包人提供资金来源证明的期限要求：</w:t>
      </w:r>
      <w:r>
        <w:rPr>
          <w:rFonts w:hint="eastAsia" w:ascii="宋体" w:hAnsi="宋体"/>
          <w:szCs w:val="21"/>
          <w:u w:val="single"/>
        </w:rPr>
        <w:t>不采用</w:t>
      </w:r>
      <w:r>
        <w:rPr>
          <w:rFonts w:hint="eastAsia" w:ascii="宋体" w:hAnsi="宋体"/>
          <w:szCs w:val="21"/>
        </w:rPr>
        <w:t>。</w:t>
      </w:r>
    </w:p>
    <w:p w14:paraId="2576A141">
      <w:pPr>
        <w:spacing w:line="360" w:lineRule="auto"/>
        <w:ind w:firstLine="420" w:firstLineChars="200"/>
        <w:jc w:val="left"/>
        <w:rPr>
          <w:rFonts w:ascii="宋体" w:hAnsi="宋体"/>
          <w:szCs w:val="21"/>
        </w:rPr>
      </w:pPr>
      <w:r>
        <w:rPr>
          <w:rFonts w:hint="eastAsia" w:ascii="宋体" w:hAnsi="宋体"/>
          <w:szCs w:val="21"/>
        </w:rPr>
        <w:t>发包人是否提供支付担保：</w:t>
      </w:r>
      <w:r>
        <w:rPr>
          <w:rFonts w:hint="eastAsia" w:ascii="宋体" w:hAnsi="宋体"/>
          <w:szCs w:val="21"/>
          <w:u w:val="single"/>
        </w:rPr>
        <w:t>提供</w:t>
      </w:r>
      <w:r>
        <w:rPr>
          <w:rFonts w:hint="eastAsia" w:ascii="宋体" w:hAnsi="宋体"/>
          <w:szCs w:val="21"/>
        </w:rPr>
        <w:t>。</w:t>
      </w:r>
    </w:p>
    <w:p w14:paraId="067F2C10">
      <w:pPr>
        <w:spacing w:line="360" w:lineRule="auto"/>
        <w:ind w:firstLine="420" w:firstLineChars="200"/>
        <w:jc w:val="left"/>
        <w:rPr>
          <w:rFonts w:ascii="宋体" w:hAnsi="宋体"/>
          <w:szCs w:val="21"/>
        </w:rPr>
      </w:pPr>
      <w:r>
        <w:rPr>
          <w:rFonts w:hint="eastAsia" w:ascii="宋体" w:hAnsi="宋体"/>
          <w:szCs w:val="21"/>
        </w:rPr>
        <w:t>支付担保的形式：</w:t>
      </w:r>
      <w:r>
        <w:rPr>
          <w:rFonts w:hint="eastAsia" w:ascii="宋体" w:hAnsi="宋体"/>
          <w:szCs w:val="21"/>
          <w:u w:val="single"/>
        </w:rPr>
        <w:t xml:space="preserve">        </w:t>
      </w:r>
      <w:r>
        <w:rPr>
          <w:rFonts w:hint="eastAsia" w:ascii="宋体" w:hAnsi="宋体"/>
          <w:szCs w:val="21"/>
        </w:rPr>
        <w:t>。</w:t>
      </w:r>
    </w:p>
    <w:p w14:paraId="753B6987">
      <w:pPr>
        <w:spacing w:line="360" w:lineRule="auto"/>
        <w:ind w:firstLine="420" w:firstLineChars="200"/>
        <w:jc w:val="left"/>
        <w:rPr>
          <w:rFonts w:ascii="宋体" w:hAnsi="宋体"/>
          <w:szCs w:val="21"/>
        </w:rPr>
      </w:pPr>
      <w:r>
        <w:rPr>
          <w:rFonts w:hint="eastAsia" w:ascii="宋体" w:hAnsi="宋体"/>
          <w:szCs w:val="21"/>
        </w:rPr>
        <w:t>支付担保的金额：</w:t>
      </w:r>
      <w:r>
        <w:rPr>
          <w:rFonts w:hint="eastAsia" w:ascii="宋体" w:hAnsi="宋体"/>
          <w:szCs w:val="21"/>
          <w:u w:val="single"/>
        </w:rPr>
        <w:t xml:space="preserve">        </w:t>
      </w:r>
      <w:r>
        <w:rPr>
          <w:rFonts w:hint="eastAsia" w:ascii="宋体" w:hAnsi="宋体"/>
          <w:szCs w:val="21"/>
        </w:rPr>
        <w:t>。</w:t>
      </w:r>
    </w:p>
    <w:p w14:paraId="24C58C20">
      <w:pPr>
        <w:spacing w:line="360" w:lineRule="auto"/>
        <w:ind w:firstLine="420" w:firstLineChars="200"/>
        <w:jc w:val="left"/>
        <w:rPr>
          <w:rFonts w:ascii="宋体" w:hAnsi="宋体"/>
          <w:szCs w:val="21"/>
        </w:rPr>
      </w:pPr>
      <w:r>
        <w:rPr>
          <w:rFonts w:hint="eastAsia" w:ascii="宋体" w:hAnsi="宋体"/>
          <w:szCs w:val="21"/>
        </w:rPr>
        <w:t>支付担保的时间：</w:t>
      </w:r>
      <w:r>
        <w:rPr>
          <w:rFonts w:hint="eastAsia" w:ascii="宋体" w:hAnsi="宋体"/>
          <w:szCs w:val="21"/>
          <w:u w:val="single"/>
        </w:rPr>
        <w:t xml:space="preserve">        </w:t>
      </w:r>
      <w:r>
        <w:rPr>
          <w:rFonts w:hint="eastAsia" w:ascii="宋体" w:hAnsi="宋体"/>
          <w:szCs w:val="21"/>
        </w:rPr>
        <w:t>。</w:t>
      </w:r>
    </w:p>
    <w:p w14:paraId="4FE19D90">
      <w:pPr>
        <w:spacing w:line="360" w:lineRule="auto"/>
        <w:ind w:firstLine="420" w:firstLineChars="200"/>
        <w:jc w:val="left"/>
        <w:rPr>
          <w:rFonts w:ascii="宋体" w:hAnsi="宋体"/>
          <w:szCs w:val="21"/>
        </w:rPr>
      </w:pPr>
      <w:r>
        <w:rPr>
          <w:rFonts w:hint="eastAsia" w:ascii="宋体" w:hAnsi="宋体"/>
          <w:szCs w:val="21"/>
        </w:rPr>
        <w:t>支付担保的期限：</w:t>
      </w:r>
      <w:r>
        <w:rPr>
          <w:rFonts w:hint="eastAsia" w:ascii="宋体" w:hAnsi="宋体"/>
          <w:szCs w:val="21"/>
          <w:u w:val="single"/>
        </w:rPr>
        <w:t xml:space="preserve">        </w:t>
      </w:r>
      <w:r>
        <w:rPr>
          <w:rFonts w:hint="eastAsia" w:ascii="宋体" w:hAnsi="宋体"/>
          <w:szCs w:val="21"/>
        </w:rPr>
        <w:t>。</w:t>
      </w:r>
    </w:p>
    <w:p w14:paraId="75382A80">
      <w:pPr>
        <w:spacing w:line="360" w:lineRule="auto"/>
        <w:ind w:firstLine="420" w:firstLineChars="200"/>
        <w:jc w:val="left"/>
        <w:rPr>
          <w:rFonts w:ascii="宋体" w:hAnsi="宋体"/>
          <w:szCs w:val="21"/>
        </w:rPr>
      </w:pPr>
      <w:r>
        <w:rPr>
          <w:rFonts w:hint="eastAsia" w:ascii="宋体" w:hAnsi="宋体"/>
          <w:szCs w:val="21"/>
        </w:rPr>
        <w:t>支付担保的退还时间：</w:t>
      </w:r>
      <w:r>
        <w:rPr>
          <w:rFonts w:hint="eastAsia" w:ascii="宋体" w:hAnsi="宋体"/>
          <w:szCs w:val="21"/>
          <w:u w:val="single"/>
        </w:rPr>
        <w:t xml:space="preserve">        </w:t>
      </w:r>
      <w:r>
        <w:rPr>
          <w:rFonts w:hint="eastAsia" w:ascii="宋体" w:hAnsi="宋体"/>
          <w:szCs w:val="21"/>
        </w:rPr>
        <w:t>。</w:t>
      </w:r>
    </w:p>
    <w:p w14:paraId="4D1B5E6F">
      <w:pPr>
        <w:pStyle w:val="6"/>
        <w:keepNext/>
        <w:keepLines/>
        <w:spacing w:before="156" w:beforeLines="50" w:beforeAutospacing="0" w:after="156" w:afterLines="50" w:afterAutospacing="0" w:line="360" w:lineRule="auto"/>
        <w:jc w:val="both"/>
        <w:rPr>
          <w:bCs w:val="0"/>
          <w:kern w:val="2"/>
          <w:sz w:val="21"/>
          <w:szCs w:val="21"/>
        </w:rPr>
      </w:pPr>
      <w:bookmarkStart w:id="580" w:name="_Toc532377334"/>
      <w:bookmarkStart w:id="581" w:name="_Toc351203635"/>
      <w:bookmarkStart w:id="582" w:name="_Toc532375610"/>
      <w:r>
        <w:rPr>
          <w:rFonts w:hint="eastAsia"/>
          <w:kern w:val="2"/>
          <w:sz w:val="21"/>
          <w:szCs w:val="21"/>
        </w:rPr>
        <w:t>3</w:t>
      </w:r>
      <w:bookmarkStart w:id="583" w:name="_Toc297120458"/>
      <w:bookmarkStart w:id="584" w:name="_Toc296891198"/>
      <w:bookmarkStart w:id="585" w:name="_Toc292559868"/>
      <w:bookmarkStart w:id="586" w:name="_Toc296890986"/>
      <w:bookmarkStart w:id="587" w:name="_Toc296503158"/>
      <w:bookmarkStart w:id="588" w:name="_Toc292559363"/>
      <w:bookmarkStart w:id="589" w:name="_Toc296347157"/>
      <w:bookmarkStart w:id="590" w:name="_Toc296346659"/>
      <w:bookmarkStart w:id="591" w:name="_Toc297048344"/>
      <w:bookmarkStart w:id="592" w:name="_Toc296944497"/>
      <w:r>
        <w:rPr>
          <w:rFonts w:hint="eastAsia"/>
          <w:kern w:val="2"/>
          <w:sz w:val="21"/>
          <w:szCs w:val="21"/>
        </w:rPr>
        <w:t>. 承包人</w:t>
      </w:r>
      <w:bookmarkEnd w:id="580"/>
      <w:bookmarkEnd w:id="581"/>
      <w:bookmarkEnd w:id="582"/>
    </w:p>
    <w:bookmarkEnd w:id="583"/>
    <w:bookmarkEnd w:id="584"/>
    <w:bookmarkEnd w:id="585"/>
    <w:bookmarkEnd w:id="586"/>
    <w:bookmarkEnd w:id="587"/>
    <w:bookmarkEnd w:id="588"/>
    <w:bookmarkEnd w:id="589"/>
    <w:bookmarkEnd w:id="590"/>
    <w:bookmarkEnd w:id="591"/>
    <w:bookmarkEnd w:id="592"/>
    <w:p w14:paraId="483512D7">
      <w:pPr>
        <w:pStyle w:val="7"/>
        <w:spacing w:before="0" w:beforeAutospacing="0" w:after="0" w:afterAutospacing="0" w:line="360" w:lineRule="auto"/>
        <w:ind w:firstLine="422" w:firstLineChars="200"/>
        <w:rPr>
          <w:sz w:val="21"/>
          <w:szCs w:val="21"/>
        </w:rPr>
      </w:pPr>
      <w:bookmarkStart w:id="593" w:name="_Toc532377335"/>
      <w:r>
        <w:rPr>
          <w:rFonts w:hint="eastAsia"/>
          <w:sz w:val="21"/>
          <w:szCs w:val="21"/>
        </w:rPr>
        <w:t>3.1 承包人的一般义务</w:t>
      </w:r>
      <w:bookmarkEnd w:id="593"/>
    </w:p>
    <w:p w14:paraId="02C263E3">
      <w:pPr>
        <w:spacing w:line="360" w:lineRule="auto"/>
        <w:ind w:firstLine="420" w:firstLineChars="200"/>
        <w:jc w:val="left"/>
        <w:rPr>
          <w:rFonts w:ascii="宋体" w:hAnsi="宋体"/>
          <w:szCs w:val="21"/>
        </w:rPr>
      </w:pPr>
      <w:r>
        <w:rPr>
          <w:rFonts w:hint="eastAsia" w:ascii="宋体" w:hAnsi="宋体"/>
          <w:szCs w:val="21"/>
        </w:rPr>
        <w:t>本款细化为3.1.1～3.1.10项：</w:t>
      </w:r>
    </w:p>
    <w:p w14:paraId="6480307C">
      <w:pPr>
        <w:spacing w:line="360" w:lineRule="auto"/>
        <w:ind w:firstLine="420" w:firstLineChars="200"/>
        <w:jc w:val="left"/>
        <w:rPr>
          <w:rFonts w:ascii="宋体" w:hAnsi="宋体"/>
          <w:szCs w:val="21"/>
        </w:rPr>
      </w:pPr>
      <w:r>
        <w:rPr>
          <w:rFonts w:hint="eastAsia" w:ascii="宋体" w:hAnsi="宋体"/>
          <w:szCs w:val="21"/>
        </w:rPr>
        <w:t>3.1.1办理法律规定和合同约定应由承包人办理的许可和批准，并将办理结果书面报送发包人留存；协助发包人办理施工所需的工程质量监督、安全监督、施工许可证等相关证件及手续。</w:t>
      </w:r>
    </w:p>
    <w:p w14:paraId="3B649C3A">
      <w:pPr>
        <w:spacing w:line="360" w:lineRule="auto"/>
        <w:ind w:firstLine="420" w:firstLineChars="200"/>
        <w:jc w:val="left"/>
        <w:rPr>
          <w:rFonts w:ascii="宋体" w:hAnsi="宋体"/>
          <w:szCs w:val="21"/>
        </w:rPr>
      </w:pPr>
      <w:r>
        <w:rPr>
          <w:rFonts w:hint="eastAsia" w:ascii="宋体" w:hAnsi="宋体"/>
          <w:szCs w:val="21"/>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14:paraId="60CA0A2D">
      <w:pPr>
        <w:spacing w:line="360" w:lineRule="auto"/>
        <w:ind w:firstLine="420" w:firstLineChars="200"/>
        <w:jc w:val="left"/>
        <w:rPr>
          <w:rFonts w:ascii="宋体" w:hAnsi="宋体"/>
          <w:szCs w:val="21"/>
        </w:rPr>
      </w:pPr>
      <w:r>
        <w:rPr>
          <w:rFonts w:hint="eastAsia" w:ascii="宋体" w:hAnsi="宋体"/>
          <w:szCs w:val="21"/>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14:paraId="4060D7F6">
      <w:pPr>
        <w:spacing w:line="360" w:lineRule="auto"/>
        <w:ind w:firstLine="420" w:firstLineChars="200"/>
        <w:jc w:val="left"/>
        <w:rPr>
          <w:rFonts w:ascii="宋体" w:hAnsi="宋体"/>
          <w:szCs w:val="21"/>
        </w:rPr>
      </w:pPr>
      <w:r>
        <w:rPr>
          <w:rFonts w:hint="eastAsia" w:ascii="宋体" w:hAnsi="宋体"/>
          <w:szCs w:val="21"/>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14:paraId="13EC4F96">
      <w:pPr>
        <w:spacing w:line="360" w:lineRule="auto"/>
        <w:ind w:firstLine="420" w:firstLineChars="200"/>
        <w:jc w:val="left"/>
        <w:rPr>
          <w:rFonts w:ascii="宋体" w:hAnsi="宋体"/>
          <w:szCs w:val="21"/>
        </w:rPr>
      </w:pPr>
      <w:r>
        <w:rPr>
          <w:rFonts w:hint="eastAsia" w:ascii="宋体" w:hAnsi="宋体"/>
          <w:szCs w:val="21"/>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44F6523B">
      <w:pPr>
        <w:spacing w:line="360" w:lineRule="auto"/>
        <w:ind w:firstLine="420" w:firstLineChars="200"/>
        <w:jc w:val="left"/>
        <w:rPr>
          <w:rFonts w:ascii="宋体" w:hAnsi="宋体"/>
          <w:szCs w:val="21"/>
        </w:rPr>
      </w:pPr>
      <w:r>
        <w:rPr>
          <w:rFonts w:hint="eastAsia" w:ascii="宋体" w:hAnsi="宋体"/>
          <w:szCs w:val="21"/>
        </w:rPr>
        <w:t>3.1.6按照第6.3款〔环境保护〕约定负责施工场地及其周边环境与生态的保护工作。</w:t>
      </w:r>
    </w:p>
    <w:p w14:paraId="29967111">
      <w:pPr>
        <w:spacing w:line="360" w:lineRule="auto"/>
        <w:ind w:firstLine="420" w:firstLineChars="200"/>
        <w:jc w:val="left"/>
        <w:rPr>
          <w:rFonts w:ascii="宋体" w:hAnsi="宋体"/>
          <w:szCs w:val="21"/>
        </w:rPr>
      </w:pPr>
      <w:r>
        <w:rPr>
          <w:rFonts w:hint="eastAsia" w:ascii="宋体" w:hAnsi="宋体"/>
          <w:szCs w:val="21"/>
        </w:rPr>
        <w:t>3.1.7按照第6.1款〔安全文明施工〕约定采取施工安全措施，确保工程及其人员、材料、设备和设施的安全，防止因工程施工造成的人身伤害和财产损失。</w:t>
      </w:r>
    </w:p>
    <w:p w14:paraId="204C57BE">
      <w:pPr>
        <w:autoSpaceDE w:val="0"/>
        <w:autoSpaceDN w:val="0"/>
        <w:spacing w:line="360" w:lineRule="auto"/>
        <w:ind w:firstLine="420" w:firstLineChars="200"/>
        <w:jc w:val="left"/>
        <w:rPr>
          <w:rFonts w:ascii="宋体" w:hAnsi="宋体"/>
          <w:szCs w:val="21"/>
        </w:rPr>
      </w:pPr>
      <w:r>
        <w:rPr>
          <w:rFonts w:hint="eastAsia" w:ascii="宋体" w:hAnsi="宋体"/>
          <w:szCs w:val="21"/>
        </w:rPr>
        <w:t>3.1.8将发包人按合同约定支付的各项价款专用于合同工程，且应及时支付其雇用人员工资，并及时向分包人支付合同价款。</w:t>
      </w:r>
    </w:p>
    <w:p w14:paraId="0C20E760">
      <w:pPr>
        <w:autoSpaceDE w:val="0"/>
        <w:autoSpaceDN w:val="0"/>
        <w:spacing w:line="360" w:lineRule="auto"/>
        <w:ind w:firstLine="420" w:firstLineChars="200"/>
        <w:jc w:val="left"/>
        <w:rPr>
          <w:rFonts w:ascii="宋体" w:hAnsi="宋体"/>
          <w:szCs w:val="21"/>
        </w:rPr>
      </w:pPr>
      <w:r>
        <w:rPr>
          <w:rFonts w:hint="eastAsia" w:ascii="宋体" w:hAnsi="宋体"/>
          <w:szCs w:val="21"/>
        </w:rPr>
        <w:t>3.1.9承包人提交的竣工资料的内容：</w:t>
      </w:r>
      <w:r>
        <w:rPr>
          <w:rFonts w:hint="eastAsia" w:ascii="宋体" w:hAnsi="宋体"/>
          <w:szCs w:val="21"/>
          <w:u w:val="single"/>
        </w:rPr>
        <w:t>工程施工技术资料、工程质量保证资料、工程检验评定资料、竣工图及其他应交资料，应符合《建设工程文件归档整理规范》（GB/T50328-2014）和重庆市有关文件规定</w:t>
      </w:r>
      <w:r>
        <w:rPr>
          <w:rFonts w:hint="eastAsia" w:ascii="宋体" w:hAnsi="宋体"/>
          <w:szCs w:val="21"/>
        </w:rPr>
        <w:t>。</w:t>
      </w:r>
    </w:p>
    <w:p w14:paraId="6673D0DC">
      <w:pPr>
        <w:autoSpaceDE w:val="0"/>
        <w:autoSpaceDN w:val="0"/>
        <w:spacing w:line="360" w:lineRule="auto"/>
        <w:ind w:firstLine="420" w:firstLineChars="200"/>
        <w:jc w:val="left"/>
        <w:rPr>
          <w:rFonts w:ascii="宋体" w:hAnsi="宋体"/>
          <w:szCs w:val="21"/>
        </w:rPr>
      </w:pPr>
      <w:r>
        <w:rPr>
          <w:rFonts w:hint="eastAsia" w:ascii="宋体" w:hAnsi="宋体"/>
          <w:szCs w:val="21"/>
        </w:rPr>
        <w:t>承包人需要提交的竣工资料套数：完整竣工资料一式</w:t>
      </w:r>
      <w:r>
        <w:rPr>
          <w:rFonts w:hint="eastAsia" w:ascii="宋体" w:hAnsi="宋体"/>
          <w:szCs w:val="21"/>
          <w:u w:val="single"/>
        </w:rPr>
        <w:t xml:space="preserve">  2  </w:t>
      </w:r>
      <w:r>
        <w:rPr>
          <w:rFonts w:hint="eastAsia" w:ascii="宋体" w:hAnsi="宋体"/>
          <w:szCs w:val="21"/>
        </w:rPr>
        <w:t>套（含电子文档）。</w:t>
      </w:r>
    </w:p>
    <w:p w14:paraId="4E52EE5D">
      <w:pPr>
        <w:spacing w:line="360" w:lineRule="auto"/>
        <w:ind w:firstLine="420" w:firstLineChars="200"/>
        <w:jc w:val="left"/>
        <w:rPr>
          <w:rFonts w:ascii="宋体" w:hAnsi="宋体"/>
          <w:szCs w:val="21"/>
        </w:rPr>
      </w:pPr>
      <w:r>
        <w:rPr>
          <w:rFonts w:hint="eastAsia" w:ascii="宋体" w:hAnsi="宋体"/>
          <w:szCs w:val="21"/>
        </w:rPr>
        <w:t>承包人提交的竣工资料的费用承担：</w:t>
      </w:r>
      <w:r>
        <w:rPr>
          <w:rFonts w:hint="eastAsia" w:ascii="宋体" w:hAnsi="宋体"/>
          <w:szCs w:val="21"/>
          <w:u w:val="single"/>
        </w:rPr>
        <w:t>由承包人承担</w:t>
      </w:r>
      <w:r>
        <w:rPr>
          <w:rFonts w:hint="eastAsia" w:ascii="宋体" w:hAnsi="宋体"/>
          <w:szCs w:val="21"/>
        </w:rPr>
        <w:t>。</w:t>
      </w:r>
    </w:p>
    <w:p w14:paraId="3798B725">
      <w:pPr>
        <w:spacing w:line="360" w:lineRule="auto"/>
        <w:ind w:firstLine="420" w:firstLineChars="200"/>
        <w:jc w:val="left"/>
        <w:rPr>
          <w:rFonts w:ascii="宋体" w:hAnsi="宋体"/>
          <w:szCs w:val="21"/>
        </w:rPr>
      </w:pPr>
      <w:r>
        <w:rPr>
          <w:rFonts w:hint="eastAsia" w:ascii="宋体" w:hAnsi="宋体"/>
          <w:szCs w:val="21"/>
        </w:rPr>
        <w:t>承包人提交的竣工资料移交时间：</w:t>
      </w:r>
      <w:r>
        <w:rPr>
          <w:rFonts w:hint="eastAsia" w:ascii="宋体" w:hAnsi="宋体"/>
          <w:szCs w:val="21"/>
          <w:u w:val="single"/>
        </w:rPr>
        <w:t>工程竣工验收合格后  个月内移交给发包人</w:t>
      </w:r>
      <w:r>
        <w:rPr>
          <w:rFonts w:hint="eastAsia" w:ascii="宋体" w:hAnsi="宋体"/>
          <w:szCs w:val="21"/>
        </w:rPr>
        <w:t>。</w:t>
      </w:r>
    </w:p>
    <w:p w14:paraId="1595DD44">
      <w:pPr>
        <w:spacing w:line="360" w:lineRule="auto"/>
        <w:ind w:firstLine="420" w:firstLineChars="200"/>
        <w:jc w:val="left"/>
        <w:rPr>
          <w:rFonts w:ascii="宋体" w:hAnsi="宋体"/>
          <w:szCs w:val="21"/>
        </w:rPr>
      </w:pPr>
      <w:r>
        <w:rPr>
          <w:rFonts w:hint="eastAsia" w:ascii="宋体" w:hAnsi="宋体"/>
          <w:szCs w:val="21"/>
        </w:rPr>
        <w:t>承包人提交的竣工资料形式要求：</w:t>
      </w:r>
      <w:r>
        <w:rPr>
          <w:rFonts w:hint="eastAsia" w:ascii="宋体" w:hAnsi="宋体"/>
          <w:szCs w:val="21"/>
          <w:u w:val="single"/>
        </w:rPr>
        <w:t>完整的书面文件及电子文档</w:t>
      </w:r>
      <w:r>
        <w:rPr>
          <w:rFonts w:hint="eastAsia" w:ascii="宋体" w:hAnsi="宋体"/>
          <w:szCs w:val="21"/>
        </w:rPr>
        <w:t>。</w:t>
      </w:r>
    </w:p>
    <w:p w14:paraId="7341FECB">
      <w:pPr>
        <w:spacing w:line="360" w:lineRule="auto"/>
        <w:ind w:firstLine="420" w:firstLineChars="200"/>
        <w:jc w:val="left"/>
        <w:rPr>
          <w:rFonts w:ascii="宋体" w:hAnsi="宋体"/>
          <w:szCs w:val="21"/>
        </w:rPr>
      </w:pPr>
      <w:r>
        <w:rPr>
          <w:rFonts w:hint="eastAsia" w:ascii="宋体" w:hAnsi="宋体"/>
          <w:szCs w:val="21"/>
        </w:rPr>
        <w:t>3.1.10承包人应履行的其他义务：</w:t>
      </w:r>
    </w:p>
    <w:p w14:paraId="68A1FE5A">
      <w:pPr>
        <w:spacing w:line="360" w:lineRule="auto"/>
        <w:ind w:firstLine="420" w:firstLineChars="200"/>
        <w:jc w:val="left"/>
        <w:rPr>
          <w:rFonts w:ascii="宋体" w:hAnsi="宋体"/>
          <w:szCs w:val="21"/>
        </w:rPr>
      </w:pPr>
      <w:r>
        <w:rPr>
          <w:rFonts w:hint="eastAsia" w:ascii="宋体" w:hAnsi="宋体"/>
          <w:szCs w:val="21"/>
        </w:rPr>
        <w:t>3.1.10.1在开始施工之前，承包人应核查、复测本工程的各种基准标志。承包人应及时将上述基准标志中存在的错误、不完整或其他缺陷通知发包人，以便发包人核实后重新确认。</w:t>
      </w:r>
    </w:p>
    <w:p w14:paraId="7192C72A">
      <w:pPr>
        <w:spacing w:line="360" w:lineRule="auto"/>
        <w:ind w:firstLine="420" w:firstLineChars="200"/>
        <w:jc w:val="left"/>
        <w:rPr>
          <w:rFonts w:ascii="宋体" w:hAnsi="宋体"/>
          <w:szCs w:val="21"/>
        </w:rPr>
      </w:pPr>
      <w:r>
        <w:rPr>
          <w:rFonts w:hint="eastAsia" w:ascii="宋体" w:hAnsi="宋体"/>
          <w:szCs w:val="21"/>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14:paraId="014EFDE8">
      <w:pPr>
        <w:spacing w:line="360" w:lineRule="auto"/>
        <w:ind w:firstLine="420" w:firstLineChars="200"/>
        <w:jc w:val="left"/>
        <w:rPr>
          <w:rFonts w:ascii="宋体" w:hAnsi="宋体"/>
          <w:szCs w:val="21"/>
        </w:rPr>
      </w:pPr>
      <w:r>
        <w:rPr>
          <w:rFonts w:hint="eastAsia" w:ascii="宋体" w:hAnsi="宋体"/>
          <w:szCs w:val="21"/>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220DBA01">
      <w:pPr>
        <w:spacing w:line="360" w:lineRule="auto"/>
        <w:ind w:firstLine="420" w:firstLineChars="200"/>
        <w:jc w:val="left"/>
        <w:rPr>
          <w:rFonts w:ascii="宋体" w:hAnsi="宋体"/>
          <w:szCs w:val="21"/>
        </w:rPr>
      </w:pPr>
      <w:r>
        <w:rPr>
          <w:rFonts w:hint="eastAsia" w:ascii="宋体" w:hAnsi="宋体"/>
          <w:szCs w:val="21"/>
        </w:rPr>
        <w:t>3.1.10.4承包人应服从发包人要求的管理模式、工作方式和工作要求，同时接受监理人、跟审单位的管理和全程监督，配合项目结、决算的办理。</w:t>
      </w:r>
    </w:p>
    <w:p w14:paraId="47DF1529">
      <w:pPr>
        <w:spacing w:line="360" w:lineRule="auto"/>
        <w:ind w:firstLine="420" w:firstLineChars="200"/>
        <w:jc w:val="left"/>
        <w:rPr>
          <w:rFonts w:ascii="宋体" w:hAnsi="宋体"/>
          <w:szCs w:val="21"/>
        </w:rPr>
      </w:pPr>
      <w:r>
        <w:rPr>
          <w:rFonts w:hint="eastAsia" w:ascii="宋体" w:hAnsi="宋体"/>
          <w:szCs w:val="21"/>
        </w:rPr>
        <w:t>3.1.10.5</w:t>
      </w:r>
      <w:r>
        <w:rPr>
          <w:rFonts w:hint="eastAsia" w:ascii="宋体" w:hAnsi="宋体"/>
          <w:szCs w:val="21"/>
          <w:u w:val="single"/>
        </w:rPr>
        <w:t>承包人应为本工程开立专用账户，接受发包人的监管</w:t>
      </w:r>
      <w:r>
        <w:rPr>
          <w:rFonts w:hint="eastAsia" w:ascii="宋体" w:hAnsi="宋体"/>
          <w:szCs w:val="21"/>
        </w:rPr>
        <w:t>。</w:t>
      </w:r>
    </w:p>
    <w:p w14:paraId="2DC20D4F">
      <w:pPr>
        <w:spacing w:line="360" w:lineRule="auto"/>
        <w:ind w:firstLine="420" w:firstLineChars="200"/>
        <w:jc w:val="left"/>
        <w:rPr>
          <w:rFonts w:ascii="宋体" w:hAnsi="宋体"/>
          <w:szCs w:val="21"/>
        </w:rPr>
      </w:pPr>
      <w:bookmarkStart w:id="594" w:name="_Toc532377336"/>
      <w:r>
        <w:rPr>
          <w:rFonts w:hint="eastAsia" w:ascii="宋体" w:hAnsi="宋体"/>
          <w:szCs w:val="21"/>
        </w:rPr>
        <w:t>3.1.10.6</w:t>
      </w:r>
      <w:r>
        <w:rPr>
          <w:rFonts w:hint="eastAsia" w:ascii="宋体" w:hAnsi="宋体"/>
          <w:szCs w:val="21"/>
          <w:u w:val="single"/>
        </w:rPr>
        <w:t xml:space="preserve">        </w:t>
      </w:r>
      <w:r>
        <w:rPr>
          <w:rFonts w:hint="eastAsia" w:ascii="宋体" w:hAnsi="宋体"/>
          <w:szCs w:val="21"/>
        </w:rPr>
        <w:t>。</w:t>
      </w:r>
    </w:p>
    <w:p w14:paraId="3EA2E012">
      <w:pPr>
        <w:pStyle w:val="7"/>
        <w:spacing w:before="0" w:beforeAutospacing="0" w:after="0" w:afterAutospacing="0" w:line="360" w:lineRule="auto"/>
        <w:ind w:firstLine="422" w:firstLineChars="200"/>
        <w:rPr>
          <w:sz w:val="21"/>
          <w:szCs w:val="21"/>
        </w:rPr>
      </w:pPr>
      <w:r>
        <w:rPr>
          <w:rFonts w:hint="eastAsia"/>
          <w:sz w:val="21"/>
          <w:szCs w:val="21"/>
        </w:rPr>
        <w:t>3.2 项目经理</w:t>
      </w:r>
      <w:bookmarkEnd w:id="594"/>
    </w:p>
    <w:p w14:paraId="7C11DB54">
      <w:pPr>
        <w:spacing w:line="360" w:lineRule="auto"/>
        <w:ind w:firstLine="420" w:firstLineChars="200"/>
        <w:jc w:val="left"/>
        <w:rPr>
          <w:rFonts w:ascii="宋体" w:hAnsi="宋体"/>
          <w:szCs w:val="21"/>
        </w:rPr>
      </w:pPr>
      <w:r>
        <w:rPr>
          <w:rFonts w:hint="eastAsia" w:ascii="宋体" w:hAnsi="宋体"/>
          <w:kern w:val="0"/>
          <w:szCs w:val="21"/>
        </w:rPr>
        <w:t xml:space="preserve">3.2.1 </w:t>
      </w:r>
      <w:r>
        <w:rPr>
          <w:rFonts w:hint="eastAsia" w:ascii="宋体" w:hAnsi="宋体"/>
          <w:szCs w:val="21"/>
        </w:rPr>
        <w:t>项目经理：</w:t>
      </w:r>
    </w:p>
    <w:p w14:paraId="6191EF9E">
      <w:pPr>
        <w:spacing w:line="360" w:lineRule="auto"/>
        <w:ind w:firstLine="420" w:firstLineChars="200"/>
        <w:jc w:val="left"/>
        <w:rPr>
          <w:rFonts w:ascii="宋体" w:hAnsi="宋体"/>
          <w:szCs w:val="21"/>
        </w:rPr>
      </w:pPr>
      <w:r>
        <w:rPr>
          <w:rFonts w:hint="eastAsia" w:ascii="宋体" w:hAnsi="宋体"/>
          <w:szCs w:val="21"/>
        </w:rPr>
        <w:t>姓    名：</w:t>
      </w:r>
      <w:r>
        <w:rPr>
          <w:rFonts w:ascii="宋体" w:hAnsi="宋体"/>
          <w:szCs w:val="21"/>
          <w:u w:val="single"/>
        </w:rPr>
        <w:t xml:space="preserve">                          </w:t>
      </w:r>
      <w:r>
        <w:rPr>
          <w:rFonts w:hint="eastAsia" w:ascii="宋体" w:hAnsi="宋体"/>
          <w:szCs w:val="21"/>
        </w:rPr>
        <w:t>；</w:t>
      </w:r>
    </w:p>
    <w:p w14:paraId="6FF193AE">
      <w:pPr>
        <w:spacing w:line="360" w:lineRule="auto"/>
        <w:ind w:firstLine="420" w:firstLineChars="200"/>
        <w:jc w:val="left"/>
        <w:rPr>
          <w:rFonts w:ascii="宋体" w:hAnsi="宋体"/>
          <w:szCs w:val="21"/>
        </w:rPr>
      </w:pPr>
      <w:r>
        <w:rPr>
          <w:rFonts w:hint="eastAsia" w:ascii="宋体" w:hAnsi="宋体"/>
          <w:szCs w:val="21"/>
        </w:rPr>
        <w:t>身份证号：</w:t>
      </w:r>
      <w:r>
        <w:rPr>
          <w:rFonts w:ascii="宋体" w:hAnsi="宋体"/>
          <w:szCs w:val="21"/>
          <w:u w:val="single"/>
        </w:rPr>
        <w:t>                    </w:t>
      </w:r>
      <w:r>
        <w:rPr>
          <w:rFonts w:hint="eastAsia" w:ascii="宋体" w:hAnsi="宋体"/>
          <w:szCs w:val="21"/>
        </w:rPr>
        <w:t>；</w:t>
      </w:r>
    </w:p>
    <w:p w14:paraId="7B52740D">
      <w:pPr>
        <w:spacing w:line="360" w:lineRule="auto"/>
        <w:ind w:firstLine="420" w:firstLineChars="200"/>
        <w:jc w:val="left"/>
        <w:rPr>
          <w:rFonts w:ascii="宋体" w:hAnsi="宋体"/>
          <w:szCs w:val="21"/>
        </w:rPr>
      </w:pPr>
      <w:r>
        <w:rPr>
          <w:rFonts w:hint="eastAsia" w:ascii="宋体" w:hAnsi="宋体"/>
          <w:szCs w:val="21"/>
        </w:rPr>
        <w:t>建造师执业资格等级：</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w:t>
      </w:r>
    </w:p>
    <w:p w14:paraId="2057A0A6">
      <w:pPr>
        <w:spacing w:line="360" w:lineRule="auto"/>
        <w:ind w:firstLine="420" w:firstLineChars="200"/>
        <w:jc w:val="left"/>
        <w:rPr>
          <w:rFonts w:ascii="宋体" w:hAnsi="宋体"/>
          <w:szCs w:val="21"/>
        </w:rPr>
      </w:pPr>
      <w:r>
        <w:rPr>
          <w:rFonts w:hint="eastAsia" w:ascii="宋体" w:hAnsi="宋体"/>
          <w:szCs w:val="21"/>
        </w:rPr>
        <w:t>建造师注册证书号：</w:t>
      </w:r>
      <w:r>
        <w:rPr>
          <w:rFonts w:ascii="宋体" w:hAnsi="宋体"/>
          <w:szCs w:val="21"/>
          <w:u w:val="single"/>
        </w:rPr>
        <w:t>       </w:t>
      </w:r>
      <w:r>
        <w:rPr>
          <w:rFonts w:hint="eastAsia" w:ascii="宋体" w:hAnsi="宋体"/>
          <w:szCs w:val="21"/>
        </w:rPr>
        <w:t>；</w:t>
      </w:r>
    </w:p>
    <w:p w14:paraId="72EB850E">
      <w:pPr>
        <w:spacing w:line="360" w:lineRule="auto"/>
        <w:ind w:firstLine="420" w:firstLineChars="200"/>
        <w:jc w:val="left"/>
        <w:rPr>
          <w:rFonts w:ascii="宋体" w:hAnsi="宋体"/>
          <w:szCs w:val="21"/>
        </w:rPr>
      </w:pPr>
      <w:r>
        <w:rPr>
          <w:rFonts w:hint="eastAsia" w:ascii="宋体" w:hAnsi="宋体"/>
          <w:szCs w:val="21"/>
        </w:rPr>
        <w:t>建造师执业印章号：</w:t>
      </w:r>
      <w:r>
        <w:rPr>
          <w:rFonts w:ascii="宋体" w:hAnsi="宋体"/>
          <w:szCs w:val="21"/>
          <w:u w:val="single"/>
        </w:rPr>
        <w:t>                     </w:t>
      </w:r>
      <w:r>
        <w:rPr>
          <w:rFonts w:hint="eastAsia" w:ascii="宋体" w:hAnsi="宋体"/>
          <w:szCs w:val="21"/>
        </w:rPr>
        <w:t>；</w:t>
      </w:r>
    </w:p>
    <w:p w14:paraId="42363FAD">
      <w:pPr>
        <w:spacing w:line="360" w:lineRule="auto"/>
        <w:ind w:firstLine="420" w:firstLineChars="200"/>
        <w:jc w:val="left"/>
        <w:rPr>
          <w:rFonts w:ascii="宋体" w:hAnsi="宋体"/>
          <w:szCs w:val="21"/>
        </w:rPr>
      </w:pPr>
      <w:r>
        <w:rPr>
          <w:rFonts w:hint="eastAsia" w:ascii="宋体" w:hAnsi="宋体"/>
          <w:szCs w:val="21"/>
        </w:rPr>
        <w:t>安全生产考核合格证书号：</w:t>
      </w:r>
      <w:r>
        <w:rPr>
          <w:rFonts w:ascii="宋体" w:hAnsi="宋体"/>
          <w:szCs w:val="21"/>
          <w:u w:val="single"/>
        </w:rPr>
        <w:t>           </w:t>
      </w:r>
      <w:r>
        <w:rPr>
          <w:rFonts w:hint="eastAsia" w:ascii="宋体" w:hAnsi="宋体"/>
          <w:szCs w:val="21"/>
        </w:rPr>
        <w:t>；</w:t>
      </w:r>
    </w:p>
    <w:p w14:paraId="3FB37277">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       </w:t>
      </w:r>
      <w:r>
        <w:rPr>
          <w:rFonts w:hint="eastAsia" w:ascii="宋体" w:hAnsi="宋体"/>
          <w:szCs w:val="21"/>
        </w:rPr>
        <w:t>。</w:t>
      </w:r>
    </w:p>
    <w:p w14:paraId="7B79A38F">
      <w:pPr>
        <w:spacing w:line="360" w:lineRule="auto"/>
        <w:ind w:firstLine="420" w:firstLineChars="200"/>
        <w:jc w:val="left"/>
        <w:rPr>
          <w:rFonts w:ascii="宋体" w:hAnsi="宋体"/>
          <w:szCs w:val="21"/>
        </w:rPr>
      </w:pPr>
      <w:r>
        <w:rPr>
          <w:rFonts w:hint="eastAsia" w:ascii="宋体" w:hAnsi="宋体"/>
          <w:szCs w:val="21"/>
        </w:rPr>
        <w:t>承包人对项目经理的授权范围如下：</w:t>
      </w:r>
      <w:r>
        <w:rPr>
          <w:rFonts w:hint="eastAsia" w:ascii="宋体" w:hAnsi="宋体"/>
          <w:szCs w:val="21"/>
          <w:u w:val="single"/>
        </w:rPr>
        <w:t>严格按设计图纸、现行国家施工规范及验收规范组织施工，保证工程质量、进度、安全；及时向监理人、发包人报告现场情况（以承包人书面授权范围为准）</w:t>
      </w:r>
      <w:r>
        <w:rPr>
          <w:rFonts w:hint="eastAsia" w:ascii="宋体" w:hAnsi="宋体"/>
          <w:szCs w:val="21"/>
        </w:rPr>
        <w:t>。</w:t>
      </w:r>
    </w:p>
    <w:p w14:paraId="02F8EAF6">
      <w:pPr>
        <w:spacing w:line="360" w:lineRule="auto"/>
        <w:ind w:firstLine="420" w:firstLineChars="200"/>
        <w:jc w:val="left"/>
        <w:rPr>
          <w:rFonts w:ascii="宋体" w:hAnsi="宋体"/>
          <w:szCs w:val="21"/>
        </w:rPr>
      </w:pPr>
      <w:r>
        <w:rPr>
          <w:rFonts w:hint="eastAsia" w:ascii="宋体" w:hAnsi="宋体"/>
          <w:szCs w:val="21"/>
        </w:rPr>
        <w:t>关于项目经理每月在施工现场的时间要求：</w:t>
      </w:r>
      <w:r>
        <w:rPr>
          <w:rFonts w:hint="eastAsia" w:ascii="宋体" w:hAnsi="宋体"/>
          <w:szCs w:val="21"/>
          <w:u w:val="single"/>
        </w:rPr>
        <w:t>不少于22天，由监理人负责项目经理的考勤</w:t>
      </w:r>
      <w:r>
        <w:rPr>
          <w:rFonts w:hint="eastAsia" w:ascii="宋体" w:hAnsi="宋体"/>
          <w:szCs w:val="21"/>
        </w:rPr>
        <w:t>。</w:t>
      </w:r>
    </w:p>
    <w:p w14:paraId="73AE2B1B">
      <w:pPr>
        <w:spacing w:line="360" w:lineRule="auto"/>
        <w:ind w:firstLine="420" w:firstLineChars="200"/>
        <w:jc w:val="left"/>
        <w:rPr>
          <w:rFonts w:ascii="宋体" w:hAnsi="宋体"/>
          <w:szCs w:val="21"/>
        </w:rPr>
      </w:pPr>
      <w:r>
        <w:rPr>
          <w:rFonts w:hint="eastAsia" w:ascii="宋体" w:hAnsi="宋体"/>
          <w:szCs w:val="21"/>
          <w:u w:val="single"/>
        </w:rPr>
        <w:t>承包人应在合同签订后7天内提交与项目经理签订的劳动合同及为项目经理缴纳社会保险的证明，承包人未在限期内提交的，项目经理无权履行职责，发包人有权要求更换项目经理</w:t>
      </w:r>
      <w:r>
        <w:rPr>
          <w:rFonts w:hint="eastAsia" w:ascii="宋体" w:hAnsi="宋体"/>
          <w:szCs w:val="21"/>
        </w:rPr>
        <w:t>。</w:t>
      </w:r>
    </w:p>
    <w:p w14:paraId="6A365BE6">
      <w:pPr>
        <w:spacing w:line="360" w:lineRule="auto"/>
        <w:ind w:firstLine="420" w:firstLineChars="200"/>
        <w:jc w:val="left"/>
        <w:rPr>
          <w:rFonts w:ascii="宋体" w:hAnsi="宋体"/>
          <w:szCs w:val="21"/>
        </w:rPr>
      </w:pPr>
      <w:r>
        <w:rPr>
          <w:rFonts w:hint="eastAsia" w:ascii="宋体" w:hAnsi="宋体"/>
          <w:szCs w:val="21"/>
        </w:rPr>
        <w:t>3.2.2 技术负责人</w:t>
      </w:r>
    </w:p>
    <w:p w14:paraId="11469662">
      <w:pPr>
        <w:spacing w:line="360" w:lineRule="auto"/>
        <w:ind w:firstLine="420" w:firstLineChars="200"/>
        <w:jc w:val="left"/>
        <w:rPr>
          <w:rFonts w:ascii="宋体" w:hAnsi="宋体"/>
          <w:szCs w:val="21"/>
        </w:rPr>
      </w:pPr>
      <w:r>
        <w:rPr>
          <w:rFonts w:hint="eastAsia" w:ascii="宋体" w:hAnsi="宋体"/>
          <w:szCs w:val="21"/>
        </w:rPr>
        <w:t>姓    名：</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14:paraId="5F41BE94">
      <w:pPr>
        <w:spacing w:line="360" w:lineRule="auto"/>
        <w:ind w:firstLine="420" w:firstLineChars="200"/>
        <w:jc w:val="left"/>
        <w:rPr>
          <w:rFonts w:ascii="宋体" w:hAnsi="宋体"/>
          <w:szCs w:val="21"/>
        </w:rPr>
      </w:pPr>
      <w:r>
        <w:rPr>
          <w:rFonts w:hint="eastAsia" w:ascii="宋体" w:hAnsi="宋体"/>
          <w:szCs w:val="21"/>
        </w:rPr>
        <w:t>身份证号：</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14:paraId="7280588F">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14:paraId="0F6B8070">
      <w:pPr>
        <w:spacing w:line="360" w:lineRule="auto"/>
        <w:ind w:firstLine="420" w:firstLineChars="200"/>
        <w:jc w:val="left"/>
        <w:rPr>
          <w:rFonts w:ascii="宋体" w:hAnsi="宋体"/>
          <w:szCs w:val="21"/>
        </w:rPr>
      </w:pPr>
      <w:r>
        <w:rPr>
          <w:rFonts w:hint="eastAsia" w:ascii="宋体" w:hAnsi="宋体"/>
          <w:szCs w:val="21"/>
        </w:rPr>
        <w:t>专     业：</w:t>
      </w:r>
      <w:r>
        <w:rPr>
          <w:rFonts w:ascii="宋体" w:hAnsi="宋体"/>
          <w:szCs w:val="21"/>
          <w:u w:val="single"/>
        </w:rPr>
        <w:t xml:space="preserve">                          </w:t>
      </w:r>
      <w:r>
        <w:rPr>
          <w:rFonts w:hint="eastAsia" w:ascii="宋体" w:hAnsi="宋体"/>
          <w:szCs w:val="21"/>
          <w:u w:val="single"/>
        </w:rPr>
        <w:t xml:space="preserve"> </w:t>
      </w:r>
      <w:r>
        <w:rPr>
          <w:rFonts w:hint="eastAsia" w:ascii="宋体" w:hAnsi="宋体"/>
          <w:szCs w:val="21"/>
        </w:rPr>
        <w:t>；</w:t>
      </w:r>
    </w:p>
    <w:p w14:paraId="70A1251C">
      <w:pPr>
        <w:spacing w:line="360" w:lineRule="auto"/>
        <w:ind w:firstLine="420" w:firstLineChars="200"/>
        <w:jc w:val="left"/>
        <w:rPr>
          <w:rFonts w:ascii="宋体" w:hAnsi="宋体"/>
          <w:szCs w:val="21"/>
        </w:rPr>
      </w:pPr>
      <w:r>
        <w:rPr>
          <w:rFonts w:hint="eastAsia" w:ascii="宋体" w:hAnsi="宋体"/>
          <w:szCs w:val="21"/>
        </w:rPr>
        <w:t>证书名称及号码：</w:t>
      </w:r>
      <w:r>
        <w:rPr>
          <w:rFonts w:ascii="宋体" w:hAnsi="宋体"/>
          <w:szCs w:val="21"/>
          <w:u w:val="single"/>
        </w:rPr>
        <w:t xml:space="preserve">                         </w:t>
      </w:r>
      <w:r>
        <w:rPr>
          <w:rFonts w:hint="eastAsia" w:ascii="宋体" w:hAnsi="宋体"/>
          <w:szCs w:val="21"/>
        </w:rPr>
        <w:t>；</w:t>
      </w:r>
    </w:p>
    <w:p w14:paraId="5028757A">
      <w:pPr>
        <w:pStyle w:val="2"/>
        <w:spacing w:after="0" w:line="360" w:lineRule="auto"/>
        <w:rPr>
          <w:rFonts w:ascii="宋体" w:hAnsi="宋体"/>
          <w:szCs w:val="21"/>
        </w:rPr>
      </w:pPr>
      <w:r>
        <w:rPr>
          <w:rFonts w:hint="eastAsia" w:ascii="宋体" w:hAnsi="宋体"/>
          <w:szCs w:val="21"/>
        </w:rPr>
        <w:t xml:space="preserve">    </w:t>
      </w:r>
      <w:r>
        <w:rPr>
          <w:rFonts w:ascii="宋体" w:hAnsi="宋体"/>
          <w:szCs w:val="21"/>
        </w:rPr>
        <w:t>联系方式：</w:t>
      </w:r>
      <w:r>
        <w:rPr>
          <w:rFonts w:ascii="宋体" w:hAnsi="宋体"/>
          <w:szCs w:val="21"/>
          <w:u w:val="single"/>
        </w:rPr>
        <w:t xml:space="preserve">         </w:t>
      </w:r>
      <w:r>
        <w:rPr>
          <w:rFonts w:hint="eastAsia" w:ascii="宋体" w:hAnsi="宋体"/>
          <w:szCs w:val="21"/>
        </w:rPr>
        <w:t>。</w:t>
      </w:r>
    </w:p>
    <w:p w14:paraId="05464CEE">
      <w:pPr>
        <w:spacing w:line="360" w:lineRule="auto"/>
        <w:ind w:firstLine="420" w:firstLineChars="200"/>
        <w:jc w:val="left"/>
        <w:rPr>
          <w:rFonts w:ascii="宋体" w:hAnsi="宋体"/>
          <w:szCs w:val="21"/>
        </w:rPr>
      </w:pPr>
      <w:r>
        <w:rPr>
          <w:rFonts w:hint="eastAsia" w:ascii="宋体" w:hAnsi="宋体"/>
          <w:kern w:val="0"/>
          <w:szCs w:val="21"/>
        </w:rPr>
        <w:t>关于技</w:t>
      </w:r>
      <w:r>
        <w:rPr>
          <w:rFonts w:hint="eastAsia" w:ascii="宋体" w:hAnsi="宋体"/>
          <w:szCs w:val="21"/>
        </w:rPr>
        <w:t>术负责人每月在施工现场的时间要求：</w:t>
      </w:r>
      <w:r>
        <w:rPr>
          <w:rFonts w:hint="eastAsia" w:ascii="宋体" w:hAnsi="宋体"/>
          <w:szCs w:val="21"/>
          <w:u w:val="single"/>
        </w:rPr>
        <w:t>不少于22天，由监理人负责技术负责人的考勤</w:t>
      </w:r>
      <w:r>
        <w:rPr>
          <w:rFonts w:hint="eastAsia" w:ascii="宋体" w:hAnsi="宋体"/>
          <w:szCs w:val="21"/>
        </w:rPr>
        <w:t>。</w:t>
      </w:r>
    </w:p>
    <w:p w14:paraId="7F7BE83F">
      <w:pPr>
        <w:spacing w:line="360" w:lineRule="auto"/>
        <w:ind w:firstLine="420" w:firstLineChars="200"/>
        <w:jc w:val="left"/>
        <w:rPr>
          <w:rFonts w:ascii="宋体" w:hAnsi="宋体"/>
          <w:szCs w:val="21"/>
        </w:rPr>
      </w:pPr>
      <w:r>
        <w:rPr>
          <w:rFonts w:hint="eastAsia" w:ascii="宋体" w:hAnsi="宋体"/>
          <w:szCs w:val="21"/>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宋体" w:hAnsi="宋体"/>
          <w:szCs w:val="21"/>
        </w:rPr>
        <w:t>。</w:t>
      </w:r>
      <w:bookmarkStart w:id="595" w:name="_Hlk528927599"/>
    </w:p>
    <w:bookmarkEnd w:id="595"/>
    <w:p w14:paraId="4F70CBA2">
      <w:pPr>
        <w:spacing w:line="360" w:lineRule="auto"/>
        <w:ind w:firstLine="420" w:firstLineChars="200"/>
        <w:jc w:val="left"/>
        <w:rPr>
          <w:rFonts w:ascii="宋体" w:hAnsi="宋体"/>
          <w:szCs w:val="21"/>
        </w:rPr>
      </w:pPr>
      <w:bookmarkStart w:id="596" w:name="_Hlk528927718"/>
      <w:r>
        <w:rPr>
          <w:rFonts w:hint="eastAsia" w:ascii="宋体" w:hAnsi="宋体"/>
          <w:szCs w:val="21"/>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596"/>
    </w:p>
    <w:p w14:paraId="14D2D10E">
      <w:pPr>
        <w:spacing w:line="360" w:lineRule="auto"/>
        <w:ind w:firstLine="420" w:firstLineChars="200"/>
        <w:jc w:val="left"/>
        <w:rPr>
          <w:rFonts w:ascii="宋体" w:hAnsi="宋体"/>
          <w:szCs w:val="21"/>
        </w:rPr>
      </w:pPr>
      <w:r>
        <w:rPr>
          <w:rFonts w:hint="eastAsia" w:ascii="宋体" w:hAnsi="宋体"/>
          <w:szCs w:val="21"/>
        </w:rPr>
        <w:t>若项目经理和技术负责人出现下列情形需更换的，承包人按通用条款第3.2.3项的规定向发包人发出通知，经发包人领导班子集体决策同意后予以批准，并将变更信息推送给行业主管部门：</w:t>
      </w:r>
    </w:p>
    <w:p w14:paraId="2AF08612">
      <w:pPr>
        <w:spacing w:line="360" w:lineRule="auto"/>
        <w:ind w:firstLine="420" w:firstLineChars="200"/>
        <w:jc w:val="left"/>
        <w:rPr>
          <w:rFonts w:ascii="宋体" w:hAnsi="宋体"/>
          <w:szCs w:val="21"/>
        </w:rPr>
      </w:pPr>
      <w:r>
        <w:rPr>
          <w:rFonts w:hint="eastAsia" w:ascii="宋体" w:hAnsi="宋体"/>
          <w:szCs w:val="21"/>
        </w:rPr>
        <w:t>1、死亡；</w:t>
      </w:r>
    </w:p>
    <w:p w14:paraId="7013F4A9">
      <w:pPr>
        <w:spacing w:line="360" w:lineRule="auto"/>
        <w:ind w:firstLine="420" w:firstLineChars="200"/>
        <w:jc w:val="left"/>
        <w:rPr>
          <w:rFonts w:ascii="宋体" w:hAnsi="宋体"/>
          <w:szCs w:val="21"/>
        </w:rPr>
      </w:pPr>
      <w:r>
        <w:rPr>
          <w:rFonts w:hint="eastAsia" w:ascii="宋体" w:hAnsi="宋体"/>
          <w:szCs w:val="21"/>
        </w:rPr>
        <w:t>2、非承包人原因导致工期延长，而致使项目经理和技术负责人达到法定退休年龄且确需退休；</w:t>
      </w:r>
    </w:p>
    <w:p w14:paraId="619839D4">
      <w:pPr>
        <w:spacing w:line="360" w:lineRule="auto"/>
        <w:ind w:firstLine="420" w:firstLineChars="200"/>
        <w:jc w:val="left"/>
        <w:rPr>
          <w:rFonts w:ascii="宋体" w:hAnsi="宋体"/>
          <w:szCs w:val="21"/>
        </w:rPr>
      </w:pPr>
      <w:r>
        <w:rPr>
          <w:rFonts w:hint="eastAsia" w:ascii="宋体" w:hAnsi="宋体"/>
          <w:szCs w:val="21"/>
        </w:rPr>
        <w:t>3、按《职工非因工伤残或因病丧失劳动能力程度鉴定标准（试行）》规定鉴定为完全丧失劳动能力和大部分丧失劳动能力；</w:t>
      </w:r>
    </w:p>
    <w:p w14:paraId="334C5AD1">
      <w:pPr>
        <w:spacing w:line="360" w:lineRule="auto"/>
        <w:ind w:firstLine="420" w:firstLineChars="200"/>
        <w:jc w:val="left"/>
        <w:rPr>
          <w:rFonts w:ascii="宋体" w:hAnsi="宋体"/>
          <w:szCs w:val="21"/>
        </w:rPr>
      </w:pPr>
      <w:r>
        <w:rPr>
          <w:rFonts w:hint="eastAsia" w:ascii="宋体" w:hAnsi="宋体"/>
          <w:szCs w:val="21"/>
        </w:rPr>
        <w:t>4、非承包人原因导致中标3个月不能开工；</w:t>
      </w:r>
    </w:p>
    <w:p w14:paraId="277928EB">
      <w:pPr>
        <w:spacing w:line="360" w:lineRule="auto"/>
        <w:ind w:firstLine="420" w:firstLineChars="200"/>
        <w:jc w:val="left"/>
        <w:rPr>
          <w:rFonts w:ascii="宋体" w:hAnsi="宋体"/>
          <w:szCs w:val="21"/>
        </w:rPr>
      </w:pPr>
      <w:r>
        <w:rPr>
          <w:rFonts w:hint="eastAsia" w:ascii="宋体" w:hAnsi="宋体"/>
          <w:szCs w:val="21"/>
        </w:rPr>
        <w:t>5、被公安或者司法机关限制人身自由；</w:t>
      </w:r>
    </w:p>
    <w:p w14:paraId="721F8616">
      <w:pPr>
        <w:spacing w:line="360" w:lineRule="auto"/>
        <w:ind w:firstLine="420" w:firstLineChars="200"/>
        <w:jc w:val="left"/>
        <w:rPr>
          <w:rFonts w:ascii="宋体" w:hAnsi="宋体"/>
          <w:szCs w:val="21"/>
        </w:rPr>
      </w:pPr>
      <w:r>
        <w:rPr>
          <w:rFonts w:hint="eastAsia" w:ascii="宋体" w:hAnsi="宋体"/>
          <w:szCs w:val="21"/>
        </w:rPr>
        <w:t>6、被取消职称或者执业资格，不满足项目管理要求；</w:t>
      </w:r>
    </w:p>
    <w:p w14:paraId="4ECEAEA9">
      <w:pPr>
        <w:spacing w:line="360" w:lineRule="auto"/>
        <w:ind w:firstLine="420" w:firstLineChars="200"/>
        <w:jc w:val="left"/>
        <w:rPr>
          <w:rFonts w:ascii="宋体" w:hAnsi="宋体"/>
          <w:szCs w:val="21"/>
        </w:rPr>
      </w:pPr>
      <w:r>
        <w:rPr>
          <w:rFonts w:hint="eastAsia" w:ascii="宋体" w:hAnsi="宋体"/>
          <w:szCs w:val="21"/>
        </w:rPr>
        <w:t>7、非承包人原因导致确需变更的其它情形。</w:t>
      </w:r>
    </w:p>
    <w:p w14:paraId="68485B81">
      <w:pPr>
        <w:spacing w:line="360" w:lineRule="auto"/>
        <w:ind w:firstLine="420" w:firstLineChars="200"/>
        <w:jc w:val="left"/>
        <w:rPr>
          <w:rFonts w:ascii="宋体" w:hAnsi="宋体"/>
          <w:szCs w:val="21"/>
        </w:rPr>
      </w:pPr>
      <w:r>
        <w:rPr>
          <w:rFonts w:hint="eastAsia" w:ascii="宋体" w:hAnsi="宋体"/>
          <w:szCs w:val="21"/>
        </w:rPr>
        <w:t>本款补充3.2.6项</w:t>
      </w:r>
    </w:p>
    <w:p w14:paraId="091E90E1">
      <w:pPr>
        <w:spacing w:line="360" w:lineRule="auto"/>
        <w:ind w:firstLine="420" w:firstLineChars="200"/>
        <w:jc w:val="left"/>
        <w:rPr>
          <w:rFonts w:ascii="宋体" w:hAnsi="宋体"/>
          <w:szCs w:val="21"/>
        </w:rPr>
      </w:pPr>
      <w:r>
        <w:rPr>
          <w:rFonts w:hint="eastAsia" w:ascii="宋体" w:hAnsi="宋体"/>
          <w:szCs w:val="21"/>
        </w:rPr>
        <w:t>3.2.6 国有资金投资项目其他主要人员变更参照《重庆市政府投资项目合同变更管理暂行办法》的规定。</w:t>
      </w:r>
    </w:p>
    <w:p w14:paraId="6B4B8FEB">
      <w:pPr>
        <w:pStyle w:val="7"/>
        <w:spacing w:before="0" w:beforeAutospacing="0" w:after="0" w:afterAutospacing="0" w:line="360" w:lineRule="auto"/>
        <w:ind w:firstLine="422" w:firstLineChars="200"/>
        <w:rPr>
          <w:sz w:val="21"/>
          <w:szCs w:val="21"/>
        </w:rPr>
      </w:pPr>
      <w:bookmarkStart w:id="597" w:name="_Toc532377337"/>
      <w:r>
        <w:rPr>
          <w:rFonts w:hint="eastAsia"/>
          <w:sz w:val="21"/>
          <w:szCs w:val="21"/>
        </w:rPr>
        <w:t>3.3 承包人人员</w:t>
      </w:r>
      <w:bookmarkEnd w:id="597"/>
    </w:p>
    <w:p w14:paraId="25A85147">
      <w:pPr>
        <w:spacing w:line="360" w:lineRule="auto"/>
        <w:ind w:firstLine="420" w:firstLineChars="200"/>
        <w:jc w:val="left"/>
        <w:rPr>
          <w:rFonts w:ascii="宋体" w:hAnsi="宋体"/>
          <w:szCs w:val="21"/>
        </w:rPr>
      </w:pPr>
      <w:r>
        <w:rPr>
          <w:rFonts w:hint="eastAsia" w:ascii="宋体" w:hAnsi="宋体"/>
          <w:szCs w:val="21"/>
        </w:rPr>
        <w:t>3.3.1 承包人应按建设行政主管部门现行规定配备现场施工从业人员，具体要求如下：</w:t>
      </w:r>
      <w:r>
        <w:rPr>
          <w:rFonts w:hint="eastAsia" w:ascii="宋体" w:hAnsi="宋体"/>
          <w:szCs w:val="21"/>
          <w:u w:val="single"/>
        </w:rPr>
        <w:t xml:space="preserve"> 按《重庆市房屋建筑与市政基础设施工程现场施工从业人员配备标准》（DBJ50-157-2013）的相应要求，在签订合同前，将项目班子成员的红头任命文件提交给发包人。任命文件应当明确施工项目部的职责、岗位设置、人员配备。相关岗位管理人员应持有建设行政主管部门要求的岗位证书，并提供本单位为其缴纳的养老保险证明材料，同时不得在其他在建项目任职。 </w:t>
      </w:r>
    </w:p>
    <w:p w14:paraId="5DCEC0CD">
      <w:pPr>
        <w:spacing w:line="360" w:lineRule="auto"/>
        <w:ind w:firstLine="420" w:firstLineChars="200"/>
        <w:jc w:val="left"/>
        <w:rPr>
          <w:rFonts w:ascii="宋体" w:hAnsi="宋体"/>
          <w:szCs w:val="21"/>
        </w:rPr>
      </w:pPr>
      <w:r>
        <w:rPr>
          <w:rFonts w:hint="eastAsia" w:ascii="宋体" w:hAnsi="宋体"/>
          <w:szCs w:val="21"/>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14:paraId="482A22CE">
      <w:pPr>
        <w:spacing w:line="360" w:lineRule="auto"/>
        <w:ind w:firstLine="420" w:firstLineChars="200"/>
        <w:jc w:val="left"/>
        <w:rPr>
          <w:rFonts w:ascii="宋体" w:hAnsi="宋体"/>
          <w:szCs w:val="21"/>
        </w:rPr>
      </w:pPr>
      <w:r>
        <w:rPr>
          <w:rFonts w:hint="eastAsia" w:ascii="宋体" w:hAnsi="宋体"/>
          <w:szCs w:val="21"/>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14:paraId="2FE9E2EB">
      <w:pPr>
        <w:spacing w:line="360" w:lineRule="auto"/>
        <w:ind w:firstLine="420" w:firstLineChars="200"/>
        <w:jc w:val="left"/>
        <w:rPr>
          <w:rFonts w:ascii="宋体" w:hAnsi="宋体"/>
          <w:szCs w:val="21"/>
        </w:rPr>
      </w:pPr>
      <w:r>
        <w:rPr>
          <w:rFonts w:hint="eastAsia" w:ascii="宋体" w:hAnsi="宋体"/>
          <w:szCs w:val="21"/>
        </w:rPr>
        <w:t>3.3.4 承包人主要施工管理人员离开施工现场，指定的临时人员需满足：</w:t>
      </w:r>
      <w:r>
        <w:rPr>
          <w:rFonts w:hint="eastAsia" w:ascii="宋体" w:hAnsi="宋体"/>
          <w:szCs w:val="21"/>
          <w:u w:val="single"/>
        </w:rPr>
        <w:t>《重庆市房屋建筑与市政基础设施工程现场施工从业人员配备标准》（DBJ50-157-2013）的相应要求</w:t>
      </w:r>
      <w:r>
        <w:rPr>
          <w:rFonts w:hint="eastAsia" w:ascii="宋体" w:hAnsi="宋体"/>
          <w:szCs w:val="21"/>
        </w:rPr>
        <w:t>。</w:t>
      </w:r>
    </w:p>
    <w:p w14:paraId="455920AC">
      <w:pPr>
        <w:pStyle w:val="7"/>
        <w:spacing w:before="0" w:beforeAutospacing="0" w:after="0" w:afterAutospacing="0" w:line="360" w:lineRule="auto"/>
        <w:ind w:firstLine="422" w:firstLineChars="200"/>
        <w:rPr>
          <w:sz w:val="21"/>
          <w:szCs w:val="21"/>
        </w:rPr>
      </w:pPr>
      <w:bookmarkStart w:id="598" w:name="_Toc532377338"/>
      <w:r>
        <w:rPr>
          <w:rFonts w:hint="eastAsia"/>
          <w:sz w:val="21"/>
          <w:szCs w:val="21"/>
        </w:rPr>
        <w:t>3</w:t>
      </w:r>
      <w:bookmarkStart w:id="599" w:name="_Toc297216151"/>
      <w:bookmarkStart w:id="600" w:name="_Toc303539102"/>
      <w:bookmarkStart w:id="601" w:name="_Toc297120459"/>
      <w:bookmarkStart w:id="602" w:name="_Toc304295523"/>
      <w:bookmarkStart w:id="603" w:name="_Toc296346660"/>
      <w:bookmarkStart w:id="604" w:name="_Toc296891199"/>
      <w:bookmarkStart w:id="605" w:name="_Toc292559869"/>
      <w:bookmarkStart w:id="606" w:name="_Toc297048345"/>
      <w:bookmarkStart w:id="607" w:name="_Toc292559364"/>
      <w:bookmarkStart w:id="608" w:name="_Toc296890987"/>
      <w:bookmarkStart w:id="609" w:name="_Toc296347158"/>
      <w:bookmarkStart w:id="610" w:name="_Toc312677988"/>
      <w:bookmarkStart w:id="611" w:name="_Toc300934945"/>
      <w:bookmarkStart w:id="612" w:name="_Toc296944498"/>
      <w:bookmarkStart w:id="613" w:name="_Toc296503159"/>
      <w:bookmarkStart w:id="614" w:name="_Toc297123492"/>
      <w:r>
        <w:rPr>
          <w:rFonts w:hint="eastAsia"/>
          <w:sz w:val="21"/>
          <w:szCs w:val="21"/>
        </w:rPr>
        <w:t>.5 分包</w:t>
      </w:r>
      <w:bookmarkEnd w:id="598"/>
    </w:p>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14:paraId="1D88D926">
      <w:pPr>
        <w:spacing w:line="360" w:lineRule="auto"/>
        <w:ind w:firstLine="420" w:firstLineChars="200"/>
        <w:jc w:val="left"/>
        <w:rPr>
          <w:rFonts w:ascii="宋体" w:hAnsi="宋体"/>
          <w:szCs w:val="21"/>
        </w:rPr>
      </w:pPr>
      <w:r>
        <w:rPr>
          <w:rFonts w:hint="eastAsia" w:ascii="宋体" w:hAnsi="宋体"/>
          <w:szCs w:val="21"/>
        </w:rPr>
        <w:t>3</w:t>
      </w:r>
      <w:bookmarkStart w:id="615" w:name="_Toc296503160"/>
      <w:bookmarkStart w:id="616" w:name="_Toc292559365"/>
      <w:bookmarkStart w:id="617" w:name="_Toc297123493"/>
      <w:bookmarkStart w:id="618" w:name="_Toc296346661"/>
      <w:bookmarkStart w:id="619" w:name="_Toc318581158"/>
      <w:bookmarkStart w:id="620" w:name="_Toc296944499"/>
      <w:bookmarkStart w:id="621" w:name="_Toc303539103"/>
      <w:bookmarkStart w:id="622" w:name="_Toc296890988"/>
      <w:bookmarkStart w:id="623" w:name="_Toc292559870"/>
      <w:bookmarkStart w:id="624" w:name="_Toc312677989"/>
      <w:bookmarkStart w:id="625" w:name="_Toc297048346"/>
      <w:bookmarkStart w:id="626" w:name="_Toc300934946"/>
      <w:bookmarkStart w:id="627" w:name="_Toc296347159"/>
      <w:bookmarkStart w:id="628" w:name="_Toc296891200"/>
      <w:bookmarkStart w:id="629" w:name="_Toc297120460"/>
      <w:bookmarkStart w:id="630" w:name="_Toc297216152"/>
      <w:bookmarkStart w:id="631" w:name="_Toc304295524"/>
      <w:r>
        <w:rPr>
          <w:rFonts w:hint="eastAsia" w:ascii="宋体" w:hAnsi="宋体"/>
          <w:szCs w:val="21"/>
        </w:rPr>
        <w:t>.5.1 分包的一般约定</w:t>
      </w:r>
    </w:p>
    <w:p w14:paraId="71F36C55">
      <w:pPr>
        <w:spacing w:line="360" w:lineRule="auto"/>
        <w:ind w:firstLine="420" w:firstLineChars="200"/>
        <w:jc w:val="left"/>
        <w:rPr>
          <w:rFonts w:ascii="宋体" w:hAnsi="宋体"/>
          <w:szCs w:val="21"/>
        </w:rPr>
      </w:pPr>
      <w:r>
        <w:rPr>
          <w:rFonts w:hint="eastAsia" w:ascii="宋体" w:hAnsi="宋体"/>
          <w:szCs w:val="21"/>
        </w:rPr>
        <w:t>禁止分包的工程包括：主体结构、关键性工作等国家法律、法规禁止分包的工程。</w:t>
      </w:r>
    </w:p>
    <w:p w14:paraId="5CA9900B">
      <w:pPr>
        <w:spacing w:line="360" w:lineRule="auto"/>
        <w:ind w:firstLine="420" w:firstLineChars="200"/>
        <w:jc w:val="left"/>
        <w:rPr>
          <w:rFonts w:ascii="宋体" w:hAnsi="宋体"/>
          <w:szCs w:val="21"/>
        </w:rPr>
      </w:pPr>
      <w:r>
        <w:rPr>
          <w:rFonts w:hint="eastAsia" w:ascii="宋体" w:hAnsi="宋体"/>
          <w:szCs w:val="21"/>
        </w:rPr>
        <w:t>主体结构、关键性工作的范围：国家法律、法规、规范、标准等所约束的范围。如房建工程主体结构指混凝土工程、砌体工程、钢结构工程（具体有基础、梁、板、柱、砼墙、楼梯工程等）</w:t>
      </w:r>
      <w:bookmarkStart w:id="632" w:name="_Toc296503161"/>
      <w:bookmarkStart w:id="633" w:name="_Toc297120461"/>
      <w:bookmarkStart w:id="634" w:name="_Toc300934947"/>
      <w:bookmarkStart w:id="635" w:name="_Toc297048347"/>
      <w:bookmarkStart w:id="636" w:name="_Toc296890989"/>
      <w:bookmarkStart w:id="637" w:name="_Toc296347160"/>
      <w:bookmarkStart w:id="638" w:name="_Toc304295525"/>
      <w:bookmarkStart w:id="639" w:name="_Toc296346662"/>
      <w:bookmarkStart w:id="640" w:name="_Toc296891201"/>
      <w:bookmarkStart w:id="641" w:name="_Toc297216153"/>
      <w:bookmarkStart w:id="642" w:name="_Toc303539104"/>
      <w:bookmarkStart w:id="643" w:name="_Toc296944500"/>
      <w:bookmarkStart w:id="644" w:name="_Toc297123494"/>
      <w:r>
        <w:rPr>
          <w:rFonts w:hint="eastAsia" w:ascii="宋体" w:hAnsi="宋体"/>
          <w:szCs w:val="21"/>
        </w:rPr>
        <w:t>；关键性工作指梁、板、柱等部位。</w:t>
      </w:r>
    </w:p>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14:paraId="41DAB8EE">
      <w:pPr>
        <w:spacing w:line="360" w:lineRule="auto"/>
        <w:ind w:firstLine="420" w:firstLineChars="200"/>
        <w:jc w:val="left"/>
        <w:rPr>
          <w:rFonts w:ascii="宋体" w:hAnsi="宋体"/>
          <w:szCs w:val="21"/>
        </w:rPr>
      </w:pPr>
      <w:r>
        <w:rPr>
          <w:rFonts w:hint="eastAsia" w:ascii="宋体" w:hAnsi="宋体"/>
          <w:szCs w:val="21"/>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14:paraId="37B6DEC6">
      <w:pPr>
        <w:spacing w:line="360" w:lineRule="auto"/>
        <w:ind w:firstLine="420" w:firstLineChars="200"/>
        <w:jc w:val="left"/>
        <w:rPr>
          <w:rFonts w:ascii="宋体" w:hAnsi="宋体"/>
          <w:szCs w:val="21"/>
        </w:rPr>
      </w:pPr>
      <w:r>
        <w:rPr>
          <w:rFonts w:hint="eastAsia" w:ascii="宋体" w:hAnsi="宋体"/>
          <w:szCs w:val="21"/>
        </w:rPr>
        <w:t>3</w:t>
      </w:r>
      <w:bookmarkStart w:id="645" w:name="_Toc318581159"/>
      <w:bookmarkStart w:id="646" w:name="_Toc312677990"/>
      <w:r>
        <w:rPr>
          <w:rFonts w:hint="eastAsia" w:ascii="宋体" w:hAnsi="宋体"/>
          <w:szCs w:val="21"/>
        </w:rPr>
        <w:t>.5.2分包的确定</w:t>
      </w:r>
    </w:p>
    <w:p w14:paraId="5E9E127F">
      <w:pPr>
        <w:spacing w:line="360" w:lineRule="auto"/>
        <w:ind w:firstLine="420" w:firstLineChars="200"/>
        <w:jc w:val="left"/>
        <w:rPr>
          <w:rFonts w:ascii="宋体" w:hAnsi="宋体"/>
          <w:szCs w:val="21"/>
        </w:rPr>
      </w:pPr>
      <w:r>
        <w:rPr>
          <w:rFonts w:hint="eastAsia" w:ascii="宋体" w:hAnsi="宋体"/>
          <w:szCs w:val="21"/>
        </w:rPr>
        <w:t>允许分包的专业工程包括：</w:t>
      </w:r>
      <w:r>
        <w:rPr>
          <w:rFonts w:hint="eastAsia" w:ascii="宋体" w:hAnsi="宋体"/>
          <w:szCs w:val="21"/>
          <w:u w:val="single"/>
        </w:rPr>
        <w:t xml:space="preserve">        </w:t>
      </w:r>
      <w:r>
        <w:rPr>
          <w:rFonts w:hint="eastAsia" w:ascii="宋体" w:hAnsi="宋体"/>
          <w:i/>
          <w:iCs/>
          <w:szCs w:val="21"/>
        </w:rPr>
        <w:t>[提示：符合《中华人民共和国建筑法》和《中华人民共和国招标投标法》的相关规定。]</w:t>
      </w:r>
    </w:p>
    <w:p w14:paraId="5A0A1C7D">
      <w:pPr>
        <w:spacing w:line="360" w:lineRule="auto"/>
        <w:ind w:firstLine="420" w:firstLineChars="200"/>
        <w:jc w:val="left"/>
        <w:rPr>
          <w:rFonts w:ascii="宋体" w:hAnsi="宋体"/>
          <w:szCs w:val="21"/>
        </w:rPr>
      </w:pPr>
      <w:r>
        <w:rPr>
          <w:rFonts w:hint="eastAsia" w:ascii="宋体" w:hAnsi="宋体"/>
          <w:szCs w:val="21"/>
        </w:rPr>
        <w:t>3.5.4 分包合同价款</w:t>
      </w:r>
    </w:p>
    <w:p w14:paraId="5CE66D8D">
      <w:pPr>
        <w:spacing w:line="360" w:lineRule="auto"/>
        <w:ind w:firstLine="420" w:firstLineChars="200"/>
        <w:jc w:val="left"/>
        <w:rPr>
          <w:rFonts w:ascii="宋体" w:hAnsi="宋体"/>
          <w:szCs w:val="21"/>
        </w:rPr>
      </w:pPr>
      <w:r>
        <w:rPr>
          <w:rFonts w:hint="eastAsia" w:ascii="宋体" w:hAnsi="宋体"/>
          <w:szCs w:val="21"/>
        </w:rPr>
        <w:t>关于分包合同价款支付的约定：</w:t>
      </w:r>
      <w:bookmarkEnd w:id="645"/>
      <w:bookmarkEnd w:id="646"/>
      <w:r>
        <w:rPr>
          <w:rFonts w:hint="eastAsia" w:ascii="宋体" w:hAnsi="宋体"/>
          <w:szCs w:val="21"/>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hAnsi="宋体"/>
          <w:szCs w:val="21"/>
        </w:rPr>
        <w:t>。</w:t>
      </w:r>
    </w:p>
    <w:p w14:paraId="54D4520A">
      <w:pPr>
        <w:spacing w:line="360" w:lineRule="auto"/>
        <w:ind w:firstLine="420" w:firstLineChars="200"/>
        <w:jc w:val="left"/>
        <w:rPr>
          <w:rFonts w:ascii="宋体" w:hAnsi="宋体"/>
          <w:szCs w:val="21"/>
        </w:rPr>
      </w:pPr>
      <w:r>
        <w:rPr>
          <w:rFonts w:hint="eastAsia" w:ascii="宋体" w:hAnsi="宋体"/>
          <w:szCs w:val="21"/>
        </w:rPr>
        <w:t>本款补充3.5.6项：</w:t>
      </w:r>
    </w:p>
    <w:p w14:paraId="07527CD1">
      <w:pPr>
        <w:spacing w:line="360" w:lineRule="auto"/>
        <w:ind w:firstLine="420" w:firstLineChars="200"/>
        <w:jc w:val="left"/>
        <w:rPr>
          <w:rFonts w:ascii="宋体" w:hAnsi="宋体"/>
          <w:szCs w:val="21"/>
        </w:rPr>
      </w:pPr>
      <w:r>
        <w:rPr>
          <w:rFonts w:hint="eastAsia" w:ascii="宋体" w:hAnsi="宋体"/>
          <w:szCs w:val="21"/>
        </w:rPr>
        <w:t>3.5.6严禁违法分包</w:t>
      </w:r>
    </w:p>
    <w:p w14:paraId="436A7420">
      <w:pPr>
        <w:spacing w:line="360" w:lineRule="auto"/>
        <w:ind w:firstLine="420" w:firstLineChars="200"/>
        <w:jc w:val="left"/>
        <w:rPr>
          <w:rFonts w:ascii="宋体" w:hAnsi="宋体"/>
          <w:szCs w:val="21"/>
        </w:rPr>
      </w:pPr>
      <w:r>
        <w:rPr>
          <w:rFonts w:hint="eastAsia" w:ascii="宋体" w:hAnsi="宋体"/>
          <w:szCs w:val="21"/>
        </w:rPr>
        <w:t>一经查实，承包人的履约担保不予退还，发包人有权终止合同；同时发包人有权向相关行政监管部门举报，根据《住房和城乡建设部关于印发建筑工程施工发包与承包违法行为认定查处管理办法的通知》（建市规〔2019〕1号）相关规定条执行。</w:t>
      </w:r>
    </w:p>
    <w:p w14:paraId="341050AE">
      <w:pPr>
        <w:pStyle w:val="7"/>
        <w:spacing w:before="0" w:beforeAutospacing="0" w:after="0" w:afterAutospacing="0" w:line="360" w:lineRule="auto"/>
        <w:ind w:firstLine="422" w:firstLineChars="200"/>
        <w:rPr>
          <w:sz w:val="21"/>
          <w:szCs w:val="21"/>
        </w:rPr>
      </w:pPr>
      <w:bookmarkStart w:id="647" w:name="_Toc532377339"/>
      <w:r>
        <w:rPr>
          <w:rFonts w:hint="eastAsia"/>
          <w:sz w:val="21"/>
          <w:szCs w:val="21"/>
        </w:rPr>
        <w:t>3.7 履约担保</w:t>
      </w:r>
      <w:bookmarkEnd w:id="647"/>
    </w:p>
    <w:p w14:paraId="4CE8B363">
      <w:pPr>
        <w:spacing w:line="360" w:lineRule="auto"/>
        <w:ind w:firstLine="420" w:firstLineChars="200"/>
        <w:jc w:val="left"/>
        <w:rPr>
          <w:rFonts w:ascii="宋体" w:hAnsi="宋体"/>
          <w:szCs w:val="21"/>
        </w:rPr>
      </w:pPr>
      <w:r>
        <w:rPr>
          <w:rFonts w:hint="eastAsia" w:ascii="宋体" w:hAnsi="宋体"/>
          <w:szCs w:val="21"/>
        </w:rPr>
        <w:t>3.7.1承包人是否提供履约担保：</w:t>
      </w:r>
      <w:r>
        <w:rPr>
          <w:rFonts w:hint="eastAsia" w:ascii="宋体" w:hAnsi="宋体"/>
          <w:szCs w:val="21"/>
          <w:u w:val="single"/>
        </w:rPr>
        <w:t>不需要提供</w:t>
      </w:r>
      <w:r>
        <w:rPr>
          <w:rFonts w:hint="eastAsia" w:ascii="宋体" w:hAnsi="宋体"/>
          <w:szCs w:val="21"/>
        </w:rPr>
        <w:t>。</w:t>
      </w:r>
    </w:p>
    <w:p w14:paraId="29E69600">
      <w:pPr>
        <w:spacing w:line="360" w:lineRule="auto"/>
        <w:ind w:firstLine="420" w:firstLineChars="200"/>
        <w:jc w:val="left"/>
        <w:rPr>
          <w:rFonts w:ascii="宋体" w:hAnsi="宋体"/>
          <w:szCs w:val="21"/>
        </w:rPr>
      </w:pPr>
      <w:r>
        <w:rPr>
          <w:rFonts w:hint="eastAsia" w:ascii="宋体" w:hAnsi="宋体"/>
          <w:szCs w:val="21"/>
        </w:rPr>
        <w:t>3.7.2承包人提供履约担保的形式、金额及期限：无。</w:t>
      </w:r>
    </w:p>
    <w:p w14:paraId="44776B6D">
      <w:pPr>
        <w:pStyle w:val="6"/>
        <w:keepNext/>
        <w:keepLines/>
        <w:spacing w:before="156" w:beforeLines="50" w:beforeAutospacing="0" w:after="156" w:afterLines="50" w:afterAutospacing="0" w:line="360" w:lineRule="auto"/>
        <w:ind w:firstLine="422" w:firstLineChars="200"/>
        <w:jc w:val="both"/>
        <w:rPr>
          <w:bCs w:val="0"/>
          <w:kern w:val="2"/>
          <w:sz w:val="21"/>
          <w:szCs w:val="21"/>
        </w:rPr>
      </w:pPr>
      <w:bookmarkStart w:id="648" w:name="_Toc351203636"/>
      <w:bookmarkStart w:id="649" w:name="_Toc532375611"/>
      <w:bookmarkStart w:id="650" w:name="_Toc532377340"/>
      <w:r>
        <w:rPr>
          <w:rFonts w:hint="eastAsia"/>
          <w:kern w:val="2"/>
          <w:sz w:val="21"/>
          <w:szCs w:val="21"/>
        </w:rPr>
        <w:t>4</w:t>
      </w:r>
      <w:bookmarkStart w:id="651" w:name="_Toc296347161"/>
      <w:bookmarkStart w:id="652" w:name="_Toc296503162"/>
      <w:bookmarkStart w:id="653" w:name="_Toc297120462"/>
      <w:bookmarkStart w:id="654" w:name="_Toc267251413"/>
      <w:bookmarkStart w:id="655" w:name="_Toc296890990"/>
      <w:bookmarkStart w:id="656" w:name="_Toc296944501"/>
      <w:bookmarkStart w:id="657" w:name="_Toc296346663"/>
      <w:bookmarkStart w:id="658" w:name="_Toc296891202"/>
      <w:bookmarkStart w:id="659" w:name="_Toc292559871"/>
      <w:bookmarkStart w:id="660" w:name="_Toc297048348"/>
      <w:bookmarkStart w:id="661" w:name="_Toc292559366"/>
      <w:r>
        <w:rPr>
          <w:rFonts w:hint="eastAsia"/>
          <w:kern w:val="2"/>
          <w:sz w:val="21"/>
          <w:szCs w:val="21"/>
        </w:rPr>
        <w:t>. 监</w:t>
      </w:r>
      <w:bookmarkEnd w:id="651"/>
      <w:bookmarkEnd w:id="652"/>
      <w:bookmarkEnd w:id="653"/>
      <w:bookmarkEnd w:id="654"/>
      <w:bookmarkEnd w:id="655"/>
      <w:bookmarkEnd w:id="656"/>
      <w:bookmarkEnd w:id="657"/>
      <w:bookmarkEnd w:id="658"/>
      <w:bookmarkEnd w:id="659"/>
      <w:bookmarkEnd w:id="660"/>
      <w:bookmarkEnd w:id="661"/>
      <w:r>
        <w:rPr>
          <w:rFonts w:hint="eastAsia"/>
          <w:kern w:val="2"/>
          <w:sz w:val="21"/>
          <w:szCs w:val="21"/>
        </w:rPr>
        <w:t>理人</w:t>
      </w:r>
      <w:bookmarkEnd w:id="648"/>
      <w:bookmarkEnd w:id="649"/>
      <w:bookmarkEnd w:id="650"/>
    </w:p>
    <w:p w14:paraId="40C81C1B">
      <w:pPr>
        <w:pStyle w:val="7"/>
        <w:spacing w:before="0" w:beforeAutospacing="0" w:after="0" w:afterAutospacing="0" w:line="360" w:lineRule="auto"/>
        <w:ind w:firstLine="422" w:firstLineChars="200"/>
        <w:rPr>
          <w:sz w:val="21"/>
          <w:szCs w:val="21"/>
        </w:rPr>
      </w:pPr>
      <w:bookmarkStart w:id="662" w:name="_Toc532377341"/>
      <w:r>
        <w:rPr>
          <w:rFonts w:hint="eastAsia"/>
          <w:sz w:val="21"/>
          <w:szCs w:val="21"/>
        </w:rPr>
        <w:t>4.1 监理人的一般规定</w:t>
      </w:r>
      <w:bookmarkEnd w:id="662"/>
    </w:p>
    <w:p w14:paraId="6FD18FC8">
      <w:pPr>
        <w:spacing w:line="360" w:lineRule="auto"/>
        <w:ind w:firstLine="420" w:firstLineChars="200"/>
        <w:jc w:val="left"/>
        <w:rPr>
          <w:rFonts w:ascii="宋体" w:hAnsi="宋体"/>
          <w:szCs w:val="21"/>
        </w:rPr>
      </w:pPr>
      <w:r>
        <w:rPr>
          <w:rFonts w:hint="eastAsia" w:ascii="宋体" w:hAnsi="宋体"/>
          <w:szCs w:val="21"/>
        </w:rPr>
        <w:t>关于监理人的监理内容：</w:t>
      </w:r>
      <w:r>
        <w:rPr>
          <w:rFonts w:hint="eastAsia" w:ascii="宋体" w:hAnsi="宋体"/>
          <w:szCs w:val="21"/>
          <w:u w:val="single"/>
        </w:rPr>
        <w:t>见发包人与监理人就本工程签订的监理合同</w:t>
      </w:r>
      <w:r>
        <w:rPr>
          <w:rFonts w:hint="eastAsia" w:ascii="宋体" w:hAnsi="宋体"/>
          <w:szCs w:val="21"/>
        </w:rPr>
        <w:t>。</w:t>
      </w:r>
    </w:p>
    <w:p w14:paraId="21797A9F">
      <w:pPr>
        <w:spacing w:line="360" w:lineRule="auto"/>
        <w:ind w:firstLine="420" w:firstLineChars="200"/>
        <w:jc w:val="left"/>
        <w:rPr>
          <w:rFonts w:ascii="宋体" w:hAnsi="宋体"/>
          <w:szCs w:val="21"/>
        </w:rPr>
      </w:pPr>
      <w:r>
        <w:rPr>
          <w:rFonts w:hint="eastAsia" w:ascii="宋体" w:hAnsi="宋体"/>
          <w:szCs w:val="21"/>
        </w:rPr>
        <w:t>关于监理人的监理权限：</w:t>
      </w:r>
      <w:r>
        <w:rPr>
          <w:rFonts w:hint="eastAsia" w:ascii="宋体" w:hAnsi="宋体"/>
          <w:szCs w:val="21"/>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宋体" w:hAnsi="宋体"/>
          <w:szCs w:val="21"/>
        </w:rPr>
        <w:t>。</w:t>
      </w:r>
    </w:p>
    <w:p w14:paraId="5E2FAB11">
      <w:pPr>
        <w:spacing w:line="360" w:lineRule="auto"/>
        <w:ind w:firstLine="420" w:firstLineChars="200"/>
        <w:jc w:val="left"/>
        <w:rPr>
          <w:rFonts w:ascii="宋体" w:hAnsi="宋体"/>
          <w:szCs w:val="21"/>
        </w:rPr>
      </w:pPr>
      <w:r>
        <w:rPr>
          <w:rFonts w:hint="eastAsia" w:ascii="宋体" w:hAnsi="宋体"/>
          <w:szCs w:val="21"/>
        </w:rPr>
        <w:t>关于监理人在施工现场的办公场所、生活场所的提供和费用承担的约定：</w:t>
      </w:r>
      <w:r>
        <w:rPr>
          <w:rFonts w:hint="eastAsia" w:ascii="宋体" w:hAnsi="宋体"/>
          <w:szCs w:val="21"/>
          <w:u w:val="single"/>
        </w:rPr>
        <w:t xml:space="preserve"> 由承包人在施工项目部提供1间以上的办公用房，并配备办公所需的桌椅、电脑等设施设备 。           </w:t>
      </w:r>
      <w:r>
        <w:rPr>
          <w:rFonts w:hint="eastAsia" w:ascii="宋体" w:hAnsi="宋体"/>
          <w:szCs w:val="21"/>
        </w:rPr>
        <w:t>。</w:t>
      </w:r>
    </w:p>
    <w:p w14:paraId="35A57401">
      <w:pPr>
        <w:pStyle w:val="7"/>
        <w:spacing w:before="0" w:beforeAutospacing="0" w:after="0" w:afterAutospacing="0" w:line="360" w:lineRule="auto"/>
        <w:ind w:firstLine="422" w:firstLineChars="200"/>
        <w:rPr>
          <w:sz w:val="21"/>
          <w:szCs w:val="21"/>
        </w:rPr>
      </w:pPr>
      <w:bookmarkStart w:id="663" w:name="_Toc532377342"/>
      <w:r>
        <w:rPr>
          <w:rFonts w:hint="eastAsia"/>
          <w:sz w:val="21"/>
          <w:szCs w:val="21"/>
        </w:rPr>
        <w:t>4.2 监理人员</w:t>
      </w:r>
      <w:bookmarkEnd w:id="663"/>
    </w:p>
    <w:p w14:paraId="4C9F5B91">
      <w:pPr>
        <w:spacing w:line="360" w:lineRule="auto"/>
        <w:ind w:firstLine="420" w:firstLineChars="200"/>
        <w:jc w:val="left"/>
        <w:rPr>
          <w:rFonts w:ascii="宋体" w:hAnsi="宋体"/>
          <w:szCs w:val="21"/>
        </w:rPr>
      </w:pPr>
      <w:r>
        <w:rPr>
          <w:rFonts w:hint="eastAsia" w:ascii="宋体" w:hAnsi="宋体"/>
          <w:szCs w:val="21"/>
        </w:rPr>
        <w:t>总监理工程师：</w:t>
      </w:r>
    </w:p>
    <w:p w14:paraId="4F12AAC3">
      <w:pPr>
        <w:spacing w:line="360" w:lineRule="auto"/>
        <w:ind w:firstLine="420" w:firstLineChars="200"/>
        <w:jc w:val="left"/>
        <w:rPr>
          <w:rFonts w:ascii="宋体" w:hAnsi="宋体"/>
          <w:szCs w:val="21"/>
        </w:rPr>
      </w:pPr>
      <w:r>
        <w:rPr>
          <w:rFonts w:hint="eastAsia" w:ascii="宋体" w:hAnsi="宋体"/>
          <w:szCs w:val="21"/>
        </w:rPr>
        <w:t>姓    名：</w:t>
      </w:r>
      <w:r>
        <w:rPr>
          <w:rFonts w:ascii="宋体" w:hAnsi="宋体"/>
          <w:szCs w:val="21"/>
          <w:u w:val="single"/>
        </w:rPr>
        <w:t xml:space="preserve">                          </w:t>
      </w:r>
      <w:r>
        <w:rPr>
          <w:rFonts w:hint="eastAsia" w:ascii="宋体" w:hAnsi="宋体"/>
          <w:szCs w:val="21"/>
        </w:rPr>
        <w:t>；</w:t>
      </w:r>
    </w:p>
    <w:p w14:paraId="70F38DA3">
      <w:pPr>
        <w:spacing w:line="360" w:lineRule="auto"/>
        <w:ind w:firstLine="420" w:firstLineChars="200"/>
        <w:jc w:val="left"/>
        <w:rPr>
          <w:rFonts w:ascii="宋体" w:hAnsi="宋体"/>
          <w:szCs w:val="21"/>
        </w:rPr>
      </w:pPr>
      <w:r>
        <w:rPr>
          <w:rFonts w:hint="eastAsia" w:ascii="宋体" w:hAnsi="宋体"/>
          <w:szCs w:val="21"/>
        </w:rPr>
        <w:t>职    务：</w:t>
      </w:r>
      <w:r>
        <w:rPr>
          <w:rFonts w:ascii="宋体" w:hAnsi="宋体"/>
          <w:szCs w:val="21"/>
          <w:u w:val="single"/>
        </w:rPr>
        <w:t xml:space="preserve">                          </w:t>
      </w:r>
      <w:r>
        <w:rPr>
          <w:rFonts w:hint="eastAsia" w:ascii="宋体" w:hAnsi="宋体"/>
          <w:szCs w:val="21"/>
        </w:rPr>
        <w:t>；</w:t>
      </w:r>
    </w:p>
    <w:p w14:paraId="1963B77A">
      <w:pPr>
        <w:spacing w:line="360" w:lineRule="auto"/>
        <w:ind w:firstLine="420" w:firstLineChars="200"/>
        <w:jc w:val="left"/>
        <w:rPr>
          <w:rFonts w:ascii="宋体" w:hAnsi="宋体"/>
          <w:szCs w:val="21"/>
        </w:rPr>
      </w:pPr>
      <w:r>
        <w:rPr>
          <w:rFonts w:hint="eastAsia" w:ascii="宋体" w:hAnsi="宋体"/>
          <w:szCs w:val="21"/>
        </w:rPr>
        <w:t>监理工程师执业资格证书号：</w:t>
      </w:r>
      <w:r>
        <w:rPr>
          <w:rFonts w:ascii="宋体" w:hAnsi="宋体"/>
          <w:szCs w:val="21"/>
          <w:u w:val="single"/>
        </w:rPr>
        <w:t xml:space="preserve">              </w:t>
      </w:r>
      <w:r>
        <w:rPr>
          <w:rFonts w:hint="eastAsia" w:ascii="宋体" w:hAnsi="宋体"/>
          <w:szCs w:val="21"/>
        </w:rPr>
        <w:t>；</w:t>
      </w:r>
    </w:p>
    <w:p w14:paraId="43104C19">
      <w:pPr>
        <w:spacing w:line="360" w:lineRule="auto"/>
        <w:ind w:firstLine="420" w:firstLineChars="200"/>
        <w:jc w:val="left"/>
        <w:rPr>
          <w:rFonts w:ascii="宋体" w:hAnsi="宋体"/>
          <w:szCs w:val="21"/>
        </w:rPr>
      </w:pPr>
      <w:r>
        <w:rPr>
          <w:rFonts w:hint="eastAsia" w:ascii="宋体" w:hAnsi="宋体"/>
          <w:szCs w:val="21"/>
        </w:rPr>
        <w:t>联系方式：</w:t>
      </w:r>
      <w:r>
        <w:rPr>
          <w:rFonts w:ascii="宋体" w:hAnsi="宋体"/>
          <w:szCs w:val="21"/>
          <w:u w:val="single"/>
        </w:rPr>
        <w:t xml:space="preserve">                          </w:t>
      </w:r>
      <w:r>
        <w:rPr>
          <w:rFonts w:hint="eastAsia" w:ascii="宋体" w:hAnsi="宋体"/>
          <w:szCs w:val="21"/>
        </w:rPr>
        <w:t>；</w:t>
      </w:r>
    </w:p>
    <w:p w14:paraId="6C64D15E">
      <w:pPr>
        <w:spacing w:line="360" w:lineRule="auto"/>
        <w:ind w:firstLine="420" w:firstLineChars="200"/>
        <w:jc w:val="left"/>
        <w:rPr>
          <w:rFonts w:ascii="宋体" w:hAnsi="宋体"/>
          <w:szCs w:val="21"/>
        </w:rPr>
      </w:pPr>
      <w:r>
        <w:rPr>
          <w:rFonts w:hint="eastAsia" w:ascii="宋体" w:hAnsi="宋体"/>
          <w:szCs w:val="21"/>
        </w:rPr>
        <w:t>关于监理人的其他约定：</w:t>
      </w:r>
      <w:r>
        <w:rPr>
          <w:rFonts w:hint="eastAsia" w:ascii="宋体" w:hAnsi="宋体"/>
          <w:szCs w:val="21"/>
          <w:u w:val="single"/>
        </w:rPr>
        <w:t>见发包人与监理人就本工程签订的监理合同</w:t>
      </w:r>
      <w:r>
        <w:rPr>
          <w:rFonts w:hint="eastAsia" w:ascii="宋体" w:hAnsi="宋体"/>
          <w:szCs w:val="21"/>
        </w:rPr>
        <w:t>。</w:t>
      </w:r>
    </w:p>
    <w:p w14:paraId="1B288C0E">
      <w:pPr>
        <w:pStyle w:val="7"/>
        <w:spacing w:before="0" w:beforeAutospacing="0" w:after="0" w:afterAutospacing="0" w:line="360" w:lineRule="auto"/>
        <w:ind w:firstLine="420" w:firstLineChars="200"/>
        <w:rPr>
          <w:b w:val="0"/>
          <w:sz w:val="21"/>
          <w:szCs w:val="21"/>
        </w:rPr>
      </w:pPr>
      <w:bookmarkStart w:id="664" w:name="_Toc532377343"/>
      <w:r>
        <w:rPr>
          <w:rFonts w:hint="eastAsia"/>
          <w:b w:val="0"/>
          <w:sz w:val="21"/>
          <w:szCs w:val="21"/>
        </w:rPr>
        <w:t>4.4 商定或确定</w:t>
      </w:r>
      <w:bookmarkEnd w:id="664"/>
    </w:p>
    <w:p w14:paraId="4FA6951C">
      <w:pPr>
        <w:spacing w:line="360" w:lineRule="auto"/>
        <w:ind w:firstLine="420" w:firstLineChars="200"/>
        <w:jc w:val="left"/>
        <w:rPr>
          <w:rFonts w:ascii="宋体" w:hAnsi="宋体"/>
          <w:szCs w:val="21"/>
        </w:rPr>
      </w:pPr>
      <w:bookmarkStart w:id="665" w:name="_Toc267251418"/>
      <w:r>
        <w:rPr>
          <w:rFonts w:hint="eastAsia" w:ascii="宋体" w:hAnsi="宋体"/>
          <w:szCs w:val="21"/>
        </w:rPr>
        <w:t>在发包人和承包人不能通过协商达成一致意见时，发包人授权监理人对以下事项进行确定：</w:t>
      </w:r>
    </w:p>
    <w:p w14:paraId="0177B11C">
      <w:pPr>
        <w:spacing w:line="360" w:lineRule="auto"/>
        <w:ind w:firstLine="420" w:firstLineChars="200"/>
        <w:jc w:val="left"/>
        <w:rPr>
          <w:rFonts w:ascii="宋体" w:hAnsi="宋体"/>
          <w:szCs w:val="21"/>
        </w:rPr>
      </w:pPr>
      <w:r>
        <w:rPr>
          <w:rFonts w:hint="eastAsia" w:ascii="宋体" w:hAnsi="宋体"/>
          <w:szCs w:val="21"/>
          <w:u w:val="single"/>
        </w:rPr>
        <w:t xml:space="preserve">                          </w:t>
      </w:r>
      <w:r>
        <w:rPr>
          <w:rFonts w:hint="eastAsia" w:ascii="宋体" w:hAnsi="宋体"/>
          <w:szCs w:val="21"/>
        </w:rPr>
        <w:t>。</w:t>
      </w:r>
    </w:p>
    <w:p w14:paraId="6EEE96A4">
      <w:pPr>
        <w:pStyle w:val="6"/>
        <w:keepNext/>
        <w:keepLines/>
        <w:spacing w:before="156" w:beforeLines="50" w:beforeAutospacing="0" w:after="156" w:afterLines="50" w:afterAutospacing="0" w:line="360" w:lineRule="auto"/>
        <w:jc w:val="both"/>
        <w:rPr>
          <w:bCs w:val="0"/>
          <w:kern w:val="2"/>
          <w:sz w:val="21"/>
          <w:szCs w:val="21"/>
        </w:rPr>
      </w:pPr>
      <w:bookmarkStart w:id="666" w:name="_Toc532375612"/>
      <w:bookmarkStart w:id="667" w:name="_Toc532377344"/>
      <w:bookmarkStart w:id="668" w:name="_Toc351203637"/>
      <w:r>
        <w:rPr>
          <w:rFonts w:hint="eastAsia"/>
          <w:kern w:val="2"/>
          <w:sz w:val="21"/>
          <w:szCs w:val="21"/>
        </w:rPr>
        <w:t>5</w:t>
      </w:r>
      <w:bookmarkEnd w:id="665"/>
      <w:bookmarkStart w:id="669" w:name="_Toc297120463"/>
      <w:bookmarkStart w:id="670" w:name="_Toc296503163"/>
      <w:bookmarkStart w:id="671" w:name="_Toc296891203"/>
      <w:bookmarkStart w:id="672" w:name="_Toc296347162"/>
      <w:bookmarkStart w:id="673" w:name="_Toc292559872"/>
      <w:bookmarkStart w:id="674" w:name="_Toc296944502"/>
      <w:bookmarkStart w:id="675" w:name="_Toc296346664"/>
      <w:bookmarkStart w:id="676" w:name="_Toc296890991"/>
      <w:bookmarkStart w:id="677" w:name="_Toc292559367"/>
      <w:bookmarkStart w:id="678" w:name="_Toc297048349"/>
      <w:r>
        <w:rPr>
          <w:rFonts w:hint="eastAsia"/>
          <w:kern w:val="2"/>
          <w:sz w:val="21"/>
          <w:szCs w:val="21"/>
        </w:rPr>
        <w:t>. 工程质量</w:t>
      </w:r>
      <w:bookmarkEnd w:id="666"/>
      <w:bookmarkEnd w:id="667"/>
      <w:bookmarkEnd w:id="668"/>
    </w:p>
    <w:p w14:paraId="2DB9CD9A">
      <w:pPr>
        <w:pStyle w:val="7"/>
        <w:spacing w:before="0" w:beforeAutospacing="0" w:after="0" w:afterAutospacing="0" w:line="360" w:lineRule="auto"/>
        <w:ind w:firstLine="422" w:firstLineChars="200"/>
        <w:rPr>
          <w:sz w:val="21"/>
          <w:szCs w:val="21"/>
        </w:rPr>
      </w:pPr>
      <w:bookmarkStart w:id="679" w:name="_Toc532377345"/>
      <w:r>
        <w:rPr>
          <w:rFonts w:hint="eastAsia"/>
          <w:sz w:val="21"/>
          <w:szCs w:val="21"/>
        </w:rPr>
        <w:t>5.1 质量要求</w:t>
      </w:r>
      <w:bookmarkEnd w:id="679"/>
      <w:bookmarkStart w:id="680" w:name="_Hlk528909888"/>
      <w:bookmarkStart w:id="681" w:name="_Toc318581164"/>
      <w:bookmarkStart w:id="682" w:name="_Toc300934949"/>
      <w:bookmarkStart w:id="683" w:name="_Toc312677997"/>
      <w:bookmarkStart w:id="684" w:name="_Toc304295527"/>
      <w:bookmarkStart w:id="685" w:name="_Toc297216155"/>
      <w:bookmarkStart w:id="686" w:name="_Toc303539106"/>
      <w:bookmarkStart w:id="687" w:name="_Toc297123496"/>
    </w:p>
    <w:p w14:paraId="243677F2">
      <w:pPr>
        <w:spacing w:line="360" w:lineRule="auto"/>
        <w:ind w:firstLine="420" w:firstLineChars="200"/>
        <w:jc w:val="left"/>
        <w:rPr>
          <w:rFonts w:ascii="宋体" w:hAnsi="宋体"/>
          <w:szCs w:val="21"/>
        </w:rPr>
      </w:pPr>
      <w:r>
        <w:rPr>
          <w:rFonts w:hint="eastAsia" w:ascii="宋体" w:hAnsi="宋体"/>
          <w:szCs w:val="21"/>
          <w:u w:val="single"/>
        </w:rPr>
        <w:t>工程质量符合强制性质量标准，符合国家和重庆市现行有关施工质量验收规范要求，并达到合格标准</w:t>
      </w:r>
      <w:r>
        <w:rPr>
          <w:rFonts w:hint="eastAsia" w:ascii="宋体" w:hAnsi="宋体"/>
          <w:szCs w:val="21"/>
        </w:rPr>
        <w:t>。强制性安全质量标准有（包括但不限于）：</w:t>
      </w:r>
      <w:r>
        <w:rPr>
          <w:rFonts w:hint="eastAsia" w:ascii="宋体" w:hAnsi="宋体"/>
          <w:szCs w:val="21"/>
          <w:u w:val="single"/>
        </w:rPr>
        <w:t xml:space="preserve">            </w:t>
      </w:r>
      <w:r>
        <w:rPr>
          <w:rFonts w:hint="eastAsia" w:ascii="宋体" w:hAnsi="宋体"/>
          <w:szCs w:val="21"/>
        </w:rPr>
        <w:t>。</w:t>
      </w:r>
    </w:p>
    <w:bookmarkEnd w:id="680"/>
    <w:p w14:paraId="303BD8C4">
      <w:pPr>
        <w:pStyle w:val="7"/>
        <w:spacing w:before="0" w:beforeAutospacing="0" w:after="0" w:afterAutospacing="0" w:line="360" w:lineRule="auto"/>
        <w:ind w:firstLine="422" w:firstLineChars="200"/>
        <w:rPr>
          <w:sz w:val="21"/>
          <w:szCs w:val="21"/>
        </w:rPr>
      </w:pPr>
      <w:bookmarkStart w:id="688" w:name="_Toc532377346"/>
      <w:r>
        <w:rPr>
          <w:rFonts w:hint="eastAsia"/>
          <w:sz w:val="21"/>
          <w:szCs w:val="21"/>
        </w:rPr>
        <w:t>5.2 质量保证措施</w:t>
      </w:r>
      <w:bookmarkEnd w:id="688"/>
    </w:p>
    <w:p w14:paraId="3E1CA96A">
      <w:pPr>
        <w:spacing w:line="360" w:lineRule="auto"/>
        <w:ind w:firstLine="420" w:firstLineChars="200"/>
        <w:jc w:val="left"/>
        <w:rPr>
          <w:rFonts w:ascii="宋体" w:hAnsi="宋体"/>
          <w:szCs w:val="21"/>
        </w:rPr>
      </w:pPr>
      <w:r>
        <w:rPr>
          <w:rFonts w:hint="eastAsia" w:ascii="宋体" w:hAnsi="宋体"/>
          <w:szCs w:val="21"/>
        </w:rPr>
        <w:t>本款补充5.2.4项：</w:t>
      </w:r>
    </w:p>
    <w:p w14:paraId="132DB510">
      <w:pPr>
        <w:spacing w:line="360" w:lineRule="auto"/>
        <w:ind w:firstLine="420" w:firstLineChars="200"/>
        <w:jc w:val="left"/>
        <w:rPr>
          <w:rFonts w:ascii="宋体" w:hAnsi="宋体"/>
          <w:szCs w:val="21"/>
        </w:rPr>
      </w:pPr>
      <w:r>
        <w:rPr>
          <w:rFonts w:hint="eastAsia" w:ascii="宋体" w:hAnsi="宋体"/>
          <w:szCs w:val="21"/>
        </w:rPr>
        <w:t>5.2.4 在工程建设中，参建各方应严格执行以下规定（包括但不限于）：</w:t>
      </w:r>
    </w:p>
    <w:p w14:paraId="60550D5D">
      <w:pPr>
        <w:spacing w:line="360"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u w:val="single"/>
        </w:rPr>
        <w:t>《建筑工程施工质量验收统一标准》（GB50300-2013）</w:t>
      </w:r>
      <w:r>
        <w:rPr>
          <w:rFonts w:hint="eastAsia" w:ascii="宋体" w:hAnsi="宋体"/>
          <w:szCs w:val="21"/>
        </w:rPr>
        <w:t>；</w:t>
      </w:r>
    </w:p>
    <w:p w14:paraId="695C8D71">
      <w:pPr>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u w:val="single"/>
        </w:rPr>
        <w:t>《住房城乡建设部关于印发工程质量安全提升行动方案的通知》（建质〔2017〕57号）</w:t>
      </w:r>
      <w:r>
        <w:rPr>
          <w:rFonts w:hint="eastAsia" w:ascii="宋体" w:hAnsi="宋体"/>
          <w:szCs w:val="21"/>
        </w:rPr>
        <w:t>；</w:t>
      </w:r>
    </w:p>
    <w:p w14:paraId="5244DF52">
      <w:pPr>
        <w:spacing w:line="360" w:lineRule="auto"/>
        <w:ind w:firstLine="420" w:firstLineChars="200"/>
        <w:jc w:val="left"/>
        <w:rPr>
          <w:rFonts w:ascii="宋体" w:hAnsi="宋体"/>
          <w:szCs w:val="21"/>
        </w:rPr>
      </w:pPr>
      <w:r>
        <w:rPr>
          <w:rFonts w:hint="eastAsia" w:ascii="宋体" w:hAnsi="宋体"/>
          <w:szCs w:val="21"/>
        </w:rPr>
        <w:t>（3）</w:t>
      </w:r>
      <w:r>
        <w:rPr>
          <w:rFonts w:hint="eastAsia" w:ascii="宋体" w:hAnsi="宋体"/>
          <w:szCs w:val="21"/>
          <w:u w:val="single"/>
        </w:rPr>
        <w:t>《房屋建筑和市政基础设施工程竣工验收规定》（建质〔2013〕171号）</w:t>
      </w:r>
      <w:r>
        <w:rPr>
          <w:rFonts w:hint="eastAsia" w:ascii="宋体" w:hAnsi="宋体"/>
          <w:szCs w:val="21"/>
        </w:rPr>
        <w:t>；</w:t>
      </w:r>
    </w:p>
    <w:p w14:paraId="72C5F2B8">
      <w:pPr>
        <w:spacing w:line="360" w:lineRule="auto"/>
        <w:ind w:firstLine="420" w:firstLineChars="200"/>
        <w:jc w:val="left"/>
        <w:rPr>
          <w:rFonts w:ascii="宋体" w:hAnsi="宋体"/>
          <w:szCs w:val="21"/>
        </w:rPr>
      </w:pPr>
      <w:r>
        <w:rPr>
          <w:rFonts w:hint="eastAsia" w:ascii="宋体" w:hAnsi="宋体"/>
          <w:szCs w:val="21"/>
        </w:rPr>
        <w:t>（4）</w:t>
      </w:r>
      <w:r>
        <w:rPr>
          <w:rFonts w:hint="eastAsia" w:ascii="宋体" w:hAnsi="宋体"/>
          <w:szCs w:val="21"/>
          <w:u w:val="single"/>
        </w:rPr>
        <w:t>《建设部关于贯彻执行建筑工程勘察设计及施工质量验收规范若干问题的通知》（建标〔2002〕212号）</w:t>
      </w:r>
      <w:r>
        <w:rPr>
          <w:rFonts w:hint="eastAsia" w:ascii="宋体" w:hAnsi="宋体"/>
          <w:szCs w:val="21"/>
        </w:rPr>
        <w:t>；</w:t>
      </w:r>
    </w:p>
    <w:p w14:paraId="11511D42">
      <w:pPr>
        <w:spacing w:line="360" w:lineRule="auto"/>
        <w:ind w:firstLine="420" w:firstLineChars="200"/>
        <w:jc w:val="left"/>
        <w:rPr>
          <w:rFonts w:ascii="宋体" w:hAnsi="宋体"/>
          <w:szCs w:val="21"/>
        </w:rPr>
      </w:pPr>
      <w:r>
        <w:rPr>
          <w:rFonts w:hint="eastAsia" w:ascii="宋体" w:hAnsi="宋体"/>
          <w:szCs w:val="21"/>
        </w:rPr>
        <w:t>（5）</w:t>
      </w:r>
      <w:r>
        <w:rPr>
          <w:rFonts w:hint="eastAsia" w:ascii="宋体" w:hAnsi="宋体"/>
          <w:szCs w:val="21"/>
          <w:u w:val="single"/>
        </w:rPr>
        <w:t>《重庆市住房和城乡建设委员会关于印发&lt;重庆市房屋建筑和市政基础设施工程质量常见问题防治要点（2019年版）&gt;的通知》（渝建〔2019〕198号）</w:t>
      </w:r>
      <w:r>
        <w:rPr>
          <w:rFonts w:hint="eastAsia" w:ascii="宋体" w:hAnsi="宋体"/>
          <w:szCs w:val="21"/>
        </w:rPr>
        <w:t>；</w:t>
      </w:r>
    </w:p>
    <w:p w14:paraId="71406DEA">
      <w:pPr>
        <w:spacing w:line="360" w:lineRule="auto"/>
        <w:ind w:firstLine="420" w:firstLineChars="200"/>
        <w:jc w:val="left"/>
        <w:rPr>
          <w:rFonts w:ascii="宋体" w:hAnsi="宋体"/>
          <w:szCs w:val="21"/>
        </w:rPr>
      </w:pPr>
      <w:r>
        <w:rPr>
          <w:rFonts w:hint="eastAsia" w:ascii="宋体" w:hAnsi="宋体"/>
          <w:szCs w:val="21"/>
        </w:rPr>
        <w:t>（6）</w:t>
      </w:r>
      <w:r>
        <w:rPr>
          <w:rFonts w:hint="eastAsia" w:ascii="宋体" w:hAnsi="宋体"/>
          <w:szCs w:val="21"/>
          <w:u w:val="single"/>
        </w:rPr>
        <w:t>《关于印发&lt;重庆市房屋建筑和市政基础设施工程预拌商品砂浆应用推进工作方案&gt;的通知》（渝建〔2018〕375号）</w:t>
      </w:r>
      <w:r>
        <w:rPr>
          <w:rFonts w:hint="eastAsia" w:ascii="宋体" w:hAnsi="宋体"/>
          <w:szCs w:val="21"/>
        </w:rPr>
        <w:t>；</w:t>
      </w:r>
    </w:p>
    <w:p w14:paraId="0D65F14A">
      <w:pPr>
        <w:spacing w:line="360" w:lineRule="auto"/>
        <w:ind w:firstLine="420" w:firstLineChars="200"/>
        <w:jc w:val="left"/>
        <w:rPr>
          <w:rFonts w:ascii="宋体" w:hAnsi="宋体"/>
          <w:szCs w:val="21"/>
        </w:rPr>
      </w:pPr>
      <w:r>
        <w:rPr>
          <w:rFonts w:hint="eastAsia" w:ascii="宋体" w:hAnsi="宋体"/>
          <w:szCs w:val="21"/>
        </w:rPr>
        <w:t>（7）</w:t>
      </w:r>
      <w:r>
        <w:rPr>
          <w:rFonts w:hint="eastAsia" w:ascii="宋体" w:hAnsi="宋体"/>
          <w:szCs w:val="21"/>
          <w:u w:val="single"/>
        </w:rPr>
        <w:t>《重庆市城乡建设委员会关于印发2018年房屋建筑和市政基础设施工程质量要点的通知》（渝建〔2018〕94号）</w:t>
      </w:r>
      <w:r>
        <w:rPr>
          <w:rFonts w:hint="eastAsia" w:ascii="宋体" w:hAnsi="宋体"/>
          <w:szCs w:val="21"/>
        </w:rPr>
        <w:t>；</w:t>
      </w:r>
    </w:p>
    <w:p w14:paraId="5A292C99">
      <w:pPr>
        <w:spacing w:line="360" w:lineRule="auto"/>
        <w:ind w:firstLine="420" w:firstLineChars="200"/>
        <w:jc w:val="left"/>
        <w:rPr>
          <w:rFonts w:ascii="宋体" w:hAnsi="宋体"/>
          <w:szCs w:val="21"/>
        </w:rPr>
      </w:pPr>
      <w:r>
        <w:rPr>
          <w:rFonts w:hint="eastAsia" w:ascii="宋体" w:hAnsi="宋体"/>
          <w:szCs w:val="21"/>
        </w:rPr>
        <w:t>（8）</w:t>
      </w:r>
      <w:r>
        <w:rPr>
          <w:rFonts w:hint="eastAsia" w:ascii="宋体" w:hAnsi="宋体"/>
          <w:szCs w:val="21"/>
          <w:u w:val="single"/>
        </w:rPr>
        <w:t>《重庆市城乡建设委员会关于进一步推广应用预拌商品砂浆的通知》（渝建〔2016〕318号）</w:t>
      </w:r>
      <w:r>
        <w:rPr>
          <w:rFonts w:hint="eastAsia" w:ascii="宋体" w:hAnsi="宋体"/>
          <w:szCs w:val="21"/>
        </w:rPr>
        <w:t>；</w:t>
      </w:r>
    </w:p>
    <w:p w14:paraId="19D66E17">
      <w:pPr>
        <w:spacing w:line="360" w:lineRule="auto"/>
        <w:ind w:firstLine="420" w:firstLineChars="200"/>
        <w:jc w:val="left"/>
        <w:rPr>
          <w:rFonts w:ascii="宋体" w:hAnsi="宋体"/>
          <w:szCs w:val="21"/>
        </w:rPr>
      </w:pPr>
      <w:r>
        <w:rPr>
          <w:rFonts w:hint="eastAsia" w:ascii="宋体" w:hAnsi="宋体"/>
          <w:szCs w:val="21"/>
        </w:rPr>
        <w:t>（9）</w:t>
      </w:r>
      <w:r>
        <w:rPr>
          <w:rFonts w:hint="eastAsia" w:ascii="宋体" w:hAnsi="宋体"/>
          <w:szCs w:val="21"/>
          <w:u w:val="single"/>
        </w:rPr>
        <w:t>《重庆市建设委员会关于发布&lt;建筑工程施工质量验收规范用表（建筑节能分部工程）&gt;和&lt;建设工程技术用表（建筑节能工程）&gt;的通知》（渝建发〔2008〕76号）</w:t>
      </w:r>
      <w:r>
        <w:rPr>
          <w:rFonts w:hint="eastAsia" w:ascii="宋体" w:hAnsi="宋体"/>
          <w:szCs w:val="21"/>
        </w:rPr>
        <w:t>；</w:t>
      </w:r>
    </w:p>
    <w:p w14:paraId="35090CA7">
      <w:pPr>
        <w:spacing w:line="360" w:lineRule="auto"/>
        <w:ind w:firstLine="420" w:firstLineChars="200"/>
        <w:jc w:val="left"/>
        <w:rPr>
          <w:rFonts w:ascii="宋体" w:hAnsi="宋体"/>
          <w:szCs w:val="21"/>
        </w:rPr>
      </w:pPr>
      <w:r>
        <w:rPr>
          <w:rFonts w:hint="eastAsia" w:ascii="宋体" w:hAnsi="宋体"/>
          <w:szCs w:val="21"/>
        </w:rPr>
        <w:t>（10）</w:t>
      </w:r>
      <w:r>
        <w:rPr>
          <w:rFonts w:hint="eastAsia" w:ascii="宋体" w:hAnsi="宋体"/>
          <w:szCs w:val="21"/>
          <w:u w:val="single"/>
        </w:rPr>
        <w:t>国家和本市现行有关建设工程质量验收标准、规范和要求</w:t>
      </w:r>
      <w:r>
        <w:rPr>
          <w:rFonts w:hint="eastAsia" w:ascii="宋体" w:hAnsi="宋体"/>
          <w:szCs w:val="21"/>
        </w:rPr>
        <w:t>；</w:t>
      </w:r>
    </w:p>
    <w:p w14:paraId="5512EF11">
      <w:pPr>
        <w:spacing w:line="360" w:lineRule="auto"/>
        <w:ind w:firstLine="420" w:firstLineChars="200"/>
        <w:jc w:val="left"/>
        <w:rPr>
          <w:rFonts w:ascii="宋体" w:hAnsi="宋体"/>
          <w:szCs w:val="21"/>
        </w:rPr>
      </w:pPr>
      <w:r>
        <w:rPr>
          <w:rFonts w:hint="eastAsia" w:ascii="宋体" w:hAnsi="宋体"/>
          <w:szCs w:val="21"/>
        </w:rPr>
        <w:t>（11）</w:t>
      </w:r>
      <w:r>
        <w:rPr>
          <w:rFonts w:hint="eastAsia" w:ascii="宋体" w:hAnsi="宋体"/>
          <w:szCs w:val="21"/>
          <w:u w:val="single"/>
        </w:rPr>
        <w:t xml:space="preserve">        </w:t>
      </w:r>
      <w:r>
        <w:rPr>
          <w:rFonts w:hint="eastAsia" w:ascii="宋体" w:hAnsi="宋体"/>
          <w:szCs w:val="21"/>
        </w:rPr>
        <w:t>。</w:t>
      </w:r>
    </w:p>
    <w:p w14:paraId="43279C30">
      <w:pPr>
        <w:spacing w:line="360" w:lineRule="auto"/>
        <w:ind w:firstLine="420" w:firstLineChars="200"/>
        <w:jc w:val="left"/>
        <w:rPr>
          <w:rFonts w:ascii="宋体" w:hAnsi="宋体"/>
          <w:szCs w:val="21"/>
        </w:rPr>
      </w:pPr>
      <w:r>
        <w:rPr>
          <w:rFonts w:hint="eastAsia" w:ascii="宋体" w:hAnsi="宋体"/>
          <w:szCs w:val="21"/>
        </w:rPr>
        <w:t>承包人、监理人和发包人在工程建设中，应严格执行国家及重庆市现行标准，如上述标准及规范要求有出入则以较严格者为准。</w:t>
      </w:r>
    </w:p>
    <w:p w14:paraId="44CBFB72">
      <w:pPr>
        <w:pStyle w:val="7"/>
        <w:spacing w:before="0" w:beforeAutospacing="0" w:after="0" w:afterAutospacing="0" w:line="360" w:lineRule="auto"/>
        <w:ind w:firstLine="422" w:firstLineChars="200"/>
        <w:rPr>
          <w:sz w:val="21"/>
          <w:szCs w:val="21"/>
        </w:rPr>
      </w:pPr>
      <w:bookmarkStart w:id="689" w:name="_Toc351203536"/>
      <w:bookmarkStart w:id="690" w:name="_Toc532377347"/>
      <w:bookmarkStart w:id="691" w:name="_Hlk528927873"/>
      <w:r>
        <w:rPr>
          <w:rFonts w:hint="eastAsia"/>
          <w:sz w:val="21"/>
          <w:szCs w:val="21"/>
        </w:rPr>
        <w:t>5.3隐蔽工程检查</w:t>
      </w:r>
    </w:p>
    <w:p w14:paraId="60C7C729">
      <w:pPr>
        <w:spacing w:line="360" w:lineRule="auto"/>
        <w:ind w:firstLine="420" w:firstLineChars="200"/>
        <w:jc w:val="left"/>
        <w:rPr>
          <w:rFonts w:ascii="宋体" w:hAnsi="宋体"/>
          <w:szCs w:val="21"/>
        </w:rPr>
      </w:pPr>
      <w:r>
        <w:rPr>
          <w:rFonts w:hint="eastAsia" w:ascii="宋体" w:hAnsi="宋体"/>
          <w:szCs w:val="21"/>
        </w:rPr>
        <w:t>5.3.2检查程序</w:t>
      </w:r>
    </w:p>
    <w:p w14:paraId="0B455E0B">
      <w:pPr>
        <w:spacing w:line="360" w:lineRule="auto"/>
        <w:ind w:firstLine="420" w:firstLineChars="200"/>
        <w:jc w:val="left"/>
        <w:rPr>
          <w:rFonts w:ascii="宋体" w:hAnsi="宋体"/>
          <w:szCs w:val="21"/>
        </w:rPr>
      </w:pPr>
      <w:r>
        <w:rPr>
          <w:rFonts w:hint="eastAsia" w:ascii="宋体" w:hAnsi="宋体"/>
          <w:szCs w:val="21"/>
        </w:rPr>
        <w:t>工程隐蔽部位经承包人自检确认具备覆盖条件的，承包人应在共同检查前</w:t>
      </w:r>
      <w:r>
        <w:rPr>
          <w:rFonts w:hint="eastAsia" w:ascii="宋体" w:hAnsi="宋体"/>
          <w:szCs w:val="21"/>
          <w:u w:val="single"/>
        </w:rPr>
        <w:t xml:space="preserve">    </w:t>
      </w:r>
      <w:r>
        <w:rPr>
          <w:rFonts w:hint="eastAsia" w:ascii="宋体" w:hAnsi="宋体"/>
          <w:szCs w:val="21"/>
        </w:rPr>
        <w:t>小时书面通知监理人检查，通知中应载明隐蔽检查的内容、时间和地点，并应附有自检记录和必要的检查资料。</w:t>
      </w:r>
    </w:p>
    <w:p w14:paraId="3E22A474">
      <w:pPr>
        <w:pStyle w:val="7"/>
        <w:spacing w:before="0" w:beforeAutospacing="0" w:after="0" w:afterAutospacing="0" w:line="360" w:lineRule="auto"/>
        <w:ind w:firstLine="422" w:firstLineChars="200"/>
        <w:rPr>
          <w:sz w:val="21"/>
          <w:szCs w:val="21"/>
        </w:rPr>
      </w:pPr>
      <w:r>
        <w:rPr>
          <w:rFonts w:hint="eastAsia"/>
          <w:sz w:val="21"/>
          <w:szCs w:val="21"/>
        </w:rPr>
        <w:t>5</w:t>
      </w:r>
      <w:bookmarkStart w:id="692" w:name="_Toc337558762"/>
      <w:r>
        <w:rPr>
          <w:rFonts w:hint="eastAsia"/>
          <w:sz w:val="21"/>
          <w:szCs w:val="21"/>
        </w:rPr>
        <w:t>.4 不合格工程的处理</w:t>
      </w:r>
      <w:bookmarkEnd w:id="689"/>
      <w:bookmarkEnd w:id="690"/>
    </w:p>
    <w:bookmarkEnd w:id="692"/>
    <w:p w14:paraId="21D61E0F">
      <w:pPr>
        <w:spacing w:line="360" w:lineRule="auto"/>
        <w:ind w:firstLine="420" w:firstLineChars="200"/>
        <w:jc w:val="left"/>
        <w:rPr>
          <w:rFonts w:ascii="宋体" w:hAnsi="宋体"/>
          <w:szCs w:val="21"/>
        </w:rPr>
      </w:pPr>
      <w:r>
        <w:rPr>
          <w:rFonts w:hint="eastAsia" w:ascii="宋体" w:hAnsi="宋体"/>
          <w:szCs w:val="21"/>
        </w:rPr>
        <w:t>本款补充5.4.3项：</w:t>
      </w:r>
    </w:p>
    <w:p w14:paraId="04F666F1">
      <w:pPr>
        <w:spacing w:line="360" w:lineRule="auto"/>
        <w:ind w:firstLine="420" w:firstLineChars="200"/>
        <w:jc w:val="left"/>
        <w:rPr>
          <w:rFonts w:ascii="宋体" w:hAnsi="宋体"/>
          <w:szCs w:val="21"/>
        </w:rPr>
      </w:pPr>
      <w:r>
        <w:rPr>
          <w:rFonts w:hint="eastAsia" w:ascii="宋体" w:hAnsi="宋体"/>
          <w:szCs w:val="21"/>
        </w:rPr>
        <w:t>5.4.3 承包人在收到监理人发出的《不合格分项报告》或监理通知单后，必须在监理人规定时间内按要求完成整改，未能在限定时间内完成整改的，须承担相应违约责任。</w:t>
      </w:r>
    </w:p>
    <w:p w14:paraId="62AF2BE4">
      <w:pPr>
        <w:spacing w:line="360" w:lineRule="auto"/>
        <w:ind w:firstLine="420" w:firstLineChars="200"/>
        <w:jc w:val="left"/>
        <w:rPr>
          <w:rFonts w:ascii="宋体" w:hAnsi="宋体"/>
          <w:szCs w:val="21"/>
        </w:rPr>
      </w:pPr>
      <w:r>
        <w:rPr>
          <w:rFonts w:hint="eastAsia" w:ascii="宋体" w:hAnsi="宋体"/>
          <w:szCs w:val="21"/>
        </w:rPr>
        <w:t>本条补充5.6款：</w:t>
      </w:r>
    </w:p>
    <w:bookmarkEnd w:id="691"/>
    <w:p w14:paraId="1753FE3D">
      <w:pPr>
        <w:pStyle w:val="7"/>
        <w:spacing w:before="0" w:beforeAutospacing="0" w:after="0" w:afterAutospacing="0" w:line="360" w:lineRule="auto"/>
        <w:ind w:firstLine="422" w:firstLineChars="200"/>
        <w:rPr>
          <w:sz w:val="21"/>
          <w:szCs w:val="21"/>
        </w:rPr>
      </w:pPr>
      <w:bookmarkStart w:id="693" w:name="_Toc532377348"/>
      <w:r>
        <w:rPr>
          <w:rFonts w:hint="eastAsia"/>
          <w:sz w:val="21"/>
          <w:szCs w:val="21"/>
        </w:rPr>
        <w:t>5.6 质量事故的处理</w:t>
      </w:r>
      <w:bookmarkEnd w:id="693"/>
    </w:p>
    <w:p w14:paraId="25427A78">
      <w:pPr>
        <w:spacing w:line="360" w:lineRule="auto"/>
        <w:ind w:firstLine="420" w:firstLineChars="200"/>
        <w:jc w:val="left"/>
        <w:rPr>
          <w:rFonts w:ascii="宋体" w:hAnsi="宋体"/>
          <w:szCs w:val="21"/>
        </w:rPr>
      </w:pPr>
      <w:r>
        <w:rPr>
          <w:rFonts w:hint="eastAsia" w:ascii="宋体" w:hAnsi="宋体"/>
          <w:szCs w:val="21"/>
        </w:rPr>
        <w:t>5.6.1 合同履行过程中，发生工程质量事故的调查处理按照国家及重庆市现行规定处理。</w:t>
      </w:r>
    </w:p>
    <w:p w14:paraId="56EE2B02">
      <w:pPr>
        <w:spacing w:line="360" w:lineRule="auto"/>
        <w:ind w:firstLine="420" w:firstLineChars="200"/>
        <w:jc w:val="left"/>
        <w:rPr>
          <w:rFonts w:ascii="宋体" w:hAnsi="宋体"/>
          <w:szCs w:val="21"/>
        </w:rPr>
      </w:pPr>
      <w:r>
        <w:rPr>
          <w:rFonts w:hint="eastAsia" w:ascii="宋体" w:hAnsi="宋体"/>
          <w:szCs w:val="21"/>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bookmarkEnd w:id="669"/>
    <w:bookmarkEnd w:id="670"/>
    <w:bookmarkEnd w:id="671"/>
    <w:bookmarkEnd w:id="672"/>
    <w:bookmarkEnd w:id="673"/>
    <w:bookmarkEnd w:id="674"/>
    <w:bookmarkEnd w:id="675"/>
    <w:bookmarkEnd w:id="676"/>
    <w:bookmarkEnd w:id="677"/>
    <w:bookmarkEnd w:id="678"/>
    <w:bookmarkEnd w:id="681"/>
    <w:bookmarkEnd w:id="682"/>
    <w:bookmarkEnd w:id="683"/>
    <w:bookmarkEnd w:id="684"/>
    <w:bookmarkEnd w:id="685"/>
    <w:bookmarkEnd w:id="686"/>
    <w:bookmarkEnd w:id="687"/>
    <w:p w14:paraId="672D4A81">
      <w:pPr>
        <w:pStyle w:val="6"/>
        <w:keepNext/>
        <w:keepLines/>
        <w:spacing w:before="156" w:beforeLines="50" w:beforeAutospacing="0" w:after="156" w:afterLines="50" w:afterAutospacing="0" w:line="360" w:lineRule="auto"/>
        <w:jc w:val="both"/>
        <w:rPr>
          <w:bCs w:val="0"/>
          <w:kern w:val="2"/>
          <w:sz w:val="21"/>
          <w:szCs w:val="21"/>
        </w:rPr>
      </w:pPr>
      <w:bookmarkStart w:id="694" w:name="_Toc351203638"/>
      <w:bookmarkStart w:id="695" w:name="_Toc532375613"/>
      <w:bookmarkStart w:id="696" w:name="_Toc532377349"/>
      <w:bookmarkStart w:id="697" w:name="_Toc267251427"/>
      <w:bookmarkStart w:id="698" w:name="_Toc296346674"/>
      <w:bookmarkStart w:id="699" w:name="_Toc296347172"/>
      <w:bookmarkStart w:id="700" w:name="_Toc292559378"/>
      <w:bookmarkStart w:id="701" w:name="_Toc297120473"/>
      <w:bookmarkStart w:id="702" w:name="_Toc267251428"/>
      <w:bookmarkStart w:id="703" w:name="_Toc296891213"/>
      <w:bookmarkStart w:id="704" w:name="_Toc292559883"/>
      <w:bookmarkStart w:id="705" w:name="_Toc351203642"/>
      <w:bookmarkStart w:id="706" w:name="_Toc296944512"/>
      <w:bookmarkStart w:id="707" w:name="_Toc296891001"/>
      <w:bookmarkStart w:id="708" w:name="_Toc296503173"/>
      <w:bookmarkStart w:id="709" w:name="_Toc297048359"/>
      <w:r>
        <w:rPr>
          <w:rFonts w:hint="eastAsia"/>
          <w:kern w:val="2"/>
          <w:sz w:val="21"/>
          <w:szCs w:val="21"/>
        </w:rPr>
        <w:t>6. 安全文明施工与环境保护</w:t>
      </w:r>
      <w:bookmarkEnd w:id="694"/>
      <w:bookmarkEnd w:id="695"/>
      <w:bookmarkEnd w:id="696"/>
    </w:p>
    <w:p w14:paraId="7C5082B0">
      <w:pPr>
        <w:pStyle w:val="7"/>
        <w:spacing w:before="0" w:beforeAutospacing="0" w:after="0" w:afterAutospacing="0" w:line="360" w:lineRule="auto"/>
        <w:ind w:firstLine="422" w:firstLineChars="200"/>
        <w:rPr>
          <w:sz w:val="21"/>
          <w:szCs w:val="21"/>
        </w:rPr>
      </w:pPr>
      <w:bookmarkStart w:id="710" w:name="_Toc532377350"/>
      <w:bookmarkStart w:id="711" w:name="_Toc532375614"/>
      <w:r>
        <w:rPr>
          <w:rFonts w:hint="eastAsia"/>
          <w:sz w:val="21"/>
          <w:szCs w:val="21"/>
        </w:rPr>
        <w:t>6.1 安全文明施工</w:t>
      </w:r>
      <w:bookmarkEnd w:id="710"/>
      <w:bookmarkEnd w:id="711"/>
    </w:p>
    <w:p w14:paraId="7D612AB9">
      <w:pPr>
        <w:spacing w:line="360" w:lineRule="auto"/>
        <w:ind w:firstLine="420" w:firstLineChars="200"/>
        <w:jc w:val="left"/>
        <w:rPr>
          <w:rFonts w:ascii="宋体" w:hAnsi="宋体"/>
          <w:szCs w:val="21"/>
        </w:rPr>
      </w:pPr>
      <w:r>
        <w:rPr>
          <w:rFonts w:hint="eastAsia" w:ascii="宋体" w:hAnsi="宋体"/>
          <w:szCs w:val="21"/>
        </w:rPr>
        <w:t>承包人必须认真贯彻执行国家安全生产法律、法规、规章和强制性安全标准，按照重庆市现行的质量、安全文明施工有关规定和发包人安全管理的有关规定，建立完善的质量、安全、文明施工管理制度。</w:t>
      </w:r>
    </w:p>
    <w:p w14:paraId="66D06EC1">
      <w:pPr>
        <w:spacing w:line="360" w:lineRule="auto"/>
        <w:ind w:firstLine="420" w:firstLineChars="200"/>
        <w:jc w:val="left"/>
        <w:rPr>
          <w:rFonts w:ascii="宋体" w:hAnsi="宋体"/>
          <w:szCs w:val="21"/>
        </w:rPr>
      </w:pPr>
      <w:r>
        <w:rPr>
          <w:rFonts w:hint="eastAsia" w:ascii="宋体" w:hAnsi="宋体"/>
          <w:szCs w:val="21"/>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14:paraId="787D4955">
      <w:pPr>
        <w:spacing w:line="360" w:lineRule="auto"/>
        <w:ind w:firstLine="420" w:firstLineChars="200"/>
        <w:jc w:val="left"/>
        <w:rPr>
          <w:rFonts w:ascii="宋体" w:hAnsi="宋体"/>
          <w:szCs w:val="21"/>
          <w:u w:val="single"/>
        </w:rPr>
      </w:pPr>
      <w:r>
        <w:rPr>
          <w:rFonts w:hint="eastAsia" w:ascii="宋体" w:hAnsi="宋体"/>
          <w:szCs w:val="21"/>
        </w:rPr>
        <w:t>6.1.1 项目安全生产的达标目标及相应事项的约定：</w:t>
      </w:r>
      <w:r>
        <w:rPr>
          <w:rFonts w:hint="eastAsia" w:ascii="宋体" w:hAnsi="宋体"/>
          <w:szCs w:val="21"/>
          <w:u w:val="single"/>
        </w:rPr>
        <w:t>达到《建筑施工安全检查标准》（JGJ59-2011）的要求</w:t>
      </w:r>
      <w:r>
        <w:rPr>
          <w:rFonts w:hint="eastAsia" w:ascii="宋体" w:hAnsi="宋体"/>
          <w:szCs w:val="21"/>
        </w:rPr>
        <w:t>。</w:t>
      </w:r>
    </w:p>
    <w:p w14:paraId="06B4441B">
      <w:pPr>
        <w:spacing w:line="360" w:lineRule="auto"/>
        <w:ind w:firstLine="420" w:firstLineChars="200"/>
        <w:jc w:val="left"/>
        <w:rPr>
          <w:rFonts w:ascii="宋体" w:hAnsi="宋体"/>
          <w:szCs w:val="21"/>
        </w:rPr>
      </w:pPr>
      <w:r>
        <w:rPr>
          <w:rFonts w:hint="eastAsia" w:ascii="宋体" w:hAnsi="宋体"/>
          <w:szCs w:val="21"/>
          <w:u w:val="single"/>
        </w:rPr>
        <w:t>（1）按现行安全文明施工费计取及使用管理的政策文件规定及发包人制订的安全管理制度执行</w:t>
      </w:r>
      <w:r>
        <w:rPr>
          <w:rFonts w:hint="eastAsia" w:ascii="宋体" w:hAnsi="宋体"/>
          <w:szCs w:val="21"/>
        </w:rPr>
        <w:t>。</w:t>
      </w:r>
    </w:p>
    <w:p w14:paraId="47A923A3">
      <w:pPr>
        <w:spacing w:line="360" w:lineRule="auto"/>
        <w:ind w:firstLine="420" w:firstLineChars="200"/>
        <w:jc w:val="left"/>
        <w:rPr>
          <w:rFonts w:ascii="宋体" w:hAnsi="宋体"/>
          <w:szCs w:val="21"/>
        </w:rPr>
      </w:pPr>
      <w:r>
        <w:rPr>
          <w:rFonts w:hint="eastAsia" w:ascii="宋体" w:hAnsi="宋体"/>
          <w:szCs w:val="21"/>
          <w:u w:val="single"/>
        </w:rPr>
        <w:t>（2）承包人的原因造成事故，由此产生的法律责任和事故责任及费用由承包人全部承担</w:t>
      </w:r>
      <w:r>
        <w:rPr>
          <w:rFonts w:hint="eastAsia" w:ascii="宋体" w:hAnsi="宋体"/>
          <w:szCs w:val="21"/>
        </w:rPr>
        <w:t>。</w:t>
      </w:r>
    </w:p>
    <w:p w14:paraId="60B5C06F">
      <w:pPr>
        <w:spacing w:line="360" w:lineRule="auto"/>
        <w:ind w:firstLine="420" w:firstLineChars="200"/>
        <w:jc w:val="left"/>
        <w:rPr>
          <w:rFonts w:ascii="宋体" w:hAnsi="宋体"/>
          <w:szCs w:val="21"/>
        </w:rPr>
      </w:pPr>
      <w:r>
        <w:rPr>
          <w:rFonts w:hint="eastAsia" w:ascii="宋体" w:hAnsi="宋体"/>
          <w:szCs w:val="21"/>
          <w:u w:val="single"/>
        </w:rPr>
        <w:t>（3）承包人向发包人做出安全承诺，并签订《安全生产目标责任书》和《安全承诺书》</w:t>
      </w:r>
      <w:r>
        <w:rPr>
          <w:rFonts w:hint="eastAsia" w:ascii="宋体" w:hAnsi="宋体"/>
          <w:szCs w:val="21"/>
        </w:rPr>
        <w:t>。</w:t>
      </w:r>
    </w:p>
    <w:p w14:paraId="5EC2C697">
      <w:pPr>
        <w:spacing w:line="360" w:lineRule="auto"/>
        <w:ind w:firstLine="420" w:firstLineChars="200"/>
        <w:jc w:val="left"/>
        <w:rPr>
          <w:rFonts w:ascii="宋体" w:hAnsi="宋体"/>
          <w:szCs w:val="21"/>
        </w:rPr>
      </w:pPr>
      <w:r>
        <w:rPr>
          <w:rFonts w:hint="eastAsia" w:ascii="宋体" w:hAnsi="宋体"/>
          <w:szCs w:val="21"/>
          <w:u w:val="single"/>
        </w:rPr>
        <w:t>（4）承包人在施工过程中，必须严格执行安全生产法的相关规定，制定切实可靠的安全技术措施</w:t>
      </w:r>
      <w:r>
        <w:rPr>
          <w:rFonts w:hint="eastAsia" w:ascii="宋体" w:hAnsi="宋体"/>
          <w:szCs w:val="21"/>
        </w:rPr>
        <w:t>。</w:t>
      </w:r>
    </w:p>
    <w:p w14:paraId="6CC7DD79">
      <w:pPr>
        <w:spacing w:line="360" w:lineRule="auto"/>
        <w:ind w:firstLine="420" w:firstLineChars="200"/>
        <w:jc w:val="left"/>
        <w:rPr>
          <w:rFonts w:ascii="宋体" w:hAnsi="宋体"/>
          <w:szCs w:val="21"/>
          <w:u w:val="single"/>
        </w:rPr>
      </w:pPr>
      <w:r>
        <w:rPr>
          <w:rFonts w:hint="eastAsia" w:ascii="宋体" w:hAnsi="宋体"/>
          <w:szCs w:val="21"/>
          <w:u w:val="single"/>
        </w:rPr>
        <w:t>（5）接受发包人安全监督和管理，在施工中违反安全管理规定和操作规程、违章作业的，承担违约责任</w:t>
      </w:r>
      <w:r>
        <w:rPr>
          <w:rFonts w:hint="eastAsia" w:ascii="宋体" w:hAnsi="宋体"/>
          <w:szCs w:val="21"/>
        </w:rPr>
        <w:t>。</w:t>
      </w:r>
    </w:p>
    <w:p w14:paraId="62D09A51">
      <w:pPr>
        <w:spacing w:line="360" w:lineRule="auto"/>
        <w:ind w:firstLine="420" w:firstLineChars="200"/>
        <w:jc w:val="left"/>
        <w:rPr>
          <w:rFonts w:ascii="宋体" w:hAnsi="宋体"/>
          <w:szCs w:val="21"/>
        </w:rPr>
      </w:pPr>
      <w:r>
        <w:rPr>
          <w:rFonts w:hint="eastAsia" w:ascii="宋体" w:hAnsi="宋体"/>
          <w:szCs w:val="21"/>
        </w:rPr>
        <w:t>6.1.4 关于治安保卫的特别约定：</w:t>
      </w:r>
      <w:r>
        <w:rPr>
          <w:rFonts w:hint="eastAsia" w:ascii="宋体" w:hAnsi="宋体"/>
          <w:szCs w:val="21"/>
          <w:u w:val="single"/>
        </w:rPr>
        <w:t>承包人负责组建施工现场治安管理机构或联防组织；承包人负责编制施工场地治安管理计划和突发治安事件紧急预案</w:t>
      </w:r>
      <w:r>
        <w:rPr>
          <w:rFonts w:hint="eastAsia" w:ascii="宋体" w:hAnsi="宋体"/>
          <w:szCs w:val="21"/>
        </w:rPr>
        <w:t>。</w:t>
      </w:r>
    </w:p>
    <w:p w14:paraId="432CB9B5">
      <w:pPr>
        <w:spacing w:line="360" w:lineRule="auto"/>
        <w:ind w:firstLine="420" w:firstLineChars="200"/>
        <w:jc w:val="left"/>
        <w:rPr>
          <w:rFonts w:ascii="宋体" w:hAnsi="宋体"/>
          <w:szCs w:val="21"/>
          <w:u w:val="single"/>
        </w:rPr>
      </w:pPr>
      <w:r>
        <w:rPr>
          <w:rFonts w:hint="eastAsia" w:ascii="宋体" w:hAnsi="宋体"/>
          <w:szCs w:val="21"/>
        </w:rPr>
        <w:t>关于编制施工场地治安管理计划的约定：</w:t>
      </w:r>
      <w:r>
        <w:rPr>
          <w:rFonts w:hint="eastAsia" w:ascii="宋体" w:hAnsi="宋体"/>
          <w:szCs w:val="21"/>
          <w:u w:val="single"/>
        </w:rPr>
        <w:t>由承包人负责</w:t>
      </w:r>
      <w:r>
        <w:rPr>
          <w:rFonts w:hint="eastAsia" w:ascii="宋体" w:hAnsi="宋体"/>
          <w:szCs w:val="21"/>
        </w:rPr>
        <w:t>。</w:t>
      </w:r>
    </w:p>
    <w:p w14:paraId="045CC84B">
      <w:pPr>
        <w:spacing w:line="360" w:lineRule="auto"/>
        <w:ind w:firstLine="420" w:firstLineChars="200"/>
        <w:jc w:val="left"/>
        <w:rPr>
          <w:rFonts w:ascii="宋体" w:hAnsi="宋体"/>
          <w:szCs w:val="21"/>
        </w:rPr>
      </w:pPr>
      <w:r>
        <w:rPr>
          <w:rFonts w:hint="eastAsia" w:ascii="宋体" w:hAnsi="宋体"/>
          <w:szCs w:val="21"/>
        </w:rPr>
        <w:t>6.1.5 文明施工</w:t>
      </w:r>
    </w:p>
    <w:p w14:paraId="79CB3C9B">
      <w:pPr>
        <w:spacing w:line="360" w:lineRule="auto"/>
        <w:ind w:firstLine="420" w:firstLineChars="200"/>
        <w:jc w:val="left"/>
        <w:rPr>
          <w:rFonts w:ascii="宋体" w:hAnsi="宋体"/>
          <w:szCs w:val="21"/>
          <w:u w:val="single"/>
        </w:rPr>
      </w:pPr>
      <w:r>
        <w:rPr>
          <w:rFonts w:hint="eastAsia" w:ascii="宋体" w:hAnsi="宋体"/>
          <w:szCs w:val="21"/>
        </w:rPr>
        <w:t>合同当事人对文明施工的要求：</w:t>
      </w:r>
      <w:r>
        <w:rPr>
          <w:rFonts w:hint="eastAsia" w:ascii="宋体" w:hAnsi="宋体"/>
          <w:szCs w:val="21"/>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宋体" w:hAnsi="宋体"/>
          <w:szCs w:val="21"/>
        </w:rPr>
        <w:t>。</w:t>
      </w:r>
    </w:p>
    <w:p w14:paraId="32A25829">
      <w:pPr>
        <w:spacing w:line="360" w:lineRule="auto"/>
        <w:ind w:firstLine="420" w:firstLineChars="200"/>
        <w:jc w:val="left"/>
        <w:rPr>
          <w:rFonts w:ascii="宋体" w:hAnsi="宋体"/>
          <w:szCs w:val="21"/>
          <w:u w:val="single"/>
        </w:rPr>
      </w:pPr>
      <w:r>
        <w:rPr>
          <w:rFonts w:hint="eastAsia" w:ascii="宋体" w:hAnsi="宋体"/>
          <w:szCs w:val="21"/>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hAnsi="宋体"/>
          <w:szCs w:val="21"/>
        </w:rPr>
        <w:t>。</w:t>
      </w:r>
    </w:p>
    <w:p w14:paraId="70ECB03D">
      <w:pPr>
        <w:spacing w:line="360" w:lineRule="auto"/>
        <w:ind w:firstLine="420" w:firstLineChars="200"/>
        <w:jc w:val="left"/>
        <w:rPr>
          <w:rFonts w:ascii="宋体" w:hAnsi="宋体"/>
          <w:szCs w:val="21"/>
          <w:u w:val="single"/>
        </w:rPr>
      </w:pPr>
      <w:r>
        <w:rPr>
          <w:rFonts w:hint="eastAsia" w:ascii="宋体" w:hAnsi="宋体"/>
          <w:szCs w:val="21"/>
        </w:rPr>
        <w:t>6.1.6 关于安全文明施工费支付比例和支付期限的约定：按照行业主管部门相关规定</w:t>
      </w:r>
      <w:r>
        <w:rPr>
          <w:rFonts w:hint="eastAsia" w:ascii="宋体" w:hAnsi="宋体"/>
          <w:szCs w:val="21"/>
          <w:u w:val="single"/>
        </w:rPr>
        <w:t xml:space="preserve">                 </w:t>
      </w:r>
      <w:r>
        <w:rPr>
          <w:rFonts w:hint="eastAsia" w:ascii="宋体" w:hAnsi="宋体"/>
          <w:szCs w:val="21"/>
        </w:rPr>
        <w:t>执行。</w:t>
      </w:r>
    </w:p>
    <w:p w14:paraId="02936071">
      <w:pPr>
        <w:spacing w:line="360" w:lineRule="auto"/>
        <w:ind w:firstLine="420" w:firstLineChars="200"/>
        <w:jc w:val="left"/>
        <w:rPr>
          <w:rFonts w:ascii="宋体" w:hAnsi="宋体"/>
          <w:szCs w:val="21"/>
          <w:u w:val="single"/>
        </w:rPr>
      </w:pPr>
      <w:r>
        <w:rPr>
          <w:rFonts w:hint="eastAsia" w:ascii="宋体" w:hAnsi="宋体"/>
          <w:szCs w:val="21"/>
          <w:u w:val="single"/>
        </w:rPr>
        <w:t>安全文明施工费的要求与内容、提取支付方法以及违反约定造成损失的赔偿等条款，按照现行规范要求执行，做到专款专用</w:t>
      </w:r>
      <w:r>
        <w:rPr>
          <w:rFonts w:hint="eastAsia" w:ascii="宋体" w:hAnsi="宋体"/>
          <w:szCs w:val="21"/>
        </w:rPr>
        <w:t>。</w:t>
      </w:r>
    </w:p>
    <w:p w14:paraId="3A1BF6EE">
      <w:pPr>
        <w:pStyle w:val="7"/>
        <w:spacing w:before="0" w:beforeAutospacing="0" w:after="0" w:afterAutospacing="0" w:line="360" w:lineRule="auto"/>
        <w:ind w:firstLine="422" w:firstLineChars="200"/>
        <w:rPr>
          <w:sz w:val="21"/>
          <w:szCs w:val="21"/>
        </w:rPr>
      </w:pPr>
      <w:bookmarkStart w:id="712" w:name="_Toc532375615"/>
      <w:bookmarkStart w:id="713" w:name="_Toc532377351"/>
      <w:r>
        <w:rPr>
          <w:rFonts w:hint="eastAsia"/>
          <w:sz w:val="21"/>
          <w:szCs w:val="21"/>
        </w:rPr>
        <w:t>6.3 环境保护</w:t>
      </w:r>
      <w:bookmarkEnd w:id="712"/>
      <w:bookmarkEnd w:id="713"/>
    </w:p>
    <w:p w14:paraId="3007AAC0">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本款补充6.3.1～6.3.8项：</w:t>
      </w:r>
    </w:p>
    <w:p w14:paraId="4DB5AB8E">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14:paraId="39FBD91E">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14:paraId="05B7B78F">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6.3.3 承包人应加强生态环境保护工作。施工期间，采取边坡防护，挡渣坝、排水沟、沉淀池、表土剥离和绿化恢复等水土保持措施减少水土流失量，绿化恢复宜采用适于当地生长的植物。</w:t>
      </w:r>
    </w:p>
    <w:p w14:paraId="5B3F8E81">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6.3.4 承包人应认真落实水污染防治措施。施工期间，加强机械设备维护，减少跑冒滴漏等现象；做好含油废水处理措施；施工场地生活污水经生化处理后达到《污水综合排放标准》（GB8978-1996）一级标准后排放。</w:t>
      </w:r>
    </w:p>
    <w:p w14:paraId="61918FCF">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6.3.5 承包人应重视大气污染物污染防治措施。施工期间，严格执行市政府“蓝天行动”方案等有关规定，通过洒水防尘，严格控制施工场地扬尘和运输扬尘污染。</w:t>
      </w:r>
    </w:p>
    <w:p w14:paraId="7861D4EA">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6.3.6 承包人应落实固体废物污染防治措施。施工期间，项目产生的弃方不可合理</w:t>
      </w:r>
      <w:r>
        <w:rPr>
          <w:rFonts w:ascii="宋体" w:hAnsi="宋体"/>
          <w:szCs w:val="21"/>
        </w:rPr>
        <w:t>利用的</w:t>
      </w:r>
      <w:r>
        <w:rPr>
          <w:rFonts w:hint="eastAsia" w:ascii="宋体" w:hAnsi="宋体"/>
          <w:szCs w:val="21"/>
        </w:rPr>
        <w:t>，应运往指定的弃渣场内堆存；建筑垃圾运至指定的建筑垃圾消纳场处置；生活垃圾由当地环卫部门统一处置。</w:t>
      </w:r>
    </w:p>
    <w:p w14:paraId="3DEB3FE3">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6.3.7 承包人应认真落实噪声污染防治措施。施工期间，优选低噪声设备，合理安排施工时间，严格控制夜间施工，昼、夜施工场界需满足《建筑施工场界环境噪声排放标准》（GB12523-2011）。</w:t>
      </w:r>
    </w:p>
    <w:p w14:paraId="4B2ECD57">
      <w:pPr>
        <w:spacing w:line="360" w:lineRule="auto"/>
        <w:ind w:firstLine="420" w:firstLineChars="200"/>
        <w:jc w:val="left"/>
        <w:rPr>
          <w:rFonts w:ascii="宋体" w:hAnsi="宋体"/>
          <w:szCs w:val="21"/>
        </w:rPr>
      </w:pPr>
      <w:r>
        <w:rPr>
          <w:rFonts w:hint="eastAsia" w:ascii="宋体" w:hAnsi="宋体"/>
          <w:szCs w:val="21"/>
        </w:rPr>
        <w:t>6.3.8 承包人自行负责办理有关施工场地交通、环卫和施工噪音管理等手续，并应按要求结合自身实际和重庆市相关规定，考虑不低于以上标准的此类工作。</w:t>
      </w:r>
    </w:p>
    <w:p w14:paraId="6D70FE7A">
      <w:pPr>
        <w:spacing w:line="360" w:lineRule="auto"/>
        <w:ind w:firstLine="420" w:firstLineChars="200"/>
        <w:jc w:val="left"/>
        <w:rPr>
          <w:rFonts w:ascii="宋体" w:hAnsi="宋体"/>
          <w:szCs w:val="21"/>
        </w:rPr>
      </w:pPr>
      <w:bookmarkStart w:id="714" w:name="_Toc532377352"/>
      <w:bookmarkStart w:id="715" w:name="_Toc351203639"/>
      <w:bookmarkStart w:id="716" w:name="_Toc532375616"/>
      <w:r>
        <w:rPr>
          <w:rFonts w:hint="eastAsia" w:ascii="宋体" w:hAnsi="宋体"/>
          <w:szCs w:val="21"/>
        </w:rPr>
        <w:t xml:space="preserve">6.3.9 </w:t>
      </w:r>
      <w:r>
        <w:rPr>
          <w:rFonts w:hint="eastAsia" w:ascii="宋体" w:hAnsi="宋体"/>
          <w:szCs w:val="21"/>
          <w:u w:val="single"/>
        </w:rPr>
        <w:t xml:space="preserve">        </w:t>
      </w:r>
      <w:r>
        <w:rPr>
          <w:rFonts w:hint="eastAsia" w:ascii="宋体" w:hAnsi="宋体"/>
          <w:szCs w:val="21"/>
        </w:rPr>
        <w:t>。</w:t>
      </w:r>
    </w:p>
    <w:p w14:paraId="71CADFE4">
      <w:pPr>
        <w:pStyle w:val="6"/>
        <w:keepNext/>
        <w:keepLines/>
        <w:spacing w:before="156" w:beforeLines="50" w:beforeAutospacing="0" w:after="156" w:afterLines="50" w:afterAutospacing="0" w:line="360" w:lineRule="auto"/>
        <w:jc w:val="both"/>
        <w:rPr>
          <w:bCs w:val="0"/>
          <w:kern w:val="2"/>
          <w:sz w:val="21"/>
          <w:szCs w:val="21"/>
        </w:rPr>
      </w:pPr>
      <w:r>
        <w:rPr>
          <w:rFonts w:hint="eastAsia"/>
          <w:kern w:val="2"/>
          <w:sz w:val="21"/>
          <w:szCs w:val="21"/>
        </w:rPr>
        <w:t>7. 工期和进度</w:t>
      </w:r>
      <w:bookmarkEnd w:id="714"/>
      <w:bookmarkEnd w:id="715"/>
      <w:bookmarkEnd w:id="716"/>
    </w:p>
    <w:p w14:paraId="7BB82D64">
      <w:pPr>
        <w:pStyle w:val="7"/>
        <w:spacing w:before="0" w:beforeAutospacing="0" w:after="0" w:afterAutospacing="0" w:line="360" w:lineRule="auto"/>
        <w:ind w:firstLine="422" w:firstLineChars="200"/>
        <w:rPr>
          <w:sz w:val="21"/>
          <w:szCs w:val="21"/>
        </w:rPr>
      </w:pPr>
      <w:bookmarkStart w:id="717" w:name="_Toc532375617"/>
      <w:bookmarkStart w:id="718" w:name="_Toc532377353"/>
      <w:r>
        <w:rPr>
          <w:rFonts w:hint="eastAsia"/>
          <w:sz w:val="21"/>
          <w:szCs w:val="21"/>
        </w:rPr>
        <w:t>7.1 施工组织设计</w:t>
      </w:r>
      <w:bookmarkEnd w:id="717"/>
      <w:bookmarkEnd w:id="718"/>
    </w:p>
    <w:p w14:paraId="06769B74">
      <w:pPr>
        <w:autoSpaceDE w:val="0"/>
        <w:autoSpaceDN w:val="0"/>
        <w:spacing w:line="360" w:lineRule="auto"/>
        <w:ind w:firstLine="420" w:firstLineChars="200"/>
        <w:jc w:val="left"/>
        <w:rPr>
          <w:rFonts w:ascii="宋体" w:hAnsi="宋体"/>
          <w:szCs w:val="21"/>
          <w:u w:val="single"/>
        </w:rPr>
      </w:pPr>
      <w:r>
        <w:rPr>
          <w:rFonts w:hint="eastAsia" w:ascii="宋体" w:hAnsi="宋体"/>
          <w:szCs w:val="21"/>
        </w:rPr>
        <w:t>7.1.1 合同当事人约定的施工组织设计应包括的其他内容：</w:t>
      </w:r>
      <w:r>
        <w:rPr>
          <w:rFonts w:hint="eastAsia" w:ascii="宋体" w:hAnsi="宋体"/>
          <w:szCs w:val="21"/>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szCs w:val="21"/>
        </w:rPr>
        <w:t>。</w:t>
      </w:r>
    </w:p>
    <w:p w14:paraId="496F3306">
      <w:pPr>
        <w:autoSpaceDE w:val="0"/>
        <w:autoSpaceDN w:val="0"/>
        <w:spacing w:line="360" w:lineRule="auto"/>
        <w:ind w:firstLine="420" w:firstLineChars="200"/>
        <w:jc w:val="left"/>
        <w:rPr>
          <w:rFonts w:ascii="宋体" w:hAnsi="宋体"/>
          <w:szCs w:val="21"/>
        </w:rPr>
      </w:pPr>
      <w:r>
        <w:rPr>
          <w:rFonts w:hint="eastAsia" w:ascii="宋体" w:hAnsi="宋体"/>
          <w:szCs w:val="21"/>
        </w:rPr>
        <w:t>7.1.2 施工组织设计的提交和修改</w:t>
      </w:r>
    </w:p>
    <w:p w14:paraId="73AE8B82">
      <w:pPr>
        <w:autoSpaceDE w:val="0"/>
        <w:autoSpaceDN w:val="0"/>
        <w:spacing w:line="360" w:lineRule="auto"/>
        <w:ind w:firstLine="420" w:firstLineChars="200"/>
        <w:jc w:val="left"/>
        <w:rPr>
          <w:rFonts w:ascii="宋体" w:hAnsi="宋体"/>
          <w:szCs w:val="21"/>
        </w:rPr>
      </w:pPr>
      <w:r>
        <w:rPr>
          <w:rFonts w:hint="eastAsia" w:ascii="宋体" w:hAnsi="宋体"/>
          <w:szCs w:val="21"/>
        </w:rPr>
        <w:t>承包人提交详细施工组织设计的期限的约定：</w:t>
      </w:r>
      <w:r>
        <w:rPr>
          <w:rFonts w:hint="eastAsia" w:ascii="宋体" w:hAnsi="宋体"/>
          <w:szCs w:val="21"/>
          <w:u w:val="single"/>
        </w:rPr>
        <w:t>合同签订后  天内，但最迟不得晚于开工通知载明的开工日期前7天</w:t>
      </w:r>
      <w:r>
        <w:rPr>
          <w:rFonts w:hint="eastAsia" w:ascii="宋体" w:hAnsi="宋体"/>
          <w:szCs w:val="21"/>
        </w:rPr>
        <w:t>。</w:t>
      </w:r>
    </w:p>
    <w:p w14:paraId="31C7DA3A">
      <w:pPr>
        <w:spacing w:line="360" w:lineRule="auto"/>
        <w:ind w:firstLine="420" w:firstLineChars="200"/>
        <w:jc w:val="left"/>
        <w:rPr>
          <w:rFonts w:ascii="宋体" w:hAnsi="宋体"/>
          <w:szCs w:val="21"/>
        </w:rPr>
      </w:pPr>
      <w:r>
        <w:rPr>
          <w:rFonts w:hint="eastAsia" w:ascii="宋体" w:hAnsi="宋体"/>
          <w:szCs w:val="21"/>
        </w:rPr>
        <w:t>发包人和监理人在收到详细的施工组织设计后确认或提出修改意见的期限：</w:t>
      </w:r>
      <w:r>
        <w:rPr>
          <w:rFonts w:hint="eastAsia" w:ascii="宋体" w:hAnsi="宋体"/>
          <w:szCs w:val="21"/>
          <w:u w:val="single"/>
        </w:rPr>
        <w:t>收到施工组织设计后  天内</w:t>
      </w:r>
      <w:r>
        <w:rPr>
          <w:rFonts w:hint="eastAsia" w:ascii="宋体" w:hAnsi="宋体"/>
          <w:szCs w:val="21"/>
        </w:rPr>
        <w:t>。</w:t>
      </w:r>
    </w:p>
    <w:p w14:paraId="11B23A27">
      <w:pPr>
        <w:pStyle w:val="7"/>
        <w:spacing w:before="0" w:beforeAutospacing="0" w:after="0" w:afterAutospacing="0" w:line="360" w:lineRule="auto"/>
        <w:ind w:firstLine="422" w:firstLineChars="200"/>
        <w:rPr>
          <w:sz w:val="21"/>
          <w:szCs w:val="21"/>
        </w:rPr>
      </w:pPr>
      <w:bookmarkStart w:id="719" w:name="_Toc532375618"/>
      <w:bookmarkStart w:id="720" w:name="_Toc532377354"/>
      <w:r>
        <w:rPr>
          <w:rFonts w:hint="eastAsia"/>
          <w:sz w:val="21"/>
          <w:szCs w:val="21"/>
        </w:rPr>
        <w:t>7.2 施工进度计划</w:t>
      </w:r>
      <w:bookmarkEnd w:id="719"/>
      <w:bookmarkEnd w:id="720"/>
    </w:p>
    <w:p w14:paraId="224525DD">
      <w:pPr>
        <w:spacing w:line="360" w:lineRule="auto"/>
        <w:ind w:firstLine="420" w:firstLineChars="200"/>
        <w:jc w:val="left"/>
        <w:rPr>
          <w:rFonts w:ascii="宋体" w:hAnsi="宋体"/>
          <w:szCs w:val="21"/>
        </w:rPr>
      </w:pPr>
      <w:r>
        <w:rPr>
          <w:rFonts w:hint="eastAsia" w:ascii="宋体" w:hAnsi="宋体"/>
          <w:szCs w:val="21"/>
        </w:rPr>
        <w:t>7.2.2 施工进度计划的修订</w:t>
      </w:r>
    </w:p>
    <w:p w14:paraId="3EC0C75A">
      <w:pPr>
        <w:spacing w:line="360" w:lineRule="auto"/>
        <w:ind w:firstLine="420" w:firstLineChars="200"/>
        <w:jc w:val="left"/>
        <w:rPr>
          <w:rFonts w:ascii="宋体" w:hAnsi="宋体"/>
          <w:szCs w:val="21"/>
        </w:rPr>
      </w:pPr>
      <w:r>
        <w:rPr>
          <w:rFonts w:hint="eastAsia" w:ascii="宋体" w:hAnsi="宋体"/>
          <w:szCs w:val="21"/>
        </w:rPr>
        <w:t>发包人和监理人在收到修订的施工进度计划后确认或提出修改意见的期限：</w:t>
      </w:r>
      <w:r>
        <w:rPr>
          <w:rFonts w:hint="eastAsia" w:ascii="宋体" w:hAnsi="宋体"/>
          <w:szCs w:val="21"/>
          <w:u w:val="single"/>
        </w:rPr>
        <w:t>收到修订的施工进度计划后  天内</w:t>
      </w:r>
      <w:r>
        <w:rPr>
          <w:rFonts w:hint="eastAsia" w:ascii="宋体" w:hAnsi="宋体"/>
          <w:szCs w:val="21"/>
        </w:rPr>
        <w:t>。</w:t>
      </w:r>
    </w:p>
    <w:p w14:paraId="71ABA89C">
      <w:pPr>
        <w:pStyle w:val="7"/>
        <w:spacing w:before="0" w:beforeAutospacing="0" w:after="0" w:afterAutospacing="0" w:line="360" w:lineRule="auto"/>
        <w:ind w:firstLine="422" w:firstLineChars="200"/>
        <w:rPr>
          <w:sz w:val="21"/>
          <w:szCs w:val="21"/>
        </w:rPr>
      </w:pPr>
      <w:bookmarkStart w:id="721" w:name="_Toc532377355"/>
      <w:bookmarkStart w:id="722" w:name="_Toc532375619"/>
      <w:bookmarkStart w:id="723" w:name="_Toc297123514"/>
      <w:bookmarkStart w:id="724" w:name="_Toc300934966"/>
      <w:bookmarkStart w:id="725" w:name="_Toc304295541"/>
      <w:bookmarkStart w:id="726" w:name="_Toc303539123"/>
      <w:bookmarkStart w:id="727" w:name="_Toc297216173"/>
      <w:bookmarkStart w:id="728" w:name="_Toc312678005"/>
      <w:bookmarkStart w:id="729" w:name="_Toc312677479"/>
      <w:r>
        <w:rPr>
          <w:rFonts w:hint="eastAsia"/>
          <w:sz w:val="21"/>
          <w:szCs w:val="21"/>
        </w:rPr>
        <w:t>7.3 开工</w:t>
      </w:r>
      <w:bookmarkEnd w:id="721"/>
      <w:bookmarkEnd w:id="722"/>
    </w:p>
    <w:p w14:paraId="131B7D87">
      <w:pPr>
        <w:spacing w:line="360" w:lineRule="auto"/>
        <w:ind w:firstLine="420" w:firstLineChars="200"/>
        <w:jc w:val="left"/>
        <w:rPr>
          <w:rFonts w:ascii="宋体" w:hAnsi="宋体"/>
          <w:szCs w:val="21"/>
        </w:rPr>
      </w:pPr>
      <w:r>
        <w:rPr>
          <w:rFonts w:hint="eastAsia" w:ascii="宋体" w:hAnsi="宋体"/>
          <w:szCs w:val="21"/>
        </w:rPr>
        <w:t>7.3.1 开工准备</w:t>
      </w:r>
    </w:p>
    <w:p w14:paraId="00FD7CF7">
      <w:pPr>
        <w:spacing w:line="360" w:lineRule="auto"/>
        <w:ind w:firstLine="420" w:firstLineChars="200"/>
        <w:jc w:val="left"/>
        <w:rPr>
          <w:rFonts w:ascii="宋体" w:hAnsi="宋体"/>
          <w:szCs w:val="21"/>
        </w:rPr>
      </w:pPr>
      <w:r>
        <w:rPr>
          <w:rFonts w:hint="eastAsia" w:ascii="宋体" w:hAnsi="宋体"/>
          <w:szCs w:val="21"/>
        </w:rPr>
        <w:t>关于承包人提交工程开工报审表的期限：</w:t>
      </w:r>
      <w:r>
        <w:rPr>
          <w:rFonts w:hint="eastAsia" w:ascii="宋体" w:hAnsi="宋体"/>
          <w:szCs w:val="21"/>
          <w:u w:val="single"/>
        </w:rPr>
        <w:t>不晚于开工前  天</w:t>
      </w:r>
      <w:r>
        <w:rPr>
          <w:rFonts w:hint="eastAsia" w:ascii="宋体" w:hAnsi="宋体"/>
          <w:szCs w:val="21"/>
        </w:rPr>
        <w:t>。</w:t>
      </w:r>
    </w:p>
    <w:p w14:paraId="182F13CB">
      <w:pPr>
        <w:spacing w:line="360" w:lineRule="auto"/>
        <w:ind w:firstLine="420" w:firstLineChars="200"/>
        <w:jc w:val="left"/>
        <w:rPr>
          <w:rFonts w:ascii="宋体" w:hAnsi="宋体"/>
          <w:szCs w:val="21"/>
        </w:rPr>
      </w:pPr>
      <w:r>
        <w:rPr>
          <w:rFonts w:hint="eastAsia" w:ascii="宋体" w:hAnsi="宋体"/>
          <w:szCs w:val="21"/>
        </w:rPr>
        <w:t>关于发包人应完成的其他开工准备工作及期限：</w:t>
      </w:r>
      <w:r>
        <w:rPr>
          <w:rFonts w:hint="eastAsia" w:ascii="宋体" w:hAnsi="宋体"/>
          <w:szCs w:val="21"/>
          <w:u w:val="single"/>
        </w:rPr>
        <w:t>不晚于开工前  天</w:t>
      </w:r>
      <w:r>
        <w:rPr>
          <w:rFonts w:hint="eastAsia" w:ascii="宋体" w:hAnsi="宋体"/>
          <w:szCs w:val="21"/>
        </w:rPr>
        <w:t>。</w:t>
      </w:r>
    </w:p>
    <w:p w14:paraId="370F9C6C">
      <w:pPr>
        <w:spacing w:line="360" w:lineRule="auto"/>
        <w:ind w:firstLine="420" w:firstLineChars="200"/>
        <w:jc w:val="left"/>
        <w:rPr>
          <w:rFonts w:ascii="宋体" w:hAnsi="宋体"/>
          <w:szCs w:val="21"/>
        </w:rPr>
      </w:pPr>
      <w:r>
        <w:rPr>
          <w:rFonts w:hint="eastAsia" w:ascii="宋体" w:hAnsi="宋体"/>
          <w:szCs w:val="21"/>
        </w:rPr>
        <w:t>关于承包人应完成的其他开工准备工作及期限：</w:t>
      </w:r>
      <w:r>
        <w:rPr>
          <w:rFonts w:hint="eastAsia" w:ascii="宋体" w:hAnsi="宋体"/>
          <w:szCs w:val="21"/>
          <w:u w:val="single"/>
        </w:rPr>
        <w:t>不晚于开工前  天</w:t>
      </w:r>
      <w:r>
        <w:rPr>
          <w:rFonts w:hint="eastAsia" w:ascii="宋体" w:hAnsi="宋体"/>
          <w:szCs w:val="21"/>
        </w:rPr>
        <w:t>。</w:t>
      </w:r>
    </w:p>
    <w:bookmarkEnd w:id="723"/>
    <w:bookmarkEnd w:id="724"/>
    <w:bookmarkEnd w:id="725"/>
    <w:bookmarkEnd w:id="726"/>
    <w:bookmarkEnd w:id="727"/>
    <w:bookmarkEnd w:id="728"/>
    <w:bookmarkEnd w:id="729"/>
    <w:p w14:paraId="36A8CD6E">
      <w:pPr>
        <w:pStyle w:val="7"/>
        <w:spacing w:before="0" w:beforeAutospacing="0" w:after="0" w:afterAutospacing="0" w:line="360" w:lineRule="auto"/>
        <w:ind w:firstLine="422" w:firstLineChars="200"/>
        <w:rPr>
          <w:sz w:val="21"/>
          <w:szCs w:val="21"/>
        </w:rPr>
      </w:pPr>
      <w:bookmarkStart w:id="730" w:name="_Toc532375620"/>
      <w:bookmarkStart w:id="731" w:name="_Toc532377356"/>
      <w:r>
        <w:rPr>
          <w:rFonts w:hint="eastAsia"/>
          <w:sz w:val="21"/>
          <w:szCs w:val="21"/>
        </w:rPr>
        <w:t>7.4 测量放线</w:t>
      </w:r>
      <w:bookmarkEnd w:id="730"/>
      <w:bookmarkEnd w:id="731"/>
    </w:p>
    <w:p w14:paraId="6E773240">
      <w:pPr>
        <w:spacing w:line="360" w:lineRule="auto"/>
        <w:ind w:firstLine="420" w:firstLineChars="200"/>
        <w:jc w:val="left"/>
        <w:rPr>
          <w:rFonts w:ascii="宋体" w:hAnsi="宋体"/>
          <w:szCs w:val="21"/>
        </w:rPr>
      </w:pPr>
      <w:r>
        <w:rPr>
          <w:rFonts w:hint="eastAsia" w:ascii="宋体" w:hAnsi="宋体"/>
          <w:szCs w:val="21"/>
        </w:rPr>
        <w:t>7.4.1 发包人通过监理人向承包人提供测量基准点、基准线和水准点及其书面资料的期限：</w:t>
      </w:r>
      <w:r>
        <w:rPr>
          <w:rFonts w:hint="eastAsia" w:ascii="宋体" w:hAnsi="宋体"/>
          <w:szCs w:val="21"/>
          <w:u w:val="single"/>
        </w:rPr>
        <w:t>不晚于开工前  天</w:t>
      </w:r>
      <w:r>
        <w:rPr>
          <w:rFonts w:hint="eastAsia" w:ascii="宋体" w:hAnsi="宋体"/>
          <w:szCs w:val="21"/>
        </w:rPr>
        <w:t>。</w:t>
      </w:r>
    </w:p>
    <w:p w14:paraId="6A65B006">
      <w:pPr>
        <w:spacing w:line="360" w:lineRule="auto"/>
        <w:ind w:firstLine="420" w:firstLineChars="200"/>
        <w:jc w:val="left"/>
        <w:rPr>
          <w:rFonts w:ascii="宋体" w:hAnsi="宋体"/>
          <w:szCs w:val="21"/>
        </w:rPr>
      </w:pPr>
      <w:r>
        <w:rPr>
          <w:rFonts w:hint="eastAsia" w:ascii="宋体" w:hAnsi="宋体"/>
          <w:szCs w:val="21"/>
        </w:rPr>
        <w:t>承包人报监理人审批施工控制网资料的期限：</w:t>
      </w:r>
      <w:r>
        <w:rPr>
          <w:rFonts w:hint="eastAsia" w:ascii="宋体" w:hAnsi="宋体"/>
          <w:szCs w:val="21"/>
          <w:u w:val="single"/>
        </w:rPr>
        <w:t>发出开工通知后  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宋体" w:hAnsi="宋体"/>
          <w:szCs w:val="21"/>
        </w:rPr>
        <w:t>。</w:t>
      </w:r>
    </w:p>
    <w:p w14:paraId="6EB13E8F">
      <w:pPr>
        <w:pStyle w:val="7"/>
        <w:spacing w:before="0" w:beforeAutospacing="0" w:after="0" w:afterAutospacing="0" w:line="360" w:lineRule="auto"/>
        <w:ind w:firstLine="422" w:firstLineChars="200"/>
        <w:rPr>
          <w:sz w:val="21"/>
          <w:szCs w:val="21"/>
        </w:rPr>
      </w:pPr>
      <w:bookmarkStart w:id="732" w:name="_Toc532375621"/>
      <w:bookmarkStart w:id="733" w:name="_Toc532377357"/>
      <w:r>
        <w:rPr>
          <w:rFonts w:hint="eastAsia"/>
          <w:sz w:val="21"/>
          <w:szCs w:val="21"/>
        </w:rPr>
        <w:t>7</w:t>
      </w:r>
      <w:bookmarkStart w:id="734" w:name="_Toc312677484"/>
      <w:bookmarkStart w:id="735" w:name="_Toc303539125"/>
      <w:bookmarkStart w:id="736" w:name="_Toc297123516"/>
      <w:bookmarkStart w:id="737" w:name="_Toc297216175"/>
      <w:bookmarkStart w:id="738" w:name="_Toc300934968"/>
      <w:bookmarkStart w:id="739" w:name="_Toc312678010"/>
      <w:bookmarkStart w:id="740" w:name="_Toc304295546"/>
      <w:r>
        <w:rPr>
          <w:rFonts w:hint="eastAsia"/>
          <w:sz w:val="21"/>
          <w:szCs w:val="21"/>
        </w:rPr>
        <w:t>.5 工期延误</w:t>
      </w:r>
      <w:bookmarkEnd w:id="732"/>
      <w:bookmarkEnd w:id="733"/>
    </w:p>
    <w:bookmarkEnd w:id="734"/>
    <w:bookmarkEnd w:id="735"/>
    <w:bookmarkEnd w:id="736"/>
    <w:bookmarkEnd w:id="737"/>
    <w:bookmarkEnd w:id="738"/>
    <w:bookmarkEnd w:id="739"/>
    <w:bookmarkEnd w:id="740"/>
    <w:p w14:paraId="45ADA9B4">
      <w:pPr>
        <w:spacing w:line="360" w:lineRule="auto"/>
        <w:ind w:firstLine="420" w:firstLineChars="200"/>
        <w:jc w:val="left"/>
        <w:rPr>
          <w:rFonts w:ascii="宋体" w:hAnsi="宋体"/>
          <w:szCs w:val="21"/>
        </w:rPr>
      </w:pPr>
      <w:bookmarkStart w:id="741" w:name="_Hlk528927940"/>
      <w:r>
        <w:rPr>
          <w:rFonts w:hint="eastAsia" w:ascii="宋体" w:hAnsi="宋体"/>
          <w:szCs w:val="21"/>
        </w:rPr>
        <w:t>7.5.1 因发包人原因导致工期延误：</w:t>
      </w:r>
    </w:p>
    <w:p w14:paraId="65AEA654">
      <w:pPr>
        <w:spacing w:line="360" w:lineRule="auto"/>
        <w:ind w:firstLine="420" w:firstLineChars="200"/>
        <w:jc w:val="left"/>
        <w:rPr>
          <w:rFonts w:ascii="宋体" w:hAnsi="宋体"/>
          <w:szCs w:val="21"/>
        </w:rPr>
      </w:pPr>
      <w:r>
        <w:rPr>
          <w:rFonts w:hint="eastAsia" w:ascii="宋体" w:hAnsi="宋体"/>
          <w:szCs w:val="21"/>
        </w:rPr>
        <w:t>在合同履行过程中，除通用条款约定外，因下列情况导致工期延误和（或）费用增加的，由发包人承担由此延误的工期和（或）增加的费用：</w:t>
      </w:r>
    </w:p>
    <w:p w14:paraId="517E1320">
      <w:pPr>
        <w:spacing w:line="360" w:lineRule="auto"/>
        <w:ind w:firstLine="420" w:firstLineChars="200"/>
        <w:jc w:val="left"/>
        <w:rPr>
          <w:rFonts w:ascii="宋体" w:hAnsi="宋体"/>
          <w:szCs w:val="21"/>
        </w:rPr>
      </w:pPr>
      <w:r>
        <w:rPr>
          <w:rFonts w:hint="eastAsia" w:ascii="宋体" w:hAnsi="宋体"/>
          <w:szCs w:val="21"/>
        </w:rPr>
        <w:t>（1）发包人未能按合同约定提供施工场地，且该未提供开工条件直接影响项目关键线路的；</w:t>
      </w:r>
    </w:p>
    <w:p w14:paraId="4ED8F5D2">
      <w:pPr>
        <w:spacing w:line="360" w:lineRule="auto"/>
        <w:ind w:firstLine="420" w:firstLineChars="200"/>
        <w:jc w:val="left"/>
        <w:rPr>
          <w:rFonts w:ascii="宋体" w:hAnsi="宋体"/>
          <w:szCs w:val="21"/>
        </w:rPr>
      </w:pPr>
      <w:r>
        <w:rPr>
          <w:rFonts w:hint="eastAsia" w:ascii="宋体" w:hAnsi="宋体"/>
          <w:szCs w:val="21"/>
        </w:rPr>
        <w:t>（2）发包人提供的测量基准点、基准线和水准点及其书面资料存在错误或疏漏，且该错误或疏漏直接影响项目关键线路的；</w:t>
      </w:r>
    </w:p>
    <w:p w14:paraId="3F1422AC">
      <w:pPr>
        <w:spacing w:line="360" w:lineRule="auto"/>
        <w:ind w:firstLine="420" w:firstLineChars="200"/>
        <w:jc w:val="left"/>
        <w:rPr>
          <w:rFonts w:ascii="宋体" w:hAnsi="宋体"/>
          <w:szCs w:val="21"/>
        </w:rPr>
      </w:pPr>
      <w:r>
        <w:rPr>
          <w:rFonts w:hint="eastAsia" w:ascii="宋体" w:hAnsi="宋体"/>
          <w:szCs w:val="21"/>
        </w:rPr>
        <w:t>（3）监理人未按合同约定发出指示、批准等文件，且该未按合同约定发出指示、批准直接影响项目关键线路的；</w:t>
      </w:r>
    </w:p>
    <w:p w14:paraId="1443D6A8">
      <w:pPr>
        <w:spacing w:line="360" w:lineRule="auto"/>
        <w:ind w:firstLine="420" w:firstLineChars="200"/>
        <w:jc w:val="left"/>
        <w:rPr>
          <w:rFonts w:ascii="宋体" w:hAnsi="宋体"/>
          <w:szCs w:val="21"/>
        </w:rPr>
      </w:pPr>
      <w:r>
        <w:rPr>
          <w:rFonts w:hint="eastAsia" w:ascii="宋体" w:hAnsi="宋体"/>
          <w:szCs w:val="21"/>
        </w:rPr>
        <w:t>（4）变更未及时审批，直接影响项目关键线路的；</w:t>
      </w:r>
    </w:p>
    <w:p w14:paraId="5BB56D35">
      <w:pPr>
        <w:spacing w:line="360" w:lineRule="auto"/>
        <w:ind w:firstLine="420" w:firstLineChars="200"/>
        <w:jc w:val="left"/>
        <w:rPr>
          <w:rFonts w:ascii="宋体" w:hAnsi="宋体"/>
          <w:szCs w:val="21"/>
        </w:rPr>
      </w:pPr>
      <w:r>
        <w:rPr>
          <w:rFonts w:hint="eastAsia" w:ascii="宋体" w:hAnsi="宋体"/>
          <w:szCs w:val="21"/>
        </w:rPr>
        <w:t>（5）实施变更直接影响项目关键线路的；</w:t>
      </w:r>
    </w:p>
    <w:p w14:paraId="19D2464F">
      <w:pPr>
        <w:spacing w:line="360" w:lineRule="auto"/>
        <w:ind w:firstLine="420" w:firstLineChars="200"/>
        <w:jc w:val="left"/>
        <w:rPr>
          <w:rFonts w:ascii="宋体" w:hAnsi="宋体"/>
          <w:szCs w:val="21"/>
        </w:rPr>
      </w:pPr>
      <w:r>
        <w:rPr>
          <w:rFonts w:hint="eastAsia" w:ascii="宋体" w:hAnsi="宋体"/>
          <w:szCs w:val="21"/>
        </w:rPr>
        <w:t>（6）因发包人原因导致工程暂停施工、停建、缓建的；</w:t>
      </w:r>
    </w:p>
    <w:p w14:paraId="169F4F41">
      <w:pPr>
        <w:spacing w:line="360" w:lineRule="auto"/>
        <w:ind w:firstLine="420" w:firstLineChars="200"/>
        <w:jc w:val="left"/>
        <w:rPr>
          <w:rFonts w:ascii="宋体" w:hAnsi="宋体"/>
          <w:szCs w:val="21"/>
        </w:rPr>
      </w:pPr>
      <w:r>
        <w:rPr>
          <w:rFonts w:hint="eastAsia" w:ascii="宋体" w:hAnsi="宋体"/>
          <w:szCs w:val="21"/>
        </w:rPr>
        <w:t>（7）因征地拆迁、当地群众阻工等情形的；</w:t>
      </w:r>
    </w:p>
    <w:p w14:paraId="3191A31C">
      <w:pPr>
        <w:spacing w:line="360" w:lineRule="auto"/>
        <w:ind w:firstLine="420" w:firstLineChars="200"/>
        <w:jc w:val="left"/>
        <w:rPr>
          <w:rFonts w:ascii="宋体" w:hAnsi="宋体"/>
          <w:szCs w:val="21"/>
          <w:u w:val="single"/>
        </w:rPr>
      </w:pPr>
      <w:r>
        <w:rPr>
          <w:rFonts w:hint="eastAsia" w:ascii="宋体" w:hAnsi="宋体"/>
          <w:szCs w:val="21"/>
        </w:rPr>
        <w:t>（8）</w:t>
      </w:r>
      <w:r>
        <w:rPr>
          <w:rFonts w:hint="eastAsia" w:ascii="宋体" w:hAnsi="宋体"/>
          <w:szCs w:val="21"/>
          <w:u w:val="single"/>
        </w:rPr>
        <w:t>合同约定的其他情形</w:t>
      </w:r>
      <w:r>
        <w:rPr>
          <w:rFonts w:hint="eastAsia" w:ascii="宋体" w:hAnsi="宋体"/>
          <w:szCs w:val="21"/>
        </w:rPr>
        <w:t>。</w:t>
      </w:r>
    </w:p>
    <w:p w14:paraId="23AEC6D6">
      <w:pPr>
        <w:spacing w:line="360" w:lineRule="auto"/>
        <w:ind w:firstLine="420" w:firstLineChars="200"/>
        <w:jc w:val="left"/>
        <w:rPr>
          <w:rFonts w:ascii="宋体" w:hAnsi="宋体"/>
          <w:szCs w:val="21"/>
        </w:rPr>
      </w:pPr>
      <w:r>
        <w:rPr>
          <w:rFonts w:hint="eastAsia" w:ascii="宋体" w:hAnsi="宋体"/>
          <w:szCs w:val="21"/>
          <w:u w:val="single"/>
        </w:rPr>
        <w:t>因发包人原因未按计划开工日期开工的，发包人应按实际开工日期顺延竣工日期。因发包人原因导致工期延误需要修订施工进度计划的，按照第7.2.2项〔施工进度计划的修订〕执行</w:t>
      </w:r>
      <w:r>
        <w:rPr>
          <w:rFonts w:hint="eastAsia" w:ascii="宋体" w:hAnsi="宋体"/>
          <w:szCs w:val="21"/>
        </w:rPr>
        <w:t>。</w:t>
      </w:r>
    </w:p>
    <w:p w14:paraId="2CD5DBD2">
      <w:pPr>
        <w:spacing w:line="360" w:lineRule="auto"/>
        <w:ind w:firstLine="420" w:firstLineChars="200"/>
        <w:jc w:val="left"/>
        <w:rPr>
          <w:rFonts w:ascii="宋体" w:hAnsi="宋体"/>
          <w:szCs w:val="21"/>
        </w:rPr>
      </w:pPr>
      <w:r>
        <w:rPr>
          <w:rFonts w:hint="eastAsia" w:ascii="宋体" w:hAnsi="宋体"/>
          <w:szCs w:val="21"/>
        </w:rPr>
        <w:t>7.5.2 因承包人原因导致工期延误</w:t>
      </w:r>
    </w:p>
    <w:p w14:paraId="668138FA">
      <w:pPr>
        <w:spacing w:line="360" w:lineRule="auto"/>
        <w:ind w:firstLine="420" w:firstLineChars="200"/>
        <w:jc w:val="left"/>
        <w:rPr>
          <w:rFonts w:ascii="宋体" w:hAnsi="宋体"/>
          <w:szCs w:val="21"/>
        </w:rPr>
      </w:pPr>
      <w:r>
        <w:rPr>
          <w:rFonts w:hint="eastAsia" w:ascii="宋体" w:hAnsi="宋体"/>
          <w:szCs w:val="21"/>
          <w:u w:val="single"/>
        </w:rPr>
        <w:t>因承包人原因造成工期延误，逾期竣工按16.2.2（6）目执行。</w:t>
      </w:r>
    </w:p>
    <w:bookmarkEnd w:id="741"/>
    <w:p w14:paraId="664C7CB9">
      <w:pPr>
        <w:pStyle w:val="7"/>
        <w:spacing w:before="0" w:beforeAutospacing="0" w:after="0" w:afterAutospacing="0" w:line="360" w:lineRule="auto"/>
        <w:ind w:firstLine="422" w:firstLineChars="200"/>
        <w:rPr>
          <w:sz w:val="21"/>
          <w:szCs w:val="21"/>
        </w:rPr>
      </w:pPr>
      <w:bookmarkStart w:id="742" w:name="_Toc532375622"/>
      <w:bookmarkStart w:id="743" w:name="_Toc532377358"/>
      <w:bookmarkStart w:id="744" w:name="_Hlk528927997"/>
      <w:r>
        <w:rPr>
          <w:rFonts w:hint="eastAsia"/>
          <w:sz w:val="21"/>
          <w:szCs w:val="21"/>
        </w:rPr>
        <w:t>7</w:t>
      </w:r>
      <w:bookmarkStart w:id="745" w:name="_Toc303539128"/>
      <w:bookmarkStart w:id="746" w:name="_Toc304295549"/>
      <w:bookmarkStart w:id="747" w:name="_Toc312678015"/>
      <w:bookmarkStart w:id="748" w:name="_Toc297216178"/>
      <w:bookmarkStart w:id="749" w:name="_Toc300934971"/>
      <w:bookmarkStart w:id="750" w:name="_Toc297123519"/>
      <w:r>
        <w:rPr>
          <w:rFonts w:hint="eastAsia"/>
          <w:sz w:val="21"/>
          <w:szCs w:val="21"/>
        </w:rPr>
        <w:t>.6 不</w:t>
      </w:r>
      <w:bookmarkEnd w:id="745"/>
      <w:bookmarkEnd w:id="746"/>
      <w:bookmarkEnd w:id="747"/>
      <w:bookmarkEnd w:id="748"/>
      <w:bookmarkEnd w:id="749"/>
      <w:bookmarkEnd w:id="750"/>
      <w:r>
        <w:rPr>
          <w:rFonts w:hint="eastAsia"/>
          <w:sz w:val="21"/>
          <w:szCs w:val="21"/>
        </w:rPr>
        <w:t>利物质条件</w:t>
      </w:r>
      <w:bookmarkEnd w:id="742"/>
      <w:bookmarkEnd w:id="743"/>
    </w:p>
    <w:bookmarkEnd w:id="744"/>
    <w:p w14:paraId="421539EB">
      <w:pPr>
        <w:spacing w:line="360" w:lineRule="auto"/>
        <w:ind w:firstLine="420" w:firstLineChars="200"/>
        <w:jc w:val="left"/>
        <w:rPr>
          <w:rFonts w:ascii="宋体" w:hAnsi="宋体"/>
          <w:bCs/>
          <w:szCs w:val="21"/>
        </w:rPr>
      </w:pPr>
      <w:bookmarkStart w:id="751" w:name="_Toc297123520"/>
      <w:bookmarkStart w:id="752" w:name="_Toc297216179"/>
      <w:bookmarkStart w:id="753" w:name="_Toc304295550"/>
      <w:bookmarkStart w:id="754" w:name="_Toc312678016"/>
      <w:bookmarkStart w:id="755" w:name="_Toc300934972"/>
      <w:bookmarkStart w:id="756" w:name="_Toc318581172"/>
      <w:bookmarkStart w:id="757" w:name="_Toc303539129"/>
      <w:r>
        <w:rPr>
          <w:rFonts w:hint="eastAsia" w:ascii="宋体" w:hAnsi="宋体"/>
          <w:szCs w:val="21"/>
        </w:rPr>
        <w:t>不利物质条件的其他情形和有关约定：</w:t>
      </w:r>
      <w:bookmarkStart w:id="758" w:name="_Hlk528910274"/>
      <w:r>
        <w:rPr>
          <w:rFonts w:hint="eastAsia" w:ascii="宋体" w:hAnsi="宋体"/>
          <w:szCs w:val="21"/>
          <w:u w:val="single"/>
        </w:rPr>
        <w:t xml:space="preserve"> 按通用条款执行 。 </w:t>
      </w:r>
      <w:r>
        <w:rPr>
          <w:rFonts w:hint="eastAsia" w:ascii="宋体" w:hAnsi="宋体"/>
          <w:szCs w:val="21"/>
        </w:rPr>
        <w:t>。</w:t>
      </w:r>
    </w:p>
    <w:bookmarkEnd w:id="751"/>
    <w:bookmarkEnd w:id="752"/>
    <w:bookmarkEnd w:id="753"/>
    <w:bookmarkEnd w:id="754"/>
    <w:bookmarkEnd w:id="755"/>
    <w:bookmarkEnd w:id="756"/>
    <w:bookmarkEnd w:id="757"/>
    <w:bookmarkEnd w:id="758"/>
    <w:p w14:paraId="4CBCAD33">
      <w:pPr>
        <w:pStyle w:val="7"/>
        <w:spacing w:before="0" w:beforeAutospacing="0" w:after="0" w:afterAutospacing="0" w:line="360" w:lineRule="auto"/>
        <w:ind w:firstLine="422" w:firstLineChars="200"/>
        <w:rPr>
          <w:sz w:val="21"/>
          <w:szCs w:val="21"/>
        </w:rPr>
      </w:pPr>
      <w:bookmarkStart w:id="759" w:name="_Toc532377359"/>
      <w:bookmarkStart w:id="760" w:name="_Toc532375623"/>
      <w:r>
        <w:rPr>
          <w:rFonts w:hint="eastAsia"/>
          <w:sz w:val="21"/>
          <w:szCs w:val="21"/>
        </w:rPr>
        <w:t>7</w:t>
      </w:r>
      <w:bookmarkStart w:id="761" w:name="_Toc300934973"/>
      <w:bookmarkStart w:id="762" w:name="_Toc304295551"/>
      <w:bookmarkStart w:id="763" w:name="_Toc303539130"/>
      <w:bookmarkStart w:id="764" w:name="_Toc297216180"/>
      <w:bookmarkStart w:id="765" w:name="_Toc312678017"/>
      <w:bookmarkStart w:id="766" w:name="_Toc297123521"/>
      <w:r>
        <w:rPr>
          <w:rFonts w:hint="eastAsia"/>
          <w:sz w:val="21"/>
          <w:szCs w:val="21"/>
        </w:rPr>
        <w:t>.7异常恶劣的气候条件</w:t>
      </w:r>
      <w:bookmarkEnd w:id="759"/>
      <w:bookmarkEnd w:id="760"/>
    </w:p>
    <w:bookmarkEnd w:id="761"/>
    <w:bookmarkEnd w:id="762"/>
    <w:bookmarkEnd w:id="763"/>
    <w:bookmarkEnd w:id="764"/>
    <w:bookmarkEnd w:id="765"/>
    <w:bookmarkEnd w:id="766"/>
    <w:p w14:paraId="42C9FEEF">
      <w:pPr>
        <w:spacing w:line="360" w:lineRule="auto"/>
        <w:ind w:firstLine="420" w:firstLineChars="200"/>
        <w:jc w:val="left"/>
        <w:rPr>
          <w:rFonts w:ascii="宋体" w:hAnsi="宋体"/>
          <w:szCs w:val="21"/>
          <w:u w:val="single"/>
        </w:rPr>
      </w:pPr>
      <w:r>
        <w:rPr>
          <w:rFonts w:hint="eastAsia" w:ascii="宋体" w:hAnsi="宋体"/>
          <w:szCs w:val="21"/>
        </w:rPr>
        <w:t>发包人和承包人同意以下情形视为异常恶劣的气候条件：</w:t>
      </w:r>
      <w:r>
        <w:rPr>
          <w:rFonts w:hint="eastAsia" w:ascii="宋体" w:hAnsi="宋体"/>
          <w:szCs w:val="21"/>
          <w:u w:val="single"/>
        </w:rPr>
        <w:t xml:space="preserve">    （异常气候是指项目所在地50年以上一遇的罕见气候现象）</w:t>
      </w:r>
      <w:r>
        <w:rPr>
          <w:rFonts w:hint="eastAsia" w:ascii="宋体" w:hAnsi="宋体"/>
          <w:szCs w:val="21"/>
        </w:rPr>
        <w:t>。</w:t>
      </w:r>
    </w:p>
    <w:p w14:paraId="1A1E4619">
      <w:pPr>
        <w:pStyle w:val="7"/>
        <w:spacing w:before="0" w:beforeAutospacing="0" w:after="0" w:afterAutospacing="0" w:line="360" w:lineRule="auto"/>
        <w:ind w:firstLine="422" w:firstLineChars="200"/>
        <w:rPr>
          <w:sz w:val="21"/>
          <w:szCs w:val="21"/>
        </w:rPr>
      </w:pPr>
      <w:bookmarkStart w:id="767" w:name="_Toc532375624"/>
      <w:bookmarkStart w:id="768" w:name="_Toc532377360"/>
      <w:r>
        <w:rPr>
          <w:rFonts w:hint="eastAsia"/>
          <w:sz w:val="21"/>
          <w:szCs w:val="21"/>
        </w:rPr>
        <w:t>7.9 提前竣工</w:t>
      </w:r>
      <w:bookmarkEnd w:id="767"/>
      <w:bookmarkEnd w:id="768"/>
    </w:p>
    <w:p w14:paraId="5A97FEA1">
      <w:pPr>
        <w:spacing w:line="360" w:lineRule="auto"/>
        <w:ind w:firstLine="420" w:firstLineChars="200"/>
        <w:jc w:val="left"/>
        <w:rPr>
          <w:rFonts w:ascii="宋体" w:hAnsi="宋体"/>
          <w:szCs w:val="21"/>
        </w:rPr>
      </w:pPr>
      <w:r>
        <w:rPr>
          <w:rFonts w:hint="eastAsia" w:ascii="宋体" w:hAnsi="宋体"/>
          <w:szCs w:val="21"/>
        </w:rPr>
        <w:t>7.9.1项细化为：</w:t>
      </w:r>
    </w:p>
    <w:p w14:paraId="7CC32934">
      <w:pPr>
        <w:spacing w:line="360" w:lineRule="auto"/>
        <w:ind w:firstLine="420" w:firstLineChars="200"/>
        <w:jc w:val="left"/>
        <w:rPr>
          <w:rFonts w:ascii="宋体" w:hAnsi="宋体"/>
          <w:szCs w:val="21"/>
        </w:rPr>
      </w:pPr>
      <w:r>
        <w:rPr>
          <w:rFonts w:hint="eastAsia" w:ascii="宋体" w:hAnsi="宋体"/>
          <w:szCs w:val="21"/>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14:paraId="7605E70C">
      <w:pPr>
        <w:spacing w:line="360" w:lineRule="auto"/>
        <w:ind w:firstLine="420" w:firstLineChars="200"/>
        <w:jc w:val="left"/>
        <w:rPr>
          <w:rFonts w:ascii="宋体" w:hAnsi="宋体"/>
          <w:szCs w:val="21"/>
        </w:rPr>
      </w:pPr>
      <w:r>
        <w:rPr>
          <w:rFonts w:hint="eastAsia" w:ascii="宋体" w:hAnsi="宋体"/>
          <w:szCs w:val="21"/>
        </w:rPr>
        <w:t>（2）发包人不得随意要求承包人提前竣工，承包人也不得随意提出提前竣工的建议。如遇特殊情况，确需将工期提前的，发包人和承包人必须采取有效措施，确保工程质量。</w:t>
      </w:r>
    </w:p>
    <w:p w14:paraId="36873104">
      <w:pPr>
        <w:spacing w:line="360" w:lineRule="auto"/>
        <w:ind w:firstLine="420" w:firstLineChars="200"/>
        <w:jc w:val="left"/>
        <w:rPr>
          <w:rFonts w:ascii="宋体" w:hAnsi="宋体"/>
          <w:szCs w:val="21"/>
        </w:rPr>
      </w:pPr>
      <w:r>
        <w:rPr>
          <w:rFonts w:hint="eastAsia" w:ascii="宋体" w:hAnsi="宋体"/>
          <w:szCs w:val="21"/>
        </w:rPr>
        <w:t>（3）如果承包人提前竣工，发包人支付奖金的计算方法在合同条款中约定，时间自竣工验收证书中写明的实际竣工日期起至预定的竣工日期止，按天计算。但奖金最高限额不超过项目7.9.2项的限额。</w:t>
      </w:r>
    </w:p>
    <w:p w14:paraId="0279BA1F">
      <w:pPr>
        <w:spacing w:line="360" w:lineRule="auto"/>
        <w:ind w:firstLine="420" w:firstLineChars="200"/>
        <w:jc w:val="left"/>
        <w:rPr>
          <w:rFonts w:ascii="宋体" w:hAnsi="宋体"/>
          <w:szCs w:val="21"/>
        </w:rPr>
      </w:pPr>
      <w:r>
        <w:rPr>
          <w:rFonts w:hint="eastAsia" w:ascii="宋体" w:hAnsi="宋体"/>
          <w:szCs w:val="21"/>
        </w:rPr>
        <w:t>7.9.2 提前竣工的奖励：</w:t>
      </w:r>
      <w:r>
        <w:rPr>
          <w:rFonts w:hint="eastAsia" w:ascii="宋体" w:hAnsi="宋体"/>
          <w:szCs w:val="21"/>
          <w:u w:val="single"/>
        </w:rPr>
        <w:t xml:space="preserve">    无</w:t>
      </w:r>
      <w:r>
        <w:rPr>
          <w:rFonts w:hint="eastAsia" w:ascii="宋体" w:hAnsi="宋体"/>
          <w:szCs w:val="21"/>
        </w:rPr>
        <w:t>。</w:t>
      </w:r>
    </w:p>
    <w:p w14:paraId="0E080EF8">
      <w:pPr>
        <w:pStyle w:val="6"/>
        <w:keepNext/>
        <w:keepLines/>
        <w:spacing w:before="156" w:beforeLines="50" w:beforeAutospacing="0" w:after="156" w:afterLines="50" w:afterAutospacing="0" w:line="360" w:lineRule="auto"/>
        <w:jc w:val="both"/>
        <w:rPr>
          <w:bCs w:val="0"/>
          <w:kern w:val="2"/>
          <w:sz w:val="21"/>
          <w:szCs w:val="21"/>
        </w:rPr>
      </w:pPr>
      <w:bookmarkStart w:id="769" w:name="_Toc532375625"/>
      <w:bookmarkStart w:id="770" w:name="_Toc532377361"/>
      <w:bookmarkStart w:id="771" w:name="_Toc351203640"/>
      <w:r>
        <w:rPr>
          <w:rFonts w:hint="eastAsia"/>
          <w:kern w:val="2"/>
          <w:sz w:val="21"/>
          <w:szCs w:val="21"/>
        </w:rPr>
        <w:t>8. 材料与设备</w:t>
      </w:r>
      <w:bookmarkEnd w:id="769"/>
      <w:bookmarkEnd w:id="770"/>
      <w:bookmarkEnd w:id="771"/>
    </w:p>
    <w:p w14:paraId="2E3486BC">
      <w:pPr>
        <w:pStyle w:val="7"/>
        <w:spacing w:before="0" w:beforeAutospacing="0" w:after="0" w:afterAutospacing="0" w:line="360" w:lineRule="auto"/>
        <w:ind w:firstLine="422" w:firstLineChars="200"/>
        <w:rPr>
          <w:sz w:val="21"/>
          <w:szCs w:val="21"/>
        </w:rPr>
      </w:pPr>
      <w:bookmarkStart w:id="772" w:name="_Toc532375626"/>
      <w:bookmarkStart w:id="773" w:name="_Toc532377362"/>
      <w:r>
        <w:rPr>
          <w:rFonts w:hint="eastAsia"/>
          <w:sz w:val="21"/>
          <w:szCs w:val="21"/>
        </w:rPr>
        <w:t>8.1发包人供应材料与工程设备</w:t>
      </w:r>
      <w:bookmarkEnd w:id="772"/>
      <w:bookmarkEnd w:id="773"/>
    </w:p>
    <w:p w14:paraId="60C3DC3E">
      <w:pPr>
        <w:spacing w:line="360" w:lineRule="auto"/>
        <w:ind w:firstLine="420" w:firstLineChars="200"/>
        <w:jc w:val="left"/>
        <w:rPr>
          <w:rFonts w:ascii="宋体" w:hAnsi="宋体"/>
          <w:szCs w:val="21"/>
        </w:rPr>
      </w:pPr>
      <w:r>
        <w:rPr>
          <w:rFonts w:hint="eastAsia" w:ascii="宋体" w:hAnsi="宋体"/>
          <w:szCs w:val="21"/>
        </w:rPr>
        <w:t>材料的名称、规格、数量和价格：</w:t>
      </w:r>
      <w:r>
        <w:rPr>
          <w:rFonts w:hint="eastAsia" w:ascii="宋体" w:hAnsi="宋体"/>
          <w:szCs w:val="21"/>
          <w:u w:val="single"/>
        </w:rPr>
        <w:t>发包人应提供甲供材料的明细表，结算时按经监理人、承包人共同确认的供应数量乘以招标时甲供材料暂定价格，在支付工程款时扣除</w:t>
      </w:r>
      <w:r>
        <w:rPr>
          <w:rFonts w:hint="eastAsia" w:ascii="宋体" w:hAnsi="宋体"/>
          <w:szCs w:val="21"/>
        </w:rPr>
        <w:t>。</w:t>
      </w:r>
    </w:p>
    <w:p w14:paraId="099E8CE4">
      <w:pPr>
        <w:spacing w:line="360" w:lineRule="auto"/>
        <w:ind w:firstLine="420" w:firstLineChars="200"/>
        <w:jc w:val="left"/>
        <w:rPr>
          <w:rFonts w:ascii="宋体" w:hAnsi="宋体"/>
          <w:szCs w:val="21"/>
        </w:rPr>
      </w:pPr>
      <w:r>
        <w:rPr>
          <w:rFonts w:hint="eastAsia" w:ascii="宋体" w:hAnsi="宋体"/>
          <w:szCs w:val="21"/>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宋体" w:hAnsi="宋体"/>
          <w:szCs w:val="21"/>
        </w:rPr>
        <w:t>。</w:t>
      </w:r>
    </w:p>
    <w:p w14:paraId="6AACD8E2">
      <w:pPr>
        <w:pStyle w:val="7"/>
        <w:spacing w:before="0" w:beforeAutospacing="0" w:after="0" w:afterAutospacing="0" w:line="360" w:lineRule="auto"/>
        <w:ind w:firstLine="422" w:firstLineChars="200"/>
        <w:rPr>
          <w:sz w:val="21"/>
          <w:szCs w:val="21"/>
        </w:rPr>
      </w:pPr>
      <w:bookmarkStart w:id="774" w:name="_Toc351203554"/>
      <w:bookmarkStart w:id="775" w:name="_Toc532375627"/>
      <w:bookmarkStart w:id="776" w:name="_Toc532377363"/>
      <w:r>
        <w:rPr>
          <w:rFonts w:hint="eastAsia"/>
          <w:sz w:val="21"/>
          <w:szCs w:val="21"/>
        </w:rPr>
        <w:t>8</w:t>
      </w:r>
      <w:bookmarkStart w:id="777" w:name="_Toc337558778"/>
      <w:bookmarkStart w:id="778" w:name="_Toc296346561"/>
      <w:bookmarkStart w:id="779" w:name="_Toc296503060"/>
      <w:r>
        <w:rPr>
          <w:rFonts w:hint="eastAsia"/>
          <w:sz w:val="21"/>
          <w:szCs w:val="21"/>
        </w:rPr>
        <w:t>.2 承包人采购材料与工程设备</w:t>
      </w:r>
      <w:bookmarkEnd w:id="774"/>
      <w:bookmarkEnd w:id="775"/>
      <w:bookmarkEnd w:id="776"/>
    </w:p>
    <w:bookmarkEnd w:id="777"/>
    <w:bookmarkEnd w:id="778"/>
    <w:bookmarkEnd w:id="779"/>
    <w:p w14:paraId="293DEEA8">
      <w:pPr>
        <w:spacing w:line="360" w:lineRule="auto"/>
        <w:ind w:firstLine="420" w:firstLineChars="200"/>
        <w:jc w:val="left"/>
        <w:rPr>
          <w:rFonts w:ascii="宋体" w:hAnsi="宋体"/>
          <w:szCs w:val="21"/>
        </w:rPr>
      </w:pPr>
      <w:r>
        <w:rPr>
          <w:rFonts w:hint="eastAsia" w:ascii="宋体" w:hAnsi="宋体"/>
          <w:szCs w:val="21"/>
        </w:rPr>
        <w:t>8.2.1承包人负责采购、运输和保管的材料、工程设备：</w:t>
      </w:r>
      <w:r>
        <w:rPr>
          <w:rFonts w:hint="eastAsia" w:ascii="宋体" w:hAnsi="宋体"/>
          <w:szCs w:val="21"/>
          <w:u w:val="single"/>
        </w:rPr>
        <w:t>由承包人自行采购。承包人采购材料设备必须经监理人和发包人批准，结算时由监理人和发包人按招标文件规定审核的数量和合同约定</w:t>
      </w:r>
      <w:r>
        <w:rPr>
          <w:rFonts w:ascii="宋体" w:hAnsi="宋体"/>
          <w:szCs w:val="21"/>
          <w:u w:val="single"/>
        </w:rPr>
        <w:t>价格</w:t>
      </w:r>
      <w:r>
        <w:rPr>
          <w:rFonts w:hint="eastAsia" w:ascii="宋体" w:hAnsi="宋体"/>
          <w:szCs w:val="21"/>
          <w:u w:val="single"/>
        </w:rPr>
        <w:t>计算</w:t>
      </w:r>
      <w:r>
        <w:rPr>
          <w:rFonts w:hint="eastAsia" w:ascii="宋体" w:hAnsi="宋体"/>
          <w:szCs w:val="21"/>
        </w:rPr>
        <w:t>。</w:t>
      </w:r>
    </w:p>
    <w:p w14:paraId="2EB40881">
      <w:pPr>
        <w:spacing w:line="360" w:lineRule="auto"/>
        <w:ind w:firstLine="420" w:firstLineChars="200"/>
        <w:jc w:val="left"/>
        <w:rPr>
          <w:rFonts w:ascii="宋体" w:hAnsi="宋体"/>
          <w:szCs w:val="21"/>
        </w:rPr>
      </w:pPr>
      <w:r>
        <w:rPr>
          <w:rFonts w:hint="eastAsia" w:ascii="宋体" w:hAnsi="宋体"/>
          <w:szCs w:val="21"/>
        </w:rPr>
        <w:t>8.2.2承包人报送监理人审批的时间：</w:t>
      </w:r>
      <w:r>
        <w:rPr>
          <w:rFonts w:hint="eastAsia" w:ascii="宋体" w:hAnsi="宋体"/>
          <w:szCs w:val="21"/>
          <w:u w:val="single"/>
        </w:rPr>
        <w:t>按发包人及监理单位的相关规定执行</w:t>
      </w:r>
      <w:r>
        <w:rPr>
          <w:rFonts w:hint="eastAsia" w:ascii="宋体" w:hAnsi="宋体"/>
          <w:szCs w:val="21"/>
        </w:rPr>
        <w:t>。</w:t>
      </w:r>
    </w:p>
    <w:p w14:paraId="4A8139E5">
      <w:pPr>
        <w:spacing w:line="360" w:lineRule="auto"/>
        <w:ind w:firstLine="420" w:firstLineChars="200"/>
        <w:jc w:val="left"/>
        <w:rPr>
          <w:rFonts w:ascii="宋体" w:hAnsi="宋体"/>
          <w:szCs w:val="21"/>
        </w:rPr>
      </w:pPr>
      <w:r>
        <w:rPr>
          <w:rFonts w:hint="eastAsia" w:ascii="宋体" w:hAnsi="宋体"/>
          <w:szCs w:val="21"/>
        </w:rPr>
        <w:t>8.2.3承包人选择的生产厂家或供应商满足下列条件：</w:t>
      </w:r>
    </w:p>
    <w:p w14:paraId="4D80BC4A">
      <w:pPr>
        <w:spacing w:line="360" w:lineRule="auto"/>
        <w:ind w:firstLine="420" w:firstLineChars="200"/>
        <w:jc w:val="left"/>
        <w:rPr>
          <w:rFonts w:ascii="宋体" w:hAnsi="宋体"/>
          <w:szCs w:val="21"/>
        </w:rPr>
      </w:pPr>
      <w:r>
        <w:rPr>
          <w:rFonts w:hint="eastAsia" w:ascii="宋体" w:hAnsi="宋体"/>
          <w:szCs w:val="21"/>
        </w:rPr>
        <w:t>A.承包人选择的混凝土供应商应满足下列条件：</w:t>
      </w:r>
      <w:r>
        <w:rPr>
          <w:rFonts w:hint="eastAsia" w:ascii="宋体" w:hAnsi="宋体"/>
          <w:szCs w:val="21"/>
          <w:u w:val="single"/>
        </w:rPr>
        <w:t xml:space="preserve">具有行政审批许可，且有相应资质的企业  </w:t>
      </w:r>
      <w:r>
        <w:rPr>
          <w:rFonts w:hint="eastAsia" w:ascii="宋体" w:hAnsi="宋体"/>
          <w:szCs w:val="21"/>
        </w:rPr>
        <w:t>；</w:t>
      </w:r>
    </w:p>
    <w:p w14:paraId="1D50A505">
      <w:pPr>
        <w:spacing w:line="360" w:lineRule="auto"/>
        <w:ind w:firstLine="420" w:firstLineChars="200"/>
        <w:jc w:val="left"/>
        <w:rPr>
          <w:rFonts w:ascii="宋体" w:hAnsi="宋体"/>
          <w:szCs w:val="21"/>
        </w:rPr>
      </w:pPr>
      <w:r>
        <w:rPr>
          <w:rFonts w:hint="eastAsia" w:ascii="宋体" w:hAnsi="宋体"/>
          <w:szCs w:val="21"/>
        </w:rPr>
        <w:t>B.承包人选择的钢材供应商应满足下列条件：</w:t>
      </w:r>
      <w:r>
        <w:rPr>
          <w:rFonts w:hint="eastAsia" w:ascii="宋体" w:hAnsi="宋体"/>
          <w:szCs w:val="21"/>
          <w:u w:val="single"/>
        </w:rPr>
        <w:t xml:space="preserve"> 具有行政审批许可，且有相应资质的企业 </w:t>
      </w:r>
      <w:r>
        <w:rPr>
          <w:rFonts w:hint="eastAsia" w:ascii="宋体" w:hAnsi="宋体"/>
          <w:szCs w:val="21"/>
        </w:rPr>
        <w:t>；</w:t>
      </w:r>
    </w:p>
    <w:p w14:paraId="38CD50F0">
      <w:pPr>
        <w:spacing w:line="360" w:lineRule="auto"/>
        <w:ind w:firstLine="420" w:firstLineChars="200"/>
        <w:jc w:val="left"/>
        <w:rPr>
          <w:rFonts w:ascii="宋体" w:hAnsi="宋体"/>
          <w:szCs w:val="21"/>
        </w:rPr>
      </w:pPr>
      <w:r>
        <w:rPr>
          <w:rFonts w:hint="eastAsia" w:ascii="宋体" w:hAnsi="宋体"/>
          <w:szCs w:val="21"/>
        </w:rPr>
        <w:t>C.承包人选择的水泥供应商应满足下列条件：</w:t>
      </w:r>
      <w:r>
        <w:rPr>
          <w:rFonts w:hint="eastAsia" w:ascii="宋体" w:hAnsi="宋体"/>
          <w:szCs w:val="21"/>
          <w:u w:val="single"/>
        </w:rPr>
        <w:t xml:space="preserve"> 具有行政审批许可，且有相应资质的企业  </w:t>
      </w:r>
      <w:r>
        <w:rPr>
          <w:rFonts w:hint="eastAsia" w:ascii="宋体" w:hAnsi="宋体"/>
          <w:szCs w:val="21"/>
        </w:rPr>
        <w:t>；</w:t>
      </w:r>
    </w:p>
    <w:p w14:paraId="2E656910">
      <w:pPr>
        <w:spacing w:line="360" w:lineRule="auto"/>
        <w:ind w:firstLine="420" w:firstLineChars="200"/>
        <w:jc w:val="left"/>
        <w:rPr>
          <w:rFonts w:ascii="宋体" w:hAnsi="宋体"/>
          <w:szCs w:val="21"/>
        </w:rPr>
      </w:pPr>
      <w:r>
        <w:rPr>
          <w:rFonts w:hint="eastAsia" w:ascii="宋体" w:hAnsi="宋体"/>
          <w:szCs w:val="21"/>
        </w:rPr>
        <w:t>D.承包人采购的材料与设计或标准要求不符时，承包人应按发包人和监理人要求的时间运出施工场地，并重新采购符合要求的产品，并承担由此发生的费用，因此延误的工期不予顺延。</w:t>
      </w:r>
    </w:p>
    <w:p w14:paraId="39FEBF96">
      <w:pPr>
        <w:spacing w:line="360" w:lineRule="auto"/>
        <w:ind w:firstLine="420" w:firstLineChars="200"/>
        <w:jc w:val="left"/>
        <w:rPr>
          <w:rFonts w:ascii="宋体" w:hAnsi="宋体"/>
          <w:szCs w:val="21"/>
        </w:rPr>
      </w:pPr>
      <w:r>
        <w:rPr>
          <w:rFonts w:hint="eastAsia" w:ascii="宋体" w:hAnsi="宋体"/>
          <w:szCs w:val="21"/>
        </w:rPr>
        <w:t>E.承包人采购的材料在使用前，应按发包人和监理人的要求进行检验或试验，不合格的不得使用。</w:t>
      </w:r>
    </w:p>
    <w:p w14:paraId="01DC9791">
      <w:pPr>
        <w:spacing w:line="360" w:lineRule="auto"/>
        <w:ind w:firstLine="420" w:firstLineChars="200"/>
        <w:jc w:val="left"/>
        <w:rPr>
          <w:rFonts w:ascii="宋体" w:hAnsi="宋体"/>
          <w:szCs w:val="21"/>
        </w:rPr>
      </w:pPr>
      <w:r>
        <w:rPr>
          <w:rFonts w:hint="eastAsia" w:ascii="宋体" w:hAnsi="宋体"/>
          <w:szCs w:val="21"/>
        </w:rPr>
        <w:t>F.</w:t>
      </w:r>
      <w:r>
        <w:rPr>
          <w:rFonts w:hint="eastAsia" w:ascii="宋体" w:hAnsi="宋体"/>
          <w:szCs w:val="21"/>
          <w:u w:val="single"/>
        </w:rPr>
        <w:t xml:space="preserve">        </w:t>
      </w:r>
      <w:r>
        <w:rPr>
          <w:rFonts w:hint="eastAsia" w:ascii="宋体" w:hAnsi="宋体"/>
          <w:szCs w:val="21"/>
        </w:rPr>
        <w:t>。</w:t>
      </w:r>
    </w:p>
    <w:p w14:paraId="58B6B046">
      <w:pPr>
        <w:pStyle w:val="7"/>
        <w:spacing w:before="0" w:beforeAutospacing="0" w:after="0" w:afterAutospacing="0" w:line="360" w:lineRule="auto"/>
        <w:ind w:firstLine="422" w:firstLineChars="200"/>
        <w:rPr>
          <w:sz w:val="21"/>
          <w:szCs w:val="21"/>
        </w:rPr>
      </w:pPr>
      <w:bookmarkStart w:id="780" w:name="_Toc532377364"/>
      <w:bookmarkStart w:id="781" w:name="_Toc532375628"/>
      <w:r>
        <w:rPr>
          <w:rFonts w:hint="eastAsia"/>
          <w:sz w:val="21"/>
          <w:szCs w:val="21"/>
        </w:rPr>
        <w:t>8</w:t>
      </w:r>
      <w:bookmarkStart w:id="782" w:name="_Toc280868654"/>
      <w:bookmarkStart w:id="783" w:name="_Toc292559877"/>
      <w:bookmarkStart w:id="784" w:name="_Toc312678019"/>
      <w:bookmarkStart w:id="785" w:name="_Toc312677493"/>
      <w:bookmarkStart w:id="786" w:name="_Toc296944506"/>
      <w:bookmarkStart w:id="787" w:name="_Toc296891207"/>
      <w:bookmarkStart w:id="788" w:name="_Toc292559372"/>
      <w:bookmarkStart w:id="789" w:name="_Toc296346668"/>
      <w:bookmarkStart w:id="790" w:name="_Toc300934979"/>
      <w:bookmarkStart w:id="791" w:name="_Toc297216186"/>
      <w:bookmarkStart w:id="792" w:name="_Toc297120467"/>
      <w:bookmarkStart w:id="793" w:name="_Toc303539136"/>
      <w:bookmarkStart w:id="794" w:name="_Toc297123527"/>
      <w:bookmarkStart w:id="795" w:name="_Toc296347166"/>
      <w:bookmarkStart w:id="796" w:name="_Toc296890995"/>
      <w:bookmarkStart w:id="797" w:name="_Toc296503167"/>
      <w:bookmarkStart w:id="798" w:name="_Toc304295556"/>
      <w:bookmarkStart w:id="799" w:name="_Toc297048353"/>
      <w:bookmarkStart w:id="800" w:name="_Toc267251424"/>
      <w:bookmarkStart w:id="801" w:name="_Toc280868656"/>
      <w:bookmarkStart w:id="802" w:name="_Toc280868655"/>
      <w:r>
        <w:rPr>
          <w:rFonts w:hint="eastAsia"/>
          <w:sz w:val="21"/>
          <w:szCs w:val="21"/>
        </w:rPr>
        <w:t>.4 材料与工程设备的保管与使用</w:t>
      </w:r>
      <w:bookmarkEnd w:id="780"/>
      <w:bookmarkEnd w:id="781"/>
    </w:p>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14:paraId="13F8FB3F">
      <w:pPr>
        <w:spacing w:line="360" w:lineRule="auto"/>
        <w:ind w:firstLine="420" w:firstLineChars="200"/>
        <w:jc w:val="left"/>
        <w:rPr>
          <w:rFonts w:ascii="宋体" w:hAnsi="宋体"/>
          <w:szCs w:val="21"/>
        </w:rPr>
      </w:pPr>
      <w:r>
        <w:rPr>
          <w:rFonts w:hint="eastAsia" w:ascii="宋体" w:hAnsi="宋体"/>
          <w:szCs w:val="21"/>
        </w:rPr>
        <w:t>8</w:t>
      </w:r>
      <w:bookmarkStart w:id="803" w:name="_Toc292559373"/>
      <w:bookmarkStart w:id="804" w:name="_Toc292559878"/>
      <w:bookmarkStart w:id="805" w:name="_Toc297120468"/>
      <w:bookmarkStart w:id="806" w:name="_Toc296944507"/>
      <w:bookmarkStart w:id="807" w:name="_Toc296890996"/>
      <w:bookmarkStart w:id="808" w:name="_Toc296891208"/>
      <w:bookmarkStart w:id="809" w:name="_Toc296347167"/>
      <w:bookmarkStart w:id="810" w:name="_Toc296346669"/>
      <w:bookmarkStart w:id="811" w:name="_Toc297048354"/>
      <w:bookmarkStart w:id="812" w:name="_Toc312678020"/>
      <w:bookmarkStart w:id="813" w:name="_Toc300934980"/>
      <w:bookmarkStart w:id="814" w:name="_Toc318581173"/>
      <w:bookmarkStart w:id="815" w:name="_Toc303539137"/>
      <w:bookmarkStart w:id="816" w:name="_Toc304295557"/>
      <w:bookmarkStart w:id="817" w:name="_Toc297123528"/>
      <w:bookmarkStart w:id="818" w:name="_Toc297216187"/>
      <w:bookmarkStart w:id="819" w:name="_Toc312677494"/>
      <w:bookmarkStart w:id="820" w:name="_Toc296503168"/>
      <w:r>
        <w:rPr>
          <w:rFonts w:hint="eastAsia" w:ascii="宋体" w:hAnsi="宋体"/>
          <w:szCs w:val="21"/>
        </w:rPr>
        <w:t>.4.1 发包人供应的材料设备的保管费用的承担：</w:t>
      </w:r>
      <w:r>
        <w:rPr>
          <w:rFonts w:hint="eastAsia" w:ascii="宋体" w:hAnsi="宋体"/>
          <w:szCs w:val="21"/>
          <w:u w:val="single"/>
        </w:rPr>
        <w:t xml:space="preserve"> 由承包人承担 </w:t>
      </w:r>
      <w:r>
        <w:rPr>
          <w:rFonts w:hint="eastAsia" w:ascii="宋体" w:hAnsi="宋体"/>
          <w:szCs w:val="21"/>
        </w:rPr>
        <w:t>。</w:t>
      </w:r>
      <w:bookmarkEnd w:id="803"/>
      <w:bookmarkEnd w:id="804"/>
    </w:p>
    <w:p w14:paraId="0FC0677D">
      <w:pPr>
        <w:pStyle w:val="7"/>
        <w:spacing w:before="0" w:beforeAutospacing="0" w:after="0" w:afterAutospacing="0" w:line="360" w:lineRule="auto"/>
        <w:ind w:firstLine="422" w:firstLineChars="200"/>
        <w:rPr>
          <w:sz w:val="21"/>
          <w:szCs w:val="21"/>
        </w:rPr>
      </w:pPr>
      <w:bookmarkStart w:id="821" w:name="_Toc532375629"/>
      <w:bookmarkStart w:id="822" w:name="_Toc532377365"/>
      <w:r>
        <w:rPr>
          <w:rFonts w:hint="eastAsia"/>
          <w:sz w:val="21"/>
          <w:szCs w:val="21"/>
        </w:rPr>
        <w:t>8.6 样品</w:t>
      </w:r>
      <w:bookmarkEnd w:id="821"/>
      <w:bookmarkEnd w:id="822"/>
    </w:p>
    <w:p w14:paraId="23FB4AFC">
      <w:pPr>
        <w:autoSpaceDE w:val="0"/>
        <w:autoSpaceDN w:val="0"/>
        <w:spacing w:line="360" w:lineRule="auto"/>
        <w:ind w:firstLine="420" w:firstLineChars="200"/>
        <w:jc w:val="left"/>
        <w:rPr>
          <w:rFonts w:ascii="宋体" w:hAnsi="宋体"/>
          <w:szCs w:val="21"/>
        </w:rPr>
      </w:pPr>
      <w:r>
        <w:rPr>
          <w:rFonts w:hint="eastAsia" w:ascii="宋体" w:hAnsi="宋体"/>
          <w:szCs w:val="21"/>
        </w:rPr>
        <w:t>8.6.1 样品的报送与封存</w:t>
      </w:r>
    </w:p>
    <w:p w14:paraId="5A75D6DA">
      <w:pPr>
        <w:autoSpaceDE w:val="0"/>
        <w:autoSpaceDN w:val="0"/>
        <w:spacing w:line="360" w:lineRule="auto"/>
        <w:ind w:firstLine="420" w:firstLineChars="200"/>
        <w:jc w:val="left"/>
        <w:rPr>
          <w:rFonts w:ascii="宋体" w:hAnsi="宋体"/>
          <w:szCs w:val="21"/>
        </w:rPr>
      </w:pPr>
      <w:r>
        <w:rPr>
          <w:rFonts w:hint="eastAsia" w:ascii="宋体" w:hAnsi="宋体"/>
          <w:szCs w:val="21"/>
        </w:rPr>
        <w:t>需要承包人报送样品的材料或工程设备，样品的种类、名称、规格、数量要求：</w:t>
      </w:r>
      <w:r>
        <w:rPr>
          <w:rFonts w:hint="eastAsia" w:ascii="宋体" w:hAnsi="宋体"/>
          <w:szCs w:val="21"/>
          <w:u w:val="single"/>
        </w:rPr>
        <w:t xml:space="preserve">        </w:t>
      </w:r>
      <w:r>
        <w:rPr>
          <w:rFonts w:hint="eastAsia" w:ascii="宋体" w:hAnsi="宋体"/>
          <w:szCs w:val="21"/>
        </w:rPr>
        <w:t>。</w:t>
      </w:r>
    </w:p>
    <w:p w14:paraId="5C8ADEB7">
      <w:pPr>
        <w:pStyle w:val="7"/>
        <w:spacing w:before="0" w:beforeAutospacing="0" w:after="0" w:afterAutospacing="0" w:line="360" w:lineRule="auto"/>
        <w:ind w:firstLine="422" w:firstLineChars="200"/>
        <w:rPr>
          <w:sz w:val="21"/>
          <w:szCs w:val="21"/>
        </w:rPr>
      </w:pPr>
      <w:bookmarkStart w:id="823" w:name="_Toc532375630"/>
      <w:bookmarkStart w:id="824" w:name="_Toc532377366"/>
      <w:r>
        <w:rPr>
          <w:rFonts w:hint="eastAsia"/>
          <w:sz w:val="21"/>
          <w:szCs w:val="21"/>
        </w:rPr>
        <w:t>8.8 施工设备和临时设施</w:t>
      </w:r>
      <w:bookmarkEnd w:id="823"/>
      <w:bookmarkEnd w:id="824"/>
    </w:p>
    <w:p w14:paraId="286B813F">
      <w:pPr>
        <w:autoSpaceDE w:val="0"/>
        <w:autoSpaceDN w:val="0"/>
        <w:spacing w:line="360" w:lineRule="auto"/>
        <w:ind w:firstLine="420" w:firstLineChars="200"/>
        <w:jc w:val="left"/>
        <w:rPr>
          <w:rFonts w:ascii="宋体" w:hAnsi="宋体"/>
          <w:szCs w:val="21"/>
        </w:rPr>
      </w:pPr>
      <w:r>
        <w:rPr>
          <w:rFonts w:hint="eastAsia" w:ascii="宋体" w:hAnsi="宋体"/>
          <w:szCs w:val="21"/>
        </w:rPr>
        <w:t>8.8.1 承包人提供的施工设备和临时设施</w:t>
      </w:r>
    </w:p>
    <w:p w14:paraId="2DFE7359">
      <w:pPr>
        <w:autoSpaceDE w:val="0"/>
        <w:autoSpaceDN w:val="0"/>
        <w:spacing w:line="360" w:lineRule="auto"/>
        <w:ind w:firstLine="420" w:firstLineChars="200"/>
        <w:jc w:val="left"/>
        <w:rPr>
          <w:rFonts w:ascii="宋体" w:hAnsi="宋体"/>
          <w:szCs w:val="21"/>
        </w:rPr>
      </w:pPr>
      <w:r>
        <w:rPr>
          <w:rFonts w:hint="eastAsia" w:ascii="宋体" w:hAnsi="宋体"/>
          <w:szCs w:val="21"/>
        </w:rPr>
        <w:t>关于修建临时设施费用承担的约定：</w:t>
      </w:r>
      <w:r>
        <w:rPr>
          <w:rFonts w:hint="eastAsia" w:ascii="宋体" w:hAnsi="宋体"/>
          <w:szCs w:val="21"/>
          <w:u w:val="single"/>
        </w:rPr>
        <w:t>由承包人承担</w:t>
      </w:r>
      <w:r>
        <w:rPr>
          <w:rFonts w:hint="eastAsia" w:ascii="宋体" w:hAnsi="宋体"/>
          <w:szCs w:val="21"/>
        </w:rPr>
        <w:t>。</w:t>
      </w:r>
    </w:p>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14:paraId="0D5AB7DA">
      <w:pPr>
        <w:pStyle w:val="6"/>
        <w:keepNext/>
        <w:keepLines/>
        <w:spacing w:before="156" w:beforeLines="50" w:beforeAutospacing="0" w:after="156" w:afterLines="50" w:afterAutospacing="0" w:line="360" w:lineRule="auto"/>
        <w:jc w:val="both"/>
        <w:rPr>
          <w:bCs w:val="0"/>
          <w:kern w:val="2"/>
          <w:sz w:val="21"/>
          <w:szCs w:val="21"/>
        </w:rPr>
      </w:pPr>
      <w:bookmarkStart w:id="825" w:name="_Toc351203641"/>
      <w:bookmarkStart w:id="826" w:name="_Toc532375631"/>
      <w:bookmarkStart w:id="827" w:name="_Toc532377367"/>
      <w:r>
        <w:rPr>
          <w:rFonts w:hint="eastAsia"/>
          <w:kern w:val="2"/>
          <w:sz w:val="21"/>
          <w:szCs w:val="21"/>
        </w:rPr>
        <w:t>9</w:t>
      </w:r>
      <w:bookmarkEnd w:id="800"/>
      <w:bookmarkEnd w:id="801"/>
      <w:bookmarkEnd w:id="802"/>
      <w:bookmarkStart w:id="828" w:name="_Toc300934982"/>
      <w:bookmarkStart w:id="829" w:name="_Toc297216192"/>
      <w:bookmarkStart w:id="830" w:name="_Toc312677495"/>
      <w:bookmarkStart w:id="831" w:name="_Toc312678021"/>
      <w:bookmarkStart w:id="832" w:name="_Toc304295559"/>
      <w:bookmarkStart w:id="833" w:name="_Toc303539139"/>
      <w:bookmarkStart w:id="834" w:name="_Toc297123533"/>
      <w:r>
        <w:rPr>
          <w:rFonts w:hint="eastAsia"/>
          <w:kern w:val="2"/>
          <w:sz w:val="21"/>
          <w:szCs w:val="21"/>
        </w:rPr>
        <w:t>. 试验与检验</w:t>
      </w:r>
      <w:bookmarkEnd w:id="825"/>
      <w:bookmarkEnd w:id="826"/>
      <w:bookmarkEnd w:id="827"/>
    </w:p>
    <w:bookmarkEnd w:id="828"/>
    <w:bookmarkEnd w:id="829"/>
    <w:bookmarkEnd w:id="830"/>
    <w:bookmarkEnd w:id="831"/>
    <w:bookmarkEnd w:id="832"/>
    <w:bookmarkEnd w:id="833"/>
    <w:bookmarkEnd w:id="834"/>
    <w:p w14:paraId="2800FBC0">
      <w:pPr>
        <w:pStyle w:val="7"/>
        <w:spacing w:before="0" w:beforeAutospacing="0" w:after="0" w:afterAutospacing="0" w:line="360" w:lineRule="auto"/>
        <w:ind w:firstLine="422" w:firstLineChars="200"/>
        <w:rPr>
          <w:sz w:val="21"/>
          <w:szCs w:val="21"/>
        </w:rPr>
      </w:pPr>
      <w:bookmarkStart w:id="835" w:name="_Toc532377368"/>
      <w:bookmarkStart w:id="836" w:name="_Toc532375632"/>
      <w:r>
        <w:rPr>
          <w:rFonts w:hint="eastAsia"/>
          <w:sz w:val="21"/>
          <w:szCs w:val="21"/>
        </w:rPr>
        <w:t>9</w:t>
      </w:r>
      <w:bookmarkStart w:id="837" w:name="_Toc303539140"/>
      <w:bookmarkStart w:id="838" w:name="_Toc300934983"/>
      <w:bookmarkStart w:id="839" w:name="_Toc312677496"/>
      <w:bookmarkStart w:id="840" w:name="_Toc297216193"/>
      <w:bookmarkStart w:id="841" w:name="_Toc297123534"/>
      <w:bookmarkStart w:id="842" w:name="_Toc312678022"/>
      <w:bookmarkStart w:id="843" w:name="_Toc304295560"/>
      <w:r>
        <w:rPr>
          <w:rFonts w:hint="eastAsia"/>
          <w:sz w:val="21"/>
          <w:szCs w:val="21"/>
        </w:rPr>
        <w:t>.1 试验设备与试验人员</w:t>
      </w:r>
      <w:bookmarkEnd w:id="835"/>
      <w:bookmarkEnd w:id="836"/>
    </w:p>
    <w:bookmarkEnd w:id="837"/>
    <w:bookmarkEnd w:id="838"/>
    <w:bookmarkEnd w:id="839"/>
    <w:bookmarkEnd w:id="840"/>
    <w:bookmarkEnd w:id="841"/>
    <w:bookmarkEnd w:id="842"/>
    <w:bookmarkEnd w:id="843"/>
    <w:p w14:paraId="7A61D849">
      <w:pPr>
        <w:spacing w:line="360" w:lineRule="auto"/>
        <w:ind w:firstLine="420" w:firstLineChars="200"/>
        <w:jc w:val="left"/>
        <w:rPr>
          <w:rFonts w:ascii="宋体" w:hAnsi="宋体"/>
          <w:szCs w:val="21"/>
        </w:rPr>
      </w:pPr>
      <w:r>
        <w:rPr>
          <w:rFonts w:hint="eastAsia" w:ascii="宋体" w:hAnsi="宋体"/>
          <w:szCs w:val="21"/>
        </w:rPr>
        <w:t>9</w:t>
      </w:r>
      <w:bookmarkStart w:id="844" w:name="_Toc312677497"/>
      <w:bookmarkStart w:id="845" w:name="_Toc312678023"/>
      <w:bookmarkStart w:id="846" w:name="_Toc303539141"/>
      <w:bookmarkStart w:id="847" w:name="_Toc300934984"/>
      <w:bookmarkStart w:id="848" w:name="_Toc297123535"/>
      <w:bookmarkStart w:id="849" w:name="_Toc297216194"/>
      <w:bookmarkStart w:id="850" w:name="_Toc304295561"/>
      <w:bookmarkStart w:id="851" w:name="_Toc318581174"/>
      <w:r>
        <w:rPr>
          <w:rFonts w:hint="eastAsia" w:ascii="宋体" w:hAnsi="宋体"/>
          <w:szCs w:val="21"/>
        </w:rPr>
        <w:t>.1.2 试验设备</w:t>
      </w:r>
    </w:p>
    <w:p w14:paraId="4679ECC3">
      <w:pPr>
        <w:spacing w:line="360" w:lineRule="auto"/>
        <w:ind w:firstLine="420" w:firstLineChars="200"/>
        <w:jc w:val="left"/>
        <w:rPr>
          <w:rFonts w:ascii="宋体" w:hAnsi="宋体"/>
          <w:szCs w:val="21"/>
        </w:rPr>
      </w:pPr>
      <w:r>
        <w:rPr>
          <w:rFonts w:hint="eastAsia" w:ascii="宋体" w:hAnsi="宋体"/>
          <w:szCs w:val="21"/>
        </w:rPr>
        <w:t>施工现场需要配置的试验场所：</w:t>
      </w:r>
      <w:bookmarkEnd w:id="844"/>
      <w:bookmarkEnd w:id="845"/>
      <w:bookmarkEnd w:id="846"/>
      <w:bookmarkEnd w:id="847"/>
      <w:bookmarkEnd w:id="848"/>
      <w:bookmarkEnd w:id="849"/>
      <w:bookmarkEnd w:id="850"/>
      <w:bookmarkStart w:id="852" w:name="_Toc297123536"/>
      <w:bookmarkStart w:id="853" w:name="_Toc312678024"/>
      <w:bookmarkStart w:id="854" w:name="_Toc304295562"/>
      <w:bookmarkStart w:id="855" w:name="_Toc297216195"/>
      <w:bookmarkStart w:id="856" w:name="_Toc312677498"/>
      <w:bookmarkStart w:id="857" w:name="_Toc300934985"/>
      <w:bookmarkStart w:id="858" w:name="_Toc303539142"/>
      <w:r>
        <w:rPr>
          <w:rFonts w:hint="eastAsia" w:ascii="宋体" w:hAnsi="宋体"/>
          <w:szCs w:val="21"/>
          <w:u w:val="single"/>
        </w:rPr>
        <w:t>满足工程施工的需要</w:t>
      </w:r>
      <w:r>
        <w:rPr>
          <w:rFonts w:hint="eastAsia" w:ascii="宋体" w:hAnsi="宋体"/>
          <w:szCs w:val="21"/>
        </w:rPr>
        <w:t>。</w:t>
      </w:r>
    </w:p>
    <w:p w14:paraId="37D897D1">
      <w:pPr>
        <w:spacing w:line="360" w:lineRule="auto"/>
        <w:ind w:firstLine="420" w:firstLineChars="200"/>
        <w:jc w:val="left"/>
        <w:rPr>
          <w:rFonts w:ascii="宋体" w:hAnsi="宋体"/>
          <w:szCs w:val="21"/>
        </w:rPr>
      </w:pPr>
      <w:r>
        <w:rPr>
          <w:rFonts w:hint="eastAsia" w:ascii="宋体" w:hAnsi="宋体"/>
          <w:szCs w:val="21"/>
        </w:rPr>
        <w:t>施工现场需要配备的试验设备：</w:t>
      </w:r>
      <w:r>
        <w:rPr>
          <w:rFonts w:hint="eastAsia" w:ascii="宋体" w:hAnsi="宋体"/>
          <w:szCs w:val="21"/>
          <w:u w:val="single"/>
        </w:rPr>
        <w:t>满足工程施工的需要</w:t>
      </w:r>
      <w:r>
        <w:rPr>
          <w:rFonts w:hint="eastAsia" w:ascii="宋体" w:hAnsi="宋体"/>
          <w:szCs w:val="21"/>
        </w:rPr>
        <w:t>。</w:t>
      </w:r>
    </w:p>
    <w:p w14:paraId="12587C4F">
      <w:pPr>
        <w:spacing w:line="360" w:lineRule="auto"/>
        <w:ind w:firstLine="420" w:firstLineChars="200"/>
        <w:jc w:val="left"/>
        <w:rPr>
          <w:rFonts w:ascii="宋体" w:hAnsi="宋体"/>
          <w:szCs w:val="21"/>
        </w:rPr>
      </w:pPr>
      <w:r>
        <w:rPr>
          <w:rFonts w:hint="eastAsia" w:ascii="宋体" w:hAnsi="宋体"/>
          <w:szCs w:val="21"/>
        </w:rPr>
        <w:t>施工现场需要具备的其他试验条件：</w:t>
      </w:r>
      <w:r>
        <w:rPr>
          <w:rFonts w:hint="eastAsia" w:ascii="宋体" w:hAnsi="宋体"/>
          <w:szCs w:val="21"/>
          <w:u w:val="single"/>
        </w:rPr>
        <w:t xml:space="preserve"> 满足工程施工的需要  </w:t>
      </w:r>
      <w:r>
        <w:rPr>
          <w:rFonts w:hint="eastAsia" w:ascii="宋体" w:hAnsi="宋体"/>
          <w:szCs w:val="21"/>
        </w:rPr>
        <w:t>。</w:t>
      </w:r>
    </w:p>
    <w:p w14:paraId="7CC52216">
      <w:pPr>
        <w:pStyle w:val="7"/>
        <w:spacing w:before="0" w:beforeAutospacing="0" w:after="0" w:afterAutospacing="0" w:line="360" w:lineRule="auto"/>
        <w:ind w:firstLine="422" w:firstLineChars="200"/>
        <w:rPr>
          <w:sz w:val="21"/>
          <w:szCs w:val="21"/>
        </w:rPr>
      </w:pPr>
      <w:bookmarkStart w:id="859" w:name="_Toc532377369"/>
      <w:bookmarkStart w:id="860" w:name="_Toc532375633"/>
      <w:r>
        <w:rPr>
          <w:rFonts w:hint="eastAsia"/>
          <w:sz w:val="21"/>
          <w:szCs w:val="21"/>
        </w:rPr>
        <w:t>9.4 现场工艺试验</w:t>
      </w:r>
      <w:bookmarkEnd w:id="859"/>
      <w:bookmarkEnd w:id="860"/>
    </w:p>
    <w:p w14:paraId="2D68370B">
      <w:pPr>
        <w:spacing w:line="360" w:lineRule="auto"/>
        <w:ind w:firstLine="420" w:firstLineChars="200"/>
        <w:jc w:val="left"/>
        <w:rPr>
          <w:rFonts w:ascii="宋体" w:hAnsi="宋体"/>
          <w:szCs w:val="21"/>
        </w:rPr>
      </w:pPr>
      <w:r>
        <w:rPr>
          <w:rFonts w:hint="eastAsia" w:ascii="宋体" w:hAnsi="宋体"/>
          <w:szCs w:val="21"/>
        </w:rPr>
        <w:t>本款补充9.4.1～9.4.5项：</w:t>
      </w:r>
    </w:p>
    <w:bookmarkEnd w:id="851"/>
    <w:bookmarkEnd w:id="852"/>
    <w:bookmarkEnd w:id="853"/>
    <w:bookmarkEnd w:id="854"/>
    <w:bookmarkEnd w:id="855"/>
    <w:bookmarkEnd w:id="856"/>
    <w:bookmarkEnd w:id="857"/>
    <w:bookmarkEnd w:id="858"/>
    <w:p w14:paraId="467CDEBA">
      <w:pPr>
        <w:spacing w:line="360" w:lineRule="auto"/>
        <w:ind w:firstLine="420" w:firstLineChars="200"/>
        <w:jc w:val="left"/>
        <w:rPr>
          <w:rFonts w:ascii="宋体" w:hAnsi="宋体"/>
          <w:szCs w:val="21"/>
        </w:rPr>
      </w:pPr>
      <w:r>
        <w:rPr>
          <w:rFonts w:hint="eastAsia" w:ascii="宋体" w:hAnsi="宋体"/>
          <w:szCs w:val="21"/>
        </w:rPr>
        <w:t>9.4.1一般检验试验：</w:t>
      </w:r>
    </w:p>
    <w:p w14:paraId="5AB0EBAD">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根据《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14:paraId="61E8C841">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实施前，由发包人、承包人和第三方检测试验机构签订三方合同，第三方检测试验机构分别向承包人和发包人出具相应的检测试验报告。根据渝建〔2015〕420号文和有关施工规范、验收标准及施工图的规定或要求，所做的上述检测试验所需的试件取样、制作、送检，试件制作需要提供的材料以及检测、试验的配合工作由承包人负责完成并承担由此产生的所有相关费用。</w:t>
      </w:r>
    </w:p>
    <w:p w14:paraId="715C1CC9">
      <w:pPr>
        <w:spacing w:line="360" w:lineRule="auto"/>
        <w:ind w:firstLine="420" w:firstLineChars="200"/>
        <w:jc w:val="left"/>
        <w:rPr>
          <w:rFonts w:ascii="宋体" w:hAnsi="宋体"/>
          <w:szCs w:val="21"/>
        </w:rPr>
      </w:pPr>
      <w:r>
        <w:rPr>
          <w:rFonts w:hint="eastAsia" w:ascii="宋体" w:hAnsi="宋体"/>
          <w:szCs w:val="21"/>
        </w:rPr>
        <w:t>9.4.2特殊检验试验：</w:t>
      </w:r>
    </w:p>
    <w:p w14:paraId="762E03AE">
      <w:pPr>
        <w:spacing w:line="360" w:lineRule="auto"/>
        <w:ind w:firstLine="420" w:firstLineChars="200"/>
        <w:jc w:val="left"/>
        <w:rPr>
          <w:rFonts w:ascii="宋体" w:hAnsi="宋体"/>
          <w:szCs w:val="21"/>
        </w:rPr>
      </w:pPr>
      <w:r>
        <w:rPr>
          <w:rFonts w:hint="eastAsia" w:ascii="宋体" w:hAnsi="宋体"/>
          <w:szCs w:val="21"/>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渝建〔2015〕420号文的规定，均由发包人委托相应的第三方检测试验机构进行检测，所发生的特殊检验试验费由发包人承担，不包含在合同价格中。</w:t>
      </w:r>
    </w:p>
    <w:p w14:paraId="35CE17ED">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发包人委托的第三方检测试验机构检测试验的试件所需的材料、取样、送检及相关配合工作由承包人负责完成并承担由此产生的所有相关费用。</w:t>
      </w:r>
    </w:p>
    <w:p w14:paraId="1DA9C576">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（2）施工措施的检测、试验：因施工措施需要而做的相关检测、试验由承包人负责实施，其费用由承包人承担。</w:t>
      </w:r>
    </w:p>
    <w:p w14:paraId="19EDE324">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9.4.3专项检测：</w:t>
      </w:r>
      <w:r>
        <w:rPr>
          <w:rFonts w:hint="eastAsia" w:ascii="宋体" w:hAnsi="宋体"/>
          <w:szCs w:val="21"/>
          <w:u w:val="single"/>
        </w:rPr>
        <w:t xml:space="preserve">       </w:t>
      </w:r>
      <w:r>
        <w:rPr>
          <w:rFonts w:hint="eastAsia" w:ascii="宋体" w:hAnsi="宋体"/>
          <w:szCs w:val="21"/>
        </w:rPr>
        <w:t>。</w:t>
      </w:r>
    </w:p>
    <w:p w14:paraId="1F697F78">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9.4.4若因承包人取样、制样、送检及相关配合不及时而导致工程的工期和费用增加，影响的工期不予延长，增加费用由承包人承担。</w:t>
      </w:r>
    </w:p>
    <w:p w14:paraId="1CB475C7">
      <w:pPr>
        <w:tabs>
          <w:tab w:val="left" w:pos="711"/>
          <w:tab w:val="left" w:pos="2580"/>
        </w:tabs>
        <w:spacing w:line="360" w:lineRule="auto"/>
        <w:ind w:firstLine="420" w:firstLineChars="200"/>
        <w:jc w:val="left"/>
        <w:textAlignment w:val="baseline"/>
        <w:rPr>
          <w:rFonts w:ascii="宋体" w:hAnsi="宋体"/>
          <w:szCs w:val="21"/>
          <w:u w:val="single"/>
        </w:rPr>
      </w:pPr>
      <w:r>
        <w:rPr>
          <w:rFonts w:hint="eastAsia" w:ascii="宋体" w:hAnsi="宋体"/>
          <w:szCs w:val="21"/>
        </w:rPr>
        <w:t>9.4.5检测试验不合格的项目，其缺陷处理和复测费用由承包人承担，工期不予延长。</w:t>
      </w:r>
    </w:p>
    <w:bookmarkEnd w:id="697"/>
    <w:bookmarkEnd w:id="698"/>
    <w:bookmarkEnd w:id="699"/>
    <w:bookmarkEnd w:id="700"/>
    <w:bookmarkEnd w:id="701"/>
    <w:bookmarkEnd w:id="702"/>
    <w:bookmarkEnd w:id="703"/>
    <w:bookmarkEnd w:id="704"/>
    <w:bookmarkEnd w:id="705"/>
    <w:bookmarkEnd w:id="706"/>
    <w:bookmarkEnd w:id="707"/>
    <w:bookmarkEnd w:id="708"/>
    <w:bookmarkEnd w:id="709"/>
    <w:p w14:paraId="4D64FEFE">
      <w:pPr>
        <w:pStyle w:val="6"/>
        <w:keepNext/>
        <w:keepLines/>
        <w:spacing w:before="156" w:beforeLines="50" w:beforeAutospacing="0" w:after="156" w:afterLines="50" w:afterAutospacing="0" w:line="360" w:lineRule="auto"/>
        <w:jc w:val="both"/>
        <w:rPr>
          <w:bCs w:val="0"/>
          <w:kern w:val="2"/>
          <w:sz w:val="21"/>
          <w:szCs w:val="21"/>
        </w:rPr>
      </w:pPr>
      <w:bookmarkStart w:id="861" w:name="_Toc532377370"/>
      <w:bookmarkStart w:id="862" w:name="_Toc532375634"/>
      <w:bookmarkStart w:id="863" w:name="_Toc267251490"/>
      <w:bookmarkStart w:id="864" w:name="_Toc267251485"/>
      <w:bookmarkStart w:id="865" w:name="_Toc267251484"/>
      <w:bookmarkStart w:id="866" w:name="_Toc267251488"/>
      <w:bookmarkStart w:id="867" w:name="_Hlk524298112"/>
      <w:bookmarkStart w:id="868" w:name="_Toc267251482"/>
      <w:bookmarkStart w:id="869" w:name="_Toc267251486"/>
      <w:bookmarkStart w:id="870" w:name="_Toc267251489"/>
      <w:bookmarkStart w:id="871" w:name="_Toc267251493"/>
      <w:bookmarkStart w:id="872" w:name="_Toc267251508"/>
      <w:bookmarkStart w:id="873" w:name="_Toc267251499"/>
      <w:bookmarkStart w:id="874" w:name="_Toc267251514"/>
      <w:bookmarkStart w:id="875" w:name="_Toc267251492"/>
      <w:bookmarkStart w:id="876" w:name="_Toc267251509"/>
      <w:bookmarkStart w:id="877" w:name="_Toc267251503"/>
      <w:bookmarkStart w:id="878" w:name="_Toc267251507"/>
      <w:bookmarkStart w:id="879" w:name="_Toc267251494"/>
      <w:bookmarkStart w:id="880" w:name="_Toc267251501"/>
      <w:bookmarkStart w:id="881" w:name="_Toc267251504"/>
      <w:bookmarkStart w:id="882" w:name="_Toc267251513"/>
      <w:bookmarkStart w:id="883" w:name="_Toc267251511"/>
      <w:bookmarkStart w:id="884" w:name="_Toc267251506"/>
      <w:bookmarkStart w:id="885" w:name="_Toc267251498"/>
      <w:bookmarkStart w:id="886" w:name="_Toc267251502"/>
      <w:bookmarkStart w:id="887" w:name="_Toc267251491"/>
      <w:bookmarkStart w:id="888" w:name="_Toc267251496"/>
      <w:bookmarkStart w:id="889" w:name="_Toc267251495"/>
      <w:bookmarkStart w:id="890" w:name="_Toc267251510"/>
      <w:bookmarkStart w:id="891" w:name="_Toc267251515"/>
      <w:bookmarkStart w:id="892" w:name="_Toc267251497"/>
      <w:r>
        <w:rPr>
          <w:rFonts w:hint="eastAsia"/>
          <w:kern w:val="2"/>
          <w:sz w:val="21"/>
          <w:szCs w:val="21"/>
        </w:rPr>
        <w:t>1</w:t>
      </w:r>
      <w:bookmarkStart w:id="893" w:name="_Toc297216199"/>
      <w:bookmarkStart w:id="894" w:name="_Toc296346694"/>
      <w:bookmarkStart w:id="895" w:name="_Toc296891233"/>
      <w:bookmarkStart w:id="896" w:name="_Toc297123540"/>
      <w:bookmarkStart w:id="897" w:name="_Toc297048379"/>
      <w:bookmarkStart w:id="898" w:name="_Toc304295566"/>
      <w:bookmarkStart w:id="899" w:name="_Toc303539146"/>
      <w:bookmarkStart w:id="900" w:name="_Toc296503193"/>
      <w:bookmarkStart w:id="901" w:name="_Toc296347192"/>
      <w:bookmarkStart w:id="902" w:name="_Toc296891021"/>
      <w:bookmarkStart w:id="903" w:name="_Toc296944532"/>
      <w:bookmarkStart w:id="904" w:name="_Toc292559398"/>
      <w:bookmarkStart w:id="905" w:name="_Toc292559903"/>
      <w:bookmarkStart w:id="906" w:name="_Toc300934989"/>
      <w:bookmarkStart w:id="907" w:name="_Toc297120493"/>
      <w:bookmarkStart w:id="908" w:name="_Toc312678025"/>
      <w:bookmarkStart w:id="909" w:name="_Toc312677499"/>
      <w:bookmarkStart w:id="910" w:name="_Toc267251441"/>
      <w:bookmarkStart w:id="911" w:name="_Toc267251440"/>
      <w:bookmarkStart w:id="912" w:name="_Toc267251439"/>
      <w:bookmarkStart w:id="913" w:name="_Toc267251435"/>
      <w:bookmarkStart w:id="914" w:name="_Toc267251433"/>
      <w:bookmarkStart w:id="915" w:name="_Toc267251437"/>
      <w:r>
        <w:rPr>
          <w:rFonts w:hint="eastAsia"/>
          <w:kern w:val="2"/>
          <w:sz w:val="21"/>
          <w:szCs w:val="21"/>
        </w:rPr>
        <w:t>0. 变更</w:t>
      </w:r>
      <w:bookmarkEnd w:id="861"/>
      <w:bookmarkEnd w:id="86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p>
    <w:bookmarkEnd w:id="908"/>
    <w:bookmarkEnd w:id="909"/>
    <w:p w14:paraId="548FE369">
      <w:pPr>
        <w:pStyle w:val="7"/>
        <w:spacing w:before="0" w:beforeAutospacing="0" w:after="0" w:afterAutospacing="0" w:line="360" w:lineRule="auto"/>
        <w:ind w:firstLine="422" w:firstLineChars="200"/>
        <w:rPr>
          <w:sz w:val="21"/>
          <w:szCs w:val="21"/>
        </w:rPr>
      </w:pPr>
      <w:bookmarkStart w:id="916" w:name="_Toc532375635"/>
      <w:bookmarkStart w:id="917" w:name="_Toc532377371"/>
      <w:r>
        <w:rPr>
          <w:rFonts w:hint="eastAsia"/>
          <w:sz w:val="21"/>
          <w:szCs w:val="21"/>
        </w:rPr>
        <w:t>1</w:t>
      </w:r>
      <w:bookmarkStart w:id="918" w:name="_Toc297123541"/>
      <w:bookmarkStart w:id="919" w:name="_Toc292559399"/>
      <w:bookmarkStart w:id="920" w:name="_Toc297048380"/>
      <w:bookmarkStart w:id="921" w:name="_Toc296944533"/>
      <w:bookmarkStart w:id="922" w:name="_Toc297216200"/>
      <w:bookmarkStart w:id="923" w:name="_Toc296346695"/>
      <w:bookmarkStart w:id="924" w:name="_Toc312677500"/>
      <w:bookmarkStart w:id="925" w:name="_Toc304295567"/>
      <w:bookmarkStart w:id="926" w:name="_Toc296891022"/>
      <w:bookmarkStart w:id="927" w:name="_Toc300934990"/>
      <w:bookmarkStart w:id="928" w:name="_Toc297120494"/>
      <w:bookmarkStart w:id="929" w:name="_Toc296891234"/>
      <w:bookmarkStart w:id="930" w:name="_Toc303539147"/>
      <w:bookmarkStart w:id="931" w:name="_Toc296347193"/>
      <w:bookmarkStart w:id="932" w:name="_Toc296503194"/>
      <w:bookmarkStart w:id="933" w:name="_Toc292559904"/>
      <w:bookmarkStart w:id="934" w:name="_Toc312678026"/>
      <w:r>
        <w:rPr>
          <w:rFonts w:hint="eastAsia"/>
          <w:sz w:val="21"/>
          <w:szCs w:val="21"/>
        </w:rPr>
        <w:t>0.1变更的范围</w:t>
      </w:r>
      <w:bookmarkEnd w:id="916"/>
      <w:bookmarkEnd w:id="917"/>
    </w:p>
    <w:p w14:paraId="1E5204AE">
      <w:pPr>
        <w:spacing w:line="360" w:lineRule="auto"/>
        <w:ind w:firstLine="420" w:firstLineChars="200"/>
        <w:jc w:val="left"/>
        <w:rPr>
          <w:rFonts w:ascii="宋体" w:hAnsi="宋体"/>
          <w:szCs w:val="21"/>
        </w:rPr>
      </w:pPr>
      <w:r>
        <w:rPr>
          <w:rFonts w:hint="eastAsia" w:ascii="宋体" w:hAnsi="宋体"/>
          <w:szCs w:val="21"/>
        </w:rPr>
        <w:t>关于变更范围的约定：</w:t>
      </w:r>
    </w:p>
    <w:p w14:paraId="1CC031E9">
      <w:pPr>
        <w:spacing w:line="360" w:lineRule="auto"/>
        <w:ind w:firstLine="420" w:firstLineChars="200"/>
        <w:jc w:val="left"/>
        <w:rPr>
          <w:rFonts w:ascii="宋体" w:hAnsi="宋体"/>
          <w:szCs w:val="21"/>
        </w:rPr>
      </w:pPr>
      <w:r>
        <w:rPr>
          <w:rFonts w:hint="eastAsia" w:ascii="宋体" w:hAnsi="宋体"/>
          <w:szCs w:val="21"/>
        </w:rPr>
        <w:t>（1）增加或减少合同中任何工作，或追加额外的工作；</w:t>
      </w:r>
    </w:p>
    <w:p w14:paraId="7766355A">
      <w:pPr>
        <w:spacing w:line="360" w:lineRule="auto"/>
        <w:ind w:firstLine="420" w:firstLineChars="200"/>
        <w:jc w:val="left"/>
        <w:rPr>
          <w:rFonts w:ascii="宋体" w:hAnsi="宋体"/>
          <w:szCs w:val="21"/>
        </w:rPr>
      </w:pPr>
      <w:r>
        <w:rPr>
          <w:rFonts w:hint="eastAsia" w:ascii="宋体" w:hAnsi="宋体"/>
          <w:szCs w:val="21"/>
        </w:rPr>
        <w:t>（2）取消合同中任何工作；</w:t>
      </w:r>
    </w:p>
    <w:p w14:paraId="6D4FF0A6">
      <w:pPr>
        <w:spacing w:line="360" w:lineRule="auto"/>
        <w:ind w:firstLine="420" w:firstLineChars="200"/>
        <w:jc w:val="left"/>
        <w:rPr>
          <w:rFonts w:ascii="宋体" w:hAnsi="宋体"/>
          <w:szCs w:val="21"/>
        </w:rPr>
      </w:pPr>
      <w:r>
        <w:rPr>
          <w:rFonts w:hint="eastAsia" w:ascii="宋体" w:hAnsi="宋体"/>
          <w:szCs w:val="21"/>
        </w:rPr>
        <w:t>（3）改变合同中任何工作的质量标准或其他特性；</w:t>
      </w:r>
    </w:p>
    <w:p w14:paraId="1453AA38">
      <w:pPr>
        <w:spacing w:line="360" w:lineRule="auto"/>
        <w:ind w:firstLine="420" w:firstLineChars="200"/>
        <w:jc w:val="left"/>
        <w:rPr>
          <w:rFonts w:ascii="宋体" w:hAnsi="宋体"/>
          <w:szCs w:val="21"/>
        </w:rPr>
      </w:pPr>
      <w:r>
        <w:rPr>
          <w:rFonts w:hint="eastAsia" w:ascii="宋体" w:hAnsi="宋体"/>
          <w:szCs w:val="21"/>
        </w:rPr>
        <w:t>（4）改变工程的基线、标高、位置和尺寸；</w:t>
      </w:r>
    </w:p>
    <w:p w14:paraId="0487D74F">
      <w:pPr>
        <w:spacing w:line="360" w:lineRule="auto"/>
        <w:ind w:firstLine="420" w:firstLineChars="200"/>
        <w:jc w:val="left"/>
        <w:rPr>
          <w:rFonts w:ascii="宋体" w:hAnsi="宋体"/>
          <w:szCs w:val="21"/>
        </w:rPr>
      </w:pPr>
      <w:r>
        <w:rPr>
          <w:rFonts w:hint="eastAsia" w:ascii="宋体" w:hAnsi="宋体"/>
          <w:szCs w:val="21"/>
        </w:rPr>
        <w:t>（5）适用于工程的标准和（或）规范变化导致需要对工程进行改变，且该改变导致工期和（或）费用变化的；</w:t>
      </w:r>
    </w:p>
    <w:p w14:paraId="5E0276E6">
      <w:pPr>
        <w:spacing w:line="360" w:lineRule="auto"/>
        <w:ind w:firstLine="420" w:firstLineChars="200"/>
        <w:jc w:val="left"/>
        <w:rPr>
          <w:rFonts w:ascii="宋体" w:hAnsi="宋体"/>
          <w:szCs w:val="21"/>
        </w:rPr>
      </w:pPr>
      <w:r>
        <w:rPr>
          <w:rFonts w:hint="eastAsia" w:ascii="宋体" w:hAnsi="宋体"/>
          <w:szCs w:val="21"/>
        </w:rPr>
        <w:t>（6）勘察设计变更；</w:t>
      </w:r>
    </w:p>
    <w:p w14:paraId="62650E9B">
      <w:pPr>
        <w:spacing w:line="360" w:lineRule="auto"/>
        <w:ind w:firstLine="420" w:firstLineChars="200"/>
        <w:jc w:val="left"/>
        <w:rPr>
          <w:rFonts w:ascii="宋体" w:hAnsi="宋体"/>
          <w:szCs w:val="21"/>
        </w:rPr>
      </w:pPr>
      <w:r>
        <w:rPr>
          <w:rFonts w:hint="eastAsia" w:ascii="宋体" w:hAnsi="宋体"/>
          <w:szCs w:val="21"/>
        </w:rPr>
        <w:t>（7）实施内容变更，包括因设计变更和非设计变更引起的实施地点、投资规模、结构型式、采购数量、服务内容等进行的调整，以及因此导致的合同价格、工期变更；</w:t>
      </w:r>
    </w:p>
    <w:p w14:paraId="00BC1756">
      <w:pPr>
        <w:spacing w:line="360" w:lineRule="auto"/>
        <w:ind w:firstLine="420" w:firstLineChars="200"/>
        <w:jc w:val="left"/>
        <w:rPr>
          <w:rFonts w:ascii="宋体" w:hAnsi="宋体"/>
          <w:szCs w:val="21"/>
        </w:rPr>
      </w:pPr>
      <w:r>
        <w:rPr>
          <w:rFonts w:hint="eastAsia" w:ascii="宋体" w:hAnsi="宋体"/>
          <w:szCs w:val="21"/>
        </w:rPr>
        <w:t>（8）项目管理人员变更；</w:t>
      </w:r>
    </w:p>
    <w:p w14:paraId="56A14F44">
      <w:pPr>
        <w:spacing w:line="360" w:lineRule="auto"/>
        <w:ind w:firstLine="420" w:firstLineChars="200"/>
        <w:jc w:val="left"/>
        <w:rPr>
          <w:rFonts w:ascii="宋体" w:hAnsi="宋体"/>
          <w:szCs w:val="21"/>
        </w:rPr>
      </w:pPr>
      <w:r>
        <w:rPr>
          <w:rFonts w:hint="eastAsia" w:ascii="宋体" w:hAnsi="宋体"/>
          <w:szCs w:val="21"/>
        </w:rPr>
        <w:t>（9）因人工、原材料等价格变化导致的合同总价变更；</w:t>
      </w:r>
    </w:p>
    <w:p w14:paraId="54F708C8">
      <w:pPr>
        <w:spacing w:line="360" w:lineRule="auto"/>
        <w:ind w:firstLine="420" w:firstLineChars="200"/>
        <w:jc w:val="left"/>
        <w:rPr>
          <w:rFonts w:ascii="宋体" w:hAnsi="宋体"/>
          <w:szCs w:val="21"/>
        </w:rPr>
      </w:pPr>
      <w:r>
        <w:rPr>
          <w:rFonts w:hint="eastAsia" w:ascii="宋体" w:hAnsi="宋体"/>
          <w:szCs w:val="21"/>
        </w:rPr>
        <w:t>（10）非实施内容变化导致的工期变更；</w:t>
      </w:r>
    </w:p>
    <w:p w14:paraId="2217E095">
      <w:pPr>
        <w:spacing w:line="360" w:lineRule="auto"/>
        <w:ind w:firstLine="420" w:firstLineChars="200"/>
        <w:jc w:val="left"/>
        <w:rPr>
          <w:rFonts w:ascii="宋体" w:hAnsi="宋体"/>
          <w:szCs w:val="21"/>
        </w:rPr>
      </w:pPr>
      <w:r>
        <w:rPr>
          <w:rFonts w:hint="eastAsia" w:ascii="宋体" w:hAnsi="宋体"/>
          <w:szCs w:val="21"/>
        </w:rPr>
        <w:t>（11）</w:t>
      </w:r>
      <w:r>
        <w:rPr>
          <w:rFonts w:hint="eastAsia" w:ascii="宋体" w:hAnsi="宋体"/>
          <w:szCs w:val="21"/>
          <w:u w:val="single"/>
        </w:rPr>
        <w:t xml:space="preserve">        </w:t>
      </w:r>
      <w:r>
        <w:rPr>
          <w:rFonts w:hint="eastAsia" w:ascii="宋体" w:hAnsi="宋体"/>
          <w:szCs w:val="21"/>
        </w:rPr>
        <w:t>。</w:t>
      </w:r>
    </w:p>
    <w:p w14:paraId="619F710F">
      <w:pPr>
        <w:spacing w:line="360" w:lineRule="auto"/>
        <w:ind w:firstLine="420" w:firstLineChars="200"/>
        <w:jc w:val="left"/>
        <w:rPr>
          <w:rFonts w:ascii="宋体" w:hAnsi="宋体"/>
          <w:szCs w:val="21"/>
        </w:rPr>
      </w:pPr>
      <w:r>
        <w:rPr>
          <w:rFonts w:hint="eastAsia" w:ascii="宋体" w:hAnsi="宋体"/>
          <w:szCs w:val="21"/>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14:paraId="739E4B95">
      <w:pPr>
        <w:spacing w:line="360" w:lineRule="auto"/>
        <w:ind w:firstLine="420" w:firstLineChars="200"/>
        <w:jc w:val="left"/>
        <w:rPr>
          <w:rFonts w:ascii="宋体" w:hAnsi="宋体"/>
          <w:szCs w:val="21"/>
          <w:u w:val="single"/>
        </w:rPr>
      </w:pPr>
      <w:r>
        <w:rPr>
          <w:rFonts w:hint="eastAsia" w:ascii="宋体" w:hAnsi="宋体"/>
          <w:szCs w:val="21"/>
        </w:rPr>
        <w:t>承包人对其提供的材料、工程设备、施工、无负荷试车、热负荷试车及图纸参数存在的缺陷，自费修正、调整和完善，不属于变更。</w:t>
      </w:r>
    </w:p>
    <w:p w14:paraId="6EC686D7">
      <w:pPr>
        <w:pStyle w:val="7"/>
        <w:spacing w:before="0" w:beforeAutospacing="0" w:after="0" w:afterAutospacing="0" w:line="360" w:lineRule="auto"/>
        <w:ind w:firstLine="422" w:firstLineChars="200"/>
        <w:rPr>
          <w:sz w:val="21"/>
          <w:szCs w:val="21"/>
        </w:rPr>
      </w:pPr>
      <w:bookmarkStart w:id="935" w:name="_Toc532375636"/>
      <w:bookmarkStart w:id="936" w:name="_Toc351203569"/>
      <w:bookmarkStart w:id="937" w:name="_Toc532377372"/>
      <w:r>
        <w:rPr>
          <w:rFonts w:hint="eastAsia"/>
          <w:sz w:val="21"/>
          <w:szCs w:val="21"/>
        </w:rPr>
        <w:t>1</w:t>
      </w:r>
      <w:bookmarkStart w:id="938" w:name="_Toc337558789"/>
      <w:bookmarkStart w:id="939" w:name="_Toc296503085"/>
      <w:bookmarkStart w:id="940" w:name="_Toc296346586"/>
      <w:r>
        <w:rPr>
          <w:rFonts w:hint="eastAsia"/>
          <w:sz w:val="21"/>
          <w:szCs w:val="21"/>
        </w:rPr>
        <w:t>0.2变更权</w:t>
      </w:r>
      <w:bookmarkEnd w:id="935"/>
      <w:bookmarkEnd w:id="936"/>
      <w:bookmarkEnd w:id="937"/>
    </w:p>
    <w:bookmarkEnd w:id="938"/>
    <w:bookmarkEnd w:id="939"/>
    <w:bookmarkEnd w:id="940"/>
    <w:p w14:paraId="387ABD33">
      <w:pPr>
        <w:spacing w:line="360" w:lineRule="auto"/>
        <w:ind w:firstLine="420" w:firstLineChars="200"/>
        <w:jc w:val="left"/>
        <w:rPr>
          <w:rFonts w:ascii="宋体" w:hAnsi="宋体"/>
          <w:szCs w:val="21"/>
        </w:rPr>
      </w:pPr>
      <w:r>
        <w:rPr>
          <w:rFonts w:hint="eastAsia" w:ascii="宋体" w:hAnsi="宋体"/>
          <w:szCs w:val="21"/>
        </w:rPr>
        <w:t>10.2.1发包人和监理人提出变更</w:t>
      </w:r>
    </w:p>
    <w:p w14:paraId="091FF041">
      <w:pPr>
        <w:spacing w:line="360" w:lineRule="auto"/>
        <w:ind w:firstLine="420" w:firstLineChars="200"/>
        <w:jc w:val="left"/>
        <w:rPr>
          <w:rFonts w:ascii="宋体" w:hAnsi="宋体"/>
          <w:szCs w:val="21"/>
        </w:rPr>
      </w:pPr>
      <w:r>
        <w:rPr>
          <w:rFonts w:hint="eastAsia" w:ascii="宋体" w:hAnsi="宋体"/>
          <w:szCs w:val="21"/>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14:paraId="75CA3AF2">
      <w:pPr>
        <w:spacing w:line="360" w:lineRule="auto"/>
        <w:ind w:firstLine="420" w:firstLineChars="200"/>
        <w:jc w:val="left"/>
        <w:rPr>
          <w:rFonts w:ascii="宋体" w:hAnsi="宋体"/>
          <w:szCs w:val="21"/>
          <w:u w:val="single"/>
        </w:rPr>
      </w:pPr>
      <w:r>
        <w:rPr>
          <w:rFonts w:hint="eastAsia" w:ascii="宋体" w:hAnsi="宋体"/>
          <w:szCs w:val="21"/>
        </w:rPr>
        <w:t>涉及设计变更的，应由设计人提供变更后的图纸和说明，交由发包人同意后由监理人以书面形式发出。如变更超过原设计标准或批准的建设规模时，由发包人及时办理规划、设计变更等审批手续。</w:t>
      </w:r>
    </w:p>
    <w:p w14:paraId="129B0B78">
      <w:pPr>
        <w:spacing w:line="360" w:lineRule="auto"/>
        <w:ind w:firstLine="420" w:firstLineChars="200"/>
        <w:jc w:val="left"/>
        <w:rPr>
          <w:rFonts w:ascii="宋体" w:hAnsi="宋体"/>
          <w:szCs w:val="21"/>
        </w:rPr>
      </w:pPr>
      <w:r>
        <w:rPr>
          <w:rFonts w:hint="eastAsia" w:ascii="宋体" w:hAnsi="宋体"/>
          <w:szCs w:val="21"/>
        </w:rPr>
        <w:t>若出现重大设计变更，变更后的内容超出承包人资质或能力范围的，发包人将另行依法招标选择承包单位，无需征得承包人同意。</w:t>
      </w:r>
    </w:p>
    <w:p w14:paraId="5529E167">
      <w:pPr>
        <w:spacing w:line="360" w:lineRule="auto"/>
        <w:ind w:firstLine="420" w:firstLineChars="200"/>
        <w:jc w:val="left"/>
        <w:rPr>
          <w:rFonts w:ascii="宋体" w:hAnsi="宋体"/>
          <w:szCs w:val="21"/>
        </w:rPr>
      </w:pPr>
      <w:r>
        <w:rPr>
          <w:rFonts w:hint="eastAsia" w:ascii="宋体" w:hAnsi="宋体"/>
          <w:szCs w:val="21"/>
        </w:rPr>
        <w:t>10.2.2 承包人提出变更建议</w:t>
      </w:r>
    </w:p>
    <w:p w14:paraId="1826811B">
      <w:pPr>
        <w:spacing w:line="360" w:lineRule="auto"/>
        <w:ind w:firstLine="420" w:firstLineChars="200"/>
        <w:jc w:val="left"/>
        <w:rPr>
          <w:rFonts w:ascii="宋体" w:hAnsi="宋体"/>
          <w:szCs w:val="21"/>
        </w:rPr>
      </w:pPr>
      <w:r>
        <w:rPr>
          <w:rFonts w:hint="eastAsia" w:ascii="宋体" w:hAnsi="宋体"/>
          <w:szCs w:val="21"/>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宋体" w:hAnsi="宋体"/>
          <w:szCs w:val="21"/>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宋体" w:hAnsi="宋体"/>
          <w:szCs w:val="21"/>
        </w:rPr>
        <w:t>。</w:t>
      </w:r>
    </w:p>
    <w:p w14:paraId="2581F251">
      <w:pPr>
        <w:autoSpaceDE w:val="0"/>
        <w:autoSpaceDN w:val="0"/>
        <w:spacing w:line="360" w:lineRule="auto"/>
        <w:ind w:firstLine="420" w:firstLineChars="200"/>
        <w:jc w:val="left"/>
        <w:rPr>
          <w:rFonts w:ascii="宋体" w:hAnsi="宋体"/>
          <w:szCs w:val="21"/>
          <w:u w:val="single"/>
        </w:rPr>
      </w:pPr>
      <w:r>
        <w:rPr>
          <w:rFonts w:hint="eastAsia" w:ascii="宋体" w:hAnsi="宋体"/>
          <w:szCs w:val="21"/>
        </w:rPr>
        <w:t>如果发包人对承包人已实施的施工项目在发出重大设计变更之前要求承包人提出一份建议，那么，承包人应尽快提出：</w:t>
      </w:r>
    </w:p>
    <w:p w14:paraId="6995E590">
      <w:pPr>
        <w:autoSpaceDE w:val="0"/>
        <w:autoSpaceDN w:val="0"/>
        <w:spacing w:line="360" w:lineRule="auto"/>
        <w:ind w:firstLine="420" w:firstLineChars="200"/>
        <w:jc w:val="left"/>
        <w:rPr>
          <w:rFonts w:ascii="宋体" w:hAnsi="宋体"/>
          <w:szCs w:val="21"/>
        </w:rPr>
      </w:pPr>
      <w:r>
        <w:rPr>
          <w:rFonts w:hint="eastAsia" w:ascii="宋体" w:hAnsi="宋体"/>
          <w:szCs w:val="21"/>
          <w:u w:val="single"/>
        </w:rPr>
        <w:t>（1）对所提方案和（或）待做工作及其实施计划的说明</w:t>
      </w:r>
      <w:r>
        <w:rPr>
          <w:rFonts w:hint="eastAsia" w:ascii="宋体" w:hAnsi="宋体"/>
          <w:szCs w:val="21"/>
        </w:rPr>
        <w:t>；</w:t>
      </w:r>
    </w:p>
    <w:p w14:paraId="4742EF01">
      <w:pPr>
        <w:autoSpaceDE w:val="0"/>
        <w:autoSpaceDN w:val="0"/>
        <w:spacing w:line="360" w:lineRule="auto"/>
        <w:ind w:firstLine="420" w:firstLineChars="200"/>
        <w:jc w:val="left"/>
        <w:rPr>
          <w:rFonts w:ascii="宋体" w:hAnsi="宋体"/>
          <w:szCs w:val="21"/>
        </w:rPr>
      </w:pPr>
      <w:r>
        <w:rPr>
          <w:rFonts w:hint="eastAsia" w:ascii="宋体" w:hAnsi="宋体"/>
          <w:szCs w:val="21"/>
          <w:u w:val="single"/>
        </w:rPr>
        <w:t>（2）承包人按照对工程进度计划进行必要修改的建议</w:t>
      </w:r>
      <w:r>
        <w:rPr>
          <w:rFonts w:hint="eastAsia" w:ascii="宋体" w:hAnsi="宋体"/>
          <w:szCs w:val="21"/>
        </w:rPr>
        <w:t>；</w:t>
      </w:r>
    </w:p>
    <w:p w14:paraId="297BA79E">
      <w:pPr>
        <w:autoSpaceDE w:val="0"/>
        <w:autoSpaceDN w:val="0"/>
        <w:spacing w:line="360" w:lineRule="auto"/>
        <w:ind w:firstLine="420" w:firstLineChars="200"/>
        <w:jc w:val="left"/>
        <w:rPr>
          <w:rFonts w:ascii="宋体" w:hAnsi="宋体"/>
          <w:szCs w:val="21"/>
        </w:rPr>
      </w:pPr>
      <w:r>
        <w:rPr>
          <w:rFonts w:hint="eastAsia" w:ascii="宋体" w:hAnsi="宋体"/>
          <w:szCs w:val="21"/>
          <w:u w:val="single"/>
        </w:rPr>
        <w:t>（3）承包人发生较大返工损失增加费用的建议</w:t>
      </w:r>
      <w:r>
        <w:rPr>
          <w:rFonts w:hint="eastAsia" w:ascii="宋体" w:hAnsi="宋体"/>
          <w:szCs w:val="21"/>
        </w:rPr>
        <w:t>。</w:t>
      </w:r>
    </w:p>
    <w:p w14:paraId="0A430A99">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发包人在收到上述建议书后，应尽快给予批准、否决或提出意见</w:t>
      </w:r>
      <w:r>
        <w:rPr>
          <w:rFonts w:hint="eastAsia" w:ascii="宋体" w:hAnsi="宋体"/>
          <w:szCs w:val="21"/>
        </w:rPr>
        <w:t>。</w:t>
      </w:r>
    </w:p>
    <w:p w14:paraId="586AC47B">
      <w:pPr>
        <w:pStyle w:val="7"/>
        <w:spacing w:before="0" w:beforeAutospacing="0" w:after="0" w:afterAutospacing="0" w:line="360" w:lineRule="auto"/>
        <w:ind w:firstLine="422" w:firstLineChars="200"/>
        <w:rPr>
          <w:sz w:val="21"/>
          <w:szCs w:val="21"/>
        </w:rPr>
      </w:pPr>
      <w:bookmarkStart w:id="941" w:name="_Toc532375637"/>
      <w:bookmarkStart w:id="942" w:name="_Toc532377373"/>
      <w:bookmarkStart w:id="943" w:name="_Hlk528928195"/>
      <w:bookmarkStart w:id="944" w:name="_Toc351203570"/>
      <w:r>
        <w:rPr>
          <w:rFonts w:hint="eastAsia"/>
          <w:sz w:val="21"/>
          <w:szCs w:val="21"/>
        </w:rPr>
        <w:t>1</w:t>
      </w:r>
      <w:bookmarkStart w:id="945" w:name="_Toc296346587"/>
      <w:bookmarkStart w:id="946" w:name="_Toc337558790"/>
      <w:bookmarkStart w:id="947" w:name="_Toc296503086"/>
      <w:r>
        <w:rPr>
          <w:rFonts w:hint="eastAsia"/>
          <w:sz w:val="21"/>
          <w:szCs w:val="21"/>
        </w:rPr>
        <w:t>0.3变更程序</w:t>
      </w:r>
      <w:bookmarkEnd w:id="941"/>
      <w:bookmarkEnd w:id="942"/>
    </w:p>
    <w:bookmarkEnd w:id="945"/>
    <w:bookmarkEnd w:id="946"/>
    <w:bookmarkEnd w:id="947"/>
    <w:p w14:paraId="02E99674">
      <w:pPr>
        <w:autoSpaceDE w:val="0"/>
        <w:autoSpaceDN w:val="0"/>
        <w:spacing w:line="360" w:lineRule="auto"/>
        <w:ind w:firstLine="420" w:firstLineChars="200"/>
        <w:jc w:val="left"/>
        <w:rPr>
          <w:rFonts w:ascii="宋体" w:hAnsi="宋体"/>
          <w:szCs w:val="21"/>
        </w:rPr>
      </w:pPr>
      <w:bookmarkStart w:id="948" w:name="_Hlk524353972"/>
      <w:r>
        <w:rPr>
          <w:rFonts w:hint="eastAsia" w:ascii="宋体" w:hAnsi="宋体"/>
          <w:szCs w:val="21"/>
        </w:rPr>
        <w:t>10.3.3 变更执行</w:t>
      </w:r>
    </w:p>
    <w:p w14:paraId="19ACDE05">
      <w:pPr>
        <w:autoSpaceDE w:val="0"/>
        <w:autoSpaceDN w:val="0"/>
        <w:spacing w:line="360" w:lineRule="auto"/>
        <w:ind w:firstLine="420" w:firstLineChars="200"/>
        <w:jc w:val="left"/>
        <w:rPr>
          <w:rFonts w:ascii="宋体" w:hAnsi="宋体"/>
          <w:szCs w:val="21"/>
        </w:rPr>
      </w:pPr>
      <w:r>
        <w:rPr>
          <w:rFonts w:hint="eastAsia" w:ascii="宋体" w:hAnsi="宋体"/>
          <w:szCs w:val="21"/>
        </w:rPr>
        <w:t>一般设计变更：承包人收到监理人下达的变更指示后，应按照监理人下达的变更指示执行，并书面说明实施该变更指示对合同价格和工期的影响，按照第10.4.1项〔变更估价原则〕约定执行。</w:t>
      </w:r>
    </w:p>
    <w:p w14:paraId="099E38B3">
      <w:pPr>
        <w:autoSpaceDE w:val="0"/>
        <w:autoSpaceDN w:val="0"/>
        <w:spacing w:line="360" w:lineRule="auto"/>
        <w:ind w:firstLine="420" w:firstLineChars="200"/>
        <w:jc w:val="left"/>
        <w:rPr>
          <w:rFonts w:ascii="宋体" w:hAnsi="宋体"/>
          <w:szCs w:val="21"/>
        </w:rPr>
      </w:pPr>
      <w:r>
        <w:rPr>
          <w:rFonts w:hint="eastAsia" w:ascii="宋体" w:hAnsi="宋体"/>
          <w:szCs w:val="21"/>
        </w:rPr>
        <w:t>重大设计变更：需经设计人、监理人和发包人三方签名认可并报相关行业部门审查同意后实施。</w:t>
      </w:r>
    </w:p>
    <w:p w14:paraId="0491013F">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10.3.3 项增加以下内容：</w:t>
      </w:r>
    </w:p>
    <w:p w14:paraId="6FCE72FC">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14:paraId="62977587">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项目的勘察设计、实施内容等作较大变更的，应当按照规定的程序报原审批部门审批；变更导致总投资超概的，应当报原投资概算核定部门核定。</w:t>
      </w:r>
    </w:p>
    <w:p w14:paraId="419BE452">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项目管理人员变更的，应当经发包人领导班子集体决策同意，并将变更信息推送给行业主管部门。变更后的项目管理人员应当符合招标文件和行业主管部门的相关规定。</w:t>
      </w:r>
    </w:p>
    <w:p w14:paraId="6A3669C8">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因人工、原材料市场价格发生大幅度变化导致的合同总价变更，由发包人与承包人按照合同进行变更，并将变更信息推送给行业主管部门。</w:t>
      </w:r>
    </w:p>
    <w:p w14:paraId="2E807925">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项目实施内容无变更，因不可抗力导致的工期变更，由发包人领导班子集体决策同意，并将变更信息推送给行业主管部门；因项目实施内容变更导致的工期变更，与项目实施内容变更一并办理。</w:t>
      </w:r>
    </w:p>
    <w:p w14:paraId="0E69E489">
      <w:pPr>
        <w:autoSpaceDE w:val="0"/>
        <w:autoSpaceDN w:val="0"/>
        <w:spacing w:line="360" w:lineRule="auto"/>
        <w:ind w:firstLine="420" w:firstLineChars="200"/>
        <w:jc w:val="left"/>
        <w:rPr>
          <w:rFonts w:ascii="宋体" w:hAnsi="宋体"/>
          <w:szCs w:val="21"/>
          <w:u w:val="single"/>
        </w:rPr>
      </w:pPr>
      <w:r>
        <w:rPr>
          <w:rFonts w:hint="eastAsia" w:ascii="宋体" w:hAnsi="宋体"/>
          <w:szCs w:val="21"/>
          <w:u w:val="single"/>
        </w:rPr>
        <w:t>项目合同变更后，增加的实施内容达到依法必须招标的规模标准的，增加的部分应当依法通过招标选择承包单位。</w:t>
      </w:r>
    </w:p>
    <w:bookmarkEnd w:id="943"/>
    <w:bookmarkEnd w:id="944"/>
    <w:bookmarkEnd w:id="948"/>
    <w:p w14:paraId="0231928A">
      <w:pPr>
        <w:pStyle w:val="7"/>
        <w:spacing w:before="0" w:beforeAutospacing="0" w:after="0" w:afterAutospacing="0" w:line="360" w:lineRule="auto"/>
        <w:ind w:firstLine="422" w:firstLineChars="200"/>
        <w:rPr>
          <w:sz w:val="21"/>
          <w:szCs w:val="21"/>
        </w:rPr>
      </w:pPr>
      <w:bookmarkStart w:id="949" w:name="_Toc532375638"/>
      <w:bookmarkStart w:id="950" w:name="_Toc532377374"/>
      <w:r>
        <w:rPr>
          <w:rFonts w:hint="eastAsia"/>
          <w:sz w:val="21"/>
          <w:szCs w:val="21"/>
        </w:rPr>
        <w:t>10.4 变更估价</w:t>
      </w:r>
      <w:bookmarkEnd w:id="949"/>
      <w:bookmarkEnd w:id="950"/>
    </w:p>
    <w:p w14:paraId="48C6EBAF">
      <w:pPr>
        <w:spacing w:line="360" w:lineRule="auto"/>
        <w:ind w:firstLine="420" w:firstLineChars="200"/>
        <w:jc w:val="left"/>
        <w:rPr>
          <w:rFonts w:ascii="宋体" w:hAnsi="宋体"/>
          <w:szCs w:val="21"/>
        </w:rPr>
      </w:pPr>
      <w:bookmarkStart w:id="951" w:name="_Hlk524296629"/>
      <w:r>
        <w:rPr>
          <w:rFonts w:hint="eastAsia" w:ascii="宋体" w:hAnsi="宋体"/>
          <w:szCs w:val="21"/>
        </w:rPr>
        <w:t>10.4.1 变更估价原则</w:t>
      </w:r>
    </w:p>
    <w:p w14:paraId="1B594AEB">
      <w:pPr>
        <w:pStyle w:val="2"/>
        <w:spacing w:after="0" w:line="360" w:lineRule="auto"/>
        <w:ind w:firstLine="420" w:firstLineChars="200"/>
        <w:jc w:val="left"/>
        <w:rPr>
          <w:rFonts w:ascii="宋体" w:hAnsi="宋体"/>
          <w:szCs w:val="21"/>
          <w:u w:val="single"/>
        </w:rPr>
      </w:pPr>
      <w:r>
        <w:rPr>
          <w:rFonts w:hint="eastAsia" w:ascii="宋体" w:hAnsi="宋体"/>
          <w:szCs w:val="21"/>
        </w:rPr>
        <w:t>当发生工程变更时，工程量按</w:t>
      </w:r>
      <w:r>
        <w:rPr>
          <w:rFonts w:hint="eastAsia" w:ascii="宋体" w:hAnsi="宋体"/>
          <w:szCs w:val="21"/>
          <w:u w:val="single"/>
        </w:rPr>
        <w:t xml:space="preserve"> 《重庆市建设工程工程量清单计价规则》CQJJGZ-2013、《重庆市建设工程工程量计算规则》CQJLGZ-2013  </w:t>
      </w:r>
      <w:r>
        <w:rPr>
          <w:rFonts w:hint="eastAsia" w:ascii="宋体" w:hAnsi="宋体"/>
          <w:szCs w:val="21"/>
        </w:rPr>
        <w:t>规定的计算规则及已标价工程量清单规定的工程量计算规则计量，按以下办法计价：</w:t>
      </w:r>
      <w:bookmarkStart w:id="952" w:name="_Hlk524770102"/>
    </w:p>
    <w:bookmarkEnd w:id="952"/>
    <w:p w14:paraId="710C933B">
      <w:pPr>
        <w:spacing w:line="360" w:lineRule="auto"/>
        <w:ind w:firstLine="420" w:firstLineChars="200"/>
        <w:jc w:val="left"/>
        <w:rPr>
          <w:rFonts w:ascii="宋体" w:hAnsi="宋体"/>
          <w:szCs w:val="21"/>
        </w:rPr>
      </w:pPr>
      <w:r>
        <w:rPr>
          <w:rFonts w:hint="eastAsia" w:ascii="宋体" w:hAnsi="宋体"/>
          <w:szCs w:val="21"/>
        </w:rPr>
        <w:t>10.4.1.1已标价工程量清单中有相同项目的，按照相同项目单价计算；</w:t>
      </w:r>
    </w:p>
    <w:p w14:paraId="7007082D">
      <w:pPr>
        <w:spacing w:line="360" w:lineRule="auto"/>
        <w:ind w:firstLine="420" w:firstLineChars="200"/>
        <w:jc w:val="left"/>
        <w:rPr>
          <w:rFonts w:ascii="宋体" w:hAnsi="宋体"/>
          <w:szCs w:val="21"/>
        </w:rPr>
      </w:pPr>
      <w:r>
        <w:rPr>
          <w:rFonts w:hint="eastAsia" w:ascii="宋体" w:hAnsi="宋体"/>
          <w:szCs w:val="21"/>
        </w:rPr>
        <w:t>10.4.1.2已标价工程量清单中有类似项目的，参考类似项目单价计算；</w:t>
      </w:r>
    </w:p>
    <w:p w14:paraId="0B1D32D7">
      <w:pPr>
        <w:spacing w:line="360" w:lineRule="auto"/>
        <w:ind w:firstLine="420" w:firstLineChars="200"/>
        <w:jc w:val="left"/>
        <w:rPr>
          <w:rFonts w:ascii="宋体" w:hAnsi="宋体"/>
          <w:szCs w:val="21"/>
        </w:rPr>
      </w:pPr>
      <w:r>
        <w:rPr>
          <w:rFonts w:hint="eastAsia" w:ascii="宋体" w:hAnsi="宋体"/>
          <w:szCs w:val="21"/>
        </w:rPr>
        <w:t>10.4.1.3已标价工程量清单中无相同项目亦无类似项目的，按照以下原则执行：</w:t>
      </w:r>
    </w:p>
    <w:p w14:paraId="73C6FDC1">
      <w:pPr>
        <w:spacing w:line="360" w:lineRule="auto"/>
        <w:ind w:firstLine="420" w:firstLineChars="200"/>
        <w:jc w:val="left"/>
        <w:rPr>
          <w:rFonts w:ascii="宋体" w:hAnsi="宋体"/>
          <w:szCs w:val="21"/>
        </w:rPr>
      </w:pPr>
      <w:r>
        <w:rPr>
          <w:rFonts w:hint="eastAsia" w:ascii="宋体" w:hAnsi="宋体"/>
          <w:szCs w:val="21"/>
          <w:u w:val="single"/>
        </w:rPr>
        <w:t>按《重庆市房屋建筑与装饰工程计价定额》（CQJZZSDE-2018）、《重庆市仿古建筑工程计价定额》（CQFGDE-2018）、《重庆市通用安装工程计价定额》（CQAZDE-2018）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城市轨道交通工程计价定额》（CQGDDE-2018）、《重庆市爆破工程计价定额》（CQBP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进行组价并按承包人报价浮动率下浮（认质核价的设备和材料不参与浮动），经监理人、跟审单位、发包人审定后执行</w:t>
      </w:r>
      <w:r>
        <w:rPr>
          <w:rFonts w:hint="eastAsia" w:ascii="宋体" w:hAnsi="宋体"/>
          <w:szCs w:val="21"/>
        </w:rPr>
        <w:t>。</w:t>
      </w:r>
    </w:p>
    <w:p w14:paraId="44688414">
      <w:pPr>
        <w:spacing w:line="360" w:lineRule="auto"/>
        <w:ind w:firstLine="420" w:firstLineChars="200"/>
        <w:jc w:val="left"/>
        <w:rPr>
          <w:rFonts w:ascii="宋体" w:hAnsi="宋体"/>
          <w:szCs w:val="21"/>
        </w:rPr>
      </w:pPr>
      <w:r>
        <w:rPr>
          <w:rFonts w:hint="eastAsia" w:ascii="宋体" w:hAnsi="宋体"/>
          <w:szCs w:val="21"/>
        </w:rPr>
        <w:t>承包人报价浮动率按下列公式计算：承包人报价浮动率=（1-中标价/最高限价）×100%。</w:t>
      </w:r>
    </w:p>
    <w:p w14:paraId="51CBE343">
      <w:pPr>
        <w:spacing w:line="360" w:lineRule="auto"/>
        <w:ind w:firstLine="420" w:firstLineChars="200"/>
        <w:jc w:val="left"/>
        <w:rPr>
          <w:rFonts w:ascii="宋体" w:hAnsi="宋体"/>
          <w:szCs w:val="21"/>
        </w:rPr>
      </w:pPr>
      <w:r>
        <w:rPr>
          <w:rFonts w:hint="eastAsia" w:ascii="宋体" w:hAnsi="宋体"/>
          <w:szCs w:val="21"/>
        </w:rPr>
        <w:t>（1）人工单价：按开标当期《重庆工程造价信息》发布的项目所在地的人工单价执行。</w:t>
      </w:r>
    </w:p>
    <w:p w14:paraId="4F93EDEF">
      <w:pPr>
        <w:spacing w:line="360" w:lineRule="auto"/>
        <w:ind w:firstLine="420" w:firstLineChars="200"/>
        <w:jc w:val="left"/>
        <w:rPr>
          <w:rFonts w:ascii="宋体" w:hAnsi="宋体"/>
          <w:szCs w:val="21"/>
        </w:rPr>
      </w:pPr>
      <w:bookmarkStart w:id="953" w:name="_Hlk529023896"/>
      <w:r>
        <w:rPr>
          <w:rFonts w:hint="eastAsia" w:ascii="宋体" w:hAnsi="宋体"/>
          <w:szCs w:val="21"/>
        </w:rPr>
        <w:t>（2）材料单价：</w:t>
      </w:r>
    </w:p>
    <w:p w14:paraId="06E339BF">
      <w:pPr>
        <w:spacing w:line="360" w:lineRule="auto"/>
        <w:ind w:firstLine="420" w:firstLineChars="200"/>
        <w:jc w:val="left"/>
        <w:rPr>
          <w:rFonts w:ascii="宋体" w:hAnsi="宋体"/>
          <w:szCs w:val="21"/>
        </w:rPr>
      </w:pPr>
      <w:r>
        <w:rPr>
          <w:rFonts w:hint="eastAsia" w:ascii="宋体" w:hAnsi="宋体"/>
          <w:szCs w:val="21"/>
        </w:rPr>
        <w:t>①按</w:t>
      </w:r>
      <w:bookmarkStart w:id="954" w:name="_Hlk529023354"/>
      <w:r>
        <w:rPr>
          <w:rFonts w:hint="eastAsia" w:ascii="宋体" w:hAnsi="宋体"/>
          <w:szCs w:val="21"/>
        </w:rPr>
        <w:t>开标当期《重庆工程造价信息》发布的项目所在地的信息价</w:t>
      </w:r>
      <w:bookmarkEnd w:id="954"/>
      <w:r>
        <w:rPr>
          <w:rFonts w:hint="eastAsia" w:ascii="宋体" w:hAnsi="宋体"/>
          <w:szCs w:val="21"/>
        </w:rPr>
        <w:t>执行；</w:t>
      </w:r>
    </w:p>
    <w:p w14:paraId="4F601E37">
      <w:pPr>
        <w:spacing w:line="360" w:lineRule="auto"/>
        <w:ind w:firstLine="420" w:firstLineChars="200"/>
        <w:jc w:val="left"/>
        <w:rPr>
          <w:rFonts w:ascii="宋体" w:hAnsi="宋体"/>
          <w:szCs w:val="21"/>
        </w:rPr>
      </w:pPr>
      <w:r>
        <w:rPr>
          <w:rFonts w:hint="eastAsia" w:ascii="宋体" w:hAnsi="宋体"/>
          <w:szCs w:val="21"/>
        </w:rPr>
        <w:t>②开标当期《重庆工程造价信息》中没有的，承包人投标报价中有的，按承包人投标报价中相同材料单价的最低值执行；</w:t>
      </w:r>
    </w:p>
    <w:p w14:paraId="3E13A496">
      <w:pPr>
        <w:spacing w:line="360" w:lineRule="auto"/>
        <w:ind w:firstLine="420" w:firstLineChars="200"/>
        <w:jc w:val="left"/>
        <w:rPr>
          <w:rFonts w:ascii="宋体" w:hAnsi="宋体"/>
          <w:szCs w:val="21"/>
        </w:rPr>
      </w:pPr>
      <w:r>
        <w:rPr>
          <w:rFonts w:hint="eastAsia" w:ascii="宋体" w:hAnsi="宋体"/>
          <w:szCs w:val="21"/>
        </w:rPr>
        <w:t>③开标当期《重庆工程造价信息》和承包人投标报价没有的，由承包人申报、监理人会同跟审单位、发包人根据市场行情认质核价确定。</w:t>
      </w:r>
    </w:p>
    <w:bookmarkEnd w:id="953"/>
    <w:p w14:paraId="444DB04D">
      <w:pPr>
        <w:spacing w:line="360" w:lineRule="auto"/>
        <w:ind w:firstLine="420" w:firstLineChars="200"/>
        <w:jc w:val="left"/>
        <w:rPr>
          <w:rFonts w:ascii="宋体" w:hAnsi="宋体"/>
          <w:szCs w:val="21"/>
        </w:rPr>
      </w:pPr>
      <w:r>
        <w:rPr>
          <w:rFonts w:hint="eastAsia" w:ascii="宋体" w:hAnsi="宋体"/>
          <w:szCs w:val="21"/>
        </w:rPr>
        <w:t>（3）企业管理费和利润：按承包人投标报价中相同工程分类的费用标准执行（投标报价中费用标准高于《重庆市建设工程费用定额》（CQFYDE-2018）费用标准的，按《重庆市建设工程费用定额》（CQFYDE-2018）费用标准执行）。</w:t>
      </w:r>
    </w:p>
    <w:p w14:paraId="2E6D6108">
      <w:pPr>
        <w:spacing w:line="360" w:lineRule="auto"/>
        <w:ind w:firstLine="420" w:firstLineChars="200"/>
        <w:jc w:val="left"/>
        <w:rPr>
          <w:rFonts w:ascii="宋体" w:hAnsi="宋体"/>
          <w:szCs w:val="21"/>
        </w:rPr>
      </w:pPr>
      <w:r>
        <w:rPr>
          <w:rFonts w:hint="eastAsia" w:ascii="宋体" w:hAnsi="宋体"/>
          <w:szCs w:val="21"/>
        </w:rPr>
        <w:t>（4）规费：按《重庆市建设工程费用定额》（CQFYDE-2018）费用标准进行计算。</w:t>
      </w:r>
    </w:p>
    <w:p w14:paraId="2A00B6CE">
      <w:pPr>
        <w:spacing w:line="360" w:lineRule="auto"/>
        <w:ind w:firstLine="420" w:firstLineChars="200"/>
        <w:jc w:val="left"/>
        <w:rPr>
          <w:rFonts w:ascii="宋体" w:hAnsi="宋体"/>
          <w:szCs w:val="21"/>
        </w:rPr>
      </w:pPr>
      <w:r>
        <w:rPr>
          <w:rFonts w:hint="eastAsia" w:ascii="宋体" w:hAnsi="宋体"/>
          <w:szCs w:val="21"/>
        </w:rPr>
        <w:t>（5）税金：包含增值税、城市维护建设税、教育费附加、地方教育附加以及环境保护税。其中增值税按《重庆市建设工程费用定额》（CQFYDE-2018）规定及配套文件执行。</w:t>
      </w:r>
    </w:p>
    <w:p w14:paraId="090E2C24">
      <w:pPr>
        <w:spacing w:line="360" w:lineRule="auto"/>
        <w:ind w:firstLine="420" w:firstLineChars="200"/>
        <w:jc w:val="left"/>
        <w:rPr>
          <w:rFonts w:ascii="宋体" w:hAnsi="宋体"/>
          <w:szCs w:val="21"/>
          <w:u w:val="single"/>
        </w:rPr>
      </w:pPr>
      <w:r>
        <w:rPr>
          <w:rFonts w:hint="eastAsia" w:ascii="宋体" w:hAnsi="宋体"/>
          <w:szCs w:val="21"/>
        </w:rPr>
        <w:t>10.4.1.4已标价工程量清单中无相同项目亦无类似项目，也无定额可套用的，由承包人会同监理人、跟审单位、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跟审单位、发包人共同询价确认的价格执行。</w:t>
      </w:r>
    </w:p>
    <w:p w14:paraId="162C5854">
      <w:pPr>
        <w:spacing w:line="360" w:lineRule="auto"/>
        <w:ind w:firstLine="420" w:firstLineChars="200"/>
        <w:jc w:val="left"/>
        <w:rPr>
          <w:rFonts w:ascii="宋体" w:hAnsi="宋体"/>
          <w:szCs w:val="21"/>
        </w:rPr>
      </w:pPr>
      <w:r>
        <w:rPr>
          <w:rFonts w:hint="eastAsia" w:ascii="宋体" w:hAnsi="宋体"/>
          <w:szCs w:val="21"/>
        </w:rPr>
        <w:t>本款补充10.4.3项：</w:t>
      </w:r>
    </w:p>
    <w:p w14:paraId="4CA9EFE3">
      <w:pPr>
        <w:spacing w:line="360" w:lineRule="auto"/>
        <w:ind w:firstLine="420" w:firstLineChars="200"/>
        <w:jc w:val="left"/>
        <w:rPr>
          <w:rFonts w:ascii="宋体" w:hAnsi="宋体"/>
          <w:szCs w:val="21"/>
        </w:rPr>
      </w:pPr>
      <w:r>
        <w:rPr>
          <w:rFonts w:hint="eastAsia" w:ascii="宋体" w:hAnsi="宋体"/>
          <w:szCs w:val="21"/>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14:paraId="2B71E563">
      <w:pPr>
        <w:spacing w:line="360"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u w:val="single"/>
        </w:rPr>
        <w:t>安全文明施工费应按照实际发生变化的措施项目依据现行安全文明施工费计取及管理政策规定及《重庆市建设工程费用定额》（CQFYDE-2018）规定执行</w:t>
      </w:r>
      <w:r>
        <w:rPr>
          <w:rFonts w:hint="eastAsia" w:ascii="宋体" w:hAnsi="宋体"/>
          <w:szCs w:val="21"/>
        </w:rPr>
        <w:t>；</w:t>
      </w:r>
    </w:p>
    <w:p w14:paraId="23A649F3">
      <w:pPr>
        <w:spacing w:line="360"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u w:val="single"/>
        </w:rPr>
        <w:t>按照单价计算的措施项目费，应按照实际发生变化的措施项目，按照第10.4.1项〔变更估价原则〕约定执行</w:t>
      </w:r>
      <w:r>
        <w:rPr>
          <w:rFonts w:hint="eastAsia" w:ascii="宋体" w:hAnsi="宋体"/>
          <w:szCs w:val="21"/>
        </w:rPr>
        <w:t>；</w:t>
      </w:r>
    </w:p>
    <w:p w14:paraId="27A0C74A">
      <w:pPr>
        <w:spacing w:line="360" w:lineRule="auto"/>
        <w:ind w:firstLine="420" w:firstLineChars="200"/>
        <w:jc w:val="left"/>
        <w:rPr>
          <w:rFonts w:ascii="宋体" w:hAnsi="宋体"/>
          <w:szCs w:val="21"/>
        </w:rPr>
      </w:pPr>
      <w:r>
        <w:rPr>
          <w:rFonts w:hint="eastAsia" w:ascii="宋体" w:hAnsi="宋体"/>
          <w:szCs w:val="21"/>
        </w:rPr>
        <w:t>（3）</w:t>
      </w:r>
      <w:r>
        <w:rPr>
          <w:rFonts w:hint="eastAsia" w:ascii="宋体" w:hAnsi="宋体"/>
          <w:szCs w:val="21"/>
          <w:u w:val="single"/>
        </w:rPr>
        <w:t>按总价（或系数）计算的措施项目费，应按照实际发生变化的措施项目费按承包人报价浮动率下浮后的金额计算</w:t>
      </w:r>
      <w:r>
        <w:rPr>
          <w:rFonts w:hint="eastAsia" w:ascii="宋体" w:hAnsi="宋体"/>
          <w:szCs w:val="21"/>
        </w:rPr>
        <w:t>；</w:t>
      </w:r>
    </w:p>
    <w:p w14:paraId="48F8FEE3">
      <w:pPr>
        <w:spacing w:line="360" w:lineRule="auto"/>
        <w:ind w:firstLine="420" w:firstLineChars="200"/>
        <w:jc w:val="left"/>
        <w:rPr>
          <w:rFonts w:ascii="宋体" w:hAnsi="宋体"/>
          <w:szCs w:val="21"/>
          <w:u w:val="single"/>
        </w:rPr>
      </w:pPr>
      <w:r>
        <w:rPr>
          <w:rFonts w:hint="eastAsia" w:ascii="宋体" w:hAnsi="宋体"/>
          <w:szCs w:val="21"/>
        </w:rPr>
        <w:t>（4）</w:t>
      </w:r>
      <w:r>
        <w:rPr>
          <w:rFonts w:hint="eastAsia" w:ascii="宋体" w:hAnsi="宋体"/>
          <w:szCs w:val="21"/>
          <w:u w:val="single"/>
        </w:rPr>
        <w:t>如果承包人未事前将拟实施的方案提交给发包人确认，则应视为工程变更不引起措施项目费的调整或承包人放弃调整措施项目费的权利</w:t>
      </w:r>
      <w:r>
        <w:rPr>
          <w:rFonts w:hint="eastAsia" w:ascii="宋体" w:hAnsi="宋体"/>
          <w:szCs w:val="21"/>
        </w:rPr>
        <w:t>。</w:t>
      </w:r>
    </w:p>
    <w:bookmarkEnd w:id="951"/>
    <w:p w14:paraId="67D8B5CB">
      <w:pPr>
        <w:pStyle w:val="7"/>
        <w:spacing w:before="0" w:beforeAutospacing="0" w:after="0" w:afterAutospacing="0" w:line="360" w:lineRule="auto"/>
        <w:ind w:firstLine="422" w:firstLineChars="200"/>
        <w:rPr>
          <w:sz w:val="21"/>
          <w:szCs w:val="21"/>
        </w:rPr>
      </w:pPr>
      <w:bookmarkStart w:id="955" w:name="_Toc532375639"/>
      <w:bookmarkStart w:id="956" w:name="_Toc532377375"/>
      <w:r>
        <w:rPr>
          <w:rFonts w:hint="eastAsia"/>
          <w:sz w:val="21"/>
          <w:szCs w:val="21"/>
        </w:rPr>
        <w:t>1</w:t>
      </w:r>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Start w:id="957" w:name="_Toc292559907"/>
      <w:bookmarkStart w:id="958" w:name="_Toc296503197"/>
      <w:bookmarkStart w:id="959" w:name="_Toc297123544"/>
      <w:bookmarkStart w:id="960" w:name="_Toc296346698"/>
      <w:bookmarkStart w:id="961" w:name="_Toc296944536"/>
      <w:bookmarkStart w:id="962" w:name="_Toc296891025"/>
      <w:bookmarkStart w:id="963" w:name="_Toc297048383"/>
      <w:bookmarkStart w:id="964" w:name="_Toc297120497"/>
      <w:bookmarkStart w:id="965" w:name="_Toc297216203"/>
      <w:bookmarkStart w:id="966" w:name="_Toc296347196"/>
      <w:bookmarkStart w:id="967" w:name="_Toc303539150"/>
      <w:bookmarkStart w:id="968" w:name="_Toc300934993"/>
      <w:bookmarkStart w:id="969" w:name="_Toc292559402"/>
      <w:bookmarkStart w:id="970" w:name="_Toc296891237"/>
      <w:bookmarkStart w:id="971" w:name="_Toc312677503"/>
      <w:bookmarkStart w:id="972" w:name="_Toc312678029"/>
      <w:bookmarkStart w:id="973" w:name="_Toc304295570"/>
      <w:r>
        <w:rPr>
          <w:rFonts w:hint="eastAsia"/>
          <w:sz w:val="21"/>
          <w:szCs w:val="21"/>
        </w:rPr>
        <w:t>0.5承</w:t>
      </w:r>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Start w:id="974" w:name="_Toc292559408"/>
      <w:bookmarkStart w:id="975" w:name="_Toc303539151"/>
      <w:bookmarkStart w:id="976" w:name="_Toc297123545"/>
      <w:bookmarkStart w:id="977" w:name="_Toc297216204"/>
      <w:bookmarkStart w:id="978" w:name="_Toc296944542"/>
      <w:bookmarkStart w:id="979" w:name="_Toc296891243"/>
      <w:bookmarkStart w:id="980" w:name="_Toc296347202"/>
      <w:bookmarkStart w:id="981" w:name="_Toc296346704"/>
      <w:bookmarkStart w:id="982" w:name="_Toc292559913"/>
      <w:bookmarkStart w:id="983" w:name="_Toc297120503"/>
      <w:bookmarkStart w:id="984" w:name="_Toc297048389"/>
      <w:bookmarkStart w:id="985" w:name="_Toc296503203"/>
      <w:bookmarkStart w:id="986" w:name="_Toc296891031"/>
      <w:bookmarkStart w:id="987" w:name="_Toc300934994"/>
      <w:r>
        <w:rPr>
          <w:rFonts w:hint="eastAsia"/>
          <w:sz w:val="21"/>
          <w:szCs w:val="21"/>
        </w:rPr>
        <w:t>包人的合理化建议</w:t>
      </w:r>
      <w:bookmarkEnd w:id="955"/>
      <w:bookmarkEnd w:id="956"/>
    </w:p>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p w14:paraId="36537775">
      <w:pPr>
        <w:spacing w:line="360" w:lineRule="auto"/>
        <w:ind w:firstLine="420" w:firstLineChars="200"/>
        <w:jc w:val="left"/>
        <w:rPr>
          <w:rFonts w:ascii="宋体" w:hAnsi="宋体"/>
          <w:szCs w:val="21"/>
        </w:rPr>
      </w:pPr>
      <w:r>
        <w:rPr>
          <w:rFonts w:hint="eastAsia" w:ascii="宋体" w:hAnsi="宋体"/>
          <w:szCs w:val="21"/>
        </w:rPr>
        <w:t>承包人提出合理化建议的，应向监理人提交合理化建议说明，说明建议的内容和理由，以及实施该建议对合同价格和（或）工期和（或）工程经济效益的影响。</w:t>
      </w:r>
    </w:p>
    <w:p w14:paraId="07C68180">
      <w:pPr>
        <w:spacing w:line="360" w:lineRule="auto"/>
        <w:ind w:firstLine="420" w:firstLineChars="200"/>
        <w:jc w:val="left"/>
        <w:rPr>
          <w:rFonts w:ascii="宋体" w:hAnsi="宋体"/>
          <w:szCs w:val="21"/>
        </w:rPr>
      </w:pPr>
      <w:r>
        <w:rPr>
          <w:rFonts w:hint="eastAsia" w:ascii="宋体" w:hAnsi="宋体"/>
          <w:szCs w:val="21"/>
        </w:rPr>
        <w:t>监理人审查承包人合理化建议的期限：</w:t>
      </w:r>
      <w:r>
        <w:rPr>
          <w:rFonts w:hint="eastAsia" w:ascii="宋体" w:hAnsi="宋体"/>
          <w:szCs w:val="21"/>
          <w:u w:val="single"/>
        </w:rPr>
        <w:t>不超过14天</w:t>
      </w:r>
      <w:r>
        <w:rPr>
          <w:rFonts w:hint="eastAsia" w:ascii="宋体" w:hAnsi="宋体"/>
          <w:szCs w:val="21"/>
        </w:rPr>
        <w:t>。</w:t>
      </w:r>
    </w:p>
    <w:p w14:paraId="63BEC89F">
      <w:pPr>
        <w:spacing w:line="360" w:lineRule="auto"/>
        <w:ind w:firstLine="420" w:firstLineChars="200"/>
        <w:jc w:val="left"/>
        <w:rPr>
          <w:rFonts w:ascii="宋体" w:hAnsi="宋体"/>
          <w:szCs w:val="21"/>
        </w:rPr>
      </w:pPr>
      <w:r>
        <w:rPr>
          <w:rFonts w:hint="eastAsia" w:ascii="宋体" w:hAnsi="宋体"/>
          <w:szCs w:val="21"/>
        </w:rPr>
        <w:t>发包人审批承包人合理化建议的期限：</w:t>
      </w:r>
      <w:r>
        <w:rPr>
          <w:rFonts w:hint="eastAsia" w:ascii="宋体" w:hAnsi="宋体"/>
          <w:szCs w:val="21"/>
          <w:u w:val="single"/>
        </w:rPr>
        <w:t>不超过14天</w:t>
      </w:r>
      <w:r>
        <w:rPr>
          <w:rFonts w:hint="eastAsia" w:ascii="宋体" w:hAnsi="宋体"/>
          <w:szCs w:val="21"/>
        </w:rPr>
        <w:t>。</w:t>
      </w:r>
    </w:p>
    <w:p w14:paraId="7FA2B542">
      <w:pPr>
        <w:spacing w:line="360" w:lineRule="auto"/>
        <w:ind w:firstLine="420" w:firstLineChars="200"/>
        <w:jc w:val="left"/>
        <w:rPr>
          <w:rFonts w:ascii="宋体" w:hAnsi="宋体"/>
          <w:szCs w:val="21"/>
          <w:u w:val="single"/>
        </w:rPr>
      </w:pPr>
      <w:r>
        <w:rPr>
          <w:rFonts w:hint="eastAsia" w:ascii="宋体" w:hAnsi="宋体"/>
          <w:szCs w:val="21"/>
        </w:rPr>
        <w:t>承</w:t>
      </w:r>
      <w:bookmarkStart w:id="988" w:name="_Toc304295571"/>
      <w:bookmarkStart w:id="989" w:name="_Toc296944543"/>
      <w:bookmarkStart w:id="990" w:name="_Toc296891244"/>
      <w:bookmarkStart w:id="991" w:name="_Toc297123546"/>
      <w:bookmarkStart w:id="992" w:name="_Toc303539152"/>
      <w:bookmarkStart w:id="993" w:name="_Toc318581175"/>
      <w:bookmarkStart w:id="994" w:name="_Toc292559914"/>
      <w:bookmarkStart w:id="995" w:name="_Toc292559409"/>
      <w:bookmarkStart w:id="996" w:name="_Toc296503204"/>
      <w:bookmarkStart w:id="997" w:name="_Toc297120504"/>
      <w:bookmarkStart w:id="998" w:name="_Toc297048390"/>
      <w:bookmarkStart w:id="999" w:name="_Toc312677504"/>
      <w:bookmarkStart w:id="1000" w:name="_Toc296891032"/>
      <w:bookmarkStart w:id="1001" w:name="_Toc296347203"/>
      <w:bookmarkStart w:id="1002" w:name="_Toc297216205"/>
      <w:bookmarkStart w:id="1003" w:name="_Toc312678030"/>
      <w:bookmarkStart w:id="1004" w:name="_Toc300934995"/>
      <w:bookmarkStart w:id="1005" w:name="_Toc296346705"/>
      <w:r>
        <w:rPr>
          <w:rFonts w:hint="eastAsia" w:ascii="宋体" w:hAnsi="宋体"/>
          <w:szCs w:val="21"/>
        </w:rPr>
        <w:t>包人提出的合理化建议降低了合同价格或缩短了工期或者提高了工程经济效益的奖励的方法和金额为：</w:t>
      </w:r>
      <w:r>
        <w:rPr>
          <w:rFonts w:hint="eastAsia" w:ascii="宋体" w:hAnsi="宋体"/>
          <w:szCs w:val="21"/>
          <w:u w:val="single"/>
        </w:rPr>
        <w:t>合理化建议带来经济效益的5～10 %</w:t>
      </w:r>
      <w:r>
        <w:rPr>
          <w:rFonts w:hint="eastAsia" w:ascii="宋体" w:hAnsi="宋体"/>
          <w:szCs w:val="21"/>
        </w:rPr>
        <w:t>。</w:t>
      </w:r>
    </w:p>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p w14:paraId="5F67422C">
      <w:pPr>
        <w:pStyle w:val="7"/>
        <w:spacing w:before="0" w:beforeAutospacing="0" w:after="0" w:afterAutospacing="0" w:line="360" w:lineRule="auto"/>
        <w:ind w:firstLine="422" w:firstLineChars="200"/>
        <w:rPr>
          <w:sz w:val="21"/>
          <w:szCs w:val="21"/>
        </w:rPr>
      </w:pPr>
      <w:bookmarkStart w:id="1006" w:name="_Toc532377376"/>
      <w:bookmarkStart w:id="1007" w:name="_Toc532375640"/>
      <w:r>
        <w:rPr>
          <w:rFonts w:hint="eastAsia"/>
          <w:sz w:val="21"/>
          <w:szCs w:val="21"/>
        </w:rPr>
        <w:t>1</w:t>
      </w:r>
      <w:bookmarkStart w:id="1008" w:name="_Toc296891239"/>
      <w:bookmarkStart w:id="1009" w:name="_Toc297120499"/>
      <w:bookmarkStart w:id="1010" w:name="_Toc296944538"/>
      <w:bookmarkStart w:id="1011" w:name="_Toc312678033"/>
      <w:bookmarkStart w:id="1012" w:name="_Toc297123548"/>
      <w:bookmarkStart w:id="1013" w:name="_Toc304295574"/>
      <w:bookmarkStart w:id="1014" w:name="_Toc296503199"/>
      <w:bookmarkStart w:id="1015" w:name="_Toc300934997"/>
      <w:bookmarkStart w:id="1016" w:name="_Toc296347198"/>
      <w:bookmarkStart w:id="1017" w:name="_Toc297048385"/>
      <w:bookmarkStart w:id="1018" w:name="_Toc303539154"/>
      <w:bookmarkStart w:id="1019" w:name="_Toc296346700"/>
      <w:bookmarkStart w:id="1020" w:name="_Toc292559909"/>
      <w:bookmarkStart w:id="1021" w:name="_Toc296891027"/>
      <w:bookmarkStart w:id="1022" w:name="_Toc312677507"/>
      <w:bookmarkStart w:id="1023" w:name="_Toc292559404"/>
      <w:bookmarkStart w:id="1024" w:name="_Toc297216207"/>
      <w:r>
        <w:rPr>
          <w:rFonts w:hint="eastAsia"/>
          <w:sz w:val="21"/>
          <w:szCs w:val="21"/>
        </w:rPr>
        <w:t>0.7 暂估价</w:t>
      </w:r>
      <w:bookmarkEnd w:id="1006"/>
      <w:bookmarkEnd w:id="1007"/>
    </w:p>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p w14:paraId="75A6E0AE">
      <w:pPr>
        <w:spacing w:line="360" w:lineRule="auto"/>
        <w:ind w:firstLine="420" w:firstLineChars="200"/>
        <w:jc w:val="left"/>
        <w:rPr>
          <w:rFonts w:ascii="宋体" w:hAnsi="宋体"/>
          <w:szCs w:val="21"/>
        </w:rPr>
      </w:pPr>
      <w:r>
        <w:rPr>
          <w:rFonts w:hint="eastAsia" w:ascii="宋体" w:hAnsi="宋体"/>
          <w:szCs w:val="21"/>
        </w:rPr>
        <w:t>专业工程暂估价：</w:t>
      </w:r>
      <w:r>
        <w:rPr>
          <w:rFonts w:hint="eastAsia" w:ascii="宋体" w:hAnsi="宋体"/>
          <w:szCs w:val="21"/>
          <w:u w:val="single"/>
        </w:rPr>
        <w:t xml:space="preserve">        </w:t>
      </w:r>
      <w:r>
        <w:rPr>
          <w:rFonts w:hint="eastAsia" w:ascii="宋体" w:hAnsi="宋体"/>
          <w:szCs w:val="21"/>
        </w:rPr>
        <w:t>万元。</w:t>
      </w:r>
    </w:p>
    <w:p w14:paraId="6ECFD534">
      <w:pPr>
        <w:spacing w:line="360" w:lineRule="auto"/>
        <w:ind w:firstLine="420" w:firstLineChars="200"/>
        <w:jc w:val="left"/>
        <w:rPr>
          <w:rFonts w:ascii="宋体" w:hAnsi="宋体"/>
          <w:szCs w:val="21"/>
        </w:rPr>
      </w:pPr>
      <w:r>
        <w:rPr>
          <w:rFonts w:hint="eastAsia" w:ascii="宋体" w:hAnsi="宋体"/>
          <w:szCs w:val="21"/>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10.4.1项〔变更估价原则〕执行，承包人申报，经监理人、跟审单位、发包人共同审定。审定后根据承包人签订的相关合同（需经监理人、跟审单位、发包人共同确认）约定，由承包人申报，随进度款按与相关单位签订的合同约定一并支付。</w:t>
      </w:r>
    </w:p>
    <w:p w14:paraId="082BCEDE">
      <w:pPr>
        <w:spacing w:line="360" w:lineRule="auto"/>
        <w:ind w:firstLine="420" w:firstLineChars="200"/>
        <w:jc w:val="left"/>
        <w:rPr>
          <w:rFonts w:ascii="宋体" w:hAnsi="宋体"/>
          <w:szCs w:val="21"/>
          <w:u w:val="single"/>
        </w:rPr>
      </w:pPr>
      <w:r>
        <w:rPr>
          <w:rFonts w:hint="eastAsia" w:ascii="宋体" w:hAnsi="宋体"/>
          <w:szCs w:val="21"/>
        </w:rPr>
        <w:t>单项合同暂估价在国家相关法律法规规定必须招标规模以上的，需依法必须招标的，由承包人、发包人共同招标确定。</w:t>
      </w:r>
    </w:p>
    <w:p w14:paraId="216040F4">
      <w:pPr>
        <w:pStyle w:val="7"/>
        <w:spacing w:before="0" w:beforeAutospacing="0" w:after="0" w:afterAutospacing="0" w:line="360" w:lineRule="auto"/>
        <w:ind w:firstLine="422" w:firstLineChars="200"/>
        <w:rPr>
          <w:sz w:val="21"/>
          <w:szCs w:val="21"/>
        </w:rPr>
      </w:pPr>
      <w:bookmarkStart w:id="1025" w:name="_Toc532377377"/>
      <w:bookmarkStart w:id="1026" w:name="_Toc532375641"/>
      <w:r>
        <w:rPr>
          <w:rFonts w:hint="eastAsia"/>
          <w:sz w:val="21"/>
          <w:szCs w:val="21"/>
        </w:rPr>
        <w:t>10.8 暂列金额</w:t>
      </w:r>
      <w:bookmarkEnd w:id="1025"/>
      <w:bookmarkEnd w:id="1026"/>
    </w:p>
    <w:p w14:paraId="4B21974B">
      <w:pPr>
        <w:autoSpaceDE w:val="0"/>
        <w:autoSpaceDN w:val="0"/>
        <w:spacing w:line="360" w:lineRule="auto"/>
        <w:ind w:firstLine="420" w:firstLineChars="200"/>
        <w:jc w:val="left"/>
        <w:rPr>
          <w:rFonts w:ascii="宋体" w:hAnsi="宋体"/>
          <w:szCs w:val="21"/>
        </w:rPr>
      </w:pPr>
      <w:r>
        <w:rPr>
          <w:rFonts w:hint="eastAsia" w:ascii="宋体" w:hAnsi="宋体"/>
          <w:szCs w:val="21"/>
        </w:rPr>
        <w:t>合同当事人关于暂列金额使用的约定：</w:t>
      </w:r>
      <w:r>
        <w:rPr>
          <w:rFonts w:hint="eastAsia" w:ascii="宋体" w:hAnsi="宋体"/>
          <w:szCs w:val="21"/>
          <w:u w:val="single"/>
        </w:rPr>
        <w:t xml:space="preserve">        </w:t>
      </w:r>
      <w:r>
        <w:rPr>
          <w:rFonts w:hint="eastAsia" w:ascii="宋体" w:hAnsi="宋体"/>
          <w:szCs w:val="21"/>
        </w:rPr>
        <w:t>。</w:t>
      </w:r>
    </w:p>
    <w:p w14:paraId="0B341DCB">
      <w:pPr>
        <w:pStyle w:val="6"/>
        <w:keepNext/>
        <w:keepLines/>
        <w:spacing w:before="156" w:beforeLines="50" w:beforeAutospacing="0" w:after="156" w:afterLines="50" w:afterAutospacing="0" w:line="360" w:lineRule="auto"/>
        <w:jc w:val="both"/>
        <w:rPr>
          <w:bCs w:val="0"/>
          <w:kern w:val="2"/>
          <w:sz w:val="21"/>
          <w:szCs w:val="21"/>
        </w:rPr>
      </w:pPr>
      <w:bookmarkStart w:id="1027" w:name="_Toc532377378"/>
      <w:bookmarkStart w:id="1028" w:name="_Toc532375642"/>
      <w:bookmarkStart w:id="1029" w:name="_Toc351203643"/>
      <w:r>
        <w:rPr>
          <w:rFonts w:hint="eastAsia"/>
          <w:kern w:val="2"/>
          <w:sz w:val="21"/>
          <w:szCs w:val="21"/>
        </w:rPr>
        <w:t>11. 价格调整</w:t>
      </w:r>
      <w:bookmarkEnd w:id="1027"/>
      <w:bookmarkEnd w:id="1028"/>
      <w:bookmarkEnd w:id="1029"/>
    </w:p>
    <w:p w14:paraId="20032B27">
      <w:pPr>
        <w:pStyle w:val="7"/>
        <w:spacing w:before="0" w:beforeAutospacing="0" w:after="0" w:afterAutospacing="0" w:line="360" w:lineRule="auto"/>
        <w:ind w:firstLine="422" w:firstLineChars="200"/>
        <w:rPr>
          <w:sz w:val="21"/>
          <w:szCs w:val="21"/>
        </w:rPr>
      </w:pPr>
      <w:bookmarkStart w:id="1030" w:name="_Toc532377379"/>
      <w:bookmarkStart w:id="1031" w:name="_Toc532375643"/>
      <w:bookmarkStart w:id="1032" w:name="_Toc297120501"/>
      <w:bookmarkStart w:id="1033" w:name="_Toc297123550"/>
      <w:bookmarkStart w:id="1034" w:name="_Toc303539157"/>
      <w:bookmarkStart w:id="1035" w:name="_Toc296891241"/>
      <w:bookmarkStart w:id="1036" w:name="_Toc296347200"/>
      <w:bookmarkStart w:id="1037" w:name="_Toc292559911"/>
      <w:bookmarkStart w:id="1038" w:name="_Toc296503201"/>
      <w:bookmarkStart w:id="1039" w:name="_Toc297048387"/>
      <w:bookmarkStart w:id="1040" w:name="_Toc296346702"/>
      <w:bookmarkStart w:id="1041" w:name="_Toc304295577"/>
      <w:bookmarkStart w:id="1042" w:name="_Toc300935000"/>
      <w:bookmarkStart w:id="1043" w:name="_Toc312678039"/>
      <w:bookmarkStart w:id="1044" w:name="_Toc296891029"/>
      <w:bookmarkStart w:id="1045" w:name="_Toc296944540"/>
      <w:bookmarkStart w:id="1046" w:name="_Toc297216209"/>
      <w:bookmarkStart w:id="1047" w:name="_Toc292559406"/>
      <w:r>
        <w:rPr>
          <w:rFonts w:hint="eastAsia"/>
          <w:sz w:val="21"/>
          <w:szCs w:val="21"/>
        </w:rPr>
        <w:t>11.1 市场价格波动引起的调整</w:t>
      </w:r>
      <w:bookmarkEnd w:id="1030"/>
      <w:bookmarkEnd w:id="1031"/>
    </w:p>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14:paraId="41CAC414">
      <w:pPr>
        <w:spacing w:line="360" w:lineRule="auto"/>
        <w:ind w:firstLine="420" w:firstLineChars="200"/>
        <w:jc w:val="left"/>
        <w:rPr>
          <w:rFonts w:ascii="宋体" w:hAnsi="宋体"/>
          <w:szCs w:val="21"/>
        </w:rPr>
      </w:pPr>
      <w:bookmarkStart w:id="1048" w:name="_Toc466911545"/>
      <w:bookmarkStart w:id="1049" w:name="_Toc467689641"/>
      <w:bookmarkStart w:id="1050" w:name="_Toc466913513"/>
      <w:bookmarkStart w:id="1051" w:name="_Toc466913963"/>
      <w:r>
        <w:rPr>
          <w:rFonts w:hint="eastAsia" w:ascii="宋体" w:hAnsi="宋体"/>
          <w:szCs w:val="21"/>
        </w:rPr>
        <w:t>市场价格波动是否调整合同价格的约定：</w:t>
      </w:r>
      <w:r>
        <w:rPr>
          <w:rFonts w:hint="eastAsia" w:ascii="宋体" w:hAnsi="宋体"/>
          <w:szCs w:val="21"/>
          <w:u w:val="single"/>
        </w:rPr>
        <w:t>合同工期一年以上（含一年），且市场价格波动幅度符合第11.1.1项〔人工费价差调整办法〕和（或）第11.1.2项〔材料费价差调整办法〕约定的，按第11.1.1项〔人工费价差调整办法〕和（或）第11.1.2项〔材料费价差调整办法〕约定调整合同价格；第11.1.1项〔人工费价差调整办法〕和（或）第11.1.2项〔材料费价差调整办法〕约定的调差条件之外的市场价格波动风险不调整合同价格，风险费用由承包人自行考虑后纳入签约合同价格中，包干使用</w:t>
      </w:r>
      <w:r>
        <w:rPr>
          <w:rFonts w:hint="eastAsia" w:ascii="宋体" w:hAnsi="宋体"/>
          <w:szCs w:val="21"/>
        </w:rPr>
        <w:t>。</w:t>
      </w:r>
    </w:p>
    <w:p w14:paraId="36EF2F3E">
      <w:pPr>
        <w:spacing w:line="360" w:lineRule="auto"/>
        <w:ind w:firstLine="420" w:firstLineChars="200"/>
        <w:jc w:val="left"/>
        <w:rPr>
          <w:rFonts w:ascii="宋体" w:hAnsi="宋体"/>
          <w:szCs w:val="21"/>
        </w:rPr>
      </w:pPr>
      <w:r>
        <w:rPr>
          <w:rFonts w:hint="eastAsia" w:ascii="宋体" w:hAnsi="宋体"/>
          <w:szCs w:val="21"/>
        </w:rPr>
        <w:t>因市场价格波动调整合同价格，采用以下</w:t>
      </w:r>
      <w:r>
        <w:rPr>
          <w:rFonts w:hint="eastAsia" w:ascii="宋体" w:hAnsi="宋体"/>
          <w:szCs w:val="21"/>
          <w:u w:val="single"/>
        </w:rPr>
        <w:t>第3种</w:t>
      </w:r>
      <w:r>
        <w:rPr>
          <w:rFonts w:hint="eastAsia" w:ascii="宋体" w:hAnsi="宋体"/>
          <w:szCs w:val="21"/>
        </w:rPr>
        <w:t>方式对合同价格进行调整：</w:t>
      </w:r>
    </w:p>
    <w:p w14:paraId="40ACD081">
      <w:pPr>
        <w:spacing w:line="360" w:lineRule="auto"/>
        <w:ind w:firstLine="420" w:firstLineChars="200"/>
        <w:jc w:val="left"/>
        <w:rPr>
          <w:rFonts w:ascii="宋体" w:hAnsi="宋体"/>
          <w:szCs w:val="21"/>
        </w:rPr>
      </w:pPr>
      <w:r>
        <w:rPr>
          <w:rFonts w:hint="eastAsia" w:ascii="宋体" w:hAnsi="宋体"/>
          <w:szCs w:val="21"/>
        </w:rPr>
        <w:t>第1种方式：采用价格指数进行价格调整。</w:t>
      </w:r>
    </w:p>
    <w:p w14:paraId="48514498">
      <w:pPr>
        <w:spacing w:line="360" w:lineRule="auto"/>
        <w:ind w:firstLine="420" w:firstLineChars="200"/>
        <w:jc w:val="left"/>
        <w:rPr>
          <w:rFonts w:ascii="宋体" w:hAnsi="宋体"/>
          <w:szCs w:val="21"/>
        </w:rPr>
      </w:pPr>
      <w:r>
        <w:rPr>
          <w:rFonts w:hint="eastAsia" w:ascii="宋体" w:hAnsi="宋体"/>
          <w:szCs w:val="21"/>
        </w:rPr>
        <w:t>关于各可调因子、定值和变值权重，以及基本价格指数及其来源的约定：</w:t>
      </w:r>
      <w:r>
        <w:rPr>
          <w:rFonts w:hint="eastAsia" w:ascii="宋体" w:hAnsi="宋体"/>
          <w:szCs w:val="21"/>
          <w:u w:val="single"/>
        </w:rPr>
        <w:t xml:space="preserve"> / </w:t>
      </w:r>
      <w:r>
        <w:rPr>
          <w:rFonts w:hint="eastAsia" w:ascii="宋体" w:hAnsi="宋体"/>
          <w:szCs w:val="21"/>
        </w:rPr>
        <w:t>；</w:t>
      </w:r>
    </w:p>
    <w:p w14:paraId="7ADAEF48">
      <w:pPr>
        <w:spacing w:line="360" w:lineRule="auto"/>
        <w:ind w:firstLine="420" w:firstLineChars="200"/>
        <w:jc w:val="left"/>
        <w:rPr>
          <w:rFonts w:ascii="宋体" w:hAnsi="宋体"/>
          <w:szCs w:val="21"/>
        </w:rPr>
      </w:pPr>
      <w:r>
        <w:rPr>
          <w:rFonts w:hint="eastAsia" w:ascii="宋体" w:hAnsi="宋体"/>
          <w:szCs w:val="21"/>
        </w:rPr>
        <w:t>第2种方式：采用造价信息进行价格调整，调整方法如下：</w:t>
      </w:r>
    </w:p>
    <w:p w14:paraId="7DC6B47D">
      <w:pPr>
        <w:spacing w:line="360" w:lineRule="auto"/>
        <w:ind w:firstLine="420" w:firstLineChars="200"/>
        <w:jc w:val="left"/>
        <w:rPr>
          <w:rFonts w:ascii="宋体" w:hAnsi="宋体"/>
          <w:szCs w:val="21"/>
        </w:rPr>
      </w:pPr>
      <w:bookmarkStart w:id="1052" w:name="_Hlk524296901"/>
      <w:r>
        <w:rPr>
          <w:rFonts w:hint="eastAsia" w:ascii="宋体" w:hAnsi="宋体"/>
          <w:szCs w:val="21"/>
        </w:rPr>
        <w:t>11.1.1人工费价差调整办法</w:t>
      </w:r>
      <w:bookmarkEnd w:id="1048"/>
      <w:bookmarkEnd w:id="1049"/>
      <w:bookmarkEnd w:id="1050"/>
      <w:bookmarkEnd w:id="1051"/>
    </w:p>
    <w:p w14:paraId="6E0931E5">
      <w:pPr>
        <w:tabs>
          <w:tab w:val="left" w:pos="711"/>
          <w:tab w:val="left" w:pos="2580"/>
        </w:tabs>
        <w:spacing w:line="360" w:lineRule="auto"/>
        <w:ind w:firstLine="420" w:firstLineChars="200"/>
        <w:jc w:val="left"/>
        <w:textAlignment w:val="baseline"/>
        <w:rPr>
          <w:rFonts w:ascii="宋体" w:hAnsi="宋体"/>
          <w:szCs w:val="21"/>
        </w:rPr>
      </w:pPr>
      <w:bookmarkStart w:id="1053" w:name="_Toc466911548"/>
      <w:bookmarkStart w:id="1054" w:name="_Toc466913516"/>
      <w:bookmarkStart w:id="1055" w:name="_Toc466913966"/>
      <w:bookmarkStart w:id="1056" w:name="_Toc467689644"/>
      <w:r>
        <w:rPr>
          <w:rFonts w:hint="eastAsia" w:ascii="宋体" w:hAnsi="宋体"/>
          <w:szCs w:val="21"/>
        </w:rPr>
        <w:t>（1）自实际开工时间起至合同约定的工期结束时间止，期间《重庆工程造价》发布人工单价的算术平均值较开标当期《重庆工程造价》发布的人工单价变化超过</w:t>
      </w:r>
      <w:r>
        <w:rPr>
          <w:rFonts w:hint="eastAsia" w:ascii="宋体" w:hAnsi="宋体"/>
          <w:szCs w:val="21"/>
          <w:u w:val="single"/>
        </w:rPr>
        <w:t>±5%</w:t>
      </w:r>
      <w:r>
        <w:rPr>
          <w:rFonts w:hint="eastAsia" w:ascii="宋体" w:hAnsi="宋体"/>
          <w:szCs w:val="21"/>
        </w:rPr>
        <w:t>时，按以下约定调整：</w:t>
      </w:r>
    </w:p>
    <w:p w14:paraId="23EA0307">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①已标价工程量清单中载明人工单价不高于开标当期《重庆工程造价》发布的人工单价的：按期间《重庆工程造价信息》发布人工单价的算术平均值减去开标当期《重庆工程造价》发布的人工单价乘以</w:t>
      </w:r>
      <w:r>
        <w:rPr>
          <w:rFonts w:hint="eastAsia" w:ascii="宋体" w:hAnsi="宋体"/>
          <w:szCs w:val="21"/>
          <w:u w:val="single"/>
        </w:rPr>
        <w:t>（1±5%）</w:t>
      </w:r>
      <w:r>
        <w:rPr>
          <w:rFonts w:hint="eastAsia" w:ascii="宋体" w:hAnsi="宋体"/>
          <w:szCs w:val="21"/>
        </w:rPr>
        <w:t>调差。</w:t>
      </w:r>
    </w:p>
    <w:p w14:paraId="4122BCD5">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②已标价工程量清单中载明人工单价高于开标当期《重庆工程造价》发布的人工单价的，按期间《重庆工程造价》发布人工单价的算术平均值减去已标价工程量清单中载明人工单价乘以</w:t>
      </w:r>
      <w:r>
        <w:rPr>
          <w:rFonts w:hint="eastAsia" w:ascii="宋体" w:hAnsi="宋体"/>
          <w:szCs w:val="21"/>
          <w:u w:val="single"/>
        </w:rPr>
        <w:t>（1±5%）</w:t>
      </w:r>
      <w:r>
        <w:rPr>
          <w:rFonts w:hint="eastAsia" w:ascii="宋体" w:hAnsi="宋体"/>
          <w:szCs w:val="21"/>
        </w:rPr>
        <w:t>调差。</w:t>
      </w:r>
    </w:p>
    <w:p w14:paraId="760B0A6E">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2）工程量按照第12.3.1项〔计量原则〕约定计算，单位工程的人工消耗量按承包人投标报价的消耗量执行（承包人投标报价的单位工程人工消耗量高于定额单位工程人工消耗量的，按定额单位工程的人工消耗量执行）。</w:t>
      </w:r>
    </w:p>
    <w:p w14:paraId="2B65F312">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（3）</w:t>
      </w:r>
      <w:r>
        <w:rPr>
          <w:rFonts w:hint="eastAsia" w:ascii="宋体" w:hAnsi="宋体"/>
          <w:szCs w:val="21"/>
          <w:u w:val="single"/>
        </w:rPr>
        <w:t xml:space="preserve">        </w:t>
      </w:r>
      <w:r>
        <w:rPr>
          <w:rFonts w:hint="eastAsia" w:ascii="宋体" w:hAnsi="宋体"/>
          <w:szCs w:val="21"/>
        </w:rPr>
        <w:t>。</w:t>
      </w:r>
    </w:p>
    <w:bookmarkEnd w:id="1052"/>
    <w:p w14:paraId="138A3BA6">
      <w:pPr>
        <w:spacing w:line="360" w:lineRule="auto"/>
        <w:ind w:firstLine="420" w:firstLineChars="200"/>
        <w:jc w:val="left"/>
        <w:rPr>
          <w:rFonts w:ascii="宋体" w:hAnsi="宋体"/>
          <w:szCs w:val="21"/>
        </w:rPr>
      </w:pPr>
      <w:bookmarkStart w:id="1057" w:name="_Hlk524297138"/>
      <w:r>
        <w:rPr>
          <w:rFonts w:hint="eastAsia" w:ascii="宋体" w:hAnsi="宋体"/>
          <w:szCs w:val="21"/>
        </w:rPr>
        <w:t>11.1.2 材料费价差调整</w:t>
      </w:r>
      <w:bookmarkEnd w:id="1053"/>
      <w:bookmarkEnd w:id="1054"/>
      <w:bookmarkEnd w:id="1055"/>
      <w:bookmarkEnd w:id="1056"/>
      <w:r>
        <w:rPr>
          <w:rFonts w:hint="eastAsia" w:ascii="宋体" w:hAnsi="宋体"/>
          <w:szCs w:val="21"/>
        </w:rPr>
        <w:t>办法</w:t>
      </w:r>
    </w:p>
    <w:p w14:paraId="2586126E">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可调价差材料：</w:t>
      </w:r>
      <w:r>
        <w:rPr>
          <w:rFonts w:hint="eastAsia" w:ascii="宋体" w:hAnsi="宋体"/>
          <w:szCs w:val="21"/>
          <w:u w:val="single"/>
        </w:rPr>
        <w:t>水泥、商品砼、碎石、砂、钢筋、型钢、条石、片石、预应力钢绞线、沥青混凝土、水泥稳定碎石拌和料、预拌商品砂浆、砌筑材料等主要材料（可按工程使用的具体材料确定）</w:t>
      </w:r>
      <w:r>
        <w:rPr>
          <w:rFonts w:hint="eastAsia" w:ascii="宋体" w:hAnsi="宋体"/>
          <w:szCs w:val="21"/>
        </w:rPr>
        <w:t>。</w:t>
      </w:r>
    </w:p>
    <w:p w14:paraId="28D99F7C">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可调价差材料的价差调整办法如下：</w:t>
      </w:r>
    </w:p>
    <w:bookmarkEnd w:id="910"/>
    <w:bookmarkEnd w:id="911"/>
    <w:bookmarkEnd w:id="912"/>
    <w:bookmarkEnd w:id="913"/>
    <w:bookmarkEnd w:id="914"/>
    <w:bookmarkEnd w:id="915"/>
    <w:p w14:paraId="70EFCED5">
      <w:pPr>
        <w:tabs>
          <w:tab w:val="left" w:pos="711"/>
          <w:tab w:val="left" w:pos="2580"/>
        </w:tabs>
        <w:spacing w:line="360" w:lineRule="auto"/>
        <w:ind w:firstLine="420" w:firstLineChars="200"/>
        <w:jc w:val="left"/>
        <w:textAlignment w:val="baseline"/>
        <w:rPr>
          <w:rFonts w:ascii="宋体" w:hAnsi="宋体"/>
          <w:szCs w:val="21"/>
        </w:rPr>
      </w:pPr>
      <w:bookmarkStart w:id="1058" w:name="_Toc297048391"/>
      <w:bookmarkStart w:id="1059" w:name="_Toc296944544"/>
      <w:bookmarkStart w:id="1060" w:name="_Toc292559915"/>
      <w:bookmarkStart w:id="1061" w:name="_Toc296347204"/>
      <w:bookmarkStart w:id="1062" w:name="_Toc296503205"/>
      <w:bookmarkStart w:id="1063" w:name="_Toc296891245"/>
      <w:bookmarkStart w:id="1064" w:name="_Toc296891033"/>
      <w:bookmarkStart w:id="1065" w:name="_Toc297120505"/>
      <w:bookmarkStart w:id="1066" w:name="_Toc292559410"/>
      <w:bookmarkStart w:id="1067" w:name="_Toc296346706"/>
      <w:bookmarkStart w:id="1068" w:name="_Toc351203644"/>
      <w:bookmarkStart w:id="1069" w:name="_Toc300935002"/>
      <w:bookmarkStart w:id="1070" w:name="_Toc304295579"/>
      <w:bookmarkStart w:id="1071" w:name="_Toc297123552"/>
      <w:bookmarkStart w:id="1072" w:name="_Toc303539159"/>
      <w:bookmarkStart w:id="1073" w:name="_Toc297216211"/>
      <w:bookmarkStart w:id="1074" w:name="_Toc312678040"/>
      <w:r>
        <w:rPr>
          <w:rFonts w:hint="eastAsia" w:ascii="宋体" w:hAnsi="宋体"/>
          <w:szCs w:val="21"/>
        </w:rPr>
        <w:t>（1）自实际开工时间起至合同约定的工期结束时间止，期间《重庆工程造价》发布的信息价的算术平均值较开标当期《重庆工程造价》发布的信息价变化超过</w:t>
      </w:r>
      <w:r>
        <w:rPr>
          <w:rFonts w:hint="eastAsia" w:ascii="宋体" w:hAnsi="宋体"/>
          <w:szCs w:val="21"/>
          <w:u w:val="single"/>
        </w:rPr>
        <w:t>±5%</w:t>
      </w:r>
      <w:r>
        <w:rPr>
          <w:rFonts w:hint="eastAsia" w:ascii="宋体" w:hAnsi="宋体"/>
          <w:szCs w:val="21"/>
        </w:rPr>
        <w:t>时，按以下约定调整：</w:t>
      </w:r>
    </w:p>
    <w:p w14:paraId="3A173790">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①已标价工程量清单中载明材料单价不高于开标当期《重庆工程造价》发布的信息价的按期间《重庆工程造价信息》发布信息价的算术平均值减去开标当期《重庆工程造价》发布的信息价乘以</w:t>
      </w:r>
      <w:r>
        <w:rPr>
          <w:rFonts w:hint="eastAsia" w:ascii="宋体" w:hAnsi="宋体"/>
          <w:szCs w:val="21"/>
          <w:u w:val="single"/>
        </w:rPr>
        <w:t>（1±5%）</w:t>
      </w:r>
      <w:r>
        <w:rPr>
          <w:rFonts w:hint="eastAsia" w:ascii="宋体" w:hAnsi="宋体"/>
          <w:szCs w:val="21"/>
        </w:rPr>
        <w:t>调差。</w:t>
      </w:r>
    </w:p>
    <w:p w14:paraId="1AA8A2CF">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②已标价工程量清单中载明材料单价高于开标当期《重庆工程造价》发布的信息价的，按期间《重庆工程造价信息》发布信息价的算术平均值减去已标价工程量清单中载明材料单价乘以</w:t>
      </w:r>
      <w:r>
        <w:rPr>
          <w:rFonts w:hint="eastAsia" w:ascii="宋体" w:hAnsi="宋体"/>
          <w:szCs w:val="21"/>
          <w:u w:val="single"/>
        </w:rPr>
        <w:t>（1±5%）</w:t>
      </w:r>
      <w:r>
        <w:rPr>
          <w:rFonts w:hint="eastAsia" w:ascii="宋体" w:hAnsi="宋体"/>
          <w:szCs w:val="21"/>
        </w:rPr>
        <w:t>调差。</w:t>
      </w:r>
    </w:p>
    <w:p w14:paraId="2872BEDE">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2）工程量按照第12.3.1项〔计量原则〕约定计算，单位工程的材料消耗量按承包人投标报价的消耗量执行（承包人投标报价的单位工程材料消耗量高于定额单位工程材料消耗量的，按定额单位工程的材料消耗量执行）。</w:t>
      </w:r>
    </w:p>
    <w:p w14:paraId="38F6E6AD">
      <w:pPr>
        <w:tabs>
          <w:tab w:val="left" w:pos="711"/>
          <w:tab w:val="left" w:pos="2580"/>
        </w:tabs>
        <w:spacing w:line="360" w:lineRule="auto"/>
        <w:ind w:firstLine="420" w:firstLineChars="200"/>
        <w:jc w:val="left"/>
        <w:textAlignment w:val="baseline"/>
        <w:rPr>
          <w:rFonts w:ascii="宋体" w:hAnsi="宋体"/>
          <w:szCs w:val="21"/>
        </w:rPr>
      </w:pPr>
      <w:r>
        <w:rPr>
          <w:rFonts w:hint="eastAsia" w:ascii="宋体" w:hAnsi="宋体"/>
          <w:szCs w:val="21"/>
        </w:rPr>
        <w:t>（3）</w:t>
      </w:r>
      <w:r>
        <w:rPr>
          <w:rFonts w:hint="eastAsia" w:ascii="宋体" w:hAnsi="宋体"/>
          <w:szCs w:val="21"/>
          <w:u w:val="single"/>
        </w:rPr>
        <w:t xml:space="preserve">        </w:t>
      </w:r>
      <w:r>
        <w:rPr>
          <w:rFonts w:hint="eastAsia" w:ascii="宋体" w:hAnsi="宋体"/>
          <w:szCs w:val="21"/>
        </w:rPr>
        <w:t>。</w:t>
      </w:r>
    </w:p>
    <w:bookmarkEnd w:id="1057"/>
    <w:p w14:paraId="4FD5556B">
      <w:pPr>
        <w:spacing w:line="360" w:lineRule="auto"/>
        <w:ind w:firstLine="420" w:firstLineChars="200"/>
        <w:jc w:val="left"/>
        <w:rPr>
          <w:rFonts w:ascii="宋体" w:hAnsi="宋体"/>
          <w:szCs w:val="21"/>
        </w:rPr>
      </w:pPr>
      <w:r>
        <w:rPr>
          <w:rFonts w:hint="eastAsia" w:ascii="宋体" w:hAnsi="宋体"/>
          <w:szCs w:val="21"/>
        </w:rPr>
        <w:t>第3种方式：其他价格调整方式：</w:t>
      </w:r>
      <w:r>
        <w:rPr>
          <w:rFonts w:hint="eastAsia" w:ascii="宋体" w:hAnsi="宋体"/>
          <w:szCs w:val="21"/>
          <w:u w:val="single"/>
        </w:rPr>
        <w:t xml:space="preserve"> 不调整  </w:t>
      </w:r>
      <w:r>
        <w:rPr>
          <w:rFonts w:hint="eastAsia" w:ascii="宋体" w:hAnsi="宋体"/>
          <w:szCs w:val="21"/>
        </w:rPr>
        <w:t>。</w:t>
      </w:r>
    </w:p>
    <w:p w14:paraId="5CAF8FBD">
      <w:pPr>
        <w:pStyle w:val="7"/>
        <w:spacing w:before="0" w:beforeAutospacing="0" w:after="0" w:afterAutospacing="0" w:line="360" w:lineRule="auto"/>
        <w:ind w:firstLine="422" w:firstLineChars="200"/>
        <w:rPr>
          <w:sz w:val="21"/>
          <w:szCs w:val="21"/>
        </w:rPr>
      </w:pPr>
      <w:bookmarkStart w:id="1075" w:name="_Toc532377380"/>
      <w:bookmarkStart w:id="1076" w:name="_Toc532375644"/>
      <w:bookmarkStart w:id="1077" w:name="_Hlk528928232"/>
      <w:r>
        <w:rPr>
          <w:rFonts w:hint="eastAsia"/>
          <w:sz w:val="21"/>
          <w:szCs w:val="21"/>
        </w:rPr>
        <w:t>11.2 法律变化引起的调整</w:t>
      </w:r>
      <w:bookmarkEnd w:id="1075"/>
      <w:bookmarkEnd w:id="1076"/>
    </w:p>
    <w:p w14:paraId="1175CC31">
      <w:pPr>
        <w:spacing w:line="360" w:lineRule="auto"/>
        <w:ind w:firstLine="420" w:firstLineChars="200"/>
        <w:jc w:val="left"/>
        <w:rPr>
          <w:rFonts w:ascii="宋体" w:hAnsi="宋体"/>
          <w:szCs w:val="21"/>
        </w:rPr>
      </w:pPr>
      <w:r>
        <w:rPr>
          <w:rFonts w:hint="eastAsia" w:ascii="宋体" w:hAnsi="宋体"/>
          <w:szCs w:val="21"/>
        </w:rPr>
        <w:t>项目投标基准日至竣工验收合格之日，国家或相关行政主管部门发布直接影响项目的新法规、新政策、新文件、新标准，属强制执行的，自执行之日执行，由此增减的费用由发包人承担，估价照第10.4.1项〔变更估价原则〕执行；属选择性执行的，发包人与承包人协商解决。</w:t>
      </w:r>
    </w:p>
    <w:p w14:paraId="19078575">
      <w:pPr>
        <w:spacing w:line="360" w:lineRule="auto"/>
        <w:ind w:firstLine="420" w:firstLineChars="200"/>
        <w:jc w:val="left"/>
        <w:rPr>
          <w:rFonts w:ascii="宋体" w:hAnsi="宋体"/>
          <w:szCs w:val="21"/>
        </w:rPr>
      </w:pPr>
      <w:r>
        <w:rPr>
          <w:rFonts w:hint="eastAsia" w:ascii="宋体" w:hAnsi="宋体"/>
          <w:szCs w:val="21"/>
        </w:rPr>
        <w:t>本条补充11.3款</w:t>
      </w:r>
    </w:p>
    <w:bookmarkEnd w:id="1077"/>
    <w:p w14:paraId="57D6E4F5">
      <w:pPr>
        <w:pStyle w:val="7"/>
        <w:spacing w:before="0" w:beforeAutospacing="0" w:after="0" w:afterAutospacing="0" w:line="360" w:lineRule="auto"/>
        <w:ind w:firstLine="422" w:firstLineChars="200"/>
        <w:rPr>
          <w:sz w:val="21"/>
          <w:szCs w:val="21"/>
        </w:rPr>
      </w:pPr>
      <w:bookmarkStart w:id="1078" w:name="_Toc532377381"/>
      <w:bookmarkStart w:id="1079" w:name="_Toc532375645"/>
      <w:r>
        <w:rPr>
          <w:rFonts w:hint="eastAsia"/>
          <w:sz w:val="21"/>
          <w:szCs w:val="21"/>
        </w:rPr>
        <w:t>11.3 严重不平衡报价引起的调整</w:t>
      </w:r>
      <w:bookmarkEnd w:id="1078"/>
      <w:bookmarkEnd w:id="1079"/>
    </w:p>
    <w:p w14:paraId="36914B58">
      <w:pPr>
        <w:spacing w:line="360" w:lineRule="auto"/>
        <w:ind w:firstLine="420" w:firstLineChars="200"/>
        <w:jc w:val="left"/>
        <w:rPr>
          <w:rFonts w:ascii="宋体" w:hAnsi="宋体"/>
          <w:szCs w:val="21"/>
          <w:u w:val="single"/>
        </w:rPr>
      </w:pPr>
      <w:r>
        <w:rPr>
          <w:rFonts w:hint="eastAsia" w:ascii="宋体" w:hAnsi="宋体"/>
          <w:szCs w:val="21"/>
          <w:u w:val="single"/>
        </w:rPr>
        <w:t>合同履行期间，当按第12.3.1项〔计量原则〕约定确认的完成工程量比已标价工程量清单载明工程量增加超过15%，且发包人发现承包人的已标价工程量清单相关清单子目中有严重不平衡报价的。超过已标价工程量清单载明工程量15%的部分，发包人将对严重不平衡报价的清单子目综合单价进行修正，并按修正综合单价办理竣工结算，修正综合单价按照第10.4.1项〔变更估价原则〕（3）目约定执行</w:t>
      </w:r>
      <w:r>
        <w:rPr>
          <w:rFonts w:hint="eastAsia" w:ascii="宋体" w:hAnsi="宋体"/>
          <w:szCs w:val="21"/>
        </w:rPr>
        <w:t>。</w:t>
      </w:r>
    </w:p>
    <w:p w14:paraId="2FC3A6B4">
      <w:pPr>
        <w:spacing w:line="360" w:lineRule="auto"/>
        <w:ind w:firstLine="420" w:firstLineChars="200"/>
        <w:jc w:val="left"/>
        <w:rPr>
          <w:rFonts w:ascii="宋体" w:hAnsi="宋体"/>
          <w:szCs w:val="21"/>
          <w:u w:val="single"/>
        </w:rPr>
      </w:pPr>
      <w:r>
        <w:rPr>
          <w:rFonts w:hint="eastAsia" w:ascii="宋体" w:hAnsi="宋体"/>
          <w:szCs w:val="21"/>
          <w:u w:val="single"/>
        </w:rPr>
        <w:t>严重不平衡报价是指：清单子目综合单价与发包人按照第10.4.1项〔变更估价原则〕（3）目约定确定的综合单价相比，高于50%（即严重不平衡报价清单子目综合单价 - 按照第10.4.1项〔变更估价原则〕（3）目约定确定的综合单价）/按照第10.4.1项〔变更估价原则〕（3）目约定确定的综合单价×100%</w:t>
      </w:r>
      <w:r>
        <w:rPr>
          <w:rFonts w:hint="eastAsia" w:ascii="宋体" w:hAnsi="宋体"/>
          <w:szCs w:val="21"/>
        </w:rPr>
        <w:t>。</w:t>
      </w:r>
    </w:p>
    <w:p w14:paraId="08349017">
      <w:pPr>
        <w:pStyle w:val="6"/>
        <w:keepNext/>
        <w:keepLines/>
        <w:spacing w:before="156" w:beforeLines="50" w:beforeAutospacing="0" w:after="156" w:afterLines="50" w:afterAutospacing="0" w:line="360" w:lineRule="auto"/>
        <w:jc w:val="both"/>
        <w:rPr>
          <w:bCs w:val="0"/>
          <w:kern w:val="2"/>
          <w:sz w:val="21"/>
          <w:szCs w:val="21"/>
        </w:rPr>
      </w:pPr>
      <w:bookmarkStart w:id="1080" w:name="_Toc532375646"/>
      <w:bookmarkStart w:id="1081" w:name="_Toc532377382"/>
      <w:r>
        <w:rPr>
          <w:rFonts w:hint="eastAsia"/>
          <w:kern w:val="2"/>
          <w:sz w:val="21"/>
          <w:szCs w:val="21"/>
        </w:rPr>
        <w:t xml:space="preserve">12. </w:t>
      </w:r>
      <w:bookmarkEnd w:id="1058"/>
      <w:bookmarkEnd w:id="1059"/>
      <w:bookmarkEnd w:id="1060"/>
      <w:bookmarkEnd w:id="1061"/>
      <w:bookmarkEnd w:id="1062"/>
      <w:bookmarkEnd w:id="1063"/>
      <w:bookmarkEnd w:id="1064"/>
      <w:bookmarkEnd w:id="1065"/>
      <w:bookmarkEnd w:id="1066"/>
      <w:bookmarkEnd w:id="1067"/>
      <w:r>
        <w:rPr>
          <w:rFonts w:hint="eastAsia"/>
          <w:kern w:val="2"/>
          <w:sz w:val="21"/>
          <w:szCs w:val="21"/>
        </w:rPr>
        <w:t>合同价格、计量与支付</w:t>
      </w:r>
      <w:bookmarkEnd w:id="1068"/>
      <w:bookmarkEnd w:id="1080"/>
      <w:bookmarkEnd w:id="1081"/>
    </w:p>
    <w:bookmarkEnd w:id="1069"/>
    <w:bookmarkEnd w:id="1070"/>
    <w:bookmarkEnd w:id="1071"/>
    <w:bookmarkEnd w:id="1072"/>
    <w:bookmarkEnd w:id="1073"/>
    <w:bookmarkEnd w:id="1074"/>
    <w:p w14:paraId="1E962E1C">
      <w:pPr>
        <w:pStyle w:val="7"/>
        <w:spacing w:before="0" w:beforeAutospacing="0" w:after="0" w:afterAutospacing="0" w:line="360" w:lineRule="auto"/>
        <w:ind w:firstLine="422" w:firstLineChars="200"/>
        <w:rPr>
          <w:sz w:val="21"/>
          <w:szCs w:val="21"/>
        </w:rPr>
      </w:pPr>
      <w:bookmarkStart w:id="1082" w:name="_Toc292559916"/>
      <w:bookmarkStart w:id="1083" w:name="_Toc267251461"/>
      <w:bookmarkStart w:id="1084" w:name="_Toc292559411"/>
      <w:bookmarkStart w:id="1085" w:name="_Toc297048392"/>
      <w:bookmarkStart w:id="1086" w:name="_Toc296347205"/>
      <w:bookmarkStart w:id="1087" w:name="_Toc296891246"/>
      <w:bookmarkStart w:id="1088" w:name="_Toc296891034"/>
      <w:bookmarkStart w:id="1089" w:name="_Toc296346707"/>
      <w:bookmarkStart w:id="1090" w:name="_Toc296944545"/>
      <w:bookmarkStart w:id="1091" w:name="_Toc297120506"/>
      <w:bookmarkStart w:id="1092" w:name="_Toc296503206"/>
      <w:bookmarkStart w:id="1093" w:name="_Toc532375647"/>
      <w:bookmarkStart w:id="1094" w:name="_Toc532377383"/>
      <w:bookmarkStart w:id="1095" w:name="_Toc297216212"/>
      <w:bookmarkStart w:id="1096" w:name="_Toc304295580"/>
      <w:bookmarkStart w:id="1097" w:name="_Toc312678041"/>
      <w:bookmarkStart w:id="1098" w:name="_Toc300935003"/>
      <w:bookmarkStart w:id="1099" w:name="_Toc303539160"/>
      <w:bookmarkStart w:id="1100" w:name="_Toc297123553"/>
      <w:r>
        <w:rPr>
          <w:rFonts w:hint="eastAsia"/>
          <w:sz w:val="21"/>
          <w:szCs w:val="21"/>
        </w:rPr>
        <w:t>12.1 合</w:t>
      </w:r>
      <w:bookmarkEnd w:id="1082"/>
      <w:bookmarkEnd w:id="1083"/>
      <w:bookmarkEnd w:id="1084"/>
      <w:r>
        <w:rPr>
          <w:rFonts w:hint="eastAsia"/>
          <w:sz w:val="21"/>
          <w:szCs w:val="21"/>
        </w:rPr>
        <w:t>同价</w:t>
      </w:r>
      <w:bookmarkEnd w:id="1085"/>
      <w:bookmarkEnd w:id="1086"/>
      <w:bookmarkEnd w:id="1087"/>
      <w:bookmarkEnd w:id="1088"/>
      <w:bookmarkEnd w:id="1089"/>
      <w:bookmarkEnd w:id="1090"/>
      <w:bookmarkEnd w:id="1091"/>
      <w:bookmarkEnd w:id="1092"/>
      <w:r>
        <w:rPr>
          <w:rFonts w:hint="eastAsia"/>
          <w:sz w:val="21"/>
          <w:szCs w:val="21"/>
        </w:rPr>
        <w:t>格形式</w:t>
      </w:r>
      <w:bookmarkEnd w:id="1093"/>
      <w:bookmarkEnd w:id="1094"/>
    </w:p>
    <w:bookmarkEnd w:id="1095"/>
    <w:bookmarkEnd w:id="1096"/>
    <w:bookmarkEnd w:id="1097"/>
    <w:bookmarkEnd w:id="1098"/>
    <w:bookmarkEnd w:id="1099"/>
    <w:bookmarkEnd w:id="1100"/>
    <w:p w14:paraId="120BE663">
      <w:pPr>
        <w:spacing w:line="360" w:lineRule="auto"/>
        <w:ind w:firstLine="420" w:firstLineChars="200"/>
        <w:jc w:val="left"/>
        <w:rPr>
          <w:rFonts w:ascii="宋体" w:hAnsi="宋体"/>
          <w:szCs w:val="21"/>
        </w:rPr>
      </w:pPr>
      <w:r>
        <w:rPr>
          <w:rFonts w:hint="eastAsia" w:ascii="宋体" w:hAnsi="宋体"/>
          <w:szCs w:val="21"/>
        </w:rPr>
        <w:t>1、单价合同。</w:t>
      </w:r>
    </w:p>
    <w:p w14:paraId="48EABA6E">
      <w:pPr>
        <w:spacing w:line="360" w:lineRule="auto"/>
        <w:ind w:firstLine="420" w:firstLineChars="200"/>
        <w:jc w:val="left"/>
        <w:rPr>
          <w:rFonts w:ascii="宋体" w:hAnsi="宋体"/>
          <w:szCs w:val="21"/>
          <w:u w:val="single"/>
        </w:rPr>
      </w:pPr>
      <w:r>
        <w:rPr>
          <w:rFonts w:hint="eastAsia" w:ascii="宋体" w:hAnsi="宋体"/>
          <w:szCs w:val="21"/>
        </w:rPr>
        <w:t>综合单价包含的风险范围：</w:t>
      </w:r>
      <w:r>
        <w:rPr>
          <w:rFonts w:hint="eastAsia" w:ascii="宋体" w:hAnsi="宋体"/>
          <w:szCs w:val="21"/>
          <w:u w:val="single"/>
        </w:rPr>
        <w:t>包括但不限于为实施和完成合同工程所需的人工费、材料费、施工机具使用费、企业管理费、利润、风险费、施工技术措施项目费、施工组织措施项目费及缺陷修复等费用，以及</w:t>
      </w:r>
      <w:bookmarkStart w:id="1101" w:name="_Hlk528508096"/>
      <w:r>
        <w:rPr>
          <w:rFonts w:hint="eastAsia" w:ascii="宋体" w:hAnsi="宋体"/>
          <w:szCs w:val="21"/>
          <w:u w:val="single"/>
        </w:rPr>
        <w:t>第11.1款〔市场价格波动引起的调整〕约定范围内的市场价格波动风险、政策性文件规定的各项应有费用、</w:t>
      </w:r>
      <w:bookmarkEnd w:id="1101"/>
      <w:r>
        <w:rPr>
          <w:rFonts w:hint="eastAsia" w:ascii="宋体" w:hAnsi="宋体"/>
          <w:szCs w:val="21"/>
          <w:u w:val="single"/>
        </w:rPr>
        <w:t>招标文件和合同明示或暗示的应由承包人承担的所有责任、义务和风险等所需的费用</w:t>
      </w:r>
      <w:r>
        <w:rPr>
          <w:rFonts w:hint="eastAsia" w:ascii="宋体" w:hAnsi="宋体"/>
          <w:szCs w:val="21"/>
        </w:rPr>
        <w:t>。</w:t>
      </w:r>
    </w:p>
    <w:p w14:paraId="7D3B6886">
      <w:pPr>
        <w:spacing w:line="360" w:lineRule="auto"/>
        <w:ind w:firstLine="420" w:firstLineChars="200"/>
        <w:jc w:val="left"/>
        <w:rPr>
          <w:rFonts w:ascii="宋体" w:hAnsi="宋体"/>
          <w:szCs w:val="21"/>
          <w:u w:val="single"/>
        </w:rPr>
      </w:pPr>
      <w:r>
        <w:rPr>
          <w:rFonts w:hint="eastAsia" w:ascii="宋体" w:hAnsi="宋体"/>
          <w:szCs w:val="21"/>
        </w:rPr>
        <w:t>风险费用的计算方法：</w:t>
      </w:r>
      <w:r>
        <w:rPr>
          <w:rFonts w:hint="eastAsia" w:ascii="宋体" w:hAnsi="宋体"/>
          <w:szCs w:val="21"/>
          <w:u w:val="single"/>
        </w:rPr>
        <w:t>由承包人自行考虑并计入签约合同价格中，包干使用</w:t>
      </w:r>
      <w:r>
        <w:rPr>
          <w:rFonts w:hint="eastAsia" w:ascii="宋体" w:hAnsi="宋体"/>
          <w:szCs w:val="21"/>
        </w:rPr>
        <w:t>。</w:t>
      </w:r>
    </w:p>
    <w:p w14:paraId="6629E83F">
      <w:pPr>
        <w:spacing w:line="360" w:lineRule="auto"/>
        <w:ind w:firstLine="420" w:firstLineChars="200"/>
        <w:jc w:val="left"/>
        <w:rPr>
          <w:rFonts w:ascii="宋体" w:hAnsi="宋体"/>
          <w:szCs w:val="21"/>
          <w:u w:val="single"/>
        </w:rPr>
      </w:pPr>
      <w:r>
        <w:rPr>
          <w:rFonts w:hint="eastAsia" w:ascii="宋体" w:hAnsi="宋体"/>
          <w:szCs w:val="21"/>
        </w:rPr>
        <w:t>风险范围以外合同价格的调整方法：</w:t>
      </w:r>
      <w:r>
        <w:rPr>
          <w:rFonts w:hint="eastAsia" w:ascii="宋体" w:hAnsi="宋体"/>
          <w:szCs w:val="21"/>
          <w:u w:val="single"/>
        </w:rPr>
        <w:t>按照合同相关条款约定执行</w:t>
      </w:r>
      <w:r>
        <w:rPr>
          <w:rFonts w:hint="eastAsia" w:ascii="宋体" w:hAnsi="宋体"/>
          <w:szCs w:val="21"/>
        </w:rPr>
        <w:t>。</w:t>
      </w:r>
    </w:p>
    <w:p w14:paraId="30BC81AE">
      <w:pPr>
        <w:spacing w:line="360" w:lineRule="auto"/>
        <w:ind w:firstLine="420" w:firstLineChars="200"/>
        <w:jc w:val="left"/>
        <w:rPr>
          <w:rFonts w:ascii="宋体" w:hAnsi="宋体"/>
          <w:szCs w:val="21"/>
        </w:rPr>
      </w:pPr>
      <w:r>
        <w:rPr>
          <w:rFonts w:hint="eastAsia" w:ascii="宋体" w:hAnsi="宋体"/>
          <w:szCs w:val="21"/>
        </w:rPr>
        <w:t>2、总价合同。</w:t>
      </w:r>
    </w:p>
    <w:p w14:paraId="72028D77">
      <w:pPr>
        <w:spacing w:line="360" w:lineRule="auto"/>
        <w:ind w:firstLine="420" w:firstLineChars="200"/>
        <w:jc w:val="left"/>
        <w:rPr>
          <w:rFonts w:ascii="宋体" w:hAnsi="宋体"/>
          <w:szCs w:val="21"/>
          <w:u w:val="single"/>
        </w:rPr>
      </w:pPr>
      <w:r>
        <w:rPr>
          <w:rFonts w:hint="eastAsia" w:ascii="宋体" w:hAnsi="宋体"/>
          <w:szCs w:val="21"/>
        </w:rPr>
        <w:t>总价包含的风险范围：</w:t>
      </w:r>
      <w:r>
        <w:rPr>
          <w:rFonts w:hint="eastAsia" w:ascii="宋体" w:hAnsi="宋体"/>
          <w:szCs w:val="21"/>
          <w:u w:val="single"/>
        </w:rPr>
        <w:t>包括但不限于为实施和完成合同工程所需的人工费、材料费、施工机具使用费、企业管理费、利润、风险费、施工技术措施项目费、施工组织措施项目费、总承包服务费、规费和税金及缺陷修复等费用，以及第11.1款〔市场价格波动引起的调整〕约定范围内的市场价格波动风险、政策性文件规定的各项应有费用、招标文件和合同明示或暗示的应由承包人承担的所有责任、义务和风险等所需的费用</w:t>
      </w:r>
      <w:r>
        <w:rPr>
          <w:rFonts w:hint="eastAsia" w:ascii="宋体" w:hAnsi="宋体"/>
          <w:szCs w:val="21"/>
        </w:rPr>
        <w:t>。</w:t>
      </w:r>
    </w:p>
    <w:p w14:paraId="1835D088">
      <w:pPr>
        <w:spacing w:line="360" w:lineRule="auto"/>
        <w:ind w:firstLine="420" w:firstLineChars="200"/>
        <w:jc w:val="left"/>
        <w:rPr>
          <w:rFonts w:ascii="宋体" w:hAnsi="宋体"/>
          <w:szCs w:val="21"/>
          <w:u w:val="single"/>
        </w:rPr>
      </w:pPr>
      <w:r>
        <w:rPr>
          <w:rFonts w:hint="eastAsia" w:ascii="宋体" w:hAnsi="宋体"/>
          <w:szCs w:val="21"/>
        </w:rPr>
        <w:t>风险费用的计算方法：</w:t>
      </w:r>
      <w:r>
        <w:rPr>
          <w:rFonts w:hint="eastAsia" w:ascii="宋体" w:hAnsi="宋体"/>
          <w:szCs w:val="21"/>
          <w:u w:val="single"/>
        </w:rPr>
        <w:t>由承包人自行考虑并计入签约合同价格中，包干使用</w:t>
      </w:r>
      <w:r>
        <w:rPr>
          <w:rFonts w:hint="eastAsia" w:ascii="宋体" w:hAnsi="宋体"/>
          <w:szCs w:val="21"/>
        </w:rPr>
        <w:t>。</w:t>
      </w:r>
    </w:p>
    <w:p w14:paraId="197ED814">
      <w:pPr>
        <w:spacing w:line="360" w:lineRule="auto"/>
        <w:ind w:firstLine="420" w:firstLineChars="200"/>
        <w:jc w:val="left"/>
        <w:rPr>
          <w:rFonts w:ascii="宋体" w:hAnsi="宋体"/>
          <w:szCs w:val="21"/>
        </w:rPr>
      </w:pPr>
      <w:r>
        <w:rPr>
          <w:rFonts w:hint="eastAsia" w:ascii="宋体" w:hAnsi="宋体"/>
          <w:szCs w:val="21"/>
        </w:rPr>
        <w:t>风险范围以外合同价格的调整方法：</w:t>
      </w:r>
      <w:r>
        <w:rPr>
          <w:rFonts w:hint="eastAsia" w:ascii="宋体" w:hAnsi="宋体"/>
          <w:szCs w:val="21"/>
          <w:u w:val="single"/>
        </w:rPr>
        <w:t>按照合同相关条款约定执行</w:t>
      </w:r>
      <w:r>
        <w:rPr>
          <w:rFonts w:hint="eastAsia" w:ascii="宋体" w:hAnsi="宋体"/>
          <w:szCs w:val="21"/>
        </w:rPr>
        <w:t>。</w:t>
      </w:r>
    </w:p>
    <w:p w14:paraId="1B9F56BC">
      <w:pPr>
        <w:spacing w:line="360" w:lineRule="auto"/>
        <w:ind w:firstLine="420" w:firstLineChars="200"/>
        <w:jc w:val="left"/>
        <w:rPr>
          <w:rFonts w:ascii="宋体" w:hAnsi="宋体"/>
          <w:szCs w:val="21"/>
        </w:rPr>
      </w:pPr>
      <w:r>
        <w:rPr>
          <w:rFonts w:hint="eastAsia" w:ascii="宋体" w:hAnsi="宋体"/>
          <w:szCs w:val="21"/>
        </w:rPr>
        <w:t>3、其他价格方式：</w:t>
      </w:r>
      <w:r>
        <w:rPr>
          <w:rFonts w:hint="eastAsia" w:ascii="宋体" w:hAnsi="宋体"/>
          <w:szCs w:val="21"/>
          <w:u w:val="single"/>
        </w:rPr>
        <w:t>不采用</w:t>
      </w:r>
      <w:r>
        <w:rPr>
          <w:rFonts w:hint="eastAsia" w:ascii="宋体" w:hAnsi="宋体"/>
          <w:szCs w:val="21"/>
        </w:rPr>
        <w:t>。</w:t>
      </w:r>
    </w:p>
    <w:p w14:paraId="14809B08">
      <w:pPr>
        <w:pStyle w:val="7"/>
        <w:spacing w:before="0" w:beforeAutospacing="0" w:after="0" w:afterAutospacing="0" w:line="360" w:lineRule="auto"/>
        <w:ind w:firstLine="422" w:firstLineChars="200"/>
        <w:rPr>
          <w:sz w:val="21"/>
          <w:szCs w:val="21"/>
        </w:rPr>
      </w:pPr>
      <w:bookmarkStart w:id="1102" w:name="_Toc532375648"/>
      <w:bookmarkStart w:id="1103" w:name="_Toc532377384"/>
      <w:bookmarkStart w:id="1104" w:name="_Toc312678042"/>
      <w:bookmarkStart w:id="1105" w:name="_Toc297123554"/>
      <w:bookmarkStart w:id="1106" w:name="_Toc303539161"/>
      <w:bookmarkStart w:id="1107" w:name="_Toc300935004"/>
      <w:bookmarkStart w:id="1108" w:name="_Toc304295581"/>
      <w:bookmarkStart w:id="1109" w:name="_Toc297216213"/>
      <w:bookmarkStart w:id="1110" w:name="_Toc292559412"/>
      <w:bookmarkStart w:id="1111" w:name="_Toc296347206"/>
      <w:bookmarkStart w:id="1112" w:name="_Toc296944546"/>
      <w:bookmarkStart w:id="1113" w:name="_Toc297120507"/>
      <w:bookmarkStart w:id="1114" w:name="_Toc296503207"/>
      <w:bookmarkStart w:id="1115" w:name="_Toc296891247"/>
      <w:bookmarkStart w:id="1116" w:name="_Toc296891035"/>
      <w:bookmarkStart w:id="1117" w:name="_Toc292559917"/>
      <w:bookmarkStart w:id="1118" w:name="_Toc297048393"/>
      <w:bookmarkStart w:id="1119" w:name="_Toc296346708"/>
      <w:r>
        <w:rPr>
          <w:rFonts w:hint="eastAsia"/>
          <w:sz w:val="21"/>
          <w:szCs w:val="21"/>
        </w:rPr>
        <w:t>12.2 预付款</w:t>
      </w:r>
      <w:bookmarkEnd w:id="1102"/>
      <w:bookmarkEnd w:id="1103"/>
    </w:p>
    <w:bookmarkEnd w:id="1104"/>
    <w:bookmarkEnd w:id="1105"/>
    <w:bookmarkEnd w:id="1106"/>
    <w:bookmarkEnd w:id="1107"/>
    <w:bookmarkEnd w:id="1108"/>
    <w:bookmarkEnd w:id="1109"/>
    <w:p w14:paraId="1D62525E">
      <w:pPr>
        <w:spacing w:line="360" w:lineRule="auto"/>
        <w:ind w:firstLine="420" w:firstLineChars="200"/>
        <w:jc w:val="left"/>
        <w:rPr>
          <w:rFonts w:ascii="宋体" w:hAnsi="宋体"/>
          <w:szCs w:val="21"/>
        </w:rPr>
      </w:pPr>
      <w:r>
        <w:rPr>
          <w:rFonts w:hint="eastAsia" w:ascii="宋体" w:hAnsi="宋体"/>
          <w:szCs w:val="21"/>
        </w:rPr>
        <w:t>12.2.1 预付款的支付</w:t>
      </w:r>
    </w:p>
    <w:p w14:paraId="0B3797C9">
      <w:pPr>
        <w:spacing w:line="360" w:lineRule="auto"/>
        <w:ind w:firstLine="420" w:firstLineChars="200"/>
        <w:jc w:val="left"/>
        <w:rPr>
          <w:rFonts w:ascii="宋体" w:hAnsi="宋体"/>
          <w:szCs w:val="21"/>
        </w:rPr>
      </w:pPr>
      <w:r>
        <w:rPr>
          <w:rFonts w:hint="eastAsia" w:ascii="宋体" w:hAnsi="宋体"/>
          <w:szCs w:val="21"/>
        </w:rPr>
        <w:t>无。</w:t>
      </w:r>
    </w:p>
    <w:bookmarkEnd w:id="1110"/>
    <w:bookmarkEnd w:id="1111"/>
    <w:bookmarkEnd w:id="1112"/>
    <w:bookmarkEnd w:id="1113"/>
    <w:bookmarkEnd w:id="1114"/>
    <w:bookmarkEnd w:id="1115"/>
    <w:bookmarkEnd w:id="1116"/>
    <w:bookmarkEnd w:id="1117"/>
    <w:bookmarkEnd w:id="1118"/>
    <w:bookmarkEnd w:id="1119"/>
    <w:p w14:paraId="6388D2F9">
      <w:pPr>
        <w:pStyle w:val="7"/>
        <w:spacing w:before="0" w:beforeAutospacing="0" w:after="0" w:afterAutospacing="0" w:line="360" w:lineRule="auto"/>
        <w:ind w:firstLine="422" w:firstLineChars="200"/>
        <w:rPr>
          <w:sz w:val="21"/>
          <w:szCs w:val="21"/>
        </w:rPr>
      </w:pPr>
      <w:bookmarkStart w:id="1120" w:name="_Toc532377385"/>
      <w:bookmarkStart w:id="1121" w:name="_Toc532375649"/>
      <w:r>
        <w:rPr>
          <w:rFonts w:hint="eastAsia"/>
          <w:sz w:val="21"/>
          <w:szCs w:val="21"/>
        </w:rPr>
        <w:t>12.3 计量</w:t>
      </w:r>
      <w:bookmarkEnd w:id="1120"/>
      <w:bookmarkEnd w:id="1121"/>
    </w:p>
    <w:p w14:paraId="488F9576">
      <w:pPr>
        <w:spacing w:line="360" w:lineRule="auto"/>
        <w:ind w:firstLine="420" w:firstLineChars="200"/>
        <w:jc w:val="left"/>
        <w:rPr>
          <w:rFonts w:ascii="宋体" w:hAnsi="宋体"/>
          <w:szCs w:val="21"/>
        </w:rPr>
      </w:pPr>
      <w:bookmarkStart w:id="1122" w:name="_Hlk528928260"/>
      <w:r>
        <w:rPr>
          <w:rFonts w:hint="eastAsia" w:ascii="宋体" w:hAnsi="宋体"/>
          <w:szCs w:val="21"/>
        </w:rPr>
        <w:t>12.3.1 计量原则</w:t>
      </w:r>
    </w:p>
    <w:p w14:paraId="25EF0E6E">
      <w:pPr>
        <w:tabs>
          <w:tab w:val="left" w:pos="1134"/>
        </w:tabs>
        <w:spacing w:line="360" w:lineRule="auto"/>
        <w:ind w:firstLine="420" w:firstLineChars="200"/>
        <w:jc w:val="left"/>
        <w:rPr>
          <w:rFonts w:ascii="宋体" w:hAnsi="宋体"/>
          <w:szCs w:val="21"/>
        </w:rPr>
      </w:pPr>
      <w:r>
        <w:rPr>
          <w:rFonts w:hint="eastAsia" w:ascii="宋体" w:hAnsi="宋体"/>
          <w:szCs w:val="21"/>
        </w:rPr>
        <w:t>工程量按《房屋建筑与装饰工程工程量计算规范》（GB50854-2013）、《仿古建筑工程工程量计算规范》（GB50855-2013）、《通用安装工程工程量计算规范》（GB50856-2013）、《市政工程工程量计算规范》（GB50857-2013）、《园林绿化工程工程量计算规范》（GB50858-2013）、《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等规定的计算规则及已标价工程量清单规定的工程量计算规则计量。</w:t>
      </w:r>
    </w:p>
    <w:bookmarkEnd w:id="1122"/>
    <w:p w14:paraId="732504E2">
      <w:pPr>
        <w:spacing w:line="360" w:lineRule="auto"/>
        <w:ind w:firstLine="420" w:firstLineChars="200"/>
        <w:jc w:val="left"/>
        <w:rPr>
          <w:rFonts w:ascii="宋体" w:hAnsi="宋体"/>
          <w:szCs w:val="21"/>
        </w:rPr>
      </w:pPr>
      <w:r>
        <w:rPr>
          <w:rFonts w:hint="eastAsia" w:ascii="宋体" w:hAnsi="宋体"/>
          <w:szCs w:val="21"/>
        </w:rPr>
        <w:t>12.3.2 计量周期</w:t>
      </w:r>
    </w:p>
    <w:p w14:paraId="495FD2BC">
      <w:pPr>
        <w:spacing w:line="360" w:lineRule="auto"/>
        <w:ind w:firstLine="420" w:firstLineChars="200"/>
        <w:jc w:val="left"/>
        <w:rPr>
          <w:rFonts w:ascii="宋体" w:hAnsi="宋体"/>
          <w:szCs w:val="21"/>
        </w:rPr>
      </w:pPr>
      <w:r>
        <w:rPr>
          <w:rFonts w:hint="eastAsia" w:ascii="宋体" w:hAnsi="宋体"/>
          <w:szCs w:val="21"/>
        </w:rPr>
        <w:t>关于计量周期的约定：</w:t>
      </w:r>
      <w:r>
        <w:rPr>
          <w:rFonts w:hint="eastAsia" w:ascii="宋体" w:hAnsi="宋体"/>
          <w:szCs w:val="21"/>
          <w:u w:val="single"/>
        </w:rPr>
        <w:t>按月计量根据具体项目实际情况可以按月、按进度、按节点等形式计量，按进度、按节点计量的参考按月计量原则执行）</w:t>
      </w:r>
      <w:r>
        <w:rPr>
          <w:rFonts w:hint="eastAsia" w:ascii="宋体" w:hAnsi="宋体"/>
          <w:szCs w:val="21"/>
        </w:rPr>
        <w:t>。</w:t>
      </w:r>
    </w:p>
    <w:p w14:paraId="0B32C5EB">
      <w:pPr>
        <w:spacing w:line="360" w:lineRule="auto"/>
        <w:ind w:firstLine="420" w:firstLineChars="200"/>
        <w:jc w:val="left"/>
        <w:rPr>
          <w:rFonts w:ascii="宋体" w:hAnsi="宋体"/>
          <w:szCs w:val="21"/>
        </w:rPr>
      </w:pPr>
      <w:r>
        <w:rPr>
          <w:rFonts w:hint="eastAsia" w:ascii="宋体" w:hAnsi="宋体"/>
          <w:szCs w:val="21"/>
        </w:rPr>
        <w:t>12.3.3 单价合同的计量</w:t>
      </w:r>
    </w:p>
    <w:p w14:paraId="43A5B95A">
      <w:pPr>
        <w:spacing w:line="360" w:lineRule="auto"/>
        <w:ind w:firstLine="420" w:firstLineChars="200"/>
        <w:jc w:val="left"/>
        <w:rPr>
          <w:rFonts w:ascii="宋体" w:hAnsi="宋体"/>
          <w:szCs w:val="21"/>
        </w:rPr>
      </w:pPr>
      <w:r>
        <w:rPr>
          <w:rFonts w:hint="eastAsia" w:ascii="宋体" w:hAnsi="宋体"/>
          <w:szCs w:val="21"/>
        </w:rPr>
        <w:t>关于单价合同计量的约定：</w:t>
      </w:r>
    </w:p>
    <w:p w14:paraId="0DB6827A">
      <w:pPr>
        <w:spacing w:line="360" w:lineRule="auto"/>
        <w:ind w:firstLine="420" w:firstLineChars="200"/>
        <w:jc w:val="left"/>
        <w:rPr>
          <w:rFonts w:ascii="宋体" w:hAnsi="宋体"/>
          <w:szCs w:val="21"/>
          <w:u w:val="single"/>
        </w:rPr>
      </w:pPr>
      <w:bookmarkStart w:id="1123" w:name="_Hlk528926162"/>
      <w:r>
        <w:rPr>
          <w:rFonts w:hint="eastAsia" w:ascii="宋体" w:hAnsi="宋体"/>
          <w:szCs w:val="21"/>
          <w:u w:val="single"/>
        </w:rPr>
        <w:t>（1）承包人应于当月  日前向监理人报送上月已完成的工程量，并附进度付款申请单、已完成工程量报表和其他有关资料</w:t>
      </w:r>
      <w:r>
        <w:rPr>
          <w:rFonts w:hint="eastAsia" w:ascii="宋体" w:hAnsi="宋体"/>
          <w:szCs w:val="21"/>
        </w:rPr>
        <w:t>。</w:t>
      </w:r>
    </w:p>
    <w:bookmarkEnd w:id="1123"/>
    <w:p w14:paraId="60E05223">
      <w:pPr>
        <w:spacing w:line="360" w:lineRule="auto"/>
        <w:ind w:firstLine="420" w:firstLineChars="200"/>
        <w:jc w:val="left"/>
        <w:rPr>
          <w:rFonts w:ascii="宋体" w:hAnsi="宋体"/>
          <w:szCs w:val="21"/>
          <w:u w:val="single"/>
        </w:rPr>
      </w:pPr>
      <w:r>
        <w:rPr>
          <w:rFonts w:hint="eastAsia" w:ascii="宋体" w:hAnsi="宋体"/>
          <w:szCs w:val="21"/>
          <w:u w:val="single"/>
        </w:rPr>
        <w:t>（2）承包人未在已标价的工程量清单中填入单价和（或）总价的子目，视为该子目的费用已包含合同工程的其他子目的单价或总价中，不再另行计量支付</w:t>
      </w:r>
      <w:r>
        <w:rPr>
          <w:rFonts w:hint="eastAsia" w:ascii="宋体" w:hAnsi="宋体"/>
          <w:szCs w:val="21"/>
        </w:rPr>
        <w:t>。</w:t>
      </w:r>
    </w:p>
    <w:p w14:paraId="4D14F2C4">
      <w:pPr>
        <w:spacing w:line="360" w:lineRule="auto"/>
        <w:ind w:firstLine="420" w:firstLineChars="200"/>
        <w:jc w:val="left"/>
        <w:rPr>
          <w:rFonts w:ascii="宋体" w:hAnsi="宋体"/>
          <w:szCs w:val="21"/>
          <w:u w:val="single"/>
        </w:rPr>
      </w:pPr>
      <w:r>
        <w:rPr>
          <w:rFonts w:hint="eastAsia" w:ascii="宋体" w:hAnsi="宋体"/>
          <w:szCs w:val="21"/>
          <w:u w:val="single"/>
        </w:rPr>
        <w:t>（3）监理人应在收到承包人提交的工程量报表后7天内完成对承包人提交的工程量报表的审核并报送发包人；发包人收到监理人报送资料后7天内完成审批，以确定当月实际完成的工程量。监理人、跟审单位、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r>
        <w:rPr>
          <w:rFonts w:hint="eastAsia" w:ascii="宋体" w:hAnsi="宋体"/>
          <w:szCs w:val="21"/>
        </w:rPr>
        <w:t>。</w:t>
      </w:r>
    </w:p>
    <w:p w14:paraId="7E1431FE">
      <w:pPr>
        <w:spacing w:line="360" w:lineRule="auto"/>
        <w:ind w:firstLine="420" w:firstLineChars="200"/>
        <w:jc w:val="left"/>
        <w:rPr>
          <w:rFonts w:ascii="宋体" w:hAnsi="宋体"/>
          <w:szCs w:val="21"/>
          <w:u w:val="single"/>
        </w:rPr>
      </w:pPr>
      <w:r>
        <w:rPr>
          <w:rFonts w:hint="eastAsia" w:ascii="宋体" w:hAnsi="宋体"/>
          <w:szCs w:val="21"/>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宋体" w:hAnsi="宋体"/>
          <w:szCs w:val="21"/>
        </w:rPr>
        <w:t>。</w:t>
      </w:r>
    </w:p>
    <w:p w14:paraId="55C4CB14">
      <w:pPr>
        <w:spacing w:line="360" w:lineRule="auto"/>
        <w:ind w:firstLine="420" w:firstLineChars="200"/>
        <w:jc w:val="left"/>
        <w:rPr>
          <w:rFonts w:ascii="宋体" w:hAnsi="宋体"/>
          <w:szCs w:val="21"/>
        </w:rPr>
      </w:pPr>
      <w:r>
        <w:rPr>
          <w:rFonts w:hint="eastAsia" w:ascii="宋体" w:hAnsi="宋体"/>
          <w:szCs w:val="21"/>
        </w:rPr>
        <w:t>12.3.4 总价合同的计量</w:t>
      </w:r>
    </w:p>
    <w:p w14:paraId="13FB06A1">
      <w:pPr>
        <w:spacing w:line="360" w:lineRule="auto"/>
        <w:ind w:firstLine="420" w:firstLineChars="200"/>
        <w:jc w:val="left"/>
        <w:rPr>
          <w:rFonts w:ascii="宋体" w:hAnsi="宋体"/>
          <w:szCs w:val="21"/>
        </w:rPr>
      </w:pPr>
      <w:r>
        <w:rPr>
          <w:rFonts w:hint="eastAsia" w:ascii="宋体" w:hAnsi="宋体"/>
          <w:szCs w:val="21"/>
        </w:rPr>
        <w:t>关于总价合同计量的约定：</w:t>
      </w:r>
      <w:r>
        <w:rPr>
          <w:rFonts w:hint="eastAsia" w:ascii="宋体" w:hAnsi="宋体"/>
          <w:szCs w:val="21"/>
          <w:u w:val="single"/>
        </w:rPr>
        <w:t>按形象进度比例支付</w:t>
      </w:r>
      <w:r>
        <w:rPr>
          <w:rFonts w:hint="eastAsia" w:ascii="宋体" w:hAnsi="宋体"/>
          <w:szCs w:val="21"/>
        </w:rPr>
        <w:t>。</w:t>
      </w:r>
    </w:p>
    <w:p w14:paraId="6FB2304C">
      <w:pPr>
        <w:spacing w:line="360" w:lineRule="auto"/>
        <w:ind w:firstLine="420" w:firstLineChars="200"/>
        <w:jc w:val="left"/>
        <w:rPr>
          <w:rFonts w:ascii="宋体" w:hAnsi="宋体"/>
          <w:szCs w:val="21"/>
        </w:rPr>
      </w:pPr>
      <w:r>
        <w:rPr>
          <w:rFonts w:hint="eastAsia" w:ascii="宋体" w:hAnsi="宋体"/>
          <w:szCs w:val="21"/>
        </w:rPr>
        <w:t>12.3.5总价合同采用支付分解表计量支付的，是否适用第12.3.4项〔总价合同的计量〕约定进行计量：</w:t>
      </w:r>
      <w:r>
        <w:rPr>
          <w:rFonts w:hint="eastAsia" w:ascii="宋体" w:hAnsi="宋体"/>
          <w:szCs w:val="21"/>
          <w:u w:val="single"/>
        </w:rPr>
        <w:t>适用</w:t>
      </w:r>
      <w:r>
        <w:rPr>
          <w:rFonts w:hint="eastAsia" w:ascii="宋体" w:hAnsi="宋体"/>
          <w:szCs w:val="21"/>
        </w:rPr>
        <w:t>。</w:t>
      </w:r>
    </w:p>
    <w:p w14:paraId="44C1CC59">
      <w:pPr>
        <w:spacing w:line="360" w:lineRule="auto"/>
        <w:ind w:firstLine="420" w:firstLineChars="200"/>
        <w:jc w:val="left"/>
        <w:rPr>
          <w:rFonts w:ascii="宋体" w:hAnsi="宋体"/>
          <w:szCs w:val="21"/>
        </w:rPr>
      </w:pPr>
      <w:r>
        <w:rPr>
          <w:rFonts w:hint="eastAsia" w:ascii="宋体" w:hAnsi="宋体"/>
          <w:szCs w:val="21"/>
        </w:rPr>
        <w:t>12.3.6 其他价格形式合同的计量</w:t>
      </w:r>
    </w:p>
    <w:p w14:paraId="59124261">
      <w:pPr>
        <w:spacing w:line="360" w:lineRule="auto"/>
        <w:ind w:firstLine="420" w:firstLineChars="200"/>
        <w:jc w:val="left"/>
        <w:rPr>
          <w:rFonts w:ascii="宋体" w:hAnsi="宋体"/>
          <w:szCs w:val="21"/>
        </w:rPr>
      </w:pPr>
      <w:r>
        <w:rPr>
          <w:rFonts w:hint="eastAsia" w:ascii="宋体" w:hAnsi="宋体"/>
          <w:szCs w:val="21"/>
        </w:rPr>
        <w:t>其他价格形式的计量方式和程序：</w:t>
      </w:r>
      <w:r>
        <w:rPr>
          <w:rFonts w:hint="eastAsia" w:ascii="宋体" w:hAnsi="宋体"/>
          <w:szCs w:val="21"/>
          <w:u w:val="single"/>
        </w:rPr>
        <w:t>不采用</w:t>
      </w:r>
      <w:r>
        <w:rPr>
          <w:rFonts w:hint="eastAsia" w:ascii="宋体" w:hAnsi="宋体"/>
          <w:szCs w:val="21"/>
        </w:rPr>
        <w:t>。</w:t>
      </w:r>
    </w:p>
    <w:p w14:paraId="4D94BA46">
      <w:pPr>
        <w:pStyle w:val="7"/>
        <w:spacing w:before="0" w:beforeAutospacing="0" w:after="0" w:afterAutospacing="0" w:line="360" w:lineRule="auto"/>
        <w:ind w:firstLine="422" w:firstLineChars="200"/>
        <w:rPr>
          <w:sz w:val="21"/>
          <w:szCs w:val="21"/>
        </w:rPr>
      </w:pPr>
      <w:bookmarkStart w:id="1124" w:name="_Toc532377386"/>
      <w:bookmarkStart w:id="1125" w:name="_Toc532375650"/>
      <w:bookmarkStart w:id="1126" w:name="_Hlk528928289"/>
      <w:r>
        <w:rPr>
          <w:rFonts w:hint="eastAsia"/>
          <w:sz w:val="21"/>
          <w:szCs w:val="21"/>
        </w:rPr>
        <w:t>12.4 工程款支付</w:t>
      </w:r>
      <w:bookmarkEnd w:id="1124"/>
      <w:bookmarkEnd w:id="1125"/>
    </w:p>
    <w:bookmarkEnd w:id="1126"/>
    <w:p w14:paraId="6D3A7D65">
      <w:pPr>
        <w:spacing w:line="360" w:lineRule="auto"/>
        <w:ind w:firstLine="420" w:firstLineChars="200"/>
        <w:jc w:val="left"/>
        <w:rPr>
          <w:rFonts w:ascii="宋体" w:hAnsi="宋体"/>
          <w:szCs w:val="21"/>
          <w:highlight w:val="none"/>
          <w:u w:val="single"/>
        </w:rPr>
      </w:pPr>
      <w:bookmarkStart w:id="1127" w:name="_Toc351203585"/>
      <w:bookmarkStart w:id="1128" w:name="_Toc532377387"/>
      <w:r>
        <w:rPr>
          <w:rFonts w:hint="eastAsia"/>
          <w:szCs w:val="21"/>
          <w:highlight w:val="none"/>
        </w:rPr>
        <w:t>工程款支付</w:t>
      </w:r>
      <w:r>
        <w:rPr>
          <w:rFonts w:hint="eastAsia" w:ascii="宋体" w:hAnsi="宋体"/>
          <w:szCs w:val="21"/>
          <w:highlight w:val="none"/>
        </w:rPr>
        <w:t>：</w:t>
      </w:r>
      <w:r>
        <w:rPr>
          <w:rFonts w:hint="eastAsia" w:ascii="宋体" w:hAnsi="宋体"/>
          <w:szCs w:val="21"/>
          <w:highlight w:val="none"/>
          <w:u w:val="single"/>
        </w:rPr>
        <w:t>中标单位提交合格工程量所对应有效的支付材料及相关结算资料，经招标人、监理人、审核单位审核后，按审定金额的70%于14日内予以支付，且支付的限额不得大于已完成合格工程总产值的70 %且不超过合同暂定金额的70%，否则停止支付（如因承包人原因造成施工进度滞后，则付款时间顺延）；经招标人、监理人等组织竣工验收完成后支付至审定金额的80%；最终经招标人审计完毕后支付至审定金额的97%（不计利息），3%的质保金待缺陷责任期满后30日内一次性无息支付。</w:t>
      </w:r>
    </w:p>
    <w:p w14:paraId="3407ADCC">
      <w:pPr>
        <w:pStyle w:val="7"/>
        <w:spacing w:before="0" w:beforeAutospacing="0" w:after="0" w:afterAutospacing="0" w:line="360" w:lineRule="auto"/>
        <w:ind w:firstLine="422" w:firstLineChars="200"/>
        <w:rPr>
          <w:sz w:val="21"/>
          <w:szCs w:val="21"/>
        </w:rPr>
      </w:pPr>
      <w:r>
        <w:rPr>
          <w:rFonts w:hint="eastAsia"/>
          <w:sz w:val="21"/>
          <w:szCs w:val="21"/>
        </w:rPr>
        <w:t>12.5支付账户</w:t>
      </w:r>
      <w:bookmarkEnd w:id="1127"/>
      <w:bookmarkEnd w:id="1128"/>
    </w:p>
    <w:p w14:paraId="635015C6">
      <w:pPr>
        <w:spacing w:line="360" w:lineRule="auto"/>
        <w:ind w:firstLine="420" w:firstLineChars="200"/>
        <w:jc w:val="left"/>
        <w:rPr>
          <w:rFonts w:ascii="宋体" w:hAnsi="宋体"/>
          <w:szCs w:val="21"/>
        </w:rPr>
      </w:pPr>
      <w:r>
        <w:rPr>
          <w:rFonts w:hint="eastAsia" w:ascii="宋体" w:hAnsi="宋体"/>
          <w:szCs w:val="21"/>
        </w:rPr>
        <w:t>发包人应将合同价款支付至如下承包人指定的开户银行及银行账户：</w:t>
      </w:r>
    </w:p>
    <w:p w14:paraId="15E2BD55">
      <w:pPr>
        <w:spacing w:line="360" w:lineRule="auto"/>
        <w:ind w:firstLine="420" w:firstLineChars="200"/>
        <w:jc w:val="left"/>
        <w:rPr>
          <w:rFonts w:ascii="宋体" w:hAnsi="宋体"/>
          <w:kern w:val="0"/>
          <w:szCs w:val="21"/>
          <w:u w:val="single"/>
        </w:rPr>
      </w:pPr>
      <w:r>
        <w:rPr>
          <w:rFonts w:hint="eastAsia" w:ascii="宋体" w:hAnsi="宋体"/>
          <w:kern w:val="0"/>
          <w:szCs w:val="21"/>
        </w:rPr>
        <w:t>收款单位名称：</w:t>
      </w:r>
      <w:r>
        <w:rPr>
          <w:rFonts w:ascii="宋体" w:hAnsi="宋体"/>
          <w:kern w:val="0"/>
          <w:szCs w:val="21"/>
          <w:u w:val="single"/>
        </w:rPr>
        <w:t xml:space="preserve">                              </w:t>
      </w:r>
      <w:r>
        <w:rPr>
          <w:rFonts w:hint="eastAsia" w:ascii="宋体" w:hAnsi="宋体"/>
          <w:kern w:val="0"/>
          <w:szCs w:val="21"/>
        </w:rPr>
        <w:t>；</w:t>
      </w:r>
    </w:p>
    <w:p w14:paraId="4D0E7284">
      <w:pPr>
        <w:spacing w:line="360" w:lineRule="auto"/>
        <w:ind w:firstLine="420" w:firstLineChars="200"/>
        <w:jc w:val="left"/>
        <w:rPr>
          <w:rFonts w:ascii="宋体" w:hAnsi="宋体"/>
          <w:kern w:val="0"/>
          <w:szCs w:val="21"/>
        </w:rPr>
      </w:pPr>
      <w:r>
        <w:rPr>
          <w:rFonts w:hint="eastAsia" w:ascii="宋体" w:hAnsi="宋体"/>
          <w:kern w:val="0"/>
          <w:szCs w:val="21"/>
        </w:rPr>
        <w:t>收款账号：</w:t>
      </w:r>
      <w:r>
        <w:rPr>
          <w:rFonts w:ascii="宋体" w:hAnsi="宋体"/>
          <w:kern w:val="0"/>
          <w:szCs w:val="21"/>
          <w:u w:val="single"/>
        </w:rPr>
        <w:t xml:space="preserve">                                  </w:t>
      </w:r>
      <w:r>
        <w:rPr>
          <w:rFonts w:hint="eastAsia" w:ascii="宋体" w:hAnsi="宋体"/>
          <w:kern w:val="0"/>
          <w:szCs w:val="21"/>
        </w:rPr>
        <w:t>；</w:t>
      </w:r>
    </w:p>
    <w:p w14:paraId="765B0C9B">
      <w:pPr>
        <w:spacing w:line="360" w:lineRule="auto"/>
        <w:ind w:firstLine="420" w:firstLineChars="200"/>
        <w:jc w:val="left"/>
        <w:rPr>
          <w:rFonts w:ascii="宋体" w:hAnsi="宋体"/>
          <w:kern w:val="0"/>
          <w:szCs w:val="21"/>
        </w:rPr>
      </w:pPr>
      <w:r>
        <w:rPr>
          <w:rFonts w:hint="eastAsia" w:ascii="宋体" w:hAnsi="宋体"/>
          <w:kern w:val="0"/>
          <w:szCs w:val="21"/>
        </w:rPr>
        <w:t>收款开户银行：</w:t>
      </w:r>
      <w:r>
        <w:rPr>
          <w:rFonts w:ascii="宋体" w:hAnsi="宋体"/>
          <w:kern w:val="0"/>
          <w:szCs w:val="21"/>
          <w:u w:val="single"/>
        </w:rPr>
        <w:t xml:space="preserve">                              </w:t>
      </w:r>
      <w:r>
        <w:rPr>
          <w:rFonts w:hint="eastAsia" w:ascii="宋体" w:hAnsi="宋体"/>
          <w:kern w:val="0"/>
          <w:szCs w:val="21"/>
        </w:rPr>
        <w:t>。</w:t>
      </w:r>
    </w:p>
    <w:p w14:paraId="0BF85DF0">
      <w:pPr>
        <w:spacing w:line="360" w:lineRule="auto"/>
        <w:ind w:firstLine="420" w:firstLineChars="200"/>
        <w:jc w:val="left"/>
        <w:rPr>
          <w:rFonts w:ascii="宋体" w:hAnsi="宋体"/>
          <w:kern w:val="0"/>
          <w:szCs w:val="21"/>
        </w:rPr>
      </w:pPr>
      <w:r>
        <w:rPr>
          <w:rFonts w:hint="eastAsia" w:ascii="宋体" w:hAnsi="宋体"/>
          <w:kern w:val="0"/>
          <w:szCs w:val="21"/>
        </w:rPr>
        <w:t>发包人应按行业主管部门的相关规定将人工费（工资款）支付至承包人指定的农民工工资专用账户。</w:t>
      </w:r>
    </w:p>
    <w:p w14:paraId="5016B1E7">
      <w:pPr>
        <w:pStyle w:val="6"/>
        <w:keepNext/>
        <w:keepLines/>
        <w:spacing w:before="156" w:beforeLines="50" w:beforeAutospacing="0" w:after="156" w:afterLines="50" w:afterAutospacing="0" w:line="360" w:lineRule="auto"/>
        <w:jc w:val="both"/>
        <w:rPr>
          <w:bCs w:val="0"/>
          <w:kern w:val="2"/>
          <w:sz w:val="21"/>
          <w:szCs w:val="21"/>
        </w:rPr>
      </w:pPr>
      <w:bookmarkStart w:id="1129" w:name="_Toc532375651"/>
      <w:bookmarkStart w:id="1130" w:name="_Toc351203645"/>
      <w:bookmarkStart w:id="1131" w:name="_Toc532377388"/>
      <w:bookmarkStart w:id="1132" w:name="_Toc303539172"/>
      <w:bookmarkStart w:id="1133" w:name="_Toc296891047"/>
      <w:bookmarkStart w:id="1134" w:name="_Toc312678053"/>
      <w:bookmarkStart w:id="1135" w:name="_Toc296347218"/>
      <w:bookmarkStart w:id="1136" w:name="_Toc296891259"/>
      <w:bookmarkStart w:id="1137" w:name="_Toc304295593"/>
      <w:bookmarkStart w:id="1138" w:name="_Toc297048405"/>
      <w:bookmarkStart w:id="1139" w:name="_Toc297216223"/>
      <w:bookmarkStart w:id="1140" w:name="_Toc300935015"/>
      <w:bookmarkStart w:id="1141" w:name="_Toc296503219"/>
      <w:bookmarkStart w:id="1142" w:name="_Toc297123564"/>
      <w:bookmarkStart w:id="1143" w:name="_Toc292559929"/>
      <w:bookmarkStart w:id="1144" w:name="_Toc292559424"/>
      <w:bookmarkStart w:id="1145" w:name="_Toc296944558"/>
      <w:bookmarkStart w:id="1146" w:name="_Toc297120519"/>
      <w:bookmarkStart w:id="1147" w:name="_Toc296346720"/>
      <w:r>
        <w:rPr>
          <w:rFonts w:hint="eastAsia"/>
          <w:kern w:val="2"/>
          <w:sz w:val="21"/>
          <w:szCs w:val="21"/>
        </w:rPr>
        <w:t>13. 验收和工程试车</w:t>
      </w:r>
      <w:bookmarkEnd w:id="1129"/>
      <w:bookmarkEnd w:id="1130"/>
      <w:bookmarkEnd w:id="1131"/>
    </w:p>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p w14:paraId="5EF46D05">
      <w:pPr>
        <w:pStyle w:val="7"/>
        <w:spacing w:before="0" w:beforeAutospacing="0" w:after="0" w:afterAutospacing="0" w:line="360" w:lineRule="auto"/>
        <w:ind w:firstLine="422" w:firstLineChars="200"/>
        <w:rPr>
          <w:sz w:val="21"/>
          <w:szCs w:val="21"/>
        </w:rPr>
      </w:pPr>
      <w:bookmarkStart w:id="1148" w:name="_Toc532375652"/>
      <w:bookmarkStart w:id="1149" w:name="_Toc532377389"/>
      <w:bookmarkStart w:id="1150" w:name="_Toc280868704"/>
      <w:bookmarkStart w:id="1151" w:name="_Toc280868705"/>
      <w:bookmarkStart w:id="1152" w:name="_Toc280868706"/>
      <w:bookmarkStart w:id="1153" w:name="_Toc280868707"/>
      <w:bookmarkStart w:id="1154" w:name="_Toc280868708"/>
      <w:bookmarkStart w:id="1155" w:name="_Toc267251475"/>
      <w:bookmarkStart w:id="1156" w:name="_Toc280868709"/>
      <w:bookmarkStart w:id="1157" w:name="_Toc267251470"/>
      <w:bookmarkStart w:id="1158" w:name="_Toc267251471"/>
      <w:bookmarkStart w:id="1159" w:name="_Toc267251473"/>
      <w:bookmarkStart w:id="1160" w:name="_Toc267251474"/>
      <w:bookmarkStart w:id="1161" w:name="_Toc267251476"/>
      <w:bookmarkStart w:id="1162" w:name="_Toc267251472"/>
      <w:r>
        <w:rPr>
          <w:rFonts w:hint="eastAsia"/>
          <w:sz w:val="21"/>
          <w:szCs w:val="21"/>
        </w:rPr>
        <w:t>13.1 分部分项工程验收</w:t>
      </w:r>
      <w:bookmarkEnd w:id="1148"/>
      <w:bookmarkEnd w:id="1149"/>
    </w:p>
    <w:p w14:paraId="7A49060A">
      <w:pPr>
        <w:spacing w:line="360" w:lineRule="auto"/>
        <w:ind w:right="105" w:rightChars="50" w:firstLine="420" w:firstLineChars="200"/>
        <w:jc w:val="left"/>
        <w:rPr>
          <w:rFonts w:ascii="宋体" w:hAnsi="宋体"/>
          <w:szCs w:val="21"/>
        </w:rPr>
      </w:pPr>
      <w:r>
        <w:rPr>
          <w:rFonts w:hint="eastAsia" w:ascii="宋体" w:hAnsi="宋体"/>
          <w:szCs w:val="21"/>
        </w:rPr>
        <w:t>13.1.2 监理人不能按时进行验收时，应提前</w:t>
      </w:r>
      <w:r>
        <w:rPr>
          <w:rFonts w:hint="eastAsia" w:ascii="宋体" w:hAnsi="宋体"/>
          <w:szCs w:val="21"/>
          <w:u w:val="single"/>
        </w:rPr>
        <w:t>24</w:t>
      </w:r>
      <w:r>
        <w:rPr>
          <w:rFonts w:hint="eastAsia" w:ascii="宋体" w:hAnsi="宋体"/>
          <w:szCs w:val="21"/>
        </w:rPr>
        <w:t>小时提交书面延期要求。</w:t>
      </w:r>
    </w:p>
    <w:p w14:paraId="5515F9D0">
      <w:pPr>
        <w:spacing w:line="360" w:lineRule="auto"/>
        <w:ind w:right="105" w:rightChars="50" w:firstLine="420" w:firstLineChars="200"/>
        <w:jc w:val="left"/>
        <w:rPr>
          <w:rFonts w:ascii="宋体" w:hAnsi="宋体"/>
          <w:szCs w:val="21"/>
        </w:rPr>
      </w:pPr>
      <w:r>
        <w:rPr>
          <w:rFonts w:hint="eastAsia" w:ascii="宋体" w:hAnsi="宋体"/>
          <w:szCs w:val="21"/>
        </w:rPr>
        <w:t>关于延期最长不得超过：</w:t>
      </w:r>
      <w:r>
        <w:rPr>
          <w:rFonts w:hint="eastAsia" w:ascii="宋体" w:hAnsi="宋体"/>
          <w:szCs w:val="21"/>
          <w:u w:val="single"/>
        </w:rPr>
        <w:t>48</w:t>
      </w:r>
      <w:r>
        <w:rPr>
          <w:rFonts w:hint="eastAsia" w:ascii="宋体" w:hAnsi="宋体"/>
          <w:szCs w:val="21"/>
        </w:rPr>
        <w:t>小时。</w:t>
      </w:r>
    </w:p>
    <w:p w14:paraId="15E817DF">
      <w:pPr>
        <w:pStyle w:val="7"/>
        <w:spacing w:before="0" w:beforeAutospacing="0" w:after="0" w:afterAutospacing="0" w:line="360" w:lineRule="auto"/>
        <w:ind w:firstLine="422" w:firstLineChars="200"/>
        <w:rPr>
          <w:sz w:val="21"/>
          <w:szCs w:val="21"/>
        </w:rPr>
      </w:pPr>
      <w:bookmarkStart w:id="1163" w:name="_Toc532377390"/>
      <w:bookmarkStart w:id="1164" w:name="_Toc532375653"/>
      <w:bookmarkStart w:id="1165" w:name="_Toc296891263"/>
      <w:bookmarkStart w:id="1166" w:name="_Toc296944562"/>
      <w:bookmarkStart w:id="1167" w:name="_Toc296503223"/>
      <w:bookmarkStart w:id="1168" w:name="_Toc296347222"/>
      <w:bookmarkStart w:id="1169" w:name="_Toc292559933"/>
      <w:bookmarkStart w:id="1170" w:name="_Toc312678056"/>
      <w:bookmarkStart w:id="1171" w:name="_Toc297123565"/>
      <w:bookmarkStart w:id="1172" w:name="_Toc303539173"/>
      <w:bookmarkStart w:id="1173" w:name="_Toc296891051"/>
      <w:bookmarkStart w:id="1174" w:name="_Toc304295596"/>
      <w:bookmarkStart w:id="1175" w:name="_Toc297120523"/>
      <w:bookmarkStart w:id="1176" w:name="_Toc296346724"/>
      <w:bookmarkStart w:id="1177" w:name="_Toc292559428"/>
      <w:bookmarkStart w:id="1178" w:name="_Toc297216224"/>
      <w:bookmarkStart w:id="1179" w:name="_Toc297048409"/>
      <w:bookmarkStart w:id="1180" w:name="_Toc300935016"/>
      <w:r>
        <w:rPr>
          <w:rFonts w:hint="eastAsia"/>
          <w:sz w:val="21"/>
          <w:szCs w:val="21"/>
        </w:rPr>
        <w:t>13.2 竣工验收</w:t>
      </w:r>
      <w:bookmarkEnd w:id="1163"/>
      <w:bookmarkEnd w:id="1164"/>
    </w:p>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p w14:paraId="0B4DE3B6">
      <w:pPr>
        <w:spacing w:line="360" w:lineRule="auto"/>
        <w:ind w:right="105" w:rightChars="50" w:firstLine="420" w:firstLineChars="200"/>
        <w:jc w:val="left"/>
        <w:rPr>
          <w:rFonts w:ascii="宋体" w:hAnsi="宋体"/>
          <w:szCs w:val="21"/>
        </w:rPr>
      </w:pPr>
      <w:r>
        <w:rPr>
          <w:rFonts w:hint="eastAsia" w:ascii="宋体" w:hAnsi="宋体"/>
          <w:szCs w:val="21"/>
        </w:rPr>
        <w:t>13.2.2竣工验收程序</w:t>
      </w:r>
    </w:p>
    <w:bookmarkEnd w:id="1150"/>
    <w:p w14:paraId="72074D26">
      <w:pPr>
        <w:spacing w:line="360" w:lineRule="auto"/>
        <w:ind w:right="105" w:rightChars="50" w:firstLine="420" w:firstLineChars="200"/>
        <w:jc w:val="left"/>
        <w:rPr>
          <w:rFonts w:ascii="宋体" w:hAnsi="宋体"/>
          <w:szCs w:val="21"/>
        </w:rPr>
      </w:pPr>
      <w:r>
        <w:rPr>
          <w:rFonts w:hint="eastAsia" w:ascii="宋体" w:hAnsi="宋体"/>
          <w:szCs w:val="21"/>
        </w:rPr>
        <w:t>关于竣工验收程序的约定：工程完工且符合下列条件时，承包人可向发包人提供竣工报告，并要求验收：</w:t>
      </w:r>
    </w:p>
    <w:p w14:paraId="25215E54">
      <w:pPr>
        <w:spacing w:line="360" w:lineRule="auto"/>
        <w:ind w:right="105" w:rightChars="50" w:firstLine="420" w:firstLineChars="200"/>
        <w:jc w:val="left"/>
        <w:rPr>
          <w:rFonts w:ascii="宋体" w:hAnsi="宋体"/>
          <w:szCs w:val="21"/>
        </w:rPr>
      </w:pPr>
      <w:r>
        <w:rPr>
          <w:rFonts w:hint="eastAsia" w:ascii="宋体" w:hAnsi="宋体"/>
          <w:szCs w:val="21"/>
        </w:rPr>
        <w:t>（1）除发包人同意的甩项工作和缺陷修补工作外，合同范围内的全部工程以及有关工作，包括合同要求的试验、试运行以及检验均已完成，并符合合同要求；</w:t>
      </w:r>
    </w:p>
    <w:p w14:paraId="119E6985">
      <w:pPr>
        <w:spacing w:line="360" w:lineRule="auto"/>
        <w:ind w:right="105" w:rightChars="50" w:firstLine="420" w:firstLineChars="200"/>
        <w:jc w:val="left"/>
        <w:rPr>
          <w:rFonts w:ascii="宋体" w:hAnsi="宋体"/>
          <w:szCs w:val="21"/>
        </w:rPr>
      </w:pPr>
      <w:r>
        <w:rPr>
          <w:rFonts w:hint="eastAsia" w:ascii="宋体" w:hAnsi="宋体"/>
          <w:szCs w:val="21"/>
        </w:rPr>
        <w:t>（2）已按合同约定编制了甩项工作和缺陷修补工作清单以及相应的施工计划；</w:t>
      </w:r>
    </w:p>
    <w:p w14:paraId="178C8CAD">
      <w:pPr>
        <w:spacing w:line="360" w:lineRule="auto"/>
        <w:ind w:right="105" w:rightChars="50" w:firstLine="420" w:firstLineChars="200"/>
        <w:jc w:val="left"/>
        <w:rPr>
          <w:rFonts w:ascii="宋体" w:hAnsi="宋体"/>
          <w:szCs w:val="21"/>
        </w:rPr>
      </w:pPr>
      <w:r>
        <w:rPr>
          <w:rFonts w:hint="eastAsia" w:ascii="宋体" w:hAnsi="宋体"/>
          <w:szCs w:val="21"/>
        </w:rPr>
        <w:t>（3）已按合同约定的内容和份数备齐竣工资料。</w:t>
      </w:r>
    </w:p>
    <w:p w14:paraId="3BEACF5D">
      <w:pPr>
        <w:spacing w:line="360" w:lineRule="auto"/>
        <w:ind w:right="105" w:rightChars="50" w:firstLine="420" w:firstLineChars="200"/>
        <w:jc w:val="left"/>
        <w:rPr>
          <w:rFonts w:ascii="宋体" w:hAnsi="宋体"/>
          <w:szCs w:val="21"/>
        </w:rPr>
      </w:pPr>
      <w:r>
        <w:rPr>
          <w:rFonts w:hint="eastAsia" w:ascii="宋体" w:hAnsi="宋体"/>
          <w:szCs w:val="21"/>
        </w:rPr>
        <w:t>（4）</w:t>
      </w:r>
      <w:r>
        <w:rPr>
          <w:rFonts w:hint="eastAsia" w:ascii="宋体" w:hAnsi="宋体"/>
          <w:szCs w:val="21"/>
          <w:u w:val="single"/>
        </w:rPr>
        <w:t xml:space="preserve">        </w:t>
      </w:r>
      <w:r>
        <w:rPr>
          <w:rFonts w:hint="eastAsia" w:ascii="宋体" w:hAnsi="宋体"/>
          <w:szCs w:val="21"/>
        </w:rPr>
        <w:t>。</w:t>
      </w:r>
    </w:p>
    <w:p w14:paraId="17A28FCD">
      <w:pPr>
        <w:spacing w:line="360" w:lineRule="auto"/>
        <w:ind w:right="105" w:rightChars="50" w:firstLine="420" w:firstLineChars="200"/>
        <w:jc w:val="left"/>
        <w:rPr>
          <w:rFonts w:ascii="宋体" w:hAnsi="宋体"/>
          <w:szCs w:val="21"/>
        </w:rPr>
      </w:pPr>
      <w:r>
        <w:rPr>
          <w:rFonts w:hint="eastAsia" w:ascii="宋体" w:hAnsi="宋体"/>
          <w:szCs w:val="21"/>
        </w:rPr>
        <w:t>工程竣工及竣工资料：</w:t>
      </w:r>
    </w:p>
    <w:p w14:paraId="2E9FD55B">
      <w:pPr>
        <w:spacing w:line="360" w:lineRule="auto"/>
        <w:ind w:right="105" w:rightChars="50" w:firstLine="420" w:firstLineChars="200"/>
        <w:jc w:val="left"/>
        <w:rPr>
          <w:rFonts w:ascii="宋体" w:hAnsi="宋体"/>
          <w:szCs w:val="21"/>
        </w:rPr>
      </w:pPr>
      <w:r>
        <w:rPr>
          <w:rFonts w:hint="eastAsia" w:ascii="宋体" w:hAnsi="宋体"/>
          <w:szCs w:val="21"/>
          <w:u w:val="single"/>
        </w:rPr>
        <w:t>（1）发包人应在收到承包人竣工报告后14天内组织设计单位、监理单位、质监等其他部门进行验收，竣工日期以最后一次整改后通过竣工验收的时间为准</w:t>
      </w:r>
      <w:r>
        <w:rPr>
          <w:rFonts w:hint="eastAsia" w:ascii="宋体" w:hAnsi="宋体"/>
          <w:szCs w:val="21"/>
        </w:rPr>
        <w:t>。</w:t>
      </w:r>
    </w:p>
    <w:p w14:paraId="2E6A8C7B">
      <w:pPr>
        <w:spacing w:line="360" w:lineRule="auto"/>
        <w:ind w:right="105" w:rightChars="50" w:firstLine="420" w:firstLineChars="200"/>
        <w:jc w:val="left"/>
        <w:rPr>
          <w:rFonts w:ascii="宋体" w:hAnsi="宋体"/>
          <w:szCs w:val="21"/>
        </w:rPr>
      </w:pPr>
      <w:r>
        <w:rPr>
          <w:rFonts w:hint="eastAsia" w:ascii="宋体" w:hAnsi="宋体"/>
          <w:szCs w:val="21"/>
          <w:u w:val="single"/>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宋体" w:hAnsi="宋体"/>
          <w:szCs w:val="21"/>
        </w:rPr>
        <w:t>。</w:t>
      </w:r>
    </w:p>
    <w:p w14:paraId="053271B3">
      <w:pPr>
        <w:spacing w:line="360" w:lineRule="auto"/>
        <w:ind w:right="105" w:rightChars="50" w:firstLine="420" w:firstLineChars="200"/>
        <w:jc w:val="left"/>
        <w:rPr>
          <w:rFonts w:ascii="宋体" w:hAnsi="宋体"/>
          <w:szCs w:val="21"/>
          <w:u w:val="single"/>
        </w:rPr>
      </w:pPr>
      <w:r>
        <w:rPr>
          <w:rFonts w:hint="eastAsia" w:ascii="宋体" w:hAnsi="宋体"/>
          <w:szCs w:val="21"/>
        </w:rPr>
        <w:t>（3）承包人提供竣工资料的约定：</w:t>
      </w:r>
      <w:r>
        <w:rPr>
          <w:rFonts w:hint="eastAsia" w:ascii="宋体" w:hAnsi="宋体"/>
          <w:szCs w:val="21"/>
          <w:u w:val="single"/>
        </w:rPr>
        <w:t>承包人提供纸质版竣工图三套，电子版竣工图二套（刻光盘）</w:t>
      </w:r>
      <w:r>
        <w:rPr>
          <w:rFonts w:hint="eastAsia" w:ascii="宋体" w:hAnsi="宋体"/>
          <w:szCs w:val="21"/>
        </w:rPr>
        <w:t>。</w:t>
      </w:r>
    </w:p>
    <w:bookmarkEnd w:id="1151"/>
    <w:p w14:paraId="2BBD91A9">
      <w:pPr>
        <w:spacing w:line="360" w:lineRule="auto"/>
        <w:ind w:right="105" w:rightChars="50" w:firstLine="420" w:firstLineChars="200"/>
        <w:jc w:val="left"/>
        <w:rPr>
          <w:rFonts w:ascii="宋体" w:hAnsi="宋体"/>
          <w:szCs w:val="21"/>
        </w:rPr>
      </w:pPr>
      <w:r>
        <w:rPr>
          <w:rFonts w:hint="eastAsia" w:ascii="宋体" w:hAnsi="宋体"/>
          <w:szCs w:val="21"/>
        </w:rPr>
        <w:t>13.2.5 移交、接收全部与部分工程</w:t>
      </w:r>
    </w:p>
    <w:bookmarkEnd w:id="1152"/>
    <w:p w14:paraId="36D05AAA">
      <w:pPr>
        <w:spacing w:line="360" w:lineRule="auto"/>
        <w:ind w:right="105" w:rightChars="50" w:firstLine="420" w:firstLineChars="200"/>
        <w:jc w:val="left"/>
        <w:rPr>
          <w:rFonts w:ascii="宋体" w:hAnsi="宋体"/>
          <w:szCs w:val="21"/>
          <w:u w:val="single"/>
        </w:rPr>
      </w:pPr>
      <w:r>
        <w:rPr>
          <w:rFonts w:hint="eastAsia" w:ascii="宋体" w:hAnsi="宋体"/>
          <w:szCs w:val="21"/>
        </w:rPr>
        <w:t>承包人向发包人移交工程的期限：</w:t>
      </w:r>
      <w:r>
        <w:rPr>
          <w:rFonts w:hint="eastAsia" w:ascii="宋体" w:hAnsi="宋体"/>
          <w:szCs w:val="21"/>
          <w:u w:val="single"/>
        </w:rPr>
        <w:t>颁发工程接收证书后7天内完成工程的移交</w:t>
      </w:r>
      <w:r>
        <w:rPr>
          <w:rFonts w:hint="eastAsia" w:ascii="宋体" w:hAnsi="宋体"/>
          <w:szCs w:val="21"/>
        </w:rPr>
        <w:t>。</w:t>
      </w:r>
    </w:p>
    <w:p w14:paraId="0749E3BC">
      <w:pPr>
        <w:spacing w:line="360" w:lineRule="auto"/>
        <w:ind w:right="105" w:rightChars="50" w:firstLine="420" w:firstLineChars="200"/>
        <w:jc w:val="left"/>
        <w:rPr>
          <w:rFonts w:ascii="宋体" w:hAnsi="宋体"/>
          <w:szCs w:val="21"/>
          <w:u w:val="single"/>
        </w:rPr>
      </w:pPr>
      <w:r>
        <w:rPr>
          <w:rFonts w:hint="eastAsia" w:ascii="宋体" w:hAnsi="宋体"/>
          <w:szCs w:val="21"/>
          <w:u w:val="single"/>
        </w:rPr>
        <w:t>发包人未按合同约定接收全部或部分工程的，违约金的计算方法为：发包人自应当接收工程之日起承担工程照管、成品保护、保管等与工程有关的各项费用。</w:t>
      </w:r>
    </w:p>
    <w:bookmarkEnd w:id="1153"/>
    <w:p w14:paraId="7E0C4B6B">
      <w:pPr>
        <w:spacing w:line="360" w:lineRule="auto"/>
        <w:ind w:right="105" w:rightChars="50" w:firstLine="420" w:firstLineChars="200"/>
        <w:jc w:val="left"/>
        <w:rPr>
          <w:rFonts w:ascii="宋体" w:hAnsi="宋体"/>
          <w:szCs w:val="21"/>
          <w:u w:val="single"/>
        </w:rPr>
      </w:pPr>
      <w:r>
        <w:rPr>
          <w:rFonts w:hint="eastAsia" w:ascii="宋体" w:hAnsi="宋体"/>
          <w:szCs w:val="21"/>
        </w:rPr>
        <w:t>因承包人自身原因未按时移交工程的，违约金的计算方法为：</w:t>
      </w:r>
      <w:r>
        <w:rPr>
          <w:rFonts w:hint="eastAsia" w:ascii="宋体" w:hAnsi="宋体"/>
          <w:szCs w:val="21"/>
          <w:u w:val="single"/>
        </w:rPr>
        <w:t>承包人应承担工程照管、成品保护、保管等与工程有关的各项费用，并按经审定结算金额的0.5‰/天支付违约金</w:t>
      </w:r>
      <w:r>
        <w:rPr>
          <w:rFonts w:hint="eastAsia" w:ascii="宋体" w:hAnsi="宋体"/>
          <w:szCs w:val="21"/>
        </w:rPr>
        <w:t>。</w:t>
      </w:r>
    </w:p>
    <w:p w14:paraId="66B45014">
      <w:pPr>
        <w:pStyle w:val="7"/>
        <w:spacing w:before="0" w:beforeAutospacing="0" w:after="0" w:afterAutospacing="0" w:line="360" w:lineRule="auto"/>
        <w:ind w:firstLine="422" w:firstLineChars="200"/>
        <w:rPr>
          <w:sz w:val="21"/>
          <w:szCs w:val="21"/>
        </w:rPr>
      </w:pPr>
      <w:bookmarkStart w:id="1181" w:name="_Toc532377391"/>
      <w:bookmarkStart w:id="1182" w:name="_Toc532375654"/>
      <w:r>
        <w:rPr>
          <w:rFonts w:hint="eastAsia"/>
          <w:sz w:val="21"/>
          <w:szCs w:val="21"/>
        </w:rPr>
        <w:t>13.3 工程试车</w:t>
      </w:r>
      <w:bookmarkEnd w:id="1181"/>
      <w:bookmarkEnd w:id="1182"/>
    </w:p>
    <w:p w14:paraId="44C798B4">
      <w:pPr>
        <w:spacing w:line="360" w:lineRule="auto"/>
        <w:ind w:right="105" w:rightChars="50" w:firstLine="420" w:firstLineChars="200"/>
        <w:jc w:val="left"/>
        <w:rPr>
          <w:rFonts w:ascii="宋体" w:hAnsi="宋体"/>
          <w:szCs w:val="21"/>
        </w:rPr>
      </w:pPr>
      <w:r>
        <w:rPr>
          <w:rFonts w:hint="eastAsia" w:ascii="宋体" w:hAnsi="宋体"/>
          <w:szCs w:val="21"/>
        </w:rPr>
        <w:t>13.3.1 试车程序</w:t>
      </w:r>
    </w:p>
    <w:p w14:paraId="40F5E6A8">
      <w:pPr>
        <w:spacing w:line="360" w:lineRule="auto"/>
        <w:ind w:right="105" w:rightChars="50" w:firstLine="420" w:firstLineChars="200"/>
        <w:jc w:val="left"/>
        <w:rPr>
          <w:rFonts w:ascii="宋体" w:hAnsi="宋体"/>
          <w:szCs w:val="21"/>
        </w:rPr>
      </w:pPr>
      <w:r>
        <w:rPr>
          <w:rFonts w:hint="eastAsia" w:ascii="宋体" w:hAnsi="宋体"/>
          <w:szCs w:val="21"/>
        </w:rPr>
        <w:t>工程试车内容：</w:t>
      </w:r>
      <w:r>
        <w:rPr>
          <w:rFonts w:hint="eastAsia" w:ascii="宋体" w:hAnsi="宋体"/>
          <w:szCs w:val="21"/>
          <w:u w:val="single"/>
        </w:rPr>
        <w:t>按通用合同条款执行</w:t>
      </w:r>
      <w:r>
        <w:rPr>
          <w:rFonts w:hint="eastAsia" w:ascii="宋体" w:hAnsi="宋体"/>
          <w:szCs w:val="21"/>
        </w:rPr>
        <w:t>。</w:t>
      </w:r>
    </w:p>
    <w:p w14:paraId="7D49D610">
      <w:pPr>
        <w:spacing w:line="360" w:lineRule="auto"/>
        <w:ind w:right="105" w:rightChars="50" w:firstLine="420" w:firstLineChars="200"/>
        <w:jc w:val="left"/>
        <w:rPr>
          <w:rFonts w:ascii="宋体" w:hAnsi="宋体"/>
          <w:szCs w:val="21"/>
        </w:rPr>
      </w:pPr>
      <w:r>
        <w:rPr>
          <w:rFonts w:hint="eastAsia" w:ascii="宋体" w:hAnsi="宋体"/>
          <w:szCs w:val="21"/>
        </w:rPr>
        <w:t>（1）单机无负荷试车费用由</w:t>
      </w:r>
      <w:r>
        <w:rPr>
          <w:rFonts w:hint="eastAsia" w:ascii="宋体" w:hAnsi="宋体"/>
          <w:szCs w:val="21"/>
          <w:u w:val="single"/>
        </w:rPr>
        <w:t>承包人</w:t>
      </w:r>
      <w:r>
        <w:rPr>
          <w:rFonts w:hint="eastAsia" w:ascii="宋体" w:hAnsi="宋体"/>
          <w:szCs w:val="21"/>
        </w:rPr>
        <w:t>承担；</w:t>
      </w:r>
    </w:p>
    <w:p w14:paraId="6B69135A">
      <w:pPr>
        <w:spacing w:line="360" w:lineRule="auto"/>
        <w:ind w:right="105" w:rightChars="50" w:firstLine="420" w:firstLineChars="200"/>
        <w:jc w:val="left"/>
        <w:rPr>
          <w:rFonts w:ascii="宋体" w:hAnsi="宋体"/>
          <w:szCs w:val="21"/>
        </w:rPr>
      </w:pPr>
      <w:r>
        <w:rPr>
          <w:rFonts w:hint="eastAsia" w:ascii="宋体" w:hAnsi="宋体"/>
          <w:szCs w:val="21"/>
        </w:rPr>
        <w:t>（2）无负荷联动试车费用由</w:t>
      </w:r>
      <w:r>
        <w:rPr>
          <w:rFonts w:hint="eastAsia" w:ascii="宋体" w:hAnsi="宋体"/>
          <w:szCs w:val="21"/>
          <w:u w:val="single"/>
        </w:rPr>
        <w:t>承包人</w:t>
      </w:r>
      <w:r>
        <w:rPr>
          <w:rFonts w:hint="eastAsia" w:ascii="宋体" w:hAnsi="宋体"/>
          <w:szCs w:val="21"/>
        </w:rPr>
        <w:t>承担。</w:t>
      </w:r>
    </w:p>
    <w:p w14:paraId="4603D950">
      <w:pPr>
        <w:pStyle w:val="7"/>
        <w:spacing w:before="0" w:beforeAutospacing="0" w:after="0" w:afterAutospacing="0" w:line="360" w:lineRule="auto"/>
        <w:ind w:firstLine="422" w:firstLineChars="200"/>
        <w:rPr>
          <w:sz w:val="21"/>
          <w:szCs w:val="21"/>
        </w:rPr>
      </w:pPr>
      <w:bookmarkStart w:id="1183" w:name="_Toc532377392"/>
      <w:bookmarkStart w:id="1184" w:name="_Toc532375655"/>
      <w:r>
        <w:rPr>
          <w:rFonts w:hint="eastAsia"/>
          <w:sz w:val="21"/>
          <w:szCs w:val="21"/>
        </w:rPr>
        <w:t>13.6 竣工退场</w:t>
      </w:r>
      <w:bookmarkEnd w:id="1183"/>
      <w:bookmarkEnd w:id="1184"/>
    </w:p>
    <w:p w14:paraId="7E8795B9">
      <w:pPr>
        <w:spacing w:line="360" w:lineRule="auto"/>
        <w:ind w:right="105" w:rightChars="50" w:firstLine="420" w:firstLineChars="200"/>
        <w:jc w:val="left"/>
        <w:rPr>
          <w:rFonts w:ascii="宋体" w:hAnsi="宋体"/>
          <w:szCs w:val="21"/>
        </w:rPr>
      </w:pPr>
      <w:r>
        <w:rPr>
          <w:rFonts w:hint="eastAsia" w:ascii="宋体" w:hAnsi="宋体"/>
          <w:szCs w:val="21"/>
        </w:rPr>
        <w:t>13.6.1 竣工退场</w:t>
      </w:r>
    </w:p>
    <w:p w14:paraId="7145F54F">
      <w:pPr>
        <w:spacing w:line="360" w:lineRule="auto"/>
        <w:ind w:right="105" w:rightChars="50" w:firstLine="420" w:firstLineChars="200"/>
        <w:jc w:val="left"/>
        <w:rPr>
          <w:rFonts w:ascii="宋体" w:hAnsi="宋体"/>
          <w:szCs w:val="21"/>
          <w:u w:val="single"/>
        </w:rPr>
      </w:pPr>
      <w:r>
        <w:rPr>
          <w:rFonts w:hint="eastAsia" w:ascii="宋体" w:hAnsi="宋体"/>
          <w:szCs w:val="21"/>
        </w:rPr>
        <w:t>承包人完成竣工退场的期限：</w:t>
      </w:r>
      <w:r>
        <w:rPr>
          <w:rFonts w:hint="eastAsia" w:ascii="宋体" w:hAnsi="宋体"/>
          <w:szCs w:val="21"/>
          <w:u w:val="single"/>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szCs w:val="21"/>
        </w:rPr>
        <w:t>。</w:t>
      </w:r>
    </w:p>
    <w:bookmarkEnd w:id="1154"/>
    <w:p w14:paraId="37B68CEE">
      <w:pPr>
        <w:pStyle w:val="6"/>
        <w:keepNext/>
        <w:keepLines/>
        <w:spacing w:before="156" w:beforeLines="50" w:beforeAutospacing="0" w:after="156" w:afterLines="50" w:afterAutospacing="0" w:line="360" w:lineRule="auto"/>
        <w:jc w:val="both"/>
        <w:rPr>
          <w:bCs w:val="0"/>
          <w:kern w:val="2"/>
          <w:sz w:val="21"/>
          <w:szCs w:val="21"/>
        </w:rPr>
      </w:pPr>
      <w:bookmarkStart w:id="1185" w:name="_Toc351203646"/>
      <w:bookmarkStart w:id="1186" w:name="_Toc532375656"/>
      <w:bookmarkStart w:id="1187" w:name="_Toc532377393"/>
      <w:r>
        <w:rPr>
          <w:rFonts w:hint="eastAsia"/>
          <w:kern w:val="2"/>
          <w:sz w:val="21"/>
          <w:szCs w:val="21"/>
        </w:rPr>
        <w:t>14. 竣工结算</w:t>
      </w:r>
      <w:bookmarkEnd w:id="1185"/>
      <w:bookmarkEnd w:id="1186"/>
      <w:bookmarkEnd w:id="1187"/>
    </w:p>
    <w:p w14:paraId="1F6461B1">
      <w:pPr>
        <w:pStyle w:val="7"/>
        <w:spacing w:before="0" w:beforeAutospacing="0" w:after="0" w:afterAutospacing="0" w:line="360" w:lineRule="auto"/>
        <w:ind w:firstLine="422" w:firstLineChars="200"/>
        <w:rPr>
          <w:sz w:val="21"/>
          <w:szCs w:val="21"/>
        </w:rPr>
      </w:pPr>
      <w:bookmarkStart w:id="1188" w:name="_Toc532377394"/>
      <w:bookmarkStart w:id="1189" w:name="_Toc532375657"/>
      <w:r>
        <w:rPr>
          <w:rFonts w:hint="eastAsia"/>
          <w:sz w:val="21"/>
          <w:szCs w:val="21"/>
        </w:rPr>
        <w:t>14.1 竣工结算申请</w:t>
      </w:r>
      <w:bookmarkEnd w:id="1188"/>
      <w:bookmarkEnd w:id="1189"/>
    </w:p>
    <w:p w14:paraId="1B9B72A4">
      <w:pPr>
        <w:spacing w:line="360" w:lineRule="auto"/>
        <w:ind w:right="105" w:rightChars="50" w:firstLine="420" w:firstLineChars="200"/>
        <w:jc w:val="left"/>
        <w:rPr>
          <w:rFonts w:ascii="宋体" w:hAnsi="宋体"/>
          <w:szCs w:val="21"/>
          <w:u w:val="single"/>
        </w:rPr>
      </w:pPr>
      <w:r>
        <w:rPr>
          <w:rFonts w:hint="eastAsia" w:ascii="宋体" w:hAnsi="宋体"/>
          <w:szCs w:val="21"/>
        </w:rPr>
        <w:t>承包人提交竣工结算申请单的期限：</w:t>
      </w:r>
      <w:r>
        <w:rPr>
          <w:rFonts w:hint="eastAsia" w:ascii="宋体" w:hAnsi="宋体"/>
          <w:szCs w:val="21"/>
          <w:u w:val="single"/>
        </w:rPr>
        <w:t>承包人应在工程竣工验收合格且报送</w:t>
      </w:r>
      <w:r>
        <w:rPr>
          <w:rFonts w:ascii="宋体" w:hAnsi="宋体"/>
          <w:szCs w:val="21"/>
          <w:u w:val="single"/>
        </w:rPr>
        <w:t>完整工程竣工资料</w:t>
      </w:r>
      <w:r>
        <w:rPr>
          <w:rFonts w:hint="eastAsia" w:ascii="宋体" w:hAnsi="宋体"/>
          <w:szCs w:val="21"/>
          <w:u w:val="single"/>
        </w:rPr>
        <w:t>之日起28天内向监理人、发包人提交竣工结算申请单，并向发包人报送完整的工程竣工资料及经监理人初审确认的完整的竣工结算资料</w:t>
      </w:r>
      <w:bookmarkStart w:id="1190" w:name="_Hlk524297994"/>
      <w:r>
        <w:rPr>
          <w:rFonts w:hint="eastAsia" w:ascii="宋体" w:hAnsi="宋体"/>
          <w:szCs w:val="21"/>
          <w:u w:val="single"/>
        </w:rPr>
        <w:t>。监理人或发包人对竣工结算申请单有异议的，应在接到竣工结算申请单后14天内要求承包人进行修正和提供补充资料，承包人在接到监理人或发包人提出的审核意见后，应在28天内按监理人或发包人提出的合理要求补充资料、修改竣工结算资料，并再次提交监理人或发包人审核。承包人未在规定时间内报送竣工结算资料给发包人造成经济损失的，承包人应承担赔偿责任。</w:t>
      </w:r>
    </w:p>
    <w:p w14:paraId="47D2C65A">
      <w:pPr>
        <w:spacing w:line="360" w:lineRule="auto"/>
        <w:ind w:right="105" w:rightChars="50" w:firstLine="420" w:firstLineChars="200"/>
        <w:jc w:val="left"/>
        <w:rPr>
          <w:rFonts w:ascii="宋体" w:hAnsi="宋体"/>
          <w:szCs w:val="21"/>
        </w:rPr>
      </w:pPr>
      <w:r>
        <w:rPr>
          <w:rFonts w:hint="eastAsia" w:ascii="宋体" w:hAnsi="宋体"/>
          <w:szCs w:val="21"/>
        </w:rPr>
        <w:t>竣工结算申请单包括但不限于以下内容：</w:t>
      </w:r>
    </w:p>
    <w:p w14:paraId="33B93145">
      <w:pPr>
        <w:spacing w:line="360" w:lineRule="auto"/>
        <w:ind w:right="105" w:rightChars="50" w:firstLine="420" w:firstLineChars="200"/>
        <w:jc w:val="left"/>
        <w:rPr>
          <w:rFonts w:ascii="宋体" w:hAnsi="宋体"/>
          <w:szCs w:val="21"/>
        </w:rPr>
      </w:pPr>
      <w:r>
        <w:rPr>
          <w:rFonts w:hint="eastAsia" w:ascii="宋体" w:hAnsi="宋体"/>
          <w:szCs w:val="21"/>
        </w:rPr>
        <w:t>（1）竣工结算合同价格；</w:t>
      </w:r>
    </w:p>
    <w:p w14:paraId="350B52C6">
      <w:pPr>
        <w:spacing w:line="360" w:lineRule="auto"/>
        <w:ind w:right="105" w:rightChars="50" w:firstLine="420" w:firstLineChars="200"/>
        <w:jc w:val="left"/>
        <w:rPr>
          <w:rFonts w:ascii="宋体" w:hAnsi="宋体"/>
          <w:szCs w:val="21"/>
        </w:rPr>
      </w:pPr>
      <w:r>
        <w:rPr>
          <w:rFonts w:hint="eastAsia" w:ascii="宋体" w:hAnsi="宋体"/>
          <w:szCs w:val="21"/>
        </w:rPr>
        <w:t>（2）变更增减金额；</w:t>
      </w:r>
    </w:p>
    <w:p w14:paraId="139321B8">
      <w:pPr>
        <w:spacing w:line="360" w:lineRule="auto"/>
        <w:ind w:right="105" w:rightChars="50" w:firstLine="420" w:firstLineChars="200"/>
        <w:jc w:val="left"/>
        <w:rPr>
          <w:rFonts w:ascii="宋体" w:hAnsi="宋体"/>
          <w:szCs w:val="21"/>
        </w:rPr>
      </w:pPr>
      <w:r>
        <w:rPr>
          <w:rFonts w:hint="eastAsia" w:ascii="宋体" w:hAnsi="宋体"/>
          <w:szCs w:val="21"/>
        </w:rPr>
        <w:t>（3）现场签证增减金额；</w:t>
      </w:r>
    </w:p>
    <w:p w14:paraId="3747E3A1">
      <w:pPr>
        <w:spacing w:line="360" w:lineRule="auto"/>
        <w:ind w:right="105" w:rightChars="50" w:firstLine="420" w:firstLineChars="200"/>
        <w:jc w:val="left"/>
        <w:rPr>
          <w:rFonts w:ascii="宋体" w:hAnsi="宋体"/>
          <w:szCs w:val="21"/>
        </w:rPr>
      </w:pPr>
      <w:r>
        <w:rPr>
          <w:rFonts w:hint="eastAsia" w:ascii="宋体" w:hAnsi="宋体"/>
          <w:szCs w:val="21"/>
        </w:rPr>
        <w:t>（4）索赔增减金额；</w:t>
      </w:r>
    </w:p>
    <w:p w14:paraId="3D04B4B3">
      <w:pPr>
        <w:spacing w:line="360" w:lineRule="auto"/>
        <w:ind w:right="105" w:rightChars="50" w:firstLine="420" w:firstLineChars="200"/>
        <w:jc w:val="left"/>
        <w:rPr>
          <w:rFonts w:ascii="宋体" w:hAnsi="宋体"/>
          <w:szCs w:val="21"/>
        </w:rPr>
      </w:pPr>
      <w:r>
        <w:rPr>
          <w:rFonts w:hint="eastAsia" w:ascii="宋体" w:hAnsi="宋体"/>
          <w:szCs w:val="21"/>
        </w:rPr>
        <w:t>（5）奖励、罚金及违约金；</w:t>
      </w:r>
    </w:p>
    <w:p w14:paraId="57E4DDE8">
      <w:pPr>
        <w:spacing w:line="360" w:lineRule="auto"/>
        <w:ind w:right="105" w:rightChars="50" w:firstLine="420" w:firstLineChars="200"/>
        <w:jc w:val="left"/>
        <w:rPr>
          <w:rFonts w:ascii="宋体" w:hAnsi="宋体"/>
          <w:szCs w:val="21"/>
        </w:rPr>
      </w:pPr>
      <w:r>
        <w:rPr>
          <w:rFonts w:hint="eastAsia" w:ascii="宋体" w:hAnsi="宋体"/>
          <w:szCs w:val="21"/>
        </w:rPr>
        <w:t>（6）发包人已支付承包人的款项；</w:t>
      </w:r>
    </w:p>
    <w:p w14:paraId="6DAFC865">
      <w:pPr>
        <w:spacing w:line="360" w:lineRule="auto"/>
        <w:ind w:right="105" w:rightChars="50" w:firstLine="420" w:firstLineChars="200"/>
        <w:jc w:val="left"/>
        <w:rPr>
          <w:rFonts w:ascii="宋体" w:hAnsi="宋体"/>
          <w:szCs w:val="21"/>
        </w:rPr>
      </w:pPr>
      <w:r>
        <w:rPr>
          <w:rFonts w:hint="eastAsia" w:ascii="宋体" w:hAnsi="宋体"/>
          <w:szCs w:val="21"/>
        </w:rPr>
        <w:t>（7）应扣留的质量保证金；</w:t>
      </w:r>
    </w:p>
    <w:p w14:paraId="213F6026">
      <w:pPr>
        <w:spacing w:line="360" w:lineRule="auto"/>
        <w:ind w:right="105" w:rightChars="50" w:firstLine="420" w:firstLineChars="200"/>
        <w:jc w:val="left"/>
        <w:rPr>
          <w:rFonts w:ascii="宋体" w:hAnsi="宋体"/>
          <w:szCs w:val="21"/>
        </w:rPr>
      </w:pPr>
      <w:r>
        <w:rPr>
          <w:rFonts w:hint="eastAsia" w:ascii="宋体" w:hAnsi="宋体"/>
          <w:szCs w:val="21"/>
        </w:rPr>
        <w:t>（8）发包人应支付承包人的合同价款。</w:t>
      </w:r>
      <w:bookmarkEnd w:id="1190"/>
    </w:p>
    <w:p w14:paraId="762F54AB">
      <w:pPr>
        <w:spacing w:line="360" w:lineRule="auto"/>
        <w:ind w:right="105" w:rightChars="50" w:firstLine="420" w:firstLineChars="200"/>
        <w:jc w:val="left"/>
        <w:rPr>
          <w:rFonts w:ascii="宋体" w:hAnsi="宋体"/>
          <w:szCs w:val="21"/>
        </w:rPr>
      </w:pPr>
      <w:r>
        <w:rPr>
          <w:rFonts w:hint="eastAsia" w:ascii="宋体" w:hAnsi="宋体"/>
          <w:szCs w:val="21"/>
        </w:rPr>
        <w:t>（9）</w:t>
      </w:r>
      <w:r>
        <w:rPr>
          <w:rFonts w:hint="eastAsia" w:ascii="宋体" w:hAnsi="宋体"/>
          <w:szCs w:val="21"/>
          <w:u w:val="single"/>
        </w:rPr>
        <w:t xml:space="preserve">        </w:t>
      </w:r>
      <w:r>
        <w:rPr>
          <w:rFonts w:hint="eastAsia" w:ascii="宋体" w:hAnsi="宋体"/>
          <w:szCs w:val="21"/>
        </w:rPr>
        <w:t>。</w:t>
      </w:r>
    </w:p>
    <w:p w14:paraId="736EB708">
      <w:pPr>
        <w:pStyle w:val="7"/>
        <w:spacing w:before="0" w:beforeAutospacing="0" w:after="0" w:afterAutospacing="0" w:line="360" w:lineRule="auto"/>
        <w:ind w:firstLine="422" w:firstLineChars="200"/>
        <w:rPr>
          <w:sz w:val="21"/>
          <w:szCs w:val="21"/>
        </w:rPr>
      </w:pPr>
      <w:bookmarkStart w:id="1191" w:name="_Toc532377395"/>
      <w:bookmarkStart w:id="1192" w:name="_Toc532375658"/>
      <w:r>
        <w:rPr>
          <w:rFonts w:hint="eastAsia"/>
          <w:sz w:val="21"/>
          <w:szCs w:val="21"/>
        </w:rPr>
        <w:t>14.2 竣工结算审核</w:t>
      </w:r>
      <w:bookmarkEnd w:id="1191"/>
      <w:bookmarkEnd w:id="1192"/>
    </w:p>
    <w:p w14:paraId="6015984F">
      <w:pPr>
        <w:spacing w:line="360" w:lineRule="auto"/>
        <w:ind w:right="105" w:rightChars="50" w:firstLine="420" w:firstLineChars="200"/>
        <w:jc w:val="left"/>
        <w:rPr>
          <w:rFonts w:ascii="宋体" w:hAnsi="宋体"/>
          <w:szCs w:val="21"/>
        </w:rPr>
      </w:pPr>
      <w:r>
        <w:rPr>
          <w:rFonts w:hint="eastAsia" w:ascii="宋体" w:hAnsi="宋体"/>
          <w:szCs w:val="21"/>
        </w:rPr>
        <w:t>14.2.1 竣工结算办法</w:t>
      </w:r>
    </w:p>
    <w:p w14:paraId="0709701F">
      <w:pPr>
        <w:spacing w:line="360" w:lineRule="auto"/>
        <w:ind w:right="105" w:rightChars="50" w:firstLine="420" w:firstLineChars="200"/>
        <w:jc w:val="left"/>
        <w:rPr>
          <w:rFonts w:ascii="宋体" w:hAnsi="宋体"/>
          <w:szCs w:val="21"/>
        </w:rPr>
      </w:pPr>
      <w:r>
        <w:rPr>
          <w:rFonts w:hint="eastAsia" w:ascii="宋体" w:hAnsi="宋体"/>
          <w:szCs w:val="21"/>
        </w:rPr>
        <w:t>14.2.1.1计量原则</w:t>
      </w:r>
    </w:p>
    <w:p w14:paraId="7379A469">
      <w:pPr>
        <w:spacing w:line="360" w:lineRule="auto"/>
        <w:ind w:right="105" w:rightChars="50" w:firstLine="420" w:firstLineChars="200"/>
        <w:jc w:val="left"/>
        <w:rPr>
          <w:rFonts w:ascii="宋体" w:hAnsi="宋体"/>
          <w:szCs w:val="21"/>
          <w:u w:val="single"/>
        </w:rPr>
      </w:pPr>
      <w:r>
        <w:rPr>
          <w:rFonts w:hint="eastAsia" w:ascii="宋体" w:hAnsi="宋体"/>
          <w:szCs w:val="21"/>
        </w:rPr>
        <w:t>按照第12.3.1项〔计量原则〕约定执行。</w:t>
      </w:r>
    </w:p>
    <w:p w14:paraId="5C6FD5E1">
      <w:pPr>
        <w:spacing w:line="360" w:lineRule="auto"/>
        <w:ind w:right="105" w:rightChars="50" w:firstLine="420" w:firstLineChars="200"/>
        <w:jc w:val="left"/>
        <w:rPr>
          <w:rFonts w:ascii="宋体" w:hAnsi="宋体"/>
          <w:szCs w:val="21"/>
        </w:rPr>
      </w:pPr>
      <w:r>
        <w:rPr>
          <w:rFonts w:hint="eastAsia" w:ascii="宋体" w:hAnsi="宋体"/>
          <w:szCs w:val="21"/>
        </w:rPr>
        <w:t>14.2.1.2计价原则</w:t>
      </w:r>
    </w:p>
    <w:p w14:paraId="6545DFBB">
      <w:pPr>
        <w:spacing w:line="360" w:lineRule="auto"/>
        <w:ind w:right="105" w:rightChars="50" w:firstLine="420" w:firstLineChars="200"/>
        <w:jc w:val="left"/>
        <w:rPr>
          <w:rFonts w:ascii="宋体" w:hAnsi="宋体"/>
          <w:szCs w:val="21"/>
          <w:u w:val="single"/>
        </w:rPr>
      </w:pPr>
      <w:r>
        <w:rPr>
          <w:rFonts w:hint="eastAsia" w:ascii="宋体" w:hAnsi="宋体"/>
          <w:szCs w:val="21"/>
          <w:u w:val="single"/>
        </w:rPr>
        <w:t>合同竣工结算价=Σ分部分项工程结算价+Σ其他项目结算价±Σ价格调整（如有）±Σ变更、索赔与现场签证结算价±Σ奖励、罚金、违约金及其他费用</w:t>
      </w:r>
      <w:r>
        <w:rPr>
          <w:rFonts w:hint="eastAsia" w:ascii="宋体" w:hAnsi="宋体"/>
          <w:szCs w:val="21"/>
        </w:rPr>
        <w:t>。</w:t>
      </w:r>
    </w:p>
    <w:p w14:paraId="624181CE">
      <w:pPr>
        <w:spacing w:line="360" w:lineRule="auto"/>
        <w:ind w:right="105" w:rightChars="50" w:firstLine="420" w:firstLineChars="200"/>
        <w:jc w:val="left"/>
        <w:rPr>
          <w:rFonts w:ascii="宋体" w:hAnsi="宋体"/>
          <w:szCs w:val="21"/>
        </w:rPr>
      </w:pPr>
      <w:r>
        <w:rPr>
          <w:rFonts w:hint="eastAsia" w:ascii="宋体" w:hAnsi="宋体"/>
          <w:szCs w:val="21"/>
        </w:rPr>
        <w:t>具体结算办法如下：</w:t>
      </w:r>
    </w:p>
    <w:p w14:paraId="381E1EA0">
      <w:pPr>
        <w:tabs>
          <w:tab w:val="left" w:pos="711"/>
          <w:tab w:val="left" w:pos="2580"/>
        </w:tabs>
        <w:spacing w:line="360" w:lineRule="auto"/>
        <w:ind w:right="105" w:rightChars="50" w:firstLine="420" w:firstLineChars="200"/>
        <w:jc w:val="left"/>
        <w:textAlignment w:val="baseline"/>
        <w:rPr>
          <w:rFonts w:ascii="宋体" w:hAnsi="宋体"/>
          <w:szCs w:val="21"/>
        </w:rPr>
      </w:pPr>
      <w:r>
        <w:rPr>
          <w:rFonts w:hint="eastAsia" w:ascii="宋体" w:hAnsi="宋体"/>
          <w:szCs w:val="21"/>
        </w:rPr>
        <w:t>（1）分部分项工程：</w:t>
      </w:r>
    </w:p>
    <w:p w14:paraId="3E1AC417">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u w:val="single"/>
        </w:rPr>
        <w:t>①已标价工程量清单子目全费用综合单价按合同约定无需调整的，以按照竣工图和第12.3.1项〔计量原则〕约定确定的工程量乘以相应的已标价工程量清单子目综合单价确定该部分分部分项工程结算价</w:t>
      </w:r>
      <w:r>
        <w:rPr>
          <w:rFonts w:hint="eastAsia" w:ascii="宋体" w:hAnsi="宋体"/>
          <w:szCs w:val="21"/>
        </w:rPr>
        <w:t>；</w:t>
      </w:r>
    </w:p>
    <w:p w14:paraId="7F323362">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u w:val="single"/>
        </w:rPr>
        <w:t>②已标价工程量清单子目全费用综合单价按第11.3款〔严重不平衡报价引起的调整〕约定需要修正全费用综合单价的，结算工程量超过已标价工程量15%的，超出部分工程量乘以按第11.3款〔严重不平衡报价引起的调整〕约定修正全费用综合单价确定该部分分部分项工程结算价</w:t>
      </w:r>
      <w:r>
        <w:rPr>
          <w:rFonts w:hint="eastAsia" w:ascii="宋体" w:hAnsi="宋体"/>
          <w:szCs w:val="21"/>
        </w:rPr>
        <w:t>；</w:t>
      </w:r>
    </w:p>
    <w:p w14:paraId="706C1D8C">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u w:val="single"/>
        </w:rPr>
        <w:t>③需要对没有填入全费用综合单价或总额价的子目项目进行扣减的，第12.3.1项〔计量原则〕约定确定的工程量乘以按照10.4.1〔变更估价原则〕（3）目约定的全费用综合单价进行扣减</w:t>
      </w:r>
      <w:r>
        <w:rPr>
          <w:rFonts w:hint="eastAsia" w:ascii="宋体" w:hAnsi="宋体"/>
          <w:szCs w:val="21"/>
        </w:rPr>
        <w:t>；</w:t>
      </w:r>
    </w:p>
    <w:p w14:paraId="7A69575A">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u w:val="single"/>
        </w:rPr>
        <w:t>④合同、已标价工程量清单和招标文件另有约定的，按照其约定执行</w:t>
      </w:r>
      <w:r>
        <w:rPr>
          <w:rFonts w:hint="eastAsia" w:ascii="宋体" w:hAnsi="宋体"/>
          <w:szCs w:val="21"/>
        </w:rPr>
        <w:t>。</w:t>
      </w:r>
    </w:p>
    <w:p w14:paraId="0404891D">
      <w:pPr>
        <w:tabs>
          <w:tab w:val="left" w:pos="711"/>
          <w:tab w:val="left" w:pos="2580"/>
        </w:tabs>
        <w:spacing w:line="360" w:lineRule="auto"/>
        <w:ind w:right="105" w:rightChars="50" w:firstLine="420" w:firstLineChars="200"/>
        <w:jc w:val="left"/>
        <w:textAlignment w:val="baseline"/>
        <w:rPr>
          <w:rFonts w:ascii="宋体" w:hAnsi="宋体"/>
          <w:szCs w:val="21"/>
        </w:rPr>
      </w:pPr>
      <w:r>
        <w:rPr>
          <w:rFonts w:hint="eastAsia" w:ascii="宋体" w:hAnsi="宋体"/>
          <w:szCs w:val="21"/>
        </w:rPr>
        <w:t>（2）其他项目：</w:t>
      </w:r>
    </w:p>
    <w:p w14:paraId="6CE1C205">
      <w:pPr>
        <w:spacing w:line="360" w:lineRule="auto"/>
        <w:ind w:right="105" w:rightChars="50" w:firstLine="420" w:firstLineChars="200"/>
        <w:jc w:val="left"/>
        <w:rPr>
          <w:rFonts w:ascii="宋体" w:hAnsi="宋体"/>
          <w:szCs w:val="21"/>
        </w:rPr>
      </w:pPr>
      <w:r>
        <w:rPr>
          <w:rFonts w:hint="eastAsia" w:ascii="宋体" w:hAnsi="宋体"/>
          <w:szCs w:val="21"/>
        </w:rPr>
        <w:t>①材料（工程设备）暂估价：</w:t>
      </w:r>
      <w:r>
        <w:rPr>
          <w:rFonts w:hint="eastAsia" w:ascii="宋体" w:hAnsi="宋体"/>
          <w:szCs w:val="21"/>
          <w:u w:val="single"/>
        </w:rPr>
        <w:t>按照第12.3.1项〔计量原则〕约定及对应定额消耗量确定的数量乘以监理人、跟审单位、发包人根据市场行情认质核价确定的价格进行结算</w:t>
      </w:r>
      <w:r>
        <w:rPr>
          <w:rFonts w:hint="eastAsia" w:ascii="宋体" w:hAnsi="宋体"/>
          <w:szCs w:val="21"/>
        </w:rPr>
        <w:t>。</w:t>
      </w:r>
    </w:p>
    <w:p w14:paraId="0DC207E0">
      <w:pPr>
        <w:spacing w:line="360" w:lineRule="auto"/>
        <w:ind w:right="105" w:rightChars="50" w:firstLine="420" w:firstLineChars="200"/>
        <w:jc w:val="left"/>
        <w:rPr>
          <w:rFonts w:ascii="宋体" w:hAnsi="宋体"/>
          <w:szCs w:val="21"/>
        </w:rPr>
      </w:pPr>
      <w:r>
        <w:rPr>
          <w:rFonts w:hint="eastAsia" w:ascii="宋体" w:hAnsi="宋体"/>
          <w:szCs w:val="21"/>
        </w:rPr>
        <w:t>②专业工程暂估价：</w:t>
      </w:r>
    </w:p>
    <w:p w14:paraId="2C08464C">
      <w:pPr>
        <w:spacing w:line="360" w:lineRule="auto"/>
        <w:ind w:right="105" w:rightChars="50" w:firstLine="420" w:firstLineChars="200"/>
        <w:jc w:val="left"/>
        <w:rPr>
          <w:rFonts w:ascii="宋体" w:hAnsi="宋体"/>
          <w:szCs w:val="21"/>
        </w:rPr>
      </w:pPr>
      <w:r>
        <w:rPr>
          <w:rFonts w:hint="eastAsia" w:ascii="宋体" w:hAnsi="宋体"/>
          <w:szCs w:val="21"/>
          <w:u w:val="single"/>
        </w:rPr>
        <w:t>1）对于不属于依法必须招标的暂估价项目：按发包人审定的价格进行结算</w:t>
      </w:r>
      <w:r>
        <w:rPr>
          <w:rFonts w:hint="eastAsia" w:ascii="宋体" w:hAnsi="宋体"/>
          <w:szCs w:val="21"/>
        </w:rPr>
        <w:t>。</w:t>
      </w:r>
    </w:p>
    <w:p w14:paraId="498C00CC">
      <w:pPr>
        <w:spacing w:line="360" w:lineRule="auto"/>
        <w:ind w:right="105" w:rightChars="50" w:firstLine="420" w:firstLineChars="200"/>
        <w:jc w:val="left"/>
        <w:rPr>
          <w:rFonts w:ascii="宋体" w:hAnsi="宋体"/>
          <w:szCs w:val="21"/>
        </w:rPr>
      </w:pPr>
      <w:r>
        <w:rPr>
          <w:rFonts w:hint="eastAsia" w:ascii="宋体" w:hAnsi="宋体"/>
          <w:szCs w:val="21"/>
          <w:u w:val="single"/>
        </w:rPr>
        <w:t>2）对于依法必须招标的暂估价项目：达到招标规模标准的暂估价内容，包括专业工程暂估价和材料设备暂估价均应招标确定，并按暂估价招标文件约定结算</w:t>
      </w:r>
      <w:r>
        <w:rPr>
          <w:rFonts w:hint="eastAsia" w:ascii="宋体" w:hAnsi="宋体"/>
          <w:szCs w:val="21"/>
        </w:rPr>
        <w:t>。</w:t>
      </w:r>
    </w:p>
    <w:p w14:paraId="1CD9C0F7">
      <w:pPr>
        <w:spacing w:line="360" w:lineRule="auto"/>
        <w:ind w:right="105" w:rightChars="50" w:firstLine="420" w:firstLineChars="200"/>
        <w:jc w:val="left"/>
        <w:rPr>
          <w:rFonts w:ascii="宋体" w:hAnsi="宋体"/>
          <w:szCs w:val="21"/>
        </w:rPr>
      </w:pPr>
      <w:r>
        <w:rPr>
          <w:rFonts w:hint="eastAsia" w:ascii="宋体" w:hAnsi="宋体"/>
          <w:szCs w:val="21"/>
          <w:u w:val="single"/>
        </w:rPr>
        <w:t>3）总承包服务费：总承包服务费包干使用，结算时不作调整</w:t>
      </w:r>
      <w:r>
        <w:rPr>
          <w:rFonts w:hint="eastAsia" w:ascii="宋体" w:hAnsi="宋体"/>
          <w:szCs w:val="21"/>
        </w:rPr>
        <w:t>。</w:t>
      </w:r>
    </w:p>
    <w:p w14:paraId="5E9E3D6A">
      <w:pPr>
        <w:tabs>
          <w:tab w:val="left" w:pos="711"/>
          <w:tab w:val="left" w:pos="2580"/>
        </w:tabs>
        <w:spacing w:line="360" w:lineRule="auto"/>
        <w:ind w:right="105" w:rightChars="50" w:firstLine="420" w:firstLineChars="200"/>
        <w:jc w:val="left"/>
        <w:textAlignment w:val="baseline"/>
        <w:rPr>
          <w:rFonts w:ascii="宋体" w:hAnsi="宋体"/>
          <w:szCs w:val="21"/>
        </w:rPr>
      </w:pPr>
      <w:r>
        <w:rPr>
          <w:rFonts w:hint="eastAsia" w:ascii="宋体" w:hAnsi="宋体"/>
          <w:szCs w:val="21"/>
        </w:rPr>
        <w:t>（3）价格调整：</w:t>
      </w:r>
      <w:r>
        <w:rPr>
          <w:rFonts w:hint="eastAsia" w:ascii="宋体" w:hAnsi="宋体"/>
          <w:szCs w:val="21"/>
          <w:u w:val="single"/>
        </w:rPr>
        <w:t>按照第11条〔价格调整〕约定约定执行</w:t>
      </w:r>
      <w:r>
        <w:rPr>
          <w:rFonts w:hint="eastAsia" w:ascii="宋体" w:hAnsi="宋体"/>
          <w:szCs w:val="21"/>
        </w:rPr>
        <w:t>。</w:t>
      </w:r>
    </w:p>
    <w:p w14:paraId="5E059983">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rPr>
        <w:t>（4）工程变更、索赔与现场签证：</w:t>
      </w:r>
    </w:p>
    <w:p w14:paraId="1C3EDFF6">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rPr>
        <w:t>1）工程变更：按照第10.4.1项〔变更估价原则〕约定确定为总价包干的，按审定包干总价计入结算；其余项目按照有效的竣工结算资料和第12.3.1项〔计量原则〕约定确定的工程量乘以相应的按照第10.4.1项〔变更估价原则〕约定确定综合单价来确定该部分结算价。</w:t>
      </w:r>
    </w:p>
    <w:p w14:paraId="093F35E2">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rPr>
        <w:t>2）索赔：按照第10.4.1项〔变更估价原则〕和第14.2.1项〔竣工结算办法〕约定执行。</w:t>
      </w:r>
    </w:p>
    <w:p w14:paraId="0EB2C905">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rPr>
        <w:t>3）现场签证：按照第10.4.1项〔变更估价原则〕和第14.2.1项〔竣工结算办法〕约定执行。</w:t>
      </w:r>
    </w:p>
    <w:p w14:paraId="5C870E77">
      <w:pPr>
        <w:tabs>
          <w:tab w:val="left" w:pos="711"/>
          <w:tab w:val="left" w:pos="2580"/>
        </w:tabs>
        <w:spacing w:line="360" w:lineRule="auto"/>
        <w:ind w:right="105" w:rightChars="50" w:firstLine="420" w:firstLineChars="200"/>
        <w:jc w:val="left"/>
        <w:textAlignment w:val="baseline"/>
        <w:rPr>
          <w:rFonts w:ascii="宋体" w:hAnsi="宋体"/>
          <w:szCs w:val="21"/>
          <w:u w:val="single"/>
        </w:rPr>
      </w:pPr>
      <w:r>
        <w:rPr>
          <w:rFonts w:hint="eastAsia" w:ascii="宋体" w:hAnsi="宋体"/>
          <w:szCs w:val="21"/>
        </w:rPr>
        <w:t>（6）奖励、罚金、违约金及其他费用：</w:t>
      </w:r>
      <w:r>
        <w:rPr>
          <w:rFonts w:hint="eastAsia" w:ascii="宋体" w:hAnsi="宋体"/>
          <w:szCs w:val="21"/>
          <w:u w:val="single"/>
        </w:rPr>
        <w:t>按实进行结算</w:t>
      </w:r>
      <w:r>
        <w:rPr>
          <w:rFonts w:hint="eastAsia" w:ascii="宋体" w:hAnsi="宋体"/>
          <w:szCs w:val="21"/>
        </w:rPr>
        <w:t>。</w:t>
      </w:r>
    </w:p>
    <w:p w14:paraId="0FD533EB">
      <w:pPr>
        <w:spacing w:line="360" w:lineRule="auto"/>
        <w:ind w:right="105" w:rightChars="50" w:firstLine="420" w:firstLineChars="200"/>
        <w:jc w:val="left"/>
        <w:rPr>
          <w:rFonts w:ascii="宋体" w:hAnsi="宋体"/>
          <w:szCs w:val="21"/>
        </w:rPr>
      </w:pPr>
      <w:r>
        <w:rPr>
          <w:rFonts w:hint="eastAsia" w:ascii="宋体" w:hAnsi="宋体"/>
          <w:szCs w:val="21"/>
        </w:rPr>
        <w:t>14.2.1.3竣工结算价</w:t>
      </w:r>
    </w:p>
    <w:p w14:paraId="7C574069">
      <w:pPr>
        <w:tabs>
          <w:tab w:val="left" w:pos="711"/>
          <w:tab w:val="left" w:pos="2580"/>
        </w:tabs>
        <w:spacing w:line="360" w:lineRule="auto"/>
        <w:ind w:right="105" w:rightChars="50" w:firstLine="420" w:firstLineChars="200"/>
        <w:jc w:val="left"/>
        <w:textAlignment w:val="baseline"/>
        <w:rPr>
          <w:rFonts w:ascii="宋体" w:hAnsi="宋体"/>
          <w:szCs w:val="21"/>
          <w:u w:val="single"/>
        </w:rPr>
      </w:pPr>
      <w:bookmarkStart w:id="1193" w:name="_Hlk528660512"/>
      <w:r>
        <w:rPr>
          <w:rFonts w:hint="eastAsia" w:ascii="宋体" w:hAnsi="宋体"/>
          <w:szCs w:val="21"/>
          <w:u w:val="single"/>
        </w:rPr>
        <w:t>以发包人会同跟审单位、监理人、承包人根据有效资料共同确定竣工结算金额作为合同竣工结算价</w:t>
      </w:r>
      <w:r>
        <w:rPr>
          <w:rFonts w:hint="eastAsia" w:ascii="宋体" w:hAnsi="宋体"/>
          <w:szCs w:val="21"/>
        </w:rPr>
        <w:t>。</w:t>
      </w:r>
    </w:p>
    <w:bookmarkEnd w:id="1193"/>
    <w:p w14:paraId="6474A145">
      <w:pPr>
        <w:spacing w:line="360" w:lineRule="auto"/>
        <w:ind w:right="105" w:rightChars="50" w:firstLine="420" w:firstLineChars="200"/>
        <w:jc w:val="left"/>
        <w:rPr>
          <w:rFonts w:ascii="宋体" w:hAnsi="宋体"/>
          <w:szCs w:val="21"/>
        </w:rPr>
      </w:pPr>
      <w:r>
        <w:rPr>
          <w:rFonts w:hint="eastAsia" w:ascii="宋体" w:hAnsi="宋体"/>
          <w:szCs w:val="21"/>
        </w:rPr>
        <w:t>14.2.2 竣工结算审核期限</w:t>
      </w:r>
    </w:p>
    <w:p w14:paraId="62945F60">
      <w:pPr>
        <w:spacing w:line="360" w:lineRule="auto"/>
        <w:ind w:right="105" w:rightChars="50" w:firstLine="420" w:firstLineChars="200"/>
        <w:jc w:val="left"/>
        <w:rPr>
          <w:rFonts w:ascii="宋体" w:hAnsi="宋体"/>
          <w:szCs w:val="21"/>
        </w:rPr>
      </w:pPr>
      <w:r>
        <w:rPr>
          <w:rFonts w:hint="eastAsia" w:ascii="宋体" w:hAnsi="宋体"/>
          <w:szCs w:val="21"/>
        </w:rPr>
        <w:t>监理人审核竣工付款申请单的期限：</w:t>
      </w:r>
      <w:r>
        <w:rPr>
          <w:rFonts w:hint="eastAsia" w:ascii="宋体" w:hAnsi="宋体"/>
          <w:szCs w:val="21"/>
          <w:u w:val="single"/>
        </w:rPr>
        <w:t>不超过  日</w:t>
      </w:r>
      <w:r>
        <w:rPr>
          <w:rFonts w:hint="eastAsia" w:ascii="宋体" w:hAnsi="宋体"/>
          <w:szCs w:val="21"/>
        </w:rPr>
        <w:t>。</w:t>
      </w:r>
    </w:p>
    <w:p w14:paraId="635266FA">
      <w:pPr>
        <w:spacing w:line="360" w:lineRule="auto"/>
        <w:ind w:right="105" w:rightChars="50" w:firstLine="420" w:firstLineChars="200"/>
        <w:jc w:val="left"/>
        <w:rPr>
          <w:rFonts w:ascii="宋体" w:hAnsi="宋体"/>
          <w:szCs w:val="21"/>
        </w:rPr>
      </w:pPr>
      <w:r>
        <w:rPr>
          <w:rFonts w:hint="eastAsia" w:ascii="宋体" w:hAnsi="宋体"/>
          <w:szCs w:val="21"/>
        </w:rPr>
        <w:t>发包人审核竣工付款申请单的期限：</w:t>
      </w:r>
      <w:r>
        <w:rPr>
          <w:rFonts w:hint="eastAsia" w:ascii="宋体" w:hAnsi="宋体"/>
          <w:szCs w:val="21"/>
          <w:u w:val="single"/>
        </w:rPr>
        <w:t>不超过  日</w:t>
      </w:r>
      <w:r>
        <w:rPr>
          <w:rFonts w:hint="eastAsia" w:ascii="宋体" w:hAnsi="宋体"/>
          <w:szCs w:val="21"/>
        </w:rPr>
        <w:t>。</w:t>
      </w:r>
    </w:p>
    <w:p w14:paraId="3898D774">
      <w:pPr>
        <w:spacing w:line="360" w:lineRule="auto"/>
        <w:ind w:right="105" w:rightChars="50" w:firstLine="420" w:firstLineChars="200"/>
        <w:jc w:val="left"/>
        <w:rPr>
          <w:rFonts w:ascii="宋体" w:hAnsi="宋体"/>
          <w:szCs w:val="21"/>
        </w:rPr>
      </w:pPr>
      <w:r>
        <w:rPr>
          <w:rFonts w:hint="eastAsia" w:ascii="宋体" w:hAnsi="宋体"/>
          <w:szCs w:val="21"/>
        </w:rPr>
        <w:t>发包人完成竣工付款的期限：</w:t>
      </w:r>
      <w:r>
        <w:rPr>
          <w:rFonts w:hint="eastAsia" w:ascii="宋体" w:hAnsi="宋体"/>
          <w:szCs w:val="21"/>
          <w:u w:val="single"/>
        </w:rPr>
        <w:t>完成竣工付款申请单审核后  天内</w:t>
      </w:r>
      <w:r>
        <w:rPr>
          <w:rFonts w:hint="eastAsia" w:ascii="宋体" w:hAnsi="宋体"/>
          <w:szCs w:val="21"/>
        </w:rPr>
        <w:t>。</w:t>
      </w:r>
    </w:p>
    <w:p w14:paraId="74292098">
      <w:pPr>
        <w:spacing w:line="360" w:lineRule="auto"/>
        <w:ind w:right="105" w:rightChars="50" w:firstLine="420" w:firstLineChars="200"/>
        <w:jc w:val="left"/>
        <w:rPr>
          <w:rFonts w:ascii="宋体" w:hAnsi="宋体"/>
          <w:szCs w:val="21"/>
        </w:rPr>
      </w:pPr>
      <w:r>
        <w:rPr>
          <w:rFonts w:hint="eastAsia" w:ascii="宋体" w:hAnsi="宋体"/>
          <w:szCs w:val="21"/>
        </w:rPr>
        <w:t>关于竣工付款证书异议部分复核的方式和程序： 按照第20条〔争议解决〕约定处理。</w:t>
      </w:r>
    </w:p>
    <w:p w14:paraId="510AE851">
      <w:pPr>
        <w:pStyle w:val="7"/>
        <w:spacing w:before="0" w:beforeAutospacing="0" w:after="0" w:afterAutospacing="0" w:line="360" w:lineRule="auto"/>
        <w:ind w:firstLine="422" w:firstLineChars="200"/>
        <w:rPr>
          <w:sz w:val="21"/>
          <w:szCs w:val="21"/>
        </w:rPr>
      </w:pPr>
      <w:bookmarkStart w:id="1194" w:name="_Toc532375659"/>
      <w:bookmarkStart w:id="1195" w:name="_Toc532377396"/>
      <w:r>
        <w:rPr>
          <w:rFonts w:hint="eastAsia"/>
          <w:sz w:val="21"/>
          <w:szCs w:val="21"/>
        </w:rPr>
        <w:t>14.4 最终结清</w:t>
      </w:r>
      <w:bookmarkEnd w:id="1194"/>
      <w:bookmarkEnd w:id="1195"/>
    </w:p>
    <w:p w14:paraId="40AE3D1A">
      <w:pPr>
        <w:spacing w:line="360" w:lineRule="auto"/>
        <w:ind w:right="105" w:rightChars="50" w:firstLine="420" w:firstLineChars="200"/>
        <w:jc w:val="left"/>
        <w:rPr>
          <w:rFonts w:ascii="宋体" w:hAnsi="宋体"/>
          <w:szCs w:val="21"/>
        </w:rPr>
      </w:pPr>
      <w:r>
        <w:rPr>
          <w:rFonts w:hint="eastAsia" w:ascii="宋体" w:hAnsi="宋体"/>
          <w:szCs w:val="21"/>
        </w:rPr>
        <w:t>14.4.1 最终结清申请单</w:t>
      </w:r>
    </w:p>
    <w:p w14:paraId="1A3D644B">
      <w:pPr>
        <w:spacing w:line="360" w:lineRule="auto"/>
        <w:ind w:right="105" w:rightChars="50" w:firstLine="420" w:firstLineChars="200"/>
        <w:jc w:val="left"/>
        <w:rPr>
          <w:rFonts w:ascii="宋体" w:hAnsi="宋体"/>
          <w:szCs w:val="21"/>
        </w:rPr>
      </w:pPr>
      <w:r>
        <w:rPr>
          <w:rFonts w:hint="eastAsia" w:ascii="宋体" w:hAnsi="宋体"/>
          <w:szCs w:val="21"/>
        </w:rPr>
        <w:t>承包人提交最终结清申请单的份数：</w:t>
      </w:r>
      <w:r>
        <w:rPr>
          <w:rFonts w:hint="eastAsia" w:ascii="宋体" w:hAnsi="宋体"/>
          <w:szCs w:val="21"/>
          <w:u w:val="single"/>
        </w:rPr>
        <w:t>3份</w:t>
      </w:r>
      <w:r>
        <w:rPr>
          <w:rFonts w:hint="eastAsia" w:ascii="宋体" w:hAnsi="宋体"/>
          <w:szCs w:val="21"/>
        </w:rPr>
        <w:t>。</w:t>
      </w:r>
    </w:p>
    <w:p w14:paraId="3CC879B4">
      <w:pPr>
        <w:spacing w:line="360" w:lineRule="auto"/>
        <w:ind w:right="105" w:rightChars="50" w:firstLine="420" w:firstLineChars="200"/>
        <w:jc w:val="left"/>
        <w:rPr>
          <w:rFonts w:ascii="宋体" w:hAnsi="宋体"/>
          <w:szCs w:val="21"/>
        </w:rPr>
      </w:pPr>
      <w:r>
        <w:rPr>
          <w:rFonts w:hint="eastAsia" w:ascii="宋体" w:hAnsi="宋体"/>
          <w:szCs w:val="21"/>
        </w:rPr>
        <w:t>承包人提交最终结算申请单的期限：</w:t>
      </w:r>
      <w:r>
        <w:rPr>
          <w:rFonts w:hint="eastAsia" w:ascii="宋体" w:hAnsi="宋体"/>
          <w:szCs w:val="21"/>
          <w:u w:val="single"/>
        </w:rPr>
        <w:t>缺陷责任期终止证书颁发后14天内</w:t>
      </w:r>
      <w:r>
        <w:rPr>
          <w:rFonts w:hint="eastAsia" w:ascii="宋体" w:hAnsi="宋体"/>
          <w:szCs w:val="21"/>
        </w:rPr>
        <w:t>。</w:t>
      </w:r>
    </w:p>
    <w:p w14:paraId="5F9D0159">
      <w:pPr>
        <w:spacing w:line="360" w:lineRule="auto"/>
        <w:ind w:right="105" w:rightChars="50" w:firstLine="420" w:firstLineChars="200"/>
        <w:jc w:val="left"/>
        <w:rPr>
          <w:rFonts w:ascii="宋体" w:hAnsi="宋体"/>
          <w:szCs w:val="21"/>
        </w:rPr>
      </w:pPr>
      <w:r>
        <w:rPr>
          <w:rFonts w:hint="eastAsia" w:ascii="宋体" w:hAnsi="宋体"/>
          <w:szCs w:val="21"/>
        </w:rPr>
        <w:t>14.4.2 最终结清证书和支付</w:t>
      </w:r>
    </w:p>
    <w:p w14:paraId="2F450D17">
      <w:pPr>
        <w:spacing w:line="360" w:lineRule="auto"/>
        <w:ind w:right="105" w:rightChars="50" w:firstLine="420" w:firstLineChars="200"/>
        <w:jc w:val="left"/>
        <w:rPr>
          <w:rFonts w:ascii="宋体" w:hAnsi="宋体"/>
          <w:szCs w:val="21"/>
        </w:rPr>
      </w:pPr>
      <w:r>
        <w:rPr>
          <w:rFonts w:hint="eastAsia" w:ascii="宋体" w:hAnsi="宋体"/>
          <w:szCs w:val="21"/>
        </w:rPr>
        <w:t>（1）发包人完成最终结清申请单的审批并颁发最终结清证书的期限：</w:t>
      </w:r>
      <w:r>
        <w:rPr>
          <w:rFonts w:hint="eastAsia" w:ascii="宋体" w:hAnsi="宋体"/>
          <w:szCs w:val="21"/>
          <w:u w:val="single"/>
        </w:rPr>
        <w:t>发包人收到完整资料后14天内完成审批并颁发最终结清证书</w:t>
      </w:r>
      <w:r>
        <w:rPr>
          <w:rFonts w:hint="eastAsia" w:ascii="宋体" w:hAnsi="宋体"/>
          <w:szCs w:val="21"/>
        </w:rPr>
        <w:t>。</w:t>
      </w:r>
    </w:p>
    <w:p w14:paraId="0EBE6EE2">
      <w:pPr>
        <w:spacing w:line="360" w:lineRule="auto"/>
        <w:ind w:right="105" w:rightChars="50" w:firstLine="420" w:firstLineChars="200"/>
        <w:jc w:val="left"/>
        <w:rPr>
          <w:rFonts w:ascii="宋体" w:hAnsi="宋体"/>
          <w:szCs w:val="21"/>
        </w:rPr>
      </w:pPr>
      <w:r>
        <w:rPr>
          <w:rFonts w:hint="eastAsia" w:ascii="宋体" w:hAnsi="宋体"/>
          <w:szCs w:val="21"/>
        </w:rPr>
        <w:t>（2）发包人完成支付的期限：</w:t>
      </w:r>
      <w:r>
        <w:rPr>
          <w:rFonts w:hint="eastAsia" w:ascii="宋体" w:hAnsi="宋体"/>
          <w:szCs w:val="21"/>
          <w:u w:val="single"/>
        </w:rPr>
        <w:t>颁发最终结清证书的14天内</w:t>
      </w:r>
      <w:r>
        <w:rPr>
          <w:rFonts w:hint="eastAsia" w:ascii="宋体" w:hAnsi="宋体"/>
          <w:szCs w:val="21"/>
        </w:rPr>
        <w:t>。</w:t>
      </w:r>
    </w:p>
    <w:p w14:paraId="49124D19">
      <w:pPr>
        <w:spacing w:line="360" w:lineRule="auto"/>
        <w:ind w:right="105" w:rightChars="50" w:firstLine="420" w:firstLineChars="200"/>
        <w:jc w:val="left"/>
        <w:rPr>
          <w:rFonts w:ascii="宋体" w:hAnsi="宋体"/>
          <w:szCs w:val="21"/>
        </w:rPr>
      </w:pPr>
      <w:r>
        <w:rPr>
          <w:rFonts w:hint="eastAsia" w:ascii="宋体" w:hAnsi="宋体"/>
          <w:szCs w:val="21"/>
        </w:rPr>
        <w:t>本条补充14.5款：</w:t>
      </w:r>
    </w:p>
    <w:bookmarkEnd w:id="1155"/>
    <w:bookmarkEnd w:id="1156"/>
    <w:bookmarkEnd w:id="1157"/>
    <w:bookmarkEnd w:id="1158"/>
    <w:bookmarkEnd w:id="1159"/>
    <w:bookmarkEnd w:id="1160"/>
    <w:bookmarkEnd w:id="1161"/>
    <w:bookmarkEnd w:id="1162"/>
    <w:p w14:paraId="2D002694">
      <w:pPr>
        <w:pStyle w:val="7"/>
        <w:spacing w:before="0" w:beforeAutospacing="0" w:after="0" w:afterAutospacing="0" w:line="360" w:lineRule="auto"/>
        <w:ind w:firstLine="422" w:firstLineChars="200"/>
        <w:rPr>
          <w:sz w:val="21"/>
          <w:szCs w:val="21"/>
        </w:rPr>
      </w:pPr>
      <w:bookmarkStart w:id="1196" w:name="_Toc532377397"/>
      <w:bookmarkStart w:id="1197" w:name="_Toc532375660"/>
      <w:r>
        <w:rPr>
          <w:rFonts w:hint="eastAsia"/>
          <w:sz w:val="21"/>
          <w:szCs w:val="21"/>
        </w:rPr>
        <w:t>14.5 逾期办理或不配合办理竣工结算的处理</w:t>
      </w:r>
      <w:bookmarkEnd w:id="1196"/>
      <w:bookmarkEnd w:id="1197"/>
    </w:p>
    <w:p w14:paraId="059D9BE2">
      <w:pPr>
        <w:spacing w:line="360" w:lineRule="auto"/>
        <w:ind w:right="105" w:rightChars="50" w:firstLine="420" w:firstLineChars="200"/>
        <w:jc w:val="left"/>
        <w:rPr>
          <w:rFonts w:ascii="宋体" w:hAnsi="宋体"/>
          <w:szCs w:val="21"/>
        </w:rPr>
      </w:pPr>
      <w:r>
        <w:rPr>
          <w:rFonts w:hint="eastAsia" w:ascii="宋体" w:hAnsi="宋体"/>
          <w:szCs w:val="21"/>
        </w:rPr>
        <w:t>有下列情形之一的，视为承包人放弃与发包人共同办理竣工结算的权利，发包人有权会同跟审单位、监理人根据有效资料共同确定竣工结算金额。</w:t>
      </w:r>
    </w:p>
    <w:p w14:paraId="3DB35FEF">
      <w:pPr>
        <w:spacing w:line="360" w:lineRule="auto"/>
        <w:ind w:right="105" w:rightChars="50" w:firstLine="420" w:firstLineChars="200"/>
        <w:jc w:val="left"/>
        <w:rPr>
          <w:rFonts w:ascii="宋体" w:hAnsi="宋体"/>
          <w:szCs w:val="21"/>
        </w:rPr>
      </w:pPr>
      <w:r>
        <w:rPr>
          <w:rFonts w:hint="eastAsia" w:ascii="宋体" w:hAnsi="宋体"/>
          <w:szCs w:val="21"/>
        </w:rPr>
        <w:t>（1）承包人逾期未报送竣工结算资料，亦未获得发包人批准延期报送，经发包人两</w:t>
      </w:r>
      <w:bookmarkStart w:id="1198" w:name="_Hlk529133622"/>
      <w:r>
        <w:rPr>
          <w:rFonts w:hint="eastAsia" w:ascii="宋体" w:hAnsi="宋体"/>
          <w:szCs w:val="21"/>
        </w:rPr>
        <w:t>次书面催告仍未在限期内报送的</w:t>
      </w:r>
      <w:bookmarkEnd w:id="1198"/>
      <w:r>
        <w:rPr>
          <w:rFonts w:hint="eastAsia" w:ascii="宋体" w:hAnsi="宋体"/>
          <w:szCs w:val="21"/>
        </w:rPr>
        <w:t>；</w:t>
      </w:r>
    </w:p>
    <w:p w14:paraId="618EC41F">
      <w:pPr>
        <w:spacing w:line="360" w:lineRule="auto"/>
        <w:ind w:right="105" w:rightChars="50" w:firstLine="420" w:firstLineChars="200"/>
        <w:jc w:val="left"/>
        <w:rPr>
          <w:rFonts w:ascii="宋体" w:hAnsi="宋体"/>
          <w:szCs w:val="21"/>
        </w:rPr>
      </w:pPr>
      <w:r>
        <w:rPr>
          <w:rFonts w:hint="eastAsia" w:ascii="宋体" w:hAnsi="宋体"/>
          <w:szCs w:val="21"/>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14:paraId="0B56C3D6">
      <w:pPr>
        <w:spacing w:line="360" w:lineRule="auto"/>
        <w:ind w:right="105" w:rightChars="50" w:firstLine="420" w:firstLineChars="200"/>
        <w:jc w:val="left"/>
        <w:rPr>
          <w:rFonts w:ascii="宋体" w:hAnsi="宋体"/>
          <w:szCs w:val="21"/>
        </w:rPr>
      </w:pPr>
      <w:r>
        <w:rPr>
          <w:rFonts w:hint="eastAsia" w:ascii="宋体" w:hAnsi="宋体"/>
          <w:szCs w:val="21"/>
        </w:rPr>
        <w:t>（3）承包人不配合发包人、跟审单位、监理人、发包人委托的工程造价咨询服务单位办理竣工结算的，经发包人两次书面函告仍未改正的。</w:t>
      </w:r>
    </w:p>
    <w:p w14:paraId="1D6C13E8">
      <w:pPr>
        <w:spacing w:line="360" w:lineRule="auto"/>
        <w:ind w:right="105" w:rightChars="50" w:firstLine="420" w:firstLineChars="200"/>
        <w:jc w:val="left"/>
        <w:rPr>
          <w:rFonts w:ascii="宋体" w:hAnsi="宋体"/>
          <w:szCs w:val="21"/>
        </w:rPr>
      </w:pPr>
      <w:r>
        <w:rPr>
          <w:rFonts w:hint="eastAsia" w:ascii="宋体" w:hAnsi="宋体"/>
          <w:szCs w:val="21"/>
        </w:rPr>
        <w:t>（4）</w:t>
      </w:r>
      <w:r>
        <w:rPr>
          <w:rFonts w:hint="eastAsia" w:ascii="宋体" w:hAnsi="宋体"/>
          <w:szCs w:val="21"/>
          <w:u w:val="single"/>
        </w:rPr>
        <w:t xml:space="preserve">        </w:t>
      </w:r>
      <w:r>
        <w:rPr>
          <w:rFonts w:hint="eastAsia" w:ascii="宋体" w:hAnsi="宋体"/>
          <w:szCs w:val="21"/>
        </w:rPr>
        <w:t>。</w:t>
      </w:r>
    </w:p>
    <w:p w14:paraId="15F10021">
      <w:pPr>
        <w:spacing w:line="360" w:lineRule="auto"/>
        <w:ind w:right="105" w:rightChars="50" w:firstLine="420" w:firstLineChars="200"/>
        <w:jc w:val="left"/>
        <w:rPr>
          <w:rFonts w:ascii="宋体" w:hAnsi="宋体"/>
          <w:szCs w:val="21"/>
          <w:u w:val="single"/>
        </w:rPr>
      </w:pPr>
      <w:r>
        <w:rPr>
          <w:rFonts w:hint="eastAsia" w:ascii="宋体" w:hAnsi="宋体"/>
          <w:szCs w:val="21"/>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hint="eastAsia" w:ascii="宋体" w:hAnsi="宋体"/>
          <w:szCs w:val="21"/>
        </w:rPr>
        <w:t>。</w:t>
      </w:r>
    </w:p>
    <w:bookmarkEnd w:id="863"/>
    <w:bookmarkEnd w:id="864"/>
    <w:bookmarkEnd w:id="865"/>
    <w:bookmarkEnd w:id="866"/>
    <w:bookmarkEnd w:id="867"/>
    <w:bookmarkEnd w:id="868"/>
    <w:bookmarkEnd w:id="869"/>
    <w:bookmarkEnd w:id="870"/>
    <w:p w14:paraId="3E14A12F">
      <w:pPr>
        <w:pStyle w:val="6"/>
        <w:keepNext/>
        <w:keepLines/>
        <w:spacing w:before="156" w:beforeLines="50" w:beforeAutospacing="0" w:after="156" w:afterLines="50" w:afterAutospacing="0" w:line="360" w:lineRule="auto"/>
        <w:jc w:val="both"/>
        <w:rPr>
          <w:bCs w:val="0"/>
          <w:kern w:val="2"/>
          <w:sz w:val="21"/>
          <w:szCs w:val="21"/>
        </w:rPr>
      </w:pPr>
      <w:bookmarkStart w:id="1199" w:name="_Toc532375661"/>
      <w:bookmarkStart w:id="1200" w:name="_Toc532377398"/>
      <w:bookmarkStart w:id="1201" w:name="_Toc351203647"/>
      <w:bookmarkStart w:id="1202" w:name="_Toc267251483"/>
      <w:bookmarkStart w:id="1203" w:name="_Toc280868718"/>
      <w:bookmarkStart w:id="1204" w:name="_Toc280868717"/>
      <w:r>
        <w:rPr>
          <w:rFonts w:hint="eastAsia"/>
          <w:kern w:val="2"/>
          <w:sz w:val="21"/>
          <w:szCs w:val="21"/>
        </w:rPr>
        <w:t>15. 缺陷责任期与保修</w:t>
      </w:r>
      <w:bookmarkEnd w:id="1199"/>
      <w:bookmarkEnd w:id="1200"/>
      <w:bookmarkEnd w:id="1201"/>
    </w:p>
    <w:bookmarkEnd w:id="1202"/>
    <w:p w14:paraId="1F95A400">
      <w:pPr>
        <w:pStyle w:val="7"/>
        <w:spacing w:before="0" w:beforeAutospacing="0" w:after="0" w:afterAutospacing="0" w:line="360" w:lineRule="auto"/>
        <w:ind w:firstLine="422" w:firstLineChars="200"/>
        <w:rPr>
          <w:sz w:val="21"/>
          <w:szCs w:val="21"/>
        </w:rPr>
      </w:pPr>
      <w:bookmarkStart w:id="1205" w:name="_Toc532377399"/>
      <w:bookmarkStart w:id="1206" w:name="_Toc532375662"/>
      <w:r>
        <w:rPr>
          <w:rFonts w:hint="eastAsia"/>
          <w:sz w:val="21"/>
          <w:szCs w:val="21"/>
        </w:rPr>
        <w:t>15.3 质量保证金</w:t>
      </w:r>
      <w:bookmarkEnd w:id="1205"/>
      <w:bookmarkEnd w:id="1206"/>
    </w:p>
    <w:p w14:paraId="24172F69">
      <w:pPr>
        <w:spacing w:line="360" w:lineRule="auto"/>
        <w:ind w:right="105" w:rightChars="50" w:firstLine="420" w:firstLineChars="200"/>
        <w:jc w:val="left"/>
        <w:rPr>
          <w:rFonts w:ascii="宋体" w:hAnsi="宋体"/>
          <w:szCs w:val="21"/>
        </w:rPr>
      </w:pPr>
      <w:r>
        <w:rPr>
          <w:rFonts w:hint="eastAsia" w:ascii="宋体" w:hAnsi="宋体"/>
          <w:szCs w:val="21"/>
        </w:rPr>
        <w:t>15.3.1 承包人提供质量保证金的方式</w:t>
      </w:r>
    </w:p>
    <w:p w14:paraId="499A7219">
      <w:pPr>
        <w:spacing w:line="360" w:lineRule="auto"/>
        <w:ind w:right="105" w:rightChars="50" w:firstLine="420" w:firstLineChars="200"/>
        <w:jc w:val="left"/>
        <w:rPr>
          <w:rFonts w:ascii="宋体" w:hAnsi="宋体"/>
          <w:szCs w:val="21"/>
        </w:rPr>
      </w:pPr>
      <w:r>
        <w:rPr>
          <w:rFonts w:hint="eastAsia" w:ascii="宋体" w:hAnsi="宋体"/>
          <w:szCs w:val="21"/>
        </w:rPr>
        <w:t>质量保证金采用以下第</w:t>
      </w:r>
      <w:r>
        <w:rPr>
          <w:rFonts w:hint="eastAsia" w:ascii="宋体" w:hAnsi="宋体"/>
          <w:szCs w:val="21"/>
          <w:u w:val="single"/>
        </w:rPr>
        <w:t xml:space="preserve">    </w:t>
      </w:r>
      <w:r>
        <w:rPr>
          <w:rFonts w:hint="eastAsia" w:ascii="宋体" w:hAnsi="宋体"/>
          <w:szCs w:val="21"/>
        </w:rPr>
        <w:t>种方式：</w:t>
      </w:r>
    </w:p>
    <w:p w14:paraId="27A593DB">
      <w:pPr>
        <w:spacing w:line="360" w:lineRule="auto"/>
        <w:ind w:right="105" w:rightChars="50" w:firstLine="420" w:firstLineChars="200"/>
        <w:jc w:val="left"/>
        <w:rPr>
          <w:rFonts w:ascii="宋体" w:hAnsi="宋体"/>
          <w:szCs w:val="21"/>
        </w:rPr>
      </w:pPr>
      <w:r>
        <w:rPr>
          <w:rFonts w:hint="eastAsia" w:ascii="宋体" w:hAnsi="宋体"/>
          <w:szCs w:val="21"/>
        </w:rPr>
        <w:t>（1）质量保证金保函</w:t>
      </w:r>
    </w:p>
    <w:p w14:paraId="169D2D8C">
      <w:pPr>
        <w:spacing w:line="360" w:lineRule="auto"/>
        <w:ind w:right="105" w:rightChars="50" w:firstLine="420" w:firstLineChars="200"/>
        <w:jc w:val="left"/>
        <w:rPr>
          <w:rFonts w:ascii="宋体" w:hAnsi="宋体"/>
          <w:szCs w:val="21"/>
        </w:rPr>
      </w:pPr>
      <w:r>
        <w:rPr>
          <w:rFonts w:hint="eastAsia" w:ascii="宋体" w:hAnsi="宋体"/>
          <w:szCs w:val="21"/>
          <w:u w:val="single"/>
        </w:rPr>
        <w:t>1）按招标文件载明的格式或发包人认可的格式向发包人提交不可撤销的见索即付银行保函</w:t>
      </w:r>
      <w:r>
        <w:rPr>
          <w:rFonts w:hint="eastAsia" w:ascii="宋体" w:hAnsi="宋体"/>
          <w:szCs w:val="21"/>
        </w:rPr>
        <w:t>；</w:t>
      </w:r>
    </w:p>
    <w:p w14:paraId="2413AB95">
      <w:pPr>
        <w:spacing w:line="360" w:lineRule="auto"/>
        <w:ind w:right="105" w:rightChars="50" w:firstLine="420" w:firstLineChars="200"/>
        <w:jc w:val="left"/>
        <w:rPr>
          <w:rFonts w:ascii="宋体" w:hAnsi="宋体"/>
          <w:szCs w:val="21"/>
        </w:rPr>
      </w:pPr>
      <w:r>
        <w:rPr>
          <w:rFonts w:hint="eastAsia" w:ascii="宋体" w:hAnsi="宋体"/>
          <w:szCs w:val="21"/>
        </w:rPr>
        <w:t>2）出具保函的银行级别：</w:t>
      </w:r>
      <w:r>
        <w:rPr>
          <w:rFonts w:hint="eastAsia" w:ascii="宋体" w:hAnsi="宋体"/>
          <w:szCs w:val="21"/>
          <w:u w:val="single"/>
        </w:rPr>
        <w:t xml:space="preserve">    </w:t>
      </w:r>
      <w:r>
        <w:rPr>
          <w:rFonts w:hint="eastAsia" w:ascii="宋体" w:hAnsi="宋体"/>
          <w:szCs w:val="21"/>
        </w:rPr>
        <w:t>；</w:t>
      </w:r>
    </w:p>
    <w:p w14:paraId="49C97036">
      <w:pPr>
        <w:spacing w:line="360" w:lineRule="auto"/>
        <w:ind w:right="105" w:rightChars="50" w:firstLine="420" w:firstLineChars="200"/>
        <w:jc w:val="left"/>
        <w:rPr>
          <w:rFonts w:ascii="宋体" w:hAnsi="宋体"/>
          <w:szCs w:val="21"/>
        </w:rPr>
      </w:pPr>
      <w:r>
        <w:rPr>
          <w:rFonts w:hint="eastAsia" w:ascii="宋体" w:hAnsi="宋体"/>
          <w:szCs w:val="21"/>
        </w:rPr>
        <w:t>3）保函金额为：</w:t>
      </w:r>
      <w:r>
        <w:rPr>
          <w:rFonts w:hint="eastAsia" w:ascii="宋体" w:hAnsi="宋体"/>
          <w:szCs w:val="21"/>
          <w:u w:val="single"/>
        </w:rPr>
        <w:t xml:space="preserve">    </w:t>
      </w:r>
      <w:r>
        <w:rPr>
          <w:rFonts w:hint="eastAsia" w:ascii="宋体" w:hAnsi="宋体"/>
          <w:szCs w:val="21"/>
        </w:rPr>
        <w:t>。</w:t>
      </w:r>
    </w:p>
    <w:p w14:paraId="2DBDD9E2">
      <w:pPr>
        <w:spacing w:line="360" w:lineRule="auto"/>
        <w:ind w:right="105" w:rightChars="50" w:firstLine="420" w:firstLineChars="200"/>
        <w:jc w:val="left"/>
        <w:rPr>
          <w:rFonts w:ascii="宋体" w:hAnsi="宋体"/>
          <w:szCs w:val="21"/>
        </w:rPr>
      </w:pPr>
      <w:r>
        <w:rPr>
          <w:rFonts w:hint="eastAsia" w:ascii="宋体" w:hAnsi="宋体"/>
          <w:szCs w:val="21"/>
        </w:rPr>
        <w:t>4）提交时间：</w:t>
      </w:r>
      <w:r>
        <w:rPr>
          <w:rFonts w:hint="eastAsia" w:ascii="宋体" w:hAnsi="宋体"/>
          <w:szCs w:val="21"/>
          <w:u w:val="single"/>
        </w:rPr>
        <w:t>工程竣工验收合格后14天内</w:t>
      </w:r>
      <w:r>
        <w:rPr>
          <w:rFonts w:hint="eastAsia" w:ascii="宋体" w:hAnsi="宋体"/>
          <w:szCs w:val="21"/>
        </w:rPr>
        <w:t>。</w:t>
      </w:r>
    </w:p>
    <w:p w14:paraId="08936915">
      <w:pPr>
        <w:spacing w:line="360" w:lineRule="auto"/>
        <w:ind w:right="105" w:rightChars="50" w:firstLine="420" w:firstLineChars="200"/>
        <w:jc w:val="left"/>
        <w:rPr>
          <w:rFonts w:ascii="宋体" w:hAnsi="宋体"/>
          <w:szCs w:val="21"/>
        </w:rPr>
      </w:pPr>
      <w:r>
        <w:rPr>
          <w:rFonts w:hint="eastAsia" w:ascii="宋体" w:hAnsi="宋体"/>
          <w:szCs w:val="21"/>
          <w:u w:val="single"/>
        </w:rPr>
        <w:t>承包人提交质量保证金保函的，发包人应同时退还（若有）扣留的作为质量保证金的工程价款、履约担保、低价风险担保；保函金额不得超过工程价款结算总额的3%</w:t>
      </w:r>
      <w:r>
        <w:rPr>
          <w:rFonts w:hint="eastAsia" w:ascii="宋体" w:hAnsi="宋体"/>
          <w:szCs w:val="21"/>
        </w:rPr>
        <w:t>。</w:t>
      </w:r>
    </w:p>
    <w:p w14:paraId="050012A6">
      <w:pPr>
        <w:spacing w:line="360" w:lineRule="auto"/>
        <w:ind w:right="105" w:rightChars="50" w:firstLine="420" w:firstLineChars="200"/>
        <w:jc w:val="left"/>
        <w:rPr>
          <w:rFonts w:ascii="宋体" w:hAnsi="宋体"/>
          <w:szCs w:val="21"/>
        </w:rPr>
      </w:pPr>
      <w:r>
        <w:rPr>
          <w:rFonts w:hint="eastAsia" w:ascii="宋体" w:hAnsi="宋体"/>
          <w:szCs w:val="21"/>
        </w:rPr>
        <w:t>（2）竣工结算价的</w:t>
      </w:r>
      <w:r>
        <w:rPr>
          <w:rFonts w:hint="eastAsia" w:ascii="宋体" w:hAnsi="宋体"/>
          <w:szCs w:val="21"/>
          <w:u w:val="single"/>
        </w:rPr>
        <w:t xml:space="preserve"> 3% </w:t>
      </w:r>
      <w:r>
        <w:rPr>
          <w:rFonts w:hint="eastAsia" w:ascii="宋体" w:hAnsi="宋体"/>
          <w:szCs w:val="21"/>
        </w:rPr>
        <w:t>；</w:t>
      </w:r>
    </w:p>
    <w:p w14:paraId="78F4B693">
      <w:pPr>
        <w:spacing w:line="360" w:lineRule="auto"/>
        <w:ind w:right="105" w:rightChars="50" w:firstLine="420" w:firstLineChars="200"/>
        <w:jc w:val="left"/>
        <w:rPr>
          <w:rFonts w:ascii="宋体" w:hAnsi="宋体"/>
          <w:szCs w:val="21"/>
        </w:rPr>
      </w:pPr>
      <w:r>
        <w:rPr>
          <w:rFonts w:hint="eastAsia" w:ascii="宋体" w:hAnsi="宋体"/>
          <w:szCs w:val="21"/>
        </w:rPr>
        <w:t>（3）其他方式：</w:t>
      </w:r>
      <w:r>
        <w:rPr>
          <w:rFonts w:hint="eastAsia" w:ascii="宋体" w:hAnsi="宋体"/>
          <w:szCs w:val="21"/>
          <w:u w:val="single"/>
        </w:rPr>
        <w:t xml:space="preserve"> / </w:t>
      </w:r>
      <w:r>
        <w:rPr>
          <w:rFonts w:hint="eastAsia" w:ascii="宋体" w:hAnsi="宋体"/>
          <w:szCs w:val="21"/>
        </w:rPr>
        <w:t>。</w:t>
      </w:r>
    </w:p>
    <w:p w14:paraId="17DDF787">
      <w:pPr>
        <w:spacing w:line="360" w:lineRule="auto"/>
        <w:ind w:right="105" w:rightChars="50" w:firstLine="420" w:firstLineChars="200"/>
        <w:jc w:val="left"/>
        <w:rPr>
          <w:rFonts w:ascii="宋体" w:hAnsi="宋体"/>
          <w:szCs w:val="21"/>
        </w:rPr>
      </w:pPr>
      <w:r>
        <w:rPr>
          <w:rFonts w:hint="eastAsia" w:ascii="宋体" w:hAnsi="宋体"/>
          <w:szCs w:val="21"/>
        </w:rPr>
        <w:t>15.3.2 质量保证金的扣留</w:t>
      </w:r>
    </w:p>
    <w:p w14:paraId="6415F4CC">
      <w:pPr>
        <w:spacing w:line="360" w:lineRule="auto"/>
        <w:ind w:right="105" w:rightChars="50" w:firstLine="420" w:firstLineChars="200"/>
        <w:jc w:val="left"/>
        <w:rPr>
          <w:rFonts w:ascii="宋体" w:hAnsi="宋体"/>
          <w:szCs w:val="21"/>
        </w:rPr>
      </w:pPr>
      <w:r>
        <w:rPr>
          <w:rFonts w:hint="eastAsia" w:ascii="宋体" w:hAnsi="宋体"/>
          <w:szCs w:val="21"/>
        </w:rPr>
        <w:t>质量保证金的扣留采取以下第</w:t>
      </w:r>
      <w:r>
        <w:rPr>
          <w:rFonts w:hint="eastAsia" w:ascii="宋体" w:hAnsi="宋体"/>
          <w:szCs w:val="21"/>
          <w:u w:val="single"/>
        </w:rPr>
        <w:t xml:space="preserve">    </w:t>
      </w:r>
      <w:r>
        <w:rPr>
          <w:rFonts w:hint="eastAsia" w:ascii="宋体" w:hAnsi="宋体"/>
          <w:szCs w:val="21"/>
        </w:rPr>
        <w:t>种方式：</w:t>
      </w:r>
    </w:p>
    <w:p w14:paraId="5B6EC3C7">
      <w:pPr>
        <w:spacing w:line="360" w:lineRule="auto"/>
        <w:ind w:right="105" w:rightChars="50" w:firstLine="420" w:firstLineChars="200"/>
        <w:jc w:val="left"/>
        <w:rPr>
          <w:rFonts w:ascii="宋体" w:hAnsi="宋体"/>
          <w:szCs w:val="21"/>
        </w:rPr>
      </w:pPr>
      <w:r>
        <w:rPr>
          <w:rFonts w:hint="eastAsia" w:ascii="宋体" w:hAnsi="宋体"/>
          <w:szCs w:val="21"/>
        </w:rPr>
        <w:t>（1）在支付工程进度款时逐次扣留，在此情形下，质量保证金的计算基数不包括预付款的支付、扣回以及价格调整的金额；</w:t>
      </w:r>
    </w:p>
    <w:p w14:paraId="315115CF">
      <w:pPr>
        <w:spacing w:line="360" w:lineRule="auto"/>
        <w:ind w:right="105" w:rightChars="50" w:firstLine="420" w:firstLineChars="200"/>
        <w:jc w:val="left"/>
        <w:rPr>
          <w:rFonts w:ascii="宋体" w:hAnsi="宋体"/>
          <w:szCs w:val="21"/>
        </w:rPr>
      </w:pPr>
      <w:r>
        <w:rPr>
          <w:rFonts w:hint="eastAsia" w:ascii="宋体" w:hAnsi="宋体"/>
          <w:szCs w:val="21"/>
        </w:rPr>
        <w:t>（2）工程竣工结算时一次性扣留质量保证金；</w:t>
      </w:r>
    </w:p>
    <w:p w14:paraId="4D037D83">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rPr>
        <w:t>（3）</w:t>
      </w:r>
      <w:r>
        <w:rPr>
          <w:rFonts w:hint="eastAsia" w:ascii="宋体" w:hAnsi="宋体"/>
          <w:szCs w:val="21"/>
          <w:u w:val="single"/>
        </w:rPr>
        <w:t xml:space="preserve">其他扣留方式：        </w:t>
      </w:r>
      <w:r>
        <w:rPr>
          <w:rFonts w:hint="eastAsia" w:ascii="宋体" w:hAnsi="宋体"/>
          <w:szCs w:val="21"/>
        </w:rPr>
        <w:t>。</w:t>
      </w:r>
    </w:p>
    <w:p w14:paraId="7B1E4892">
      <w:pPr>
        <w:spacing w:line="360" w:lineRule="auto"/>
        <w:ind w:right="105" w:rightChars="50" w:firstLine="420" w:firstLineChars="200"/>
        <w:jc w:val="left"/>
        <w:rPr>
          <w:rFonts w:ascii="宋体" w:hAnsi="宋体"/>
          <w:szCs w:val="21"/>
        </w:rPr>
      </w:pPr>
      <w:r>
        <w:rPr>
          <w:rFonts w:hint="eastAsia" w:ascii="宋体" w:hAnsi="宋体"/>
          <w:szCs w:val="21"/>
        </w:rPr>
        <w:t>15.3.3质量保证金的退还</w:t>
      </w:r>
    </w:p>
    <w:p w14:paraId="41D1CCC6">
      <w:pPr>
        <w:spacing w:line="360" w:lineRule="auto"/>
        <w:ind w:right="105" w:rightChars="50" w:firstLine="420" w:firstLineChars="200"/>
        <w:jc w:val="left"/>
        <w:rPr>
          <w:rFonts w:ascii="宋体" w:hAnsi="宋体"/>
          <w:szCs w:val="21"/>
        </w:rPr>
      </w:pPr>
      <w:r>
        <w:rPr>
          <w:rFonts w:hint="eastAsia" w:ascii="宋体" w:hAnsi="宋体"/>
          <w:szCs w:val="21"/>
        </w:rPr>
        <w:t>（1）在发包人颁发缺陷责任期终止证书之日起14天内退还。</w:t>
      </w:r>
    </w:p>
    <w:p w14:paraId="3FB4432D">
      <w:pPr>
        <w:spacing w:line="360" w:lineRule="auto"/>
        <w:ind w:right="105" w:rightChars="50" w:firstLine="420" w:firstLineChars="200"/>
        <w:jc w:val="left"/>
        <w:rPr>
          <w:rFonts w:ascii="宋体" w:hAnsi="宋体"/>
          <w:szCs w:val="21"/>
        </w:rPr>
      </w:pPr>
      <w:r>
        <w:rPr>
          <w:rFonts w:hint="eastAsia" w:ascii="宋体" w:hAnsi="宋体"/>
          <w:szCs w:val="21"/>
        </w:rPr>
        <w:t>（2）缺陷责任期内，承包人认真履行合同约定的责任，到期后，承包人可向发包人申请返还质量保证金。</w:t>
      </w:r>
    </w:p>
    <w:p w14:paraId="6E769574">
      <w:pPr>
        <w:spacing w:line="360" w:lineRule="auto"/>
        <w:ind w:right="105" w:rightChars="50" w:firstLine="420" w:firstLineChars="200"/>
        <w:jc w:val="left"/>
        <w:rPr>
          <w:rFonts w:ascii="宋体" w:hAnsi="宋体"/>
          <w:szCs w:val="21"/>
        </w:rPr>
      </w:pPr>
      <w:r>
        <w:rPr>
          <w:rFonts w:hint="eastAsia" w:ascii="宋体" w:hAnsi="宋体"/>
          <w:szCs w:val="21"/>
        </w:rPr>
        <w:t>（3）质量保证金是否支付利息采取以下</w:t>
      </w:r>
      <w:r>
        <w:rPr>
          <w:rFonts w:hint="eastAsia" w:ascii="宋体" w:hAnsi="宋体"/>
          <w:szCs w:val="21"/>
          <w:u w:val="single"/>
        </w:rPr>
        <w:t>第②种</w:t>
      </w:r>
      <w:r>
        <w:rPr>
          <w:rFonts w:hint="eastAsia" w:ascii="宋体" w:hAnsi="宋体"/>
          <w:szCs w:val="21"/>
        </w:rPr>
        <w:t>方式：</w:t>
      </w:r>
    </w:p>
    <w:p w14:paraId="5CDF2AC4">
      <w:pPr>
        <w:spacing w:line="360" w:lineRule="auto"/>
        <w:ind w:right="105" w:rightChars="50" w:firstLine="420" w:firstLineChars="200"/>
        <w:jc w:val="left"/>
        <w:rPr>
          <w:rFonts w:ascii="宋体" w:hAnsi="宋体"/>
          <w:szCs w:val="21"/>
        </w:rPr>
      </w:pPr>
      <w:r>
        <w:rPr>
          <w:rFonts w:hint="eastAsia" w:ascii="宋体" w:hAnsi="宋体"/>
          <w:szCs w:val="21"/>
          <w:u w:val="single"/>
        </w:rPr>
        <w:t>①按照中国人民银行  年  月公布的5年期贷款市场报价利率支付利息</w:t>
      </w:r>
      <w:r>
        <w:rPr>
          <w:rFonts w:hint="eastAsia" w:ascii="宋体" w:hAnsi="宋体"/>
          <w:szCs w:val="21"/>
        </w:rPr>
        <w:t>。</w:t>
      </w:r>
    </w:p>
    <w:p w14:paraId="374DA99B">
      <w:pPr>
        <w:spacing w:line="360" w:lineRule="auto"/>
        <w:ind w:right="105" w:rightChars="50" w:firstLine="420" w:firstLineChars="200"/>
        <w:jc w:val="left"/>
        <w:rPr>
          <w:rFonts w:ascii="宋体" w:hAnsi="宋体"/>
          <w:szCs w:val="21"/>
        </w:rPr>
      </w:pPr>
      <w:r>
        <w:rPr>
          <w:rFonts w:hint="eastAsia" w:ascii="宋体" w:hAnsi="宋体"/>
          <w:szCs w:val="21"/>
          <w:u w:val="single"/>
        </w:rPr>
        <w:t>②不采用</w:t>
      </w:r>
      <w:r>
        <w:rPr>
          <w:rFonts w:hint="eastAsia" w:ascii="宋体" w:hAnsi="宋体"/>
          <w:szCs w:val="21"/>
        </w:rPr>
        <w:t>。</w:t>
      </w:r>
    </w:p>
    <w:p w14:paraId="2A0B6854">
      <w:pPr>
        <w:pStyle w:val="7"/>
        <w:spacing w:before="0" w:beforeAutospacing="0" w:after="0" w:afterAutospacing="0" w:line="360" w:lineRule="auto"/>
        <w:ind w:firstLine="422" w:firstLineChars="200"/>
        <w:rPr>
          <w:sz w:val="21"/>
          <w:szCs w:val="21"/>
        </w:rPr>
      </w:pPr>
      <w:bookmarkStart w:id="1207" w:name="_Toc532375663"/>
      <w:bookmarkStart w:id="1208" w:name="_Toc532377400"/>
      <w:r>
        <w:rPr>
          <w:rFonts w:hint="eastAsia"/>
          <w:sz w:val="21"/>
          <w:szCs w:val="21"/>
        </w:rPr>
        <w:t>15.4 保修</w:t>
      </w:r>
      <w:bookmarkEnd w:id="1207"/>
      <w:bookmarkEnd w:id="1208"/>
    </w:p>
    <w:p w14:paraId="7FEA479C">
      <w:pPr>
        <w:spacing w:line="360" w:lineRule="auto"/>
        <w:ind w:right="105" w:rightChars="50" w:firstLine="420" w:firstLineChars="200"/>
        <w:jc w:val="left"/>
        <w:rPr>
          <w:rFonts w:ascii="宋体" w:hAnsi="宋体"/>
          <w:szCs w:val="21"/>
        </w:rPr>
      </w:pPr>
      <w:r>
        <w:rPr>
          <w:rFonts w:hint="eastAsia" w:ascii="宋体" w:hAnsi="宋体"/>
          <w:szCs w:val="21"/>
        </w:rPr>
        <w:t>15.4.1 保修责任</w:t>
      </w:r>
    </w:p>
    <w:p w14:paraId="0E2A701E">
      <w:pPr>
        <w:spacing w:line="360" w:lineRule="auto"/>
        <w:ind w:right="105" w:rightChars="50" w:firstLine="420" w:firstLineChars="200"/>
        <w:jc w:val="left"/>
        <w:rPr>
          <w:rFonts w:ascii="宋体" w:hAnsi="宋体"/>
          <w:szCs w:val="21"/>
        </w:rPr>
      </w:pPr>
      <w:r>
        <w:rPr>
          <w:rFonts w:hint="eastAsia" w:ascii="宋体" w:hAnsi="宋体"/>
          <w:szCs w:val="21"/>
        </w:rPr>
        <w:t>工程保修期为：</w:t>
      </w:r>
      <w:bookmarkStart w:id="1209" w:name="_Hlk524381274"/>
      <w:r>
        <w:rPr>
          <w:rFonts w:hint="eastAsia" w:ascii="宋体" w:hAnsi="宋体"/>
          <w:szCs w:val="21"/>
        </w:rPr>
        <w:t>按照附件1《工程质量保修书》的规定执行。</w:t>
      </w:r>
      <w:bookmarkEnd w:id="1209"/>
    </w:p>
    <w:p w14:paraId="3936DE83">
      <w:pPr>
        <w:spacing w:line="360" w:lineRule="auto"/>
        <w:ind w:right="105" w:rightChars="50" w:firstLine="420" w:firstLineChars="200"/>
        <w:jc w:val="left"/>
        <w:rPr>
          <w:rFonts w:ascii="宋体" w:hAnsi="宋体"/>
          <w:szCs w:val="21"/>
        </w:rPr>
      </w:pPr>
      <w:r>
        <w:rPr>
          <w:rFonts w:hint="eastAsia" w:ascii="宋体" w:hAnsi="宋体"/>
          <w:szCs w:val="21"/>
        </w:rPr>
        <w:t>15.4.3 修复通知</w:t>
      </w:r>
    </w:p>
    <w:p w14:paraId="2128CA43">
      <w:pPr>
        <w:spacing w:line="360" w:lineRule="auto"/>
        <w:ind w:right="105" w:rightChars="50" w:firstLine="420" w:firstLineChars="200"/>
        <w:jc w:val="left"/>
        <w:rPr>
          <w:rFonts w:ascii="宋体" w:hAnsi="宋体"/>
          <w:szCs w:val="21"/>
        </w:rPr>
      </w:pPr>
      <w:r>
        <w:rPr>
          <w:rFonts w:hint="eastAsia" w:ascii="宋体" w:hAnsi="宋体"/>
          <w:szCs w:val="21"/>
        </w:rPr>
        <w:t>承包人收到保修通知并到达工程现场的合理时间：</w:t>
      </w:r>
      <w:r>
        <w:rPr>
          <w:rFonts w:hint="eastAsia" w:ascii="宋体" w:hAnsi="宋体"/>
          <w:szCs w:val="21"/>
          <w:u w:val="single"/>
        </w:rPr>
        <w:t xml:space="preserve">  小时内，最长不能超过  小时</w:t>
      </w:r>
      <w:r>
        <w:rPr>
          <w:rFonts w:hint="eastAsia" w:ascii="宋体" w:hAnsi="宋体"/>
          <w:szCs w:val="21"/>
        </w:rPr>
        <w:t>。</w:t>
      </w:r>
    </w:p>
    <w:p w14:paraId="113A870D">
      <w:pPr>
        <w:pStyle w:val="6"/>
        <w:keepNext/>
        <w:keepLines/>
        <w:spacing w:before="156" w:beforeLines="50" w:beforeAutospacing="0" w:after="156" w:afterLines="50" w:afterAutospacing="0" w:line="360" w:lineRule="auto"/>
        <w:jc w:val="both"/>
        <w:rPr>
          <w:bCs w:val="0"/>
          <w:kern w:val="2"/>
          <w:sz w:val="21"/>
          <w:szCs w:val="21"/>
        </w:rPr>
      </w:pPr>
      <w:bookmarkStart w:id="1210" w:name="_Toc532375664"/>
      <w:bookmarkStart w:id="1211" w:name="_Toc351203648"/>
      <w:bookmarkStart w:id="1212" w:name="_Toc532377401"/>
      <w:r>
        <w:rPr>
          <w:rFonts w:hint="eastAsia"/>
          <w:kern w:val="2"/>
          <w:sz w:val="21"/>
          <w:szCs w:val="21"/>
        </w:rPr>
        <w:t>16. 违约</w:t>
      </w:r>
      <w:bookmarkEnd w:id="1210"/>
      <w:bookmarkEnd w:id="1211"/>
      <w:bookmarkEnd w:id="1212"/>
    </w:p>
    <w:p w14:paraId="493BED3B">
      <w:pPr>
        <w:pStyle w:val="7"/>
        <w:spacing w:before="0" w:beforeAutospacing="0" w:after="0" w:afterAutospacing="0" w:line="360" w:lineRule="auto"/>
        <w:ind w:firstLine="422" w:firstLineChars="200"/>
        <w:rPr>
          <w:sz w:val="21"/>
          <w:szCs w:val="21"/>
        </w:rPr>
      </w:pPr>
      <w:bookmarkStart w:id="1213" w:name="_Toc532377402"/>
      <w:r>
        <w:rPr>
          <w:rFonts w:hint="eastAsia"/>
          <w:sz w:val="21"/>
          <w:szCs w:val="21"/>
        </w:rPr>
        <w:t>16.1 发包人违约</w:t>
      </w:r>
      <w:bookmarkEnd w:id="1213"/>
    </w:p>
    <w:p w14:paraId="2C91DD44">
      <w:pPr>
        <w:spacing w:line="360" w:lineRule="auto"/>
        <w:ind w:firstLine="420" w:firstLineChars="200"/>
        <w:rPr>
          <w:rFonts w:ascii="宋体" w:hAnsi="宋体"/>
          <w:szCs w:val="21"/>
        </w:rPr>
      </w:pPr>
      <w:r>
        <w:rPr>
          <w:rFonts w:hint="eastAsia" w:ascii="宋体" w:hAnsi="宋体"/>
          <w:szCs w:val="21"/>
        </w:rPr>
        <w:t>16.1.1 发包人违约的情形</w:t>
      </w:r>
    </w:p>
    <w:p w14:paraId="4CBD7256">
      <w:pPr>
        <w:spacing w:line="360" w:lineRule="auto"/>
        <w:ind w:firstLine="420" w:firstLineChars="200"/>
        <w:rPr>
          <w:rFonts w:ascii="宋体" w:hAnsi="宋体"/>
          <w:szCs w:val="21"/>
        </w:rPr>
      </w:pPr>
      <w:r>
        <w:rPr>
          <w:rFonts w:hint="eastAsia" w:ascii="宋体" w:hAnsi="宋体" w:cs="Microsoft Sans Serif"/>
          <w:kern w:val="0"/>
          <w:szCs w:val="21"/>
        </w:rPr>
        <w:t>除通用合同条款约定外，发包人违约的其他情形：</w:t>
      </w:r>
    </w:p>
    <w:p w14:paraId="4C2F3A26">
      <w:pPr>
        <w:spacing w:line="360" w:lineRule="auto"/>
        <w:ind w:firstLine="420" w:firstLineChars="200"/>
        <w:rPr>
          <w:rFonts w:ascii="宋体" w:hAnsi="宋体"/>
          <w:szCs w:val="21"/>
        </w:rPr>
      </w:pPr>
      <w:r>
        <w:rPr>
          <w:rFonts w:hint="eastAsia" w:ascii="宋体" w:hAnsi="宋体" w:cs="Microsoft Sans Serif"/>
          <w:kern w:val="0"/>
          <w:szCs w:val="21"/>
        </w:rPr>
        <w:t>（1）根据专用合同条款7.5.1项因发包人原因导致工期延误的；</w:t>
      </w:r>
    </w:p>
    <w:p w14:paraId="318E51BA">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（2）因发包人原因未能及时办理完毕合同约定的许可、批准或备案的；</w:t>
      </w:r>
    </w:p>
    <w:p w14:paraId="5DC71C56">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（3）因监理人未能按合同约定发出指示、指示延误或发出了错误指示而导致承包人费用增加和（或）工期延误的；</w:t>
      </w:r>
    </w:p>
    <w:p w14:paraId="07CDFB4F">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（4）根据5.3.3发包人或监理人要求重新检查的，经检查证明工程质量符合合同要求的，并由此产生增加的费用和（或）延误的工期的；</w:t>
      </w:r>
    </w:p>
    <w:p w14:paraId="7650E866">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（5）因发包人原因造成工程质量未达到合同约定标准的；</w:t>
      </w:r>
    </w:p>
    <w:p w14:paraId="05A4B092">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（6）由于发包人原因对承包人造成的人员人身伤亡和财产损失的；</w:t>
      </w:r>
    </w:p>
    <w:p w14:paraId="7CF7B7D1">
      <w:pPr>
        <w:pStyle w:val="65"/>
        <w:spacing w:line="360" w:lineRule="auto"/>
        <w:jc w:val="left"/>
        <w:rPr>
          <w:rFonts w:ascii="宋体" w:hAnsi="宋体" w:cs="Microsoft Sans Serif"/>
          <w:kern w:val="0"/>
          <w:sz w:val="21"/>
          <w:szCs w:val="21"/>
        </w:rPr>
      </w:pPr>
      <w:r>
        <w:rPr>
          <w:rFonts w:hint="eastAsia" w:ascii="宋体" w:hAnsi="宋体" w:cs="Microsoft Sans Serif"/>
          <w:kern w:val="0"/>
          <w:sz w:val="21"/>
          <w:szCs w:val="21"/>
        </w:rPr>
        <w:t>（7）因发包人原因导致工程无法按期办理竣工验收或竣工结算的；</w:t>
      </w:r>
    </w:p>
    <w:p w14:paraId="402CE0F5">
      <w:pPr>
        <w:pStyle w:val="65"/>
        <w:spacing w:line="360" w:lineRule="auto"/>
        <w:jc w:val="left"/>
        <w:rPr>
          <w:rFonts w:ascii="宋体" w:hAnsi="宋体" w:cs="Microsoft Sans Serif"/>
          <w:kern w:val="0"/>
          <w:sz w:val="21"/>
          <w:szCs w:val="21"/>
        </w:rPr>
      </w:pPr>
      <w:r>
        <w:rPr>
          <w:rFonts w:hint="eastAsia" w:ascii="宋体" w:hAnsi="宋体" w:cs="Microsoft Sans Serif"/>
          <w:kern w:val="0"/>
          <w:sz w:val="21"/>
          <w:szCs w:val="21"/>
        </w:rPr>
        <w:t>（8）发包人无正当理由未按约定退还履约担保、低价风险担保、预付款担保或质量保证金的；</w:t>
      </w:r>
    </w:p>
    <w:p w14:paraId="0FBF0ED2">
      <w:pPr>
        <w:pStyle w:val="65"/>
        <w:spacing w:line="360" w:lineRule="auto"/>
        <w:jc w:val="left"/>
        <w:rPr>
          <w:rFonts w:ascii="宋体" w:hAnsi="宋体" w:cs="Microsoft Sans Serif"/>
          <w:kern w:val="0"/>
          <w:sz w:val="21"/>
          <w:szCs w:val="21"/>
        </w:rPr>
      </w:pPr>
      <w:r>
        <w:rPr>
          <w:rFonts w:hint="eastAsia" w:ascii="宋体" w:hAnsi="宋体" w:cs="Microsoft Sans Serif"/>
          <w:kern w:val="0"/>
          <w:sz w:val="21"/>
          <w:szCs w:val="21"/>
        </w:rPr>
        <w:t>（9）发包人不当提取履约担保、低价风险担保或质量保证金的；</w:t>
      </w:r>
    </w:p>
    <w:p w14:paraId="5044D188">
      <w:pPr>
        <w:pStyle w:val="65"/>
        <w:spacing w:line="360" w:lineRule="auto"/>
        <w:jc w:val="left"/>
        <w:rPr>
          <w:rFonts w:ascii="宋体" w:hAnsi="宋体" w:cs="Microsoft Sans Serif"/>
          <w:kern w:val="0"/>
          <w:sz w:val="21"/>
          <w:szCs w:val="21"/>
        </w:rPr>
      </w:pPr>
      <w:r>
        <w:rPr>
          <w:rFonts w:hint="eastAsia" w:ascii="宋体" w:hAnsi="宋体" w:cs="Microsoft Sans Serif"/>
          <w:kern w:val="0"/>
          <w:sz w:val="21"/>
          <w:szCs w:val="21"/>
        </w:rPr>
        <w:t>（10）发包人未按合同约定接收全部或部分工作的；</w:t>
      </w:r>
    </w:p>
    <w:p w14:paraId="15476C18">
      <w:pPr>
        <w:pStyle w:val="65"/>
        <w:spacing w:line="360" w:lineRule="auto"/>
        <w:jc w:val="left"/>
        <w:rPr>
          <w:rFonts w:ascii="宋体" w:hAnsi="宋体" w:cs="Microsoft Sans Serif"/>
          <w:kern w:val="0"/>
          <w:sz w:val="21"/>
          <w:szCs w:val="21"/>
          <w:u w:val="single"/>
        </w:rPr>
      </w:pPr>
      <w:r>
        <w:rPr>
          <w:rFonts w:hint="eastAsia" w:ascii="宋体" w:hAnsi="宋体" w:cs="Microsoft Sans Serif"/>
          <w:kern w:val="0"/>
          <w:sz w:val="21"/>
          <w:szCs w:val="21"/>
        </w:rPr>
        <w:t>（11）发包人未按合同约定办理保险的；</w:t>
      </w:r>
    </w:p>
    <w:p w14:paraId="35C88019">
      <w:pPr>
        <w:snapToGrid w:val="0"/>
        <w:spacing w:line="360" w:lineRule="auto"/>
        <w:ind w:firstLine="420" w:firstLineChars="200"/>
        <w:jc w:val="left"/>
        <w:rPr>
          <w:rFonts w:ascii="宋体" w:hAnsi="宋体" w:cs="Microsoft Sans Serif"/>
          <w:kern w:val="0"/>
          <w:szCs w:val="21"/>
          <w:u w:val="single"/>
        </w:rPr>
      </w:pPr>
      <w:r>
        <w:rPr>
          <w:rFonts w:hint="eastAsia" w:ascii="宋体" w:hAnsi="宋体" w:cs="Microsoft Sans Serif"/>
          <w:kern w:val="0"/>
          <w:szCs w:val="21"/>
          <w:u w:val="single"/>
        </w:rPr>
        <w:t xml:space="preserve">（12）其他：        </w:t>
      </w:r>
      <w:r>
        <w:rPr>
          <w:rFonts w:hint="eastAsia" w:ascii="宋体" w:hAnsi="宋体" w:cs="Microsoft Sans Serif"/>
          <w:kern w:val="0"/>
          <w:szCs w:val="21"/>
        </w:rPr>
        <w:t>。</w:t>
      </w:r>
    </w:p>
    <w:p w14:paraId="2B451BF0">
      <w:pPr>
        <w:pStyle w:val="65"/>
        <w:spacing w:line="360" w:lineRule="auto"/>
        <w:rPr>
          <w:rFonts w:ascii="宋体" w:hAnsi="宋体"/>
          <w:sz w:val="21"/>
          <w:szCs w:val="21"/>
        </w:rPr>
      </w:pPr>
      <w:r>
        <w:rPr>
          <w:rFonts w:hint="eastAsia" w:ascii="宋体" w:hAnsi="宋体"/>
          <w:sz w:val="21"/>
          <w:szCs w:val="21"/>
        </w:rPr>
        <w:t>16.1.2发包人违约的责任</w:t>
      </w:r>
    </w:p>
    <w:p w14:paraId="26B1F394">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（1）因发包人原因未能及时办理完毕前述许可、批准或备案的违约责任：由发包人承担由此增加的费用和（或）顺延工期，并支付合理利润，具体索赔程序按照第19条〔索赔〕约定执行。</w:t>
      </w:r>
    </w:p>
    <w:p w14:paraId="1DBF6B35">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因监理人未能按合同约定发出指示、指示延误或发出了错误指示而导致承包人费用增加和（或）工期延误的，由发包人承担由此增加的费用和（或）顺延工期，并支付合理利润，具体索赔程序按照第19条〔索赔〕约定执行。</w:t>
      </w:r>
    </w:p>
    <w:p w14:paraId="7E4E7521">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（3）因发包人原因导致工期延误的违约责任：由发包人承担由此增加的费用和（或）顺延工期，并支付合理利润，具体索赔程序按照第19条〔索赔〕约定执行。</w:t>
      </w:r>
    </w:p>
    <w:p w14:paraId="461C7E1B">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（4）因发包人原因未能在计划开工日期前7天内下达开工通知的违约责任：由发包人承担由此增加的费用和（或）顺延工期，并支付合理利润，具体索赔程序按照第19条〔索赔〕约定执行。</w:t>
      </w:r>
    </w:p>
    <w:p w14:paraId="038C773F">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（5）根据5.3.3项发包人或监理人要求重新检查的，经检查证明工程质量符合合同要求的，由发包人承担由此增加的费用和（或）顺延工期，并支付合理利润，具体索赔程序按照第19条〔索赔〕约定执行。</w:t>
      </w:r>
    </w:p>
    <w:p w14:paraId="265B2857">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（6）因发包人原因未按合同约定支付合同价款的违约责任：发包人应向承包人支付违约金，自应当支付之日起28天后开始计算违约金，计算公式：</w:t>
      </w:r>
      <w:r>
        <w:rPr>
          <w:rFonts w:hint="eastAsia" w:ascii="宋体" w:hAnsi="宋体" w:cs="Microsoft Sans Serif"/>
          <w:kern w:val="0"/>
          <w:szCs w:val="21"/>
          <w:u w:val="single"/>
        </w:rPr>
        <w:t>违约金=应付未付金额×中国人民银行  年  月公布的5年期贷款市场报价利率/360天×逾期天数</w:t>
      </w:r>
      <w:r>
        <w:rPr>
          <w:rFonts w:hint="eastAsia" w:ascii="宋体" w:hAnsi="宋体"/>
          <w:szCs w:val="21"/>
          <w:u w:val="single"/>
        </w:rPr>
        <w:t>（自第29天起计算）</w:t>
      </w:r>
      <w:r>
        <w:rPr>
          <w:rFonts w:hint="eastAsia" w:ascii="宋体" w:hAnsi="宋体" w:cs="Microsoft Sans Serif"/>
          <w:kern w:val="0"/>
          <w:szCs w:val="21"/>
          <w:u w:val="single"/>
        </w:rPr>
        <w:t>；逾期天数超过56天的，超过部分天数按上述利率的两倍计算并支付违约金</w:t>
      </w:r>
      <w:r>
        <w:rPr>
          <w:rFonts w:hint="eastAsia" w:ascii="宋体" w:hAnsi="宋体" w:cs="Microsoft Sans Serif"/>
          <w:kern w:val="0"/>
          <w:szCs w:val="21"/>
        </w:rPr>
        <w:t>。</w:t>
      </w:r>
    </w:p>
    <w:p w14:paraId="22BD7952">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（7）发包人违反合同约定，自行实施或转由他人实施被取消的合同工作内容的违约责任：由发包人承担由此给承包人造成的实际损失并支付合理利润。</w:t>
      </w:r>
    </w:p>
    <w:p w14:paraId="39AA21C8">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19条〔索赔〕约定执行。</w:t>
      </w:r>
    </w:p>
    <w:p w14:paraId="36DADEEC">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（9）因发包人原因造成工程质量未达到合同约定标准的，由发包人承担由此增加的费用和（或）延误的工期，并支付合理利润。</w:t>
      </w:r>
    </w:p>
    <w:p w14:paraId="1A23FDE0">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（10）因发包人违反合同约定造成暂停施工的违约责任：由发包人承担由此增加的费用和（或）顺延工期，并支付合理利润，具体索赔程序按照第19条〔索赔〕约定执行。</w:t>
      </w:r>
    </w:p>
    <w:p w14:paraId="0B1F3B7F">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（11）发包人无正当理由没有在约定期限内发出复工指示，导致承包人无法复工的违约责任：由发包人承担由此增加的费用和（或）顺延工期，并支付合理利润，具体索赔程序按照第19条〔索赔〕约定执行。</w:t>
      </w:r>
    </w:p>
    <w:p w14:paraId="5ABB0DE8">
      <w:pPr>
        <w:spacing w:line="360" w:lineRule="auto"/>
        <w:ind w:firstLine="420" w:firstLineChars="200"/>
        <w:jc w:val="left"/>
        <w:rPr>
          <w:rFonts w:ascii="宋体" w:hAnsi="宋体" w:cs="Microsoft Sans Serif"/>
          <w:kern w:val="0"/>
          <w:szCs w:val="21"/>
          <w:u w:val="single"/>
        </w:rPr>
      </w:pPr>
      <w:r>
        <w:rPr>
          <w:rFonts w:hint="eastAsia" w:ascii="宋体" w:hAnsi="宋体" w:cs="Microsoft Sans Serif"/>
          <w:kern w:val="0"/>
          <w:szCs w:val="21"/>
        </w:rPr>
        <w:t>（12）因发包人原因导致工程无法按期办理竣工验收或竣工结算的违约责任：由发包人承担由此增加的费用和（或）顺延工期，并支付合理利润，具体索赔程序按照第19条〔索赔〕约定执行。</w:t>
      </w:r>
    </w:p>
    <w:p w14:paraId="7865DB7F">
      <w:pPr>
        <w:spacing w:line="360" w:lineRule="auto"/>
        <w:ind w:firstLine="420" w:firstLineChars="200"/>
        <w:jc w:val="left"/>
        <w:rPr>
          <w:rFonts w:ascii="宋体" w:hAnsi="宋体" w:cs="Microsoft Sans Serif"/>
          <w:kern w:val="0"/>
          <w:szCs w:val="21"/>
          <w:u w:val="single"/>
        </w:rPr>
      </w:pPr>
      <w:r>
        <w:rPr>
          <w:rFonts w:hint="eastAsia" w:ascii="宋体" w:hAnsi="宋体"/>
          <w:szCs w:val="21"/>
        </w:rPr>
        <w:t>（13）</w:t>
      </w:r>
      <w:r>
        <w:rPr>
          <w:rFonts w:hint="eastAsia" w:ascii="宋体" w:hAnsi="宋体" w:cs="Microsoft Sans Serif"/>
          <w:kern w:val="0"/>
          <w:szCs w:val="21"/>
        </w:rPr>
        <w:t>发包人无正当理由未按约定退还履约担保、低价风险担保、预付款担保或质量保证金的违约责任：发包人应向承包人支付违约金，自应当退还之日起28天后开始计算违约金，</w:t>
      </w:r>
      <w:r>
        <w:rPr>
          <w:rFonts w:hint="eastAsia" w:ascii="宋体" w:hAnsi="宋体" w:cs="Microsoft Sans Serif"/>
          <w:kern w:val="0"/>
          <w:szCs w:val="21"/>
          <w:u w:val="single"/>
        </w:rPr>
        <w:t>计算公式：违约金=应退未退担保金额×中国人民银行  年  月公布的5年期贷款市场报价利率/360天×逾期天数</w:t>
      </w:r>
      <w:r>
        <w:rPr>
          <w:rFonts w:hint="eastAsia" w:ascii="宋体" w:hAnsi="宋体"/>
          <w:szCs w:val="21"/>
          <w:u w:val="single"/>
        </w:rPr>
        <w:t>（自第29天起计算）</w:t>
      </w:r>
      <w:r>
        <w:rPr>
          <w:rFonts w:hint="eastAsia" w:ascii="宋体" w:hAnsi="宋体" w:cs="Microsoft Sans Serif"/>
          <w:kern w:val="0"/>
          <w:szCs w:val="21"/>
        </w:rPr>
        <w:t>。</w:t>
      </w:r>
    </w:p>
    <w:p w14:paraId="55EB24A1">
      <w:pPr>
        <w:pStyle w:val="2"/>
        <w:spacing w:after="0" w:line="360" w:lineRule="auto"/>
        <w:ind w:firstLine="420" w:firstLineChars="200"/>
        <w:rPr>
          <w:rFonts w:ascii="宋体" w:hAnsi="宋体" w:cs="Microsoft Sans Serif"/>
          <w:kern w:val="0"/>
          <w:szCs w:val="21"/>
        </w:rPr>
      </w:pPr>
      <w:r>
        <w:rPr>
          <w:rFonts w:hint="eastAsia" w:ascii="宋体" w:hAnsi="宋体" w:cs="Microsoft Sans Serif"/>
          <w:kern w:val="0"/>
          <w:szCs w:val="21"/>
        </w:rPr>
        <w:t>（14）</w:t>
      </w:r>
      <w:r>
        <w:rPr>
          <w:rFonts w:hint="eastAsia" w:ascii="宋体" w:hAnsi="宋体"/>
          <w:szCs w:val="21"/>
        </w:rPr>
        <w:t>发包人不当提取履约担保、低价风险担保、预付款担保或质量保证金的，应及时予以退还，若不当提取超过28天的，应承担违约责任：发包人应向承包人支付违约金，</w:t>
      </w:r>
      <w:r>
        <w:rPr>
          <w:rFonts w:hint="eastAsia" w:ascii="宋体" w:hAnsi="宋体"/>
          <w:szCs w:val="21"/>
          <w:u w:val="single"/>
        </w:rPr>
        <w:t>计算公式：违约金=不当提取的担保金额×中国人民银行  年  月公布的5年期贷款市场报价利率/360天×逾期天数（自第29天起计算）</w:t>
      </w:r>
      <w:r>
        <w:rPr>
          <w:rFonts w:hint="eastAsia" w:ascii="宋体" w:hAnsi="宋体"/>
          <w:szCs w:val="21"/>
        </w:rPr>
        <w:t>。</w:t>
      </w:r>
    </w:p>
    <w:p w14:paraId="0760F42B">
      <w:pPr>
        <w:pStyle w:val="2"/>
        <w:spacing w:after="0" w:line="360" w:lineRule="auto"/>
        <w:ind w:firstLine="420" w:firstLineChars="200"/>
        <w:rPr>
          <w:rFonts w:ascii="宋体" w:hAnsi="宋体"/>
          <w:szCs w:val="21"/>
        </w:rPr>
      </w:pPr>
      <w:r>
        <w:rPr>
          <w:rFonts w:hint="eastAsia" w:ascii="宋体" w:hAnsi="宋体" w:cs="Microsoft Sans Serif"/>
          <w:kern w:val="0"/>
          <w:szCs w:val="21"/>
        </w:rPr>
        <w:t>（15）发包人未按合同约定接收全部或部分工作的违约责任：由发包人承担自应当接收工程之日起的工程照管、成品保护、保管等与工程有关的各项费用。</w:t>
      </w:r>
    </w:p>
    <w:p w14:paraId="512D77B0">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（16）由于发包人原因对承包人造成的人员人身伤亡和财产损失的，由发包人负责赔偿，并承担由此增加的费用和（或）延误的工期，并支付合理利润。</w:t>
      </w:r>
    </w:p>
    <w:p w14:paraId="2C89D6CE">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（17）发包人未按合同约定办理保险的违约责任：除按18.6.1项约定执行外，每延迟1天，按</w:t>
      </w:r>
      <w:r>
        <w:rPr>
          <w:rFonts w:hint="eastAsia" w:ascii="宋体" w:hAnsi="宋体" w:cs="Microsoft Sans Serif"/>
          <w:kern w:val="0"/>
          <w:szCs w:val="21"/>
          <w:u w:val="single"/>
        </w:rPr>
        <w:t>500元/天</w:t>
      </w:r>
      <w:r>
        <w:rPr>
          <w:rFonts w:hint="eastAsia" w:ascii="宋体" w:hAnsi="宋体" w:cs="Microsoft Sans Serif"/>
          <w:kern w:val="0"/>
          <w:szCs w:val="21"/>
        </w:rPr>
        <w:t>支付违约金。</w:t>
      </w:r>
    </w:p>
    <w:p w14:paraId="4802E455">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（18）其他：</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14:paraId="5046573C">
      <w:pPr>
        <w:autoSpaceDE w:val="0"/>
        <w:autoSpaceDN w:val="0"/>
        <w:adjustRightIn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发包人发生除通用条款第16.1.1项第（7）目以外的违约情况时，承包人可向发包人发出通知，要求发包人采取有效措施纠正违约行为。发包人收到承包人通知后的28天内仍不履行合同义务，承包人有权暂停施工，并通知监理人。</w:t>
      </w:r>
    </w:p>
    <w:p w14:paraId="2181C238">
      <w:pPr>
        <w:spacing w:line="360" w:lineRule="auto"/>
        <w:ind w:firstLine="420" w:firstLineChars="200"/>
        <w:rPr>
          <w:rFonts w:ascii="宋体" w:hAnsi="宋体"/>
          <w:szCs w:val="21"/>
        </w:rPr>
      </w:pPr>
      <w:r>
        <w:rPr>
          <w:rFonts w:hint="eastAsia" w:ascii="宋体" w:hAnsi="宋体"/>
          <w:szCs w:val="21"/>
        </w:rPr>
        <w:t>16.1.3 因发包人违约解除合同</w:t>
      </w:r>
    </w:p>
    <w:p w14:paraId="6D51ED2E">
      <w:pPr>
        <w:autoSpaceDE w:val="0"/>
        <w:autoSpaceDN w:val="0"/>
        <w:adjustRightIn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因发包人违约并致使合同目的不能实现的，承包人有权解除合同：</w:t>
      </w:r>
    </w:p>
    <w:p w14:paraId="531A7896">
      <w:pPr>
        <w:autoSpaceDE w:val="0"/>
        <w:autoSpaceDN w:val="0"/>
        <w:adjustRightIn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（1）因发包人原因延迟支付合同价款超过180天的；</w:t>
      </w:r>
    </w:p>
    <w:p w14:paraId="27829EA7">
      <w:pPr>
        <w:autoSpaceDE w:val="0"/>
        <w:autoSpaceDN w:val="0"/>
        <w:adjustRightIn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（2）因发包人原因导致工期延误超过90天的；</w:t>
      </w:r>
    </w:p>
    <w:p w14:paraId="7A166C27">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（3）因发包人第16.1.2（5）违约情形导致暂停施工满56天，且发包人仍未纠正其违约行为的；</w:t>
      </w:r>
    </w:p>
    <w:p w14:paraId="0A6FF4B3">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（4）其他未履行合同项下的义务构成对合同的实质性违约，并且在收到承包人要求说明其违约并予以补救的通知后56天内仍未补救该实质性违约的；</w:t>
      </w:r>
    </w:p>
    <w:p w14:paraId="0749BE71">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w:t>
      </w:r>
      <w:r>
        <w:rPr>
          <w:rFonts w:hint="eastAsia" w:ascii="宋体" w:hAnsi="宋体" w:cs="Microsoft Sans Serif"/>
          <w:kern w:val="0"/>
          <w:szCs w:val="21"/>
          <w:u w:val="single"/>
        </w:rPr>
        <w:t>合同约定的承包人有权解除合同的其他情形</w:t>
      </w:r>
      <w:r>
        <w:rPr>
          <w:rFonts w:hint="eastAsia" w:ascii="宋体" w:hAnsi="宋体" w:cs="Microsoft Sans Serif"/>
          <w:kern w:val="0"/>
          <w:szCs w:val="21"/>
        </w:rPr>
        <w:t>。</w:t>
      </w:r>
    </w:p>
    <w:p w14:paraId="0AE342DD">
      <w:pPr>
        <w:spacing w:line="360" w:lineRule="auto"/>
        <w:ind w:firstLine="420" w:firstLineChars="200"/>
        <w:rPr>
          <w:rFonts w:ascii="宋体" w:hAnsi="宋体"/>
          <w:szCs w:val="21"/>
        </w:rPr>
      </w:pPr>
      <w:r>
        <w:rPr>
          <w:rFonts w:hint="eastAsia" w:ascii="宋体" w:hAnsi="宋体"/>
          <w:szCs w:val="21"/>
        </w:rPr>
        <w:t>16.1.4 因发包人违约解除合同后的付款</w:t>
      </w:r>
    </w:p>
    <w:p w14:paraId="17D6783D">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承包人按照本款约定解除合同的，发包人应在解除合同后28天内支付下列款项，并解除履约担保（如有）、低价风险担保、预付款担保：</w:t>
      </w:r>
    </w:p>
    <w:p w14:paraId="08272B62">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（1）合同解除前所完成工作的价款；</w:t>
      </w:r>
    </w:p>
    <w:p w14:paraId="0CCAAB14">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（2）承包人为工程施工订购并已付款的材料、工程设备和其他物品的价款；</w:t>
      </w:r>
    </w:p>
    <w:p w14:paraId="7AD1A209">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（3）承包人撤离施工现场以及遣散承包人人员的款项；</w:t>
      </w:r>
    </w:p>
    <w:p w14:paraId="3555A616">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（4）按照合同约定在合同解除前应支付的违约金；</w:t>
      </w:r>
    </w:p>
    <w:p w14:paraId="45D4CB45">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（5）按照合同约定应当支付给承包人的其他款项；</w:t>
      </w:r>
    </w:p>
    <w:p w14:paraId="239C2955">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（6）按照合同约定应退还的质量保证金；</w:t>
      </w:r>
    </w:p>
    <w:p w14:paraId="02B03F76">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（7）因解除合同给承包人造成的损失；</w:t>
      </w:r>
    </w:p>
    <w:p w14:paraId="41554FF2">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w:t>
      </w:r>
      <w:r>
        <w:rPr>
          <w:rFonts w:hint="eastAsia" w:ascii="宋体" w:hAnsi="宋体" w:cs="Microsoft Sans Serif"/>
          <w:kern w:val="0"/>
          <w:szCs w:val="21"/>
          <w:u w:val="single"/>
        </w:rPr>
        <w:t xml:space="preserve">        。</w:t>
      </w:r>
    </w:p>
    <w:p w14:paraId="2C0D29C1">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合同当事人未能就解除合同后的结清达成一致的，按照第20条〔争议解决〕的约定处理。</w:t>
      </w:r>
    </w:p>
    <w:p w14:paraId="00AF2D23">
      <w:pPr>
        <w:snapToGrid w:val="0"/>
        <w:spacing w:line="360" w:lineRule="auto"/>
        <w:ind w:firstLine="420" w:firstLineChars="200"/>
        <w:jc w:val="left"/>
        <w:rPr>
          <w:rFonts w:ascii="宋体" w:hAnsi="宋体" w:cs="Microsoft Sans Serif"/>
          <w:kern w:val="0"/>
          <w:szCs w:val="21"/>
          <w:u w:val="single"/>
        </w:rPr>
      </w:pPr>
      <w:r>
        <w:rPr>
          <w:rFonts w:hint="eastAsia" w:ascii="宋体" w:hAnsi="宋体" w:cs="Microsoft Sans Serif"/>
          <w:kern w:val="0"/>
          <w:szCs w:val="21"/>
        </w:rPr>
        <w:t>承包人应妥善做好已完工程和与工程有关的已购材料、工程设备的保护和移交工作，并将施工设备和人员撤出施工现场，发包人应为承包人撤出提供必要条件。</w:t>
      </w:r>
    </w:p>
    <w:p w14:paraId="6390EC3C">
      <w:pPr>
        <w:pStyle w:val="7"/>
        <w:spacing w:before="0" w:beforeAutospacing="0" w:after="0" w:afterAutospacing="0" w:line="360" w:lineRule="auto"/>
        <w:ind w:firstLine="422" w:firstLineChars="200"/>
        <w:rPr>
          <w:sz w:val="21"/>
          <w:szCs w:val="21"/>
        </w:rPr>
      </w:pPr>
      <w:bookmarkStart w:id="1214" w:name="_Toc532377403"/>
      <w:r>
        <w:rPr>
          <w:rFonts w:hint="eastAsia"/>
          <w:sz w:val="21"/>
          <w:szCs w:val="21"/>
        </w:rPr>
        <w:t>16.2 承包人违约</w:t>
      </w:r>
      <w:bookmarkEnd w:id="1214"/>
    </w:p>
    <w:p w14:paraId="733BA960">
      <w:pPr>
        <w:snapToGrid w:val="0"/>
        <w:spacing w:line="360" w:lineRule="auto"/>
        <w:ind w:firstLine="420" w:firstLineChars="200"/>
        <w:jc w:val="left"/>
        <w:rPr>
          <w:rFonts w:ascii="宋体" w:hAnsi="宋体" w:cs="Microsoft Sans Serif"/>
          <w:kern w:val="0"/>
          <w:szCs w:val="21"/>
        </w:rPr>
      </w:pPr>
      <w:bookmarkStart w:id="1215" w:name="_Hlk524380579"/>
      <w:r>
        <w:rPr>
          <w:rFonts w:hint="eastAsia" w:ascii="宋体" w:hAnsi="宋体" w:cs="Microsoft Sans Serif"/>
          <w:kern w:val="0"/>
          <w:szCs w:val="21"/>
        </w:rPr>
        <w:t>16.2.1 承包人违约的情形</w:t>
      </w:r>
    </w:p>
    <w:p w14:paraId="1E7A356B">
      <w:pPr>
        <w:snapToGrid w:val="0"/>
        <w:spacing w:line="360" w:lineRule="auto"/>
        <w:ind w:firstLine="420" w:firstLineChars="200"/>
        <w:jc w:val="left"/>
        <w:rPr>
          <w:rFonts w:ascii="宋体" w:hAnsi="宋体" w:cs="Microsoft Sans Serif"/>
          <w:kern w:val="0"/>
          <w:szCs w:val="21"/>
          <w:u w:val="single"/>
        </w:rPr>
      </w:pPr>
      <w:r>
        <w:rPr>
          <w:rFonts w:hint="eastAsia" w:ascii="宋体" w:hAnsi="宋体" w:cs="Microsoft Sans Serif"/>
          <w:kern w:val="0"/>
          <w:szCs w:val="21"/>
        </w:rPr>
        <w:t>除通用合同条款约定外，承包人违约的其他情形：</w:t>
      </w:r>
    </w:p>
    <w:p w14:paraId="4F4CCFFA">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（1）承包人未按合同约定提交履约担保（如有）或质量保证金的；</w:t>
      </w:r>
    </w:p>
    <w:p w14:paraId="494122BC">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（2）承包人未能按期开工的；</w:t>
      </w:r>
    </w:p>
    <w:p w14:paraId="43EE5299">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（3）承包人未按投标文件或监理人的要求及时配备称职的主要管理人员，或承包人未按经审定的施工组织设计配备或更换关键施工设备的；</w:t>
      </w:r>
    </w:p>
    <w:p w14:paraId="60FB3B4D">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（4）承包人有安全问题或有违反安全管理规章制度情况的；</w:t>
      </w:r>
    </w:p>
    <w:p w14:paraId="369B578A">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（5）承包人在缺陷责任期及保修期内，未能在合理期限对工程缺陷进行修复，或拒绝按发包人要求进行修复的；</w:t>
      </w:r>
    </w:p>
    <w:p w14:paraId="3A728236">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（6）承包人拖欠其工人或所雇人员工资或报酬，导致其工人或所雇人员向有关部门投诉、控告、检举或以聚集等方式讨要工资或报酬的；</w:t>
      </w:r>
    </w:p>
    <w:p w14:paraId="310928A2">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（7）承包人不配合发包人、监理人及发包人委托的工程造价咨询服务单位结算审核或承包人其他原因导致未按期完成工程竣工结算的；</w:t>
      </w:r>
    </w:p>
    <w:p w14:paraId="7B4CA2CD">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（8）承包人违反合同约定进行转包或违法分包的；</w:t>
      </w:r>
    </w:p>
    <w:p w14:paraId="3409AA67">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（9）承包人未按合同约定移交全部或部分工作的；</w:t>
      </w:r>
    </w:p>
    <w:p w14:paraId="3EE55C38">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（10）承包人未按合同约定购买保险的；</w:t>
      </w:r>
    </w:p>
    <w:p w14:paraId="6F26AD67">
      <w:pPr>
        <w:snapToGrid w:val="0"/>
        <w:spacing w:line="360" w:lineRule="auto"/>
        <w:ind w:firstLine="420" w:firstLineChars="200"/>
        <w:jc w:val="left"/>
        <w:rPr>
          <w:rFonts w:ascii="宋体" w:hAnsi="宋体"/>
          <w:szCs w:val="21"/>
        </w:rPr>
      </w:pPr>
      <w:r>
        <w:rPr>
          <w:rFonts w:hint="eastAsia" w:ascii="宋体" w:hAnsi="宋体" w:cs="Microsoft Sans Serif"/>
          <w:kern w:val="0"/>
          <w:szCs w:val="21"/>
        </w:rPr>
        <w:t>（11）项目经理若有以下情形，属于承包人违约：</w:t>
      </w:r>
    </w:p>
    <w:p w14:paraId="2745EE8C">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1）项目经理不按承诺到岗的；</w:t>
      </w:r>
    </w:p>
    <w:p w14:paraId="3060BB44">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2）每月在施工现场的天数少于约定天数的；</w:t>
      </w:r>
    </w:p>
    <w:p w14:paraId="5F220A1E">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3）承包人未提交项目经理劳动合同和社会保险证明的；</w:t>
      </w:r>
    </w:p>
    <w:p w14:paraId="13ED8606">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4）未经批准，擅自离开施工现场（超过约定时间）的；</w:t>
      </w:r>
    </w:p>
    <w:p w14:paraId="315C32DE">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5）未经批准，擅自变更项目经理的；</w:t>
      </w:r>
    </w:p>
    <w:p w14:paraId="23703AD2">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6）按照渝建发〔2015〕35号文的要求，施工期间，项目经理因在一个记分周期内累计记分达到12分，被建设行政主管部门依法责令停止执业的；</w:t>
      </w:r>
    </w:p>
    <w:p w14:paraId="28633694">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7）发包人有正当理由认为项目经理不称职/不履职，且承包人在约定时间内不予更换的；</w:t>
      </w:r>
    </w:p>
    <w:p w14:paraId="6CDF43DA">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8）其他双方约定的情形：</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14:paraId="7EA6A513">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（12）技术负责人若有以下情形，属于承包人违约：</w:t>
      </w:r>
    </w:p>
    <w:p w14:paraId="7883B77D">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1）每月在施工现场的天数少于约定天数的；</w:t>
      </w:r>
    </w:p>
    <w:p w14:paraId="3645F08F">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2）承包人未提交技术负责人劳动合同和社会保险证明的；</w:t>
      </w:r>
    </w:p>
    <w:p w14:paraId="7346A258">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3）未经批准，擅自离开施工现场（超过约定时间）的；</w:t>
      </w:r>
    </w:p>
    <w:p w14:paraId="603A79BB">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4）未经批准，擅自变更技术负责人的；</w:t>
      </w:r>
    </w:p>
    <w:p w14:paraId="62C92694">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5）发包人有正当理由认为技术负责人不称职/不履职，且承包人在约定时间内不予更换的；</w:t>
      </w:r>
    </w:p>
    <w:p w14:paraId="2D511812">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6）其他双方约定的情形：</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14:paraId="3AD27856">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（13）主要施工管理人员若有以下情形，属于承包人违约：</w:t>
      </w:r>
    </w:p>
    <w:p w14:paraId="3D69EB49">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1）承包人未提交主要施工管理人员劳动合同和社会保险证明的；</w:t>
      </w:r>
    </w:p>
    <w:p w14:paraId="2DBCDB8C">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2）未经批准，擅自离开施工现场（超过约定时间）的；</w:t>
      </w:r>
    </w:p>
    <w:p w14:paraId="7FE03C4D">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3）未经批准，擅自变更主要施工管理人员的；</w:t>
      </w:r>
    </w:p>
    <w:p w14:paraId="2C1F4D93">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4）发包人有正当理由认为主要施工管理人员不称职/不履职，且承包人在约定时间内不予更换的；</w:t>
      </w:r>
    </w:p>
    <w:p w14:paraId="065B285C">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5）其他双方约定的情形：</w:t>
      </w:r>
      <w:r>
        <w:rPr>
          <w:rFonts w:hint="eastAsia" w:ascii="宋体" w:hAnsi="宋体" w:cs="Microsoft Sans Serif"/>
          <w:kern w:val="0"/>
          <w:szCs w:val="21"/>
          <w:u w:val="single"/>
        </w:rPr>
        <w:t xml:space="preserve">        </w:t>
      </w:r>
      <w:r>
        <w:rPr>
          <w:rFonts w:hint="eastAsia" w:ascii="宋体" w:hAnsi="宋体" w:cs="Microsoft Sans Serif"/>
          <w:kern w:val="0"/>
          <w:szCs w:val="21"/>
        </w:rPr>
        <w:t>。</w:t>
      </w:r>
    </w:p>
    <w:bookmarkEnd w:id="1215"/>
    <w:p w14:paraId="3F9DD52F">
      <w:pPr>
        <w:adjustRightInd w:val="0"/>
        <w:snapToGrid w:val="0"/>
        <w:spacing w:line="360" w:lineRule="auto"/>
        <w:ind w:firstLine="420" w:firstLineChars="200"/>
        <w:rPr>
          <w:rFonts w:ascii="宋体" w:hAnsi="宋体" w:cs="Microsoft Sans Serif"/>
          <w:kern w:val="0"/>
          <w:szCs w:val="21"/>
        </w:rPr>
      </w:pPr>
      <w:r>
        <w:rPr>
          <w:rFonts w:hint="eastAsia" w:ascii="宋体" w:hAnsi="宋体" w:cs="Microsoft Sans Serif"/>
          <w:kern w:val="0"/>
          <w:szCs w:val="21"/>
        </w:rPr>
        <w:t>（14）发包人在合同签订前对承包人已标价工程量清单清标时发现承包人的工程量清单综合单价报价超过招标时给出的工程量清单综合单价最高限价，结算时拒不接受发包人以发出的工程量清单综合单价最高限价为基础，按照承包人的中标总报价与本工程的总价最高限价的下浮比例进行同比例下调的。</w:t>
      </w:r>
    </w:p>
    <w:p w14:paraId="7AA8FED2">
      <w:pPr>
        <w:adjustRightInd w:val="0"/>
        <w:snapToGrid w:val="0"/>
        <w:spacing w:line="360" w:lineRule="auto"/>
        <w:ind w:firstLine="420" w:firstLineChars="200"/>
        <w:rPr>
          <w:rFonts w:ascii="宋体" w:hAnsi="宋体" w:cs="Microsoft Sans Serif"/>
          <w:kern w:val="0"/>
          <w:szCs w:val="21"/>
        </w:rPr>
      </w:pPr>
      <w:r>
        <w:rPr>
          <w:rFonts w:hint="eastAsia" w:ascii="宋体" w:hAnsi="宋体" w:cs="Microsoft Sans Serif"/>
          <w:kern w:val="0"/>
          <w:szCs w:val="21"/>
        </w:rPr>
        <w:t>（15）</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14:paraId="3340797E">
      <w:pPr>
        <w:adjustRightInd w:val="0"/>
        <w:snapToGrid w:val="0"/>
        <w:spacing w:line="360" w:lineRule="auto"/>
        <w:ind w:firstLine="420" w:firstLineChars="200"/>
        <w:rPr>
          <w:rFonts w:ascii="宋体" w:hAnsi="宋体" w:cs="Microsoft Sans Serif"/>
          <w:kern w:val="0"/>
          <w:szCs w:val="21"/>
        </w:rPr>
      </w:pPr>
      <w:r>
        <w:rPr>
          <w:rFonts w:hint="eastAsia" w:ascii="宋体" w:hAnsi="宋体" w:cs="Microsoft Sans Serif"/>
          <w:kern w:val="0"/>
          <w:szCs w:val="21"/>
        </w:rPr>
        <w:t>16.2.2 承包人违约的责任</w:t>
      </w:r>
    </w:p>
    <w:p w14:paraId="753CB708">
      <w:pPr>
        <w:adjustRightInd w:val="0"/>
        <w:snapToGrid w:val="0"/>
        <w:spacing w:line="360" w:lineRule="auto"/>
        <w:ind w:firstLine="420" w:firstLineChars="200"/>
        <w:rPr>
          <w:rFonts w:ascii="宋体" w:hAnsi="宋体" w:cs="Microsoft Sans Serif"/>
          <w:kern w:val="0"/>
          <w:szCs w:val="21"/>
        </w:rPr>
      </w:pPr>
      <w:r>
        <w:rPr>
          <w:rFonts w:hint="eastAsia" w:ascii="宋体" w:hAnsi="宋体" w:cs="Microsoft Sans Serif"/>
          <w:kern w:val="0"/>
          <w:szCs w:val="21"/>
        </w:rPr>
        <w:t>承包人违约责任的承担方式和计算方法：</w:t>
      </w:r>
    </w:p>
    <w:p w14:paraId="28414D3D">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（1）承包人未按合同约定提交履约担保（如有）、质量保证金的违约责任：承包人应支付违约金，</w:t>
      </w:r>
      <w:r>
        <w:rPr>
          <w:rFonts w:hint="eastAsia" w:ascii="宋体" w:hAnsi="宋体" w:cs="Microsoft Sans Serif"/>
          <w:szCs w:val="21"/>
        </w:rPr>
        <w:t>违约金的计算方法：</w:t>
      </w:r>
      <w:r>
        <w:rPr>
          <w:rFonts w:hint="eastAsia" w:ascii="宋体" w:hAnsi="宋体" w:cs="Microsoft Sans Serif"/>
          <w:kern w:val="0"/>
          <w:szCs w:val="21"/>
        </w:rPr>
        <w:t>每延误1天，承包人按</w:t>
      </w:r>
      <w:r>
        <w:rPr>
          <w:rFonts w:hint="eastAsia" w:ascii="宋体" w:hAnsi="宋体" w:cs="Microsoft Sans Serif"/>
          <w:kern w:val="0"/>
          <w:szCs w:val="21"/>
          <w:u w:val="single"/>
        </w:rPr>
        <w:t xml:space="preserve">  （5000～50000）元/天</w:t>
      </w:r>
      <w:r>
        <w:rPr>
          <w:rFonts w:hint="eastAsia" w:ascii="宋体" w:hAnsi="宋体" w:cs="Microsoft Sans Serif"/>
          <w:kern w:val="0"/>
          <w:szCs w:val="21"/>
        </w:rPr>
        <w:t>计算违约金，累计违约金上限：</w:t>
      </w:r>
      <w:r>
        <w:rPr>
          <w:rFonts w:hint="eastAsia" w:ascii="宋体" w:hAnsi="宋体" w:cs="Microsoft Sans Serif"/>
          <w:kern w:val="0"/>
          <w:szCs w:val="21"/>
          <w:u w:val="single"/>
        </w:rPr>
        <w:t xml:space="preserve">  万元（不超过签约合同价的3%）</w:t>
      </w:r>
      <w:r>
        <w:rPr>
          <w:rFonts w:hint="eastAsia" w:ascii="宋体" w:hAnsi="宋体" w:cs="Microsoft Sans Serif"/>
          <w:kern w:val="0"/>
          <w:szCs w:val="21"/>
          <w:lang w:val="zh-CN"/>
        </w:rPr>
        <w:t>。</w:t>
      </w:r>
    </w:p>
    <w:p w14:paraId="33398881">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（2）承包人违反合同约定进行转包或违法分包的违约责任：按照违反合同约定进行转包和（或）违法分包相应转包和（或）分包合同的合同金额的</w:t>
      </w:r>
      <w:r>
        <w:rPr>
          <w:rFonts w:hint="eastAsia" w:ascii="宋体" w:hAnsi="宋体" w:cs="Microsoft Sans Serif"/>
          <w:kern w:val="0"/>
          <w:szCs w:val="21"/>
          <w:u w:val="single"/>
        </w:rPr>
        <w:t xml:space="preserve">  （5～10）%</w:t>
      </w:r>
      <w:r>
        <w:rPr>
          <w:rFonts w:hint="eastAsia" w:ascii="宋体" w:hAnsi="宋体" w:cs="Microsoft Sans Serif"/>
          <w:kern w:val="0"/>
          <w:szCs w:val="21"/>
        </w:rPr>
        <w:t>支付违约金，违法转/分包商应在7天内撤离出场。</w:t>
      </w:r>
    </w:p>
    <w:p w14:paraId="46CDB0AF">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（3）承包人违反合同约定采购和使用不合格的材料和工程设备的违约责任：按照违反合同约定采购和使用不合格的材料和（或）工程设备相应合同金额的</w:t>
      </w:r>
      <w:r>
        <w:rPr>
          <w:rFonts w:hint="eastAsia" w:ascii="宋体" w:hAnsi="宋体" w:cs="Microsoft Sans Serif"/>
          <w:kern w:val="0"/>
          <w:szCs w:val="21"/>
          <w:u w:val="single"/>
        </w:rPr>
        <w:t xml:space="preserve">  （5～10）%</w:t>
      </w:r>
      <w:r>
        <w:rPr>
          <w:rFonts w:hint="eastAsia" w:ascii="宋体" w:hAnsi="宋体" w:cs="Microsoft Sans Serif"/>
          <w:kern w:val="0"/>
          <w:szCs w:val="21"/>
        </w:rPr>
        <w:t>支付违约金。</w:t>
      </w:r>
    </w:p>
    <w:p w14:paraId="371374B2">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cs="Microsoft Sans Serif"/>
          <w:kern w:val="0"/>
          <w:szCs w:val="21"/>
          <w:u w:val="single"/>
        </w:rPr>
        <w:t xml:space="preserve">  （5～10）%</w:t>
      </w:r>
      <w:r>
        <w:rPr>
          <w:rFonts w:hint="eastAsia" w:ascii="宋体" w:hAnsi="宋体" w:cs="Microsoft Sans Serif"/>
          <w:kern w:val="0"/>
          <w:szCs w:val="21"/>
        </w:rPr>
        <w:t>支付违约金。</w:t>
      </w:r>
    </w:p>
    <w:p w14:paraId="25A73748">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cs="Microsoft Sans Serif"/>
          <w:kern w:val="0"/>
          <w:szCs w:val="21"/>
          <w:u w:val="single"/>
        </w:rPr>
        <w:t xml:space="preserve">  （1～5）%</w:t>
      </w:r>
      <w:r>
        <w:rPr>
          <w:rFonts w:hint="eastAsia" w:ascii="宋体" w:hAnsi="宋体" w:cs="Microsoft Sans Serif"/>
          <w:kern w:val="0"/>
          <w:szCs w:val="21"/>
        </w:rPr>
        <w:t>支付违约金。</w:t>
      </w:r>
    </w:p>
    <w:p w14:paraId="47EF1D40">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（6）因承包人原因造成工期延误的违约承担方式和计算方法：由承包人承担由此增加的费用，</w:t>
      </w:r>
      <w:r>
        <w:rPr>
          <w:rFonts w:hint="eastAsia" w:ascii="宋体" w:hAnsi="宋体" w:cs="Microsoft Sans Serif"/>
          <w:szCs w:val="21"/>
        </w:rPr>
        <w:t>由此导致工期延误的，工期不予顺延；逾期竣工违约金的计算方法：</w:t>
      </w:r>
      <w:r>
        <w:rPr>
          <w:rFonts w:hint="eastAsia" w:ascii="宋体" w:hAnsi="宋体" w:cs="Microsoft Sans Serif"/>
          <w:kern w:val="0"/>
          <w:szCs w:val="21"/>
        </w:rPr>
        <w:t>每延误1天，承包人按</w:t>
      </w:r>
      <w:r>
        <w:rPr>
          <w:rFonts w:hint="eastAsia" w:ascii="宋体" w:hAnsi="宋体" w:cs="Microsoft Sans Serif"/>
          <w:kern w:val="0"/>
          <w:szCs w:val="21"/>
          <w:u w:val="single"/>
        </w:rPr>
        <w:t xml:space="preserve">  （5000～50000）元/天</w:t>
      </w:r>
      <w:r>
        <w:rPr>
          <w:rFonts w:hint="eastAsia" w:ascii="宋体" w:hAnsi="宋体" w:cs="Microsoft Sans Serif"/>
          <w:kern w:val="0"/>
          <w:szCs w:val="21"/>
        </w:rPr>
        <w:t>计算逾期竣工违约金，累计违约金上限：</w:t>
      </w:r>
      <w:r>
        <w:rPr>
          <w:rFonts w:hint="eastAsia" w:ascii="宋体" w:hAnsi="宋体" w:cs="Microsoft Sans Serif"/>
          <w:kern w:val="0"/>
          <w:szCs w:val="21"/>
          <w:u w:val="single"/>
        </w:rPr>
        <w:t xml:space="preserve">  </w:t>
      </w:r>
      <w:r>
        <w:rPr>
          <w:rFonts w:hint="eastAsia" w:ascii="宋体" w:hAnsi="宋体" w:cs="Microsoft Sans Serif"/>
          <w:kern w:val="0"/>
          <w:szCs w:val="21"/>
        </w:rPr>
        <w:t>万元（不超过签约合同价的3%）</w:t>
      </w:r>
      <w:r>
        <w:rPr>
          <w:rFonts w:hint="eastAsia" w:ascii="宋体" w:hAnsi="宋体" w:cs="Microsoft Sans Serif"/>
          <w:kern w:val="0"/>
          <w:szCs w:val="21"/>
          <w:lang w:val="zh-CN"/>
        </w:rPr>
        <w:t>；</w:t>
      </w:r>
      <w:r>
        <w:rPr>
          <w:rFonts w:hint="eastAsia" w:ascii="宋体" w:hAnsi="宋体" w:cs="Microsoft Sans Serif"/>
          <w:kern w:val="0"/>
          <w:szCs w:val="21"/>
        </w:rPr>
        <w:t>承包人支付逾期竣工违约金后，不免除承包人继续完成工程及修补缺陷的义务。</w:t>
      </w:r>
    </w:p>
    <w:p w14:paraId="37157F21">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（7）承包人在缺陷责任期及保修期内，未能在合理期限对工程缺陷进行修复，或拒绝按发包人要求进行修复的违约责任：按照发包人修复缺陷费用的</w:t>
      </w:r>
      <w:r>
        <w:rPr>
          <w:rFonts w:hint="eastAsia" w:ascii="宋体" w:hAnsi="宋体" w:cs="Microsoft Sans Serif"/>
          <w:kern w:val="0"/>
          <w:szCs w:val="21"/>
          <w:u w:val="single"/>
        </w:rPr>
        <w:t xml:space="preserve">  （0.5～2）%</w:t>
      </w:r>
      <w:r>
        <w:rPr>
          <w:rFonts w:hint="eastAsia" w:ascii="宋体" w:hAnsi="宋体" w:cs="Microsoft Sans Serif"/>
          <w:kern w:val="0"/>
          <w:szCs w:val="21"/>
        </w:rPr>
        <w:t>支付违约金。</w:t>
      </w:r>
    </w:p>
    <w:p w14:paraId="3DB3217B">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（8）承包人明确表示或者以其行为表明不履行合同主要义务的违约责任：按签约合同价的</w:t>
      </w:r>
      <w:r>
        <w:rPr>
          <w:rFonts w:hint="eastAsia" w:ascii="宋体" w:hAnsi="宋体" w:cs="Microsoft Sans Serif"/>
          <w:kern w:val="0"/>
          <w:szCs w:val="21"/>
          <w:u w:val="single"/>
        </w:rPr>
        <w:t xml:space="preserve">  （5～10）%</w:t>
      </w:r>
      <w:r>
        <w:rPr>
          <w:rFonts w:hint="eastAsia" w:ascii="宋体" w:hAnsi="宋体" w:cs="Microsoft Sans Serif"/>
          <w:kern w:val="0"/>
          <w:szCs w:val="21"/>
        </w:rPr>
        <w:t>支付违约金。</w:t>
      </w:r>
    </w:p>
    <w:p w14:paraId="0251B0E1">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（9）承包人未能按照合同约定履行其他义务的违约责任：按</w:t>
      </w:r>
      <w:r>
        <w:rPr>
          <w:rFonts w:hint="eastAsia" w:ascii="宋体" w:hAnsi="宋体" w:cs="Microsoft Sans Serif"/>
          <w:kern w:val="0"/>
          <w:szCs w:val="21"/>
          <w:u w:val="single"/>
        </w:rPr>
        <w:t>（500～5000）元/次</w:t>
      </w:r>
      <w:r>
        <w:rPr>
          <w:rFonts w:hint="eastAsia" w:ascii="宋体" w:hAnsi="宋体" w:cs="Microsoft Sans Serif"/>
          <w:kern w:val="0"/>
          <w:szCs w:val="21"/>
        </w:rPr>
        <w:t>支付违约金。</w:t>
      </w:r>
    </w:p>
    <w:p w14:paraId="644D736A">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（10）承包人未能按期开工的违约责任：按合同价</w:t>
      </w:r>
      <w:r>
        <w:rPr>
          <w:rFonts w:hint="eastAsia" w:ascii="宋体" w:hAnsi="宋体" w:cs="Microsoft Sans Serif"/>
          <w:kern w:val="0"/>
          <w:szCs w:val="21"/>
          <w:u w:val="single"/>
        </w:rPr>
        <w:t>0.2‰/天</w:t>
      </w:r>
      <w:r>
        <w:rPr>
          <w:rFonts w:hint="eastAsia" w:ascii="宋体" w:hAnsi="宋体" w:cs="Microsoft Sans Serif"/>
          <w:kern w:val="0"/>
          <w:szCs w:val="21"/>
        </w:rPr>
        <w:t>支付违约金，本项违约金累计限额为签约合同价的</w:t>
      </w:r>
      <w:r>
        <w:rPr>
          <w:rFonts w:hint="eastAsia" w:ascii="宋体" w:hAnsi="宋体" w:cs="Microsoft Sans Serif"/>
          <w:kern w:val="0"/>
          <w:szCs w:val="21"/>
          <w:u w:val="single"/>
        </w:rPr>
        <w:t xml:space="preserve"> 1 %</w:t>
      </w:r>
      <w:r>
        <w:rPr>
          <w:rFonts w:hint="eastAsia" w:ascii="宋体" w:hAnsi="宋体" w:cs="Microsoft Sans Serif"/>
          <w:kern w:val="0"/>
          <w:szCs w:val="21"/>
        </w:rPr>
        <w:t>。</w:t>
      </w:r>
    </w:p>
    <w:p w14:paraId="3B9ACFBC">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（11）承包人未按经审定的施工组织设计配备或更换关键施工设备的违约责任：按</w:t>
      </w:r>
      <w:r>
        <w:rPr>
          <w:rFonts w:hint="eastAsia" w:ascii="宋体" w:hAnsi="宋体" w:cs="Microsoft Sans Serif"/>
          <w:kern w:val="0"/>
          <w:szCs w:val="21"/>
          <w:u w:val="single"/>
        </w:rPr>
        <w:t xml:space="preserve">  （5000～50000）元/台·次</w:t>
      </w:r>
      <w:r>
        <w:rPr>
          <w:rFonts w:hint="eastAsia" w:ascii="宋体" w:hAnsi="宋体" w:cs="Microsoft Sans Serif"/>
          <w:kern w:val="0"/>
          <w:szCs w:val="21"/>
        </w:rPr>
        <w:t>支付违约金。</w:t>
      </w:r>
    </w:p>
    <w:p w14:paraId="111B5629">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（12）承包人有安全问题或有违反安全管理规章制度情况的违约责任：根据具体情节，按签约合同价的</w:t>
      </w:r>
      <w:r>
        <w:rPr>
          <w:rFonts w:hint="eastAsia" w:ascii="宋体" w:hAnsi="宋体" w:cs="Microsoft Sans Serif"/>
          <w:kern w:val="0"/>
          <w:szCs w:val="21"/>
          <w:u w:val="single"/>
        </w:rPr>
        <w:t>0.5‰～4‰/次</w:t>
      </w:r>
      <w:r>
        <w:rPr>
          <w:rFonts w:hint="eastAsia" w:ascii="宋体" w:hAnsi="宋体" w:cs="Microsoft Sans Serif"/>
          <w:kern w:val="0"/>
          <w:szCs w:val="21"/>
        </w:rPr>
        <w:t>支付违约金（累计不超过签约合同价的1%，详见附件9安全管理协议）。</w:t>
      </w:r>
    </w:p>
    <w:p w14:paraId="24DC63FE">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cs="Microsoft Sans Serif"/>
          <w:kern w:val="0"/>
          <w:szCs w:val="21"/>
          <w:u w:val="single"/>
        </w:rPr>
        <w:t xml:space="preserve">  （50000～200000）元/次</w:t>
      </w:r>
      <w:r>
        <w:rPr>
          <w:rFonts w:hint="eastAsia" w:ascii="宋体" w:hAnsi="宋体" w:cs="Microsoft Sans Serif"/>
          <w:kern w:val="0"/>
          <w:szCs w:val="21"/>
        </w:rPr>
        <w:t>支付违约金。</w:t>
      </w:r>
    </w:p>
    <w:p w14:paraId="2BAC6535">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（14）承包人不配合发包人、监理人及发包人委托的工程造价咨询服务单位结算审核的违约责任：根据具体情节，按</w:t>
      </w:r>
      <w:r>
        <w:rPr>
          <w:rFonts w:hint="eastAsia" w:ascii="宋体" w:hAnsi="宋体" w:cs="Microsoft Sans Serif"/>
          <w:kern w:val="0"/>
          <w:szCs w:val="21"/>
          <w:u w:val="single"/>
        </w:rPr>
        <w:t xml:space="preserve">  （10000～100000）元/次</w:t>
      </w:r>
      <w:r>
        <w:rPr>
          <w:rFonts w:hint="eastAsia" w:ascii="宋体" w:hAnsi="宋体" w:cs="Microsoft Sans Serif"/>
          <w:kern w:val="0"/>
          <w:szCs w:val="21"/>
        </w:rPr>
        <w:t>支付违约金。</w:t>
      </w:r>
    </w:p>
    <w:p w14:paraId="0993119F">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（15）承包人未按合同约定移交全部和部分工程的违约责任：由承包人承担工程照管、成品保护、保管等与工程有关的各种费用，并按结算金额或违约部分结算金额的</w:t>
      </w:r>
      <w:r>
        <w:rPr>
          <w:rFonts w:hint="eastAsia" w:ascii="宋体" w:hAnsi="宋体" w:cs="Microsoft Sans Serif"/>
          <w:kern w:val="0"/>
          <w:szCs w:val="21"/>
          <w:u w:val="single"/>
        </w:rPr>
        <w:t>0.5～1‰</w:t>
      </w:r>
      <w:r>
        <w:rPr>
          <w:rFonts w:hint="eastAsia" w:ascii="宋体" w:hAnsi="宋体" w:cs="Microsoft Sans Serif"/>
          <w:kern w:val="0"/>
          <w:szCs w:val="21"/>
        </w:rPr>
        <w:t>支付违约金。</w:t>
      </w:r>
    </w:p>
    <w:p w14:paraId="419CEACC">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（16）承包人未按合同约定购买保险的违约责任：除按18.6.2项约定执行外，每延迟1天，按</w:t>
      </w:r>
      <w:r>
        <w:rPr>
          <w:rFonts w:hint="eastAsia" w:ascii="宋体" w:hAnsi="宋体" w:cs="Microsoft Sans Serif"/>
          <w:szCs w:val="21"/>
          <w:u w:val="single"/>
        </w:rPr>
        <w:t>500元/天</w:t>
      </w:r>
      <w:r>
        <w:rPr>
          <w:rFonts w:hint="eastAsia" w:ascii="宋体" w:hAnsi="宋体" w:cs="Microsoft Sans Serif"/>
          <w:szCs w:val="21"/>
        </w:rPr>
        <w:t>支付违约金。</w:t>
      </w:r>
    </w:p>
    <w:p w14:paraId="163A598C">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（17）发生第16.2.1项（11）目、16.2.1项（12）目、16.2.1项（13）目违约情形的违约责任：除承担由此增加的费用和工期延误的责任，承包人应向发包人支付违约金：</w:t>
      </w:r>
    </w:p>
    <w:p w14:paraId="1F72670B">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1）项目经理违约承担方式和计算方法：对于第16.2.1项（11）目的情形，每发现一次，根据具体情节，按</w:t>
      </w:r>
      <w:r>
        <w:rPr>
          <w:rFonts w:hint="eastAsia" w:ascii="宋体" w:hAnsi="宋体" w:cs="Microsoft Sans Serif"/>
          <w:kern w:val="0"/>
          <w:szCs w:val="21"/>
          <w:u w:val="single"/>
        </w:rPr>
        <w:t>1000～30000元/天·次</w:t>
      </w:r>
      <w:r>
        <w:rPr>
          <w:rFonts w:hint="eastAsia" w:ascii="宋体" w:hAnsi="宋体" w:cs="Microsoft Sans Serif"/>
          <w:kern w:val="0"/>
          <w:szCs w:val="21"/>
        </w:rPr>
        <w:t>计算违约金；项目经理不按承诺到岗的（</w:t>
      </w:r>
      <w:r>
        <w:rPr>
          <w:rFonts w:ascii="宋体" w:hAnsi="宋体" w:cs="Microsoft Sans Serif"/>
          <w:kern w:val="0"/>
          <w:szCs w:val="21"/>
        </w:rPr>
        <w:t>3.2.3项约定的情形除外</w:t>
      </w:r>
      <w:r>
        <w:rPr>
          <w:rFonts w:hint="eastAsia" w:ascii="宋体" w:hAnsi="宋体" w:cs="Microsoft Sans Serif"/>
          <w:kern w:val="0"/>
          <w:szCs w:val="21"/>
        </w:rPr>
        <w:t>），按履约保证金（如有）的</w:t>
      </w:r>
      <w:r>
        <w:rPr>
          <w:rFonts w:hint="eastAsia" w:ascii="宋体" w:hAnsi="宋体" w:cs="Microsoft Sans Serif"/>
          <w:kern w:val="0"/>
          <w:szCs w:val="21"/>
          <w:u w:val="single"/>
        </w:rPr>
        <w:t>（50～100）%</w:t>
      </w:r>
      <w:r>
        <w:rPr>
          <w:rFonts w:hint="eastAsia" w:ascii="宋体" w:hAnsi="宋体" w:cs="Microsoft Sans Serif"/>
          <w:kern w:val="0"/>
          <w:szCs w:val="21"/>
        </w:rPr>
        <w:t>支付违约金，并解除合同；擅自更换项目经理的，按签约合同价的</w:t>
      </w:r>
      <w:r>
        <w:rPr>
          <w:rFonts w:hint="eastAsia" w:ascii="宋体" w:hAnsi="宋体" w:cs="Microsoft Sans Serif"/>
          <w:kern w:val="0"/>
          <w:szCs w:val="21"/>
          <w:u w:val="single"/>
        </w:rPr>
        <w:t>（0.5～3）%/人·次</w:t>
      </w:r>
      <w:r>
        <w:rPr>
          <w:rFonts w:hint="eastAsia" w:ascii="宋体" w:hAnsi="宋体" w:cs="Microsoft Sans Serif"/>
          <w:kern w:val="0"/>
          <w:szCs w:val="21"/>
        </w:rPr>
        <w:t>支付违约金，每次不低于</w:t>
      </w:r>
      <w:r>
        <w:rPr>
          <w:rFonts w:hint="eastAsia" w:ascii="宋体" w:hAnsi="宋体" w:cs="Microsoft Sans Serif"/>
          <w:kern w:val="0"/>
          <w:szCs w:val="21"/>
          <w:u w:val="single"/>
        </w:rPr>
        <w:t>20万</w:t>
      </w:r>
      <w:r>
        <w:rPr>
          <w:rFonts w:hint="eastAsia" w:ascii="宋体" w:hAnsi="宋体" w:cs="Microsoft Sans Serif"/>
          <w:kern w:val="0"/>
          <w:szCs w:val="21"/>
        </w:rPr>
        <w:t>，累计不超过</w:t>
      </w:r>
      <w:r>
        <w:rPr>
          <w:rFonts w:hint="eastAsia" w:ascii="宋体" w:hAnsi="宋体" w:cs="Microsoft Sans Serif"/>
          <w:kern w:val="0"/>
          <w:szCs w:val="21"/>
          <w:u w:val="single"/>
        </w:rPr>
        <w:t>200万</w:t>
      </w:r>
      <w:r>
        <w:rPr>
          <w:rFonts w:hint="eastAsia" w:ascii="宋体" w:hAnsi="宋体" w:cs="Microsoft Sans Serif"/>
          <w:kern w:val="0"/>
          <w:szCs w:val="21"/>
        </w:rPr>
        <w:t>；项目经理被责令停止执业的，按签约合同价的</w:t>
      </w:r>
      <w:r>
        <w:rPr>
          <w:rFonts w:hint="eastAsia" w:ascii="宋体" w:hAnsi="宋体" w:cs="Microsoft Sans Serif"/>
          <w:kern w:val="0"/>
          <w:szCs w:val="21"/>
          <w:u w:val="single"/>
        </w:rPr>
        <w:t>（0.5～3）%/人·次</w:t>
      </w:r>
      <w:r>
        <w:rPr>
          <w:rFonts w:hint="eastAsia" w:ascii="宋体" w:hAnsi="宋体" w:cs="Microsoft Sans Serif"/>
          <w:kern w:val="0"/>
          <w:szCs w:val="21"/>
        </w:rPr>
        <w:t>支付违约金，每次不低于</w:t>
      </w:r>
      <w:r>
        <w:rPr>
          <w:rFonts w:hint="eastAsia" w:ascii="宋体" w:hAnsi="宋体" w:cs="Microsoft Sans Serif"/>
          <w:kern w:val="0"/>
          <w:szCs w:val="21"/>
          <w:u w:val="single"/>
        </w:rPr>
        <w:t>20万</w:t>
      </w:r>
      <w:r>
        <w:rPr>
          <w:rFonts w:hint="eastAsia" w:ascii="宋体" w:hAnsi="宋体" w:cs="Microsoft Sans Serif"/>
          <w:kern w:val="0"/>
          <w:szCs w:val="21"/>
        </w:rPr>
        <w:t>，累计不超过</w:t>
      </w:r>
      <w:r>
        <w:rPr>
          <w:rFonts w:hint="eastAsia" w:ascii="宋体" w:hAnsi="宋体" w:cs="Microsoft Sans Serif"/>
          <w:kern w:val="0"/>
          <w:szCs w:val="21"/>
          <w:u w:val="single"/>
        </w:rPr>
        <w:t>200万</w:t>
      </w:r>
      <w:r>
        <w:rPr>
          <w:rFonts w:hint="eastAsia" w:ascii="宋体" w:hAnsi="宋体" w:cs="Microsoft Sans Serif"/>
          <w:kern w:val="0"/>
          <w:szCs w:val="21"/>
        </w:rPr>
        <w:t>；项目经理被责令停止执业的，按签约合同价的</w:t>
      </w:r>
      <w:r>
        <w:rPr>
          <w:rFonts w:hint="eastAsia" w:ascii="宋体" w:hAnsi="宋体" w:cs="Microsoft Sans Serif"/>
          <w:kern w:val="0"/>
          <w:szCs w:val="21"/>
          <w:u w:val="single"/>
        </w:rPr>
        <w:t>（0.5～3）%/人•次</w:t>
      </w:r>
      <w:r>
        <w:rPr>
          <w:rFonts w:hint="eastAsia" w:ascii="宋体" w:hAnsi="宋体" w:cs="Microsoft Sans Serif"/>
          <w:kern w:val="0"/>
          <w:szCs w:val="21"/>
        </w:rPr>
        <w:t>支付违约金，每次不低于</w:t>
      </w:r>
      <w:r>
        <w:rPr>
          <w:rFonts w:hint="eastAsia" w:ascii="宋体" w:hAnsi="宋体" w:cs="Microsoft Sans Serif"/>
          <w:kern w:val="0"/>
          <w:szCs w:val="21"/>
          <w:u w:val="single"/>
        </w:rPr>
        <w:t>20</w:t>
      </w:r>
      <w:r>
        <w:rPr>
          <w:rFonts w:hint="eastAsia" w:ascii="宋体" w:hAnsi="宋体" w:cs="Microsoft Sans Serif"/>
          <w:kern w:val="0"/>
          <w:szCs w:val="21"/>
        </w:rPr>
        <w:t>万，累计不超过</w:t>
      </w:r>
      <w:r>
        <w:rPr>
          <w:rFonts w:hint="eastAsia" w:ascii="宋体" w:hAnsi="宋体" w:cs="Microsoft Sans Serif"/>
          <w:kern w:val="0"/>
          <w:szCs w:val="21"/>
          <w:u w:val="single"/>
        </w:rPr>
        <w:t>200</w:t>
      </w:r>
      <w:r>
        <w:rPr>
          <w:rFonts w:hint="eastAsia" w:ascii="宋体" w:hAnsi="宋体" w:cs="Microsoft Sans Serif"/>
          <w:kern w:val="0"/>
          <w:szCs w:val="21"/>
        </w:rPr>
        <w:t>万。</w:t>
      </w:r>
    </w:p>
    <w:p w14:paraId="42CD1836">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2）主要技术负责人违约承担方式和计算方法：对于第16.2.1项（12）目的六种情形，每发现一次，根据具体情节，按</w:t>
      </w:r>
      <w:r>
        <w:rPr>
          <w:rFonts w:hint="eastAsia" w:ascii="宋体" w:hAnsi="宋体" w:cs="Microsoft Sans Serif"/>
          <w:kern w:val="0"/>
          <w:szCs w:val="21"/>
          <w:u w:val="single"/>
        </w:rPr>
        <w:t>1000～30000元/天·次</w:t>
      </w:r>
      <w:r>
        <w:rPr>
          <w:rFonts w:hint="eastAsia" w:ascii="宋体" w:hAnsi="宋体" w:cs="Microsoft Sans Serif"/>
          <w:kern w:val="0"/>
          <w:szCs w:val="21"/>
        </w:rPr>
        <w:t>计算违约金；擅自更换主要技术负责人的，按签约合同价的</w:t>
      </w:r>
      <w:r>
        <w:rPr>
          <w:rFonts w:hint="eastAsia" w:ascii="宋体" w:hAnsi="宋体" w:cs="Microsoft Sans Serif"/>
          <w:kern w:val="0"/>
          <w:szCs w:val="21"/>
          <w:u w:val="single"/>
        </w:rPr>
        <w:t>（0.5～2）%/人·次</w:t>
      </w:r>
      <w:r>
        <w:rPr>
          <w:rFonts w:hint="eastAsia" w:ascii="宋体" w:hAnsi="宋体" w:cs="Microsoft Sans Serif"/>
          <w:kern w:val="0"/>
          <w:szCs w:val="21"/>
        </w:rPr>
        <w:t>支付违约金，每次不低于</w:t>
      </w:r>
      <w:r>
        <w:rPr>
          <w:rFonts w:hint="eastAsia" w:ascii="宋体" w:hAnsi="宋体" w:cs="Microsoft Sans Serif"/>
          <w:kern w:val="0"/>
          <w:szCs w:val="21"/>
          <w:u w:val="single"/>
        </w:rPr>
        <w:t>10万</w:t>
      </w:r>
      <w:r>
        <w:rPr>
          <w:rFonts w:hint="eastAsia" w:ascii="宋体" w:hAnsi="宋体" w:cs="Microsoft Sans Serif"/>
          <w:kern w:val="0"/>
          <w:szCs w:val="21"/>
        </w:rPr>
        <w:t>，累计不超过</w:t>
      </w:r>
      <w:r>
        <w:rPr>
          <w:rFonts w:hint="eastAsia" w:ascii="宋体" w:hAnsi="宋体" w:cs="Microsoft Sans Serif"/>
          <w:kern w:val="0"/>
          <w:szCs w:val="21"/>
          <w:u w:val="single"/>
        </w:rPr>
        <w:t>100万</w:t>
      </w:r>
      <w:r>
        <w:rPr>
          <w:rFonts w:hint="eastAsia" w:ascii="宋体" w:hAnsi="宋体" w:cs="Microsoft Sans Serif"/>
          <w:kern w:val="0"/>
          <w:szCs w:val="21"/>
        </w:rPr>
        <w:t>。</w:t>
      </w:r>
    </w:p>
    <w:p w14:paraId="4843FFB0">
      <w:pPr>
        <w:snapToGrid w:val="0"/>
        <w:spacing w:line="360" w:lineRule="auto"/>
        <w:ind w:firstLine="420" w:firstLineChars="200"/>
        <w:jc w:val="left"/>
        <w:rPr>
          <w:rFonts w:ascii="宋体" w:hAnsi="宋体"/>
          <w:szCs w:val="21"/>
        </w:rPr>
      </w:pPr>
      <w:r>
        <w:rPr>
          <w:rFonts w:hint="eastAsia" w:ascii="宋体" w:hAnsi="宋体" w:cs="Microsoft Sans Serif"/>
          <w:kern w:val="0"/>
          <w:szCs w:val="21"/>
        </w:rPr>
        <w:t>3）主要施工管理人员违约承担方式和计算方法：对于第16.2.1项（13）目的五种情形，每发现一次，根据具体情节，按</w:t>
      </w:r>
      <w:r>
        <w:rPr>
          <w:rFonts w:hint="eastAsia" w:ascii="宋体" w:hAnsi="宋体" w:cs="Microsoft Sans Serif"/>
          <w:kern w:val="0"/>
          <w:szCs w:val="21"/>
          <w:u w:val="single"/>
        </w:rPr>
        <w:t>500～10000元/天·次</w:t>
      </w:r>
      <w:r>
        <w:rPr>
          <w:rFonts w:hint="eastAsia" w:ascii="宋体" w:hAnsi="宋体" w:cs="Microsoft Sans Serif"/>
          <w:kern w:val="0"/>
          <w:szCs w:val="21"/>
        </w:rPr>
        <w:t>计算违约金。</w:t>
      </w:r>
    </w:p>
    <w:p w14:paraId="0A4FFDCD">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（18）</w:t>
      </w:r>
      <w:r>
        <w:rPr>
          <w:rFonts w:hint="eastAsia" w:ascii="宋体" w:hAnsi="宋体" w:cs="Microsoft Sans Serif"/>
          <w:kern w:val="0"/>
          <w:szCs w:val="21"/>
          <w:u w:val="single"/>
        </w:rPr>
        <w:t xml:space="preserve">        </w:t>
      </w:r>
      <w:r>
        <w:rPr>
          <w:rFonts w:hint="eastAsia" w:ascii="宋体" w:hAnsi="宋体" w:cs="Microsoft Sans Serif"/>
          <w:kern w:val="0"/>
          <w:szCs w:val="21"/>
        </w:rPr>
        <w:t>。</w:t>
      </w:r>
      <w:bookmarkStart w:id="1216" w:name="_Hlk524380347"/>
    </w:p>
    <w:p w14:paraId="03A41CC5">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应当由承包人向发包人支付的违约金，发包人可直接提取届时有效的履约担保</w:t>
      </w:r>
      <w:r>
        <w:rPr>
          <w:rFonts w:hint="eastAsia" w:ascii="宋体" w:hAnsi="宋体" w:cs="Microsoft Sans Serif"/>
          <w:kern w:val="0"/>
          <w:szCs w:val="21"/>
        </w:rPr>
        <w:t>（如有）</w:t>
      </w:r>
      <w:r>
        <w:rPr>
          <w:rFonts w:hint="eastAsia" w:ascii="宋体" w:hAnsi="宋体" w:cs="Microsoft Sans Serif"/>
          <w:szCs w:val="21"/>
        </w:rPr>
        <w:t>相应金额，不足部分由承包人支付；若发包人提取履约担保</w:t>
      </w:r>
      <w:r>
        <w:rPr>
          <w:rFonts w:hint="eastAsia" w:ascii="宋体" w:hAnsi="宋体" w:cs="Microsoft Sans Serif"/>
          <w:kern w:val="0"/>
          <w:szCs w:val="21"/>
        </w:rPr>
        <w:t>（如有）</w:t>
      </w:r>
      <w:r>
        <w:rPr>
          <w:rFonts w:hint="eastAsia" w:ascii="宋体" w:hAnsi="宋体" w:cs="Microsoft Sans Serif"/>
          <w:szCs w:val="21"/>
        </w:rPr>
        <w:t>相应金额，则承包人应在提取后7日内补足或提交合同约定的履约担保</w:t>
      </w:r>
      <w:r>
        <w:rPr>
          <w:rFonts w:hint="eastAsia" w:ascii="宋体" w:hAnsi="宋体" w:cs="Microsoft Sans Serif"/>
          <w:kern w:val="0"/>
          <w:szCs w:val="21"/>
        </w:rPr>
        <w:t>（如有）</w:t>
      </w:r>
      <w:r>
        <w:rPr>
          <w:rFonts w:hint="eastAsia" w:ascii="宋体" w:hAnsi="宋体" w:cs="Microsoft Sans Serif"/>
          <w:szCs w:val="21"/>
        </w:rPr>
        <w:t>的金额，否则按专用合同第</w:t>
      </w:r>
      <w:r>
        <w:rPr>
          <w:rFonts w:hint="eastAsia" w:ascii="宋体" w:hAnsi="宋体" w:cs="Microsoft Sans Serif"/>
          <w:kern w:val="0"/>
          <w:szCs w:val="21"/>
        </w:rPr>
        <w:t>16.2.2项第（1）目承担违约责任</w:t>
      </w:r>
      <w:r>
        <w:rPr>
          <w:rFonts w:hint="eastAsia" w:ascii="宋体" w:hAnsi="宋体" w:cs="Microsoft Sans Serif"/>
          <w:szCs w:val="21"/>
        </w:rPr>
        <w:t>，并从应付或到期应付给承包人的任何款项中或采用其他方法，扣除该违约金。</w:t>
      </w:r>
    </w:p>
    <w:p w14:paraId="2C7443DA">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承包人必须及时纠正违约行为并采取积极措施，满足合同要求，自行承担与纠正违约行为有关的人身伤亡、罚款、索赔、损失补偿、诉讼费用及其他一切责任，工期不予顺延</w:t>
      </w:r>
      <w:r>
        <w:rPr>
          <w:rFonts w:hint="eastAsia" w:ascii="宋体" w:hAnsi="宋体" w:cs="Microsoft Sans Serif"/>
          <w:kern w:val="0"/>
          <w:szCs w:val="21"/>
        </w:rPr>
        <w:t>，承担由此给</w:t>
      </w:r>
      <w:r>
        <w:rPr>
          <w:rFonts w:hint="eastAsia" w:ascii="宋体" w:hAnsi="宋体" w:cs="Microsoft Sans Serif"/>
          <w:szCs w:val="21"/>
        </w:rPr>
        <w:t>发包人造成的经济损失。</w:t>
      </w:r>
    </w:p>
    <w:p w14:paraId="751FE13E">
      <w:pPr>
        <w:snapToGrid w:val="0"/>
        <w:spacing w:line="360" w:lineRule="auto"/>
        <w:ind w:firstLine="420" w:firstLineChars="200"/>
        <w:jc w:val="left"/>
        <w:rPr>
          <w:rFonts w:ascii="宋体" w:hAnsi="宋体" w:cs="Microsoft Sans Serif"/>
          <w:kern w:val="0"/>
          <w:szCs w:val="21"/>
        </w:rPr>
      </w:pPr>
      <w:r>
        <w:rPr>
          <w:rFonts w:hint="eastAsia" w:ascii="宋体" w:hAnsi="宋体" w:cs="Microsoft Sans Serif"/>
          <w:szCs w:val="21"/>
        </w:rPr>
        <w:t>承包人承担承包范围的工程质量、安全、环保责任，因承包人原因引起的质量、安全、环保等事故由承包人承担相应的法律后果。</w:t>
      </w:r>
    </w:p>
    <w:bookmarkEnd w:id="1216"/>
    <w:p w14:paraId="5E714B8E">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16.2.3 因承包人违约解除合同</w:t>
      </w:r>
    </w:p>
    <w:p w14:paraId="02124003">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因承包人违约并致使合同目的不能实现的，发包人有权解除合同：</w:t>
      </w:r>
    </w:p>
    <w:p w14:paraId="2F42A9DE">
      <w:pPr>
        <w:pStyle w:val="65"/>
        <w:spacing w:line="360" w:lineRule="auto"/>
        <w:jc w:val="left"/>
        <w:rPr>
          <w:rFonts w:ascii="宋体" w:hAnsi="宋体" w:cs="Microsoft Sans Serif"/>
          <w:kern w:val="0"/>
          <w:sz w:val="21"/>
          <w:szCs w:val="21"/>
        </w:rPr>
      </w:pPr>
      <w:r>
        <w:rPr>
          <w:rFonts w:hint="eastAsia" w:ascii="宋体" w:hAnsi="宋体" w:cs="Microsoft Sans Serif"/>
          <w:kern w:val="0"/>
          <w:sz w:val="21"/>
          <w:szCs w:val="21"/>
        </w:rPr>
        <w:t>（1）未按合同约定延迟提供履约担保、质量保证金超过14天的；</w:t>
      </w:r>
    </w:p>
    <w:p w14:paraId="3AAA486D">
      <w:pPr>
        <w:pStyle w:val="65"/>
        <w:spacing w:line="360" w:lineRule="auto"/>
        <w:jc w:val="left"/>
        <w:rPr>
          <w:rFonts w:ascii="宋体" w:hAnsi="宋体" w:cs="Microsoft Sans Serif"/>
          <w:kern w:val="0"/>
          <w:sz w:val="21"/>
          <w:szCs w:val="21"/>
        </w:rPr>
      </w:pPr>
      <w:r>
        <w:rPr>
          <w:rFonts w:hint="eastAsia" w:ascii="宋体" w:hAnsi="宋体" w:cs="Microsoft Sans Serif"/>
          <w:kern w:val="0"/>
          <w:sz w:val="21"/>
          <w:szCs w:val="21"/>
        </w:rPr>
        <w:t>（2）未按合同约定购买保险且经催告后超过56天的；</w:t>
      </w:r>
    </w:p>
    <w:p w14:paraId="4638ED59">
      <w:pPr>
        <w:pStyle w:val="65"/>
        <w:spacing w:line="360" w:lineRule="auto"/>
        <w:jc w:val="left"/>
        <w:rPr>
          <w:rFonts w:ascii="宋体" w:hAnsi="宋体" w:cs="Microsoft Sans Serif"/>
          <w:kern w:val="0"/>
          <w:sz w:val="21"/>
          <w:szCs w:val="21"/>
        </w:rPr>
      </w:pPr>
      <w:r>
        <w:rPr>
          <w:rFonts w:hint="eastAsia" w:ascii="宋体" w:hAnsi="宋体" w:cs="Microsoft Sans Serif"/>
          <w:kern w:val="0"/>
          <w:sz w:val="21"/>
          <w:szCs w:val="21"/>
        </w:rPr>
        <w:t>（3）因承包人原因导致开工时间累计延误超过56天的；</w:t>
      </w:r>
    </w:p>
    <w:p w14:paraId="2A9F032D">
      <w:pPr>
        <w:pStyle w:val="65"/>
        <w:spacing w:line="360" w:lineRule="auto"/>
        <w:jc w:val="left"/>
        <w:rPr>
          <w:rFonts w:ascii="宋体" w:hAnsi="宋体" w:cs="Microsoft Sans Serif"/>
          <w:kern w:val="0"/>
          <w:sz w:val="21"/>
          <w:szCs w:val="21"/>
        </w:rPr>
      </w:pPr>
      <w:r>
        <w:rPr>
          <w:rFonts w:hint="eastAsia" w:ascii="宋体" w:hAnsi="宋体" w:cs="Microsoft Sans Serif"/>
          <w:kern w:val="0"/>
          <w:sz w:val="21"/>
          <w:szCs w:val="21"/>
        </w:rPr>
        <w:t>（4）因承包人原因导致工期延误超过90天的；</w:t>
      </w:r>
    </w:p>
    <w:p w14:paraId="7E6B5020">
      <w:pPr>
        <w:pStyle w:val="65"/>
        <w:spacing w:line="360" w:lineRule="auto"/>
        <w:jc w:val="left"/>
        <w:rPr>
          <w:rFonts w:ascii="宋体" w:hAnsi="宋体" w:cs="Microsoft Sans Serif"/>
          <w:kern w:val="0"/>
          <w:sz w:val="21"/>
          <w:szCs w:val="21"/>
        </w:rPr>
      </w:pPr>
      <w:r>
        <w:rPr>
          <w:rFonts w:hint="eastAsia" w:ascii="宋体" w:hAnsi="宋体" w:cs="Microsoft Sans Serif"/>
          <w:kern w:val="0"/>
          <w:sz w:val="21"/>
          <w:szCs w:val="21"/>
        </w:rPr>
        <w:t>（5）发生第21.2款〔退出机制〕约定的情形的；</w:t>
      </w:r>
    </w:p>
    <w:p w14:paraId="5C836FF9">
      <w:pPr>
        <w:pStyle w:val="65"/>
        <w:spacing w:line="360" w:lineRule="auto"/>
        <w:jc w:val="left"/>
        <w:rPr>
          <w:rFonts w:ascii="宋体" w:hAnsi="宋体" w:cs="Microsoft Sans Serif"/>
          <w:kern w:val="0"/>
          <w:sz w:val="21"/>
          <w:szCs w:val="21"/>
        </w:rPr>
      </w:pPr>
      <w:r>
        <w:rPr>
          <w:rFonts w:hint="eastAsia" w:ascii="宋体" w:hAnsi="宋体" w:cs="Microsoft Sans Serif"/>
          <w:kern w:val="0"/>
          <w:sz w:val="21"/>
          <w:szCs w:val="21"/>
        </w:rPr>
        <w:t>（6）监理人发出整改通知后，承包人在监理人限定的期限内仍不纠正违约行为的；</w:t>
      </w:r>
    </w:p>
    <w:p w14:paraId="75838CE2">
      <w:pPr>
        <w:pStyle w:val="65"/>
        <w:spacing w:line="360" w:lineRule="auto"/>
        <w:jc w:val="left"/>
        <w:rPr>
          <w:rFonts w:ascii="宋体" w:hAnsi="宋体" w:cs="Microsoft Sans Serif"/>
          <w:kern w:val="0"/>
          <w:sz w:val="21"/>
          <w:szCs w:val="21"/>
        </w:rPr>
      </w:pPr>
      <w:r>
        <w:rPr>
          <w:rFonts w:hint="eastAsia" w:ascii="宋体" w:hAnsi="宋体" w:cs="Microsoft Sans Serif"/>
          <w:kern w:val="0"/>
          <w:sz w:val="21"/>
          <w:szCs w:val="21"/>
        </w:rPr>
        <w:t>（7）承包人进入清算或者严重资不抵债且无法履行合同的；</w:t>
      </w:r>
    </w:p>
    <w:p w14:paraId="6563269F">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（8）违反适用法律而被相关政府部门依法吊销营业执照、责令停业、清算或宣布破产、责令关闭的；</w:t>
      </w:r>
    </w:p>
    <w:p w14:paraId="41DCB365">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（9）承包人未履行合同项下的义务构成对合同的实质性违约，并且在收到发包人要求说明其违约并予以补救的通知后56天内仍未能补救该实质性违约的；</w:t>
      </w:r>
    </w:p>
    <w:p w14:paraId="65049907">
      <w:pPr>
        <w:pStyle w:val="65"/>
        <w:spacing w:line="360" w:lineRule="auto"/>
        <w:jc w:val="left"/>
        <w:rPr>
          <w:rFonts w:ascii="宋体" w:hAnsi="宋体" w:cs="Microsoft Sans Serif"/>
          <w:kern w:val="0"/>
          <w:sz w:val="21"/>
          <w:szCs w:val="21"/>
        </w:rPr>
      </w:pPr>
      <w:r>
        <w:rPr>
          <w:rFonts w:hint="eastAsia" w:ascii="宋体" w:hAnsi="宋体" w:cs="Microsoft Sans Serif"/>
          <w:kern w:val="0"/>
          <w:sz w:val="21"/>
          <w:szCs w:val="21"/>
        </w:rPr>
        <w:t>（10）</w:t>
      </w:r>
      <w:r>
        <w:rPr>
          <w:rFonts w:hint="eastAsia" w:ascii="宋体" w:hAnsi="宋体" w:cs="Microsoft Sans Serif"/>
          <w:kern w:val="0"/>
          <w:sz w:val="21"/>
          <w:szCs w:val="21"/>
          <w:u w:val="single"/>
        </w:rPr>
        <w:t>合同约定的发包人有权解除合同的其他情形</w:t>
      </w:r>
      <w:r>
        <w:rPr>
          <w:rFonts w:hint="eastAsia" w:ascii="宋体" w:hAnsi="宋体" w:cs="Microsoft Sans Serif"/>
          <w:kern w:val="0"/>
          <w:sz w:val="21"/>
          <w:szCs w:val="21"/>
        </w:rPr>
        <w:t>。</w:t>
      </w:r>
    </w:p>
    <w:p w14:paraId="31AAC4DD">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16.2.4因承包人违约解除合同后的处理</w:t>
      </w:r>
    </w:p>
    <w:p w14:paraId="6D57C865">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因承包人违约导致合同解除的，合同当事人应在合同解除后56天内完成估价、付款和清算，并按以下约定执行：</w:t>
      </w:r>
    </w:p>
    <w:p w14:paraId="331C57F0">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（1）合同解除后，按第14.2款结算审定方式确定承包人实际完成工作对应的合同价款，以及承包人已提供的材料、工程设备、施工设备和临时工程等的价值；</w:t>
      </w:r>
    </w:p>
    <w:p w14:paraId="61587030">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（2）合同解除后，承包人应支付违约金；</w:t>
      </w:r>
    </w:p>
    <w:p w14:paraId="7B269549">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（3）合同解除后，赔偿因解除合同给发包人造成的损失；</w:t>
      </w:r>
    </w:p>
    <w:p w14:paraId="29EA09EE">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（4）合同解除后，承包人应按照发包人要求和监理人的指示完成现场的清理和撤离。</w:t>
      </w:r>
    </w:p>
    <w:p w14:paraId="2F9E3E97">
      <w:pPr>
        <w:spacing w:line="360" w:lineRule="auto"/>
        <w:ind w:firstLine="420" w:firstLineChars="200"/>
        <w:jc w:val="left"/>
        <w:rPr>
          <w:rFonts w:ascii="宋体" w:hAnsi="宋体"/>
          <w:szCs w:val="21"/>
        </w:rPr>
      </w:pPr>
      <w:r>
        <w:rPr>
          <w:rFonts w:hint="eastAsia" w:ascii="宋体" w:hAnsi="宋体" w:cs="Microsoft Sans Serif"/>
          <w:kern w:val="0"/>
          <w:szCs w:val="21"/>
        </w:rPr>
        <w:t>（5）</w:t>
      </w:r>
      <w:r>
        <w:rPr>
          <w:rFonts w:hint="eastAsia" w:ascii="宋体" w:hAnsi="宋体" w:cs="Microsoft Sans Serif"/>
          <w:kern w:val="0"/>
          <w:szCs w:val="21"/>
          <w:u w:val="single"/>
        </w:rPr>
        <w:t xml:space="preserve">        </w:t>
      </w:r>
      <w:r>
        <w:rPr>
          <w:rFonts w:hint="eastAsia" w:ascii="宋体" w:hAnsi="宋体" w:cs="Microsoft Sans Serif"/>
          <w:kern w:val="0"/>
          <w:szCs w:val="21"/>
        </w:rPr>
        <w:t>。</w:t>
      </w:r>
    </w:p>
    <w:p w14:paraId="660A8036">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因承包人违约导致解除合同的，发包人有权暂停对承包人的付款，查清各项付款和已扣款项。发包人和承包人未能就合同解除后的清算和款项支付达成一致的，按照第20条〔争议解决〕的约定处理。</w:t>
      </w:r>
    </w:p>
    <w:p w14:paraId="6CE143B5">
      <w:pPr>
        <w:spacing w:line="360" w:lineRule="auto"/>
        <w:ind w:firstLine="420" w:firstLineChars="200"/>
        <w:jc w:val="left"/>
        <w:rPr>
          <w:rFonts w:ascii="宋体" w:hAnsi="宋体" w:cs="Microsoft Sans Serif"/>
          <w:kern w:val="0"/>
          <w:szCs w:val="21"/>
        </w:rPr>
      </w:pPr>
      <w:r>
        <w:rPr>
          <w:rFonts w:hint="eastAsia" w:ascii="宋体" w:hAnsi="宋体" w:cs="Microsoft Sans Serif"/>
          <w:kern w:val="0"/>
          <w:szCs w:val="21"/>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1203"/>
    <w:bookmarkEnd w:id="1204"/>
    <w:p w14:paraId="3E8E1C1C">
      <w:pPr>
        <w:pStyle w:val="6"/>
        <w:keepNext/>
        <w:keepLines/>
        <w:spacing w:before="156" w:beforeLines="50" w:beforeAutospacing="0" w:after="156" w:afterLines="50" w:afterAutospacing="0" w:line="360" w:lineRule="auto"/>
        <w:jc w:val="both"/>
        <w:rPr>
          <w:bCs w:val="0"/>
          <w:kern w:val="2"/>
          <w:sz w:val="21"/>
          <w:szCs w:val="21"/>
        </w:rPr>
      </w:pPr>
      <w:bookmarkStart w:id="1217" w:name="_Toc351203649"/>
      <w:bookmarkStart w:id="1218" w:name="_Toc532377404"/>
      <w:bookmarkStart w:id="1219" w:name="_Toc532375665"/>
      <w:bookmarkStart w:id="1220" w:name="_Hlk528928440"/>
      <w:r>
        <w:rPr>
          <w:rFonts w:hint="eastAsia"/>
          <w:kern w:val="2"/>
          <w:sz w:val="21"/>
          <w:szCs w:val="21"/>
        </w:rPr>
        <w:t>17. 不可抗力</w:t>
      </w:r>
      <w:bookmarkEnd w:id="1217"/>
      <w:bookmarkEnd w:id="1218"/>
      <w:bookmarkEnd w:id="1219"/>
    </w:p>
    <w:p w14:paraId="4103C5BF">
      <w:pPr>
        <w:pStyle w:val="7"/>
        <w:spacing w:before="0" w:beforeAutospacing="0" w:after="0" w:afterAutospacing="0" w:line="360" w:lineRule="auto"/>
        <w:ind w:firstLine="422" w:firstLineChars="200"/>
        <w:rPr>
          <w:sz w:val="21"/>
          <w:szCs w:val="21"/>
        </w:rPr>
      </w:pPr>
      <w:bookmarkStart w:id="1221" w:name="_Toc532377405"/>
      <w:bookmarkStart w:id="1222" w:name="_Toc532375666"/>
      <w:r>
        <w:rPr>
          <w:rFonts w:hint="eastAsia"/>
          <w:sz w:val="21"/>
          <w:szCs w:val="21"/>
        </w:rPr>
        <w:t>17.1 不可抗力的确认</w:t>
      </w:r>
      <w:bookmarkEnd w:id="1221"/>
      <w:bookmarkEnd w:id="1222"/>
    </w:p>
    <w:p w14:paraId="0E0F63E8">
      <w:pPr>
        <w:spacing w:line="360" w:lineRule="auto"/>
        <w:ind w:right="105" w:rightChars="50" w:firstLine="420" w:firstLineChars="200"/>
        <w:jc w:val="left"/>
        <w:rPr>
          <w:rFonts w:ascii="宋体" w:hAnsi="宋体"/>
          <w:szCs w:val="21"/>
        </w:rPr>
      </w:pPr>
      <w:r>
        <w:rPr>
          <w:rFonts w:hint="eastAsia" w:ascii="宋体" w:hAnsi="宋体"/>
          <w:szCs w:val="21"/>
        </w:rPr>
        <w:t>除通用合同条款约定的不可抗力事件之外，视为不可抗力的其他情形：</w:t>
      </w:r>
      <w:bookmarkStart w:id="1223" w:name="_Hlk524379638"/>
    </w:p>
    <w:p w14:paraId="7403D20F">
      <w:pPr>
        <w:spacing w:line="360" w:lineRule="auto"/>
        <w:ind w:right="105" w:rightChars="50" w:firstLine="420" w:firstLineChars="200"/>
        <w:jc w:val="left"/>
        <w:rPr>
          <w:rFonts w:ascii="宋体" w:hAnsi="宋体"/>
          <w:szCs w:val="21"/>
        </w:rPr>
      </w:pPr>
      <w:r>
        <w:rPr>
          <w:rFonts w:hint="eastAsia" w:ascii="宋体" w:hAnsi="宋体"/>
          <w:szCs w:val="21"/>
        </w:rPr>
        <w:t>（1）洪水、火山爆发、山崩、山体滑坡、泥石流、龙卷风、隧道内不可预测的突发性地质灾害等自然灾害；</w:t>
      </w:r>
    </w:p>
    <w:p w14:paraId="6753B01D">
      <w:pPr>
        <w:spacing w:line="360" w:lineRule="auto"/>
        <w:ind w:right="105" w:rightChars="50" w:firstLine="420" w:firstLineChars="200"/>
        <w:jc w:val="left"/>
        <w:rPr>
          <w:rFonts w:ascii="宋体" w:hAnsi="宋体"/>
          <w:szCs w:val="21"/>
        </w:rPr>
      </w:pPr>
      <w:r>
        <w:rPr>
          <w:rFonts w:hint="eastAsia" w:ascii="宋体" w:hAnsi="宋体"/>
          <w:szCs w:val="21"/>
        </w:rPr>
        <w:t>（2）骚乱、戒严、封锁、禁运、恐怖行为、等社会行为，但承包人或其分包人派遣与雇佣的人员由于合同工程施工原因引起的除外；</w:t>
      </w:r>
    </w:p>
    <w:p w14:paraId="2B3268D9">
      <w:pPr>
        <w:spacing w:line="360" w:lineRule="auto"/>
        <w:ind w:right="105" w:rightChars="50" w:firstLine="420" w:firstLineChars="200"/>
        <w:jc w:val="left"/>
        <w:rPr>
          <w:rFonts w:ascii="宋体" w:hAnsi="宋体"/>
          <w:szCs w:val="21"/>
        </w:rPr>
      </w:pPr>
      <w:r>
        <w:rPr>
          <w:rFonts w:hint="eastAsia" w:ascii="宋体" w:hAnsi="宋体"/>
          <w:szCs w:val="21"/>
        </w:rPr>
        <w:t>（3）不能合理预见的重大交通阻滞、停运、交通事故，非双方责任引起的火灾、爆炸、船舶撞击等情形；</w:t>
      </w:r>
    </w:p>
    <w:p w14:paraId="4ECEEC9E">
      <w:pPr>
        <w:spacing w:line="360" w:lineRule="auto"/>
        <w:ind w:right="105" w:rightChars="50" w:firstLine="420" w:firstLineChars="200"/>
        <w:jc w:val="left"/>
        <w:rPr>
          <w:rFonts w:ascii="宋体" w:hAnsi="宋体"/>
          <w:szCs w:val="21"/>
        </w:rPr>
      </w:pPr>
      <w:r>
        <w:rPr>
          <w:rFonts w:hint="eastAsia" w:ascii="宋体" w:hAnsi="宋体"/>
          <w:szCs w:val="21"/>
        </w:rPr>
        <w:t>（4）化学或放射性污染或核辐射；</w:t>
      </w:r>
    </w:p>
    <w:p w14:paraId="07B1431F">
      <w:pPr>
        <w:spacing w:line="360" w:lineRule="auto"/>
        <w:ind w:right="105" w:rightChars="50" w:firstLine="420" w:firstLineChars="200"/>
        <w:jc w:val="left"/>
        <w:rPr>
          <w:rFonts w:ascii="宋体" w:hAnsi="宋体"/>
          <w:szCs w:val="21"/>
        </w:rPr>
      </w:pPr>
      <w:r>
        <w:rPr>
          <w:rFonts w:hint="eastAsia" w:ascii="宋体" w:hAnsi="宋体"/>
          <w:szCs w:val="21"/>
        </w:rPr>
        <w:t>（5）环保治理等政府行为导致项目停工的。</w:t>
      </w:r>
      <w:bookmarkEnd w:id="1223"/>
    </w:p>
    <w:p w14:paraId="647CE3A6">
      <w:pPr>
        <w:spacing w:line="360" w:lineRule="auto"/>
        <w:ind w:right="105" w:rightChars="50" w:firstLine="420" w:firstLineChars="200"/>
        <w:jc w:val="left"/>
        <w:rPr>
          <w:rFonts w:ascii="宋体" w:hAnsi="宋体"/>
          <w:szCs w:val="21"/>
        </w:rPr>
      </w:pPr>
      <w:r>
        <w:rPr>
          <w:rFonts w:hint="eastAsia" w:ascii="宋体" w:hAnsi="宋体"/>
          <w:szCs w:val="21"/>
        </w:rPr>
        <w:t>（6）</w:t>
      </w:r>
      <w:r>
        <w:rPr>
          <w:rFonts w:hint="eastAsia" w:ascii="宋体" w:hAnsi="宋体"/>
          <w:szCs w:val="21"/>
          <w:u w:val="single"/>
        </w:rPr>
        <w:t xml:space="preserve">        </w:t>
      </w:r>
      <w:r>
        <w:rPr>
          <w:rFonts w:hint="eastAsia" w:ascii="宋体" w:hAnsi="宋体"/>
          <w:szCs w:val="21"/>
        </w:rPr>
        <w:t>。</w:t>
      </w:r>
    </w:p>
    <w:p w14:paraId="15DE353E">
      <w:pPr>
        <w:pStyle w:val="7"/>
        <w:spacing w:before="0" w:beforeAutospacing="0" w:after="0" w:afterAutospacing="0" w:line="360" w:lineRule="auto"/>
        <w:ind w:firstLine="422" w:firstLineChars="200"/>
        <w:rPr>
          <w:sz w:val="21"/>
          <w:szCs w:val="21"/>
        </w:rPr>
      </w:pPr>
      <w:bookmarkStart w:id="1224" w:name="_Toc532375667"/>
      <w:bookmarkStart w:id="1225" w:name="_Toc351203610"/>
      <w:bookmarkStart w:id="1226" w:name="_Toc532377406"/>
      <w:bookmarkStart w:id="1227" w:name="_Toc337558826"/>
      <w:bookmarkStart w:id="1228" w:name="_Toc296346620"/>
      <w:bookmarkStart w:id="1229" w:name="_Toc296503119"/>
      <w:r>
        <w:rPr>
          <w:rFonts w:hint="eastAsia"/>
          <w:sz w:val="21"/>
          <w:szCs w:val="21"/>
        </w:rPr>
        <w:t>17.3 不可抗力后果的承担</w:t>
      </w:r>
      <w:bookmarkEnd w:id="1224"/>
      <w:bookmarkEnd w:id="1225"/>
      <w:bookmarkEnd w:id="1226"/>
    </w:p>
    <w:bookmarkEnd w:id="1227"/>
    <w:bookmarkEnd w:id="1228"/>
    <w:bookmarkEnd w:id="1229"/>
    <w:p w14:paraId="52768BE5">
      <w:pPr>
        <w:spacing w:line="360" w:lineRule="auto"/>
        <w:ind w:right="105" w:rightChars="50" w:firstLine="420" w:firstLineChars="200"/>
        <w:jc w:val="left"/>
        <w:rPr>
          <w:rFonts w:ascii="宋体" w:hAnsi="宋体"/>
          <w:szCs w:val="21"/>
        </w:rPr>
      </w:pPr>
      <w:r>
        <w:rPr>
          <w:rFonts w:hint="eastAsia" w:ascii="宋体" w:hAnsi="宋体"/>
          <w:szCs w:val="21"/>
        </w:rPr>
        <w:t>17.3.1 不可抗力引起的后果及造成的损失由合同当事人按照法律规定及合同约定各自承担。不可抗力发生前已完成的工程应当按照合同约定进行计量支付。</w:t>
      </w:r>
    </w:p>
    <w:p w14:paraId="2DB05927">
      <w:pPr>
        <w:spacing w:line="360" w:lineRule="auto"/>
        <w:ind w:right="105" w:rightChars="50" w:firstLine="420" w:firstLineChars="200"/>
        <w:jc w:val="left"/>
        <w:rPr>
          <w:rFonts w:ascii="宋体" w:hAnsi="宋体"/>
          <w:szCs w:val="21"/>
        </w:rPr>
      </w:pPr>
      <w:r>
        <w:rPr>
          <w:rFonts w:hint="eastAsia" w:ascii="宋体" w:hAnsi="宋体"/>
          <w:szCs w:val="21"/>
        </w:rPr>
        <w:t>17.3.2 不可抗力导致的人员伤亡、财产损失、费用增加和（或）工期延误等后果，由合同当事人按以下原则承担：</w:t>
      </w:r>
    </w:p>
    <w:p w14:paraId="427E41BF">
      <w:pPr>
        <w:spacing w:line="360" w:lineRule="auto"/>
        <w:ind w:right="105" w:rightChars="50" w:firstLine="420" w:firstLineChars="200"/>
        <w:jc w:val="left"/>
        <w:rPr>
          <w:rFonts w:ascii="宋体" w:hAnsi="宋体"/>
          <w:szCs w:val="21"/>
        </w:rPr>
      </w:pPr>
      <w:r>
        <w:rPr>
          <w:rFonts w:hint="eastAsia" w:ascii="宋体" w:hAnsi="宋体"/>
          <w:szCs w:val="21"/>
        </w:rPr>
        <w:t>（1）永久工程、已运至施工现场的施工材料和工程设备的损坏，以及因工程损坏造成的第三方人员伤亡和财产损失由发包人承担；</w:t>
      </w:r>
    </w:p>
    <w:p w14:paraId="52FE4D19">
      <w:pPr>
        <w:spacing w:line="360" w:lineRule="auto"/>
        <w:ind w:right="105" w:rightChars="50" w:firstLine="420" w:firstLineChars="200"/>
        <w:jc w:val="left"/>
        <w:rPr>
          <w:rFonts w:ascii="宋体" w:hAnsi="宋体"/>
          <w:szCs w:val="21"/>
        </w:rPr>
      </w:pPr>
      <w:r>
        <w:rPr>
          <w:rFonts w:hint="eastAsia" w:ascii="宋体" w:hAnsi="宋体"/>
          <w:szCs w:val="21"/>
        </w:rPr>
        <w:t>（2）承包人施工设备的损坏由承包人承担；</w:t>
      </w:r>
    </w:p>
    <w:p w14:paraId="221C869B">
      <w:pPr>
        <w:spacing w:line="360" w:lineRule="auto"/>
        <w:ind w:right="105" w:rightChars="50" w:firstLine="420" w:firstLineChars="200"/>
        <w:jc w:val="left"/>
        <w:rPr>
          <w:rFonts w:ascii="宋体" w:hAnsi="宋体"/>
          <w:szCs w:val="21"/>
        </w:rPr>
      </w:pPr>
      <w:r>
        <w:rPr>
          <w:rFonts w:hint="eastAsia" w:ascii="宋体" w:hAnsi="宋体"/>
          <w:szCs w:val="21"/>
        </w:rPr>
        <w:t>（3）发包人和承包人承担各自人员伤亡和财产的损失；</w:t>
      </w:r>
    </w:p>
    <w:p w14:paraId="342E77ED">
      <w:pPr>
        <w:spacing w:line="360" w:lineRule="auto"/>
        <w:ind w:right="105" w:rightChars="50" w:firstLine="420" w:firstLineChars="200"/>
        <w:jc w:val="left"/>
        <w:rPr>
          <w:rFonts w:ascii="宋体" w:hAnsi="宋体"/>
          <w:szCs w:val="21"/>
        </w:rPr>
      </w:pPr>
      <w:r>
        <w:rPr>
          <w:rFonts w:hint="eastAsia" w:ascii="宋体" w:hAnsi="宋体"/>
          <w:szCs w:val="21"/>
        </w:rPr>
        <w:t>（4）因不可抗力影响承包人履行合同约定的义务，已经引起或将引起工期延误的，应当顺延工期，由此导致承包人停工的费用损失由发包人和承包人合理共担；</w:t>
      </w:r>
    </w:p>
    <w:p w14:paraId="18D33ED7">
      <w:pPr>
        <w:spacing w:line="360" w:lineRule="auto"/>
        <w:ind w:right="105" w:rightChars="50" w:firstLine="420" w:firstLineChars="200"/>
        <w:jc w:val="left"/>
        <w:rPr>
          <w:rFonts w:ascii="宋体" w:hAnsi="宋体"/>
          <w:szCs w:val="21"/>
        </w:rPr>
      </w:pPr>
      <w:r>
        <w:rPr>
          <w:rFonts w:hint="eastAsia" w:ascii="宋体" w:hAnsi="宋体"/>
          <w:szCs w:val="21"/>
        </w:rPr>
        <w:t>（5）因不可抗力引起或将引起工期延误，发包人要求赶工的，由此增加的赶工费用由发包人承担；</w:t>
      </w:r>
    </w:p>
    <w:p w14:paraId="72E9CD13">
      <w:pPr>
        <w:spacing w:line="360" w:lineRule="auto"/>
        <w:ind w:right="105" w:rightChars="50" w:firstLine="420" w:firstLineChars="200"/>
        <w:jc w:val="left"/>
        <w:rPr>
          <w:rFonts w:ascii="宋体" w:hAnsi="宋体"/>
          <w:szCs w:val="21"/>
        </w:rPr>
      </w:pPr>
      <w:r>
        <w:rPr>
          <w:rFonts w:hint="eastAsia" w:ascii="宋体" w:hAnsi="宋体"/>
          <w:szCs w:val="21"/>
        </w:rPr>
        <w:t>（6）承包人在停工期间按照发包人要求照管、清理和修复工程的费用由发包人承担；</w:t>
      </w:r>
    </w:p>
    <w:p w14:paraId="69B0E94C">
      <w:pPr>
        <w:spacing w:line="360" w:lineRule="auto"/>
        <w:ind w:right="105" w:rightChars="50" w:firstLine="420" w:firstLineChars="200"/>
        <w:jc w:val="left"/>
        <w:rPr>
          <w:rFonts w:ascii="宋体" w:hAnsi="宋体"/>
          <w:szCs w:val="21"/>
        </w:rPr>
      </w:pPr>
      <w:r>
        <w:rPr>
          <w:rFonts w:hint="eastAsia" w:ascii="宋体" w:hAnsi="宋体"/>
          <w:szCs w:val="21"/>
        </w:rPr>
        <w:t>（7）不可抗力事件发生后，合同当事人均应采取措施尽量避免和减少损失的扩大，任何一方当事人没有采取有效措施导致损失扩大的，应对扩大的损失承担责任。</w:t>
      </w:r>
    </w:p>
    <w:p w14:paraId="02FE2F61">
      <w:pPr>
        <w:spacing w:line="360" w:lineRule="auto"/>
        <w:ind w:right="105" w:rightChars="50" w:firstLine="420" w:firstLineChars="200"/>
        <w:jc w:val="left"/>
        <w:rPr>
          <w:rFonts w:ascii="宋体" w:hAnsi="宋体"/>
          <w:szCs w:val="21"/>
        </w:rPr>
      </w:pPr>
      <w:r>
        <w:rPr>
          <w:rFonts w:hint="eastAsia" w:ascii="宋体" w:hAnsi="宋体"/>
          <w:szCs w:val="21"/>
        </w:rPr>
        <w:t>（8）</w:t>
      </w:r>
      <w:r>
        <w:rPr>
          <w:rFonts w:hint="eastAsia" w:ascii="宋体" w:hAnsi="宋体"/>
          <w:szCs w:val="21"/>
          <w:u w:val="single"/>
        </w:rPr>
        <w:t xml:space="preserve">        </w:t>
      </w:r>
      <w:r>
        <w:rPr>
          <w:rFonts w:hint="eastAsia" w:ascii="宋体" w:hAnsi="宋体"/>
          <w:szCs w:val="21"/>
        </w:rPr>
        <w:t>。</w:t>
      </w:r>
    </w:p>
    <w:p w14:paraId="12F53B79">
      <w:pPr>
        <w:pStyle w:val="7"/>
        <w:spacing w:before="0" w:beforeAutospacing="0" w:after="0" w:afterAutospacing="0" w:line="360" w:lineRule="auto"/>
        <w:ind w:firstLine="422" w:firstLineChars="200"/>
        <w:rPr>
          <w:sz w:val="21"/>
          <w:szCs w:val="21"/>
        </w:rPr>
      </w:pPr>
      <w:bookmarkStart w:id="1230" w:name="_Toc532375668"/>
      <w:bookmarkStart w:id="1231" w:name="_Toc532377407"/>
      <w:r>
        <w:rPr>
          <w:rFonts w:hint="eastAsia"/>
          <w:sz w:val="21"/>
          <w:szCs w:val="21"/>
        </w:rPr>
        <w:t>17.4 因不可抗力解除合同</w:t>
      </w:r>
      <w:bookmarkEnd w:id="1230"/>
      <w:bookmarkEnd w:id="1231"/>
    </w:p>
    <w:p w14:paraId="2577BD9F">
      <w:pPr>
        <w:spacing w:line="360" w:lineRule="auto"/>
        <w:ind w:right="105" w:rightChars="50" w:firstLine="420" w:firstLineChars="200"/>
        <w:jc w:val="left"/>
        <w:rPr>
          <w:rFonts w:ascii="宋体" w:hAnsi="宋体"/>
          <w:szCs w:val="21"/>
        </w:rPr>
      </w:pPr>
      <w:r>
        <w:rPr>
          <w:rFonts w:hint="eastAsia" w:ascii="宋体" w:hAnsi="宋体"/>
          <w:szCs w:val="21"/>
        </w:rPr>
        <w:t>合同解除后，发包人应在商定或确定发包人应支付款项后</w:t>
      </w:r>
      <w:r>
        <w:rPr>
          <w:rFonts w:hint="eastAsia" w:ascii="宋体" w:hAnsi="宋体"/>
          <w:szCs w:val="21"/>
          <w:u w:val="single"/>
        </w:rPr>
        <w:t>28</w:t>
      </w:r>
      <w:r>
        <w:rPr>
          <w:rFonts w:hint="eastAsia" w:ascii="宋体" w:hAnsi="宋体"/>
          <w:szCs w:val="21"/>
        </w:rPr>
        <w:t>天内完成款项的支付。</w:t>
      </w:r>
    </w:p>
    <w:p w14:paraId="21A75A5B">
      <w:pPr>
        <w:pStyle w:val="6"/>
        <w:keepNext/>
        <w:keepLines/>
        <w:spacing w:before="156" w:beforeLines="50" w:beforeAutospacing="0" w:after="156" w:afterLines="50" w:afterAutospacing="0" w:line="360" w:lineRule="auto"/>
        <w:jc w:val="both"/>
        <w:rPr>
          <w:bCs w:val="0"/>
          <w:kern w:val="2"/>
          <w:sz w:val="21"/>
          <w:szCs w:val="21"/>
        </w:rPr>
      </w:pPr>
      <w:bookmarkStart w:id="1232" w:name="_Toc532375669"/>
      <w:bookmarkStart w:id="1233" w:name="_Toc351203650"/>
      <w:bookmarkStart w:id="1234" w:name="_Toc532377408"/>
      <w:r>
        <w:rPr>
          <w:rFonts w:hint="eastAsia"/>
          <w:kern w:val="2"/>
          <w:sz w:val="21"/>
          <w:szCs w:val="21"/>
        </w:rPr>
        <w:t>18. 保险</w:t>
      </w:r>
      <w:bookmarkEnd w:id="1232"/>
      <w:bookmarkEnd w:id="1233"/>
      <w:bookmarkEnd w:id="1234"/>
    </w:p>
    <w:p w14:paraId="05906A15">
      <w:pPr>
        <w:pStyle w:val="7"/>
        <w:spacing w:before="0" w:beforeAutospacing="0" w:after="0" w:afterAutospacing="0" w:line="360" w:lineRule="auto"/>
        <w:ind w:firstLine="422" w:firstLineChars="200"/>
        <w:rPr>
          <w:sz w:val="21"/>
          <w:szCs w:val="21"/>
        </w:rPr>
      </w:pPr>
      <w:bookmarkStart w:id="1235" w:name="_Toc532375670"/>
      <w:bookmarkStart w:id="1236" w:name="_Toc532377409"/>
      <w:r>
        <w:rPr>
          <w:rFonts w:hint="eastAsia"/>
          <w:sz w:val="21"/>
          <w:szCs w:val="21"/>
        </w:rPr>
        <w:t>18.1 工程保险</w:t>
      </w:r>
      <w:bookmarkEnd w:id="1235"/>
      <w:bookmarkEnd w:id="1236"/>
    </w:p>
    <w:p w14:paraId="07998843">
      <w:pPr>
        <w:spacing w:line="360" w:lineRule="auto"/>
        <w:ind w:right="105" w:rightChars="50" w:firstLine="420" w:firstLineChars="200"/>
        <w:jc w:val="left"/>
        <w:rPr>
          <w:rFonts w:ascii="宋体" w:hAnsi="宋体"/>
          <w:szCs w:val="21"/>
        </w:rPr>
      </w:pPr>
      <w:r>
        <w:rPr>
          <w:rFonts w:hint="eastAsia" w:ascii="宋体" w:hAnsi="宋体"/>
          <w:szCs w:val="21"/>
        </w:rPr>
        <w:t>关于工程保险的特别约定：发包人应投保</w:t>
      </w:r>
      <w:r>
        <w:rPr>
          <w:rFonts w:hint="eastAsia" w:ascii="宋体" w:hAnsi="宋体"/>
          <w:szCs w:val="21"/>
          <w:u w:val="single"/>
        </w:rPr>
        <w:t>建筑工程一切险或安装工程一切险</w:t>
      </w:r>
      <w:r>
        <w:rPr>
          <w:rFonts w:hint="eastAsia" w:ascii="宋体" w:hAnsi="宋体"/>
          <w:szCs w:val="21"/>
        </w:rPr>
        <w:t>；发包人委托承包人投保的，因投保产生的保险费和其他相关费用由发包人承担。</w:t>
      </w:r>
    </w:p>
    <w:p w14:paraId="5D7DDE45">
      <w:pPr>
        <w:pStyle w:val="7"/>
        <w:spacing w:before="0" w:beforeAutospacing="0" w:after="0" w:afterAutospacing="0" w:line="360" w:lineRule="auto"/>
        <w:ind w:firstLine="422" w:firstLineChars="200"/>
        <w:rPr>
          <w:sz w:val="21"/>
          <w:szCs w:val="21"/>
        </w:rPr>
      </w:pPr>
      <w:bookmarkStart w:id="1237" w:name="_Toc532375671"/>
      <w:bookmarkStart w:id="1238" w:name="_Toc532377410"/>
      <w:r>
        <w:rPr>
          <w:rFonts w:hint="eastAsia"/>
          <w:sz w:val="21"/>
          <w:szCs w:val="21"/>
        </w:rPr>
        <w:t>18.3 其他保险</w:t>
      </w:r>
      <w:bookmarkEnd w:id="1237"/>
      <w:bookmarkEnd w:id="1238"/>
    </w:p>
    <w:p w14:paraId="079375BC">
      <w:pPr>
        <w:spacing w:line="360" w:lineRule="auto"/>
        <w:ind w:right="105" w:rightChars="50" w:firstLine="420" w:firstLineChars="200"/>
        <w:jc w:val="left"/>
        <w:rPr>
          <w:rFonts w:ascii="宋体" w:hAnsi="宋体"/>
          <w:szCs w:val="21"/>
        </w:rPr>
      </w:pPr>
      <w:r>
        <w:rPr>
          <w:rFonts w:hint="eastAsia" w:ascii="宋体" w:hAnsi="宋体"/>
          <w:szCs w:val="21"/>
        </w:rPr>
        <w:t>关于其他保险的约定：</w:t>
      </w:r>
      <w:r>
        <w:rPr>
          <w:rFonts w:hint="eastAsia" w:ascii="宋体" w:hAnsi="宋体"/>
          <w:szCs w:val="21"/>
          <w:u w:val="single"/>
        </w:rPr>
        <w:t xml:space="preserve">    /    </w:t>
      </w:r>
      <w:r>
        <w:rPr>
          <w:rFonts w:hint="eastAsia" w:ascii="宋体" w:hAnsi="宋体"/>
          <w:szCs w:val="21"/>
        </w:rPr>
        <w:t>。</w:t>
      </w:r>
    </w:p>
    <w:p w14:paraId="3CE85154">
      <w:pPr>
        <w:spacing w:line="360" w:lineRule="auto"/>
        <w:ind w:right="105" w:rightChars="50" w:firstLine="420" w:firstLineChars="200"/>
        <w:jc w:val="left"/>
        <w:rPr>
          <w:rFonts w:ascii="宋体" w:hAnsi="宋体"/>
          <w:szCs w:val="21"/>
        </w:rPr>
      </w:pPr>
      <w:r>
        <w:rPr>
          <w:rFonts w:hint="eastAsia" w:ascii="宋体" w:hAnsi="宋体"/>
          <w:szCs w:val="21"/>
        </w:rPr>
        <w:t>承包人是否应为其施工设备等办理财产保险：</w:t>
      </w:r>
      <w:r>
        <w:rPr>
          <w:rFonts w:hint="eastAsia" w:ascii="宋体" w:hAnsi="宋体"/>
          <w:szCs w:val="21"/>
          <w:u w:val="single"/>
        </w:rPr>
        <w:t xml:space="preserve">    /    </w:t>
      </w:r>
      <w:r>
        <w:rPr>
          <w:rFonts w:hint="eastAsia" w:ascii="宋体" w:hAnsi="宋体"/>
          <w:szCs w:val="21"/>
        </w:rPr>
        <w:t>。</w:t>
      </w:r>
    </w:p>
    <w:p w14:paraId="58D3B3ED">
      <w:pPr>
        <w:spacing w:line="360" w:lineRule="auto"/>
        <w:ind w:right="105" w:rightChars="50" w:firstLine="420" w:firstLineChars="200"/>
        <w:jc w:val="left"/>
        <w:rPr>
          <w:rFonts w:ascii="宋体" w:hAnsi="宋体"/>
          <w:szCs w:val="21"/>
        </w:rPr>
      </w:pPr>
      <w:r>
        <w:rPr>
          <w:rFonts w:hint="eastAsia" w:ascii="宋体" w:hAnsi="宋体"/>
          <w:szCs w:val="21"/>
        </w:rPr>
        <w:t>安全生产责任险：</w:t>
      </w:r>
      <w:r>
        <w:rPr>
          <w:rFonts w:hint="eastAsia" w:ascii="宋体" w:hAnsi="宋体"/>
          <w:szCs w:val="21"/>
          <w:u w:val="single"/>
        </w:rPr>
        <w:t>承包人应按《重庆市人民政府办公厅关于在高危行业领域强制推行安全生产责任保险的实施意见》（渝府办法〔2017〕182号）的要求办理安全生产责任保险</w:t>
      </w:r>
      <w:r>
        <w:rPr>
          <w:rFonts w:hint="eastAsia" w:ascii="宋体" w:hAnsi="宋体"/>
          <w:szCs w:val="21"/>
        </w:rPr>
        <w:t>。</w:t>
      </w:r>
    </w:p>
    <w:p w14:paraId="5D546C8B">
      <w:pPr>
        <w:pStyle w:val="7"/>
        <w:spacing w:before="0" w:beforeAutospacing="0" w:after="0" w:afterAutospacing="0" w:line="360" w:lineRule="auto"/>
        <w:ind w:firstLine="422" w:firstLineChars="200"/>
        <w:rPr>
          <w:sz w:val="21"/>
          <w:szCs w:val="21"/>
        </w:rPr>
      </w:pPr>
      <w:bookmarkStart w:id="1239" w:name="_Toc532375672"/>
      <w:bookmarkStart w:id="1240" w:name="_Toc532377411"/>
      <w:r>
        <w:rPr>
          <w:rFonts w:hint="eastAsia"/>
          <w:sz w:val="21"/>
          <w:szCs w:val="21"/>
        </w:rPr>
        <w:t>18.7 通知义务</w:t>
      </w:r>
      <w:bookmarkEnd w:id="1239"/>
      <w:bookmarkEnd w:id="1240"/>
    </w:p>
    <w:p w14:paraId="38A376C0">
      <w:pPr>
        <w:spacing w:line="360" w:lineRule="auto"/>
        <w:ind w:right="105" w:rightChars="50" w:firstLine="420" w:firstLineChars="200"/>
        <w:jc w:val="left"/>
        <w:rPr>
          <w:rFonts w:ascii="宋体" w:hAnsi="宋体"/>
          <w:szCs w:val="21"/>
        </w:rPr>
      </w:pPr>
      <w:r>
        <w:rPr>
          <w:rFonts w:hint="eastAsia" w:ascii="宋体" w:hAnsi="宋体"/>
          <w:szCs w:val="21"/>
        </w:rPr>
        <w:t>关于变更保险合同时的通知义务的约定：</w:t>
      </w:r>
      <w:r>
        <w:rPr>
          <w:rFonts w:hint="eastAsia" w:ascii="宋体" w:hAnsi="宋体"/>
          <w:szCs w:val="21"/>
          <w:u w:val="single"/>
        </w:rPr>
        <w:t>按通用合同条款执行</w:t>
      </w:r>
      <w:r>
        <w:rPr>
          <w:rFonts w:hint="eastAsia" w:ascii="宋体" w:hAnsi="宋体"/>
          <w:szCs w:val="21"/>
        </w:rPr>
        <w:t>。</w:t>
      </w:r>
    </w:p>
    <w:p w14:paraId="649FF16C">
      <w:pPr>
        <w:pStyle w:val="7"/>
        <w:spacing w:before="0" w:beforeAutospacing="0" w:after="0" w:afterAutospacing="0" w:line="360" w:lineRule="auto"/>
        <w:ind w:firstLine="422" w:firstLineChars="200"/>
        <w:rPr>
          <w:sz w:val="21"/>
          <w:szCs w:val="21"/>
        </w:rPr>
      </w:pPr>
      <w:bookmarkStart w:id="1241" w:name="_Toc532375673"/>
      <w:bookmarkStart w:id="1242" w:name="_Toc532377412"/>
      <w:r>
        <w:rPr>
          <w:rFonts w:hint="eastAsia"/>
          <w:sz w:val="21"/>
          <w:szCs w:val="21"/>
        </w:rPr>
        <w:t>18.8 其他</w:t>
      </w:r>
      <w:bookmarkEnd w:id="1241"/>
      <w:bookmarkEnd w:id="1242"/>
    </w:p>
    <w:p w14:paraId="61AE9DF7">
      <w:pPr>
        <w:spacing w:line="360" w:lineRule="auto"/>
        <w:ind w:right="105" w:rightChars="50" w:firstLine="420" w:firstLineChars="200"/>
        <w:jc w:val="left"/>
        <w:rPr>
          <w:rFonts w:ascii="宋体" w:hAnsi="宋体"/>
          <w:szCs w:val="21"/>
        </w:rPr>
      </w:pPr>
      <w:r>
        <w:rPr>
          <w:rFonts w:hint="eastAsia" w:ascii="宋体" w:hAnsi="宋体"/>
          <w:szCs w:val="21"/>
        </w:rPr>
        <w:t>18.8.1 工程开工日前，承包人向发包人提交各项生效的保险证据和保险单副本。未按本项约定提交的，每延后1天，承包人按500元/天支付违约金。</w:t>
      </w:r>
    </w:p>
    <w:p w14:paraId="5B05FCE7">
      <w:pPr>
        <w:spacing w:line="360" w:lineRule="auto"/>
        <w:ind w:right="105" w:rightChars="50" w:firstLine="420" w:firstLineChars="200"/>
        <w:jc w:val="left"/>
        <w:rPr>
          <w:rFonts w:ascii="宋体" w:hAnsi="宋体"/>
          <w:szCs w:val="21"/>
        </w:rPr>
      </w:pPr>
      <w:r>
        <w:rPr>
          <w:rFonts w:hint="eastAsia" w:ascii="宋体" w:hAnsi="宋体"/>
          <w:szCs w:val="21"/>
        </w:rPr>
        <w:t>18.8.2 承包人保险赔偿金不足以补偿发包人损失时，</w:t>
      </w:r>
      <w:bookmarkStart w:id="1243" w:name="_Hlk524378346"/>
      <w:r>
        <w:rPr>
          <w:rFonts w:hint="eastAsia" w:ascii="宋体" w:hAnsi="宋体"/>
          <w:szCs w:val="21"/>
        </w:rPr>
        <w:t>差额由承包人负责补足</w:t>
      </w:r>
      <w:bookmarkEnd w:id="1243"/>
      <w:r>
        <w:rPr>
          <w:rFonts w:hint="eastAsia" w:ascii="宋体" w:hAnsi="宋体"/>
          <w:szCs w:val="21"/>
        </w:rPr>
        <w:t>。</w:t>
      </w:r>
    </w:p>
    <w:p w14:paraId="44CAB97C">
      <w:pPr>
        <w:pStyle w:val="6"/>
        <w:keepNext/>
        <w:keepLines/>
        <w:spacing w:before="156" w:beforeLines="50" w:beforeAutospacing="0" w:after="156" w:afterLines="50" w:afterAutospacing="0" w:line="360" w:lineRule="auto"/>
        <w:jc w:val="both"/>
        <w:rPr>
          <w:bCs w:val="0"/>
          <w:kern w:val="2"/>
          <w:sz w:val="21"/>
          <w:szCs w:val="21"/>
        </w:rPr>
      </w:pPr>
      <w:bookmarkStart w:id="1244" w:name="_Toc532377413"/>
      <w:bookmarkStart w:id="1245" w:name="_Toc351203620"/>
      <w:bookmarkStart w:id="1246" w:name="_Toc532375674"/>
      <w:bookmarkStart w:id="1247" w:name="_Toc296346641"/>
      <w:bookmarkStart w:id="1248" w:name="_Toc337558835"/>
      <w:bookmarkStart w:id="1249" w:name="_Toc296503140"/>
      <w:r>
        <w:rPr>
          <w:rFonts w:hint="eastAsia"/>
          <w:kern w:val="2"/>
          <w:sz w:val="21"/>
          <w:szCs w:val="21"/>
        </w:rPr>
        <w:t>19. 索赔</w:t>
      </w:r>
      <w:bookmarkEnd w:id="1244"/>
      <w:bookmarkEnd w:id="1245"/>
      <w:bookmarkEnd w:id="1246"/>
    </w:p>
    <w:bookmarkEnd w:id="1247"/>
    <w:bookmarkEnd w:id="1248"/>
    <w:bookmarkEnd w:id="1249"/>
    <w:p w14:paraId="40874423">
      <w:pPr>
        <w:pStyle w:val="7"/>
        <w:spacing w:before="0" w:beforeAutospacing="0" w:after="0" w:afterAutospacing="0" w:line="360" w:lineRule="auto"/>
        <w:ind w:firstLine="422" w:firstLineChars="200"/>
        <w:rPr>
          <w:sz w:val="21"/>
          <w:szCs w:val="21"/>
        </w:rPr>
      </w:pPr>
      <w:bookmarkStart w:id="1250" w:name="_Toc532375675"/>
      <w:bookmarkStart w:id="1251" w:name="_Toc532377414"/>
      <w:bookmarkStart w:id="1252" w:name="_Toc296346642"/>
      <w:bookmarkStart w:id="1253" w:name="_Toc296503141"/>
      <w:bookmarkStart w:id="1254" w:name="_Toc351203621"/>
      <w:bookmarkStart w:id="1255" w:name="_Toc337558836"/>
      <w:r>
        <w:rPr>
          <w:rFonts w:hint="eastAsia"/>
          <w:sz w:val="21"/>
          <w:szCs w:val="21"/>
        </w:rPr>
        <w:t>19.1 承包人的索赔</w:t>
      </w:r>
      <w:bookmarkEnd w:id="1250"/>
      <w:bookmarkEnd w:id="1251"/>
    </w:p>
    <w:p w14:paraId="4CF745DA">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根据合同约定，承包人认为有权得到追加付款和（或）延长工期的，应按以下程序向发包人提出索赔：</w:t>
      </w:r>
    </w:p>
    <w:p w14:paraId="7EC58490">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（1）承包人应在索赔事件发生后28天内，向监理人递交索赔意向通知书，并说明发生索赔事件的事由；承包人未在前述28天内发出索赔意向通知书的，丧失要求追加付款和（或）延长工期的权利；</w:t>
      </w:r>
    </w:p>
    <w:p w14:paraId="1D3ABC3A">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（2）承包人应在发出索赔意向通知书后28天内，向监理人正式递交索赔报告；索赔报告应详细说明索赔理由以及要求追加的付款金额和（或）延长的工期，并附必要的记录和证明材料；</w:t>
      </w:r>
    </w:p>
    <w:p w14:paraId="7FB9666E">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（3）索赔事件具有持续影响的，承包人应按监理人要求的合理时间间隔继续递交延续索赔通知，说明持续影响的实际情况和记录，列出累计的追加付款金额和（或）工期延长天数；</w:t>
      </w:r>
    </w:p>
    <w:p w14:paraId="39219A85">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（4）在索赔事件影响结束后28天内，承包人应向监理人递交最终索赔报告，说明最终要求索赔的追加付款金额和（或）延长的工期，并附必要的记录和证明材料。</w:t>
      </w:r>
    </w:p>
    <w:p w14:paraId="3D3D7BDB">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（5）</w:t>
      </w:r>
      <w:r>
        <w:rPr>
          <w:rFonts w:hint="eastAsia" w:ascii="宋体" w:hAnsi="宋体"/>
          <w:szCs w:val="21"/>
          <w:u w:val="single"/>
        </w:rPr>
        <w:t xml:space="preserve">        </w:t>
      </w:r>
      <w:r>
        <w:rPr>
          <w:rFonts w:hint="eastAsia" w:ascii="宋体" w:hAnsi="宋体"/>
          <w:szCs w:val="21"/>
        </w:rPr>
        <w:t>。</w:t>
      </w:r>
    </w:p>
    <w:p w14:paraId="3B3E1A69">
      <w:pPr>
        <w:pStyle w:val="7"/>
        <w:spacing w:before="0" w:beforeAutospacing="0" w:after="0" w:afterAutospacing="0" w:line="360" w:lineRule="auto"/>
        <w:ind w:firstLine="422" w:firstLineChars="200"/>
        <w:rPr>
          <w:sz w:val="21"/>
          <w:szCs w:val="21"/>
        </w:rPr>
      </w:pPr>
      <w:bookmarkStart w:id="1256" w:name="_Toc532375676"/>
      <w:bookmarkStart w:id="1257" w:name="_Toc532377415"/>
      <w:r>
        <w:rPr>
          <w:rFonts w:hint="eastAsia"/>
          <w:sz w:val="21"/>
          <w:szCs w:val="21"/>
        </w:rPr>
        <w:t>19.2 对承包人索赔的处理</w:t>
      </w:r>
      <w:bookmarkEnd w:id="1256"/>
      <w:bookmarkEnd w:id="1257"/>
    </w:p>
    <w:p w14:paraId="21C2A025">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对承包人索赔的处理如下：</w:t>
      </w:r>
    </w:p>
    <w:p w14:paraId="3E3FB744">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u w:val="single"/>
        </w:rPr>
        <w:t>（1）监理人应在收到索赔报告后14天内完成审查并报送发包人。监理人对索赔报告存在异议的，有权要求承包人提交全部原始记录副本</w:t>
      </w:r>
      <w:r>
        <w:rPr>
          <w:rFonts w:hint="eastAsia" w:ascii="宋体" w:hAnsi="宋体"/>
          <w:szCs w:val="21"/>
        </w:rPr>
        <w:t>；</w:t>
      </w:r>
    </w:p>
    <w:p w14:paraId="57C0844C">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u w:val="single"/>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宋体" w:hAnsi="宋体"/>
          <w:szCs w:val="21"/>
        </w:rPr>
        <w:t>；</w:t>
      </w:r>
    </w:p>
    <w:p w14:paraId="78A4CBD3">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u w:val="single"/>
        </w:rPr>
        <w:t>（3）承包人接受索赔处理结果的，索赔款项在当期进度款中进行支付；承包人不接受索赔处理结果的，按照第20条〔争议解决〕约定处理</w:t>
      </w:r>
      <w:r>
        <w:rPr>
          <w:rFonts w:hint="eastAsia" w:ascii="宋体" w:hAnsi="宋体"/>
          <w:szCs w:val="21"/>
        </w:rPr>
        <w:t>；</w:t>
      </w:r>
    </w:p>
    <w:p w14:paraId="7E2DD6CF">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u w:val="single"/>
        </w:rPr>
        <w:t>（4）工期延误的关键线路按照经监理人、发包人审批同意的施工组织设计计算</w:t>
      </w:r>
      <w:r>
        <w:rPr>
          <w:rFonts w:hint="eastAsia" w:ascii="宋体" w:hAnsi="宋体"/>
          <w:szCs w:val="21"/>
        </w:rPr>
        <w:t>。</w:t>
      </w:r>
    </w:p>
    <w:p w14:paraId="4883F8C1">
      <w:pPr>
        <w:pStyle w:val="7"/>
        <w:spacing w:before="0" w:beforeAutospacing="0" w:after="0" w:afterAutospacing="0" w:line="360" w:lineRule="auto"/>
        <w:ind w:firstLine="422" w:firstLineChars="200"/>
        <w:rPr>
          <w:sz w:val="21"/>
          <w:szCs w:val="21"/>
        </w:rPr>
      </w:pPr>
      <w:bookmarkStart w:id="1258" w:name="_Toc532377416"/>
      <w:bookmarkStart w:id="1259" w:name="_Toc532375677"/>
      <w:r>
        <w:rPr>
          <w:rFonts w:hint="eastAsia"/>
          <w:sz w:val="21"/>
          <w:szCs w:val="21"/>
        </w:rPr>
        <w:t>19.3发包人的索赔</w:t>
      </w:r>
      <w:bookmarkEnd w:id="1258"/>
      <w:bookmarkEnd w:id="1259"/>
    </w:p>
    <w:p w14:paraId="251B4366">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根据合同约定，发包人认为有权得到赔付金额和（或）延长缺陷责任期的，监理人应向承包人发出通知并附有详细的证明。</w:t>
      </w:r>
    </w:p>
    <w:p w14:paraId="7B174824">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1260" w:name="_Hlk528652769"/>
      <w:r>
        <w:rPr>
          <w:rFonts w:hint="eastAsia" w:ascii="宋体" w:hAnsi="宋体"/>
          <w:szCs w:val="21"/>
        </w:rPr>
        <w:t>通过监理人向承包人正式递交最终索赔报告</w:t>
      </w:r>
      <w:bookmarkEnd w:id="1260"/>
      <w:r>
        <w:rPr>
          <w:rFonts w:hint="eastAsia" w:ascii="宋体" w:hAnsi="宋体"/>
          <w:szCs w:val="21"/>
        </w:rPr>
        <w:t>。</w:t>
      </w:r>
    </w:p>
    <w:p w14:paraId="4EC37E86">
      <w:pPr>
        <w:pStyle w:val="7"/>
        <w:spacing w:before="0" w:beforeAutospacing="0" w:after="0" w:afterAutospacing="0" w:line="360" w:lineRule="auto"/>
        <w:ind w:firstLine="422" w:firstLineChars="200"/>
        <w:rPr>
          <w:sz w:val="21"/>
          <w:szCs w:val="21"/>
        </w:rPr>
      </w:pPr>
      <w:bookmarkStart w:id="1261" w:name="_Toc532377417"/>
      <w:bookmarkStart w:id="1262" w:name="_Toc532375678"/>
      <w:r>
        <w:rPr>
          <w:rFonts w:hint="eastAsia"/>
          <w:sz w:val="21"/>
          <w:szCs w:val="21"/>
        </w:rPr>
        <w:t>19.4 对发包人索赔的处理</w:t>
      </w:r>
      <w:bookmarkEnd w:id="1261"/>
      <w:bookmarkEnd w:id="1262"/>
    </w:p>
    <w:p w14:paraId="769AE1CF">
      <w:pPr>
        <w:autoSpaceDE w:val="0"/>
        <w:autoSpaceDN w:val="0"/>
        <w:spacing w:line="360" w:lineRule="auto"/>
        <w:ind w:right="105" w:rightChars="50" w:firstLine="420" w:firstLineChars="200"/>
        <w:jc w:val="left"/>
        <w:rPr>
          <w:rFonts w:ascii="宋体" w:hAnsi="宋体"/>
          <w:kern w:val="0"/>
          <w:szCs w:val="21"/>
        </w:rPr>
      </w:pPr>
      <w:r>
        <w:rPr>
          <w:rFonts w:hint="eastAsia" w:ascii="宋体" w:hAnsi="宋体"/>
          <w:kern w:val="0"/>
          <w:szCs w:val="21"/>
        </w:rPr>
        <w:t>对发包人索赔的处理如下：</w:t>
      </w:r>
    </w:p>
    <w:p w14:paraId="1FB434BF">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（1）承包人收到发包人提交的索赔报告后，应及时审查索赔报告的内容、查验发包人证明材料；</w:t>
      </w:r>
    </w:p>
    <w:p w14:paraId="6CE4C0D1">
      <w:pPr>
        <w:autoSpaceDE w:val="0"/>
        <w:autoSpaceDN w:val="0"/>
        <w:spacing w:line="360" w:lineRule="auto"/>
        <w:ind w:right="105" w:rightChars="50" w:firstLine="420" w:firstLineChars="200"/>
        <w:jc w:val="left"/>
        <w:rPr>
          <w:rFonts w:ascii="宋体" w:hAnsi="宋体"/>
          <w:szCs w:val="21"/>
        </w:rPr>
      </w:pPr>
      <w:r>
        <w:rPr>
          <w:rFonts w:hint="eastAsia" w:ascii="宋体" w:hAnsi="宋体"/>
          <w:szCs w:val="21"/>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14:paraId="731EFC5B">
      <w:pPr>
        <w:autoSpaceDE w:val="0"/>
        <w:autoSpaceDN w:val="0"/>
        <w:spacing w:line="360" w:lineRule="auto"/>
        <w:ind w:right="105" w:rightChars="50" w:firstLine="420" w:firstLineChars="200"/>
        <w:jc w:val="left"/>
        <w:rPr>
          <w:rFonts w:ascii="宋体" w:hAnsi="宋体"/>
          <w:szCs w:val="21"/>
          <w:u w:val="single"/>
        </w:rPr>
      </w:pPr>
      <w:r>
        <w:rPr>
          <w:rFonts w:hint="eastAsia" w:ascii="宋体" w:hAnsi="宋体"/>
          <w:szCs w:val="21"/>
        </w:rPr>
        <w:t>（3）承包人接受索赔处理结果的，发包人可从应支付给承包人的合同价款中扣除赔付的金额或延长缺陷责任期；发包人不接受索赔处理结果的，按第20条〔争议解决〕约定处理。</w:t>
      </w:r>
    </w:p>
    <w:p w14:paraId="5FFCCAE2">
      <w:pPr>
        <w:pStyle w:val="7"/>
        <w:spacing w:before="0" w:beforeAutospacing="0" w:after="0" w:afterAutospacing="0" w:line="360" w:lineRule="auto"/>
        <w:ind w:firstLine="422" w:firstLineChars="200"/>
        <w:rPr>
          <w:sz w:val="21"/>
          <w:szCs w:val="21"/>
        </w:rPr>
      </w:pPr>
      <w:bookmarkStart w:id="1263" w:name="_Toc532377418"/>
      <w:bookmarkStart w:id="1264" w:name="_Toc532375679"/>
      <w:bookmarkStart w:id="1265" w:name="_Hlk528928420"/>
      <w:r>
        <w:rPr>
          <w:rFonts w:hint="eastAsia"/>
          <w:sz w:val="21"/>
          <w:szCs w:val="21"/>
        </w:rPr>
        <w:t>19.5 提出索赔的期限</w:t>
      </w:r>
      <w:bookmarkEnd w:id="1263"/>
      <w:bookmarkEnd w:id="1264"/>
    </w:p>
    <w:p w14:paraId="32A65231">
      <w:pPr>
        <w:autoSpaceDE w:val="0"/>
        <w:autoSpaceDN w:val="0"/>
        <w:spacing w:line="360" w:lineRule="auto"/>
        <w:ind w:right="105" w:rightChars="50" w:firstLine="420" w:firstLineChars="200"/>
        <w:jc w:val="left"/>
        <w:rPr>
          <w:rFonts w:ascii="宋体" w:hAnsi="宋体"/>
          <w:szCs w:val="21"/>
        </w:rPr>
      </w:pPr>
      <w:bookmarkStart w:id="1266" w:name="_Hlk524298376"/>
      <w:r>
        <w:rPr>
          <w:rFonts w:hint="eastAsia" w:ascii="宋体" w:hAnsi="宋体"/>
          <w:szCs w:val="21"/>
        </w:rPr>
        <w:t>任一索赔事件发生后28天内，承包人/发包人未向对方发出索赔意向通知书的，视为其已放弃索赔权，无权再就该索赔事项提出任何索赔。</w:t>
      </w:r>
    </w:p>
    <w:bookmarkEnd w:id="1252"/>
    <w:bookmarkEnd w:id="1253"/>
    <w:bookmarkEnd w:id="1254"/>
    <w:bookmarkEnd w:id="1255"/>
    <w:bookmarkEnd w:id="1265"/>
    <w:bookmarkEnd w:id="1266"/>
    <w:p w14:paraId="259F00A8">
      <w:pPr>
        <w:pStyle w:val="6"/>
        <w:keepNext/>
        <w:keepLines/>
        <w:spacing w:before="156" w:beforeLines="50" w:beforeAutospacing="0" w:after="156" w:afterLines="50" w:afterAutospacing="0" w:line="360" w:lineRule="auto"/>
        <w:jc w:val="both"/>
        <w:rPr>
          <w:bCs w:val="0"/>
          <w:kern w:val="2"/>
          <w:sz w:val="21"/>
          <w:szCs w:val="21"/>
        </w:rPr>
      </w:pPr>
      <w:bookmarkStart w:id="1267" w:name="_Toc532377419"/>
      <w:bookmarkStart w:id="1268" w:name="_Toc351203651"/>
      <w:bookmarkStart w:id="1269" w:name="_Toc532375680"/>
      <w:r>
        <w:rPr>
          <w:rFonts w:hint="eastAsia"/>
          <w:kern w:val="2"/>
          <w:sz w:val="21"/>
          <w:szCs w:val="21"/>
        </w:rPr>
        <w:t>20. 争议解决</w:t>
      </w:r>
      <w:bookmarkEnd w:id="1267"/>
      <w:bookmarkEnd w:id="1268"/>
      <w:bookmarkEnd w:id="1269"/>
    </w:p>
    <w:p w14:paraId="74EB4352">
      <w:pPr>
        <w:pStyle w:val="7"/>
        <w:spacing w:before="0" w:beforeAutospacing="0" w:after="0" w:afterAutospacing="0" w:line="360" w:lineRule="auto"/>
        <w:ind w:firstLine="422" w:firstLineChars="200"/>
        <w:rPr>
          <w:sz w:val="21"/>
          <w:szCs w:val="21"/>
        </w:rPr>
      </w:pPr>
      <w:bookmarkStart w:id="1270" w:name="_Toc532377420"/>
      <w:bookmarkStart w:id="1271" w:name="_Toc532375681"/>
      <w:r>
        <w:rPr>
          <w:rFonts w:hint="eastAsia"/>
          <w:sz w:val="21"/>
          <w:szCs w:val="21"/>
        </w:rPr>
        <w:t>20.3 争议评审</w:t>
      </w:r>
      <w:bookmarkEnd w:id="1270"/>
      <w:bookmarkEnd w:id="1271"/>
    </w:p>
    <w:p w14:paraId="29A55765">
      <w:pPr>
        <w:spacing w:line="360" w:lineRule="auto"/>
        <w:ind w:right="105" w:rightChars="50" w:firstLine="420" w:firstLineChars="200"/>
        <w:jc w:val="left"/>
        <w:rPr>
          <w:rFonts w:ascii="宋体" w:hAnsi="宋体"/>
          <w:szCs w:val="21"/>
        </w:rPr>
      </w:pPr>
      <w:r>
        <w:rPr>
          <w:rFonts w:hint="eastAsia" w:ascii="宋体" w:hAnsi="宋体"/>
          <w:szCs w:val="21"/>
        </w:rPr>
        <w:t>合同当事人是否同意将工程争议提交争议评审小组决定：</w:t>
      </w:r>
      <w:r>
        <w:rPr>
          <w:rFonts w:hint="eastAsia" w:ascii="宋体" w:hAnsi="宋体"/>
          <w:szCs w:val="21"/>
          <w:u w:val="single"/>
        </w:rPr>
        <w:t xml:space="preserve">        </w:t>
      </w:r>
      <w:r>
        <w:rPr>
          <w:rFonts w:hint="eastAsia" w:ascii="宋体" w:hAnsi="宋体"/>
          <w:szCs w:val="21"/>
        </w:rPr>
        <w:t>。</w:t>
      </w:r>
    </w:p>
    <w:p w14:paraId="69A9A3E8">
      <w:pPr>
        <w:pStyle w:val="7"/>
        <w:spacing w:before="0" w:beforeAutospacing="0" w:after="0" w:afterAutospacing="0" w:line="360" w:lineRule="auto"/>
        <w:ind w:firstLine="422" w:firstLineChars="200"/>
        <w:rPr>
          <w:sz w:val="21"/>
          <w:szCs w:val="21"/>
        </w:rPr>
      </w:pPr>
      <w:bookmarkStart w:id="1272" w:name="_Toc532377421"/>
      <w:bookmarkStart w:id="1273" w:name="_Toc532375682"/>
      <w:r>
        <w:rPr>
          <w:rFonts w:hint="eastAsia"/>
          <w:sz w:val="21"/>
          <w:szCs w:val="21"/>
        </w:rPr>
        <w:t>20.4 仲裁或诉讼</w:t>
      </w:r>
      <w:bookmarkEnd w:id="1272"/>
      <w:bookmarkEnd w:id="1273"/>
    </w:p>
    <w:p w14:paraId="7BBAB947">
      <w:pPr>
        <w:spacing w:line="360" w:lineRule="auto"/>
        <w:ind w:right="105" w:rightChars="50" w:firstLine="420" w:firstLineChars="200"/>
        <w:jc w:val="left"/>
        <w:rPr>
          <w:rFonts w:ascii="宋体" w:hAnsi="宋体"/>
          <w:szCs w:val="21"/>
        </w:rPr>
      </w:pPr>
      <w:r>
        <w:rPr>
          <w:rFonts w:hint="eastAsia" w:ascii="宋体" w:hAnsi="宋体"/>
          <w:szCs w:val="21"/>
        </w:rPr>
        <w:t>因合同及合同有关事项发生的争议，按下列第</w:t>
      </w:r>
      <w:r>
        <w:rPr>
          <w:rFonts w:hint="eastAsia" w:ascii="宋体" w:hAnsi="宋体"/>
          <w:szCs w:val="21"/>
          <w:u w:val="single"/>
        </w:rPr>
        <w:t xml:space="preserve">    </w:t>
      </w:r>
      <w:r>
        <w:rPr>
          <w:rFonts w:hint="eastAsia" w:ascii="宋体" w:hAnsi="宋体"/>
          <w:szCs w:val="21"/>
        </w:rPr>
        <w:t>种方式解决：</w:t>
      </w:r>
    </w:p>
    <w:p w14:paraId="0047DF6E">
      <w:pPr>
        <w:spacing w:line="360" w:lineRule="auto"/>
        <w:ind w:right="105" w:rightChars="50" w:firstLine="420" w:firstLineChars="200"/>
        <w:jc w:val="left"/>
        <w:rPr>
          <w:rFonts w:ascii="宋体" w:hAnsi="宋体"/>
          <w:szCs w:val="21"/>
        </w:rPr>
      </w:pPr>
      <w:r>
        <w:rPr>
          <w:rFonts w:ascii="宋体" w:hAnsi="宋体"/>
          <w:szCs w:val="21"/>
        </w:rPr>
        <w:t>（1）向</w:t>
      </w:r>
      <w:r>
        <w:rPr>
          <w:rFonts w:ascii="宋体" w:hAnsi="宋体"/>
          <w:szCs w:val="21"/>
          <w:u w:val="single"/>
        </w:rPr>
        <w:t xml:space="preserve">                     </w:t>
      </w:r>
      <w:r>
        <w:rPr>
          <w:rFonts w:ascii="宋体" w:hAnsi="宋体"/>
          <w:szCs w:val="21"/>
        </w:rPr>
        <w:t>仲裁委员会申请仲裁；</w:t>
      </w:r>
    </w:p>
    <w:p w14:paraId="3FDAD3C6">
      <w:pPr>
        <w:spacing w:line="360" w:lineRule="auto"/>
        <w:ind w:right="105" w:rightChars="50" w:firstLine="420" w:firstLineChars="200"/>
        <w:jc w:val="left"/>
        <w:rPr>
          <w:rFonts w:ascii="宋体" w:hAnsi="宋体"/>
          <w:szCs w:val="21"/>
        </w:rPr>
      </w:pPr>
      <w:r>
        <w:rPr>
          <w:rFonts w:ascii="宋体" w:hAnsi="宋体"/>
          <w:szCs w:val="21"/>
        </w:rPr>
        <w:t>（2）向</w:t>
      </w:r>
      <w:r>
        <w:rPr>
          <w:rFonts w:ascii="宋体" w:hAnsi="宋体"/>
          <w:szCs w:val="21"/>
          <w:u w:val="single"/>
        </w:rPr>
        <w:t xml:space="preserve">                     </w:t>
      </w:r>
      <w:r>
        <w:rPr>
          <w:rFonts w:ascii="宋体" w:hAnsi="宋体"/>
          <w:szCs w:val="21"/>
        </w:rPr>
        <w:t>人民法院起诉。</w:t>
      </w:r>
    </w:p>
    <w:p w14:paraId="3199547C">
      <w:pPr>
        <w:pStyle w:val="6"/>
        <w:keepNext/>
        <w:keepLines/>
        <w:spacing w:before="156" w:beforeLines="50" w:beforeAutospacing="0" w:after="156" w:afterLines="50" w:afterAutospacing="0" w:line="360" w:lineRule="auto"/>
        <w:jc w:val="both"/>
        <w:rPr>
          <w:bCs w:val="0"/>
          <w:kern w:val="2"/>
          <w:sz w:val="21"/>
          <w:szCs w:val="21"/>
        </w:rPr>
      </w:pPr>
      <w:bookmarkStart w:id="1274" w:name="_Toc532375683"/>
      <w:bookmarkStart w:id="1275" w:name="_Toc532377422"/>
      <w:r>
        <w:rPr>
          <w:rFonts w:hint="eastAsia"/>
          <w:kern w:val="2"/>
          <w:sz w:val="21"/>
          <w:szCs w:val="21"/>
        </w:rPr>
        <w:t>21. 补充条款</w:t>
      </w:r>
      <w:bookmarkEnd w:id="1274"/>
      <w:bookmarkEnd w:id="1275"/>
    </w:p>
    <w:p w14:paraId="5F0A5396">
      <w:pPr>
        <w:pStyle w:val="7"/>
        <w:spacing w:before="0" w:beforeAutospacing="0" w:after="0" w:afterAutospacing="0" w:line="360" w:lineRule="auto"/>
        <w:ind w:firstLine="422" w:firstLineChars="200"/>
        <w:rPr>
          <w:sz w:val="21"/>
          <w:szCs w:val="21"/>
        </w:rPr>
      </w:pPr>
      <w:bookmarkStart w:id="1276" w:name="_Toc532375684"/>
      <w:bookmarkStart w:id="1277" w:name="_Toc532377423"/>
      <w:r>
        <w:rPr>
          <w:rFonts w:hint="eastAsia"/>
          <w:sz w:val="21"/>
          <w:szCs w:val="21"/>
        </w:rPr>
        <w:t>21.1 退出机制</w:t>
      </w:r>
      <w:bookmarkEnd w:id="1276"/>
      <w:bookmarkEnd w:id="1277"/>
    </w:p>
    <w:p w14:paraId="41846388">
      <w:pPr>
        <w:spacing w:line="360" w:lineRule="auto"/>
        <w:ind w:right="105" w:rightChars="50" w:firstLine="420" w:firstLineChars="200"/>
        <w:jc w:val="left"/>
        <w:rPr>
          <w:rFonts w:ascii="宋体" w:hAnsi="宋体"/>
          <w:szCs w:val="21"/>
        </w:rPr>
      </w:pPr>
      <w:r>
        <w:rPr>
          <w:rFonts w:hint="eastAsia" w:ascii="宋体" w:hAnsi="宋体"/>
          <w:szCs w:val="21"/>
        </w:rPr>
        <w:t>21.1.1有下列情形之一的，发包人有权解除合同，亦有权兑付履约担保</w:t>
      </w:r>
      <w:r>
        <w:rPr>
          <w:rFonts w:hint="eastAsia" w:ascii="宋体" w:hAnsi="宋体" w:cs="Microsoft Sans Serif"/>
          <w:kern w:val="0"/>
          <w:szCs w:val="21"/>
        </w:rPr>
        <w:t>（如有）</w:t>
      </w:r>
      <w:r>
        <w:rPr>
          <w:rFonts w:hint="eastAsia" w:ascii="宋体" w:hAnsi="宋体"/>
          <w:szCs w:val="21"/>
        </w:rPr>
        <w:t>，并对承包人做清退出场处理</w:t>
      </w:r>
      <w:r>
        <w:rPr>
          <w:rFonts w:hint="eastAsia" w:ascii="宋体" w:hAnsi="宋体"/>
          <w:kern w:val="0"/>
          <w:szCs w:val="21"/>
        </w:rPr>
        <w:t>：</w:t>
      </w:r>
    </w:p>
    <w:p w14:paraId="7506BEED">
      <w:pPr>
        <w:spacing w:line="360" w:lineRule="auto"/>
        <w:ind w:right="105" w:rightChars="50" w:firstLine="420" w:firstLineChars="200"/>
        <w:jc w:val="left"/>
        <w:rPr>
          <w:rFonts w:ascii="宋体" w:hAnsi="宋体"/>
          <w:szCs w:val="21"/>
        </w:rPr>
      </w:pPr>
      <w:r>
        <w:rPr>
          <w:rFonts w:hint="eastAsia" w:ascii="宋体" w:hAnsi="宋体"/>
          <w:szCs w:val="21"/>
        </w:rPr>
        <w:t>（1）因承包人原因造成较大及以上等级生产安全事故或工程质量事故的；</w:t>
      </w:r>
    </w:p>
    <w:p w14:paraId="78E08B25">
      <w:pPr>
        <w:spacing w:line="360" w:lineRule="auto"/>
        <w:ind w:right="105" w:rightChars="50" w:firstLine="420" w:firstLineChars="200"/>
        <w:jc w:val="left"/>
        <w:rPr>
          <w:rFonts w:ascii="宋体" w:hAnsi="宋体"/>
          <w:kern w:val="0"/>
          <w:szCs w:val="21"/>
        </w:rPr>
      </w:pPr>
      <w:r>
        <w:rPr>
          <w:rFonts w:hint="eastAsia" w:ascii="宋体" w:hAnsi="宋体"/>
          <w:kern w:val="0"/>
          <w:szCs w:val="21"/>
        </w:rPr>
        <w:t>（2）因承包人债权债务纠纷或其他纠纷导致工程无法正常施工的。</w:t>
      </w:r>
    </w:p>
    <w:p w14:paraId="54568255">
      <w:pPr>
        <w:spacing w:line="360" w:lineRule="auto"/>
        <w:ind w:right="105" w:rightChars="50" w:firstLine="420" w:firstLineChars="200"/>
        <w:jc w:val="left"/>
        <w:rPr>
          <w:rFonts w:ascii="宋体" w:hAnsi="宋体"/>
          <w:szCs w:val="21"/>
        </w:rPr>
      </w:pPr>
      <w:r>
        <w:rPr>
          <w:rFonts w:hint="eastAsia" w:ascii="宋体" w:hAnsi="宋体"/>
          <w:kern w:val="0"/>
          <w:szCs w:val="21"/>
        </w:rPr>
        <w:t>（3）</w:t>
      </w:r>
      <w:r>
        <w:rPr>
          <w:rFonts w:hint="eastAsia" w:ascii="宋体" w:hAnsi="宋体"/>
          <w:kern w:val="0"/>
          <w:szCs w:val="21"/>
          <w:u w:val="single"/>
        </w:rPr>
        <w:t xml:space="preserve">        </w:t>
      </w:r>
      <w:r>
        <w:rPr>
          <w:rFonts w:hint="eastAsia" w:ascii="宋体" w:hAnsi="宋体"/>
          <w:kern w:val="0"/>
          <w:szCs w:val="21"/>
        </w:rPr>
        <w:t>。</w:t>
      </w:r>
    </w:p>
    <w:p w14:paraId="618485BC">
      <w:pPr>
        <w:pStyle w:val="2"/>
        <w:spacing w:after="0" w:line="360" w:lineRule="auto"/>
        <w:ind w:firstLine="420" w:firstLineChars="200"/>
        <w:rPr>
          <w:rFonts w:ascii="宋体" w:hAnsi="宋体"/>
          <w:szCs w:val="21"/>
        </w:rPr>
      </w:pPr>
      <w:r>
        <w:rPr>
          <w:rFonts w:hint="eastAsia" w:ascii="宋体" w:hAnsi="宋体"/>
          <w:szCs w:val="21"/>
        </w:rPr>
        <w:t>21.1.2有下列情形之一的，承包人有权解除合同，并按16.1.4约定执行：</w:t>
      </w:r>
    </w:p>
    <w:p w14:paraId="6328E6BA">
      <w:pPr>
        <w:pStyle w:val="2"/>
        <w:spacing w:after="0" w:line="360" w:lineRule="auto"/>
        <w:ind w:right="105" w:rightChars="50" w:firstLine="420" w:firstLineChars="200"/>
        <w:jc w:val="left"/>
        <w:rPr>
          <w:rFonts w:ascii="宋体" w:hAnsi="宋体"/>
          <w:szCs w:val="21"/>
        </w:rPr>
      </w:pPr>
      <w:r>
        <w:rPr>
          <w:rFonts w:hint="eastAsia" w:ascii="宋体" w:hAnsi="宋体"/>
          <w:szCs w:val="21"/>
        </w:rPr>
        <w:t>（1）因发包人征地、拆迁、补偿、审批手续等原因致使本工程延期开工超过90天的。</w:t>
      </w:r>
    </w:p>
    <w:p w14:paraId="021AFFF5">
      <w:pPr>
        <w:spacing w:line="360" w:lineRule="auto"/>
        <w:ind w:right="105" w:rightChars="50" w:firstLine="420" w:firstLineChars="200"/>
        <w:jc w:val="left"/>
        <w:rPr>
          <w:rFonts w:ascii="宋体" w:hAnsi="宋体"/>
          <w:szCs w:val="21"/>
        </w:rPr>
      </w:pPr>
      <w:r>
        <w:rPr>
          <w:rFonts w:hint="eastAsia" w:ascii="宋体" w:hAnsi="宋体"/>
          <w:kern w:val="0"/>
          <w:szCs w:val="21"/>
        </w:rPr>
        <w:t>（2）</w:t>
      </w:r>
      <w:r>
        <w:rPr>
          <w:rFonts w:hint="eastAsia" w:ascii="宋体" w:hAnsi="宋体"/>
          <w:kern w:val="0"/>
          <w:szCs w:val="21"/>
          <w:u w:val="single"/>
        </w:rPr>
        <w:t xml:space="preserve">        </w:t>
      </w:r>
      <w:r>
        <w:rPr>
          <w:rFonts w:hint="eastAsia" w:ascii="宋体" w:hAnsi="宋体"/>
          <w:kern w:val="0"/>
          <w:szCs w:val="21"/>
        </w:rPr>
        <w:t>。</w:t>
      </w:r>
    </w:p>
    <w:p w14:paraId="7A8BC230">
      <w:pPr>
        <w:pStyle w:val="7"/>
        <w:spacing w:before="0" w:beforeAutospacing="0" w:after="0" w:afterAutospacing="0" w:line="360" w:lineRule="auto"/>
        <w:ind w:firstLine="422" w:firstLineChars="200"/>
        <w:rPr>
          <w:sz w:val="21"/>
          <w:szCs w:val="21"/>
        </w:rPr>
      </w:pPr>
      <w:bookmarkStart w:id="1278" w:name="_Toc532377424"/>
      <w:bookmarkStart w:id="1279" w:name="_Toc532375685"/>
      <w:r>
        <w:rPr>
          <w:rFonts w:hint="eastAsia"/>
          <w:sz w:val="21"/>
          <w:szCs w:val="21"/>
        </w:rPr>
        <w:t>21.2智慧工地</w:t>
      </w:r>
      <w:bookmarkEnd w:id="1278"/>
      <w:bookmarkEnd w:id="1279"/>
    </w:p>
    <w:p w14:paraId="2720C39D">
      <w:pPr>
        <w:spacing w:line="360" w:lineRule="auto"/>
        <w:ind w:right="105" w:rightChars="50" w:firstLine="420" w:firstLineChars="200"/>
        <w:jc w:val="left"/>
        <w:rPr>
          <w:rFonts w:ascii="宋体" w:hAnsi="宋体"/>
          <w:szCs w:val="21"/>
        </w:rPr>
      </w:pPr>
      <w:r>
        <w:rPr>
          <w:rFonts w:hint="eastAsia" w:ascii="宋体" w:hAnsi="宋体"/>
          <w:szCs w:val="21"/>
        </w:rPr>
        <w:t>工地建设可参照重庆市城乡建设委员会《关于印发“智慧工地”建设工作方案的通知》（渝建〔2017〕414号）的相关要求建设。</w:t>
      </w:r>
      <w:bookmarkEnd w:id="1220"/>
    </w:p>
    <w:p w14:paraId="0CEB2F5B">
      <w:pPr>
        <w:pStyle w:val="7"/>
        <w:spacing w:before="0" w:beforeAutospacing="0" w:after="0" w:afterAutospacing="0" w:line="360" w:lineRule="auto"/>
        <w:ind w:firstLine="422" w:firstLineChars="200"/>
        <w:rPr>
          <w:sz w:val="21"/>
          <w:szCs w:val="21"/>
          <w:u w:val="single"/>
        </w:rPr>
      </w:pPr>
      <w:r>
        <w:rPr>
          <w:rFonts w:hint="eastAsia"/>
          <w:sz w:val="21"/>
          <w:szCs w:val="21"/>
        </w:rPr>
        <w:t>21.3 低价风险担保</w:t>
      </w:r>
    </w:p>
    <w:p w14:paraId="212FF20F">
      <w:pPr>
        <w:spacing w:line="360" w:lineRule="auto"/>
        <w:ind w:firstLine="420" w:firstLineChars="200"/>
        <w:jc w:val="left"/>
        <w:rPr>
          <w:rFonts w:ascii="宋体" w:hAnsi="宋体"/>
          <w:szCs w:val="21"/>
        </w:rPr>
      </w:pPr>
      <w:r>
        <w:rPr>
          <w:rFonts w:hint="eastAsia" w:ascii="宋体" w:hAnsi="宋体"/>
          <w:szCs w:val="21"/>
        </w:rPr>
        <w:t>承包人提供低价风险担保的情形：采用经评审的最低投标价法的项目投标报价低于最高限价85%时。</w:t>
      </w:r>
    </w:p>
    <w:p w14:paraId="28569C5D">
      <w:pPr>
        <w:spacing w:line="360" w:lineRule="auto"/>
        <w:ind w:firstLine="420" w:firstLineChars="200"/>
        <w:jc w:val="left"/>
        <w:rPr>
          <w:rFonts w:ascii="宋体" w:hAnsi="宋体"/>
          <w:szCs w:val="21"/>
        </w:rPr>
      </w:pPr>
      <w:r>
        <w:rPr>
          <w:rFonts w:hint="eastAsia" w:ascii="宋体" w:hAnsi="宋体"/>
          <w:szCs w:val="21"/>
        </w:rPr>
        <w:t>承包人提供低价风险担保的形式、金额及期限：</w:t>
      </w:r>
    </w:p>
    <w:p w14:paraId="5A5A0644">
      <w:pPr>
        <w:spacing w:line="360" w:lineRule="auto"/>
        <w:ind w:firstLine="420" w:firstLineChars="200"/>
        <w:jc w:val="left"/>
        <w:rPr>
          <w:rFonts w:ascii="宋体" w:hAnsi="宋体"/>
          <w:szCs w:val="21"/>
        </w:rPr>
      </w:pPr>
      <w:r>
        <w:rPr>
          <w:rFonts w:hint="eastAsia" w:ascii="宋体" w:hAnsi="宋体"/>
          <w:szCs w:val="21"/>
        </w:rPr>
        <w:t>（1）低价风险担保的形式：现金或银行保函或现金+银行保函的组合；采用保函形式的，保函必须为不可撤销、不可转让且见索即付的独立保函；</w:t>
      </w:r>
    </w:p>
    <w:p w14:paraId="0345F816">
      <w:pPr>
        <w:spacing w:line="360" w:lineRule="auto"/>
        <w:ind w:firstLine="420" w:firstLineChars="200"/>
        <w:jc w:val="left"/>
        <w:rPr>
          <w:rFonts w:ascii="宋体" w:hAnsi="宋体"/>
          <w:szCs w:val="21"/>
        </w:rPr>
      </w:pPr>
      <w:r>
        <w:rPr>
          <w:rFonts w:hint="eastAsia" w:ascii="宋体" w:hAnsi="宋体"/>
          <w:szCs w:val="21"/>
        </w:rPr>
        <w:t>（2）低价风险担保的金额：</w:t>
      </w:r>
      <w:r>
        <w:rPr>
          <w:rFonts w:hint="eastAsia" w:ascii="仿宋_GB2312" w:hAnsi="宋体" w:eastAsia="仿宋_GB2312" w:cs="宋体"/>
          <w:kern w:val="0"/>
          <w:szCs w:val="21"/>
          <w:u w:val="single"/>
        </w:rPr>
        <w:t xml:space="preserve">            </w:t>
      </w:r>
      <w:r>
        <w:rPr>
          <w:rFonts w:hint="eastAsia" w:ascii="宋体" w:hAnsi="宋体"/>
          <w:szCs w:val="21"/>
        </w:rPr>
        <w:t>；</w:t>
      </w:r>
    </w:p>
    <w:p w14:paraId="3F2845AA">
      <w:pPr>
        <w:tabs>
          <w:tab w:val="left" w:pos="1134"/>
        </w:tabs>
        <w:spacing w:line="360" w:lineRule="auto"/>
        <w:ind w:firstLine="420" w:firstLineChars="200"/>
        <w:jc w:val="left"/>
        <w:rPr>
          <w:rFonts w:ascii="宋体" w:hAnsi="宋体"/>
          <w:szCs w:val="21"/>
        </w:rPr>
      </w:pPr>
      <w:r>
        <w:rPr>
          <w:rFonts w:hint="eastAsia" w:ascii="宋体" w:hAnsi="宋体"/>
          <w:szCs w:val="21"/>
        </w:rPr>
        <w:t>（3）低价风险担保的提交时间：</w:t>
      </w:r>
      <w:r>
        <w:rPr>
          <w:rFonts w:hint="eastAsia"/>
          <w:szCs w:val="21"/>
          <w:u w:val="single"/>
        </w:rPr>
        <w:t>从比选人中标通知书送达拟中标人之日起    工作日内</w:t>
      </w:r>
      <w:r>
        <w:rPr>
          <w:rFonts w:hint="eastAsia" w:ascii="宋体" w:hAnsi="宋体"/>
          <w:szCs w:val="21"/>
          <w:u w:val="single"/>
        </w:rPr>
        <w:t>；</w:t>
      </w:r>
    </w:p>
    <w:p w14:paraId="749A70DE">
      <w:pPr>
        <w:tabs>
          <w:tab w:val="left" w:pos="1134"/>
        </w:tabs>
        <w:spacing w:line="360" w:lineRule="auto"/>
        <w:ind w:firstLine="420" w:firstLineChars="200"/>
        <w:jc w:val="left"/>
        <w:rPr>
          <w:rFonts w:ascii="宋体" w:hAnsi="宋体"/>
          <w:szCs w:val="21"/>
        </w:rPr>
      </w:pPr>
      <w:r>
        <w:rPr>
          <w:rFonts w:hint="eastAsia" w:ascii="宋体" w:hAnsi="宋体"/>
          <w:szCs w:val="21"/>
        </w:rPr>
        <w:t>（4）低价风险担保的期限：</w:t>
      </w:r>
      <w:r>
        <w:rPr>
          <w:rFonts w:hint="eastAsia"/>
          <w:szCs w:val="21"/>
          <w:u w:val="single"/>
        </w:rPr>
        <w:t>自低价风险担保生效之日起至竣工验收合格之日止</w:t>
      </w:r>
      <w:r>
        <w:rPr>
          <w:rFonts w:hint="eastAsia" w:ascii="宋体" w:hAnsi="宋体"/>
          <w:szCs w:val="21"/>
        </w:rPr>
        <w:t>。</w:t>
      </w:r>
    </w:p>
    <w:p w14:paraId="7CF72C25">
      <w:pPr>
        <w:pStyle w:val="2"/>
        <w:spacing w:after="0" w:line="360" w:lineRule="auto"/>
        <w:ind w:firstLine="420" w:firstLineChars="200"/>
        <w:jc w:val="left"/>
        <w:rPr>
          <w:rFonts w:ascii="宋体" w:hAnsi="宋体"/>
          <w:szCs w:val="21"/>
        </w:rPr>
      </w:pPr>
      <w:r>
        <w:rPr>
          <w:rFonts w:hint="eastAsia" w:ascii="宋体" w:hAnsi="宋体"/>
          <w:szCs w:val="21"/>
        </w:rPr>
        <w:t>低价风险担保的退还时间：</w:t>
      </w:r>
      <w:r>
        <w:rPr>
          <w:rFonts w:hint="eastAsia" w:ascii="宋体" w:hAnsi="宋体"/>
          <w:szCs w:val="21"/>
          <w:u w:val="single"/>
        </w:rPr>
        <w:t xml:space="preserve">采用现金担保的，工程竣工验收合格后14天内退还，合同履行期间允许承包人用符合要求的银行保函进行置换；采用银行保函的，工程竣工验收合格后14天内退还。采用分段退还的，低价风险担保的退还时间及方式为：        </w:t>
      </w:r>
      <w:r>
        <w:rPr>
          <w:rFonts w:hint="eastAsia" w:ascii="宋体" w:hAnsi="宋体"/>
          <w:szCs w:val="21"/>
        </w:rPr>
        <w:t>。</w:t>
      </w:r>
    </w:p>
    <w:p w14:paraId="3E7F2ABA">
      <w:pPr>
        <w:pStyle w:val="2"/>
        <w:spacing w:after="0" w:line="360" w:lineRule="auto"/>
        <w:ind w:firstLine="420" w:firstLineChars="200"/>
        <w:jc w:val="left"/>
        <w:rPr>
          <w:rFonts w:ascii="宋体" w:hAnsi="宋体"/>
          <w:szCs w:val="21"/>
        </w:rPr>
      </w:pPr>
      <w:r>
        <w:rPr>
          <w:rFonts w:hint="eastAsia" w:ascii="宋体" w:hAnsi="宋体"/>
          <w:szCs w:val="21"/>
        </w:rPr>
        <w:t>（5）低价风险担保的扣减：</w:t>
      </w:r>
    </w:p>
    <w:p w14:paraId="18A06344">
      <w:pPr>
        <w:pStyle w:val="2"/>
        <w:spacing w:after="0" w:line="360" w:lineRule="auto"/>
        <w:ind w:firstLine="420" w:firstLineChars="200"/>
        <w:jc w:val="left"/>
        <w:rPr>
          <w:rFonts w:ascii="宋体" w:hAnsi="宋体"/>
          <w:szCs w:val="21"/>
        </w:rPr>
      </w:pPr>
      <w:r>
        <w:rPr>
          <w:rFonts w:hint="eastAsia" w:ascii="宋体" w:hAnsi="宋体"/>
          <w:szCs w:val="21"/>
        </w:rPr>
        <w:t>①承包人在工程施工期间，以其投标时填报的工程主要材料价格低于同期工程造价管理机构发布的信息价格为由拒绝材料采购；或因其自身其他原因导致工程窝工或停工等，给发包人造成直接经济损失且拒绝承担的，按低价风险担保金额的</w:t>
      </w:r>
      <w:r>
        <w:rPr>
          <w:rFonts w:hint="eastAsia" w:ascii="宋体" w:hAnsi="宋体"/>
          <w:szCs w:val="21"/>
          <w:u w:val="single"/>
        </w:rPr>
        <w:t>50～100%</w:t>
      </w:r>
      <w:r>
        <w:rPr>
          <w:rFonts w:hint="eastAsia" w:ascii="宋体" w:hAnsi="宋体"/>
          <w:szCs w:val="21"/>
        </w:rPr>
        <w:t>扣减，直至解除合同；</w:t>
      </w:r>
    </w:p>
    <w:p w14:paraId="1A0DBAE6">
      <w:pPr>
        <w:pStyle w:val="2"/>
        <w:spacing w:after="0" w:line="360" w:lineRule="auto"/>
        <w:ind w:firstLine="420" w:firstLineChars="200"/>
        <w:jc w:val="left"/>
        <w:rPr>
          <w:rFonts w:ascii="宋体" w:hAnsi="宋体"/>
          <w:szCs w:val="21"/>
        </w:rPr>
      </w:pPr>
      <w:r>
        <w:rPr>
          <w:rFonts w:hint="eastAsia" w:ascii="宋体" w:hAnsi="宋体"/>
          <w:szCs w:val="21"/>
        </w:rPr>
        <w:t>②承包人在工程施工期间或竣工验收时，工程质量不符合国家现行有关施工质量验收规范要求的，按低价风险担保金额的</w:t>
      </w:r>
      <w:r>
        <w:rPr>
          <w:rFonts w:hint="eastAsia" w:ascii="宋体" w:hAnsi="宋体"/>
          <w:szCs w:val="21"/>
          <w:u w:val="single"/>
        </w:rPr>
        <w:t>50～100%</w:t>
      </w:r>
      <w:r>
        <w:rPr>
          <w:rFonts w:hint="eastAsia" w:ascii="宋体" w:hAnsi="宋体"/>
          <w:szCs w:val="21"/>
        </w:rPr>
        <w:t>扣减，直至解除合同；</w:t>
      </w:r>
    </w:p>
    <w:p w14:paraId="230BCA69">
      <w:pPr>
        <w:pStyle w:val="2"/>
        <w:spacing w:after="0" w:line="360" w:lineRule="auto"/>
        <w:ind w:firstLine="420" w:firstLineChars="200"/>
        <w:jc w:val="left"/>
        <w:rPr>
          <w:rFonts w:ascii="宋体" w:hAnsi="宋体"/>
          <w:szCs w:val="21"/>
        </w:rPr>
      </w:pPr>
      <w:r>
        <w:rPr>
          <w:rFonts w:hint="eastAsia" w:ascii="宋体" w:hAnsi="宋体"/>
          <w:szCs w:val="21"/>
        </w:rPr>
        <w:t>③承包人因16.2.3项原因被解除合同的，低价风险担保将全额扣除；</w:t>
      </w:r>
    </w:p>
    <w:p w14:paraId="462C67CE">
      <w:pPr>
        <w:pStyle w:val="7"/>
        <w:spacing w:before="0" w:beforeAutospacing="0" w:after="0" w:afterAutospacing="0" w:line="360" w:lineRule="auto"/>
        <w:ind w:firstLine="400" w:firstLineChars="200"/>
        <w:rPr>
          <w:sz w:val="21"/>
          <w:szCs w:val="21"/>
        </w:rPr>
      </w:pPr>
      <w:r>
        <w:rPr>
          <w:rFonts w:hint="eastAsia"/>
          <w:b w:val="0"/>
          <w:bCs w:val="0"/>
          <w:szCs w:val="21"/>
        </w:rPr>
        <w:t>④因承包人过错导致的其他情形：</w:t>
      </w:r>
      <w:r>
        <w:rPr>
          <w:rFonts w:hint="eastAsia"/>
          <w:b w:val="0"/>
          <w:bCs w:val="0"/>
          <w:szCs w:val="21"/>
          <w:u w:val="single"/>
        </w:rPr>
        <w:t xml:space="preserve">        </w:t>
      </w:r>
      <w:r>
        <w:rPr>
          <w:rFonts w:hint="eastAsia"/>
          <w:b w:val="0"/>
          <w:bCs w:val="0"/>
          <w:szCs w:val="21"/>
        </w:rPr>
        <w:t>。</w:t>
      </w:r>
    </w:p>
    <w:p w14:paraId="2907A8BE">
      <w:pPr>
        <w:pStyle w:val="7"/>
        <w:spacing w:before="0" w:beforeAutospacing="0" w:after="0" w:afterAutospacing="0" w:line="360" w:lineRule="auto"/>
        <w:ind w:firstLine="422" w:firstLineChars="200"/>
        <w:rPr>
          <w:sz w:val="21"/>
          <w:szCs w:val="21"/>
          <w:u w:val="single"/>
        </w:rPr>
      </w:pPr>
      <w:r>
        <w:rPr>
          <w:rFonts w:hint="eastAsia"/>
          <w:sz w:val="21"/>
          <w:szCs w:val="21"/>
        </w:rPr>
        <w:t>21.4 关于不平衡报价的约定：</w:t>
      </w:r>
      <w:r>
        <w:rPr>
          <w:rFonts w:hint="eastAsia"/>
          <w:sz w:val="21"/>
          <w:szCs w:val="21"/>
          <w:u w:val="single"/>
        </w:rPr>
        <w:t xml:space="preserve">       </w:t>
      </w:r>
    </w:p>
    <w:p w14:paraId="1FEB91B6">
      <w:pPr>
        <w:pStyle w:val="7"/>
        <w:spacing w:before="0" w:beforeAutospacing="0" w:after="0" w:afterAutospacing="0" w:line="360" w:lineRule="auto"/>
        <w:ind w:firstLine="422" w:firstLineChars="200"/>
        <w:rPr>
          <w:sz w:val="21"/>
          <w:szCs w:val="21"/>
        </w:rPr>
      </w:pPr>
      <w:r>
        <w:rPr>
          <w:rFonts w:hint="eastAsia"/>
          <w:sz w:val="21"/>
          <w:szCs w:val="21"/>
        </w:rPr>
        <w:t xml:space="preserve">21.5 </w:t>
      </w:r>
      <w:r>
        <w:rPr>
          <w:rFonts w:hint="eastAsia"/>
          <w:sz w:val="21"/>
          <w:szCs w:val="21"/>
          <w:u w:val="single"/>
        </w:rPr>
        <w:t xml:space="preserve">       </w:t>
      </w:r>
    </w:p>
    <w:p w14:paraId="653E5FFD">
      <w:pPr>
        <w:pStyle w:val="6"/>
        <w:keepNext/>
        <w:keepLines/>
        <w:spacing w:before="156" w:beforeLines="50" w:beforeAutospacing="0" w:after="156" w:afterLines="50" w:afterAutospacing="0" w:line="360" w:lineRule="auto"/>
        <w:jc w:val="both"/>
        <w:rPr>
          <w:bCs w:val="0"/>
          <w:kern w:val="2"/>
          <w:sz w:val="21"/>
          <w:szCs w:val="21"/>
        </w:rPr>
      </w:pPr>
      <w:bookmarkStart w:id="1280" w:name="baidusnap7"/>
      <w:bookmarkEnd w:id="1280"/>
      <w:bookmarkStart w:id="1281" w:name="baidusnap3"/>
      <w:bookmarkEnd w:id="1281"/>
      <w:bookmarkStart w:id="1282" w:name="_Toc532377425"/>
      <w:bookmarkStart w:id="1283" w:name="_Toc532375686"/>
      <w:bookmarkStart w:id="1284" w:name="_Toc351203652"/>
      <w:r>
        <w:rPr>
          <w:rFonts w:hint="eastAsia"/>
          <w:kern w:val="2"/>
          <w:sz w:val="21"/>
          <w:szCs w:val="21"/>
        </w:rPr>
        <w:t>22. 合同附件</w:t>
      </w:r>
      <w:bookmarkEnd w:id="1282"/>
      <w:bookmarkEnd w:id="1283"/>
    </w:p>
    <w:p w14:paraId="0FBA617B">
      <w:pPr>
        <w:spacing w:line="360" w:lineRule="auto"/>
        <w:ind w:right="105" w:rightChars="50" w:firstLine="420" w:firstLineChars="200"/>
        <w:jc w:val="left"/>
        <w:rPr>
          <w:rFonts w:ascii="宋体" w:hAnsi="宋体"/>
          <w:szCs w:val="21"/>
        </w:rPr>
      </w:pPr>
      <w:r>
        <w:rPr>
          <w:rFonts w:hint="eastAsia" w:ascii="宋体" w:hAnsi="宋体"/>
          <w:szCs w:val="21"/>
        </w:rPr>
        <w:t>以下十一个附件是本合同的有效组成部分：</w:t>
      </w:r>
    </w:p>
    <w:p w14:paraId="7C3F4F8E">
      <w:pPr>
        <w:spacing w:line="360" w:lineRule="auto"/>
        <w:ind w:right="105" w:rightChars="50" w:firstLine="420" w:firstLineChars="200"/>
        <w:jc w:val="left"/>
        <w:rPr>
          <w:rFonts w:ascii="宋体" w:hAnsi="宋体"/>
          <w:szCs w:val="21"/>
        </w:rPr>
      </w:pPr>
      <w:r>
        <w:rPr>
          <w:rFonts w:hint="eastAsia" w:ascii="宋体" w:hAnsi="宋体"/>
          <w:szCs w:val="21"/>
        </w:rPr>
        <w:t>附件1：工程质量保修书</w:t>
      </w:r>
    </w:p>
    <w:p w14:paraId="054063C6">
      <w:pPr>
        <w:spacing w:line="360" w:lineRule="auto"/>
        <w:ind w:right="105" w:rightChars="50" w:firstLine="420" w:firstLineChars="200"/>
        <w:jc w:val="left"/>
        <w:rPr>
          <w:rFonts w:ascii="宋体" w:hAnsi="宋体"/>
          <w:szCs w:val="21"/>
        </w:rPr>
      </w:pPr>
      <w:r>
        <w:rPr>
          <w:rFonts w:hint="eastAsia" w:ascii="宋体" w:hAnsi="宋体"/>
          <w:szCs w:val="21"/>
        </w:rPr>
        <w:t>附件2：主要建设工程文件目录</w:t>
      </w:r>
    </w:p>
    <w:p w14:paraId="39790CB0">
      <w:pPr>
        <w:spacing w:line="360" w:lineRule="auto"/>
        <w:ind w:right="105" w:rightChars="50" w:firstLine="420" w:firstLineChars="200"/>
        <w:jc w:val="left"/>
        <w:rPr>
          <w:rFonts w:ascii="宋体" w:hAnsi="宋体"/>
          <w:szCs w:val="21"/>
        </w:rPr>
      </w:pPr>
      <w:r>
        <w:rPr>
          <w:rFonts w:hint="eastAsia" w:ascii="宋体" w:hAnsi="宋体"/>
          <w:szCs w:val="21"/>
        </w:rPr>
        <w:t>附件3：承包人项目管理机构组成表</w:t>
      </w:r>
    </w:p>
    <w:p w14:paraId="2C9863A1">
      <w:pPr>
        <w:spacing w:line="360" w:lineRule="auto"/>
        <w:ind w:right="105" w:rightChars="50" w:firstLine="420" w:firstLineChars="200"/>
        <w:jc w:val="left"/>
        <w:rPr>
          <w:rFonts w:ascii="宋体" w:hAnsi="宋体"/>
          <w:szCs w:val="21"/>
        </w:rPr>
      </w:pPr>
      <w:r>
        <w:rPr>
          <w:rFonts w:hint="eastAsia" w:ascii="宋体" w:hAnsi="宋体"/>
          <w:szCs w:val="21"/>
        </w:rPr>
        <w:t>附件4：履约担保（如有）</w:t>
      </w:r>
    </w:p>
    <w:p w14:paraId="3E8B0ECC">
      <w:pPr>
        <w:spacing w:line="360" w:lineRule="auto"/>
        <w:ind w:right="105" w:rightChars="50" w:firstLine="420" w:firstLineChars="200"/>
        <w:jc w:val="left"/>
        <w:rPr>
          <w:rFonts w:ascii="宋体" w:hAnsi="宋体"/>
          <w:szCs w:val="21"/>
        </w:rPr>
      </w:pPr>
      <w:r>
        <w:rPr>
          <w:rFonts w:hint="eastAsia" w:ascii="宋体" w:hAnsi="宋体"/>
          <w:szCs w:val="21"/>
        </w:rPr>
        <w:t>附件</w:t>
      </w:r>
      <w:r>
        <w:rPr>
          <w:rFonts w:ascii="宋体" w:hAnsi="宋体"/>
          <w:szCs w:val="21"/>
        </w:rPr>
        <w:t>5</w:t>
      </w:r>
      <w:r>
        <w:rPr>
          <w:rFonts w:hint="eastAsia" w:ascii="宋体" w:hAnsi="宋体"/>
          <w:szCs w:val="21"/>
        </w:rPr>
        <w:t>：预付款担保（如有）</w:t>
      </w:r>
    </w:p>
    <w:p w14:paraId="185E93BE">
      <w:pPr>
        <w:spacing w:line="360" w:lineRule="auto"/>
        <w:ind w:right="105" w:rightChars="50" w:firstLine="420" w:firstLineChars="200"/>
        <w:jc w:val="left"/>
        <w:rPr>
          <w:rFonts w:ascii="宋体" w:hAnsi="宋体"/>
          <w:szCs w:val="21"/>
        </w:rPr>
      </w:pPr>
      <w:r>
        <w:rPr>
          <w:rFonts w:hint="eastAsia" w:ascii="宋体" w:hAnsi="宋体"/>
          <w:szCs w:val="21"/>
        </w:rPr>
        <w:t>附件</w:t>
      </w:r>
      <w:r>
        <w:rPr>
          <w:rFonts w:ascii="宋体" w:hAnsi="宋体"/>
          <w:szCs w:val="21"/>
        </w:rPr>
        <w:t>6</w:t>
      </w:r>
      <w:r>
        <w:rPr>
          <w:rFonts w:hint="eastAsia" w:ascii="宋体" w:hAnsi="宋体"/>
          <w:szCs w:val="21"/>
        </w:rPr>
        <w:t>：支付担保（如有）</w:t>
      </w:r>
    </w:p>
    <w:p w14:paraId="578AE2CA">
      <w:pPr>
        <w:spacing w:line="360" w:lineRule="auto"/>
        <w:ind w:right="105" w:rightChars="50" w:firstLine="420" w:firstLineChars="200"/>
        <w:jc w:val="left"/>
        <w:rPr>
          <w:rFonts w:ascii="宋体" w:hAnsi="宋体"/>
          <w:szCs w:val="21"/>
        </w:rPr>
      </w:pPr>
      <w:r>
        <w:rPr>
          <w:rFonts w:hint="eastAsia" w:ascii="宋体" w:hAnsi="宋体"/>
          <w:szCs w:val="21"/>
        </w:rPr>
        <w:t>附件</w:t>
      </w:r>
      <w:r>
        <w:rPr>
          <w:rFonts w:ascii="宋体" w:hAnsi="宋体"/>
          <w:szCs w:val="21"/>
        </w:rPr>
        <w:t>7</w:t>
      </w:r>
      <w:r>
        <w:rPr>
          <w:rFonts w:hint="eastAsia" w:ascii="宋体" w:hAnsi="宋体"/>
          <w:szCs w:val="21"/>
        </w:rPr>
        <w:t>：专业工程暂估价表</w:t>
      </w:r>
    </w:p>
    <w:p w14:paraId="3D08F96A">
      <w:pPr>
        <w:spacing w:line="360" w:lineRule="auto"/>
        <w:ind w:right="105" w:rightChars="50" w:firstLine="420" w:firstLineChars="200"/>
        <w:jc w:val="left"/>
        <w:rPr>
          <w:rFonts w:ascii="宋体" w:hAnsi="宋体"/>
          <w:szCs w:val="21"/>
        </w:rPr>
      </w:pPr>
      <w:r>
        <w:rPr>
          <w:rFonts w:hint="eastAsia" w:ascii="宋体" w:hAnsi="宋体"/>
          <w:szCs w:val="21"/>
        </w:rPr>
        <w:t>附件</w:t>
      </w:r>
      <w:r>
        <w:rPr>
          <w:rFonts w:ascii="宋体" w:hAnsi="宋体"/>
          <w:szCs w:val="21"/>
        </w:rPr>
        <w:t>8</w:t>
      </w:r>
      <w:r>
        <w:rPr>
          <w:rFonts w:hint="eastAsia" w:ascii="宋体" w:hAnsi="宋体"/>
          <w:szCs w:val="21"/>
        </w:rPr>
        <w:t>：廉洁从业协议</w:t>
      </w:r>
    </w:p>
    <w:p w14:paraId="2BF52832">
      <w:pPr>
        <w:spacing w:line="360" w:lineRule="auto"/>
        <w:ind w:right="105" w:rightChars="50" w:firstLine="420" w:firstLineChars="200"/>
        <w:jc w:val="left"/>
        <w:rPr>
          <w:rFonts w:ascii="宋体" w:hAnsi="宋体"/>
          <w:szCs w:val="21"/>
        </w:rPr>
      </w:pPr>
      <w:r>
        <w:rPr>
          <w:rFonts w:hint="eastAsia" w:ascii="宋体" w:hAnsi="宋体"/>
          <w:szCs w:val="21"/>
        </w:rPr>
        <w:t>附件</w:t>
      </w:r>
      <w:r>
        <w:rPr>
          <w:rFonts w:ascii="宋体" w:hAnsi="宋体"/>
          <w:szCs w:val="21"/>
        </w:rPr>
        <w:t>9</w:t>
      </w:r>
      <w:r>
        <w:rPr>
          <w:rFonts w:hint="eastAsia" w:ascii="宋体" w:hAnsi="宋体"/>
          <w:szCs w:val="21"/>
        </w:rPr>
        <w:t>：安全管理协议</w:t>
      </w:r>
    </w:p>
    <w:p w14:paraId="0A1BDCD9">
      <w:pPr>
        <w:spacing w:line="360" w:lineRule="auto"/>
        <w:ind w:right="105" w:rightChars="50" w:firstLine="420" w:firstLineChars="200"/>
        <w:jc w:val="left"/>
        <w:rPr>
          <w:rFonts w:ascii="宋体" w:hAnsi="宋体"/>
          <w:szCs w:val="21"/>
        </w:rPr>
      </w:pPr>
      <w:r>
        <w:rPr>
          <w:rFonts w:hint="eastAsia" w:ascii="宋体" w:hAnsi="宋体"/>
          <w:szCs w:val="21"/>
        </w:rPr>
        <w:t>附件</w:t>
      </w:r>
      <w:r>
        <w:rPr>
          <w:rFonts w:ascii="宋体" w:hAnsi="宋体"/>
          <w:szCs w:val="21"/>
        </w:rPr>
        <w:t>10</w:t>
      </w:r>
      <w:r>
        <w:rPr>
          <w:rFonts w:hint="eastAsia" w:ascii="宋体" w:hAnsi="宋体"/>
          <w:szCs w:val="21"/>
        </w:rPr>
        <w:t>：保障农民工工资支付协议</w:t>
      </w:r>
    </w:p>
    <w:bookmarkEnd w:id="1284"/>
    <w:p w14:paraId="2BEA8025">
      <w:pPr>
        <w:spacing w:line="360" w:lineRule="auto"/>
        <w:rPr>
          <w:rFonts w:ascii="宋体" w:hAnsi="宋体"/>
          <w:szCs w:val="21"/>
        </w:rPr>
      </w:pPr>
      <w:r>
        <w:rPr>
          <w:rFonts w:hint="eastAsia" w:ascii="宋体" w:hAnsi="宋体"/>
          <w:szCs w:val="21"/>
        </w:rPr>
        <w:br w:type="page"/>
      </w:r>
      <w:r>
        <w:rPr>
          <w:rFonts w:hint="eastAsia" w:ascii="宋体" w:hAnsi="宋体"/>
          <w:szCs w:val="21"/>
        </w:rPr>
        <w:t>附</w:t>
      </w:r>
      <w:bookmarkStart w:id="1285" w:name="_Toc267261693"/>
      <w:bookmarkStart w:id="1286" w:name="_Toc296891054"/>
      <w:bookmarkStart w:id="1287" w:name="_Toc296346727"/>
      <w:bookmarkStart w:id="1288" w:name="_Toc296891266"/>
      <w:bookmarkStart w:id="1289" w:name="_Toc296347225"/>
      <w:bookmarkStart w:id="1290" w:name="_Toc296503226"/>
      <w:bookmarkStart w:id="1291" w:name="_Toc296944565"/>
      <w:r>
        <w:rPr>
          <w:rFonts w:hint="eastAsia" w:ascii="宋体" w:hAnsi="宋体"/>
          <w:szCs w:val="21"/>
        </w:rPr>
        <w:t>件1：</w:t>
      </w:r>
      <w:bookmarkEnd w:id="1285"/>
      <w:bookmarkEnd w:id="1286"/>
      <w:bookmarkEnd w:id="1287"/>
      <w:bookmarkEnd w:id="1288"/>
      <w:bookmarkEnd w:id="1289"/>
      <w:bookmarkEnd w:id="1290"/>
      <w:bookmarkEnd w:id="1291"/>
    </w:p>
    <w:p w14:paraId="3DFB3F49">
      <w:pPr>
        <w:spacing w:before="156" w:beforeLines="50" w:after="156" w:afterLines="50" w:line="360" w:lineRule="auto"/>
        <w:jc w:val="center"/>
        <w:rPr>
          <w:rFonts w:ascii="宋体" w:hAnsi="宋体"/>
          <w:szCs w:val="21"/>
        </w:rPr>
      </w:pPr>
      <w:r>
        <w:rPr>
          <w:rFonts w:hint="eastAsia" w:ascii="宋体" w:hAnsi="宋体"/>
          <w:szCs w:val="21"/>
        </w:rPr>
        <w:t>工程质量保修书</w:t>
      </w:r>
    </w:p>
    <w:p w14:paraId="6A1F4FC5">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14:paraId="1DCD4101">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14:paraId="46281ACE">
      <w:pPr>
        <w:spacing w:line="360" w:lineRule="auto"/>
        <w:ind w:firstLine="420" w:firstLineChars="200"/>
        <w:rPr>
          <w:rFonts w:ascii="宋体" w:hAnsi="宋体"/>
          <w:szCs w:val="21"/>
        </w:rPr>
      </w:pPr>
      <w:r>
        <w:rPr>
          <w:rFonts w:hint="eastAsia" w:ascii="宋体" w:hAnsi="宋体"/>
          <w:szCs w:val="21"/>
        </w:rPr>
        <w:t>发包人和承包人根据《中华人民共和国建筑法》和《建设工程质量管理条例》，经协商一致就</w:t>
      </w:r>
    </w:p>
    <w:p w14:paraId="1D0CC327">
      <w:pPr>
        <w:spacing w:line="360" w:lineRule="auto"/>
        <w:rPr>
          <w:rFonts w:ascii="宋体" w:hAnsi="宋体"/>
          <w:szCs w:val="21"/>
        </w:rPr>
      </w:pPr>
      <w:r>
        <w:rPr>
          <w:rFonts w:hint="eastAsia" w:ascii="宋体" w:hAnsi="宋体"/>
          <w:szCs w:val="21"/>
          <w:u w:val="single"/>
        </w:rPr>
        <w:t xml:space="preserve">        </w:t>
      </w:r>
      <w:r>
        <w:rPr>
          <w:rFonts w:hint="eastAsia" w:ascii="宋体" w:hAnsi="宋体"/>
          <w:szCs w:val="21"/>
        </w:rPr>
        <w:t>（工程全称）签订工程质量保修书。</w:t>
      </w:r>
    </w:p>
    <w:p w14:paraId="252CFBA2">
      <w:pPr>
        <w:spacing w:line="360" w:lineRule="auto"/>
        <w:ind w:firstLine="420" w:firstLineChars="200"/>
        <w:rPr>
          <w:rFonts w:ascii="宋体" w:hAnsi="宋体"/>
          <w:szCs w:val="21"/>
        </w:rPr>
      </w:pPr>
      <w:bookmarkStart w:id="1292" w:name="_Toc532375687"/>
      <w:r>
        <w:rPr>
          <w:rFonts w:hint="eastAsia" w:ascii="宋体" w:hAnsi="宋体"/>
          <w:szCs w:val="21"/>
        </w:rPr>
        <w:t>一、工程质量保修范围和内容</w:t>
      </w:r>
      <w:bookmarkEnd w:id="1292"/>
    </w:p>
    <w:p w14:paraId="691DDF25">
      <w:pPr>
        <w:spacing w:line="360" w:lineRule="auto"/>
        <w:ind w:firstLine="420" w:firstLineChars="200"/>
        <w:rPr>
          <w:rFonts w:ascii="宋体" w:hAnsi="宋体"/>
          <w:szCs w:val="21"/>
        </w:rPr>
      </w:pPr>
      <w:r>
        <w:rPr>
          <w:rFonts w:hint="eastAsia" w:ascii="宋体" w:hAnsi="宋体"/>
          <w:szCs w:val="21"/>
        </w:rPr>
        <w:t>承包人在质量保修期内，按照有关法律规定和合同约定，承担工程质量保修责任。</w:t>
      </w:r>
    </w:p>
    <w:p w14:paraId="68930E7B">
      <w:pPr>
        <w:spacing w:line="360" w:lineRule="auto"/>
        <w:ind w:firstLine="420" w:firstLineChars="200"/>
        <w:rPr>
          <w:rFonts w:ascii="宋体" w:hAnsi="宋体"/>
          <w:szCs w:val="21"/>
        </w:rPr>
      </w:pPr>
      <w:r>
        <w:rPr>
          <w:rFonts w:hint="eastAsia" w:ascii="宋体" w:hAnsi="宋体"/>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B60082B">
      <w:pPr>
        <w:spacing w:line="360" w:lineRule="auto"/>
        <w:ind w:firstLine="420" w:firstLineChars="200"/>
        <w:rPr>
          <w:rFonts w:ascii="宋体" w:hAnsi="宋体"/>
          <w:szCs w:val="21"/>
        </w:rPr>
      </w:pPr>
      <w:r>
        <w:rPr>
          <w:rFonts w:hint="eastAsia" w:ascii="宋体" w:hAnsi="宋体"/>
          <w:szCs w:val="21"/>
        </w:rPr>
        <w:t>承包人承包范围内容均属质量保修范围内容；其中：</w:t>
      </w:r>
    </w:p>
    <w:p w14:paraId="103379BD">
      <w:pPr>
        <w:spacing w:line="360" w:lineRule="auto"/>
        <w:ind w:firstLine="420" w:firstLineChars="200"/>
        <w:rPr>
          <w:rFonts w:ascii="宋体" w:hAnsi="宋体"/>
          <w:szCs w:val="21"/>
        </w:rPr>
      </w:pPr>
      <w:r>
        <w:rPr>
          <w:rFonts w:hint="eastAsia" w:ascii="宋体" w:hAnsi="宋体"/>
          <w:szCs w:val="21"/>
        </w:rPr>
        <w:t>1.属于设计原因造成的质量问题，承包人负责维修，不留隐患，费用由发包人承担；</w:t>
      </w:r>
    </w:p>
    <w:p w14:paraId="444EDDAB">
      <w:pPr>
        <w:spacing w:line="360" w:lineRule="auto"/>
        <w:ind w:firstLine="420" w:firstLineChars="200"/>
        <w:rPr>
          <w:rFonts w:ascii="宋体" w:hAnsi="宋体"/>
          <w:szCs w:val="21"/>
        </w:rPr>
      </w:pPr>
      <w:r>
        <w:rPr>
          <w:rFonts w:hint="eastAsia" w:ascii="宋体" w:hAnsi="宋体"/>
          <w:szCs w:val="21"/>
        </w:rPr>
        <w:t>2.属于施工造成的质量问题，承包人负责维修，不留隐患；</w:t>
      </w:r>
    </w:p>
    <w:p w14:paraId="091A6AAC">
      <w:pPr>
        <w:spacing w:line="360" w:lineRule="auto"/>
        <w:ind w:firstLine="420" w:firstLineChars="200"/>
        <w:rPr>
          <w:rFonts w:ascii="宋体" w:hAnsi="宋体"/>
          <w:szCs w:val="21"/>
        </w:rPr>
      </w:pPr>
      <w:r>
        <w:rPr>
          <w:rFonts w:hint="eastAsia" w:ascii="宋体" w:hAnsi="宋体"/>
          <w:szCs w:val="21"/>
        </w:rPr>
        <w:t>3.属于业主使用不当造成的质量问题，配合抢修，费用由发包人承担。</w:t>
      </w:r>
    </w:p>
    <w:p w14:paraId="5052B9A6">
      <w:pPr>
        <w:spacing w:line="360" w:lineRule="auto"/>
        <w:ind w:firstLine="420" w:firstLineChars="200"/>
        <w:rPr>
          <w:rFonts w:ascii="宋体" w:hAnsi="宋体"/>
          <w:szCs w:val="21"/>
        </w:rPr>
      </w:pPr>
      <w:bookmarkStart w:id="1293" w:name="_Toc532375688"/>
      <w:r>
        <w:rPr>
          <w:rFonts w:hint="eastAsia" w:ascii="宋体" w:hAnsi="宋体"/>
          <w:szCs w:val="21"/>
        </w:rPr>
        <w:t>二、质量保修期</w:t>
      </w:r>
      <w:bookmarkEnd w:id="1293"/>
    </w:p>
    <w:p w14:paraId="6EEDC482">
      <w:pPr>
        <w:spacing w:line="360" w:lineRule="auto"/>
        <w:ind w:firstLine="420" w:firstLineChars="200"/>
        <w:rPr>
          <w:rFonts w:ascii="宋体" w:hAnsi="宋体"/>
          <w:szCs w:val="21"/>
        </w:rPr>
      </w:pPr>
      <w:r>
        <w:rPr>
          <w:rFonts w:hint="eastAsia" w:ascii="宋体" w:hAnsi="宋体"/>
          <w:szCs w:val="21"/>
        </w:rPr>
        <w:t>根据《建设工程质量管理条例》及有关规定，本工程质量保修期约定如下：</w:t>
      </w:r>
    </w:p>
    <w:p w14:paraId="6EF3CF53">
      <w:pPr>
        <w:spacing w:line="360" w:lineRule="auto"/>
        <w:ind w:firstLine="420" w:firstLineChars="200"/>
        <w:rPr>
          <w:rFonts w:ascii="宋体" w:hAnsi="宋体"/>
          <w:szCs w:val="21"/>
        </w:rPr>
      </w:pPr>
      <w:r>
        <w:rPr>
          <w:rFonts w:hint="eastAsia" w:ascii="宋体" w:hAnsi="宋体"/>
          <w:szCs w:val="21"/>
        </w:rPr>
        <w:t>1.基础设施工程、房屋建筑的地基基础工程和主体结构工程，为设计文件规定的该工程的合理使用年限；</w:t>
      </w:r>
    </w:p>
    <w:p w14:paraId="6CD2D09A">
      <w:pPr>
        <w:spacing w:line="360" w:lineRule="auto"/>
        <w:ind w:firstLine="420" w:firstLineChars="200"/>
        <w:rPr>
          <w:rFonts w:ascii="宋体" w:hAnsi="宋体"/>
          <w:szCs w:val="21"/>
        </w:rPr>
      </w:pPr>
      <w:r>
        <w:rPr>
          <w:rFonts w:hint="eastAsia" w:ascii="宋体" w:hAnsi="宋体"/>
          <w:szCs w:val="21"/>
        </w:rPr>
        <w:t>2.屋面防水工程、有防水要求的卫生间、房间和外墙面的防渗漏，为5年；</w:t>
      </w:r>
    </w:p>
    <w:p w14:paraId="7FABF81E">
      <w:pPr>
        <w:spacing w:line="360" w:lineRule="auto"/>
        <w:ind w:firstLine="420" w:firstLineChars="200"/>
        <w:rPr>
          <w:rFonts w:ascii="宋体" w:hAnsi="宋体"/>
          <w:szCs w:val="21"/>
        </w:rPr>
      </w:pPr>
      <w:r>
        <w:rPr>
          <w:rFonts w:hint="eastAsia" w:ascii="宋体" w:hAnsi="宋体"/>
          <w:szCs w:val="21"/>
        </w:rPr>
        <w:t>3.供热与供冷系统，为2个采暖期、供冷期；</w:t>
      </w:r>
    </w:p>
    <w:p w14:paraId="4963A2DE">
      <w:pPr>
        <w:spacing w:line="360" w:lineRule="auto"/>
        <w:ind w:firstLine="420" w:firstLineChars="200"/>
        <w:rPr>
          <w:rFonts w:ascii="宋体" w:hAnsi="宋体"/>
          <w:szCs w:val="21"/>
        </w:rPr>
      </w:pPr>
      <w:r>
        <w:rPr>
          <w:rFonts w:hint="eastAsia" w:ascii="宋体" w:hAnsi="宋体"/>
          <w:szCs w:val="21"/>
        </w:rPr>
        <w:t>4.电气管线、给排水管道、设备安装和装修工程，为2年；</w:t>
      </w:r>
    </w:p>
    <w:p w14:paraId="0D43449E">
      <w:pPr>
        <w:spacing w:line="360" w:lineRule="auto"/>
        <w:ind w:firstLine="420" w:firstLineChars="200"/>
        <w:rPr>
          <w:rFonts w:ascii="宋体" w:hAnsi="宋体"/>
          <w:szCs w:val="21"/>
        </w:rPr>
      </w:pPr>
      <w:r>
        <w:rPr>
          <w:rFonts w:hint="eastAsia" w:ascii="宋体" w:hAnsi="宋体"/>
          <w:szCs w:val="21"/>
        </w:rPr>
        <w:t>5.其他项目保修期限：2年；</w:t>
      </w:r>
      <w:r>
        <w:rPr>
          <w:rFonts w:hint="eastAsia" w:ascii="宋体" w:hAnsi="宋体"/>
          <w:i/>
          <w:szCs w:val="21"/>
        </w:rPr>
        <w:t>[提示：如有不同，根据具体情况修改]</w:t>
      </w:r>
    </w:p>
    <w:p w14:paraId="0018970E">
      <w:pPr>
        <w:spacing w:line="360" w:lineRule="auto"/>
        <w:ind w:firstLine="420" w:firstLineChars="200"/>
        <w:rPr>
          <w:rFonts w:ascii="宋体" w:hAnsi="宋体"/>
          <w:szCs w:val="21"/>
        </w:rPr>
      </w:pPr>
      <w:r>
        <w:rPr>
          <w:rFonts w:hint="eastAsia" w:ascii="宋体" w:hAnsi="宋体"/>
          <w:szCs w:val="21"/>
        </w:rPr>
        <w:t>建设工程的保修期，自工程竣工验收合格之日起计算。</w:t>
      </w:r>
    </w:p>
    <w:p w14:paraId="06616D5B">
      <w:pPr>
        <w:spacing w:line="360" w:lineRule="auto"/>
        <w:ind w:firstLine="420" w:firstLineChars="200"/>
        <w:rPr>
          <w:rFonts w:ascii="宋体" w:hAnsi="宋体"/>
          <w:szCs w:val="21"/>
        </w:rPr>
      </w:pPr>
      <w:bookmarkStart w:id="1294" w:name="_Toc532375689"/>
      <w:r>
        <w:rPr>
          <w:rFonts w:hint="eastAsia" w:ascii="宋体" w:hAnsi="宋体"/>
          <w:szCs w:val="21"/>
        </w:rPr>
        <w:t>三、质量保修责任</w:t>
      </w:r>
      <w:bookmarkEnd w:id="1294"/>
    </w:p>
    <w:p w14:paraId="17EEA57A">
      <w:pPr>
        <w:spacing w:line="360" w:lineRule="auto"/>
        <w:ind w:firstLine="420" w:firstLineChars="200"/>
        <w:rPr>
          <w:rFonts w:ascii="宋体" w:hAnsi="宋体"/>
          <w:szCs w:val="21"/>
        </w:rPr>
      </w:pPr>
      <w:r>
        <w:rPr>
          <w:rFonts w:hint="eastAsia" w:ascii="宋体" w:hAnsi="宋体"/>
          <w:szCs w:val="21"/>
        </w:rPr>
        <w:t>1.属于保修范围、内容的项目，承包人应当在接到保修通知之日起7天内派人保修。承包人不在约定期限内派人保修的，发包人可以委托他人修理。</w:t>
      </w:r>
    </w:p>
    <w:p w14:paraId="09C1C332">
      <w:pPr>
        <w:spacing w:line="360" w:lineRule="auto"/>
        <w:ind w:firstLine="420" w:firstLineChars="200"/>
        <w:rPr>
          <w:rFonts w:ascii="宋体" w:hAnsi="宋体"/>
          <w:szCs w:val="21"/>
        </w:rPr>
      </w:pPr>
      <w:r>
        <w:rPr>
          <w:rFonts w:hint="eastAsia" w:ascii="宋体" w:hAnsi="宋体"/>
          <w:szCs w:val="21"/>
        </w:rPr>
        <w:t>2.发生紧急事故需抢修的，承包人在接到事故通知后，应当立即到达事故现场抢修。</w:t>
      </w:r>
    </w:p>
    <w:p w14:paraId="13C6F254">
      <w:pPr>
        <w:spacing w:line="360" w:lineRule="auto"/>
        <w:ind w:firstLine="420" w:firstLineChars="200"/>
        <w:rPr>
          <w:rFonts w:ascii="宋体" w:hAnsi="宋体"/>
          <w:szCs w:val="21"/>
        </w:rPr>
      </w:pPr>
      <w:r>
        <w:rPr>
          <w:rFonts w:hint="eastAsia" w:ascii="宋体" w:hAnsi="宋体"/>
          <w:szCs w:val="21"/>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31A917FB">
      <w:pPr>
        <w:spacing w:line="360" w:lineRule="auto"/>
        <w:ind w:firstLine="420" w:firstLineChars="200"/>
        <w:rPr>
          <w:rFonts w:ascii="宋体" w:hAnsi="宋体"/>
          <w:szCs w:val="21"/>
        </w:rPr>
      </w:pPr>
      <w:r>
        <w:rPr>
          <w:rFonts w:hint="eastAsia" w:ascii="宋体" w:hAnsi="宋体"/>
          <w:szCs w:val="21"/>
        </w:rPr>
        <w:t>4.质量保修完成后，由发包人组织验收。</w:t>
      </w:r>
    </w:p>
    <w:p w14:paraId="58BAC0F2">
      <w:pPr>
        <w:spacing w:line="360" w:lineRule="auto"/>
        <w:ind w:firstLine="420" w:firstLineChars="200"/>
        <w:rPr>
          <w:rFonts w:ascii="宋体" w:hAnsi="宋体"/>
          <w:szCs w:val="21"/>
        </w:rPr>
      </w:pPr>
      <w:bookmarkStart w:id="1295" w:name="_Toc532375690"/>
      <w:r>
        <w:rPr>
          <w:rFonts w:hint="eastAsia" w:ascii="宋体" w:hAnsi="宋体"/>
          <w:szCs w:val="21"/>
        </w:rPr>
        <w:t>四、保修费用</w:t>
      </w:r>
      <w:bookmarkEnd w:id="1295"/>
    </w:p>
    <w:p w14:paraId="6D3DFE7E">
      <w:pPr>
        <w:spacing w:line="360" w:lineRule="auto"/>
        <w:ind w:firstLine="420" w:firstLineChars="200"/>
        <w:rPr>
          <w:rFonts w:ascii="宋体" w:hAnsi="宋体"/>
          <w:szCs w:val="21"/>
        </w:rPr>
      </w:pPr>
      <w:r>
        <w:rPr>
          <w:rFonts w:hint="eastAsia" w:ascii="宋体" w:hAnsi="宋体"/>
          <w:szCs w:val="21"/>
        </w:rPr>
        <w:t>保修费用由质量缺陷的责任方承担。</w:t>
      </w:r>
    </w:p>
    <w:p w14:paraId="5BC354E4">
      <w:pPr>
        <w:spacing w:line="360" w:lineRule="auto"/>
        <w:ind w:firstLine="420" w:firstLineChars="200"/>
        <w:rPr>
          <w:rFonts w:ascii="宋体" w:hAnsi="宋体"/>
          <w:szCs w:val="21"/>
        </w:rPr>
      </w:pPr>
      <w:bookmarkStart w:id="1296" w:name="_Toc532375691"/>
      <w:r>
        <w:rPr>
          <w:rFonts w:hint="eastAsia" w:ascii="宋体" w:hAnsi="宋体"/>
          <w:szCs w:val="21"/>
        </w:rPr>
        <w:t>五、双方约定的其他工程质量保修事项</w:t>
      </w:r>
    </w:p>
    <w:p w14:paraId="3F2F9EC0">
      <w:pPr>
        <w:spacing w:line="360" w:lineRule="auto"/>
        <w:ind w:firstLine="420" w:firstLineChars="200"/>
        <w:rPr>
          <w:rFonts w:ascii="宋体" w:hAnsi="宋体"/>
          <w:szCs w:val="21"/>
        </w:rPr>
      </w:pPr>
      <w:r>
        <w:rPr>
          <w:rFonts w:hint="eastAsia" w:ascii="宋体" w:hAnsi="宋体"/>
          <w:szCs w:val="21"/>
          <w:u w:val="single"/>
        </w:rPr>
        <w:t>按国家相关法律和规定执行</w:t>
      </w:r>
      <w:r>
        <w:rPr>
          <w:rFonts w:hint="eastAsia" w:ascii="宋体" w:hAnsi="宋体"/>
          <w:szCs w:val="21"/>
        </w:rPr>
        <w:t>。</w:t>
      </w:r>
      <w:bookmarkEnd w:id="1296"/>
    </w:p>
    <w:p w14:paraId="5D6DCDC5">
      <w:pPr>
        <w:spacing w:line="360" w:lineRule="auto"/>
        <w:ind w:firstLine="420" w:firstLineChars="200"/>
        <w:rPr>
          <w:rFonts w:ascii="宋体" w:hAnsi="宋体"/>
          <w:szCs w:val="21"/>
        </w:rPr>
      </w:pPr>
      <w:r>
        <w:rPr>
          <w:rFonts w:hint="eastAsia" w:ascii="宋体" w:hAnsi="宋体"/>
          <w:szCs w:val="21"/>
        </w:rPr>
        <w:t>本工程质量保修书由发包人、承包人在工程竣工验收前共同签署，作为施工合同附件，其有效期限至保修期满。</w:t>
      </w:r>
    </w:p>
    <w:p w14:paraId="699607A4">
      <w:pPr>
        <w:spacing w:line="360" w:lineRule="auto"/>
        <w:ind w:firstLine="420" w:firstLineChars="200"/>
        <w:rPr>
          <w:rFonts w:ascii="宋体" w:hAnsi="宋体"/>
          <w:szCs w:val="21"/>
        </w:rPr>
      </w:pPr>
      <w:r>
        <w:rPr>
          <w:rFonts w:hint="eastAsia" w:ascii="宋体" w:hAnsi="宋体"/>
          <w:szCs w:val="21"/>
        </w:rPr>
        <w:t>六、本文件生效</w:t>
      </w:r>
    </w:p>
    <w:p w14:paraId="4E7C7BF1">
      <w:pPr>
        <w:spacing w:line="360" w:lineRule="auto"/>
        <w:ind w:firstLine="420" w:firstLineChars="200"/>
        <w:rPr>
          <w:rFonts w:ascii="宋体" w:hAnsi="宋体"/>
          <w:szCs w:val="21"/>
        </w:rPr>
      </w:pPr>
      <w:r>
        <w:rPr>
          <w:rFonts w:hint="eastAsia" w:ascii="宋体" w:hAnsi="宋体"/>
          <w:szCs w:val="21"/>
        </w:rPr>
        <w:t>本工程质量保修书经发包人与承包人盖章后生效。</w:t>
      </w:r>
    </w:p>
    <w:p w14:paraId="431E08C8">
      <w:pPr>
        <w:pStyle w:val="2"/>
        <w:spacing w:line="360" w:lineRule="auto"/>
        <w:ind w:firstLine="420" w:firstLineChars="200"/>
        <w:rPr>
          <w:rFonts w:ascii="宋体" w:hAnsi="宋体"/>
          <w:szCs w:val="21"/>
        </w:rPr>
      </w:pPr>
    </w:p>
    <w:p w14:paraId="13322D5E">
      <w:pPr>
        <w:spacing w:line="360" w:lineRule="auto"/>
        <w:ind w:firstLine="420" w:firstLineChars="200"/>
        <w:rPr>
          <w:rFonts w:ascii="宋体" w:hAnsi="宋体"/>
          <w:snapToGrid w:val="0"/>
          <w:kern w:val="0"/>
          <w:szCs w:val="21"/>
        </w:rPr>
      </w:pPr>
      <w:r>
        <w:rPr>
          <w:rFonts w:hint="eastAsia" w:ascii="宋体" w:hAnsi="宋体"/>
          <w:snapToGrid w:val="0"/>
          <w:kern w:val="0"/>
          <w:szCs w:val="21"/>
        </w:rPr>
        <w:t>发包人：</w:t>
      </w:r>
      <w:r>
        <w:rPr>
          <w:rFonts w:hint="eastAsia" w:ascii="宋体" w:hAnsi="宋体"/>
          <w:snapToGrid w:val="0"/>
          <w:kern w:val="0"/>
          <w:szCs w:val="21"/>
          <w:u w:val="single"/>
        </w:rPr>
        <w:t xml:space="preserve">                                </w:t>
      </w:r>
      <w:r>
        <w:rPr>
          <w:rFonts w:hint="eastAsia" w:ascii="宋体" w:hAnsi="宋体"/>
          <w:snapToGrid w:val="0"/>
          <w:kern w:val="0"/>
          <w:szCs w:val="21"/>
        </w:rPr>
        <w:t>（盖单位公章）</w:t>
      </w:r>
    </w:p>
    <w:p w14:paraId="43F4813F">
      <w:pPr>
        <w:spacing w:line="360" w:lineRule="auto"/>
        <w:ind w:firstLine="420" w:firstLineChars="200"/>
        <w:rPr>
          <w:rFonts w:ascii="宋体" w:hAnsi="宋体"/>
          <w:snapToGrid w:val="0"/>
          <w:kern w:val="0"/>
          <w:szCs w:val="21"/>
        </w:rPr>
      </w:pPr>
    </w:p>
    <w:p w14:paraId="61173A71">
      <w:pPr>
        <w:spacing w:line="360" w:lineRule="auto"/>
        <w:ind w:firstLine="420" w:firstLineChars="200"/>
        <w:rPr>
          <w:rFonts w:ascii="宋体" w:hAnsi="宋体"/>
          <w:snapToGrid w:val="0"/>
          <w:kern w:val="0"/>
          <w:szCs w:val="21"/>
        </w:rPr>
      </w:pPr>
    </w:p>
    <w:p w14:paraId="7877EFA3">
      <w:pPr>
        <w:spacing w:line="360" w:lineRule="auto"/>
        <w:ind w:firstLine="420" w:firstLineChars="200"/>
        <w:rPr>
          <w:rFonts w:ascii="宋体" w:hAnsi="宋体"/>
          <w:snapToGrid w:val="0"/>
          <w:kern w:val="0"/>
          <w:szCs w:val="21"/>
        </w:rPr>
      </w:pPr>
      <w:r>
        <w:rPr>
          <w:rFonts w:hint="eastAsia" w:ascii="宋体" w:hAnsi="宋体"/>
          <w:snapToGrid w:val="0"/>
          <w:kern w:val="0"/>
          <w:szCs w:val="21"/>
        </w:rPr>
        <w:t>法定代表人或其委托代理人：</w:t>
      </w:r>
      <w:r>
        <w:rPr>
          <w:rFonts w:hint="eastAsia" w:ascii="宋体" w:hAnsi="宋体"/>
          <w:snapToGrid w:val="0"/>
          <w:kern w:val="0"/>
          <w:szCs w:val="21"/>
          <w:u w:val="single"/>
        </w:rPr>
        <w:t xml:space="preserve">                </w:t>
      </w:r>
      <w:r>
        <w:rPr>
          <w:rFonts w:hint="eastAsia" w:ascii="宋体" w:hAnsi="宋体"/>
          <w:snapToGrid w:val="0"/>
          <w:kern w:val="0"/>
          <w:szCs w:val="21"/>
        </w:rPr>
        <w:t>（签名）</w:t>
      </w:r>
    </w:p>
    <w:p w14:paraId="74EB207F">
      <w:pPr>
        <w:spacing w:line="360" w:lineRule="auto"/>
        <w:ind w:firstLine="420" w:firstLineChars="200"/>
        <w:rPr>
          <w:rFonts w:ascii="宋体" w:hAnsi="宋体"/>
          <w:snapToGrid w:val="0"/>
          <w:kern w:val="0"/>
          <w:szCs w:val="21"/>
        </w:rPr>
      </w:pPr>
    </w:p>
    <w:p w14:paraId="570580EF">
      <w:pPr>
        <w:spacing w:line="360" w:lineRule="auto"/>
        <w:ind w:firstLine="420" w:firstLineChars="200"/>
        <w:rPr>
          <w:rFonts w:ascii="宋体" w:hAnsi="宋体"/>
          <w:snapToGrid w:val="0"/>
          <w:kern w:val="0"/>
          <w:szCs w:val="21"/>
        </w:rPr>
      </w:pPr>
    </w:p>
    <w:p w14:paraId="743C059D">
      <w:pPr>
        <w:spacing w:line="360" w:lineRule="auto"/>
        <w:ind w:firstLine="420" w:firstLineChars="200"/>
        <w:rPr>
          <w:rFonts w:ascii="宋体" w:hAnsi="宋体"/>
          <w:szCs w:val="21"/>
        </w:rPr>
      </w:pPr>
      <w:r>
        <w:rPr>
          <w:rFonts w:hint="eastAsia" w:ascii="宋体" w:hAnsi="宋体"/>
          <w:snapToGrid w:val="0"/>
          <w:kern w:val="0"/>
          <w:szCs w:val="21"/>
        </w:rPr>
        <w:t>承包人：</w:t>
      </w:r>
      <w:r>
        <w:rPr>
          <w:rFonts w:hint="eastAsia" w:ascii="宋体" w:hAnsi="宋体"/>
          <w:snapToGrid w:val="0"/>
          <w:kern w:val="0"/>
          <w:szCs w:val="21"/>
          <w:u w:val="single"/>
        </w:rPr>
        <w:t xml:space="preserve">                                </w:t>
      </w:r>
      <w:r>
        <w:rPr>
          <w:rFonts w:hint="eastAsia" w:ascii="宋体" w:hAnsi="宋体"/>
          <w:snapToGrid w:val="0"/>
          <w:kern w:val="0"/>
          <w:szCs w:val="21"/>
        </w:rPr>
        <w:t>（盖单位公章）</w:t>
      </w:r>
    </w:p>
    <w:p w14:paraId="0CF755CB">
      <w:pPr>
        <w:spacing w:line="360" w:lineRule="auto"/>
        <w:ind w:firstLine="420" w:firstLineChars="200"/>
        <w:rPr>
          <w:rFonts w:ascii="宋体" w:hAnsi="宋体"/>
          <w:snapToGrid w:val="0"/>
          <w:kern w:val="0"/>
          <w:szCs w:val="21"/>
        </w:rPr>
      </w:pPr>
    </w:p>
    <w:p w14:paraId="1EBD52C6">
      <w:pPr>
        <w:spacing w:line="360" w:lineRule="auto"/>
        <w:ind w:firstLine="420" w:firstLineChars="200"/>
        <w:rPr>
          <w:rFonts w:ascii="宋体" w:hAnsi="宋体"/>
          <w:snapToGrid w:val="0"/>
          <w:kern w:val="0"/>
          <w:szCs w:val="21"/>
        </w:rPr>
      </w:pPr>
    </w:p>
    <w:p w14:paraId="04F0D537">
      <w:pPr>
        <w:spacing w:line="360" w:lineRule="auto"/>
        <w:ind w:firstLine="420" w:firstLineChars="200"/>
        <w:rPr>
          <w:rFonts w:ascii="宋体" w:hAnsi="宋体"/>
          <w:bCs/>
          <w:kern w:val="0"/>
          <w:szCs w:val="21"/>
        </w:rPr>
      </w:pPr>
      <w:r>
        <w:rPr>
          <w:rFonts w:hint="eastAsia" w:ascii="宋体" w:hAnsi="宋体"/>
          <w:snapToGrid w:val="0"/>
          <w:kern w:val="0"/>
          <w:szCs w:val="21"/>
        </w:rPr>
        <w:t>法定代表人或其委托代理人：</w:t>
      </w:r>
      <w:r>
        <w:rPr>
          <w:rFonts w:hint="eastAsia" w:ascii="宋体" w:hAnsi="宋体"/>
          <w:snapToGrid w:val="0"/>
          <w:kern w:val="0"/>
          <w:szCs w:val="21"/>
          <w:u w:val="single"/>
        </w:rPr>
        <w:t xml:space="preserve">                </w:t>
      </w:r>
      <w:r>
        <w:rPr>
          <w:rFonts w:hint="eastAsia" w:ascii="宋体" w:hAnsi="宋体"/>
          <w:snapToGrid w:val="0"/>
          <w:kern w:val="0"/>
          <w:szCs w:val="21"/>
        </w:rPr>
        <w:t>（签名）</w:t>
      </w:r>
    </w:p>
    <w:p w14:paraId="61414E23">
      <w:pPr>
        <w:spacing w:line="360" w:lineRule="auto"/>
        <w:ind w:firstLine="418" w:firstLineChars="200"/>
        <w:rPr>
          <w:rFonts w:ascii="宋体" w:hAnsi="宋体"/>
          <w:snapToGrid w:val="0"/>
          <w:spacing w:val="1"/>
          <w:w w:val="99"/>
          <w:kern w:val="0"/>
          <w:position w:val="-2"/>
          <w:szCs w:val="21"/>
        </w:rPr>
      </w:pPr>
    </w:p>
    <w:p w14:paraId="7F5B00F7">
      <w:pPr>
        <w:spacing w:line="360" w:lineRule="auto"/>
        <w:ind w:firstLine="418" w:firstLineChars="200"/>
        <w:rPr>
          <w:rFonts w:ascii="宋体" w:hAnsi="宋体"/>
          <w:snapToGrid w:val="0"/>
          <w:spacing w:val="1"/>
          <w:w w:val="99"/>
          <w:kern w:val="0"/>
          <w:position w:val="-2"/>
          <w:szCs w:val="21"/>
        </w:rPr>
      </w:pPr>
    </w:p>
    <w:p w14:paraId="65692BE3">
      <w:pPr>
        <w:spacing w:line="360" w:lineRule="auto"/>
        <w:ind w:firstLine="420" w:firstLineChars="200"/>
        <w:rPr>
          <w:rFonts w:ascii="宋体" w:hAnsi="宋体"/>
          <w:snapToGrid w:val="0"/>
          <w:kern w:val="0"/>
          <w:szCs w:val="21"/>
        </w:rPr>
      </w:pPr>
      <w:r>
        <w:rPr>
          <w:rFonts w:hint="eastAsia" w:ascii="宋体" w:hAnsi="宋体"/>
          <w:snapToGrid w:val="0"/>
          <w:kern w:val="0"/>
          <w:szCs w:val="21"/>
        </w:rPr>
        <w:t>签约时间：</w:t>
      </w:r>
      <w:r>
        <w:rPr>
          <w:rFonts w:hint="eastAsia" w:ascii="宋体" w:hAnsi="宋体"/>
          <w:snapToGrid w:val="0"/>
          <w:kern w:val="0"/>
          <w:szCs w:val="21"/>
          <w:u w:val="single"/>
        </w:rPr>
        <w:t xml:space="preserve">     </w:t>
      </w:r>
      <w:r>
        <w:rPr>
          <w:rFonts w:hint="eastAsia" w:ascii="宋体" w:hAnsi="宋体"/>
          <w:snapToGrid w:val="0"/>
          <w:kern w:val="0"/>
          <w:szCs w:val="21"/>
        </w:rPr>
        <w:t>年</w:t>
      </w:r>
      <w:r>
        <w:rPr>
          <w:rFonts w:hint="eastAsia" w:ascii="宋体" w:hAnsi="宋体"/>
          <w:snapToGrid w:val="0"/>
          <w:kern w:val="0"/>
          <w:szCs w:val="21"/>
          <w:u w:val="single"/>
        </w:rPr>
        <w:t xml:space="preserve">     </w:t>
      </w:r>
      <w:r>
        <w:rPr>
          <w:rFonts w:hint="eastAsia" w:ascii="宋体" w:hAnsi="宋体"/>
          <w:snapToGrid w:val="0"/>
          <w:kern w:val="0"/>
          <w:szCs w:val="21"/>
        </w:rPr>
        <w:t>月</w:t>
      </w:r>
      <w:r>
        <w:rPr>
          <w:rFonts w:hint="eastAsia" w:ascii="宋体" w:hAnsi="宋体"/>
          <w:snapToGrid w:val="0"/>
          <w:kern w:val="0"/>
          <w:szCs w:val="21"/>
          <w:u w:val="single"/>
        </w:rPr>
        <w:t xml:space="preserve">     </w:t>
      </w:r>
      <w:r>
        <w:rPr>
          <w:rFonts w:hint="eastAsia" w:ascii="宋体" w:hAnsi="宋体"/>
          <w:snapToGrid w:val="0"/>
          <w:kern w:val="0"/>
          <w:szCs w:val="21"/>
        </w:rPr>
        <w:t>日</w:t>
      </w:r>
    </w:p>
    <w:p w14:paraId="11CB7FCA">
      <w:pPr>
        <w:spacing w:line="480" w:lineRule="auto"/>
        <w:rPr>
          <w:rFonts w:ascii="宋体" w:hAnsi="宋体"/>
          <w:szCs w:val="21"/>
        </w:rPr>
      </w:pPr>
      <w:r>
        <w:rPr>
          <w:rFonts w:hint="eastAsia" w:ascii="宋体" w:hAnsi="宋体"/>
          <w:szCs w:val="21"/>
        </w:rPr>
        <w:br w:type="page"/>
      </w:r>
      <w:r>
        <w:rPr>
          <w:rFonts w:hint="eastAsia" w:ascii="宋体" w:hAnsi="宋体"/>
          <w:szCs w:val="21"/>
        </w:rPr>
        <w:t>附件2：</w:t>
      </w:r>
    </w:p>
    <w:p w14:paraId="5E0A2BBB">
      <w:pPr>
        <w:spacing w:before="156" w:beforeLines="50" w:after="156" w:afterLines="50" w:line="480" w:lineRule="auto"/>
        <w:jc w:val="center"/>
        <w:rPr>
          <w:rFonts w:ascii="宋体" w:hAnsi="宋体"/>
          <w:szCs w:val="21"/>
        </w:rPr>
      </w:pPr>
      <w:r>
        <w:rPr>
          <w:rFonts w:hint="eastAsia" w:ascii="宋体" w:hAnsi="宋体"/>
          <w:szCs w:val="21"/>
        </w:rPr>
        <w:t>主要建设工程文件目录</w:t>
      </w:r>
    </w:p>
    <w:tbl>
      <w:tblPr>
        <w:tblStyle w:val="45"/>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36"/>
        <w:gridCol w:w="1418"/>
        <w:gridCol w:w="1418"/>
        <w:gridCol w:w="2917"/>
      </w:tblGrid>
      <w:tr w14:paraId="1F053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36" w:type="dxa"/>
            <w:vAlign w:val="center"/>
          </w:tcPr>
          <w:p w14:paraId="764B11B0">
            <w:pPr>
              <w:spacing w:line="400" w:lineRule="exact"/>
              <w:jc w:val="center"/>
              <w:rPr>
                <w:rFonts w:ascii="宋体" w:hAnsi="宋体"/>
                <w:szCs w:val="21"/>
              </w:rPr>
            </w:pPr>
            <w:r>
              <w:rPr>
                <w:rFonts w:hint="eastAsia" w:ascii="宋体" w:hAnsi="宋体"/>
                <w:szCs w:val="21"/>
              </w:rPr>
              <w:t>文件名称</w:t>
            </w:r>
          </w:p>
        </w:tc>
        <w:tc>
          <w:tcPr>
            <w:tcW w:w="1418" w:type="dxa"/>
            <w:vAlign w:val="center"/>
          </w:tcPr>
          <w:p w14:paraId="16535D55">
            <w:pPr>
              <w:spacing w:line="400" w:lineRule="exact"/>
              <w:jc w:val="center"/>
              <w:rPr>
                <w:rFonts w:ascii="宋体" w:hAnsi="宋体"/>
                <w:szCs w:val="21"/>
              </w:rPr>
            </w:pPr>
            <w:r>
              <w:rPr>
                <w:rFonts w:hint="eastAsia" w:ascii="宋体" w:hAnsi="宋体"/>
                <w:szCs w:val="21"/>
              </w:rPr>
              <w:t>套数</w:t>
            </w:r>
          </w:p>
        </w:tc>
        <w:tc>
          <w:tcPr>
            <w:tcW w:w="1418" w:type="dxa"/>
          </w:tcPr>
          <w:p w14:paraId="4E11BA86">
            <w:pPr>
              <w:spacing w:line="400" w:lineRule="exact"/>
              <w:jc w:val="center"/>
              <w:rPr>
                <w:rFonts w:ascii="宋体" w:hAnsi="宋体"/>
                <w:szCs w:val="21"/>
              </w:rPr>
            </w:pPr>
            <w:r>
              <w:rPr>
                <w:rFonts w:hint="eastAsia" w:ascii="宋体" w:hAnsi="宋体"/>
                <w:szCs w:val="21"/>
              </w:rPr>
              <w:t>移交时间</w:t>
            </w:r>
          </w:p>
        </w:tc>
        <w:tc>
          <w:tcPr>
            <w:tcW w:w="2917" w:type="dxa"/>
          </w:tcPr>
          <w:p w14:paraId="59D50CE6">
            <w:pPr>
              <w:spacing w:line="400" w:lineRule="exact"/>
              <w:jc w:val="center"/>
              <w:rPr>
                <w:rFonts w:ascii="宋体" w:hAnsi="宋体"/>
                <w:szCs w:val="21"/>
              </w:rPr>
            </w:pPr>
            <w:r>
              <w:rPr>
                <w:rFonts w:hint="eastAsia" w:ascii="宋体" w:hAnsi="宋体"/>
                <w:szCs w:val="21"/>
              </w:rPr>
              <w:t>责任人</w:t>
            </w:r>
          </w:p>
        </w:tc>
      </w:tr>
      <w:tr w14:paraId="285BD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4E63F60D">
            <w:pPr>
              <w:spacing w:line="400" w:lineRule="exact"/>
              <w:ind w:firstLine="420" w:firstLineChars="200"/>
              <w:rPr>
                <w:rFonts w:ascii="宋体" w:hAnsi="宋体"/>
                <w:szCs w:val="21"/>
              </w:rPr>
            </w:pPr>
          </w:p>
        </w:tc>
        <w:tc>
          <w:tcPr>
            <w:tcW w:w="1418" w:type="dxa"/>
            <w:vAlign w:val="center"/>
          </w:tcPr>
          <w:p w14:paraId="2CFAC40C">
            <w:pPr>
              <w:spacing w:line="400" w:lineRule="exact"/>
              <w:ind w:firstLine="420" w:firstLineChars="200"/>
              <w:rPr>
                <w:rFonts w:ascii="宋体" w:hAnsi="宋体"/>
                <w:szCs w:val="21"/>
              </w:rPr>
            </w:pPr>
          </w:p>
        </w:tc>
        <w:tc>
          <w:tcPr>
            <w:tcW w:w="1418" w:type="dxa"/>
            <w:vAlign w:val="center"/>
          </w:tcPr>
          <w:p w14:paraId="41FFD8F0">
            <w:pPr>
              <w:spacing w:line="400" w:lineRule="exact"/>
              <w:ind w:firstLine="420" w:firstLineChars="200"/>
              <w:rPr>
                <w:rFonts w:ascii="宋体" w:hAnsi="宋体"/>
                <w:szCs w:val="21"/>
              </w:rPr>
            </w:pPr>
          </w:p>
        </w:tc>
        <w:tc>
          <w:tcPr>
            <w:tcW w:w="2917" w:type="dxa"/>
            <w:vAlign w:val="center"/>
          </w:tcPr>
          <w:p w14:paraId="680F23A6">
            <w:pPr>
              <w:spacing w:line="400" w:lineRule="exact"/>
              <w:ind w:firstLine="420" w:firstLineChars="200"/>
              <w:rPr>
                <w:rFonts w:ascii="宋体" w:hAnsi="宋体"/>
                <w:szCs w:val="21"/>
              </w:rPr>
            </w:pPr>
          </w:p>
        </w:tc>
      </w:tr>
      <w:tr w14:paraId="14FD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0CC17393">
            <w:pPr>
              <w:spacing w:line="400" w:lineRule="exact"/>
              <w:ind w:firstLine="420" w:firstLineChars="200"/>
              <w:rPr>
                <w:rFonts w:ascii="宋体" w:hAnsi="宋体"/>
                <w:szCs w:val="21"/>
              </w:rPr>
            </w:pPr>
          </w:p>
        </w:tc>
        <w:tc>
          <w:tcPr>
            <w:tcW w:w="1418" w:type="dxa"/>
            <w:vAlign w:val="center"/>
          </w:tcPr>
          <w:p w14:paraId="5BE65B8A">
            <w:pPr>
              <w:spacing w:line="400" w:lineRule="exact"/>
              <w:ind w:firstLine="420" w:firstLineChars="200"/>
              <w:rPr>
                <w:rFonts w:ascii="宋体" w:hAnsi="宋体"/>
                <w:szCs w:val="21"/>
              </w:rPr>
            </w:pPr>
          </w:p>
        </w:tc>
        <w:tc>
          <w:tcPr>
            <w:tcW w:w="1418" w:type="dxa"/>
            <w:vAlign w:val="center"/>
          </w:tcPr>
          <w:p w14:paraId="37FD5944">
            <w:pPr>
              <w:spacing w:line="400" w:lineRule="exact"/>
              <w:ind w:firstLine="420" w:firstLineChars="200"/>
              <w:rPr>
                <w:rFonts w:ascii="宋体" w:hAnsi="宋体"/>
                <w:szCs w:val="21"/>
              </w:rPr>
            </w:pPr>
          </w:p>
        </w:tc>
        <w:tc>
          <w:tcPr>
            <w:tcW w:w="2917" w:type="dxa"/>
            <w:vAlign w:val="center"/>
          </w:tcPr>
          <w:p w14:paraId="6F1EA34D">
            <w:pPr>
              <w:spacing w:line="400" w:lineRule="exact"/>
              <w:ind w:firstLine="420" w:firstLineChars="200"/>
              <w:rPr>
                <w:rFonts w:ascii="宋体" w:hAnsi="宋体"/>
                <w:szCs w:val="21"/>
              </w:rPr>
            </w:pPr>
          </w:p>
        </w:tc>
      </w:tr>
      <w:tr w14:paraId="057F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62DACE49">
            <w:pPr>
              <w:spacing w:line="400" w:lineRule="exact"/>
              <w:ind w:firstLine="420" w:firstLineChars="200"/>
              <w:rPr>
                <w:rFonts w:ascii="宋体" w:hAnsi="宋体"/>
                <w:szCs w:val="21"/>
              </w:rPr>
            </w:pPr>
          </w:p>
        </w:tc>
        <w:tc>
          <w:tcPr>
            <w:tcW w:w="1418" w:type="dxa"/>
            <w:vAlign w:val="center"/>
          </w:tcPr>
          <w:p w14:paraId="782F2DC5">
            <w:pPr>
              <w:spacing w:line="400" w:lineRule="exact"/>
              <w:ind w:firstLine="420" w:firstLineChars="200"/>
              <w:rPr>
                <w:rFonts w:ascii="宋体" w:hAnsi="宋体"/>
                <w:szCs w:val="21"/>
              </w:rPr>
            </w:pPr>
          </w:p>
        </w:tc>
        <w:tc>
          <w:tcPr>
            <w:tcW w:w="1418" w:type="dxa"/>
            <w:vAlign w:val="center"/>
          </w:tcPr>
          <w:p w14:paraId="372F4959">
            <w:pPr>
              <w:spacing w:line="400" w:lineRule="exact"/>
              <w:ind w:firstLine="420" w:firstLineChars="200"/>
              <w:rPr>
                <w:rFonts w:ascii="宋体" w:hAnsi="宋体"/>
                <w:szCs w:val="21"/>
              </w:rPr>
            </w:pPr>
          </w:p>
        </w:tc>
        <w:tc>
          <w:tcPr>
            <w:tcW w:w="2917" w:type="dxa"/>
            <w:vAlign w:val="center"/>
          </w:tcPr>
          <w:p w14:paraId="5FAEEFE7">
            <w:pPr>
              <w:spacing w:line="400" w:lineRule="exact"/>
              <w:ind w:firstLine="420" w:firstLineChars="200"/>
              <w:rPr>
                <w:rFonts w:ascii="宋体" w:hAnsi="宋体"/>
                <w:szCs w:val="21"/>
              </w:rPr>
            </w:pPr>
          </w:p>
        </w:tc>
      </w:tr>
      <w:tr w14:paraId="47A97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632DC060">
            <w:pPr>
              <w:spacing w:line="400" w:lineRule="exact"/>
              <w:ind w:firstLine="420" w:firstLineChars="200"/>
              <w:rPr>
                <w:rFonts w:ascii="宋体" w:hAnsi="宋体"/>
                <w:szCs w:val="21"/>
              </w:rPr>
            </w:pPr>
          </w:p>
        </w:tc>
        <w:tc>
          <w:tcPr>
            <w:tcW w:w="1418" w:type="dxa"/>
            <w:vAlign w:val="center"/>
          </w:tcPr>
          <w:p w14:paraId="2E95F9A8">
            <w:pPr>
              <w:spacing w:line="400" w:lineRule="exact"/>
              <w:ind w:firstLine="420" w:firstLineChars="200"/>
              <w:rPr>
                <w:rFonts w:ascii="宋体" w:hAnsi="宋体"/>
                <w:szCs w:val="21"/>
              </w:rPr>
            </w:pPr>
          </w:p>
        </w:tc>
        <w:tc>
          <w:tcPr>
            <w:tcW w:w="1418" w:type="dxa"/>
            <w:vAlign w:val="center"/>
          </w:tcPr>
          <w:p w14:paraId="7EBE4E9E">
            <w:pPr>
              <w:spacing w:line="400" w:lineRule="exact"/>
              <w:ind w:firstLine="420" w:firstLineChars="200"/>
              <w:rPr>
                <w:rFonts w:ascii="宋体" w:hAnsi="宋体"/>
                <w:szCs w:val="21"/>
              </w:rPr>
            </w:pPr>
          </w:p>
        </w:tc>
        <w:tc>
          <w:tcPr>
            <w:tcW w:w="2917" w:type="dxa"/>
            <w:vAlign w:val="center"/>
          </w:tcPr>
          <w:p w14:paraId="3A115F27">
            <w:pPr>
              <w:spacing w:line="400" w:lineRule="exact"/>
              <w:ind w:firstLine="420" w:firstLineChars="200"/>
              <w:rPr>
                <w:rFonts w:ascii="宋体" w:hAnsi="宋体"/>
                <w:szCs w:val="21"/>
              </w:rPr>
            </w:pPr>
          </w:p>
        </w:tc>
      </w:tr>
      <w:tr w14:paraId="554E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2CB59961">
            <w:pPr>
              <w:spacing w:line="400" w:lineRule="exact"/>
              <w:ind w:firstLine="420" w:firstLineChars="200"/>
              <w:rPr>
                <w:rFonts w:ascii="宋体" w:hAnsi="宋体"/>
                <w:szCs w:val="21"/>
              </w:rPr>
            </w:pPr>
          </w:p>
        </w:tc>
        <w:tc>
          <w:tcPr>
            <w:tcW w:w="1418" w:type="dxa"/>
            <w:vAlign w:val="center"/>
          </w:tcPr>
          <w:p w14:paraId="22FADB3E">
            <w:pPr>
              <w:spacing w:line="400" w:lineRule="exact"/>
              <w:ind w:firstLine="420" w:firstLineChars="200"/>
              <w:rPr>
                <w:rFonts w:ascii="宋体" w:hAnsi="宋体"/>
                <w:szCs w:val="21"/>
              </w:rPr>
            </w:pPr>
          </w:p>
        </w:tc>
        <w:tc>
          <w:tcPr>
            <w:tcW w:w="1418" w:type="dxa"/>
            <w:vAlign w:val="center"/>
          </w:tcPr>
          <w:p w14:paraId="0C6A5C83">
            <w:pPr>
              <w:spacing w:line="400" w:lineRule="exact"/>
              <w:ind w:firstLine="420" w:firstLineChars="200"/>
              <w:rPr>
                <w:rFonts w:ascii="宋体" w:hAnsi="宋体"/>
                <w:szCs w:val="21"/>
              </w:rPr>
            </w:pPr>
          </w:p>
        </w:tc>
        <w:tc>
          <w:tcPr>
            <w:tcW w:w="2917" w:type="dxa"/>
            <w:vAlign w:val="center"/>
          </w:tcPr>
          <w:p w14:paraId="4E013AF1">
            <w:pPr>
              <w:spacing w:line="400" w:lineRule="exact"/>
              <w:ind w:firstLine="420" w:firstLineChars="200"/>
              <w:rPr>
                <w:rFonts w:ascii="宋体" w:hAnsi="宋体"/>
                <w:szCs w:val="21"/>
              </w:rPr>
            </w:pPr>
          </w:p>
        </w:tc>
      </w:tr>
      <w:tr w14:paraId="14482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582449CD">
            <w:pPr>
              <w:spacing w:line="400" w:lineRule="exact"/>
              <w:ind w:firstLine="420" w:firstLineChars="200"/>
              <w:rPr>
                <w:rFonts w:ascii="宋体" w:hAnsi="宋体"/>
                <w:szCs w:val="21"/>
              </w:rPr>
            </w:pPr>
          </w:p>
        </w:tc>
        <w:tc>
          <w:tcPr>
            <w:tcW w:w="1418" w:type="dxa"/>
            <w:vAlign w:val="center"/>
          </w:tcPr>
          <w:p w14:paraId="4159E13D">
            <w:pPr>
              <w:spacing w:line="400" w:lineRule="exact"/>
              <w:ind w:firstLine="420" w:firstLineChars="200"/>
              <w:rPr>
                <w:rFonts w:ascii="宋体" w:hAnsi="宋体"/>
                <w:szCs w:val="21"/>
              </w:rPr>
            </w:pPr>
          </w:p>
        </w:tc>
        <w:tc>
          <w:tcPr>
            <w:tcW w:w="1418" w:type="dxa"/>
            <w:vAlign w:val="center"/>
          </w:tcPr>
          <w:p w14:paraId="5DCFD03C">
            <w:pPr>
              <w:spacing w:line="400" w:lineRule="exact"/>
              <w:ind w:firstLine="420" w:firstLineChars="200"/>
              <w:rPr>
                <w:rFonts w:ascii="宋体" w:hAnsi="宋体"/>
                <w:szCs w:val="21"/>
              </w:rPr>
            </w:pPr>
          </w:p>
        </w:tc>
        <w:tc>
          <w:tcPr>
            <w:tcW w:w="2917" w:type="dxa"/>
            <w:vAlign w:val="center"/>
          </w:tcPr>
          <w:p w14:paraId="0D6AA05D">
            <w:pPr>
              <w:spacing w:line="400" w:lineRule="exact"/>
              <w:ind w:firstLine="420" w:firstLineChars="200"/>
              <w:rPr>
                <w:rFonts w:ascii="宋体" w:hAnsi="宋体"/>
                <w:szCs w:val="21"/>
              </w:rPr>
            </w:pPr>
          </w:p>
        </w:tc>
      </w:tr>
      <w:tr w14:paraId="5056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21F3778D">
            <w:pPr>
              <w:spacing w:line="400" w:lineRule="exact"/>
              <w:ind w:firstLine="420" w:firstLineChars="200"/>
              <w:rPr>
                <w:rFonts w:ascii="宋体" w:hAnsi="宋体"/>
                <w:szCs w:val="21"/>
              </w:rPr>
            </w:pPr>
          </w:p>
        </w:tc>
        <w:tc>
          <w:tcPr>
            <w:tcW w:w="1418" w:type="dxa"/>
            <w:vAlign w:val="center"/>
          </w:tcPr>
          <w:p w14:paraId="671C1F49">
            <w:pPr>
              <w:spacing w:line="400" w:lineRule="exact"/>
              <w:ind w:firstLine="420" w:firstLineChars="200"/>
              <w:rPr>
                <w:rFonts w:ascii="宋体" w:hAnsi="宋体"/>
                <w:szCs w:val="21"/>
              </w:rPr>
            </w:pPr>
          </w:p>
        </w:tc>
        <w:tc>
          <w:tcPr>
            <w:tcW w:w="1418" w:type="dxa"/>
            <w:vAlign w:val="center"/>
          </w:tcPr>
          <w:p w14:paraId="487348A3">
            <w:pPr>
              <w:spacing w:line="400" w:lineRule="exact"/>
              <w:ind w:firstLine="420" w:firstLineChars="200"/>
              <w:rPr>
                <w:rFonts w:ascii="宋体" w:hAnsi="宋体"/>
                <w:szCs w:val="21"/>
              </w:rPr>
            </w:pPr>
          </w:p>
        </w:tc>
        <w:tc>
          <w:tcPr>
            <w:tcW w:w="2917" w:type="dxa"/>
            <w:vAlign w:val="center"/>
          </w:tcPr>
          <w:p w14:paraId="3EFD11F8">
            <w:pPr>
              <w:spacing w:line="400" w:lineRule="exact"/>
              <w:ind w:firstLine="420" w:firstLineChars="200"/>
              <w:rPr>
                <w:rFonts w:ascii="宋体" w:hAnsi="宋体"/>
                <w:szCs w:val="21"/>
              </w:rPr>
            </w:pPr>
          </w:p>
        </w:tc>
      </w:tr>
      <w:tr w14:paraId="0154A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280C7082">
            <w:pPr>
              <w:spacing w:line="400" w:lineRule="exact"/>
              <w:ind w:firstLine="420" w:firstLineChars="200"/>
              <w:rPr>
                <w:rFonts w:ascii="宋体" w:hAnsi="宋体"/>
                <w:szCs w:val="21"/>
              </w:rPr>
            </w:pPr>
          </w:p>
        </w:tc>
        <w:tc>
          <w:tcPr>
            <w:tcW w:w="1418" w:type="dxa"/>
            <w:vAlign w:val="center"/>
          </w:tcPr>
          <w:p w14:paraId="6DE46B0F">
            <w:pPr>
              <w:spacing w:line="400" w:lineRule="exact"/>
              <w:ind w:firstLine="420" w:firstLineChars="200"/>
              <w:rPr>
                <w:rFonts w:ascii="宋体" w:hAnsi="宋体"/>
                <w:szCs w:val="21"/>
              </w:rPr>
            </w:pPr>
          </w:p>
        </w:tc>
        <w:tc>
          <w:tcPr>
            <w:tcW w:w="1418" w:type="dxa"/>
            <w:vAlign w:val="center"/>
          </w:tcPr>
          <w:p w14:paraId="07496AD1">
            <w:pPr>
              <w:spacing w:line="400" w:lineRule="exact"/>
              <w:ind w:firstLine="420" w:firstLineChars="200"/>
              <w:rPr>
                <w:rFonts w:ascii="宋体" w:hAnsi="宋体"/>
                <w:szCs w:val="21"/>
              </w:rPr>
            </w:pPr>
          </w:p>
        </w:tc>
        <w:tc>
          <w:tcPr>
            <w:tcW w:w="2917" w:type="dxa"/>
            <w:vAlign w:val="center"/>
          </w:tcPr>
          <w:p w14:paraId="4E25780D">
            <w:pPr>
              <w:spacing w:line="400" w:lineRule="exact"/>
              <w:ind w:firstLine="420" w:firstLineChars="200"/>
              <w:rPr>
                <w:rFonts w:ascii="宋体" w:hAnsi="宋体"/>
                <w:szCs w:val="21"/>
              </w:rPr>
            </w:pPr>
          </w:p>
        </w:tc>
      </w:tr>
      <w:tr w14:paraId="3CDB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4591B6DD">
            <w:pPr>
              <w:spacing w:line="400" w:lineRule="exact"/>
              <w:ind w:firstLine="420" w:firstLineChars="200"/>
              <w:rPr>
                <w:rFonts w:ascii="宋体" w:hAnsi="宋体"/>
                <w:szCs w:val="21"/>
              </w:rPr>
            </w:pPr>
          </w:p>
        </w:tc>
        <w:tc>
          <w:tcPr>
            <w:tcW w:w="1418" w:type="dxa"/>
          </w:tcPr>
          <w:p w14:paraId="1D9965C0">
            <w:pPr>
              <w:spacing w:line="400" w:lineRule="exact"/>
              <w:ind w:firstLine="420" w:firstLineChars="200"/>
              <w:rPr>
                <w:rFonts w:ascii="宋体" w:hAnsi="宋体"/>
                <w:szCs w:val="21"/>
              </w:rPr>
            </w:pPr>
          </w:p>
        </w:tc>
        <w:tc>
          <w:tcPr>
            <w:tcW w:w="1418" w:type="dxa"/>
          </w:tcPr>
          <w:p w14:paraId="30AFBD7C">
            <w:pPr>
              <w:spacing w:line="400" w:lineRule="exact"/>
              <w:ind w:firstLine="420" w:firstLineChars="200"/>
              <w:rPr>
                <w:rFonts w:ascii="宋体" w:hAnsi="宋体"/>
                <w:szCs w:val="21"/>
              </w:rPr>
            </w:pPr>
          </w:p>
        </w:tc>
        <w:tc>
          <w:tcPr>
            <w:tcW w:w="2917" w:type="dxa"/>
          </w:tcPr>
          <w:p w14:paraId="68E7DC16">
            <w:pPr>
              <w:spacing w:line="400" w:lineRule="exact"/>
              <w:ind w:firstLine="420" w:firstLineChars="200"/>
              <w:rPr>
                <w:rFonts w:ascii="宋体" w:hAnsi="宋体"/>
                <w:szCs w:val="21"/>
              </w:rPr>
            </w:pPr>
          </w:p>
        </w:tc>
      </w:tr>
      <w:tr w14:paraId="6DCA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5DB9891C">
            <w:pPr>
              <w:spacing w:line="400" w:lineRule="exact"/>
              <w:ind w:firstLine="420" w:firstLineChars="200"/>
              <w:rPr>
                <w:rFonts w:ascii="宋体" w:hAnsi="宋体"/>
                <w:szCs w:val="21"/>
              </w:rPr>
            </w:pPr>
          </w:p>
        </w:tc>
        <w:tc>
          <w:tcPr>
            <w:tcW w:w="1418" w:type="dxa"/>
            <w:vAlign w:val="center"/>
          </w:tcPr>
          <w:p w14:paraId="4EBDB5C2">
            <w:pPr>
              <w:spacing w:line="400" w:lineRule="exact"/>
              <w:ind w:firstLine="420" w:firstLineChars="200"/>
              <w:rPr>
                <w:rFonts w:ascii="宋体" w:hAnsi="宋体"/>
                <w:szCs w:val="21"/>
              </w:rPr>
            </w:pPr>
          </w:p>
        </w:tc>
        <w:tc>
          <w:tcPr>
            <w:tcW w:w="1418" w:type="dxa"/>
            <w:vAlign w:val="center"/>
          </w:tcPr>
          <w:p w14:paraId="2590F113">
            <w:pPr>
              <w:spacing w:line="400" w:lineRule="exact"/>
              <w:ind w:firstLine="420" w:firstLineChars="200"/>
              <w:rPr>
                <w:rFonts w:ascii="宋体" w:hAnsi="宋体"/>
                <w:szCs w:val="21"/>
              </w:rPr>
            </w:pPr>
          </w:p>
        </w:tc>
        <w:tc>
          <w:tcPr>
            <w:tcW w:w="2917" w:type="dxa"/>
            <w:vAlign w:val="center"/>
          </w:tcPr>
          <w:p w14:paraId="293C3F36">
            <w:pPr>
              <w:spacing w:line="400" w:lineRule="exact"/>
              <w:ind w:firstLine="420" w:firstLineChars="200"/>
              <w:rPr>
                <w:rFonts w:ascii="宋体" w:hAnsi="宋体"/>
                <w:szCs w:val="21"/>
              </w:rPr>
            </w:pPr>
          </w:p>
        </w:tc>
      </w:tr>
      <w:tr w14:paraId="3361A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3964E83F">
            <w:pPr>
              <w:spacing w:line="400" w:lineRule="exact"/>
              <w:ind w:firstLine="420" w:firstLineChars="200"/>
              <w:rPr>
                <w:rFonts w:ascii="宋体" w:hAnsi="宋体"/>
                <w:szCs w:val="21"/>
              </w:rPr>
            </w:pPr>
          </w:p>
        </w:tc>
        <w:tc>
          <w:tcPr>
            <w:tcW w:w="1418" w:type="dxa"/>
          </w:tcPr>
          <w:p w14:paraId="5DE50592">
            <w:pPr>
              <w:spacing w:line="400" w:lineRule="exact"/>
              <w:ind w:firstLine="420" w:firstLineChars="200"/>
              <w:rPr>
                <w:rFonts w:ascii="宋体" w:hAnsi="宋体"/>
                <w:szCs w:val="21"/>
              </w:rPr>
            </w:pPr>
          </w:p>
        </w:tc>
        <w:tc>
          <w:tcPr>
            <w:tcW w:w="1418" w:type="dxa"/>
          </w:tcPr>
          <w:p w14:paraId="2C09BF33">
            <w:pPr>
              <w:spacing w:line="400" w:lineRule="exact"/>
              <w:ind w:firstLine="420" w:firstLineChars="200"/>
              <w:rPr>
                <w:rFonts w:ascii="宋体" w:hAnsi="宋体"/>
                <w:szCs w:val="21"/>
              </w:rPr>
            </w:pPr>
          </w:p>
        </w:tc>
        <w:tc>
          <w:tcPr>
            <w:tcW w:w="2917" w:type="dxa"/>
          </w:tcPr>
          <w:p w14:paraId="178639D5">
            <w:pPr>
              <w:spacing w:line="400" w:lineRule="exact"/>
              <w:ind w:firstLine="420" w:firstLineChars="200"/>
              <w:rPr>
                <w:rFonts w:ascii="宋体" w:hAnsi="宋体"/>
                <w:szCs w:val="21"/>
              </w:rPr>
            </w:pPr>
          </w:p>
        </w:tc>
      </w:tr>
      <w:tr w14:paraId="5A11F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79384FC0">
            <w:pPr>
              <w:spacing w:line="400" w:lineRule="exact"/>
              <w:ind w:firstLine="420" w:firstLineChars="200"/>
              <w:rPr>
                <w:rFonts w:ascii="宋体" w:hAnsi="宋体"/>
                <w:szCs w:val="21"/>
              </w:rPr>
            </w:pPr>
          </w:p>
        </w:tc>
        <w:tc>
          <w:tcPr>
            <w:tcW w:w="1418" w:type="dxa"/>
          </w:tcPr>
          <w:p w14:paraId="63B5E0E4">
            <w:pPr>
              <w:spacing w:line="400" w:lineRule="exact"/>
              <w:ind w:firstLine="420" w:firstLineChars="200"/>
              <w:rPr>
                <w:rFonts w:ascii="宋体" w:hAnsi="宋体"/>
                <w:szCs w:val="21"/>
              </w:rPr>
            </w:pPr>
          </w:p>
        </w:tc>
        <w:tc>
          <w:tcPr>
            <w:tcW w:w="1418" w:type="dxa"/>
          </w:tcPr>
          <w:p w14:paraId="433212D6">
            <w:pPr>
              <w:spacing w:line="400" w:lineRule="exact"/>
              <w:ind w:firstLine="420" w:firstLineChars="200"/>
              <w:rPr>
                <w:rFonts w:ascii="宋体" w:hAnsi="宋体"/>
                <w:szCs w:val="21"/>
              </w:rPr>
            </w:pPr>
          </w:p>
        </w:tc>
        <w:tc>
          <w:tcPr>
            <w:tcW w:w="2917" w:type="dxa"/>
          </w:tcPr>
          <w:p w14:paraId="71DE0126">
            <w:pPr>
              <w:spacing w:line="400" w:lineRule="exact"/>
              <w:ind w:firstLine="420" w:firstLineChars="200"/>
              <w:rPr>
                <w:rFonts w:ascii="宋体" w:hAnsi="宋体"/>
                <w:szCs w:val="21"/>
              </w:rPr>
            </w:pPr>
          </w:p>
        </w:tc>
      </w:tr>
      <w:tr w14:paraId="7CD8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1A00CE66">
            <w:pPr>
              <w:spacing w:line="400" w:lineRule="exact"/>
              <w:ind w:firstLine="420" w:firstLineChars="200"/>
              <w:rPr>
                <w:rFonts w:ascii="宋体" w:hAnsi="宋体"/>
                <w:szCs w:val="21"/>
              </w:rPr>
            </w:pPr>
          </w:p>
        </w:tc>
        <w:tc>
          <w:tcPr>
            <w:tcW w:w="1418" w:type="dxa"/>
          </w:tcPr>
          <w:p w14:paraId="6AECC817">
            <w:pPr>
              <w:spacing w:line="400" w:lineRule="exact"/>
              <w:ind w:firstLine="420" w:firstLineChars="200"/>
              <w:rPr>
                <w:rFonts w:ascii="宋体" w:hAnsi="宋体"/>
                <w:szCs w:val="21"/>
              </w:rPr>
            </w:pPr>
          </w:p>
        </w:tc>
        <w:tc>
          <w:tcPr>
            <w:tcW w:w="1418" w:type="dxa"/>
          </w:tcPr>
          <w:p w14:paraId="459A6FA0">
            <w:pPr>
              <w:spacing w:line="400" w:lineRule="exact"/>
              <w:ind w:firstLine="420" w:firstLineChars="200"/>
              <w:rPr>
                <w:rFonts w:ascii="宋体" w:hAnsi="宋体"/>
                <w:szCs w:val="21"/>
              </w:rPr>
            </w:pPr>
          </w:p>
        </w:tc>
        <w:tc>
          <w:tcPr>
            <w:tcW w:w="2917" w:type="dxa"/>
          </w:tcPr>
          <w:p w14:paraId="662C9524">
            <w:pPr>
              <w:spacing w:line="400" w:lineRule="exact"/>
              <w:ind w:firstLine="420" w:firstLineChars="200"/>
              <w:rPr>
                <w:rFonts w:ascii="宋体" w:hAnsi="宋体"/>
                <w:szCs w:val="21"/>
              </w:rPr>
            </w:pPr>
          </w:p>
        </w:tc>
      </w:tr>
      <w:tr w14:paraId="15FF1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5F22E85E">
            <w:pPr>
              <w:spacing w:line="400" w:lineRule="exact"/>
              <w:ind w:firstLine="420" w:firstLineChars="200"/>
              <w:rPr>
                <w:rFonts w:ascii="宋体" w:hAnsi="宋体"/>
                <w:szCs w:val="21"/>
              </w:rPr>
            </w:pPr>
          </w:p>
        </w:tc>
        <w:tc>
          <w:tcPr>
            <w:tcW w:w="1418" w:type="dxa"/>
          </w:tcPr>
          <w:p w14:paraId="0AD4A4E2">
            <w:pPr>
              <w:spacing w:line="400" w:lineRule="exact"/>
              <w:ind w:firstLine="420" w:firstLineChars="200"/>
              <w:rPr>
                <w:rFonts w:ascii="宋体" w:hAnsi="宋体"/>
                <w:szCs w:val="21"/>
              </w:rPr>
            </w:pPr>
          </w:p>
        </w:tc>
        <w:tc>
          <w:tcPr>
            <w:tcW w:w="1418" w:type="dxa"/>
          </w:tcPr>
          <w:p w14:paraId="649B7471">
            <w:pPr>
              <w:spacing w:line="400" w:lineRule="exact"/>
              <w:ind w:firstLine="420" w:firstLineChars="200"/>
              <w:rPr>
                <w:rFonts w:ascii="宋体" w:hAnsi="宋体"/>
                <w:szCs w:val="21"/>
              </w:rPr>
            </w:pPr>
          </w:p>
        </w:tc>
        <w:tc>
          <w:tcPr>
            <w:tcW w:w="2917" w:type="dxa"/>
          </w:tcPr>
          <w:p w14:paraId="460B069D">
            <w:pPr>
              <w:spacing w:line="400" w:lineRule="exact"/>
              <w:ind w:firstLine="420" w:firstLineChars="200"/>
              <w:rPr>
                <w:rFonts w:ascii="宋体" w:hAnsi="宋体"/>
                <w:szCs w:val="21"/>
              </w:rPr>
            </w:pPr>
          </w:p>
        </w:tc>
      </w:tr>
      <w:tr w14:paraId="0C78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5DD823A5">
            <w:pPr>
              <w:spacing w:line="400" w:lineRule="exact"/>
              <w:ind w:firstLine="420" w:firstLineChars="200"/>
              <w:rPr>
                <w:rFonts w:ascii="宋体" w:hAnsi="宋体"/>
                <w:szCs w:val="21"/>
              </w:rPr>
            </w:pPr>
          </w:p>
        </w:tc>
        <w:tc>
          <w:tcPr>
            <w:tcW w:w="1418" w:type="dxa"/>
          </w:tcPr>
          <w:p w14:paraId="3BB82040">
            <w:pPr>
              <w:spacing w:line="400" w:lineRule="exact"/>
              <w:ind w:firstLine="420" w:firstLineChars="200"/>
              <w:rPr>
                <w:rFonts w:ascii="宋体" w:hAnsi="宋体"/>
                <w:szCs w:val="21"/>
              </w:rPr>
            </w:pPr>
          </w:p>
        </w:tc>
        <w:tc>
          <w:tcPr>
            <w:tcW w:w="1418" w:type="dxa"/>
          </w:tcPr>
          <w:p w14:paraId="45F1B829">
            <w:pPr>
              <w:spacing w:line="400" w:lineRule="exact"/>
              <w:ind w:firstLine="420" w:firstLineChars="200"/>
              <w:rPr>
                <w:rFonts w:ascii="宋体" w:hAnsi="宋体"/>
                <w:szCs w:val="21"/>
              </w:rPr>
            </w:pPr>
          </w:p>
        </w:tc>
        <w:tc>
          <w:tcPr>
            <w:tcW w:w="2917" w:type="dxa"/>
          </w:tcPr>
          <w:p w14:paraId="78640B94">
            <w:pPr>
              <w:spacing w:line="400" w:lineRule="exact"/>
              <w:ind w:firstLine="420" w:firstLineChars="200"/>
              <w:rPr>
                <w:rFonts w:ascii="宋体" w:hAnsi="宋体"/>
                <w:szCs w:val="21"/>
              </w:rPr>
            </w:pPr>
          </w:p>
        </w:tc>
      </w:tr>
      <w:tr w14:paraId="65FD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00E1756F">
            <w:pPr>
              <w:spacing w:line="400" w:lineRule="exact"/>
              <w:ind w:firstLine="420" w:firstLineChars="200"/>
              <w:rPr>
                <w:rFonts w:ascii="宋体" w:hAnsi="宋体"/>
                <w:szCs w:val="21"/>
              </w:rPr>
            </w:pPr>
          </w:p>
        </w:tc>
        <w:tc>
          <w:tcPr>
            <w:tcW w:w="1418" w:type="dxa"/>
          </w:tcPr>
          <w:p w14:paraId="15A15CF7">
            <w:pPr>
              <w:spacing w:line="400" w:lineRule="exact"/>
              <w:ind w:firstLine="420" w:firstLineChars="200"/>
              <w:rPr>
                <w:rFonts w:ascii="宋体" w:hAnsi="宋体"/>
                <w:szCs w:val="21"/>
              </w:rPr>
            </w:pPr>
          </w:p>
        </w:tc>
        <w:tc>
          <w:tcPr>
            <w:tcW w:w="1418" w:type="dxa"/>
          </w:tcPr>
          <w:p w14:paraId="4F98C186">
            <w:pPr>
              <w:spacing w:line="400" w:lineRule="exact"/>
              <w:ind w:firstLine="420" w:firstLineChars="200"/>
              <w:rPr>
                <w:rFonts w:ascii="宋体" w:hAnsi="宋体"/>
                <w:szCs w:val="21"/>
              </w:rPr>
            </w:pPr>
          </w:p>
        </w:tc>
        <w:tc>
          <w:tcPr>
            <w:tcW w:w="2917" w:type="dxa"/>
          </w:tcPr>
          <w:p w14:paraId="5C8A0950">
            <w:pPr>
              <w:spacing w:line="400" w:lineRule="exact"/>
              <w:ind w:firstLine="420" w:firstLineChars="200"/>
              <w:rPr>
                <w:rFonts w:ascii="宋体" w:hAnsi="宋体"/>
                <w:szCs w:val="21"/>
              </w:rPr>
            </w:pPr>
          </w:p>
        </w:tc>
      </w:tr>
      <w:tr w14:paraId="71B48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5F645159">
            <w:pPr>
              <w:spacing w:line="400" w:lineRule="exact"/>
              <w:ind w:firstLine="420" w:firstLineChars="200"/>
              <w:rPr>
                <w:rFonts w:ascii="宋体" w:hAnsi="宋体"/>
                <w:szCs w:val="21"/>
              </w:rPr>
            </w:pPr>
          </w:p>
        </w:tc>
        <w:tc>
          <w:tcPr>
            <w:tcW w:w="1418" w:type="dxa"/>
          </w:tcPr>
          <w:p w14:paraId="48B5D57B">
            <w:pPr>
              <w:spacing w:line="400" w:lineRule="exact"/>
              <w:ind w:firstLine="420" w:firstLineChars="200"/>
              <w:rPr>
                <w:rFonts w:ascii="宋体" w:hAnsi="宋体"/>
                <w:szCs w:val="21"/>
              </w:rPr>
            </w:pPr>
          </w:p>
        </w:tc>
        <w:tc>
          <w:tcPr>
            <w:tcW w:w="1418" w:type="dxa"/>
          </w:tcPr>
          <w:p w14:paraId="77055162">
            <w:pPr>
              <w:spacing w:line="400" w:lineRule="exact"/>
              <w:ind w:firstLine="420" w:firstLineChars="200"/>
              <w:rPr>
                <w:rFonts w:ascii="宋体" w:hAnsi="宋体"/>
                <w:szCs w:val="21"/>
              </w:rPr>
            </w:pPr>
          </w:p>
        </w:tc>
        <w:tc>
          <w:tcPr>
            <w:tcW w:w="2917" w:type="dxa"/>
          </w:tcPr>
          <w:p w14:paraId="4DA75FB2">
            <w:pPr>
              <w:spacing w:line="400" w:lineRule="exact"/>
              <w:ind w:firstLine="420" w:firstLineChars="200"/>
              <w:rPr>
                <w:rFonts w:ascii="宋体" w:hAnsi="宋体"/>
                <w:szCs w:val="21"/>
              </w:rPr>
            </w:pPr>
          </w:p>
        </w:tc>
      </w:tr>
      <w:tr w14:paraId="2C925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59938775">
            <w:pPr>
              <w:spacing w:line="400" w:lineRule="exact"/>
              <w:ind w:firstLine="420" w:firstLineChars="200"/>
              <w:rPr>
                <w:rFonts w:ascii="宋体" w:hAnsi="宋体"/>
                <w:szCs w:val="21"/>
              </w:rPr>
            </w:pPr>
          </w:p>
        </w:tc>
        <w:tc>
          <w:tcPr>
            <w:tcW w:w="1418" w:type="dxa"/>
          </w:tcPr>
          <w:p w14:paraId="04F1D06B">
            <w:pPr>
              <w:spacing w:line="400" w:lineRule="exact"/>
              <w:ind w:firstLine="420" w:firstLineChars="200"/>
              <w:rPr>
                <w:rFonts w:ascii="宋体" w:hAnsi="宋体"/>
                <w:szCs w:val="21"/>
              </w:rPr>
            </w:pPr>
          </w:p>
        </w:tc>
        <w:tc>
          <w:tcPr>
            <w:tcW w:w="1418" w:type="dxa"/>
          </w:tcPr>
          <w:p w14:paraId="48289331">
            <w:pPr>
              <w:spacing w:line="400" w:lineRule="exact"/>
              <w:ind w:firstLine="420" w:firstLineChars="200"/>
              <w:rPr>
                <w:rFonts w:ascii="宋体" w:hAnsi="宋体"/>
                <w:szCs w:val="21"/>
              </w:rPr>
            </w:pPr>
          </w:p>
        </w:tc>
        <w:tc>
          <w:tcPr>
            <w:tcW w:w="2917" w:type="dxa"/>
          </w:tcPr>
          <w:p w14:paraId="085F7DFA">
            <w:pPr>
              <w:spacing w:line="400" w:lineRule="exact"/>
              <w:ind w:firstLine="420" w:firstLineChars="200"/>
              <w:rPr>
                <w:rFonts w:ascii="宋体" w:hAnsi="宋体"/>
                <w:szCs w:val="21"/>
              </w:rPr>
            </w:pPr>
          </w:p>
        </w:tc>
      </w:tr>
    </w:tbl>
    <w:p w14:paraId="50822736">
      <w:pPr>
        <w:spacing w:line="360" w:lineRule="auto"/>
        <w:ind w:firstLine="420" w:firstLineChars="200"/>
        <w:rPr>
          <w:rFonts w:ascii="宋体" w:hAnsi="宋体"/>
          <w:szCs w:val="21"/>
        </w:rPr>
      </w:pPr>
    </w:p>
    <w:p w14:paraId="1D9D47A6">
      <w:pPr>
        <w:spacing w:line="480" w:lineRule="auto"/>
        <w:rPr>
          <w:rFonts w:ascii="宋体" w:hAnsi="宋体"/>
          <w:szCs w:val="21"/>
        </w:rPr>
      </w:pPr>
      <w:r>
        <w:rPr>
          <w:rFonts w:hint="eastAsia" w:ascii="宋体" w:hAnsi="宋体"/>
          <w:szCs w:val="21"/>
        </w:rPr>
        <w:br w:type="page"/>
      </w:r>
      <w:r>
        <w:rPr>
          <w:rFonts w:hint="eastAsia" w:ascii="宋体" w:hAnsi="宋体"/>
          <w:szCs w:val="21"/>
        </w:rPr>
        <w:t>附</w:t>
      </w:r>
      <w:bookmarkStart w:id="1297" w:name="_Toc296347227"/>
      <w:bookmarkStart w:id="1298" w:name="_Toc296944567"/>
      <w:bookmarkStart w:id="1299" w:name="_Toc296891268"/>
      <w:bookmarkStart w:id="1300" w:name="_Toc296891056"/>
      <w:bookmarkStart w:id="1301" w:name="_Toc296346729"/>
      <w:bookmarkStart w:id="1302" w:name="_Toc296503228"/>
      <w:bookmarkStart w:id="1303" w:name="_Toc267261699"/>
      <w:r>
        <w:rPr>
          <w:rFonts w:hint="eastAsia" w:ascii="宋体" w:hAnsi="宋体"/>
          <w:szCs w:val="21"/>
        </w:rPr>
        <w:t>件3：</w:t>
      </w:r>
    </w:p>
    <w:bookmarkEnd w:id="1297"/>
    <w:bookmarkEnd w:id="1298"/>
    <w:bookmarkEnd w:id="1299"/>
    <w:bookmarkEnd w:id="1300"/>
    <w:bookmarkEnd w:id="1301"/>
    <w:bookmarkEnd w:id="1302"/>
    <w:bookmarkEnd w:id="1303"/>
    <w:p w14:paraId="2A6CA381">
      <w:pPr>
        <w:spacing w:before="156" w:beforeLines="50" w:after="156" w:afterLines="50" w:line="480" w:lineRule="auto"/>
        <w:jc w:val="center"/>
        <w:rPr>
          <w:rFonts w:ascii="宋体" w:hAnsi="宋体"/>
          <w:szCs w:val="21"/>
        </w:rPr>
      </w:pPr>
      <w:r>
        <w:rPr>
          <w:rFonts w:hint="eastAsia" w:ascii="宋体" w:hAnsi="宋体"/>
          <w:szCs w:val="21"/>
        </w:rPr>
        <w:t>承包人项目管理机构组成表</w:t>
      </w:r>
    </w:p>
    <w:tbl>
      <w:tblPr>
        <w:tblStyle w:val="45"/>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69407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CF1C291">
            <w:pPr>
              <w:spacing w:line="400" w:lineRule="exact"/>
              <w:jc w:val="center"/>
              <w:rPr>
                <w:rFonts w:ascii="宋体" w:hAnsi="宋体"/>
                <w:szCs w:val="21"/>
              </w:rPr>
            </w:pPr>
            <w:r>
              <w:rPr>
                <w:rFonts w:hint="eastAsia" w:ascii="宋体" w:hAnsi="宋体"/>
                <w:szCs w:val="21"/>
              </w:rPr>
              <w:t>名    称</w:t>
            </w:r>
          </w:p>
        </w:tc>
        <w:tc>
          <w:tcPr>
            <w:tcW w:w="1418" w:type="dxa"/>
            <w:vAlign w:val="center"/>
          </w:tcPr>
          <w:p w14:paraId="05453CF4">
            <w:pPr>
              <w:spacing w:line="400" w:lineRule="exact"/>
              <w:jc w:val="center"/>
              <w:rPr>
                <w:rFonts w:ascii="宋体" w:hAnsi="宋体"/>
                <w:szCs w:val="21"/>
              </w:rPr>
            </w:pPr>
            <w:r>
              <w:rPr>
                <w:rFonts w:hint="eastAsia" w:ascii="宋体" w:hAnsi="宋体"/>
                <w:szCs w:val="21"/>
              </w:rPr>
              <w:t>姓名</w:t>
            </w:r>
          </w:p>
        </w:tc>
        <w:tc>
          <w:tcPr>
            <w:tcW w:w="1134" w:type="dxa"/>
            <w:vAlign w:val="center"/>
          </w:tcPr>
          <w:p w14:paraId="7652076F">
            <w:pPr>
              <w:spacing w:line="400" w:lineRule="exact"/>
              <w:jc w:val="center"/>
              <w:rPr>
                <w:rFonts w:ascii="宋体" w:hAnsi="宋体"/>
                <w:szCs w:val="21"/>
              </w:rPr>
            </w:pPr>
            <w:r>
              <w:rPr>
                <w:rFonts w:hint="eastAsia" w:ascii="宋体" w:hAnsi="宋体"/>
                <w:szCs w:val="21"/>
              </w:rPr>
              <w:t>职务</w:t>
            </w:r>
          </w:p>
        </w:tc>
        <w:tc>
          <w:tcPr>
            <w:tcW w:w="1134" w:type="dxa"/>
            <w:vAlign w:val="center"/>
          </w:tcPr>
          <w:p w14:paraId="2EA0C6E6">
            <w:pPr>
              <w:spacing w:line="400" w:lineRule="exact"/>
              <w:jc w:val="center"/>
              <w:rPr>
                <w:rFonts w:ascii="宋体" w:hAnsi="宋体"/>
                <w:szCs w:val="21"/>
              </w:rPr>
            </w:pPr>
            <w:r>
              <w:rPr>
                <w:rFonts w:hint="eastAsia" w:ascii="宋体" w:hAnsi="宋体"/>
                <w:szCs w:val="21"/>
              </w:rPr>
              <w:t>职称</w:t>
            </w:r>
          </w:p>
        </w:tc>
        <w:tc>
          <w:tcPr>
            <w:tcW w:w="4252" w:type="dxa"/>
            <w:vAlign w:val="center"/>
          </w:tcPr>
          <w:p w14:paraId="7A3FA208">
            <w:pPr>
              <w:spacing w:line="400" w:lineRule="exact"/>
              <w:jc w:val="center"/>
              <w:rPr>
                <w:rFonts w:ascii="宋体" w:hAnsi="宋体"/>
                <w:szCs w:val="21"/>
              </w:rPr>
            </w:pPr>
            <w:r>
              <w:rPr>
                <w:rFonts w:hint="eastAsia" w:ascii="宋体" w:hAnsi="宋体"/>
                <w:szCs w:val="21"/>
              </w:rPr>
              <w:t>主要资历、经验及承担过的项目</w:t>
            </w:r>
          </w:p>
        </w:tc>
      </w:tr>
      <w:tr w14:paraId="7A987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9809" w:type="dxa"/>
            <w:gridSpan w:val="5"/>
            <w:vAlign w:val="center"/>
          </w:tcPr>
          <w:p w14:paraId="3118B984">
            <w:pPr>
              <w:spacing w:line="400" w:lineRule="exact"/>
              <w:rPr>
                <w:rFonts w:ascii="宋体" w:hAnsi="宋体"/>
                <w:szCs w:val="21"/>
              </w:rPr>
            </w:pPr>
            <w:r>
              <w:rPr>
                <w:rFonts w:hint="eastAsia" w:ascii="宋体" w:hAnsi="宋体"/>
                <w:szCs w:val="21"/>
              </w:rPr>
              <w:t>一、总部人员</w:t>
            </w:r>
          </w:p>
        </w:tc>
      </w:tr>
      <w:tr w14:paraId="3DC0D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7F3CDAA">
            <w:pPr>
              <w:spacing w:line="400" w:lineRule="exact"/>
              <w:jc w:val="center"/>
              <w:rPr>
                <w:rFonts w:ascii="宋体" w:hAnsi="宋体"/>
                <w:szCs w:val="21"/>
              </w:rPr>
            </w:pPr>
            <w:r>
              <w:rPr>
                <w:rFonts w:hint="eastAsia" w:ascii="宋体" w:hAnsi="宋体"/>
                <w:szCs w:val="21"/>
              </w:rPr>
              <w:t>项目主管</w:t>
            </w:r>
          </w:p>
        </w:tc>
        <w:tc>
          <w:tcPr>
            <w:tcW w:w="1418" w:type="dxa"/>
            <w:vAlign w:val="center"/>
          </w:tcPr>
          <w:p w14:paraId="67C40966">
            <w:pPr>
              <w:spacing w:line="400" w:lineRule="exact"/>
              <w:ind w:firstLine="420" w:firstLineChars="200"/>
              <w:rPr>
                <w:rFonts w:ascii="宋体" w:hAnsi="宋体"/>
                <w:szCs w:val="21"/>
              </w:rPr>
            </w:pPr>
          </w:p>
        </w:tc>
        <w:tc>
          <w:tcPr>
            <w:tcW w:w="1134" w:type="dxa"/>
            <w:vAlign w:val="center"/>
          </w:tcPr>
          <w:p w14:paraId="19C914E7">
            <w:pPr>
              <w:spacing w:line="400" w:lineRule="exact"/>
              <w:ind w:firstLine="420" w:firstLineChars="200"/>
              <w:rPr>
                <w:rFonts w:ascii="宋体" w:hAnsi="宋体"/>
                <w:szCs w:val="21"/>
              </w:rPr>
            </w:pPr>
          </w:p>
        </w:tc>
        <w:tc>
          <w:tcPr>
            <w:tcW w:w="1134" w:type="dxa"/>
            <w:vAlign w:val="center"/>
          </w:tcPr>
          <w:p w14:paraId="513CD8D7">
            <w:pPr>
              <w:spacing w:line="400" w:lineRule="exact"/>
              <w:ind w:firstLine="420" w:firstLineChars="200"/>
              <w:rPr>
                <w:rFonts w:ascii="宋体" w:hAnsi="宋体"/>
                <w:szCs w:val="21"/>
              </w:rPr>
            </w:pPr>
          </w:p>
        </w:tc>
        <w:tc>
          <w:tcPr>
            <w:tcW w:w="4252" w:type="dxa"/>
            <w:vAlign w:val="center"/>
          </w:tcPr>
          <w:p w14:paraId="49B1CED1">
            <w:pPr>
              <w:spacing w:line="400" w:lineRule="exact"/>
              <w:ind w:firstLine="420" w:firstLineChars="200"/>
              <w:rPr>
                <w:rFonts w:ascii="宋体" w:hAnsi="宋体"/>
                <w:szCs w:val="21"/>
              </w:rPr>
            </w:pPr>
          </w:p>
        </w:tc>
      </w:tr>
      <w:tr w14:paraId="1D5E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5B694A5">
            <w:pPr>
              <w:spacing w:line="400" w:lineRule="exact"/>
              <w:jc w:val="center"/>
              <w:rPr>
                <w:rFonts w:ascii="宋体" w:hAnsi="宋体"/>
                <w:szCs w:val="21"/>
              </w:rPr>
            </w:pPr>
          </w:p>
        </w:tc>
        <w:tc>
          <w:tcPr>
            <w:tcW w:w="1418" w:type="dxa"/>
            <w:vAlign w:val="center"/>
          </w:tcPr>
          <w:p w14:paraId="61B24E9D">
            <w:pPr>
              <w:spacing w:line="400" w:lineRule="exact"/>
              <w:ind w:firstLine="420" w:firstLineChars="200"/>
              <w:rPr>
                <w:rFonts w:ascii="宋体" w:hAnsi="宋体"/>
                <w:szCs w:val="21"/>
              </w:rPr>
            </w:pPr>
          </w:p>
        </w:tc>
        <w:tc>
          <w:tcPr>
            <w:tcW w:w="1134" w:type="dxa"/>
            <w:vAlign w:val="center"/>
          </w:tcPr>
          <w:p w14:paraId="19E6DC48">
            <w:pPr>
              <w:spacing w:line="400" w:lineRule="exact"/>
              <w:ind w:firstLine="420" w:firstLineChars="200"/>
              <w:rPr>
                <w:rFonts w:ascii="宋体" w:hAnsi="宋体"/>
                <w:szCs w:val="21"/>
              </w:rPr>
            </w:pPr>
          </w:p>
        </w:tc>
        <w:tc>
          <w:tcPr>
            <w:tcW w:w="1134" w:type="dxa"/>
            <w:vAlign w:val="center"/>
          </w:tcPr>
          <w:p w14:paraId="1D3EBE64">
            <w:pPr>
              <w:spacing w:line="400" w:lineRule="exact"/>
              <w:ind w:firstLine="420" w:firstLineChars="200"/>
              <w:rPr>
                <w:rFonts w:ascii="宋体" w:hAnsi="宋体"/>
                <w:szCs w:val="21"/>
              </w:rPr>
            </w:pPr>
          </w:p>
        </w:tc>
        <w:tc>
          <w:tcPr>
            <w:tcW w:w="4252" w:type="dxa"/>
            <w:vAlign w:val="center"/>
          </w:tcPr>
          <w:p w14:paraId="0FBBA947">
            <w:pPr>
              <w:spacing w:line="400" w:lineRule="exact"/>
              <w:ind w:firstLine="420" w:firstLineChars="200"/>
              <w:rPr>
                <w:rFonts w:ascii="宋体" w:hAnsi="宋体"/>
                <w:szCs w:val="21"/>
              </w:rPr>
            </w:pPr>
          </w:p>
        </w:tc>
      </w:tr>
      <w:tr w14:paraId="1C2B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1509890">
            <w:pPr>
              <w:spacing w:line="400" w:lineRule="exact"/>
              <w:jc w:val="center"/>
              <w:rPr>
                <w:rFonts w:ascii="宋体" w:hAnsi="宋体"/>
                <w:szCs w:val="21"/>
              </w:rPr>
            </w:pPr>
            <w:r>
              <w:rPr>
                <w:rFonts w:hint="eastAsia" w:ascii="宋体" w:hAnsi="宋体"/>
                <w:szCs w:val="21"/>
              </w:rPr>
              <w:t>其他人员</w:t>
            </w:r>
          </w:p>
        </w:tc>
        <w:tc>
          <w:tcPr>
            <w:tcW w:w="1418" w:type="dxa"/>
            <w:vAlign w:val="center"/>
          </w:tcPr>
          <w:p w14:paraId="3C0AD3DA">
            <w:pPr>
              <w:spacing w:line="400" w:lineRule="exact"/>
              <w:ind w:firstLine="420" w:firstLineChars="200"/>
              <w:rPr>
                <w:rFonts w:ascii="宋体" w:hAnsi="宋体"/>
                <w:szCs w:val="21"/>
              </w:rPr>
            </w:pPr>
          </w:p>
        </w:tc>
        <w:tc>
          <w:tcPr>
            <w:tcW w:w="1134" w:type="dxa"/>
            <w:vAlign w:val="center"/>
          </w:tcPr>
          <w:p w14:paraId="1C0C0122">
            <w:pPr>
              <w:spacing w:line="400" w:lineRule="exact"/>
              <w:ind w:firstLine="420" w:firstLineChars="200"/>
              <w:rPr>
                <w:rFonts w:ascii="宋体" w:hAnsi="宋体"/>
                <w:szCs w:val="21"/>
              </w:rPr>
            </w:pPr>
          </w:p>
        </w:tc>
        <w:tc>
          <w:tcPr>
            <w:tcW w:w="1134" w:type="dxa"/>
            <w:vAlign w:val="center"/>
          </w:tcPr>
          <w:p w14:paraId="1039DCC9">
            <w:pPr>
              <w:spacing w:line="400" w:lineRule="exact"/>
              <w:ind w:firstLine="420" w:firstLineChars="200"/>
              <w:rPr>
                <w:rFonts w:ascii="宋体" w:hAnsi="宋体"/>
                <w:szCs w:val="21"/>
              </w:rPr>
            </w:pPr>
          </w:p>
        </w:tc>
        <w:tc>
          <w:tcPr>
            <w:tcW w:w="4252" w:type="dxa"/>
            <w:vAlign w:val="center"/>
          </w:tcPr>
          <w:p w14:paraId="3AF33484">
            <w:pPr>
              <w:spacing w:line="400" w:lineRule="exact"/>
              <w:ind w:firstLine="420" w:firstLineChars="200"/>
              <w:rPr>
                <w:rFonts w:ascii="宋体" w:hAnsi="宋体"/>
                <w:szCs w:val="21"/>
              </w:rPr>
            </w:pPr>
          </w:p>
        </w:tc>
      </w:tr>
      <w:tr w14:paraId="13F52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D740031">
            <w:pPr>
              <w:spacing w:line="400" w:lineRule="exact"/>
              <w:jc w:val="center"/>
              <w:rPr>
                <w:rFonts w:ascii="宋体" w:hAnsi="宋体"/>
                <w:szCs w:val="21"/>
              </w:rPr>
            </w:pPr>
          </w:p>
        </w:tc>
        <w:tc>
          <w:tcPr>
            <w:tcW w:w="1418" w:type="dxa"/>
            <w:vAlign w:val="center"/>
          </w:tcPr>
          <w:p w14:paraId="262E3A85">
            <w:pPr>
              <w:spacing w:line="400" w:lineRule="exact"/>
              <w:ind w:firstLine="420" w:firstLineChars="200"/>
              <w:rPr>
                <w:rFonts w:ascii="宋体" w:hAnsi="宋体"/>
                <w:szCs w:val="21"/>
              </w:rPr>
            </w:pPr>
          </w:p>
        </w:tc>
        <w:tc>
          <w:tcPr>
            <w:tcW w:w="1134" w:type="dxa"/>
            <w:vAlign w:val="center"/>
          </w:tcPr>
          <w:p w14:paraId="3D5641D5">
            <w:pPr>
              <w:spacing w:line="400" w:lineRule="exact"/>
              <w:ind w:firstLine="420" w:firstLineChars="200"/>
              <w:rPr>
                <w:rFonts w:ascii="宋体" w:hAnsi="宋体"/>
                <w:szCs w:val="21"/>
              </w:rPr>
            </w:pPr>
          </w:p>
        </w:tc>
        <w:tc>
          <w:tcPr>
            <w:tcW w:w="1134" w:type="dxa"/>
            <w:vAlign w:val="center"/>
          </w:tcPr>
          <w:p w14:paraId="337D247A">
            <w:pPr>
              <w:spacing w:line="400" w:lineRule="exact"/>
              <w:ind w:firstLine="420" w:firstLineChars="200"/>
              <w:rPr>
                <w:rFonts w:ascii="宋体" w:hAnsi="宋体"/>
                <w:szCs w:val="21"/>
              </w:rPr>
            </w:pPr>
          </w:p>
        </w:tc>
        <w:tc>
          <w:tcPr>
            <w:tcW w:w="4252" w:type="dxa"/>
            <w:vAlign w:val="center"/>
          </w:tcPr>
          <w:p w14:paraId="632126D9">
            <w:pPr>
              <w:spacing w:line="400" w:lineRule="exact"/>
              <w:ind w:firstLine="420" w:firstLineChars="200"/>
              <w:rPr>
                <w:rFonts w:ascii="宋体" w:hAnsi="宋体"/>
                <w:szCs w:val="21"/>
              </w:rPr>
            </w:pPr>
          </w:p>
        </w:tc>
      </w:tr>
      <w:tr w14:paraId="15C4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305607A9">
            <w:pPr>
              <w:spacing w:line="400" w:lineRule="exact"/>
              <w:rPr>
                <w:rFonts w:ascii="宋体" w:hAnsi="宋体"/>
                <w:szCs w:val="21"/>
              </w:rPr>
            </w:pPr>
            <w:r>
              <w:rPr>
                <w:rFonts w:hint="eastAsia" w:ascii="宋体" w:hAnsi="宋体"/>
                <w:szCs w:val="21"/>
              </w:rPr>
              <w:t>二、现场人员</w:t>
            </w:r>
          </w:p>
        </w:tc>
      </w:tr>
      <w:tr w14:paraId="2B86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9BC2848">
            <w:pPr>
              <w:spacing w:line="400" w:lineRule="exact"/>
              <w:jc w:val="center"/>
              <w:rPr>
                <w:rFonts w:ascii="宋体" w:hAnsi="宋体"/>
                <w:szCs w:val="21"/>
              </w:rPr>
            </w:pPr>
            <w:r>
              <w:rPr>
                <w:rFonts w:hint="eastAsia" w:ascii="宋体" w:hAnsi="宋体"/>
                <w:szCs w:val="21"/>
              </w:rPr>
              <w:t>项目经理</w:t>
            </w:r>
          </w:p>
        </w:tc>
        <w:tc>
          <w:tcPr>
            <w:tcW w:w="1418" w:type="dxa"/>
            <w:vAlign w:val="center"/>
          </w:tcPr>
          <w:p w14:paraId="4AF02172">
            <w:pPr>
              <w:spacing w:line="400" w:lineRule="exact"/>
              <w:ind w:firstLine="420" w:firstLineChars="200"/>
              <w:rPr>
                <w:rFonts w:ascii="宋体" w:hAnsi="宋体"/>
                <w:szCs w:val="21"/>
              </w:rPr>
            </w:pPr>
          </w:p>
        </w:tc>
        <w:tc>
          <w:tcPr>
            <w:tcW w:w="1134" w:type="dxa"/>
            <w:vAlign w:val="center"/>
          </w:tcPr>
          <w:p w14:paraId="3632AEA5">
            <w:pPr>
              <w:spacing w:line="400" w:lineRule="exact"/>
              <w:ind w:firstLine="420" w:firstLineChars="200"/>
              <w:rPr>
                <w:rFonts w:ascii="宋体" w:hAnsi="宋体"/>
                <w:szCs w:val="21"/>
              </w:rPr>
            </w:pPr>
          </w:p>
        </w:tc>
        <w:tc>
          <w:tcPr>
            <w:tcW w:w="1134" w:type="dxa"/>
            <w:vAlign w:val="center"/>
          </w:tcPr>
          <w:p w14:paraId="5440A4C8">
            <w:pPr>
              <w:spacing w:line="400" w:lineRule="exact"/>
              <w:ind w:firstLine="420" w:firstLineChars="200"/>
              <w:rPr>
                <w:rFonts w:ascii="宋体" w:hAnsi="宋体"/>
                <w:szCs w:val="21"/>
              </w:rPr>
            </w:pPr>
          </w:p>
        </w:tc>
        <w:tc>
          <w:tcPr>
            <w:tcW w:w="4252" w:type="dxa"/>
            <w:vAlign w:val="center"/>
          </w:tcPr>
          <w:p w14:paraId="6A5A614B">
            <w:pPr>
              <w:spacing w:line="400" w:lineRule="exact"/>
              <w:ind w:firstLine="420" w:firstLineChars="200"/>
              <w:rPr>
                <w:rFonts w:ascii="宋体" w:hAnsi="宋体"/>
                <w:szCs w:val="21"/>
              </w:rPr>
            </w:pPr>
          </w:p>
        </w:tc>
      </w:tr>
      <w:tr w14:paraId="3833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4A174CF">
            <w:pPr>
              <w:spacing w:line="400" w:lineRule="exact"/>
              <w:jc w:val="center"/>
              <w:rPr>
                <w:rFonts w:ascii="宋体" w:hAnsi="宋体"/>
                <w:szCs w:val="21"/>
              </w:rPr>
            </w:pPr>
            <w:r>
              <w:rPr>
                <w:rFonts w:hint="eastAsia" w:ascii="宋体" w:hAnsi="宋体"/>
                <w:szCs w:val="21"/>
              </w:rPr>
              <w:t>项目副经理</w:t>
            </w:r>
          </w:p>
        </w:tc>
        <w:tc>
          <w:tcPr>
            <w:tcW w:w="1418" w:type="dxa"/>
            <w:vAlign w:val="center"/>
          </w:tcPr>
          <w:p w14:paraId="3BCDF6FB">
            <w:pPr>
              <w:spacing w:line="400" w:lineRule="exact"/>
              <w:ind w:firstLine="420" w:firstLineChars="200"/>
              <w:rPr>
                <w:rFonts w:ascii="宋体" w:hAnsi="宋体"/>
                <w:szCs w:val="21"/>
              </w:rPr>
            </w:pPr>
          </w:p>
        </w:tc>
        <w:tc>
          <w:tcPr>
            <w:tcW w:w="1134" w:type="dxa"/>
            <w:vAlign w:val="center"/>
          </w:tcPr>
          <w:p w14:paraId="658AC5F7">
            <w:pPr>
              <w:spacing w:line="400" w:lineRule="exact"/>
              <w:ind w:firstLine="420" w:firstLineChars="200"/>
              <w:rPr>
                <w:rFonts w:ascii="宋体" w:hAnsi="宋体"/>
                <w:szCs w:val="21"/>
              </w:rPr>
            </w:pPr>
          </w:p>
        </w:tc>
        <w:tc>
          <w:tcPr>
            <w:tcW w:w="1134" w:type="dxa"/>
            <w:vAlign w:val="center"/>
          </w:tcPr>
          <w:p w14:paraId="2EB5730D">
            <w:pPr>
              <w:spacing w:line="400" w:lineRule="exact"/>
              <w:ind w:firstLine="420" w:firstLineChars="200"/>
              <w:rPr>
                <w:rFonts w:ascii="宋体" w:hAnsi="宋体"/>
                <w:szCs w:val="21"/>
              </w:rPr>
            </w:pPr>
          </w:p>
        </w:tc>
        <w:tc>
          <w:tcPr>
            <w:tcW w:w="4252" w:type="dxa"/>
            <w:vAlign w:val="center"/>
          </w:tcPr>
          <w:p w14:paraId="51D36974">
            <w:pPr>
              <w:spacing w:line="400" w:lineRule="exact"/>
              <w:ind w:firstLine="420" w:firstLineChars="200"/>
              <w:rPr>
                <w:rFonts w:ascii="宋体" w:hAnsi="宋体"/>
                <w:szCs w:val="21"/>
              </w:rPr>
            </w:pPr>
          </w:p>
        </w:tc>
      </w:tr>
      <w:tr w14:paraId="46D7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FAFF38F">
            <w:pPr>
              <w:spacing w:line="400" w:lineRule="exact"/>
              <w:jc w:val="center"/>
              <w:rPr>
                <w:rFonts w:ascii="宋体" w:hAnsi="宋体"/>
                <w:szCs w:val="21"/>
              </w:rPr>
            </w:pPr>
            <w:r>
              <w:rPr>
                <w:rFonts w:hint="eastAsia" w:ascii="宋体" w:hAnsi="宋体"/>
                <w:szCs w:val="21"/>
              </w:rPr>
              <w:t>技术负责人</w:t>
            </w:r>
          </w:p>
        </w:tc>
        <w:tc>
          <w:tcPr>
            <w:tcW w:w="1418" w:type="dxa"/>
            <w:vAlign w:val="center"/>
          </w:tcPr>
          <w:p w14:paraId="499C3562">
            <w:pPr>
              <w:spacing w:line="400" w:lineRule="exact"/>
              <w:ind w:firstLine="420" w:firstLineChars="200"/>
              <w:rPr>
                <w:rFonts w:ascii="宋体" w:hAnsi="宋体"/>
                <w:szCs w:val="21"/>
              </w:rPr>
            </w:pPr>
          </w:p>
        </w:tc>
        <w:tc>
          <w:tcPr>
            <w:tcW w:w="1134" w:type="dxa"/>
            <w:vAlign w:val="center"/>
          </w:tcPr>
          <w:p w14:paraId="12FBC7A5">
            <w:pPr>
              <w:spacing w:line="400" w:lineRule="exact"/>
              <w:ind w:firstLine="420" w:firstLineChars="200"/>
              <w:rPr>
                <w:rFonts w:ascii="宋体" w:hAnsi="宋体"/>
                <w:szCs w:val="21"/>
              </w:rPr>
            </w:pPr>
          </w:p>
        </w:tc>
        <w:tc>
          <w:tcPr>
            <w:tcW w:w="1134" w:type="dxa"/>
            <w:vAlign w:val="center"/>
          </w:tcPr>
          <w:p w14:paraId="4542488B">
            <w:pPr>
              <w:spacing w:line="400" w:lineRule="exact"/>
              <w:ind w:firstLine="420" w:firstLineChars="200"/>
              <w:rPr>
                <w:rFonts w:ascii="宋体" w:hAnsi="宋体"/>
                <w:szCs w:val="21"/>
              </w:rPr>
            </w:pPr>
          </w:p>
        </w:tc>
        <w:tc>
          <w:tcPr>
            <w:tcW w:w="4252" w:type="dxa"/>
            <w:vAlign w:val="center"/>
          </w:tcPr>
          <w:p w14:paraId="544171E9">
            <w:pPr>
              <w:spacing w:line="400" w:lineRule="exact"/>
              <w:ind w:firstLine="420" w:firstLineChars="200"/>
              <w:rPr>
                <w:rFonts w:ascii="宋体" w:hAnsi="宋体"/>
                <w:szCs w:val="21"/>
              </w:rPr>
            </w:pPr>
          </w:p>
        </w:tc>
      </w:tr>
      <w:tr w14:paraId="21CF6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DDF4F57">
            <w:pPr>
              <w:spacing w:line="400" w:lineRule="exact"/>
              <w:jc w:val="center"/>
              <w:rPr>
                <w:rFonts w:ascii="宋体" w:hAnsi="宋体"/>
                <w:szCs w:val="21"/>
              </w:rPr>
            </w:pPr>
            <w:r>
              <w:rPr>
                <w:rFonts w:hint="eastAsia" w:ascii="宋体" w:hAnsi="宋体"/>
                <w:szCs w:val="21"/>
              </w:rPr>
              <w:t>造价管理</w:t>
            </w:r>
          </w:p>
        </w:tc>
        <w:tc>
          <w:tcPr>
            <w:tcW w:w="1418" w:type="dxa"/>
            <w:vAlign w:val="center"/>
          </w:tcPr>
          <w:p w14:paraId="582F43BB">
            <w:pPr>
              <w:spacing w:line="400" w:lineRule="exact"/>
              <w:ind w:firstLine="420" w:firstLineChars="200"/>
              <w:rPr>
                <w:rFonts w:ascii="宋体" w:hAnsi="宋体"/>
                <w:szCs w:val="21"/>
              </w:rPr>
            </w:pPr>
          </w:p>
        </w:tc>
        <w:tc>
          <w:tcPr>
            <w:tcW w:w="1134" w:type="dxa"/>
            <w:vAlign w:val="center"/>
          </w:tcPr>
          <w:p w14:paraId="54CBC9BA">
            <w:pPr>
              <w:spacing w:line="400" w:lineRule="exact"/>
              <w:ind w:firstLine="420" w:firstLineChars="200"/>
              <w:rPr>
                <w:rFonts w:ascii="宋体" w:hAnsi="宋体"/>
                <w:szCs w:val="21"/>
              </w:rPr>
            </w:pPr>
          </w:p>
        </w:tc>
        <w:tc>
          <w:tcPr>
            <w:tcW w:w="1134" w:type="dxa"/>
            <w:vAlign w:val="center"/>
          </w:tcPr>
          <w:p w14:paraId="13ABF508">
            <w:pPr>
              <w:spacing w:line="400" w:lineRule="exact"/>
              <w:ind w:firstLine="420" w:firstLineChars="200"/>
              <w:rPr>
                <w:rFonts w:ascii="宋体" w:hAnsi="宋体"/>
                <w:szCs w:val="21"/>
              </w:rPr>
            </w:pPr>
          </w:p>
        </w:tc>
        <w:tc>
          <w:tcPr>
            <w:tcW w:w="4252" w:type="dxa"/>
            <w:vAlign w:val="center"/>
          </w:tcPr>
          <w:p w14:paraId="20BFF848">
            <w:pPr>
              <w:spacing w:line="400" w:lineRule="exact"/>
              <w:ind w:firstLine="420" w:firstLineChars="200"/>
              <w:rPr>
                <w:rFonts w:ascii="宋体" w:hAnsi="宋体"/>
                <w:szCs w:val="21"/>
              </w:rPr>
            </w:pPr>
          </w:p>
        </w:tc>
      </w:tr>
      <w:tr w14:paraId="402B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E333F9D">
            <w:pPr>
              <w:spacing w:line="400" w:lineRule="exact"/>
              <w:jc w:val="center"/>
              <w:rPr>
                <w:rFonts w:ascii="宋体" w:hAnsi="宋体"/>
                <w:szCs w:val="21"/>
              </w:rPr>
            </w:pPr>
            <w:r>
              <w:rPr>
                <w:rFonts w:hint="eastAsia" w:ascii="宋体" w:hAnsi="宋体"/>
                <w:szCs w:val="21"/>
              </w:rPr>
              <w:t>质量管理</w:t>
            </w:r>
          </w:p>
        </w:tc>
        <w:tc>
          <w:tcPr>
            <w:tcW w:w="1418" w:type="dxa"/>
            <w:vAlign w:val="center"/>
          </w:tcPr>
          <w:p w14:paraId="4CF94936">
            <w:pPr>
              <w:spacing w:line="400" w:lineRule="exact"/>
              <w:ind w:firstLine="420" w:firstLineChars="200"/>
              <w:rPr>
                <w:rFonts w:ascii="宋体" w:hAnsi="宋体"/>
                <w:szCs w:val="21"/>
              </w:rPr>
            </w:pPr>
          </w:p>
        </w:tc>
        <w:tc>
          <w:tcPr>
            <w:tcW w:w="1134" w:type="dxa"/>
            <w:vAlign w:val="center"/>
          </w:tcPr>
          <w:p w14:paraId="60310D8E">
            <w:pPr>
              <w:spacing w:line="400" w:lineRule="exact"/>
              <w:ind w:firstLine="420" w:firstLineChars="200"/>
              <w:rPr>
                <w:rFonts w:ascii="宋体" w:hAnsi="宋体"/>
                <w:szCs w:val="21"/>
              </w:rPr>
            </w:pPr>
          </w:p>
        </w:tc>
        <w:tc>
          <w:tcPr>
            <w:tcW w:w="1134" w:type="dxa"/>
            <w:vAlign w:val="center"/>
          </w:tcPr>
          <w:p w14:paraId="7940D877">
            <w:pPr>
              <w:spacing w:line="400" w:lineRule="exact"/>
              <w:ind w:firstLine="420" w:firstLineChars="200"/>
              <w:rPr>
                <w:rFonts w:ascii="宋体" w:hAnsi="宋体"/>
                <w:szCs w:val="21"/>
              </w:rPr>
            </w:pPr>
          </w:p>
        </w:tc>
        <w:tc>
          <w:tcPr>
            <w:tcW w:w="4252" w:type="dxa"/>
            <w:vAlign w:val="center"/>
          </w:tcPr>
          <w:p w14:paraId="7E9D3D66">
            <w:pPr>
              <w:spacing w:line="400" w:lineRule="exact"/>
              <w:ind w:firstLine="420" w:firstLineChars="200"/>
              <w:rPr>
                <w:rFonts w:ascii="宋体" w:hAnsi="宋体"/>
                <w:szCs w:val="21"/>
              </w:rPr>
            </w:pPr>
          </w:p>
        </w:tc>
      </w:tr>
      <w:tr w14:paraId="1BC4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2E6811D">
            <w:pPr>
              <w:spacing w:line="400" w:lineRule="exact"/>
              <w:jc w:val="center"/>
              <w:rPr>
                <w:rFonts w:ascii="宋体" w:hAnsi="宋体"/>
                <w:szCs w:val="21"/>
              </w:rPr>
            </w:pPr>
            <w:r>
              <w:rPr>
                <w:rFonts w:hint="eastAsia" w:ascii="宋体" w:hAnsi="宋体"/>
                <w:szCs w:val="21"/>
              </w:rPr>
              <w:t>材料管理</w:t>
            </w:r>
          </w:p>
        </w:tc>
        <w:tc>
          <w:tcPr>
            <w:tcW w:w="1418" w:type="dxa"/>
            <w:vAlign w:val="center"/>
          </w:tcPr>
          <w:p w14:paraId="1076513A">
            <w:pPr>
              <w:spacing w:line="400" w:lineRule="exact"/>
              <w:ind w:firstLine="420" w:firstLineChars="200"/>
              <w:rPr>
                <w:rFonts w:ascii="宋体" w:hAnsi="宋体"/>
                <w:szCs w:val="21"/>
              </w:rPr>
            </w:pPr>
          </w:p>
        </w:tc>
        <w:tc>
          <w:tcPr>
            <w:tcW w:w="1134" w:type="dxa"/>
            <w:vAlign w:val="center"/>
          </w:tcPr>
          <w:p w14:paraId="38FDF468">
            <w:pPr>
              <w:spacing w:line="400" w:lineRule="exact"/>
              <w:ind w:firstLine="420" w:firstLineChars="200"/>
              <w:rPr>
                <w:rFonts w:ascii="宋体" w:hAnsi="宋体"/>
                <w:szCs w:val="21"/>
              </w:rPr>
            </w:pPr>
          </w:p>
        </w:tc>
        <w:tc>
          <w:tcPr>
            <w:tcW w:w="1134" w:type="dxa"/>
            <w:vAlign w:val="center"/>
          </w:tcPr>
          <w:p w14:paraId="2F107472">
            <w:pPr>
              <w:spacing w:line="400" w:lineRule="exact"/>
              <w:ind w:firstLine="420" w:firstLineChars="200"/>
              <w:rPr>
                <w:rFonts w:ascii="宋体" w:hAnsi="宋体"/>
                <w:szCs w:val="21"/>
              </w:rPr>
            </w:pPr>
          </w:p>
        </w:tc>
        <w:tc>
          <w:tcPr>
            <w:tcW w:w="4252" w:type="dxa"/>
            <w:vAlign w:val="center"/>
          </w:tcPr>
          <w:p w14:paraId="4738FD2F">
            <w:pPr>
              <w:spacing w:line="400" w:lineRule="exact"/>
              <w:ind w:firstLine="420" w:firstLineChars="200"/>
              <w:rPr>
                <w:rFonts w:ascii="宋体" w:hAnsi="宋体"/>
                <w:szCs w:val="21"/>
              </w:rPr>
            </w:pPr>
          </w:p>
        </w:tc>
      </w:tr>
      <w:tr w14:paraId="3B44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4961D7B">
            <w:pPr>
              <w:spacing w:line="400" w:lineRule="exact"/>
              <w:jc w:val="center"/>
              <w:rPr>
                <w:rFonts w:ascii="宋体" w:hAnsi="宋体"/>
                <w:szCs w:val="21"/>
              </w:rPr>
            </w:pPr>
            <w:r>
              <w:rPr>
                <w:rFonts w:hint="eastAsia" w:ascii="宋体" w:hAnsi="宋体"/>
                <w:szCs w:val="21"/>
              </w:rPr>
              <w:t>计划管理</w:t>
            </w:r>
          </w:p>
        </w:tc>
        <w:tc>
          <w:tcPr>
            <w:tcW w:w="1418" w:type="dxa"/>
            <w:vAlign w:val="center"/>
          </w:tcPr>
          <w:p w14:paraId="1CE8AB05">
            <w:pPr>
              <w:spacing w:line="400" w:lineRule="exact"/>
              <w:ind w:firstLine="420" w:firstLineChars="200"/>
              <w:rPr>
                <w:rFonts w:ascii="宋体" w:hAnsi="宋体"/>
                <w:szCs w:val="21"/>
              </w:rPr>
            </w:pPr>
          </w:p>
        </w:tc>
        <w:tc>
          <w:tcPr>
            <w:tcW w:w="1134" w:type="dxa"/>
            <w:vAlign w:val="center"/>
          </w:tcPr>
          <w:p w14:paraId="1F446396">
            <w:pPr>
              <w:spacing w:line="400" w:lineRule="exact"/>
              <w:ind w:firstLine="420" w:firstLineChars="200"/>
              <w:rPr>
                <w:rFonts w:ascii="宋体" w:hAnsi="宋体"/>
                <w:szCs w:val="21"/>
              </w:rPr>
            </w:pPr>
          </w:p>
        </w:tc>
        <w:tc>
          <w:tcPr>
            <w:tcW w:w="1134" w:type="dxa"/>
            <w:vAlign w:val="center"/>
          </w:tcPr>
          <w:p w14:paraId="5B2D49B9">
            <w:pPr>
              <w:spacing w:line="400" w:lineRule="exact"/>
              <w:ind w:firstLine="420" w:firstLineChars="200"/>
              <w:rPr>
                <w:rFonts w:ascii="宋体" w:hAnsi="宋体"/>
                <w:szCs w:val="21"/>
              </w:rPr>
            </w:pPr>
          </w:p>
        </w:tc>
        <w:tc>
          <w:tcPr>
            <w:tcW w:w="4252" w:type="dxa"/>
            <w:vAlign w:val="center"/>
          </w:tcPr>
          <w:p w14:paraId="3B9C6E9E">
            <w:pPr>
              <w:spacing w:line="400" w:lineRule="exact"/>
              <w:ind w:firstLine="420" w:firstLineChars="200"/>
              <w:rPr>
                <w:rFonts w:ascii="宋体" w:hAnsi="宋体"/>
                <w:szCs w:val="21"/>
              </w:rPr>
            </w:pPr>
          </w:p>
        </w:tc>
      </w:tr>
      <w:tr w14:paraId="6E57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201B64D">
            <w:pPr>
              <w:spacing w:line="400" w:lineRule="exact"/>
              <w:jc w:val="center"/>
              <w:rPr>
                <w:rFonts w:ascii="宋体" w:hAnsi="宋体"/>
                <w:szCs w:val="21"/>
              </w:rPr>
            </w:pPr>
            <w:r>
              <w:rPr>
                <w:rFonts w:hint="eastAsia" w:ascii="宋体" w:hAnsi="宋体"/>
                <w:szCs w:val="21"/>
              </w:rPr>
              <w:t>安全管理</w:t>
            </w:r>
          </w:p>
        </w:tc>
        <w:tc>
          <w:tcPr>
            <w:tcW w:w="1418" w:type="dxa"/>
            <w:vAlign w:val="center"/>
          </w:tcPr>
          <w:p w14:paraId="37F8B385">
            <w:pPr>
              <w:spacing w:line="400" w:lineRule="exact"/>
              <w:ind w:firstLine="420" w:firstLineChars="200"/>
              <w:rPr>
                <w:rFonts w:ascii="宋体" w:hAnsi="宋体"/>
                <w:szCs w:val="21"/>
              </w:rPr>
            </w:pPr>
          </w:p>
        </w:tc>
        <w:tc>
          <w:tcPr>
            <w:tcW w:w="1134" w:type="dxa"/>
            <w:vAlign w:val="center"/>
          </w:tcPr>
          <w:p w14:paraId="611660E9">
            <w:pPr>
              <w:spacing w:line="400" w:lineRule="exact"/>
              <w:ind w:firstLine="420" w:firstLineChars="200"/>
              <w:rPr>
                <w:rFonts w:ascii="宋体" w:hAnsi="宋体"/>
                <w:szCs w:val="21"/>
              </w:rPr>
            </w:pPr>
          </w:p>
        </w:tc>
        <w:tc>
          <w:tcPr>
            <w:tcW w:w="1134" w:type="dxa"/>
            <w:vAlign w:val="center"/>
          </w:tcPr>
          <w:p w14:paraId="65CBF810">
            <w:pPr>
              <w:spacing w:line="400" w:lineRule="exact"/>
              <w:ind w:firstLine="420" w:firstLineChars="200"/>
              <w:rPr>
                <w:rFonts w:ascii="宋体" w:hAnsi="宋体"/>
                <w:szCs w:val="21"/>
              </w:rPr>
            </w:pPr>
          </w:p>
        </w:tc>
        <w:tc>
          <w:tcPr>
            <w:tcW w:w="4252" w:type="dxa"/>
            <w:vAlign w:val="center"/>
          </w:tcPr>
          <w:p w14:paraId="577C5366">
            <w:pPr>
              <w:spacing w:line="400" w:lineRule="exact"/>
              <w:ind w:firstLine="420" w:firstLineChars="200"/>
              <w:rPr>
                <w:rFonts w:ascii="宋体" w:hAnsi="宋体"/>
                <w:szCs w:val="21"/>
              </w:rPr>
            </w:pPr>
          </w:p>
        </w:tc>
      </w:tr>
      <w:tr w14:paraId="64A38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06A712AB">
            <w:pPr>
              <w:spacing w:line="400" w:lineRule="exact"/>
              <w:jc w:val="center"/>
              <w:rPr>
                <w:rFonts w:ascii="宋体" w:hAnsi="宋体"/>
                <w:szCs w:val="21"/>
              </w:rPr>
            </w:pPr>
            <w:r>
              <w:rPr>
                <w:rFonts w:hint="eastAsia" w:ascii="宋体" w:hAnsi="宋体"/>
                <w:szCs w:val="21"/>
              </w:rPr>
              <w:t>其他人员</w:t>
            </w:r>
          </w:p>
        </w:tc>
        <w:tc>
          <w:tcPr>
            <w:tcW w:w="1418" w:type="dxa"/>
            <w:vAlign w:val="center"/>
          </w:tcPr>
          <w:p w14:paraId="57485259">
            <w:pPr>
              <w:spacing w:line="400" w:lineRule="exact"/>
              <w:ind w:firstLine="420" w:firstLineChars="200"/>
              <w:rPr>
                <w:rFonts w:ascii="宋体" w:hAnsi="宋体"/>
                <w:szCs w:val="21"/>
              </w:rPr>
            </w:pPr>
          </w:p>
        </w:tc>
        <w:tc>
          <w:tcPr>
            <w:tcW w:w="1134" w:type="dxa"/>
            <w:vAlign w:val="center"/>
          </w:tcPr>
          <w:p w14:paraId="39C3C2F3">
            <w:pPr>
              <w:spacing w:line="400" w:lineRule="exact"/>
              <w:ind w:firstLine="420" w:firstLineChars="200"/>
              <w:rPr>
                <w:rFonts w:ascii="宋体" w:hAnsi="宋体"/>
                <w:szCs w:val="21"/>
              </w:rPr>
            </w:pPr>
          </w:p>
        </w:tc>
        <w:tc>
          <w:tcPr>
            <w:tcW w:w="1134" w:type="dxa"/>
            <w:vAlign w:val="center"/>
          </w:tcPr>
          <w:p w14:paraId="52E49984">
            <w:pPr>
              <w:spacing w:line="400" w:lineRule="exact"/>
              <w:ind w:firstLine="420" w:firstLineChars="200"/>
              <w:rPr>
                <w:rFonts w:ascii="宋体" w:hAnsi="宋体"/>
                <w:szCs w:val="21"/>
              </w:rPr>
            </w:pPr>
          </w:p>
        </w:tc>
        <w:tc>
          <w:tcPr>
            <w:tcW w:w="4252" w:type="dxa"/>
            <w:vAlign w:val="center"/>
          </w:tcPr>
          <w:p w14:paraId="762E20BE">
            <w:pPr>
              <w:spacing w:line="400" w:lineRule="exact"/>
              <w:ind w:firstLine="420" w:firstLineChars="200"/>
              <w:rPr>
                <w:rFonts w:ascii="宋体" w:hAnsi="宋体"/>
                <w:szCs w:val="21"/>
              </w:rPr>
            </w:pPr>
          </w:p>
        </w:tc>
      </w:tr>
      <w:tr w14:paraId="1B12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26B4AE70">
            <w:pPr>
              <w:spacing w:line="400" w:lineRule="exact"/>
              <w:ind w:firstLine="420" w:firstLineChars="200"/>
              <w:rPr>
                <w:rFonts w:ascii="宋体" w:hAnsi="宋体"/>
                <w:szCs w:val="21"/>
              </w:rPr>
            </w:pPr>
          </w:p>
        </w:tc>
        <w:tc>
          <w:tcPr>
            <w:tcW w:w="1418" w:type="dxa"/>
            <w:vAlign w:val="center"/>
          </w:tcPr>
          <w:p w14:paraId="641A0309">
            <w:pPr>
              <w:spacing w:line="400" w:lineRule="exact"/>
              <w:ind w:firstLine="420" w:firstLineChars="200"/>
              <w:rPr>
                <w:rFonts w:ascii="宋体" w:hAnsi="宋体"/>
                <w:szCs w:val="21"/>
              </w:rPr>
            </w:pPr>
          </w:p>
        </w:tc>
        <w:tc>
          <w:tcPr>
            <w:tcW w:w="1134" w:type="dxa"/>
            <w:vAlign w:val="center"/>
          </w:tcPr>
          <w:p w14:paraId="2283C87E">
            <w:pPr>
              <w:spacing w:line="400" w:lineRule="exact"/>
              <w:ind w:firstLine="420" w:firstLineChars="200"/>
              <w:rPr>
                <w:rFonts w:ascii="宋体" w:hAnsi="宋体"/>
                <w:szCs w:val="21"/>
              </w:rPr>
            </w:pPr>
          </w:p>
        </w:tc>
        <w:tc>
          <w:tcPr>
            <w:tcW w:w="1134" w:type="dxa"/>
            <w:vAlign w:val="center"/>
          </w:tcPr>
          <w:p w14:paraId="43A97600">
            <w:pPr>
              <w:spacing w:line="400" w:lineRule="exact"/>
              <w:ind w:firstLine="420" w:firstLineChars="200"/>
              <w:rPr>
                <w:rFonts w:ascii="宋体" w:hAnsi="宋体"/>
                <w:szCs w:val="21"/>
              </w:rPr>
            </w:pPr>
          </w:p>
        </w:tc>
        <w:tc>
          <w:tcPr>
            <w:tcW w:w="4252" w:type="dxa"/>
            <w:vAlign w:val="center"/>
          </w:tcPr>
          <w:p w14:paraId="490D33AF">
            <w:pPr>
              <w:spacing w:line="400" w:lineRule="exact"/>
              <w:ind w:firstLine="420" w:firstLineChars="200"/>
              <w:rPr>
                <w:rFonts w:ascii="宋体" w:hAnsi="宋体"/>
                <w:szCs w:val="21"/>
              </w:rPr>
            </w:pPr>
          </w:p>
        </w:tc>
      </w:tr>
      <w:tr w14:paraId="7C84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1135BB9">
            <w:pPr>
              <w:spacing w:line="400" w:lineRule="exact"/>
              <w:ind w:firstLine="420" w:firstLineChars="200"/>
              <w:rPr>
                <w:rFonts w:ascii="宋体" w:hAnsi="宋体"/>
                <w:szCs w:val="21"/>
              </w:rPr>
            </w:pPr>
          </w:p>
        </w:tc>
        <w:tc>
          <w:tcPr>
            <w:tcW w:w="1418" w:type="dxa"/>
            <w:vAlign w:val="center"/>
          </w:tcPr>
          <w:p w14:paraId="464F3EDA">
            <w:pPr>
              <w:spacing w:line="400" w:lineRule="exact"/>
              <w:ind w:firstLine="420" w:firstLineChars="200"/>
              <w:rPr>
                <w:rFonts w:ascii="宋体" w:hAnsi="宋体"/>
                <w:szCs w:val="21"/>
              </w:rPr>
            </w:pPr>
          </w:p>
        </w:tc>
        <w:tc>
          <w:tcPr>
            <w:tcW w:w="1134" w:type="dxa"/>
            <w:vAlign w:val="center"/>
          </w:tcPr>
          <w:p w14:paraId="5C74D641">
            <w:pPr>
              <w:spacing w:line="400" w:lineRule="exact"/>
              <w:ind w:firstLine="420" w:firstLineChars="200"/>
              <w:rPr>
                <w:rFonts w:ascii="宋体" w:hAnsi="宋体"/>
                <w:szCs w:val="21"/>
              </w:rPr>
            </w:pPr>
          </w:p>
        </w:tc>
        <w:tc>
          <w:tcPr>
            <w:tcW w:w="1134" w:type="dxa"/>
            <w:vAlign w:val="center"/>
          </w:tcPr>
          <w:p w14:paraId="6B0DE95C">
            <w:pPr>
              <w:spacing w:line="400" w:lineRule="exact"/>
              <w:ind w:firstLine="420" w:firstLineChars="200"/>
              <w:rPr>
                <w:rFonts w:ascii="宋体" w:hAnsi="宋体"/>
                <w:szCs w:val="21"/>
              </w:rPr>
            </w:pPr>
          </w:p>
        </w:tc>
        <w:tc>
          <w:tcPr>
            <w:tcW w:w="4252" w:type="dxa"/>
            <w:vAlign w:val="center"/>
          </w:tcPr>
          <w:p w14:paraId="794CF866">
            <w:pPr>
              <w:spacing w:line="400" w:lineRule="exact"/>
              <w:ind w:firstLine="420" w:firstLineChars="200"/>
              <w:rPr>
                <w:rFonts w:ascii="宋体" w:hAnsi="宋体"/>
                <w:szCs w:val="21"/>
              </w:rPr>
            </w:pPr>
          </w:p>
        </w:tc>
      </w:tr>
      <w:tr w14:paraId="58AA7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1871" w:type="dxa"/>
            <w:vMerge w:val="continue"/>
            <w:vAlign w:val="center"/>
          </w:tcPr>
          <w:p w14:paraId="201E077C">
            <w:pPr>
              <w:spacing w:line="400" w:lineRule="exact"/>
              <w:ind w:firstLine="420" w:firstLineChars="200"/>
              <w:rPr>
                <w:rFonts w:ascii="宋体" w:hAnsi="宋体"/>
                <w:szCs w:val="21"/>
              </w:rPr>
            </w:pPr>
          </w:p>
        </w:tc>
        <w:tc>
          <w:tcPr>
            <w:tcW w:w="1418" w:type="dxa"/>
            <w:vAlign w:val="center"/>
          </w:tcPr>
          <w:p w14:paraId="5CE7E15D">
            <w:pPr>
              <w:spacing w:line="400" w:lineRule="exact"/>
              <w:ind w:firstLine="420" w:firstLineChars="200"/>
              <w:rPr>
                <w:rFonts w:ascii="宋体" w:hAnsi="宋体"/>
                <w:szCs w:val="21"/>
              </w:rPr>
            </w:pPr>
          </w:p>
        </w:tc>
        <w:tc>
          <w:tcPr>
            <w:tcW w:w="1134" w:type="dxa"/>
            <w:vAlign w:val="center"/>
          </w:tcPr>
          <w:p w14:paraId="14F16D44">
            <w:pPr>
              <w:spacing w:line="400" w:lineRule="exact"/>
              <w:ind w:firstLine="420" w:firstLineChars="200"/>
              <w:rPr>
                <w:rFonts w:ascii="宋体" w:hAnsi="宋体"/>
                <w:szCs w:val="21"/>
              </w:rPr>
            </w:pPr>
          </w:p>
        </w:tc>
        <w:tc>
          <w:tcPr>
            <w:tcW w:w="1134" w:type="dxa"/>
            <w:vAlign w:val="center"/>
          </w:tcPr>
          <w:p w14:paraId="5237364E">
            <w:pPr>
              <w:spacing w:line="400" w:lineRule="exact"/>
              <w:ind w:firstLine="420" w:firstLineChars="200"/>
              <w:rPr>
                <w:rFonts w:ascii="宋体" w:hAnsi="宋体"/>
                <w:szCs w:val="21"/>
              </w:rPr>
            </w:pPr>
          </w:p>
        </w:tc>
        <w:tc>
          <w:tcPr>
            <w:tcW w:w="4252" w:type="dxa"/>
            <w:vAlign w:val="center"/>
          </w:tcPr>
          <w:p w14:paraId="10FC2162">
            <w:pPr>
              <w:spacing w:line="400" w:lineRule="exact"/>
              <w:ind w:firstLine="420" w:firstLineChars="200"/>
              <w:rPr>
                <w:rFonts w:ascii="宋体" w:hAnsi="宋体"/>
                <w:szCs w:val="21"/>
              </w:rPr>
            </w:pPr>
          </w:p>
        </w:tc>
      </w:tr>
      <w:tr w14:paraId="4F14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Merge w:val="continue"/>
            <w:vAlign w:val="center"/>
          </w:tcPr>
          <w:p w14:paraId="4A585A7A">
            <w:pPr>
              <w:spacing w:line="400" w:lineRule="exact"/>
              <w:ind w:firstLine="420" w:firstLineChars="200"/>
              <w:rPr>
                <w:rFonts w:ascii="宋体" w:hAnsi="宋体"/>
                <w:szCs w:val="21"/>
              </w:rPr>
            </w:pPr>
          </w:p>
        </w:tc>
        <w:tc>
          <w:tcPr>
            <w:tcW w:w="1418" w:type="dxa"/>
            <w:vAlign w:val="center"/>
          </w:tcPr>
          <w:p w14:paraId="3978D6E4">
            <w:pPr>
              <w:spacing w:line="400" w:lineRule="exact"/>
              <w:ind w:firstLine="420" w:firstLineChars="200"/>
              <w:rPr>
                <w:rFonts w:ascii="宋体" w:hAnsi="宋体"/>
                <w:szCs w:val="21"/>
              </w:rPr>
            </w:pPr>
          </w:p>
        </w:tc>
        <w:tc>
          <w:tcPr>
            <w:tcW w:w="1134" w:type="dxa"/>
            <w:vAlign w:val="center"/>
          </w:tcPr>
          <w:p w14:paraId="06EF288A">
            <w:pPr>
              <w:spacing w:line="400" w:lineRule="exact"/>
              <w:ind w:firstLine="420" w:firstLineChars="200"/>
              <w:rPr>
                <w:rFonts w:ascii="宋体" w:hAnsi="宋体"/>
                <w:szCs w:val="21"/>
              </w:rPr>
            </w:pPr>
          </w:p>
        </w:tc>
        <w:tc>
          <w:tcPr>
            <w:tcW w:w="1134" w:type="dxa"/>
            <w:vAlign w:val="center"/>
          </w:tcPr>
          <w:p w14:paraId="0CE10EC7">
            <w:pPr>
              <w:spacing w:line="400" w:lineRule="exact"/>
              <w:ind w:firstLine="420" w:firstLineChars="200"/>
              <w:rPr>
                <w:rFonts w:ascii="宋体" w:hAnsi="宋体"/>
                <w:szCs w:val="21"/>
              </w:rPr>
            </w:pPr>
          </w:p>
        </w:tc>
        <w:tc>
          <w:tcPr>
            <w:tcW w:w="4252" w:type="dxa"/>
            <w:vAlign w:val="center"/>
          </w:tcPr>
          <w:p w14:paraId="1A43B61C">
            <w:pPr>
              <w:spacing w:line="400" w:lineRule="exact"/>
              <w:ind w:firstLine="420" w:firstLineChars="200"/>
              <w:rPr>
                <w:rFonts w:ascii="宋体" w:hAnsi="宋体"/>
                <w:szCs w:val="21"/>
              </w:rPr>
            </w:pPr>
          </w:p>
        </w:tc>
      </w:tr>
    </w:tbl>
    <w:p w14:paraId="4042E499">
      <w:pPr>
        <w:spacing w:line="480" w:lineRule="auto"/>
        <w:rPr>
          <w:rFonts w:ascii="宋体" w:hAnsi="宋体"/>
          <w:szCs w:val="21"/>
        </w:rPr>
      </w:pPr>
      <w:r>
        <w:rPr>
          <w:rFonts w:hint="eastAsia" w:ascii="宋体" w:hAnsi="宋体"/>
          <w:szCs w:val="21"/>
        </w:rPr>
        <w:br w:type="page"/>
      </w:r>
      <w:bookmarkStart w:id="1304" w:name="_Toc267261701"/>
      <w:r>
        <w:rPr>
          <w:rFonts w:hint="eastAsia" w:ascii="宋体" w:hAnsi="宋体"/>
          <w:szCs w:val="21"/>
        </w:rPr>
        <w:t>附</w:t>
      </w:r>
      <w:bookmarkStart w:id="1305" w:name="_Toc296503231"/>
      <w:bookmarkStart w:id="1306" w:name="_Toc296944570"/>
      <w:bookmarkStart w:id="1307" w:name="_Toc296346732"/>
      <w:bookmarkStart w:id="1308" w:name="_Toc296347230"/>
      <w:bookmarkStart w:id="1309" w:name="_Toc296891271"/>
      <w:bookmarkStart w:id="1310" w:name="_Toc296891059"/>
      <w:r>
        <w:rPr>
          <w:rFonts w:hint="eastAsia" w:ascii="宋体" w:hAnsi="宋体"/>
          <w:szCs w:val="21"/>
        </w:rPr>
        <w:t>件4：</w:t>
      </w:r>
    </w:p>
    <w:bookmarkEnd w:id="1304"/>
    <w:bookmarkEnd w:id="1305"/>
    <w:bookmarkEnd w:id="1306"/>
    <w:bookmarkEnd w:id="1307"/>
    <w:bookmarkEnd w:id="1308"/>
    <w:bookmarkEnd w:id="1309"/>
    <w:bookmarkEnd w:id="1310"/>
    <w:p w14:paraId="35F84A48">
      <w:pPr>
        <w:spacing w:line="360" w:lineRule="auto"/>
        <w:ind w:firstLine="420" w:firstLineChars="200"/>
        <w:jc w:val="center"/>
        <w:rPr>
          <w:rFonts w:ascii="宋体" w:hAnsi="宋体"/>
          <w:szCs w:val="21"/>
        </w:rPr>
      </w:pPr>
      <w:r>
        <w:rPr>
          <w:rFonts w:hint="eastAsia" w:ascii="宋体" w:hAnsi="宋体"/>
          <w:szCs w:val="21"/>
        </w:rPr>
        <w:t>履约担保（如有）</w:t>
      </w:r>
    </w:p>
    <w:p w14:paraId="4FFBD4AA">
      <w:pPr>
        <w:spacing w:line="360" w:lineRule="auto"/>
        <w:ind w:firstLine="420" w:firstLineChars="200"/>
        <w:rPr>
          <w:rFonts w:ascii="宋体" w:hAnsi="宋体"/>
          <w:szCs w:val="21"/>
        </w:rPr>
      </w:pP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rPr>
        <w:t>（发包人名称）：</w:t>
      </w:r>
    </w:p>
    <w:p w14:paraId="1452E456">
      <w:pPr>
        <w:spacing w:line="360" w:lineRule="auto"/>
        <w:ind w:firstLine="420" w:firstLineChars="200"/>
        <w:rPr>
          <w:rFonts w:ascii="宋体" w:hAnsi="宋体"/>
          <w:szCs w:val="21"/>
        </w:rPr>
      </w:pPr>
    </w:p>
    <w:p w14:paraId="55D67035">
      <w:pPr>
        <w:spacing w:line="360" w:lineRule="auto"/>
        <w:ind w:firstLine="420" w:firstLineChars="200"/>
        <w:rPr>
          <w:rFonts w:ascii="宋体" w:hAnsi="宋体"/>
          <w:szCs w:val="21"/>
        </w:rPr>
      </w:pPr>
      <w:r>
        <w:rPr>
          <w:rFonts w:hint="eastAsia" w:ascii="宋体" w:hAnsi="宋体"/>
          <w:szCs w:val="21"/>
        </w:rPr>
        <w:t>鉴于</w:t>
      </w:r>
      <w:r>
        <w:rPr>
          <w:rFonts w:hint="eastAsia" w:ascii="宋体" w:hAnsi="宋体"/>
          <w:szCs w:val="21"/>
          <w:u w:val="single"/>
        </w:rPr>
        <w:t xml:space="preserve">                </w:t>
      </w:r>
      <w:r>
        <w:rPr>
          <w:rFonts w:hint="eastAsia" w:ascii="宋体" w:hAnsi="宋体"/>
          <w:szCs w:val="21"/>
        </w:rPr>
        <w:t>（发包人名称，以下简称“发包人”）与</w:t>
      </w:r>
    </w:p>
    <w:p w14:paraId="3B394CE4">
      <w:pPr>
        <w:spacing w:line="360" w:lineRule="auto"/>
        <w:ind w:firstLine="420" w:firstLineChars="200"/>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（承包人名称）（以下称“承包人”）于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日就</w:t>
      </w:r>
      <w:r>
        <w:rPr>
          <w:rFonts w:hint="eastAsia" w:ascii="宋体" w:hAnsi="宋体"/>
          <w:szCs w:val="21"/>
          <w:u w:val="single"/>
        </w:rPr>
        <w:t xml:space="preserve">                         </w:t>
      </w:r>
      <w:r>
        <w:rPr>
          <w:rFonts w:hint="eastAsia" w:ascii="宋体" w:hAnsi="宋体"/>
          <w:szCs w:val="21"/>
        </w:rPr>
        <w:t>（工程名称）施工及有关事项协商一致共同签订《建设工程施工合同》。我方愿意无条件地、不可撤销地就承包人履行与你方签订的合同，向你方提供连带责任担保。</w:t>
      </w:r>
    </w:p>
    <w:p w14:paraId="381748BE">
      <w:pPr>
        <w:spacing w:line="360" w:lineRule="auto"/>
        <w:ind w:firstLine="420" w:firstLineChars="200"/>
        <w:rPr>
          <w:rFonts w:ascii="宋体" w:hAnsi="宋体"/>
          <w:szCs w:val="21"/>
        </w:rPr>
      </w:pPr>
      <w:r>
        <w:rPr>
          <w:rFonts w:hint="eastAsia" w:ascii="宋体" w:hAnsi="宋体"/>
          <w:szCs w:val="21"/>
        </w:rPr>
        <w:t>1. 担保金额人民币（大写）</w:t>
      </w:r>
      <w:r>
        <w:rPr>
          <w:rFonts w:hint="eastAsia" w:ascii="宋体" w:hAnsi="宋体"/>
          <w:szCs w:val="21"/>
          <w:u w:val="single"/>
        </w:rPr>
        <w:t xml:space="preserve">        </w:t>
      </w:r>
      <w:r>
        <w:rPr>
          <w:rFonts w:hint="eastAsia" w:ascii="宋体" w:hAnsi="宋体"/>
          <w:szCs w:val="21"/>
        </w:rPr>
        <w:t>元（¥</w:t>
      </w:r>
      <w:r>
        <w:rPr>
          <w:rFonts w:hint="eastAsia" w:ascii="宋体" w:hAnsi="宋体"/>
          <w:szCs w:val="21"/>
          <w:u w:val="single"/>
        </w:rPr>
        <w:t xml:space="preserve">        </w:t>
      </w:r>
      <w:r>
        <w:rPr>
          <w:rFonts w:hint="eastAsia" w:ascii="宋体" w:hAnsi="宋体"/>
          <w:szCs w:val="21"/>
        </w:rPr>
        <w:t>）。</w:t>
      </w:r>
    </w:p>
    <w:p w14:paraId="28143E07">
      <w:pPr>
        <w:spacing w:line="360" w:lineRule="auto"/>
        <w:ind w:firstLine="420" w:firstLineChars="200"/>
        <w:rPr>
          <w:rFonts w:ascii="宋体" w:hAnsi="宋体"/>
          <w:szCs w:val="21"/>
        </w:rPr>
      </w:pPr>
      <w:r>
        <w:rPr>
          <w:rFonts w:hint="eastAsia" w:ascii="宋体" w:hAnsi="宋体"/>
          <w:szCs w:val="21"/>
        </w:rPr>
        <w:t>2. 担保有效期：</w:t>
      </w:r>
      <w:r>
        <w:rPr>
          <w:rFonts w:hint="eastAsia" w:ascii="宋体" w:hAnsi="宋体"/>
          <w:szCs w:val="21"/>
          <w:u w:val="single"/>
        </w:rPr>
        <w:t>自</w:t>
      </w:r>
      <w:r>
        <w:rPr>
          <w:rStyle w:val="54"/>
          <w:rFonts w:hint="eastAsia"/>
          <w:u w:val="single"/>
        </w:rPr>
        <w:t>我</w:t>
      </w:r>
      <w:r>
        <w:rPr>
          <w:rFonts w:hint="eastAsia" w:ascii="宋体" w:hAnsi="宋体"/>
          <w:szCs w:val="21"/>
          <w:u w:val="single"/>
        </w:rPr>
        <w:t>方法定代表人（或其委托代理人）签名并加盖单位公章之日起至你方签发或应签发工程接收证书之日止</w:t>
      </w:r>
      <w:r>
        <w:rPr>
          <w:rFonts w:hint="eastAsia" w:ascii="宋体" w:hAnsi="宋体"/>
          <w:szCs w:val="21"/>
        </w:rPr>
        <w:t>。</w:t>
      </w:r>
    </w:p>
    <w:p w14:paraId="3AA5998B">
      <w:pPr>
        <w:spacing w:line="360" w:lineRule="auto"/>
        <w:ind w:firstLine="420" w:firstLineChars="200"/>
        <w:rPr>
          <w:rFonts w:ascii="宋体" w:hAnsi="宋体"/>
          <w:szCs w:val="21"/>
        </w:rPr>
      </w:pPr>
      <w:r>
        <w:rPr>
          <w:rFonts w:hint="eastAsia" w:ascii="宋体" w:hAnsi="宋体"/>
          <w:szCs w:val="21"/>
        </w:rPr>
        <w:t>3. 在本担保有效期内，因承包人违反合同约定的义务给你方造成经济损失时，我方在收到你方以书面形式提出的在担保金额内的赔偿要求后，在7天内无条件支付。</w:t>
      </w:r>
    </w:p>
    <w:p w14:paraId="74AE8657">
      <w:pPr>
        <w:spacing w:line="360" w:lineRule="auto"/>
        <w:ind w:firstLine="420" w:firstLineChars="200"/>
        <w:rPr>
          <w:rFonts w:ascii="宋体" w:hAnsi="宋体"/>
          <w:szCs w:val="21"/>
        </w:rPr>
      </w:pPr>
      <w:r>
        <w:rPr>
          <w:rFonts w:hint="eastAsia" w:ascii="宋体" w:hAnsi="宋体"/>
          <w:szCs w:val="21"/>
        </w:rPr>
        <w:t>4. 你方和承包人按合同约定变更合同时，我方承担本担保规定的义务不变。</w:t>
      </w:r>
    </w:p>
    <w:p w14:paraId="7B433662">
      <w:pPr>
        <w:spacing w:line="360" w:lineRule="auto"/>
        <w:ind w:firstLine="420" w:firstLineChars="200"/>
        <w:rPr>
          <w:rFonts w:ascii="宋体" w:hAnsi="宋体"/>
          <w:szCs w:val="21"/>
        </w:rPr>
      </w:pPr>
      <w:r>
        <w:rPr>
          <w:rFonts w:hint="eastAsia" w:ascii="宋体" w:hAnsi="宋体"/>
          <w:szCs w:val="21"/>
        </w:rPr>
        <w:t>5. 因本保函发生的纠纷，可由双方协商解决，协商不成的，按下列第</w:t>
      </w:r>
      <w:r>
        <w:rPr>
          <w:rFonts w:hint="eastAsia" w:ascii="宋体" w:hAnsi="宋体"/>
          <w:szCs w:val="21"/>
          <w:u w:val="single"/>
        </w:rPr>
        <w:t xml:space="preserve">    </w:t>
      </w:r>
      <w:r>
        <w:rPr>
          <w:rFonts w:hint="eastAsia" w:ascii="宋体" w:hAnsi="宋体"/>
          <w:szCs w:val="21"/>
        </w:rPr>
        <w:t>种方式解决：</w:t>
      </w:r>
    </w:p>
    <w:p w14:paraId="5290289C">
      <w:pPr>
        <w:spacing w:line="360" w:lineRule="auto"/>
        <w:ind w:firstLine="420" w:firstLineChars="200"/>
        <w:rPr>
          <w:rFonts w:ascii="宋体" w:hAnsi="宋体"/>
          <w:szCs w:val="21"/>
        </w:rPr>
      </w:pPr>
      <w:r>
        <w:rPr>
          <w:rFonts w:hint="eastAsia" w:ascii="宋体" w:hAnsi="宋体"/>
          <w:szCs w:val="21"/>
        </w:rPr>
        <w:t>（1）向</w:t>
      </w:r>
      <w:r>
        <w:rPr>
          <w:rFonts w:hint="eastAsia" w:ascii="宋体" w:hAnsi="宋体"/>
          <w:szCs w:val="21"/>
          <w:u w:val="single"/>
        </w:rPr>
        <w:t xml:space="preserve">                     </w:t>
      </w:r>
      <w:r>
        <w:rPr>
          <w:rFonts w:hint="eastAsia" w:ascii="宋体" w:hAnsi="宋体"/>
          <w:szCs w:val="21"/>
        </w:rPr>
        <w:t>仲裁委员会申请仲裁；</w:t>
      </w:r>
    </w:p>
    <w:p w14:paraId="6A560767">
      <w:pPr>
        <w:spacing w:line="360" w:lineRule="auto"/>
        <w:ind w:firstLine="420" w:firstLineChars="200"/>
        <w:rPr>
          <w:rFonts w:ascii="宋体" w:hAnsi="宋体"/>
          <w:szCs w:val="21"/>
        </w:rPr>
      </w:pPr>
      <w:r>
        <w:rPr>
          <w:rFonts w:hint="eastAsia" w:ascii="宋体" w:hAnsi="宋体"/>
          <w:szCs w:val="21"/>
        </w:rPr>
        <w:t>（2）向</w:t>
      </w:r>
      <w:r>
        <w:rPr>
          <w:rFonts w:hint="eastAsia" w:ascii="宋体" w:hAnsi="宋体"/>
          <w:szCs w:val="21"/>
          <w:u w:val="single"/>
        </w:rPr>
        <w:t xml:space="preserve">                     </w:t>
      </w:r>
      <w:r>
        <w:rPr>
          <w:rFonts w:hint="eastAsia" w:ascii="宋体" w:hAnsi="宋体"/>
          <w:szCs w:val="21"/>
        </w:rPr>
        <w:t>人民法院起诉。</w:t>
      </w:r>
    </w:p>
    <w:p w14:paraId="0441838B">
      <w:pPr>
        <w:spacing w:line="360" w:lineRule="auto"/>
        <w:ind w:firstLine="420" w:firstLineChars="200"/>
        <w:rPr>
          <w:rFonts w:ascii="宋体" w:hAnsi="宋体"/>
          <w:szCs w:val="21"/>
        </w:rPr>
      </w:pPr>
      <w:r>
        <w:rPr>
          <w:rFonts w:hint="eastAsia" w:ascii="宋体" w:hAnsi="宋体"/>
          <w:szCs w:val="21"/>
        </w:rPr>
        <w:t>6. 本保函自我方法定代表人（或其委托代理人）签名并加盖单位公章之日起生效。</w:t>
      </w:r>
    </w:p>
    <w:p w14:paraId="3AA1F56D">
      <w:pPr>
        <w:spacing w:line="360" w:lineRule="auto"/>
        <w:ind w:firstLine="420" w:firstLineChars="200"/>
        <w:rPr>
          <w:rFonts w:ascii="宋体" w:hAnsi="宋体"/>
          <w:szCs w:val="21"/>
        </w:rPr>
      </w:pPr>
    </w:p>
    <w:p w14:paraId="3E95A44C">
      <w:pPr>
        <w:spacing w:line="360" w:lineRule="auto"/>
        <w:ind w:firstLine="420" w:firstLineChars="200"/>
        <w:rPr>
          <w:rFonts w:ascii="宋体" w:hAnsi="宋体"/>
          <w:szCs w:val="21"/>
        </w:rPr>
      </w:pPr>
      <w:r>
        <w:rPr>
          <w:rFonts w:hint="eastAsia" w:ascii="宋体" w:hAnsi="宋体"/>
          <w:szCs w:val="21"/>
        </w:rPr>
        <w:t>担 保 人：</w:t>
      </w:r>
      <w:r>
        <w:rPr>
          <w:rFonts w:hint="eastAsia" w:ascii="宋体" w:hAnsi="宋体"/>
          <w:szCs w:val="21"/>
          <w:u w:val="single"/>
        </w:rPr>
        <w:t xml:space="preserve">                           </w:t>
      </w:r>
      <w:r>
        <w:rPr>
          <w:rFonts w:hint="eastAsia" w:ascii="宋体" w:hAnsi="宋体"/>
          <w:szCs w:val="21"/>
        </w:rPr>
        <w:t>（盖单位公章）</w:t>
      </w:r>
    </w:p>
    <w:p w14:paraId="03FE2580">
      <w:pPr>
        <w:spacing w:line="360" w:lineRule="auto"/>
        <w:ind w:firstLine="420" w:firstLineChars="200"/>
        <w:rPr>
          <w:rFonts w:ascii="宋体" w:hAnsi="宋体"/>
          <w:szCs w:val="21"/>
        </w:rPr>
      </w:pP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（签名）</w:t>
      </w:r>
    </w:p>
    <w:p w14:paraId="4CF86243">
      <w:pPr>
        <w:spacing w:line="360" w:lineRule="auto"/>
        <w:ind w:firstLine="420" w:firstLineChars="200"/>
        <w:rPr>
          <w:rFonts w:ascii="宋体" w:hAnsi="宋体"/>
          <w:szCs w:val="21"/>
        </w:rPr>
      </w:pPr>
      <w:r>
        <w:rPr>
          <w:rFonts w:hint="eastAsia" w:ascii="宋体" w:hAnsi="宋体"/>
          <w:szCs w:val="21"/>
        </w:rPr>
        <w:t>地    址：</w:t>
      </w:r>
      <w:r>
        <w:rPr>
          <w:rFonts w:hint="eastAsia" w:ascii="宋体" w:hAnsi="宋体"/>
          <w:szCs w:val="21"/>
          <w:u w:val="single"/>
        </w:rPr>
        <w:t xml:space="preserve">                                      </w:t>
      </w:r>
    </w:p>
    <w:p w14:paraId="564FAB96">
      <w:pPr>
        <w:spacing w:line="360" w:lineRule="auto"/>
        <w:ind w:firstLine="420" w:firstLineChars="200"/>
        <w:rPr>
          <w:rFonts w:ascii="宋体" w:hAnsi="宋体"/>
          <w:szCs w:val="21"/>
        </w:rPr>
      </w:pPr>
      <w:r>
        <w:rPr>
          <w:rFonts w:hint="eastAsia" w:ascii="宋体" w:hAnsi="宋体"/>
          <w:szCs w:val="21"/>
        </w:rPr>
        <w:t>邮政编码：</w:t>
      </w:r>
      <w:r>
        <w:rPr>
          <w:rFonts w:hint="eastAsia" w:ascii="宋体" w:hAnsi="宋体"/>
          <w:szCs w:val="21"/>
          <w:u w:val="single"/>
        </w:rPr>
        <w:t xml:space="preserve">                                      </w:t>
      </w:r>
    </w:p>
    <w:p w14:paraId="5CB4A1B9">
      <w:pPr>
        <w:spacing w:line="360" w:lineRule="auto"/>
        <w:ind w:firstLine="420" w:firstLineChars="200"/>
        <w:rPr>
          <w:rFonts w:ascii="宋体" w:hAnsi="宋体"/>
          <w:szCs w:val="21"/>
          <w:u w:val="single"/>
        </w:rPr>
      </w:pPr>
      <w:r>
        <w:rPr>
          <w:rFonts w:hint="eastAsia" w:ascii="宋体" w:hAnsi="宋体"/>
          <w:szCs w:val="21"/>
        </w:rPr>
        <w:t>电    话：</w:t>
      </w:r>
      <w:r>
        <w:rPr>
          <w:rFonts w:hint="eastAsia" w:ascii="宋体" w:hAnsi="宋体"/>
          <w:szCs w:val="21"/>
          <w:u w:val="single"/>
        </w:rPr>
        <w:t xml:space="preserve">                                      </w:t>
      </w:r>
    </w:p>
    <w:p w14:paraId="6BFD9D8E">
      <w:pPr>
        <w:spacing w:line="360" w:lineRule="auto"/>
        <w:ind w:firstLine="420" w:firstLineChars="200"/>
        <w:rPr>
          <w:rFonts w:ascii="宋体" w:hAnsi="宋体"/>
          <w:szCs w:val="21"/>
        </w:rPr>
      </w:pPr>
      <w:r>
        <w:rPr>
          <w:rFonts w:hint="eastAsia" w:ascii="宋体" w:hAnsi="宋体"/>
          <w:szCs w:val="21"/>
        </w:rPr>
        <w:t>传    真：</w:t>
      </w:r>
      <w:r>
        <w:rPr>
          <w:rFonts w:hint="eastAsia" w:ascii="宋体" w:hAnsi="宋体"/>
          <w:szCs w:val="21"/>
          <w:u w:val="single"/>
        </w:rPr>
        <w:t xml:space="preserve">                                      </w:t>
      </w:r>
    </w:p>
    <w:p w14:paraId="5F9D1C2E">
      <w:pPr>
        <w:spacing w:line="360" w:lineRule="auto"/>
        <w:ind w:firstLine="420" w:firstLineChars="200"/>
        <w:jc w:val="left"/>
        <w:rPr>
          <w:rFonts w:ascii="宋体" w:hAnsi="宋体"/>
          <w:szCs w:val="21"/>
          <w:u w:val="single"/>
        </w:rPr>
      </w:pPr>
    </w:p>
    <w:p w14:paraId="21D75AD2">
      <w:pPr>
        <w:spacing w:line="360" w:lineRule="auto"/>
        <w:ind w:firstLine="420" w:firstLineChars="200"/>
        <w:jc w:val="left"/>
        <w:rPr>
          <w:rFonts w:ascii="宋体" w:hAnsi="宋体"/>
          <w:szCs w:val="21"/>
          <w:u w:val="single"/>
        </w:rPr>
      </w:pPr>
    </w:p>
    <w:p w14:paraId="0ECC9206">
      <w:pPr>
        <w:spacing w:line="360" w:lineRule="auto"/>
        <w:ind w:firstLine="420" w:firstLineChars="200"/>
        <w:jc w:val="left"/>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602DB41">
      <w:pPr>
        <w:widowControl/>
        <w:spacing w:line="360" w:lineRule="auto"/>
        <w:jc w:val="left"/>
        <w:rPr>
          <w:rFonts w:ascii="宋体" w:hAnsi="宋体"/>
          <w:szCs w:val="21"/>
        </w:rPr>
      </w:pPr>
      <w:r>
        <w:rPr>
          <w:rFonts w:ascii="宋体" w:hAnsi="宋体"/>
          <w:szCs w:val="21"/>
        </w:rPr>
        <w:br w:type="page"/>
      </w:r>
    </w:p>
    <w:p w14:paraId="1D7C4540">
      <w:pPr>
        <w:spacing w:line="480" w:lineRule="auto"/>
        <w:rPr>
          <w:rFonts w:ascii="宋体" w:hAnsi="宋体"/>
          <w:szCs w:val="21"/>
        </w:rPr>
      </w:pPr>
      <w:r>
        <w:rPr>
          <w:rFonts w:hint="eastAsia" w:ascii="宋体" w:hAnsi="宋体"/>
          <w:szCs w:val="21"/>
        </w:rPr>
        <w:t>附</w:t>
      </w:r>
      <w:bookmarkStart w:id="1311" w:name="_Toc296944571"/>
      <w:bookmarkStart w:id="1312" w:name="_Toc296346733"/>
      <w:bookmarkStart w:id="1313" w:name="_Toc296503232"/>
      <w:bookmarkStart w:id="1314" w:name="_Toc296347231"/>
      <w:bookmarkStart w:id="1315" w:name="_Toc296891272"/>
      <w:bookmarkStart w:id="1316" w:name="_Toc296891060"/>
      <w:bookmarkStart w:id="1317" w:name="_Toc267261702"/>
      <w:r>
        <w:rPr>
          <w:rFonts w:hint="eastAsia" w:ascii="宋体" w:hAnsi="宋体"/>
          <w:szCs w:val="21"/>
        </w:rPr>
        <w:t>件</w:t>
      </w:r>
      <w:r>
        <w:rPr>
          <w:rFonts w:ascii="宋体" w:hAnsi="宋体"/>
          <w:szCs w:val="21"/>
        </w:rPr>
        <w:t>5</w:t>
      </w:r>
      <w:r>
        <w:rPr>
          <w:rFonts w:hint="eastAsia" w:ascii="宋体" w:hAnsi="宋体"/>
          <w:szCs w:val="21"/>
        </w:rPr>
        <w:t>：</w:t>
      </w:r>
    </w:p>
    <w:bookmarkEnd w:id="1311"/>
    <w:bookmarkEnd w:id="1312"/>
    <w:bookmarkEnd w:id="1313"/>
    <w:bookmarkEnd w:id="1314"/>
    <w:bookmarkEnd w:id="1315"/>
    <w:bookmarkEnd w:id="1316"/>
    <w:bookmarkEnd w:id="1317"/>
    <w:p w14:paraId="6204539F">
      <w:pPr>
        <w:spacing w:line="360" w:lineRule="auto"/>
        <w:jc w:val="center"/>
        <w:rPr>
          <w:rFonts w:ascii="宋体" w:hAnsi="宋体"/>
          <w:szCs w:val="21"/>
        </w:rPr>
      </w:pPr>
      <w:r>
        <w:rPr>
          <w:rFonts w:hint="eastAsia" w:ascii="宋体" w:hAnsi="宋体"/>
          <w:szCs w:val="21"/>
        </w:rPr>
        <w:t>预付款担保（如有）</w:t>
      </w:r>
    </w:p>
    <w:p w14:paraId="492F2F26">
      <w:pPr>
        <w:spacing w:line="360" w:lineRule="auto"/>
        <w:ind w:firstLine="420" w:firstLineChars="200"/>
        <w:rPr>
          <w:rFonts w:ascii="宋体" w:hAnsi="宋体"/>
          <w:szCs w:val="21"/>
        </w:rPr>
      </w:pP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rPr>
        <w:t xml:space="preserve"> （发包人名称）：</w:t>
      </w:r>
    </w:p>
    <w:p w14:paraId="4D16DE5D">
      <w:pPr>
        <w:spacing w:line="360" w:lineRule="auto"/>
        <w:ind w:firstLine="420" w:firstLineChars="200"/>
        <w:rPr>
          <w:rFonts w:ascii="宋体" w:hAnsi="宋体"/>
          <w:szCs w:val="21"/>
        </w:rPr>
      </w:pPr>
      <w:r>
        <w:rPr>
          <w:rFonts w:hint="eastAsia" w:ascii="宋体" w:hAnsi="宋体"/>
          <w:szCs w:val="21"/>
        </w:rPr>
        <w:t>根据</w:t>
      </w:r>
      <w:r>
        <w:rPr>
          <w:rFonts w:hint="eastAsia" w:ascii="宋体" w:hAnsi="宋体"/>
          <w:szCs w:val="21"/>
          <w:u w:val="single"/>
        </w:rPr>
        <w:t xml:space="preserve">       </w:t>
      </w:r>
      <w:r>
        <w:rPr>
          <w:rFonts w:hint="eastAsia" w:ascii="宋体" w:hAnsi="宋体"/>
          <w:szCs w:val="21"/>
        </w:rPr>
        <w:t>（承包人名称）（以下称“承包人”）与</w:t>
      </w:r>
      <w:r>
        <w:rPr>
          <w:rFonts w:hint="eastAsia" w:ascii="宋体" w:hAnsi="宋体"/>
          <w:szCs w:val="21"/>
          <w:u w:val="single"/>
        </w:rPr>
        <w:t xml:space="preserve">         </w:t>
      </w:r>
      <w:r>
        <w:rPr>
          <w:rFonts w:hint="eastAsia" w:ascii="宋体" w:hAnsi="宋体"/>
          <w:szCs w:val="21"/>
        </w:rPr>
        <w:t>（发包人名称）（以下简称“发包人”）于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日签订的</w:t>
      </w:r>
      <w:r>
        <w:rPr>
          <w:rFonts w:hint="eastAsia" w:ascii="宋体" w:hAnsi="宋体"/>
          <w:szCs w:val="21"/>
          <w:u w:val="single"/>
        </w:rPr>
        <w:t xml:space="preserve">            </w:t>
      </w:r>
      <w:r>
        <w:rPr>
          <w:rFonts w:hint="eastAsia" w:ascii="宋体" w:hAnsi="宋体"/>
          <w:szCs w:val="21"/>
        </w:rPr>
        <w:t>（工程名称）《建设工程施工合同》，承包人按约定的金额向你方提交一份预付款担保，即有权得到你方支付相等金额的预付款。我方愿意就你方提供给承包人的预付款为承包人提供连带责任担保。</w:t>
      </w:r>
    </w:p>
    <w:p w14:paraId="422D2AD5">
      <w:pPr>
        <w:spacing w:line="360" w:lineRule="auto"/>
        <w:ind w:firstLine="420" w:firstLineChars="200"/>
        <w:rPr>
          <w:rFonts w:ascii="宋体" w:hAnsi="宋体"/>
          <w:szCs w:val="21"/>
        </w:rPr>
      </w:pPr>
      <w:r>
        <w:rPr>
          <w:rFonts w:hint="eastAsia" w:ascii="宋体" w:hAnsi="宋体"/>
          <w:szCs w:val="21"/>
        </w:rPr>
        <w:t>1. 担保金额人民币（大写）</w:t>
      </w:r>
      <w:r>
        <w:rPr>
          <w:rFonts w:hint="eastAsia" w:ascii="宋体" w:hAnsi="宋体"/>
          <w:szCs w:val="21"/>
          <w:u w:val="single"/>
        </w:rPr>
        <w:t xml:space="preserve">        </w:t>
      </w:r>
      <w:r>
        <w:rPr>
          <w:rFonts w:hint="eastAsia" w:ascii="宋体" w:hAnsi="宋体"/>
          <w:szCs w:val="21"/>
        </w:rPr>
        <w:t>元（¥</w:t>
      </w:r>
      <w:r>
        <w:rPr>
          <w:rFonts w:hint="eastAsia" w:ascii="宋体" w:hAnsi="宋体"/>
          <w:szCs w:val="21"/>
          <w:u w:val="single"/>
        </w:rPr>
        <w:t xml:space="preserve">        </w:t>
      </w:r>
      <w:r>
        <w:rPr>
          <w:rFonts w:hint="eastAsia" w:ascii="宋体" w:hAnsi="宋体"/>
          <w:szCs w:val="21"/>
        </w:rPr>
        <w:t>）。</w:t>
      </w:r>
    </w:p>
    <w:p w14:paraId="71423B0F">
      <w:pPr>
        <w:spacing w:line="360" w:lineRule="auto"/>
        <w:ind w:firstLine="420" w:firstLineChars="200"/>
        <w:rPr>
          <w:rFonts w:ascii="宋体" w:hAnsi="宋体"/>
          <w:szCs w:val="21"/>
        </w:rPr>
      </w:pPr>
      <w:r>
        <w:rPr>
          <w:rFonts w:hint="eastAsia" w:ascii="宋体" w:hAnsi="宋体"/>
          <w:szCs w:val="21"/>
        </w:rPr>
        <w:t>2. 担保有效期自预付款支付给承包人起生效，至你方签发的进度款支付证书说明已完全扣清止。</w:t>
      </w:r>
    </w:p>
    <w:p w14:paraId="3DD201D8">
      <w:pPr>
        <w:spacing w:line="360" w:lineRule="auto"/>
        <w:ind w:firstLine="420" w:firstLineChars="200"/>
        <w:rPr>
          <w:rFonts w:ascii="宋体" w:hAnsi="宋体"/>
          <w:szCs w:val="21"/>
        </w:rPr>
      </w:pPr>
      <w:r>
        <w:rPr>
          <w:rFonts w:hint="eastAsia" w:ascii="宋体" w:hAnsi="宋体"/>
          <w:szCs w:val="21"/>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9E71A69">
      <w:pPr>
        <w:spacing w:line="360" w:lineRule="auto"/>
        <w:ind w:firstLine="420" w:firstLineChars="200"/>
        <w:rPr>
          <w:rFonts w:ascii="宋体" w:hAnsi="宋体"/>
          <w:szCs w:val="21"/>
        </w:rPr>
      </w:pPr>
      <w:r>
        <w:rPr>
          <w:rFonts w:hint="eastAsia" w:ascii="宋体" w:hAnsi="宋体"/>
          <w:szCs w:val="21"/>
        </w:rPr>
        <w:t>4. 你方和承包人按合同约定变更合同时，我方承担本保函规定的义务不变。</w:t>
      </w:r>
    </w:p>
    <w:p w14:paraId="35D33EF0">
      <w:pPr>
        <w:spacing w:line="360" w:lineRule="auto"/>
        <w:ind w:firstLine="420" w:firstLineChars="200"/>
        <w:rPr>
          <w:rFonts w:ascii="宋体" w:hAnsi="宋体"/>
          <w:szCs w:val="21"/>
        </w:rPr>
      </w:pPr>
      <w:r>
        <w:rPr>
          <w:rFonts w:hint="eastAsia" w:ascii="宋体" w:hAnsi="宋体"/>
          <w:szCs w:val="21"/>
        </w:rPr>
        <w:t>5. 因本保函发生的纠纷，可由双方协商解决，协商不成的，按下列第</w:t>
      </w:r>
      <w:r>
        <w:rPr>
          <w:rFonts w:hint="eastAsia" w:ascii="宋体" w:hAnsi="宋体"/>
          <w:szCs w:val="21"/>
          <w:u w:val="single"/>
        </w:rPr>
        <w:t xml:space="preserve">    </w:t>
      </w:r>
      <w:r>
        <w:rPr>
          <w:rFonts w:hint="eastAsia" w:ascii="宋体" w:hAnsi="宋体"/>
          <w:szCs w:val="21"/>
        </w:rPr>
        <w:t>种方式解决：</w:t>
      </w:r>
    </w:p>
    <w:p w14:paraId="5D1A5302">
      <w:pPr>
        <w:spacing w:line="360" w:lineRule="auto"/>
        <w:ind w:firstLine="420" w:firstLineChars="200"/>
        <w:rPr>
          <w:rFonts w:ascii="宋体" w:hAnsi="宋体"/>
          <w:szCs w:val="21"/>
        </w:rPr>
      </w:pPr>
      <w:r>
        <w:rPr>
          <w:rFonts w:hint="eastAsia" w:ascii="宋体" w:hAnsi="宋体"/>
          <w:szCs w:val="21"/>
        </w:rPr>
        <w:t>（1）向</w:t>
      </w:r>
      <w:r>
        <w:rPr>
          <w:rFonts w:hint="eastAsia" w:ascii="宋体" w:hAnsi="宋体"/>
          <w:szCs w:val="21"/>
          <w:u w:val="single"/>
        </w:rPr>
        <w:t xml:space="preserve">                     </w:t>
      </w:r>
      <w:r>
        <w:rPr>
          <w:rFonts w:hint="eastAsia" w:ascii="宋体" w:hAnsi="宋体"/>
          <w:szCs w:val="21"/>
        </w:rPr>
        <w:t>仲裁委员会申请仲裁；</w:t>
      </w:r>
    </w:p>
    <w:p w14:paraId="4489B9F4">
      <w:pPr>
        <w:spacing w:line="360" w:lineRule="auto"/>
        <w:ind w:firstLine="420" w:firstLineChars="200"/>
        <w:rPr>
          <w:rFonts w:ascii="宋体" w:hAnsi="宋体"/>
          <w:szCs w:val="21"/>
        </w:rPr>
      </w:pPr>
      <w:r>
        <w:rPr>
          <w:rFonts w:hint="eastAsia" w:ascii="宋体" w:hAnsi="宋体"/>
          <w:szCs w:val="21"/>
        </w:rPr>
        <w:t>（2）向</w:t>
      </w:r>
      <w:r>
        <w:rPr>
          <w:rFonts w:hint="eastAsia" w:ascii="宋体" w:hAnsi="宋体"/>
          <w:szCs w:val="21"/>
          <w:u w:val="single"/>
        </w:rPr>
        <w:t xml:space="preserve">                     </w:t>
      </w:r>
      <w:r>
        <w:rPr>
          <w:rFonts w:hint="eastAsia" w:ascii="宋体" w:hAnsi="宋体"/>
          <w:szCs w:val="21"/>
        </w:rPr>
        <w:t>人民法院起诉。</w:t>
      </w:r>
    </w:p>
    <w:p w14:paraId="75A1CF14">
      <w:pPr>
        <w:spacing w:line="360" w:lineRule="auto"/>
        <w:ind w:firstLine="420" w:firstLineChars="200"/>
        <w:rPr>
          <w:rFonts w:ascii="宋体" w:hAnsi="宋体"/>
          <w:szCs w:val="21"/>
        </w:rPr>
      </w:pPr>
      <w:r>
        <w:rPr>
          <w:rFonts w:hint="eastAsia" w:ascii="宋体" w:hAnsi="宋体"/>
          <w:szCs w:val="21"/>
        </w:rPr>
        <w:t>6. 本保函自我方法定代表人（或其委托代理人）签名并加盖单位公章之日起生效。</w:t>
      </w:r>
    </w:p>
    <w:p w14:paraId="1814E119">
      <w:pPr>
        <w:spacing w:line="360" w:lineRule="auto"/>
        <w:ind w:firstLine="420" w:firstLineChars="200"/>
        <w:rPr>
          <w:rFonts w:ascii="宋体" w:hAnsi="宋体"/>
          <w:szCs w:val="21"/>
        </w:rPr>
      </w:pPr>
    </w:p>
    <w:p w14:paraId="2E7D6C20">
      <w:pPr>
        <w:spacing w:line="360" w:lineRule="auto"/>
        <w:ind w:firstLine="420" w:firstLineChars="200"/>
        <w:rPr>
          <w:rFonts w:ascii="宋体" w:hAnsi="宋体"/>
          <w:szCs w:val="21"/>
        </w:rPr>
      </w:pPr>
      <w:r>
        <w:rPr>
          <w:rFonts w:hint="eastAsia" w:ascii="宋体" w:hAnsi="宋体"/>
          <w:szCs w:val="21"/>
        </w:rPr>
        <w:t>担保人：</w:t>
      </w:r>
      <w:r>
        <w:rPr>
          <w:rFonts w:hint="eastAsia" w:ascii="宋体" w:hAnsi="宋体"/>
          <w:szCs w:val="21"/>
          <w:u w:val="single"/>
        </w:rPr>
        <w:t xml:space="preserve">                           </w:t>
      </w:r>
      <w:r>
        <w:rPr>
          <w:rFonts w:hint="eastAsia" w:ascii="宋体" w:hAnsi="宋体"/>
          <w:szCs w:val="21"/>
        </w:rPr>
        <w:t>（盖单位公章）</w:t>
      </w:r>
    </w:p>
    <w:p w14:paraId="68A78475">
      <w:pPr>
        <w:spacing w:line="360" w:lineRule="auto"/>
        <w:ind w:firstLine="420" w:firstLineChars="200"/>
        <w:rPr>
          <w:rFonts w:ascii="宋体" w:hAnsi="宋体"/>
          <w:szCs w:val="21"/>
        </w:rPr>
      </w:pP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（签名）</w:t>
      </w:r>
    </w:p>
    <w:p w14:paraId="57CC13CF">
      <w:pPr>
        <w:spacing w:line="360" w:lineRule="auto"/>
        <w:ind w:firstLine="420" w:firstLineChars="200"/>
        <w:rPr>
          <w:rFonts w:ascii="宋体" w:hAnsi="宋体"/>
          <w:szCs w:val="21"/>
        </w:rPr>
      </w:pPr>
      <w:r>
        <w:rPr>
          <w:rFonts w:hint="eastAsia" w:ascii="宋体" w:hAnsi="宋体"/>
          <w:szCs w:val="21"/>
        </w:rPr>
        <w:t>地    址：</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75DCA5A0">
      <w:pPr>
        <w:spacing w:line="360" w:lineRule="auto"/>
        <w:ind w:firstLine="420" w:firstLineChars="200"/>
        <w:rPr>
          <w:rFonts w:ascii="宋体" w:hAnsi="宋体"/>
          <w:szCs w:val="21"/>
          <w:u w:val="single"/>
        </w:rPr>
      </w:pPr>
      <w:r>
        <w:rPr>
          <w:rFonts w:hint="eastAsia" w:ascii="宋体" w:hAnsi="宋体"/>
          <w:szCs w:val="21"/>
        </w:rPr>
        <w:t>邮政编码：</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716DB849">
      <w:pPr>
        <w:spacing w:line="360" w:lineRule="auto"/>
        <w:ind w:firstLine="420" w:firstLineChars="200"/>
        <w:rPr>
          <w:rFonts w:ascii="宋体" w:hAnsi="宋体"/>
          <w:szCs w:val="21"/>
          <w:u w:val="single"/>
        </w:rPr>
      </w:pPr>
      <w:r>
        <w:rPr>
          <w:rFonts w:hint="eastAsia" w:ascii="宋体" w:hAnsi="宋体"/>
          <w:szCs w:val="21"/>
        </w:rPr>
        <w:t>电    话：</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23BFD8FA">
      <w:pPr>
        <w:spacing w:line="360" w:lineRule="auto"/>
        <w:ind w:firstLine="420" w:firstLineChars="200"/>
        <w:rPr>
          <w:rFonts w:ascii="宋体" w:hAnsi="宋体"/>
          <w:szCs w:val="21"/>
          <w:u w:val="single"/>
        </w:rPr>
      </w:pPr>
      <w:r>
        <w:rPr>
          <w:rFonts w:hint="eastAsia" w:ascii="宋体" w:hAnsi="宋体"/>
          <w:szCs w:val="21"/>
        </w:rPr>
        <w:t>传    真：</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3BBF61A9">
      <w:pPr>
        <w:spacing w:line="360" w:lineRule="auto"/>
        <w:ind w:firstLine="420" w:firstLineChars="200"/>
        <w:rPr>
          <w:rFonts w:ascii="宋体" w:hAnsi="宋体"/>
          <w:szCs w:val="21"/>
          <w:u w:val="single"/>
        </w:rPr>
      </w:pPr>
    </w:p>
    <w:p w14:paraId="2D30BB53">
      <w:pPr>
        <w:spacing w:line="360" w:lineRule="auto"/>
        <w:ind w:firstLine="420" w:firstLineChars="200"/>
        <w:jc w:val="right"/>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4BB8A51">
      <w:pPr>
        <w:spacing w:line="480" w:lineRule="auto"/>
        <w:rPr>
          <w:rFonts w:ascii="宋体" w:hAnsi="宋体"/>
          <w:szCs w:val="21"/>
        </w:rPr>
      </w:pPr>
      <w:r>
        <w:rPr>
          <w:rFonts w:hint="eastAsia" w:ascii="宋体" w:hAnsi="宋体"/>
          <w:szCs w:val="21"/>
        </w:rPr>
        <w:br w:type="page"/>
      </w:r>
      <w:r>
        <w:rPr>
          <w:rFonts w:hint="eastAsia" w:ascii="宋体" w:hAnsi="宋体"/>
          <w:szCs w:val="21"/>
        </w:rPr>
        <w:t>附</w:t>
      </w:r>
      <w:bookmarkStart w:id="1318" w:name="_Toc296346734"/>
      <w:bookmarkStart w:id="1319" w:name="_Toc296944572"/>
      <w:bookmarkStart w:id="1320" w:name="_Toc296891273"/>
      <w:bookmarkStart w:id="1321" w:name="_Toc296347232"/>
      <w:bookmarkStart w:id="1322" w:name="_Toc296891061"/>
      <w:bookmarkStart w:id="1323" w:name="_Toc296503233"/>
      <w:r>
        <w:rPr>
          <w:rFonts w:hint="eastAsia" w:ascii="宋体" w:hAnsi="宋体"/>
          <w:szCs w:val="21"/>
        </w:rPr>
        <w:t>件</w:t>
      </w:r>
      <w:r>
        <w:rPr>
          <w:rFonts w:ascii="宋体" w:hAnsi="宋体"/>
          <w:szCs w:val="21"/>
        </w:rPr>
        <w:t>6</w:t>
      </w:r>
      <w:r>
        <w:rPr>
          <w:rFonts w:hint="eastAsia" w:ascii="宋体" w:hAnsi="宋体"/>
          <w:szCs w:val="21"/>
        </w:rPr>
        <w:t>：</w:t>
      </w:r>
    </w:p>
    <w:bookmarkEnd w:id="1318"/>
    <w:bookmarkEnd w:id="1319"/>
    <w:bookmarkEnd w:id="1320"/>
    <w:bookmarkEnd w:id="1321"/>
    <w:bookmarkEnd w:id="1322"/>
    <w:bookmarkEnd w:id="1323"/>
    <w:p w14:paraId="01023A2F">
      <w:pPr>
        <w:spacing w:line="360" w:lineRule="auto"/>
        <w:ind w:firstLine="420" w:firstLineChars="200"/>
        <w:jc w:val="center"/>
        <w:rPr>
          <w:rFonts w:ascii="宋体" w:hAnsi="宋体"/>
          <w:szCs w:val="21"/>
        </w:rPr>
      </w:pPr>
      <w:r>
        <w:rPr>
          <w:rFonts w:hint="eastAsia" w:ascii="宋体" w:hAnsi="宋体"/>
          <w:szCs w:val="21"/>
        </w:rPr>
        <w:t>支付担保（如有）</w:t>
      </w:r>
    </w:p>
    <w:p w14:paraId="0A3E35B6">
      <w:pPr>
        <w:spacing w:line="360" w:lineRule="auto"/>
        <w:ind w:firstLine="420" w:firstLineChars="200"/>
        <w:rPr>
          <w:rFonts w:ascii="宋体" w:hAnsi="宋体"/>
          <w:szCs w:val="21"/>
        </w:rPr>
      </w:pPr>
      <w:r>
        <w:rPr>
          <w:rFonts w:hint="eastAsia" w:ascii="宋体" w:hAnsi="宋体"/>
          <w:szCs w:val="21"/>
          <w:u w:val="single"/>
        </w:rPr>
        <w:t xml:space="preserve">             </w:t>
      </w:r>
      <w:r>
        <w:rPr>
          <w:rFonts w:hint="eastAsia" w:ascii="宋体" w:hAnsi="宋体"/>
          <w:szCs w:val="21"/>
        </w:rPr>
        <w:t>（承包人）：</w:t>
      </w:r>
    </w:p>
    <w:p w14:paraId="026CE02F">
      <w:pPr>
        <w:spacing w:line="360" w:lineRule="auto"/>
        <w:ind w:firstLine="420" w:firstLineChars="200"/>
        <w:rPr>
          <w:rFonts w:ascii="宋体" w:hAnsi="宋体"/>
          <w:szCs w:val="21"/>
        </w:rPr>
      </w:pPr>
      <w:r>
        <w:rPr>
          <w:rFonts w:hint="eastAsia" w:ascii="宋体" w:hAnsi="宋体"/>
          <w:szCs w:val="21"/>
        </w:rPr>
        <w:t xml:space="preserve">鉴于你方作为承包人已经与 </w:t>
      </w:r>
      <w:r>
        <w:rPr>
          <w:rFonts w:hint="eastAsia" w:ascii="宋体" w:hAnsi="宋体"/>
          <w:szCs w:val="21"/>
          <w:u w:val="single"/>
        </w:rPr>
        <w:t xml:space="preserve">            </w:t>
      </w:r>
      <w:r>
        <w:rPr>
          <w:rFonts w:hint="eastAsia" w:ascii="宋体" w:hAnsi="宋体"/>
          <w:szCs w:val="21"/>
        </w:rPr>
        <w:t>（发包人名称）（以下称“发包人”）于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日签订了</w:t>
      </w:r>
      <w:r>
        <w:rPr>
          <w:rFonts w:hint="eastAsia" w:ascii="宋体" w:hAnsi="宋体"/>
          <w:szCs w:val="21"/>
          <w:u w:val="single"/>
        </w:rPr>
        <w:t xml:space="preserve">             </w:t>
      </w:r>
      <w:r>
        <w:rPr>
          <w:rFonts w:hint="eastAsia" w:ascii="宋体" w:hAnsi="宋体"/>
          <w:szCs w:val="21"/>
        </w:rPr>
        <w:t>（工程名称）《建设工程施工合同》（以下称“主合同”），应发包人的申请，我方愿就发包人履行主合同约定的工程款支付义务以保证的方式向你方提供如下担保：</w:t>
      </w:r>
    </w:p>
    <w:p w14:paraId="744E3CC0">
      <w:pPr>
        <w:spacing w:line="360" w:lineRule="auto"/>
        <w:ind w:firstLine="420" w:firstLineChars="200"/>
        <w:rPr>
          <w:rFonts w:ascii="宋体" w:hAnsi="宋体"/>
          <w:szCs w:val="21"/>
        </w:rPr>
      </w:pPr>
      <w:bookmarkStart w:id="1324" w:name="_Toc532375692"/>
      <w:r>
        <w:rPr>
          <w:rFonts w:hint="eastAsia" w:ascii="宋体" w:hAnsi="宋体"/>
          <w:szCs w:val="21"/>
        </w:rPr>
        <w:t>一、保证的范围及保证金额</w:t>
      </w:r>
      <w:bookmarkEnd w:id="1324"/>
    </w:p>
    <w:p w14:paraId="0569A472">
      <w:pPr>
        <w:spacing w:line="360" w:lineRule="auto"/>
        <w:ind w:firstLine="420" w:firstLineChars="200"/>
        <w:rPr>
          <w:rFonts w:ascii="宋体" w:hAnsi="宋体"/>
          <w:szCs w:val="21"/>
        </w:rPr>
      </w:pPr>
      <w:r>
        <w:rPr>
          <w:rFonts w:hint="eastAsia" w:ascii="宋体" w:hAnsi="宋体"/>
          <w:szCs w:val="21"/>
        </w:rPr>
        <w:t>1. 我方的保证范围是主合同约定的工程款。</w:t>
      </w:r>
    </w:p>
    <w:p w14:paraId="3CE56E96">
      <w:pPr>
        <w:spacing w:line="360" w:lineRule="auto"/>
        <w:ind w:firstLine="420" w:firstLineChars="200"/>
        <w:rPr>
          <w:rFonts w:ascii="宋体" w:hAnsi="宋体"/>
          <w:szCs w:val="21"/>
        </w:rPr>
      </w:pPr>
      <w:r>
        <w:rPr>
          <w:rFonts w:hint="eastAsia" w:ascii="宋体" w:hAnsi="宋体"/>
          <w:szCs w:val="21"/>
        </w:rPr>
        <w:t>2. 本保函所称主合同约定的工程款是指主合同约定的除工程质量保证金以外的合同价款。</w:t>
      </w:r>
    </w:p>
    <w:p w14:paraId="4FF0DB52">
      <w:pPr>
        <w:spacing w:line="360" w:lineRule="auto"/>
        <w:ind w:firstLine="420" w:firstLineChars="200"/>
        <w:rPr>
          <w:rFonts w:ascii="宋体" w:hAnsi="宋体"/>
          <w:szCs w:val="21"/>
        </w:rPr>
      </w:pPr>
      <w:r>
        <w:rPr>
          <w:rFonts w:hint="eastAsia" w:ascii="宋体" w:hAnsi="宋体"/>
          <w:szCs w:val="21"/>
        </w:rPr>
        <w:t>3. 我方保证的金额是主合同约定的工程款的</w:t>
      </w:r>
      <w:r>
        <w:rPr>
          <w:rFonts w:hint="eastAsia" w:ascii="宋体" w:hAnsi="宋体"/>
          <w:szCs w:val="21"/>
          <w:u w:val="single"/>
        </w:rPr>
        <w:t xml:space="preserve">      </w:t>
      </w:r>
      <w:r>
        <w:rPr>
          <w:rFonts w:hint="eastAsia" w:ascii="宋体" w:hAnsi="宋体"/>
          <w:szCs w:val="21"/>
        </w:rPr>
        <w:t xml:space="preserve"> %，数额最高不超过人民币元（大写：</w:t>
      </w:r>
      <w:r>
        <w:rPr>
          <w:rFonts w:hint="eastAsia" w:ascii="宋体" w:hAnsi="宋体"/>
          <w:szCs w:val="21"/>
          <w:u w:val="single"/>
        </w:rPr>
        <w:t xml:space="preserve">      </w:t>
      </w:r>
      <w:r>
        <w:rPr>
          <w:rFonts w:hint="eastAsia" w:ascii="宋体" w:hAnsi="宋体"/>
          <w:szCs w:val="21"/>
        </w:rPr>
        <w:t>）。</w:t>
      </w:r>
    </w:p>
    <w:p w14:paraId="55911D89">
      <w:pPr>
        <w:spacing w:line="360" w:lineRule="auto"/>
        <w:ind w:firstLine="420" w:firstLineChars="200"/>
        <w:rPr>
          <w:rFonts w:ascii="宋体" w:hAnsi="宋体"/>
          <w:szCs w:val="21"/>
        </w:rPr>
      </w:pPr>
      <w:bookmarkStart w:id="1325" w:name="_Toc532375693"/>
      <w:r>
        <w:rPr>
          <w:rFonts w:hint="eastAsia" w:ascii="宋体" w:hAnsi="宋体"/>
          <w:szCs w:val="21"/>
        </w:rPr>
        <w:t>二、保证的方式及保证期间</w:t>
      </w:r>
      <w:bookmarkEnd w:id="1325"/>
    </w:p>
    <w:p w14:paraId="39C0BEF9">
      <w:pPr>
        <w:spacing w:line="360" w:lineRule="auto"/>
        <w:ind w:firstLine="420" w:firstLineChars="200"/>
        <w:rPr>
          <w:rFonts w:ascii="宋体" w:hAnsi="宋体"/>
          <w:szCs w:val="21"/>
        </w:rPr>
      </w:pPr>
      <w:r>
        <w:rPr>
          <w:rFonts w:hint="eastAsia" w:ascii="宋体" w:hAnsi="宋体"/>
          <w:szCs w:val="21"/>
        </w:rPr>
        <w:t>1. 我方保证的方式为：连带责任保证。</w:t>
      </w:r>
    </w:p>
    <w:p w14:paraId="28881FE4">
      <w:pPr>
        <w:spacing w:line="360" w:lineRule="auto"/>
        <w:ind w:firstLine="420" w:firstLineChars="200"/>
        <w:rPr>
          <w:rFonts w:ascii="宋体" w:hAnsi="宋体"/>
          <w:szCs w:val="21"/>
        </w:rPr>
      </w:pPr>
      <w:r>
        <w:rPr>
          <w:rFonts w:hint="eastAsia" w:ascii="宋体" w:hAnsi="宋体"/>
          <w:szCs w:val="21"/>
        </w:rPr>
        <w:t>2. 我方保证的期间为：自合同生效之日起至主合同约定的工程款支付完毕之日后</w:t>
      </w:r>
      <w:r>
        <w:rPr>
          <w:rFonts w:hint="eastAsia" w:ascii="宋体" w:hAnsi="宋体"/>
          <w:szCs w:val="21"/>
          <w:u w:val="single"/>
        </w:rPr>
        <w:t xml:space="preserve">    </w:t>
      </w:r>
      <w:r>
        <w:rPr>
          <w:rFonts w:hint="eastAsia" w:ascii="宋体" w:hAnsi="宋体"/>
          <w:szCs w:val="21"/>
        </w:rPr>
        <w:t>日内。</w:t>
      </w:r>
    </w:p>
    <w:p w14:paraId="0E2B013B">
      <w:pPr>
        <w:spacing w:line="360" w:lineRule="auto"/>
        <w:ind w:firstLine="420" w:firstLineChars="200"/>
        <w:rPr>
          <w:rFonts w:ascii="宋体" w:hAnsi="宋体"/>
          <w:szCs w:val="21"/>
        </w:rPr>
      </w:pPr>
      <w:r>
        <w:rPr>
          <w:rFonts w:hint="eastAsia" w:ascii="宋体" w:hAnsi="宋体"/>
          <w:szCs w:val="21"/>
        </w:rPr>
        <w:t>3. 你方与发包人协议变更工程款支付日期的，经我方书面同意后，保证期间按照变更后的支付日期做相应调整。</w:t>
      </w:r>
    </w:p>
    <w:p w14:paraId="7DDBA788">
      <w:pPr>
        <w:spacing w:line="360" w:lineRule="auto"/>
        <w:ind w:firstLine="420" w:firstLineChars="200"/>
        <w:rPr>
          <w:rFonts w:ascii="宋体" w:hAnsi="宋体"/>
          <w:szCs w:val="21"/>
        </w:rPr>
      </w:pPr>
      <w:bookmarkStart w:id="1326" w:name="_Toc532375694"/>
      <w:r>
        <w:rPr>
          <w:rFonts w:hint="eastAsia" w:ascii="宋体" w:hAnsi="宋体"/>
          <w:szCs w:val="21"/>
        </w:rPr>
        <w:t>三、承担保证责任的形式</w:t>
      </w:r>
      <w:bookmarkEnd w:id="1326"/>
    </w:p>
    <w:p w14:paraId="5B218718">
      <w:pPr>
        <w:spacing w:line="360" w:lineRule="auto"/>
        <w:ind w:firstLine="420" w:firstLineChars="200"/>
        <w:rPr>
          <w:rFonts w:ascii="宋体" w:hAnsi="宋体"/>
          <w:szCs w:val="21"/>
        </w:rPr>
      </w:pPr>
      <w:r>
        <w:rPr>
          <w:rFonts w:hint="eastAsia" w:ascii="宋体" w:hAnsi="宋体"/>
          <w:szCs w:val="21"/>
        </w:rPr>
        <w:t>我方承担保证责任的形式是代为支付。发包人未按主合同约定向你方支付工程款的，由我方在保证金额内代为支付。</w:t>
      </w:r>
    </w:p>
    <w:p w14:paraId="002A6429">
      <w:pPr>
        <w:spacing w:line="360" w:lineRule="auto"/>
        <w:ind w:firstLine="420" w:firstLineChars="200"/>
        <w:rPr>
          <w:rFonts w:ascii="宋体" w:hAnsi="宋体"/>
          <w:szCs w:val="21"/>
        </w:rPr>
      </w:pPr>
      <w:bookmarkStart w:id="1327" w:name="_Toc532375695"/>
      <w:r>
        <w:rPr>
          <w:rFonts w:hint="eastAsia" w:ascii="宋体" w:hAnsi="宋体"/>
          <w:szCs w:val="21"/>
        </w:rPr>
        <w:t>四、代偿的安排</w:t>
      </w:r>
      <w:bookmarkEnd w:id="1327"/>
    </w:p>
    <w:p w14:paraId="5AB5A526">
      <w:pPr>
        <w:spacing w:line="360" w:lineRule="auto"/>
        <w:ind w:firstLine="420" w:firstLineChars="200"/>
        <w:rPr>
          <w:rFonts w:ascii="宋体" w:hAnsi="宋体"/>
          <w:szCs w:val="21"/>
        </w:rPr>
      </w:pPr>
      <w:r>
        <w:rPr>
          <w:rFonts w:hint="eastAsia" w:ascii="宋体" w:hAnsi="宋体"/>
          <w:szCs w:val="21"/>
        </w:rPr>
        <w:t>1. 你方要求我方承担保证责任的，应向我方发出书面索赔通知及发包人未支付主合同约定工程款的证明材料。索赔通知应写明要求索赔的金额，支付款项应到达的账号。</w:t>
      </w:r>
    </w:p>
    <w:p w14:paraId="55F415D7">
      <w:pPr>
        <w:spacing w:line="360" w:lineRule="auto"/>
        <w:ind w:firstLine="420" w:firstLineChars="200"/>
        <w:rPr>
          <w:rFonts w:ascii="宋体" w:hAnsi="宋体"/>
          <w:szCs w:val="21"/>
        </w:rPr>
      </w:pPr>
      <w:r>
        <w:rPr>
          <w:rFonts w:hint="eastAsia" w:ascii="宋体" w:hAnsi="宋体"/>
          <w:szCs w:val="21"/>
        </w:rPr>
        <w:t>2. 在出现你方与发包人因工程质量发生争议，发包人拒绝向你方支付工程款的情形时，你方要求我方履行保证责任代为支付的，需提供符合相应条件要求的工程质量检测机构出具的质量说明材料。</w:t>
      </w:r>
    </w:p>
    <w:p w14:paraId="275964DF">
      <w:pPr>
        <w:spacing w:line="360" w:lineRule="auto"/>
        <w:ind w:firstLine="420" w:firstLineChars="200"/>
        <w:rPr>
          <w:rFonts w:ascii="宋体" w:hAnsi="宋体"/>
          <w:szCs w:val="21"/>
        </w:rPr>
      </w:pPr>
      <w:r>
        <w:rPr>
          <w:rFonts w:hint="eastAsia" w:ascii="宋体" w:hAnsi="宋体"/>
          <w:szCs w:val="21"/>
        </w:rPr>
        <w:t>3. 我方收到你方的书面索赔通知及相应的证明材料后７天内无条件支付。</w:t>
      </w:r>
    </w:p>
    <w:p w14:paraId="6F8B9E61">
      <w:pPr>
        <w:spacing w:line="360" w:lineRule="auto"/>
        <w:ind w:firstLine="420" w:firstLineChars="200"/>
        <w:rPr>
          <w:rFonts w:ascii="宋体" w:hAnsi="宋体"/>
          <w:szCs w:val="21"/>
        </w:rPr>
      </w:pPr>
      <w:bookmarkStart w:id="1328" w:name="_Toc532375696"/>
      <w:r>
        <w:rPr>
          <w:rFonts w:hint="eastAsia" w:ascii="宋体" w:hAnsi="宋体"/>
          <w:szCs w:val="21"/>
        </w:rPr>
        <w:t>五、保证责任的解除</w:t>
      </w:r>
      <w:bookmarkEnd w:id="1328"/>
    </w:p>
    <w:p w14:paraId="4A4267BF">
      <w:pPr>
        <w:spacing w:line="360" w:lineRule="auto"/>
        <w:ind w:firstLine="420" w:firstLineChars="200"/>
        <w:rPr>
          <w:rFonts w:ascii="宋体" w:hAnsi="宋体"/>
          <w:szCs w:val="21"/>
        </w:rPr>
      </w:pPr>
      <w:r>
        <w:rPr>
          <w:rFonts w:hint="eastAsia" w:ascii="宋体" w:hAnsi="宋体"/>
          <w:szCs w:val="21"/>
        </w:rPr>
        <w:t>1. 在本保函承诺的保证期间内，你方未书面向我方主张保证责任的，自保证期间届满次日起，我方保证责任解除。</w:t>
      </w:r>
    </w:p>
    <w:p w14:paraId="1DE7F850">
      <w:pPr>
        <w:spacing w:line="360" w:lineRule="auto"/>
        <w:ind w:firstLine="420" w:firstLineChars="200"/>
        <w:rPr>
          <w:rFonts w:ascii="宋体" w:hAnsi="宋体"/>
          <w:szCs w:val="21"/>
        </w:rPr>
      </w:pPr>
      <w:r>
        <w:rPr>
          <w:rFonts w:hint="eastAsia" w:ascii="宋体" w:hAnsi="宋体"/>
          <w:szCs w:val="21"/>
        </w:rPr>
        <w:t>2. 发包人按主合同约定履行了工程款的全部支付义务的，自本保函承诺的保证期间届满次日起，我方保证责任解除。</w:t>
      </w:r>
    </w:p>
    <w:p w14:paraId="0C70E71A">
      <w:pPr>
        <w:spacing w:line="360" w:lineRule="auto"/>
        <w:ind w:firstLine="420" w:firstLineChars="200"/>
        <w:rPr>
          <w:rFonts w:ascii="宋体" w:hAnsi="宋体"/>
          <w:szCs w:val="21"/>
        </w:rPr>
      </w:pPr>
      <w:r>
        <w:rPr>
          <w:rFonts w:hint="eastAsia" w:ascii="宋体" w:hAnsi="宋体"/>
          <w:szCs w:val="21"/>
        </w:rPr>
        <w:t>3. 我方按照本保函向你方履行保证责任所支付金额达到本保函保证金额时，自我方向你方支付（支付款项从我方账户划出）之日起，保证责任即解除。</w:t>
      </w:r>
    </w:p>
    <w:p w14:paraId="1AABDFA1">
      <w:pPr>
        <w:spacing w:line="360" w:lineRule="auto"/>
        <w:ind w:firstLine="420" w:firstLineChars="200"/>
        <w:rPr>
          <w:rFonts w:ascii="宋体" w:hAnsi="宋体"/>
          <w:szCs w:val="21"/>
        </w:rPr>
      </w:pPr>
      <w:r>
        <w:rPr>
          <w:rFonts w:hint="eastAsia" w:ascii="宋体" w:hAnsi="宋体"/>
          <w:szCs w:val="21"/>
        </w:rPr>
        <w:t>4. 按照法律法规的规定或出现应解除我方保证责任的其他情形的，我方在本保函项下的保证责任亦解除。</w:t>
      </w:r>
    </w:p>
    <w:p w14:paraId="7375A03E">
      <w:pPr>
        <w:spacing w:line="360" w:lineRule="auto"/>
        <w:ind w:firstLine="420" w:firstLineChars="200"/>
        <w:rPr>
          <w:rFonts w:ascii="宋体" w:hAnsi="宋体"/>
          <w:szCs w:val="21"/>
        </w:rPr>
      </w:pPr>
      <w:r>
        <w:rPr>
          <w:rFonts w:hint="eastAsia" w:ascii="宋体" w:hAnsi="宋体"/>
          <w:szCs w:val="21"/>
        </w:rPr>
        <w:t>5. 我方解除保证责任后，你方应自我方保证责任解除之日起  个工作日内，将本保函原件返还我方。</w:t>
      </w:r>
    </w:p>
    <w:p w14:paraId="02061BE5">
      <w:pPr>
        <w:spacing w:line="360" w:lineRule="auto"/>
        <w:ind w:firstLine="420" w:firstLineChars="200"/>
        <w:rPr>
          <w:rFonts w:ascii="宋体" w:hAnsi="宋体"/>
          <w:szCs w:val="21"/>
        </w:rPr>
      </w:pPr>
      <w:bookmarkStart w:id="1329" w:name="_Toc532375697"/>
      <w:r>
        <w:rPr>
          <w:rFonts w:hint="eastAsia" w:ascii="宋体" w:hAnsi="宋体"/>
          <w:szCs w:val="21"/>
        </w:rPr>
        <w:t>六、免责条款</w:t>
      </w:r>
      <w:bookmarkEnd w:id="1329"/>
    </w:p>
    <w:p w14:paraId="6FF4FE3B">
      <w:pPr>
        <w:spacing w:line="360" w:lineRule="auto"/>
        <w:ind w:firstLine="420" w:firstLineChars="200"/>
        <w:rPr>
          <w:rFonts w:ascii="宋体" w:hAnsi="宋体"/>
          <w:szCs w:val="21"/>
        </w:rPr>
      </w:pPr>
      <w:r>
        <w:rPr>
          <w:rFonts w:hint="eastAsia" w:ascii="宋体" w:hAnsi="宋体"/>
          <w:szCs w:val="21"/>
        </w:rPr>
        <w:t>1. 因你方违约致使发包人不能履行义务的，我方不承担保证责任。</w:t>
      </w:r>
    </w:p>
    <w:p w14:paraId="56331ACC">
      <w:pPr>
        <w:spacing w:line="360" w:lineRule="auto"/>
        <w:ind w:firstLine="420" w:firstLineChars="200"/>
        <w:rPr>
          <w:rFonts w:ascii="宋体" w:hAnsi="宋体"/>
          <w:szCs w:val="21"/>
        </w:rPr>
      </w:pPr>
      <w:r>
        <w:rPr>
          <w:rFonts w:hint="eastAsia" w:ascii="宋体" w:hAnsi="宋体"/>
          <w:szCs w:val="21"/>
        </w:rPr>
        <w:t>2. 依照法律法规的规定或你方与发包人的另行约定，免除发包人部分或全部义务的，我方亦免除其相应的保证责任。</w:t>
      </w:r>
    </w:p>
    <w:p w14:paraId="0810EEB0">
      <w:pPr>
        <w:spacing w:line="360" w:lineRule="auto"/>
        <w:ind w:firstLine="420" w:firstLineChars="200"/>
        <w:rPr>
          <w:rFonts w:ascii="宋体" w:hAnsi="宋体"/>
          <w:szCs w:val="21"/>
        </w:rPr>
      </w:pPr>
      <w:r>
        <w:rPr>
          <w:rFonts w:hint="eastAsia" w:ascii="宋体" w:hAnsi="宋体"/>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14:paraId="519F2C5D">
      <w:pPr>
        <w:spacing w:line="360" w:lineRule="auto"/>
        <w:ind w:firstLine="420" w:firstLineChars="200"/>
        <w:rPr>
          <w:rFonts w:ascii="宋体" w:hAnsi="宋体"/>
          <w:szCs w:val="21"/>
        </w:rPr>
      </w:pPr>
      <w:r>
        <w:rPr>
          <w:rFonts w:hint="eastAsia" w:ascii="宋体" w:hAnsi="宋体"/>
          <w:szCs w:val="21"/>
        </w:rPr>
        <w:t>4. 因不可抗力造成发包人不能履行义务的，我方不承担保证责任。</w:t>
      </w:r>
    </w:p>
    <w:p w14:paraId="7C8D00E2">
      <w:pPr>
        <w:spacing w:line="360" w:lineRule="auto"/>
        <w:ind w:firstLine="420" w:firstLineChars="200"/>
        <w:rPr>
          <w:rFonts w:ascii="宋体" w:hAnsi="宋体"/>
          <w:szCs w:val="21"/>
        </w:rPr>
      </w:pPr>
      <w:bookmarkStart w:id="1330" w:name="_Toc532375698"/>
      <w:r>
        <w:rPr>
          <w:rFonts w:hint="eastAsia" w:ascii="宋体" w:hAnsi="宋体"/>
          <w:szCs w:val="21"/>
        </w:rPr>
        <w:t>七、争议解决</w:t>
      </w:r>
      <w:bookmarkEnd w:id="1330"/>
    </w:p>
    <w:p w14:paraId="745F0DA3">
      <w:pPr>
        <w:spacing w:line="360" w:lineRule="auto"/>
        <w:ind w:firstLine="420" w:firstLineChars="200"/>
        <w:rPr>
          <w:rFonts w:ascii="宋体" w:hAnsi="宋体"/>
          <w:szCs w:val="21"/>
        </w:rPr>
      </w:pPr>
      <w:r>
        <w:rPr>
          <w:rFonts w:hint="eastAsia" w:ascii="宋体" w:hAnsi="宋体"/>
          <w:szCs w:val="21"/>
        </w:rPr>
        <w:t>因本保函或本保函相关事项发生的纠纷，可由双方协商解决，协商不成的，按下列第</w:t>
      </w:r>
      <w:r>
        <w:rPr>
          <w:rFonts w:hint="eastAsia" w:ascii="宋体" w:hAnsi="宋体"/>
          <w:szCs w:val="21"/>
          <w:u w:val="single"/>
        </w:rPr>
        <w:t xml:space="preserve">    </w:t>
      </w:r>
      <w:r>
        <w:rPr>
          <w:rFonts w:hint="eastAsia" w:ascii="宋体" w:hAnsi="宋体"/>
          <w:szCs w:val="21"/>
        </w:rPr>
        <w:t>种方式解决：</w:t>
      </w:r>
    </w:p>
    <w:p w14:paraId="03752982">
      <w:pPr>
        <w:spacing w:line="360" w:lineRule="auto"/>
        <w:ind w:firstLine="420" w:firstLineChars="200"/>
        <w:rPr>
          <w:rFonts w:ascii="宋体" w:hAnsi="宋体"/>
          <w:szCs w:val="21"/>
        </w:rPr>
      </w:pPr>
      <w:r>
        <w:rPr>
          <w:rFonts w:hint="eastAsia" w:ascii="宋体" w:hAnsi="宋体"/>
          <w:szCs w:val="21"/>
        </w:rPr>
        <w:t>（1）向</w:t>
      </w:r>
      <w:r>
        <w:rPr>
          <w:rFonts w:hint="eastAsia" w:ascii="宋体" w:hAnsi="宋体"/>
          <w:szCs w:val="21"/>
          <w:u w:val="single"/>
        </w:rPr>
        <w:t xml:space="preserve">                     </w:t>
      </w:r>
      <w:r>
        <w:rPr>
          <w:rFonts w:hint="eastAsia" w:ascii="宋体" w:hAnsi="宋体"/>
          <w:szCs w:val="21"/>
        </w:rPr>
        <w:t>仲裁委员会申请仲裁；</w:t>
      </w:r>
    </w:p>
    <w:p w14:paraId="2CD66C6F">
      <w:pPr>
        <w:spacing w:line="360" w:lineRule="auto"/>
        <w:ind w:firstLine="420" w:firstLineChars="200"/>
        <w:rPr>
          <w:rFonts w:ascii="宋体" w:hAnsi="宋体"/>
          <w:szCs w:val="21"/>
        </w:rPr>
      </w:pPr>
      <w:r>
        <w:rPr>
          <w:rFonts w:hint="eastAsia" w:ascii="宋体" w:hAnsi="宋体"/>
          <w:szCs w:val="21"/>
        </w:rPr>
        <w:t>（2）向</w:t>
      </w:r>
      <w:r>
        <w:rPr>
          <w:rFonts w:hint="eastAsia" w:ascii="宋体" w:hAnsi="宋体"/>
          <w:szCs w:val="21"/>
          <w:u w:val="single"/>
        </w:rPr>
        <w:t xml:space="preserve">                     </w:t>
      </w:r>
      <w:r>
        <w:rPr>
          <w:rFonts w:hint="eastAsia" w:ascii="宋体" w:hAnsi="宋体"/>
          <w:szCs w:val="21"/>
        </w:rPr>
        <w:t>人民法院起诉。</w:t>
      </w:r>
    </w:p>
    <w:p w14:paraId="7D995483">
      <w:pPr>
        <w:spacing w:line="360" w:lineRule="auto"/>
        <w:ind w:firstLine="420" w:firstLineChars="200"/>
        <w:rPr>
          <w:rFonts w:ascii="宋体" w:hAnsi="宋体"/>
          <w:szCs w:val="21"/>
        </w:rPr>
      </w:pPr>
      <w:bookmarkStart w:id="1331" w:name="_Toc532375699"/>
      <w:r>
        <w:rPr>
          <w:rFonts w:hint="eastAsia" w:ascii="宋体" w:hAnsi="宋体"/>
          <w:szCs w:val="21"/>
        </w:rPr>
        <w:t>八、保函的生效</w:t>
      </w:r>
      <w:bookmarkEnd w:id="1331"/>
    </w:p>
    <w:p w14:paraId="346E9490">
      <w:pPr>
        <w:spacing w:line="360" w:lineRule="auto"/>
        <w:ind w:firstLine="420" w:firstLineChars="200"/>
        <w:rPr>
          <w:rFonts w:ascii="宋体" w:hAnsi="宋体"/>
          <w:szCs w:val="21"/>
        </w:rPr>
      </w:pPr>
      <w:r>
        <w:rPr>
          <w:rFonts w:hint="eastAsia" w:ascii="宋体" w:hAnsi="宋体"/>
          <w:szCs w:val="21"/>
        </w:rPr>
        <w:t>本保函自我方法定代表人（或其委托代理人）签名并加盖单位公章之日起生效。</w:t>
      </w:r>
    </w:p>
    <w:p w14:paraId="5CDF95FE">
      <w:pPr>
        <w:spacing w:line="360" w:lineRule="auto"/>
        <w:ind w:firstLine="420" w:firstLineChars="200"/>
        <w:jc w:val="left"/>
        <w:rPr>
          <w:rFonts w:ascii="宋体" w:hAnsi="宋体"/>
          <w:szCs w:val="21"/>
        </w:rPr>
      </w:pPr>
    </w:p>
    <w:p w14:paraId="2688BB9D">
      <w:pPr>
        <w:spacing w:line="360" w:lineRule="auto"/>
        <w:ind w:firstLine="420" w:firstLineChars="200"/>
        <w:jc w:val="left"/>
        <w:rPr>
          <w:rFonts w:ascii="宋体" w:hAnsi="宋体"/>
          <w:szCs w:val="21"/>
        </w:rPr>
      </w:pPr>
    </w:p>
    <w:p w14:paraId="331CB05B">
      <w:pPr>
        <w:spacing w:line="360" w:lineRule="auto"/>
        <w:ind w:firstLine="420" w:firstLineChars="200"/>
        <w:jc w:val="left"/>
        <w:rPr>
          <w:rFonts w:ascii="宋体" w:hAnsi="宋体"/>
          <w:szCs w:val="21"/>
        </w:rPr>
      </w:pPr>
      <w:r>
        <w:rPr>
          <w:rFonts w:hint="eastAsia" w:ascii="宋体" w:hAnsi="宋体"/>
          <w:szCs w:val="21"/>
        </w:rPr>
        <w:t>担保人：</w:t>
      </w:r>
      <w:r>
        <w:rPr>
          <w:rFonts w:hint="eastAsia" w:ascii="宋体" w:hAnsi="宋体"/>
          <w:szCs w:val="21"/>
          <w:u w:val="single"/>
        </w:rPr>
        <w:t xml:space="preserve">                                   </w:t>
      </w:r>
      <w:r>
        <w:rPr>
          <w:rFonts w:hint="eastAsia" w:ascii="宋体" w:hAnsi="宋体"/>
          <w:szCs w:val="21"/>
        </w:rPr>
        <w:t>（盖单位公章）</w:t>
      </w:r>
    </w:p>
    <w:p w14:paraId="54BA93DF">
      <w:pPr>
        <w:spacing w:line="360" w:lineRule="auto"/>
        <w:ind w:firstLine="420" w:firstLineChars="200"/>
        <w:rPr>
          <w:rFonts w:ascii="宋体" w:hAnsi="宋体"/>
          <w:szCs w:val="21"/>
        </w:rPr>
      </w:pPr>
      <w:r>
        <w:rPr>
          <w:rFonts w:hint="eastAsia" w:ascii="宋体" w:hAnsi="宋体"/>
          <w:szCs w:val="21"/>
        </w:rPr>
        <w:t>法定代表人或委托代理人：</w:t>
      </w:r>
      <w:r>
        <w:rPr>
          <w:rFonts w:hint="eastAsia" w:ascii="宋体" w:hAnsi="宋体"/>
          <w:szCs w:val="21"/>
          <w:u w:val="single"/>
        </w:rPr>
        <w:t xml:space="preserve">                   </w:t>
      </w:r>
      <w:r>
        <w:rPr>
          <w:rFonts w:hint="eastAsia" w:ascii="宋体" w:hAnsi="宋体"/>
          <w:szCs w:val="21"/>
        </w:rPr>
        <w:t>（签名）</w:t>
      </w:r>
    </w:p>
    <w:p w14:paraId="3010D798">
      <w:pPr>
        <w:spacing w:line="360" w:lineRule="auto"/>
        <w:ind w:firstLine="420" w:firstLineChars="200"/>
        <w:jc w:val="left"/>
        <w:rPr>
          <w:rFonts w:ascii="宋体" w:hAnsi="宋体"/>
          <w:szCs w:val="21"/>
        </w:rPr>
      </w:pPr>
      <w:r>
        <w:rPr>
          <w:rFonts w:hint="eastAsia" w:ascii="宋体" w:hAnsi="宋体"/>
          <w:szCs w:val="21"/>
        </w:rPr>
        <w:t>地    址：</w:t>
      </w:r>
      <w:r>
        <w:rPr>
          <w:rFonts w:hint="eastAsia" w:ascii="宋体" w:hAnsi="宋体"/>
          <w:szCs w:val="21"/>
          <w:u w:val="single"/>
        </w:rPr>
        <w:t xml:space="preserve">                                        </w:t>
      </w:r>
    </w:p>
    <w:p w14:paraId="0640F1AE">
      <w:pPr>
        <w:spacing w:line="360" w:lineRule="auto"/>
        <w:ind w:firstLine="420" w:firstLineChars="200"/>
        <w:jc w:val="left"/>
        <w:rPr>
          <w:rFonts w:ascii="宋体" w:hAnsi="宋体"/>
          <w:szCs w:val="21"/>
        </w:rPr>
      </w:pPr>
      <w:r>
        <w:rPr>
          <w:rFonts w:hint="eastAsia" w:ascii="宋体" w:hAnsi="宋体"/>
          <w:szCs w:val="21"/>
        </w:rPr>
        <w:t>邮政编码：</w:t>
      </w:r>
      <w:r>
        <w:rPr>
          <w:rFonts w:hint="eastAsia" w:ascii="宋体" w:hAnsi="宋体"/>
          <w:szCs w:val="21"/>
          <w:u w:val="single"/>
        </w:rPr>
        <w:t xml:space="preserve">                                        </w:t>
      </w:r>
    </w:p>
    <w:p w14:paraId="6211C073">
      <w:pPr>
        <w:spacing w:line="360" w:lineRule="auto"/>
        <w:ind w:firstLine="420" w:firstLineChars="200"/>
        <w:jc w:val="left"/>
        <w:rPr>
          <w:rFonts w:ascii="宋体" w:hAnsi="宋体"/>
          <w:szCs w:val="21"/>
        </w:rPr>
      </w:pPr>
      <w:r>
        <w:rPr>
          <w:rFonts w:hint="eastAsia" w:ascii="宋体" w:hAnsi="宋体"/>
          <w:szCs w:val="21"/>
        </w:rPr>
        <w:t>传    真：</w:t>
      </w:r>
      <w:r>
        <w:rPr>
          <w:rFonts w:hint="eastAsia" w:ascii="宋体" w:hAnsi="宋体"/>
          <w:szCs w:val="21"/>
          <w:u w:val="single"/>
        </w:rPr>
        <w:t xml:space="preserve">                                        </w:t>
      </w:r>
    </w:p>
    <w:p w14:paraId="78DF700F">
      <w:pPr>
        <w:spacing w:line="360" w:lineRule="auto"/>
        <w:ind w:firstLine="420" w:firstLineChars="200"/>
        <w:rPr>
          <w:rFonts w:ascii="宋体" w:hAnsi="宋体"/>
          <w:szCs w:val="21"/>
        </w:rPr>
      </w:pPr>
      <w:r>
        <w:rPr>
          <w:rFonts w:hint="eastAsia" w:ascii="宋体" w:hAnsi="宋体"/>
          <w:szCs w:val="21"/>
        </w:rPr>
        <w:t xml:space="preserve">           </w:t>
      </w:r>
    </w:p>
    <w:p w14:paraId="701D1CE9">
      <w:pPr>
        <w:spacing w:line="360" w:lineRule="auto"/>
        <w:ind w:firstLine="420" w:firstLineChars="200"/>
        <w:jc w:val="left"/>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szCs w:val="21"/>
        </w:rPr>
        <w:br w:type="page"/>
      </w:r>
    </w:p>
    <w:p w14:paraId="0327545D">
      <w:pPr>
        <w:spacing w:line="480" w:lineRule="auto"/>
        <w:rPr>
          <w:rFonts w:ascii="宋体" w:hAnsi="宋体"/>
          <w:szCs w:val="21"/>
        </w:rPr>
      </w:pPr>
      <w:r>
        <w:rPr>
          <w:rFonts w:hint="eastAsia" w:ascii="宋体" w:hAnsi="宋体"/>
          <w:szCs w:val="21"/>
        </w:rPr>
        <w:t>附件</w:t>
      </w:r>
      <w:r>
        <w:rPr>
          <w:rFonts w:ascii="宋体" w:hAnsi="宋体"/>
          <w:szCs w:val="21"/>
        </w:rPr>
        <w:t>7</w:t>
      </w:r>
      <w:r>
        <w:rPr>
          <w:rFonts w:hint="eastAsia" w:ascii="宋体" w:hAnsi="宋体"/>
          <w:szCs w:val="21"/>
        </w:rPr>
        <w:t>：</w:t>
      </w:r>
    </w:p>
    <w:p w14:paraId="3F19002B">
      <w:pPr>
        <w:spacing w:before="156" w:beforeLines="50" w:after="156" w:afterLines="50" w:line="480" w:lineRule="auto"/>
        <w:jc w:val="center"/>
        <w:rPr>
          <w:rFonts w:ascii="宋体" w:hAnsi="宋体"/>
          <w:szCs w:val="21"/>
        </w:rPr>
      </w:pPr>
      <w:r>
        <w:rPr>
          <w:rFonts w:hint="eastAsia" w:ascii="宋体" w:hAnsi="宋体"/>
          <w:szCs w:val="21"/>
        </w:rPr>
        <w:t>专业工程暂估价表</w:t>
      </w:r>
    </w:p>
    <w:tbl>
      <w:tblPr>
        <w:tblStyle w:val="45"/>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9"/>
        <w:gridCol w:w="1984"/>
        <w:gridCol w:w="5103"/>
        <w:gridCol w:w="1560"/>
      </w:tblGrid>
      <w:tr w14:paraId="52CDB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2B3D3416">
            <w:pPr>
              <w:spacing w:line="400" w:lineRule="exact"/>
              <w:jc w:val="center"/>
              <w:rPr>
                <w:rFonts w:ascii="宋体" w:hAnsi="宋体"/>
                <w:szCs w:val="21"/>
              </w:rPr>
            </w:pPr>
            <w:r>
              <w:rPr>
                <w:rFonts w:hint="eastAsia" w:ascii="宋体" w:hAnsi="宋体"/>
                <w:szCs w:val="21"/>
              </w:rPr>
              <w:t>序号</w:t>
            </w:r>
          </w:p>
        </w:tc>
        <w:tc>
          <w:tcPr>
            <w:tcW w:w="1984" w:type="dxa"/>
          </w:tcPr>
          <w:p w14:paraId="0E74C631">
            <w:pPr>
              <w:spacing w:line="400" w:lineRule="exact"/>
              <w:jc w:val="center"/>
              <w:rPr>
                <w:rFonts w:ascii="宋体" w:hAnsi="宋体"/>
                <w:szCs w:val="21"/>
              </w:rPr>
            </w:pPr>
            <w:r>
              <w:rPr>
                <w:rFonts w:hint="eastAsia" w:ascii="宋体" w:hAnsi="宋体"/>
                <w:szCs w:val="21"/>
              </w:rPr>
              <w:t>专业工程名称</w:t>
            </w:r>
          </w:p>
        </w:tc>
        <w:tc>
          <w:tcPr>
            <w:tcW w:w="5103" w:type="dxa"/>
          </w:tcPr>
          <w:p w14:paraId="4D7B6B63">
            <w:pPr>
              <w:spacing w:line="400" w:lineRule="exact"/>
              <w:jc w:val="center"/>
              <w:rPr>
                <w:rFonts w:ascii="宋体" w:hAnsi="宋体"/>
                <w:szCs w:val="21"/>
              </w:rPr>
            </w:pPr>
            <w:r>
              <w:rPr>
                <w:rFonts w:hint="eastAsia" w:ascii="宋体" w:hAnsi="宋体"/>
                <w:szCs w:val="21"/>
              </w:rPr>
              <w:t>工程内容</w:t>
            </w:r>
          </w:p>
        </w:tc>
        <w:tc>
          <w:tcPr>
            <w:tcW w:w="1560" w:type="dxa"/>
          </w:tcPr>
          <w:p w14:paraId="30A3156C">
            <w:pPr>
              <w:spacing w:line="400" w:lineRule="exact"/>
              <w:jc w:val="center"/>
              <w:rPr>
                <w:rFonts w:ascii="宋体" w:hAnsi="宋体"/>
                <w:szCs w:val="21"/>
              </w:rPr>
            </w:pPr>
            <w:r>
              <w:rPr>
                <w:rFonts w:hint="eastAsia" w:ascii="宋体" w:hAnsi="宋体"/>
                <w:szCs w:val="21"/>
              </w:rPr>
              <w:t>金额</w:t>
            </w:r>
          </w:p>
        </w:tc>
      </w:tr>
      <w:tr w14:paraId="2145F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D7426E7">
            <w:pPr>
              <w:spacing w:line="400" w:lineRule="exact"/>
              <w:ind w:firstLine="420" w:firstLineChars="200"/>
              <w:rPr>
                <w:rFonts w:ascii="宋体" w:hAnsi="宋体"/>
                <w:szCs w:val="21"/>
              </w:rPr>
            </w:pPr>
          </w:p>
        </w:tc>
        <w:tc>
          <w:tcPr>
            <w:tcW w:w="1984" w:type="dxa"/>
          </w:tcPr>
          <w:p w14:paraId="3B43542F">
            <w:pPr>
              <w:spacing w:line="400" w:lineRule="exact"/>
              <w:ind w:firstLine="420" w:firstLineChars="200"/>
              <w:rPr>
                <w:rFonts w:ascii="宋体" w:hAnsi="宋体"/>
                <w:szCs w:val="21"/>
              </w:rPr>
            </w:pPr>
          </w:p>
        </w:tc>
        <w:tc>
          <w:tcPr>
            <w:tcW w:w="5103" w:type="dxa"/>
          </w:tcPr>
          <w:p w14:paraId="10AB08D7">
            <w:pPr>
              <w:spacing w:line="400" w:lineRule="exact"/>
              <w:ind w:firstLine="420" w:firstLineChars="200"/>
              <w:rPr>
                <w:rFonts w:ascii="宋体" w:hAnsi="宋体"/>
                <w:szCs w:val="21"/>
              </w:rPr>
            </w:pPr>
          </w:p>
        </w:tc>
        <w:tc>
          <w:tcPr>
            <w:tcW w:w="1560" w:type="dxa"/>
          </w:tcPr>
          <w:p w14:paraId="2708E74E">
            <w:pPr>
              <w:spacing w:line="400" w:lineRule="exact"/>
              <w:ind w:firstLine="420" w:firstLineChars="200"/>
              <w:rPr>
                <w:rFonts w:ascii="宋体" w:hAnsi="宋体"/>
                <w:szCs w:val="21"/>
              </w:rPr>
            </w:pPr>
          </w:p>
        </w:tc>
      </w:tr>
      <w:tr w14:paraId="715B0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2F185C6D">
            <w:pPr>
              <w:spacing w:line="400" w:lineRule="exact"/>
              <w:ind w:firstLine="420" w:firstLineChars="200"/>
              <w:rPr>
                <w:rFonts w:ascii="宋体" w:hAnsi="宋体"/>
                <w:szCs w:val="21"/>
              </w:rPr>
            </w:pPr>
          </w:p>
        </w:tc>
        <w:tc>
          <w:tcPr>
            <w:tcW w:w="1984" w:type="dxa"/>
          </w:tcPr>
          <w:p w14:paraId="2DA9A7AA">
            <w:pPr>
              <w:spacing w:line="400" w:lineRule="exact"/>
              <w:ind w:firstLine="420" w:firstLineChars="200"/>
              <w:rPr>
                <w:rFonts w:ascii="宋体" w:hAnsi="宋体"/>
                <w:szCs w:val="21"/>
              </w:rPr>
            </w:pPr>
          </w:p>
        </w:tc>
        <w:tc>
          <w:tcPr>
            <w:tcW w:w="5103" w:type="dxa"/>
          </w:tcPr>
          <w:p w14:paraId="4620BD8C">
            <w:pPr>
              <w:spacing w:line="400" w:lineRule="exact"/>
              <w:ind w:firstLine="420" w:firstLineChars="200"/>
              <w:rPr>
                <w:rFonts w:ascii="宋体" w:hAnsi="宋体"/>
                <w:szCs w:val="21"/>
              </w:rPr>
            </w:pPr>
          </w:p>
        </w:tc>
        <w:tc>
          <w:tcPr>
            <w:tcW w:w="1560" w:type="dxa"/>
          </w:tcPr>
          <w:p w14:paraId="1E5184DE">
            <w:pPr>
              <w:spacing w:line="400" w:lineRule="exact"/>
              <w:ind w:firstLine="420" w:firstLineChars="200"/>
              <w:rPr>
                <w:rFonts w:ascii="宋体" w:hAnsi="宋体"/>
                <w:szCs w:val="21"/>
              </w:rPr>
            </w:pPr>
          </w:p>
        </w:tc>
      </w:tr>
      <w:tr w14:paraId="5778F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9026C22">
            <w:pPr>
              <w:spacing w:line="400" w:lineRule="exact"/>
              <w:ind w:firstLine="420" w:firstLineChars="200"/>
              <w:rPr>
                <w:rFonts w:ascii="宋体" w:hAnsi="宋体"/>
                <w:szCs w:val="21"/>
              </w:rPr>
            </w:pPr>
          </w:p>
        </w:tc>
        <w:tc>
          <w:tcPr>
            <w:tcW w:w="1984" w:type="dxa"/>
          </w:tcPr>
          <w:p w14:paraId="50C205F3">
            <w:pPr>
              <w:spacing w:line="400" w:lineRule="exact"/>
              <w:ind w:firstLine="420" w:firstLineChars="200"/>
              <w:rPr>
                <w:rFonts w:ascii="宋体" w:hAnsi="宋体"/>
                <w:szCs w:val="21"/>
              </w:rPr>
            </w:pPr>
          </w:p>
        </w:tc>
        <w:tc>
          <w:tcPr>
            <w:tcW w:w="5103" w:type="dxa"/>
          </w:tcPr>
          <w:p w14:paraId="5C84683B">
            <w:pPr>
              <w:spacing w:line="400" w:lineRule="exact"/>
              <w:ind w:firstLine="420" w:firstLineChars="200"/>
              <w:rPr>
                <w:rFonts w:ascii="宋体" w:hAnsi="宋体"/>
                <w:szCs w:val="21"/>
              </w:rPr>
            </w:pPr>
          </w:p>
        </w:tc>
        <w:tc>
          <w:tcPr>
            <w:tcW w:w="1560" w:type="dxa"/>
          </w:tcPr>
          <w:p w14:paraId="2E748B15">
            <w:pPr>
              <w:spacing w:line="400" w:lineRule="exact"/>
              <w:ind w:firstLine="420" w:firstLineChars="200"/>
              <w:rPr>
                <w:rFonts w:ascii="宋体" w:hAnsi="宋体"/>
                <w:szCs w:val="21"/>
              </w:rPr>
            </w:pPr>
          </w:p>
        </w:tc>
      </w:tr>
      <w:tr w14:paraId="1CE59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0598887">
            <w:pPr>
              <w:spacing w:line="400" w:lineRule="exact"/>
              <w:ind w:firstLine="420" w:firstLineChars="200"/>
              <w:rPr>
                <w:rFonts w:ascii="宋体" w:hAnsi="宋体"/>
                <w:szCs w:val="21"/>
              </w:rPr>
            </w:pPr>
          </w:p>
        </w:tc>
        <w:tc>
          <w:tcPr>
            <w:tcW w:w="1984" w:type="dxa"/>
          </w:tcPr>
          <w:p w14:paraId="2C6EA440">
            <w:pPr>
              <w:spacing w:line="400" w:lineRule="exact"/>
              <w:ind w:firstLine="420" w:firstLineChars="200"/>
              <w:rPr>
                <w:rFonts w:ascii="宋体" w:hAnsi="宋体"/>
                <w:szCs w:val="21"/>
              </w:rPr>
            </w:pPr>
          </w:p>
        </w:tc>
        <w:tc>
          <w:tcPr>
            <w:tcW w:w="5103" w:type="dxa"/>
          </w:tcPr>
          <w:p w14:paraId="53665E33">
            <w:pPr>
              <w:spacing w:line="400" w:lineRule="exact"/>
              <w:ind w:firstLine="420" w:firstLineChars="200"/>
              <w:rPr>
                <w:rFonts w:ascii="宋体" w:hAnsi="宋体"/>
                <w:szCs w:val="21"/>
              </w:rPr>
            </w:pPr>
          </w:p>
        </w:tc>
        <w:tc>
          <w:tcPr>
            <w:tcW w:w="1560" w:type="dxa"/>
          </w:tcPr>
          <w:p w14:paraId="3FD665B0">
            <w:pPr>
              <w:spacing w:line="400" w:lineRule="exact"/>
              <w:ind w:firstLine="420" w:firstLineChars="200"/>
              <w:rPr>
                <w:rFonts w:ascii="宋体" w:hAnsi="宋体"/>
                <w:szCs w:val="21"/>
              </w:rPr>
            </w:pPr>
          </w:p>
        </w:tc>
      </w:tr>
      <w:tr w14:paraId="61F8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BBD43EC">
            <w:pPr>
              <w:spacing w:line="400" w:lineRule="exact"/>
              <w:ind w:firstLine="420" w:firstLineChars="200"/>
              <w:rPr>
                <w:rFonts w:ascii="宋体" w:hAnsi="宋体"/>
                <w:szCs w:val="21"/>
              </w:rPr>
            </w:pPr>
          </w:p>
        </w:tc>
        <w:tc>
          <w:tcPr>
            <w:tcW w:w="1984" w:type="dxa"/>
          </w:tcPr>
          <w:p w14:paraId="708F8D84">
            <w:pPr>
              <w:spacing w:line="400" w:lineRule="exact"/>
              <w:ind w:firstLine="420" w:firstLineChars="200"/>
              <w:rPr>
                <w:rFonts w:ascii="宋体" w:hAnsi="宋体"/>
                <w:szCs w:val="21"/>
              </w:rPr>
            </w:pPr>
          </w:p>
        </w:tc>
        <w:tc>
          <w:tcPr>
            <w:tcW w:w="5103" w:type="dxa"/>
          </w:tcPr>
          <w:p w14:paraId="30EBF7AC">
            <w:pPr>
              <w:spacing w:line="400" w:lineRule="exact"/>
              <w:ind w:firstLine="420" w:firstLineChars="200"/>
              <w:rPr>
                <w:rFonts w:ascii="宋体" w:hAnsi="宋体"/>
                <w:szCs w:val="21"/>
              </w:rPr>
            </w:pPr>
          </w:p>
        </w:tc>
        <w:tc>
          <w:tcPr>
            <w:tcW w:w="1560" w:type="dxa"/>
          </w:tcPr>
          <w:p w14:paraId="5505DFC8">
            <w:pPr>
              <w:spacing w:line="400" w:lineRule="exact"/>
              <w:ind w:firstLine="420" w:firstLineChars="200"/>
              <w:rPr>
                <w:rFonts w:ascii="宋体" w:hAnsi="宋体"/>
                <w:szCs w:val="21"/>
              </w:rPr>
            </w:pPr>
          </w:p>
        </w:tc>
      </w:tr>
      <w:tr w14:paraId="65B3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3F14126C">
            <w:pPr>
              <w:spacing w:line="400" w:lineRule="exact"/>
              <w:ind w:firstLine="420" w:firstLineChars="200"/>
              <w:rPr>
                <w:rFonts w:ascii="宋体" w:hAnsi="宋体"/>
                <w:szCs w:val="21"/>
              </w:rPr>
            </w:pPr>
          </w:p>
        </w:tc>
        <w:tc>
          <w:tcPr>
            <w:tcW w:w="1984" w:type="dxa"/>
          </w:tcPr>
          <w:p w14:paraId="6CE03137">
            <w:pPr>
              <w:spacing w:line="400" w:lineRule="exact"/>
              <w:ind w:firstLine="420" w:firstLineChars="200"/>
              <w:rPr>
                <w:rFonts w:ascii="宋体" w:hAnsi="宋体"/>
                <w:szCs w:val="21"/>
              </w:rPr>
            </w:pPr>
          </w:p>
        </w:tc>
        <w:tc>
          <w:tcPr>
            <w:tcW w:w="5103" w:type="dxa"/>
          </w:tcPr>
          <w:p w14:paraId="39C62160">
            <w:pPr>
              <w:spacing w:line="400" w:lineRule="exact"/>
              <w:ind w:firstLine="420" w:firstLineChars="200"/>
              <w:rPr>
                <w:rFonts w:ascii="宋体" w:hAnsi="宋体"/>
                <w:szCs w:val="21"/>
              </w:rPr>
            </w:pPr>
          </w:p>
        </w:tc>
        <w:tc>
          <w:tcPr>
            <w:tcW w:w="1560" w:type="dxa"/>
          </w:tcPr>
          <w:p w14:paraId="4AC0A356">
            <w:pPr>
              <w:spacing w:line="400" w:lineRule="exact"/>
              <w:ind w:firstLine="420" w:firstLineChars="200"/>
              <w:rPr>
                <w:rFonts w:ascii="宋体" w:hAnsi="宋体"/>
                <w:szCs w:val="21"/>
              </w:rPr>
            </w:pPr>
          </w:p>
        </w:tc>
      </w:tr>
      <w:tr w14:paraId="3653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8FE4737">
            <w:pPr>
              <w:spacing w:line="400" w:lineRule="exact"/>
              <w:ind w:firstLine="420" w:firstLineChars="200"/>
              <w:rPr>
                <w:rFonts w:ascii="宋体" w:hAnsi="宋体"/>
                <w:szCs w:val="21"/>
              </w:rPr>
            </w:pPr>
          </w:p>
        </w:tc>
        <w:tc>
          <w:tcPr>
            <w:tcW w:w="1984" w:type="dxa"/>
          </w:tcPr>
          <w:p w14:paraId="2DDFF6AA">
            <w:pPr>
              <w:spacing w:line="400" w:lineRule="exact"/>
              <w:ind w:firstLine="420" w:firstLineChars="200"/>
              <w:rPr>
                <w:rFonts w:ascii="宋体" w:hAnsi="宋体"/>
                <w:szCs w:val="21"/>
              </w:rPr>
            </w:pPr>
          </w:p>
        </w:tc>
        <w:tc>
          <w:tcPr>
            <w:tcW w:w="5103" w:type="dxa"/>
          </w:tcPr>
          <w:p w14:paraId="342DB0F1">
            <w:pPr>
              <w:spacing w:line="400" w:lineRule="exact"/>
              <w:ind w:firstLine="420" w:firstLineChars="200"/>
              <w:rPr>
                <w:rFonts w:ascii="宋体" w:hAnsi="宋体"/>
                <w:szCs w:val="21"/>
              </w:rPr>
            </w:pPr>
          </w:p>
        </w:tc>
        <w:tc>
          <w:tcPr>
            <w:tcW w:w="1560" w:type="dxa"/>
          </w:tcPr>
          <w:p w14:paraId="6B9DB930">
            <w:pPr>
              <w:spacing w:line="400" w:lineRule="exact"/>
              <w:ind w:firstLine="420" w:firstLineChars="200"/>
              <w:rPr>
                <w:rFonts w:ascii="宋体" w:hAnsi="宋体"/>
                <w:szCs w:val="21"/>
              </w:rPr>
            </w:pPr>
          </w:p>
        </w:tc>
      </w:tr>
      <w:tr w14:paraId="43452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1B60B814">
            <w:pPr>
              <w:spacing w:line="400" w:lineRule="exact"/>
              <w:ind w:firstLine="420" w:firstLineChars="200"/>
              <w:rPr>
                <w:rFonts w:ascii="宋体" w:hAnsi="宋体"/>
                <w:szCs w:val="21"/>
              </w:rPr>
            </w:pPr>
          </w:p>
        </w:tc>
        <w:tc>
          <w:tcPr>
            <w:tcW w:w="1984" w:type="dxa"/>
          </w:tcPr>
          <w:p w14:paraId="4D42CC38">
            <w:pPr>
              <w:spacing w:line="400" w:lineRule="exact"/>
              <w:ind w:firstLine="420" w:firstLineChars="200"/>
              <w:rPr>
                <w:rFonts w:ascii="宋体" w:hAnsi="宋体"/>
                <w:szCs w:val="21"/>
              </w:rPr>
            </w:pPr>
          </w:p>
        </w:tc>
        <w:tc>
          <w:tcPr>
            <w:tcW w:w="5103" w:type="dxa"/>
          </w:tcPr>
          <w:p w14:paraId="2919E94A">
            <w:pPr>
              <w:spacing w:line="400" w:lineRule="exact"/>
              <w:ind w:firstLine="420" w:firstLineChars="200"/>
              <w:rPr>
                <w:rFonts w:ascii="宋体" w:hAnsi="宋体"/>
                <w:szCs w:val="21"/>
              </w:rPr>
            </w:pPr>
          </w:p>
        </w:tc>
        <w:tc>
          <w:tcPr>
            <w:tcW w:w="1560" w:type="dxa"/>
          </w:tcPr>
          <w:p w14:paraId="7A75D41D">
            <w:pPr>
              <w:spacing w:line="400" w:lineRule="exact"/>
              <w:ind w:firstLine="420" w:firstLineChars="200"/>
              <w:rPr>
                <w:rFonts w:ascii="宋体" w:hAnsi="宋体"/>
                <w:szCs w:val="21"/>
              </w:rPr>
            </w:pPr>
          </w:p>
        </w:tc>
      </w:tr>
      <w:tr w14:paraId="1D4D7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5808D21">
            <w:pPr>
              <w:spacing w:line="400" w:lineRule="exact"/>
              <w:ind w:firstLine="420" w:firstLineChars="200"/>
              <w:rPr>
                <w:rFonts w:ascii="宋体" w:hAnsi="宋体"/>
                <w:szCs w:val="21"/>
              </w:rPr>
            </w:pPr>
          </w:p>
        </w:tc>
        <w:tc>
          <w:tcPr>
            <w:tcW w:w="1984" w:type="dxa"/>
          </w:tcPr>
          <w:p w14:paraId="7E419DF9">
            <w:pPr>
              <w:spacing w:line="400" w:lineRule="exact"/>
              <w:ind w:firstLine="420" w:firstLineChars="200"/>
              <w:rPr>
                <w:rFonts w:ascii="宋体" w:hAnsi="宋体"/>
                <w:szCs w:val="21"/>
              </w:rPr>
            </w:pPr>
          </w:p>
        </w:tc>
        <w:tc>
          <w:tcPr>
            <w:tcW w:w="5103" w:type="dxa"/>
          </w:tcPr>
          <w:p w14:paraId="34D74B2B">
            <w:pPr>
              <w:spacing w:line="400" w:lineRule="exact"/>
              <w:ind w:firstLine="420" w:firstLineChars="200"/>
              <w:rPr>
                <w:rFonts w:ascii="宋体" w:hAnsi="宋体"/>
                <w:szCs w:val="21"/>
              </w:rPr>
            </w:pPr>
          </w:p>
        </w:tc>
        <w:tc>
          <w:tcPr>
            <w:tcW w:w="1560" w:type="dxa"/>
          </w:tcPr>
          <w:p w14:paraId="72E3A26F">
            <w:pPr>
              <w:spacing w:line="400" w:lineRule="exact"/>
              <w:ind w:firstLine="420" w:firstLineChars="200"/>
              <w:rPr>
                <w:rFonts w:ascii="宋体" w:hAnsi="宋体"/>
                <w:szCs w:val="21"/>
              </w:rPr>
            </w:pPr>
          </w:p>
        </w:tc>
      </w:tr>
      <w:tr w14:paraId="0DFB3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558ABD3">
            <w:pPr>
              <w:spacing w:line="400" w:lineRule="exact"/>
              <w:ind w:firstLine="420" w:firstLineChars="200"/>
              <w:rPr>
                <w:rFonts w:ascii="宋体" w:hAnsi="宋体"/>
                <w:szCs w:val="21"/>
              </w:rPr>
            </w:pPr>
          </w:p>
        </w:tc>
        <w:tc>
          <w:tcPr>
            <w:tcW w:w="1984" w:type="dxa"/>
          </w:tcPr>
          <w:p w14:paraId="05323051">
            <w:pPr>
              <w:spacing w:line="400" w:lineRule="exact"/>
              <w:ind w:firstLine="420" w:firstLineChars="200"/>
              <w:rPr>
                <w:rFonts w:ascii="宋体" w:hAnsi="宋体"/>
                <w:szCs w:val="21"/>
              </w:rPr>
            </w:pPr>
          </w:p>
        </w:tc>
        <w:tc>
          <w:tcPr>
            <w:tcW w:w="5103" w:type="dxa"/>
          </w:tcPr>
          <w:p w14:paraId="4BBCFED1">
            <w:pPr>
              <w:spacing w:line="400" w:lineRule="exact"/>
              <w:ind w:firstLine="420" w:firstLineChars="200"/>
              <w:rPr>
                <w:rFonts w:ascii="宋体" w:hAnsi="宋体"/>
                <w:szCs w:val="21"/>
              </w:rPr>
            </w:pPr>
          </w:p>
        </w:tc>
        <w:tc>
          <w:tcPr>
            <w:tcW w:w="1560" w:type="dxa"/>
          </w:tcPr>
          <w:p w14:paraId="4F3215A0">
            <w:pPr>
              <w:spacing w:line="400" w:lineRule="exact"/>
              <w:ind w:firstLine="420" w:firstLineChars="200"/>
              <w:rPr>
                <w:rFonts w:ascii="宋体" w:hAnsi="宋体"/>
                <w:szCs w:val="21"/>
              </w:rPr>
            </w:pPr>
          </w:p>
        </w:tc>
      </w:tr>
      <w:tr w14:paraId="53A6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1CB565BC">
            <w:pPr>
              <w:spacing w:line="400" w:lineRule="exact"/>
              <w:ind w:firstLine="420" w:firstLineChars="200"/>
              <w:rPr>
                <w:rFonts w:ascii="宋体" w:hAnsi="宋体"/>
                <w:szCs w:val="21"/>
              </w:rPr>
            </w:pPr>
          </w:p>
        </w:tc>
        <w:tc>
          <w:tcPr>
            <w:tcW w:w="1984" w:type="dxa"/>
          </w:tcPr>
          <w:p w14:paraId="7EA17D7B">
            <w:pPr>
              <w:spacing w:line="400" w:lineRule="exact"/>
              <w:ind w:firstLine="420" w:firstLineChars="200"/>
              <w:rPr>
                <w:rFonts w:ascii="宋体" w:hAnsi="宋体"/>
                <w:szCs w:val="21"/>
              </w:rPr>
            </w:pPr>
          </w:p>
        </w:tc>
        <w:tc>
          <w:tcPr>
            <w:tcW w:w="5103" w:type="dxa"/>
          </w:tcPr>
          <w:p w14:paraId="39D4A2F9">
            <w:pPr>
              <w:spacing w:line="400" w:lineRule="exact"/>
              <w:ind w:firstLine="420" w:firstLineChars="200"/>
              <w:rPr>
                <w:rFonts w:ascii="宋体" w:hAnsi="宋体"/>
                <w:szCs w:val="21"/>
              </w:rPr>
            </w:pPr>
          </w:p>
        </w:tc>
        <w:tc>
          <w:tcPr>
            <w:tcW w:w="1560" w:type="dxa"/>
          </w:tcPr>
          <w:p w14:paraId="289498CA">
            <w:pPr>
              <w:spacing w:line="400" w:lineRule="exact"/>
              <w:ind w:firstLine="420" w:firstLineChars="200"/>
              <w:rPr>
                <w:rFonts w:ascii="宋体" w:hAnsi="宋体"/>
                <w:szCs w:val="21"/>
              </w:rPr>
            </w:pPr>
          </w:p>
        </w:tc>
      </w:tr>
      <w:tr w14:paraId="19E4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EE9DC67">
            <w:pPr>
              <w:spacing w:line="400" w:lineRule="exact"/>
              <w:ind w:firstLine="420" w:firstLineChars="200"/>
              <w:rPr>
                <w:rFonts w:ascii="宋体" w:hAnsi="宋体"/>
                <w:szCs w:val="21"/>
              </w:rPr>
            </w:pPr>
          </w:p>
        </w:tc>
        <w:tc>
          <w:tcPr>
            <w:tcW w:w="1984" w:type="dxa"/>
          </w:tcPr>
          <w:p w14:paraId="4C403D7F">
            <w:pPr>
              <w:spacing w:line="400" w:lineRule="exact"/>
              <w:ind w:firstLine="420" w:firstLineChars="200"/>
              <w:rPr>
                <w:rFonts w:ascii="宋体" w:hAnsi="宋体"/>
                <w:szCs w:val="21"/>
              </w:rPr>
            </w:pPr>
          </w:p>
        </w:tc>
        <w:tc>
          <w:tcPr>
            <w:tcW w:w="5103" w:type="dxa"/>
          </w:tcPr>
          <w:p w14:paraId="6D95906C">
            <w:pPr>
              <w:spacing w:line="400" w:lineRule="exact"/>
              <w:ind w:firstLine="420" w:firstLineChars="200"/>
              <w:rPr>
                <w:rFonts w:ascii="宋体" w:hAnsi="宋体"/>
                <w:szCs w:val="21"/>
              </w:rPr>
            </w:pPr>
          </w:p>
        </w:tc>
        <w:tc>
          <w:tcPr>
            <w:tcW w:w="1560" w:type="dxa"/>
          </w:tcPr>
          <w:p w14:paraId="4E46C56C">
            <w:pPr>
              <w:spacing w:line="400" w:lineRule="exact"/>
              <w:ind w:firstLine="420" w:firstLineChars="200"/>
              <w:rPr>
                <w:rFonts w:ascii="宋体" w:hAnsi="宋体"/>
                <w:szCs w:val="21"/>
              </w:rPr>
            </w:pPr>
          </w:p>
        </w:tc>
      </w:tr>
      <w:tr w14:paraId="3A55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34D03416">
            <w:pPr>
              <w:spacing w:line="400" w:lineRule="exact"/>
              <w:ind w:firstLine="420" w:firstLineChars="200"/>
              <w:rPr>
                <w:rFonts w:ascii="宋体" w:hAnsi="宋体"/>
                <w:szCs w:val="21"/>
              </w:rPr>
            </w:pPr>
          </w:p>
        </w:tc>
        <w:tc>
          <w:tcPr>
            <w:tcW w:w="1984" w:type="dxa"/>
          </w:tcPr>
          <w:p w14:paraId="639298D1">
            <w:pPr>
              <w:spacing w:line="400" w:lineRule="exact"/>
              <w:ind w:firstLine="420" w:firstLineChars="200"/>
              <w:rPr>
                <w:rFonts w:ascii="宋体" w:hAnsi="宋体"/>
                <w:szCs w:val="21"/>
              </w:rPr>
            </w:pPr>
          </w:p>
        </w:tc>
        <w:tc>
          <w:tcPr>
            <w:tcW w:w="5103" w:type="dxa"/>
          </w:tcPr>
          <w:p w14:paraId="2C790E19">
            <w:pPr>
              <w:spacing w:line="400" w:lineRule="exact"/>
              <w:ind w:firstLine="420" w:firstLineChars="200"/>
              <w:rPr>
                <w:rFonts w:ascii="宋体" w:hAnsi="宋体"/>
                <w:szCs w:val="21"/>
              </w:rPr>
            </w:pPr>
          </w:p>
        </w:tc>
        <w:tc>
          <w:tcPr>
            <w:tcW w:w="1560" w:type="dxa"/>
          </w:tcPr>
          <w:p w14:paraId="218C6751">
            <w:pPr>
              <w:spacing w:line="400" w:lineRule="exact"/>
              <w:ind w:firstLine="420" w:firstLineChars="200"/>
              <w:rPr>
                <w:rFonts w:ascii="宋体" w:hAnsi="宋体"/>
                <w:szCs w:val="21"/>
              </w:rPr>
            </w:pPr>
          </w:p>
        </w:tc>
      </w:tr>
      <w:tr w14:paraId="3BE4F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3C9B9FB3">
            <w:pPr>
              <w:spacing w:line="400" w:lineRule="exact"/>
              <w:ind w:firstLine="420" w:firstLineChars="200"/>
              <w:rPr>
                <w:rFonts w:ascii="宋体" w:hAnsi="宋体"/>
                <w:szCs w:val="21"/>
              </w:rPr>
            </w:pPr>
          </w:p>
        </w:tc>
        <w:tc>
          <w:tcPr>
            <w:tcW w:w="1984" w:type="dxa"/>
          </w:tcPr>
          <w:p w14:paraId="092F0723">
            <w:pPr>
              <w:spacing w:line="400" w:lineRule="exact"/>
              <w:ind w:firstLine="420" w:firstLineChars="200"/>
              <w:rPr>
                <w:rFonts w:ascii="宋体" w:hAnsi="宋体"/>
                <w:szCs w:val="21"/>
              </w:rPr>
            </w:pPr>
          </w:p>
        </w:tc>
        <w:tc>
          <w:tcPr>
            <w:tcW w:w="5103" w:type="dxa"/>
          </w:tcPr>
          <w:p w14:paraId="7DFE0D19">
            <w:pPr>
              <w:spacing w:line="400" w:lineRule="exact"/>
              <w:ind w:firstLine="420" w:firstLineChars="200"/>
              <w:rPr>
                <w:rFonts w:ascii="宋体" w:hAnsi="宋体"/>
                <w:szCs w:val="21"/>
              </w:rPr>
            </w:pPr>
          </w:p>
        </w:tc>
        <w:tc>
          <w:tcPr>
            <w:tcW w:w="1560" w:type="dxa"/>
          </w:tcPr>
          <w:p w14:paraId="639738DB">
            <w:pPr>
              <w:spacing w:line="400" w:lineRule="exact"/>
              <w:ind w:firstLine="420" w:firstLineChars="200"/>
              <w:rPr>
                <w:rFonts w:ascii="宋体" w:hAnsi="宋体"/>
                <w:szCs w:val="21"/>
              </w:rPr>
            </w:pPr>
          </w:p>
        </w:tc>
      </w:tr>
      <w:tr w14:paraId="08F18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489FAD2">
            <w:pPr>
              <w:spacing w:line="400" w:lineRule="exact"/>
              <w:ind w:firstLine="420" w:firstLineChars="200"/>
              <w:rPr>
                <w:rFonts w:ascii="宋体" w:hAnsi="宋体"/>
                <w:szCs w:val="21"/>
              </w:rPr>
            </w:pPr>
          </w:p>
        </w:tc>
        <w:tc>
          <w:tcPr>
            <w:tcW w:w="1984" w:type="dxa"/>
          </w:tcPr>
          <w:p w14:paraId="33DA3645">
            <w:pPr>
              <w:spacing w:line="400" w:lineRule="exact"/>
              <w:ind w:firstLine="420" w:firstLineChars="200"/>
              <w:rPr>
                <w:rFonts w:ascii="宋体" w:hAnsi="宋体"/>
                <w:szCs w:val="21"/>
              </w:rPr>
            </w:pPr>
          </w:p>
        </w:tc>
        <w:tc>
          <w:tcPr>
            <w:tcW w:w="5103" w:type="dxa"/>
          </w:tcPr>
          <w:p w14:paraId="19E9C85A">
            <w:pPr>
              <w:spacing w:line="400" w:lineRule="exact"/>
              <w:ind w:firstLine="420" w:firstLineChars="200"/>
              <w:rPr>
                <w:rFonts w:ascii="宋体" w:hAnsi="宋体"/>
                <w:szCs w:val="21"/>
              </w:rPr>
            </w:pPr>
          </w:p>
        </w:tc>
        <w:tc>
          <w:tcPr>
            <w:tcW w:w="1560" w:type="dxa"/>
          </w:tcPr>
          <w:p w14:paraId="389AD983">
            <w:pPr>
              <w:spacing w:line="400" w:lineRule="exact"/>
              <w:ind w:firstLine="420" w:firstLineChars="200"/>
              <w:rPr>
                <w:rFonts w:ascii="宋体" w:hAnsi="宋体"/>
                <w:szCs w:val="21"/>
              </w:rPr>
            </w:pPr>
          </w:p>
        </w:tc>
      </w:tr>
      <w:tr w14:paraId="3400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9630C13">
            <w:pPr>
              <w:spacing w:line="400" w:lineRule="exact"/>
              <w:ind w:firstLine="420" w:firstLineChars="200"/>
              <w:rPr>
                <w:rFonts w:ascii="宋体" w:hAnsi="宋体"/>
                <w:szCs w:val="21"/>
              </w:rPr>
            </w:pPr>
          </w:p>
        </w:tc>
        <w:tc>
          <w:tcPr>
            <w:tcW w:w="1984" w:type="dxa"/>
          </w:tcPr>
          <w:p w14:paraId="1884F642">
            <w:pPr>
              <w:spacing w:line="400" w:lineRule="exact"/>
              <w:ind w:firstLine="420" w:firstLineChars="200"/>
              <w:rPr>
                <w:rFonts w:ascii="宋体" w:hAnsi="宋体"/>
                <w:szCs w:val="21"/>
              </w:rPr>
            </w:pPr>
          </w:p>
        </w:tc>
        <w:tc>
          <w:tcPr>
            <w:tcW w:w="5103" w:type="dxa"/>
          </w:tcPr>
          <w:p w14:paraId="3C09D52C">
            <w:pPr>
              <w:spacing w:line="400" w:lineRule="exact"/>
              <w:ind w:firstLine="420" w:firstLineChars="200"/>
              <w:rPr>
                <w:rFonts w:ascii="宋体" w:hAnsi="宋体"/>
                <w:szCs w:val="21"/>
              </w:rPr>
            </w:pPr>
          </w:p>
        </w:tc>
        <w:tc>
          <w:tcPr>
            <w:tcW w:w="1560" w:type="dxa"/>
          </w:tcPr>
          <w:p w14:paraId="2A2CA24D">
            <w:pPr>
              <w:spacing w:line="400" w:lineRule="exact"/>
              <w:ind w:firstLine="420" w:firstLineChars="200"/>
              <w:rPr>
                <w:rFonts w:ascii="宋体" w:hAnsi="宋体"/>
                <w:szCs w:val="21"/>
              </w:rPr>
            </w:pPr>
          </w:p>
        </w:tc>
      </w:tr>
      <w:tr w14:paraId="12576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1D59472D">
            <w:pPr>
              <w:spacing w:line="400" w:lineRule="exact"/>
              <w:ind w:firstLine="420" w:firstLineChars="200"/>
              <w:rPr>
                <w:rFonts w:ascii="宋体" w:hAnsi="宋体"/>
                <w:szCs w:val="21"/>
              </w:rPr>
            </w:pPr>
          </w:p>
        </w:tc>
        <w:tc>
          <w:tcPr>
            <w:tcW w:w="1984" w:type="dxa"/>
          </w:tcPr>
          <w:p w14:paraId="74A2182A">
            <w:pPr>
              <w:spacing w:line="400" w:lineRule="exact"/>
              <w:ind w:firstLine="420" w:firstLineChars="200"/>
              <w:rPr>
                <w:rFonts w:ascii="宋体" w:hAnsi="宋体"/>
                <w:szCs w:val="21"/>
              </w:rPr>
            </w:pPr>
          </w:p>
        </w:tc>
        <w:tc>
          <w:tcPr>
            <w:tcW w:w="5103" w:type="dxa"/>
          </w:tcPr>
          <w:p w14:paraId="1402DD9B">
            <w:pPr>
              <w:spacing w:line="400" w:lineRule="exact"/>
              <w:ind w:firstLine="420" w:firstLineChars="200"/>
              <w:rPr>
                <w:rFonts w:ascii="宋体" w:hAnsi="宋体"/>
                <w:szCs w:val="21"/>
              </w:rPr>
            </w:pPr>
          </w:p>
        </w:tc>
        <w:tc>
          <w:tcPr>
            <w:tcW w:w="1560" w:type="dxa"/>
          </w:tcPr>
          <w:p w14:paraId="4AEC9D7C">
            <w:pPr>
              <w:spacing w:line="400" w:lineRule="exact"/>
              <w:ind w:firstLine="420" w:firstLineChars="200"/>
              <w:rPr>
                <w:rFonts w:ascii="宋体" w:hAnsi="宋体"/>
                <w:szCs w:val="21"/>
              </w:rPr>
            </w:pPr>
          </w:p>
        </w:tc>
      </w:tr>
      <w:tr w14:paraId="69F3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5CDB33F">
            <w:pPr>
              <w:spacing w:line="400" w:lineRule="exact"/>
              <w:ind w:firstLine="420" w:firstLineChars="200"/>
              <w:rPr>
                <w:rFonts w:ascii="宋体" w:hAnsi="宋体"/>
                <w:szCs w:val="21"/>
              </w:rPr>
            </w:pPr>
          </w:p>
        </w:tc>
        <w:tc>
          <w:tcPr>
            <w:tcW w:w="1984" w:type="dxa"/>
          </w:tcPr>
          <w:p w14:paraId="2AB1E201">
            <w:pPr>
              <w:spacing w:line="400" w:lineRule="exact"/>
              <w:ind w:firstLine="420" w:firstLineChars="200"/>
              <w:rPr>
                <w:rFonts w:ascii="宋体" w:hAnsi="宋体"/>
                <w:szCs w:val="21"/>
              </w:rPr>
            </w:pPr>
          </w:p>
        </w:tc>
        <w:tc>
          <w:tcPr>
            <w:tcW w:w="5103" w:type="dxa"/>
          </w:tcPr>
          <w:p w14:paraId="27CD2F78">
            <w:pPr>
              <w:spacing w:line="400" w:lineRule="exact"/>
              <w:ind w:firstLine="420" w:firstLineChars="200"/>
              <w:rPr>
                <w:rFonts w:ascii="宋体" w:hAnsi="宋体"/>
                <w:szCs w:val="21"/>
              </w:rPr>
            </w:pPr>
          </w:p>
        </w:tc>
        <w:tc>
          <w:tcPr>
            <w:tcW w:w="1560" w:type="dxa"/>
          </w:tcPr>
          <w:p w14:paraId="0340A6BE">
            <w:pPr>
              <w:spacing w:line="400" w:lineRule="exact"/>
              <w:ind w:firstLine="420" w:firstLineChars="200"/>
              <w:rPr>
                <w:rFonts w:ascii="宋体" w:hAnsi="宋体"/>
                <w:szCs w:val="21"/>
              </w:rPr>
            </w:pPr>
          </w:p>
        </w:tc>
      </w:tr>
      <w:tr w14:paraId="35FF5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68D703C">
            <w:pPr>
              <w:spacing w:line="400" w:lineRule="exact"/>
              <w:ind w:firstLine="420" w:firstLineChars="200"/>
              <w:rPr>
                <w:rFonts w:ascii="宋体" w:hAnsi="宋体"/>
                <w:szCs w:val="21"/>
              </w:rPr>
            </w:pPr>
          </w:p>
        </w:tc>
        <w:tc>
          <w:tcPr>
            <w:tcW w:w="1984" w:type="dxa"/>
          </w:tcPr>
          <w:p w14:paraId="308E0474">
            <w:pPr>
              <w:spacing w:line="400" w:lineRule="exact"/>
              <w:ind w:firstLine="420" w:firstLineChars="200"/>
              <w:rPr>
                <w:rFonts w:ascii="宋体" w:hAnsi="宋体"/>
                <w:szCs w:val="21"/>
              </w:rPr>
            </w:pPr>
          </w:p>
        </w:tc>
        <w:tc>
          <w:tcPr>
            <w:tcW w:w="5103" w:type="dxa"/>
          </w:tcPr>
          <w:p w14:paraId="74E04D0D">
            <w:pPr>
              <w:spacing w:line="400" w:lineRule="exact"/>
              <w:ind w:firstLine="420" w:firstLineChars="200"/>
              <w:rPr>
                <w:rFonts w:ascii="宋体" w:hAnsi="宋体"/>
                <w:szCs w:val="21"/>
              </w:rPr>
            </w:pPr>
          </w:p>
        </w:tc>
        <w:tc>
          <w:tcPr>
            <w:tcW w:w="1560" w:type="dxa"/>
          </w:tcPr>
          <w:p w14:paraId="6781997C">
            <w:pPr>
              <w:spacing w:line="400" w:lineRule="exact"/>
              <w:ind w:firstLine="420" w:firstLineChars="200"/>
              <w:rPr>
                <w:rFonts w:ascii="宋体" w:hAnsi="宋体"/>
                <w:szCs w:val="21"/>
              </w:rPr>
            </w:pPr>
          </w:p>
        </w:tc>
      </w:tr>
      <w:tr w14:paraId="14EA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00F11EF">
            <w:pPr>
              <w:spacing w:line="400" w:lineRule="exact"/>
              <w:ind w:firstLine="420" w:firstLineChars="200"/>
              <w:rPr>
                <w:rFonts w:ascii="宋体" w:hAnsi="宋体"/>
                <w:szCs w:val="21"/>
              </w:rPr>
            </w:pPr>
          </w:p>
        </w:tc>
        <w:tc>
          <w:tcPr>
            <w:tcW w:w="1984" w:type="dxa"/>
          </w:tcPr>
          <w:p w14:paraId="6674BFDD">
            <w:pPr>
              <w:spacing w:line="400" w:lineRule="exact"/>
              <w:ind w:firstLine="420" w:firstLineChars="200"/>
              <w:rPr>
                <w:rFonts w:ascii="宋体" w:hAnsi="宋体"/>
                <w:szCs w:val="21"/>
              </w:rPr>
            </w:pPr>
          </w:p>
        </w:tc>
        <w:tc>
          <w:tcPr>
            <w:tcW w:w="5103" w:type="dxa"/>
          </w:tcPr>
          <w:p w14:paraId="3C324AF9">
            <w:pPr>
              <w:spacing w:line="400" w:lineRule="exact"/>
              <w:ind w:firstLine="420" w:firstLineChars="200"/>
              <w:rPr>
                <w:rFonts w:ascii="宋体" w:hAnsi="宋体"/>
                <w:szCs w:val="21"/>
              </w:rPr>
            </w:pPr>
          </w:p>
        </w:tc>
        <w:tc>
          <w:tcPr>
            <w:tcW w:w="1560" w:type="dxa"/>
          </w:tcPr>
          <w:p w14:paraId="348A39AF">
            <w:pPr>
              <w:spacing w:line="400" w:lineRule="exact"/>
              <w:ind w:firstLine="420" w:firstLineChars="200"/>
              <w:rPr>
                <w:rFonts w:ascii="宋体" w:hAnsi="宋体"/>
                <w:szCs w:val="21"/>
              </w:rPr>
            </w:pPr>
          </w:p>
        </w:tc>
      </w:tr>
      <w:tr w14:paraId="0867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8E22770">
            <w:pPr>
              <w:spacing w:line="400" w:lineRule="exact"/>
              <w:ind w:firstLine="420" w:firstLineChars="200"/>
              <w:rPr>
                <w:rFonts w:ascii="宋体" w:hAnsi="宋体"/>
                <w:szCs w:val="21"/>
              </w:rPr>
            </w:pPr>
          </w:p>
        </w:tc>
        <w:tc>
          <w:tcPr>
            <w:tcW w:w="1984" w:type="dxa"/>
          </w:tcPr>
          <w:p w14:paraId="595C6392">
            <w:pPr>
              <w:spacing w:line="400" w:lineRule="exact"/>
              <w:ind w:firstLine="420" w:firstLineChars="200"/>
              <w:rPr>
                <w:rFonts w:ascii="宋体" w:hAnsi="宋体"/>
                <w:szCs w:val="21"/>
              </w:rPr>
            </w:pPr>
          </w:p>
        </w:tc>
        <w:tc>
          <w:tcPr>
            <w:tcW w:w="5103" w:type="dxa"/>
          </w:tcPr>
          <w:p w14:paraId="74AF8BCC">
            <w:pPr>
              <w:spacing w:line="400" w:lineRule="exact"/>
              <w:ind w:firstLine="420" w:firstLineChars="200"/>
              <w:rPr>
                <w:rFonts w:ascii="宋体" w:hAnsi="宋体"/>
                <w:szCs w:val="21"/>
              </w:rPr>
            </w:pPr>
          </w:p>
        </w:tc>
        <w:tc>
          <w:tcPr>
            <w:tcW w:w="1560" w:type="dxa"/>
          </w:tcPr>
          <w:p w14:paraId="792911A2">
            <w:pPr>
              <w:spacing w:line="400" w:lineRule="exact"/>
              <w:ind w:firstLine="420" w:firstLineChars="200"/>
              <w:rPr>
                <w:rFonts w:ascii="宋体" w:hAnsi="宋体"/>
                <w:szCs w:val="21"/>
              </w:rPr>
            </w:pPr>
          </w:p>
        </w:tc>
      </w:tr>
      <w:tr w14:paraId="1D2FE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3B3F31D6">
            <w:pPr>
              <w:spacing w:line="400" w:lineRule="exact"/>
              <w:ind w:firstLine="420" w:firstLineChars="200"/>
              <w:rPr>
                <w:rFonts w:ascii="宋体" w:hAnsi="宋体"/>
                <w:szCs w:val="21"/>
              </w:rPr>
            </w:pPr>
          </w:p>
        </w:tc>
        <w:tc>
          <w:tcPr>
            <w:tcW w:w="1984" w:type="dxa"/>
          </w:tcPr>
          <w:p w14:paraId="3612F7E7">
            <w:pPr>
              <w:spacing w:line="400" w:lineRule="exact"/>
              <w:ind w:firstLine="420" w:firstLineChars="200"/>
              <w:rPr>
                <w:rFonts w:ascii="宋体" w:hAnsi="宋体"/>
                <w:szCs w:val="21"/>
              </w:rPr>
            </w:pPr>
          </w:p>
        </w:tc>
        <w:tc>
          <w:tcPr>
            <w:tcW w:w="5103" w:type="dxa"/>
          </w:tcPr>
          <w:p w14:paraId="24CFEA2D">
            <w:pPr>
              <w:spacing w:line="400" w:lineRule="exact"/>
              <w:ind w:firstLine="420" w:firstLineChars="200"/>
              <w:rPr>
                <w:rFonts w:ascii="宋体" w:hAnsi="宋体"/>
                <w:szCs w:val="21"/>
              </w:rPr>
            </w:pPr>
          </w:p>
        </w:tc>
        <w:tc>
          <w:tcPr>
            <w:tcW w:w="1560" w:type="dxa"/>
          </w:tcPr>
          <w:p w14:paraId="2673C33B">
            <w:pPr>
              <w:spacing w:line="400" w:lineRule="exact"/>
              <w:ind w:firstLine="420" w:firstLineChars="200"/>
              <w:rPr>
                <w:rFonts w:ascii="宋体" w:hAnsi="宋体"/>
                <w:szCs w:val="21"/>
              </w:rPr>
            </w:pPr>
          </w:p>
        </w:tc>
      </w:tr>
      <w:tr w14:paraId="1C23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26" w:type="dxa"/>
            <w:gridSpan w:val="4"/>
          </w:tcPr>
          <w:p w14:paraId="1D0701D2">
            <w:pPr>
              <w:spacing w:line="400" w:lineRule="exact"/>
              <w:ind w:firstLine="420" w:firstLineChars="200"/>
              <w:rPr>
                <w:rFonts w:ascii="宋体" w:hAnsi="宋体"/>
                <w:szCs w:val="21"/>
              </w:rPr>
            </w:pPr>
            <w:r>
              <w:rPr>
                <w:rFonts w:hint="eastAsia" w:ascii="宋体" w:hAnsi="宋体"/>
                <w:szCs w:val="21"/>
              </w:rPr>
              <w:t>小计：</w:t>
            </w:r>
          </w:p>
        </w:tc>
      </w:tr>
    </w:tbl>
    <w:p w14:paraId="2B1CD0CA">
      <w:pPr>
        <w:spacing w:line="360" w:lineRule="auto"/>
        <w:ind w:firstLine="420" w:firstLineChars="200"/>
        <w:rPr>
          <w:rFonts w:ascii="宋体" w:hAnsi="宋体"/>
          <w:szCs w:val="21"/>
        </w:rPr>
      </w:pPr>
    </w:p>
    <w:p w14:paraId="6908412E">
      <w:pPr>
        <w:pStyle w:val="2"/>
        <w:spacing w:line="360" w:lineRule="auto"/>
        <w:rPr>
          <w:rFonts w:ascii="宋体" w:hAnsi="宋体"/>
          <w:szCs w:val="21"/>
        </w:rPr>
      </w:pPr>
    </w:p>
    <w:p w14:paraId="4B126D4D">
      <w:pPr>
        <w:spacing w:line="480" w:lineRule="auto"/>
        <w:ind w:firstLine="420" w:firstLineChars="200"/>
        <w:rPr>
          <w:rFonts w:ascii="宋体" w:hAnsi="宋体"/>
          <w:szCs w:val="21"/>
        </w:rPr>
      </w:pPr>
      <w:r>
        <w:rPr>
          <w:rFonts w:ascii="宋体" w:hAnsi="宋体"/>
          <w:szCs w:val="21"/>
        </w:rPr>
        <w:br w:type="page"/>
      </w:r>
    </w:p>
    <w:p w14:paraId="1D69765B">
      <w:pPr>
        <w:spacing w:line="480" w:lineRule="auto"/>
        <w:rPr>
          <w:rFonts w:ascii="宋体" w:hAnsi="宋体"/>
          <w:szCs w:val="21"/>
        </w:rPr>
      </w:pPr>
      <w:r>
        <w:rPr>
          <w:rFonts w:hint="eastAsia" w:ascii="宋体" w:hAnsi="宋体"/>
          <w:szCs w:val="21"/>
        </w:rPr>
        <w:t>附件</w:t>
      </w:r>
      <w:r>
        <w:rPr>
          <w:rFonts w:ascii="宋体" w:hAnsi="宋体"/>
          <w:szCs w:val="21"/>
        </w:rPr>
        <w:t>8</w:t>
      </w:r>
      <w:r>
        <w:rPr>
          <w:rFonts w:hint="eastAsia" w:ascii="宋体" w:hAnsi="宋体"/>
          <w:szCs w:val="21"/>
        </w:rPr>
        <w:t>：</w:t>
      </w:r>
    </w:p>
    <w:p w14:paraId="45C55430">
      <w:pPr>
        <w:spacing w:before="156" w:beforeLines="50" w:after="156" w:afterLines="50" w:line="480" w:lineRule="auto"/>
        <w:jc w:val="center"/>
        <w:rPr>
          <w:rFonts w:ascii="宋体" w:hAnsi="宋体"/>
          <w:szCs w:val="21"/>
        </w:rPr>
      </w:pPr>
      <w:r>
        <w:rPr>
          <w:rFonts w:hint="eastAsia" w:ascii="宋体" w:hAnsi="宋体"/>
          <w:szCs w:val="21"/>
        </w:rPr>
        <w:t>廉洁从业协议</w:t>
      </w:r>
    </w:p>
    <w:p w14:paraId="640341F2">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14:paraId="7EFB6F4A">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14:paraId="7C886385">
      <w:pPr>
        <w:spacing w:line="360" w:lineRule="auto"/>
        <w:ind w:firstLine="420" w:firstLineChars="200"/>
        <w:rPr>
          <w:rFonts w:ascii="宋体" w:hAnsi="宋体"/>
          <w:szCs w:val="21"/>
        </w:rPr>
      </w:pPr>
      <w:r>
        <w:rPr>
          <w:rFonts w:hint="eastAsia" w:ascii="宋体" w:hAnsi="宋体"/>
          <w:szCs w:val="21"/>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4332EE56">
      <w:pPr>
        <w:spacing w:line="360" w:lineRule="auto"/>
        <w:ind w:firstLine="420" w:firstLineChars="200"/>
        <w:rPr>
          <w:rFonts w:ascii="宋体" w:hAnsi="宋体"/>
          <w:szCs w:val="21"/>
        </w:rPr>
      </w:pPr>
      <w:r>
        <w:rPr>
          <w:rFonts w:hint="eastAsia" w:ascii="宋体" w:hAnsi="宋体"/>
          <w:szCs w:val="21"/>
        </w:rPr>
        <w:t xml:space="preserve"> 1. 发包人承包人的权利和义务</w:t>
      </w:r>
    </w:p>
    <w:p w14:paraId="08616CE6">
      <w:pPr>
        <w:spacing w:line="360" w:lineRule="auto"/>
        <w:ind w:firstLine="420" w:firstLineChars="200"/>
        <w:rPr>
          <w:rFonts w:ascii="宋体" w:hAnsi="宋体"/>
          <w:szCs w:val="21"/>
        </w:rPr>
      </w:pPr>
      <w:r>
        <w:rPr>
          <w:rFonts w:hint="eastAsia" w:ascii="宋体" w:hAnsi="宋体"/>
          <w:szCs w:val="21"/>
        </w:rPr>
        <w:t>（1）严格遵守党的政策规定和国家有关法律法规及相关部门的有关规定。</w:t>
      </w:r>
    </w:p>
    <w:p w14:paraId="73D261AC">
      <w:pPr>
        <w:spacing w:line="360" w:lineRule="auto"/>
        <w:ind w:firstLine="420" w:firstLineChars="200"/>
        <w:rPr>
          <w:rFonts w:ascii="宋体" w:hAnsi="宋体"/>
          <w:szCs w:val="21"/>
        </w:rPr>
      </w:pPr>
      <w:r>
        <w:rPr>
          <w:rFonts w:hint="eastAsia" w:ascii="宋体" w:hAnsi="宋体"/>
          <w:szCs w:val="21"/>
        </w:rPr>
        <w:t>（2）严格执行 工程的合同文件，自觉按合同办事。</w:t>
      </w:r>
    </w:p>
    <w:p w14:paraId="2C4F6604">
      <w:pPr>
        <w:spacing w:line="360" w:lineRule="auto"/>
        <w:ind w:firstLine="420" w:firstLineChars="200"/>
        <w:rPr>
          <w:rFonts w:ascii="宋体" w:hAnsi="宋体"/>
          <w:szCs w:val="21"/>
        </w:rPr>
      </w:pPr>
      <w:r>
        <w:rPr>
          <w:rFonts w:hint="eastAsia" w:ascii="宋体" w:hAnsi="宋体"/>
          <w:szCs w:val="21"/>
        </w:rPr>
        <w:t>（3）双方的业务活动坚持公开、公正、诚信、透明的原则（法律认定的商业秘密和合同文件另有规定除外），不得损害国家和集体利益，违反工程建设管理规章制度。</w:t>
      </w:r>
    </w:p>
    <w:p w14:paraId="0FB7C2B9">
      <w:pPr>
        <w:spacing w:line="360" w:lineRule="auto"/>
        <w:ind w:firstLine="420" w:firstLineChars="200"/>
        <w:rPr>
          <w:rFonts w:ascii="宋体" w:hAnsi="宋体"/>
          <w:szCs w:val="21"/>
        </w:rPr>
      </w:pPr>
      <w:r>
        <w:rPr>
          <w:rFonts w:hint="eastAsia" w:ascii="宋体" w:hAnsi="宋体"/>
          <w:szCs w:val="21"/>
        </w:rPr>
        <w:t>（4）建立健全廉政制度，开展廉政教育，设立廉政告示牌，公布举报电话，监督并认真查处违法违纪行为。</w:t>
      </w:r>
    </w:p>
    <w:p w14:paraId="78E66FEA">
      <w:pPr>
        <w:spacing w:line="360" w:lineRule="auto"/>
        <w:ind w:firstLine="420" w:firstLineChars="200"/>
        <w:rPr>
          <w:rFonts w:ascii="宋体" w:hAnsi="宋体"/>
          <w:szCs w:val="21"/>
        </w:rPr>
      </w:pPr>
      <w:r>
        <w:rPr>
          <w:rFonts w:hint="eastAsia" w:ascii="宋体" w:hAnsi="宋体"/>
          <w:szCs w:val="21"/>
        </w:rPr>
        <w:t>（5）发现对方在业务活动中有违反廉政规定的行为，有及时提醒对方纠正的权利和义务。</w:t>
      </w:r>
    </w:p>
    <w:p w14:paraId="4EBFB5C4">
      <w:pPr>
        <w:spacing w:line="360" w:lineRule="auto"/>
        <w:ind w:firstLine="420" w:firstLineChars="200"/>
        <w:rPr>
          <w:rFonts w:ascii="宋体" w:hAnsi="宋体"/>
          <w:szCs w:val="21"/>
        </w:rPr>
      </w:pPr>
      <w:r>
        <w:rPr>
          <w:rFonts w:hint="eastAsia" w:ascii="宋体" w:hAnsi="宋体"/>
          <w:szCs w:val="21"/>
        </w:rPr>
        <w:t>（6）发现对方严重违反协议义务条款的行为，有向其上级有关部门举报、建议给予处理并要求告知处理结果的权利。</w:t>
      </w:r>
    </w:p>
    <w:p w14:paraId="22163350">
      <w:pPr>
        <w:spacing w:line="360" w:lineRule="auto"/>
        <w:ind w:firstLine="420" w:firstLineChars="200"/>
        <w:rPr>
          <w:rFonts w:ascii="宋体" w:hAnsi="宋体"/>
          <w:szCs w:val="21"/>
        </w:rPr>
      </w:pPr>
      <w:r>
        <w:rPr>
          <w:rFonts w:hint="eastAsia" w:ascii="宋体" w:hAnsi="宋体"/>
          <w:szCs w:val="21"/>
        </w:rPr>
        <w:t>2. 发包人的义务</w:t>
      </w:r>
    </w:p>
    <w:p w14:paraId="675F994E">
      <w:pPr>
        <w:spacing w:line="360" w:lineRule="auto"/>
        <w:ind w:firstLine="420" w:firstLineChars="200"/>
        <w:rPr>
          <w:rFonts w:ascii="宋体" w:hAnsi="宋体"/>
          <w:szCs w:val="21"/>
        </w:rPr>
      </w:pPr>
      <w:r>
        <w:rPr>
          <w:rFonts w:hint="eastAsia" w:ascii="宋体" w:hAnsi="宋体"/>
          <w:szCs w:val="21"/>
        </w:rPr>
        <w:t>（1）发包人及其工作人员不得索要或接受承包人的礼金、有价证券和贵重物品，不得在承包人报销任何应由发包人或发包人工作人员个人支付的费用等。</w:t>
      </w:r>
    </w:p>
    <w:p w14:paraId="020A9E97">
      <w:pPr>
        <w:spacing w:line="360" w:lineRule="auto"/>
        <w:ind w:firstLine="420" w:firstLineChars="200"/>
        <w:rPr>
          <w:rFonts w:ascii="宋体" w:hAnsi="宋体"/>
          <w:szCs w:val="21"/>
        </w:rPr>
      </w:pPr>
      <w:r>
        <w:rPr>
          <w:rFonts w:hint="eastAsia" w:ascii="宋体" w:hAnsi="宋体"/>
          <w:szCs w:val="21"/>
        </w:rPr>
        <w:t>（2）发包人工作人员不得参加承包人安排的超标准宴请和娱乐活动；不得接受承包人提供的通讯工具、交通工具和高档办公用品等。</w:t>
      </w:r>
    </w:p>
    <w:p w14:paraId="0FEFE64B">
      <w:pPr>
        <w:spacing w:line="360" w:lineRule="auto"/>
        <w:ind w:firstLine="420" w:firstLineChars="200"/>
        <w:rPr>
          <w:rFonts w:ascii="宋体" w:hAnsi="宋体"/>
          <w:szCs w:val="21"/>
        </w:rPr>
      </w:pPr>
      <w:r>
        <w:rPr>
          <w:rFonts w:hint="eastAsia" w:ascii="宋体" w:hAnsi="宋体"/>
          <w:szCs w:val="21"/>
        </w:rPr>
        <w:t>（3）发包人及其工作人员不得要求或者接受承包人为其住房装修、婚丧嫁娶活动、配偶子女的工作安排以及出国出境、旅游等提供方便等。</w:t>
      </w:r>
    </w:p>
    <w:p w14:paraId="5043049B">
      <w:pPr>
        <w:spacing w:line="360" w:lineRule="auto"/>
        <w:ind w:firstLine="420" w:firstLineChars="200"/>
        <w:rPr>
          <w:rFonts w:ascii="宋体" w:hAnsi="宋体"/>
          <w:szCs w:val="21"/>
        </w:rPr>
      </w:pPr>
      <w:r>
        <w:rPr>
          <w:rFonts w:hint="eastAsia" w:ascii="宋体" w:hAnsi="宋体"/>
          <w:szCs w:val="21"/>
        </w:rPr>
        <w:t>（4）发包人工作人员及其配偶、子女不得从事与发包人工程有关的材料设备供应、工程分包、劳务等经济活动等。</w:t>
      </w:r>
    </w:p>
    <w:p w14:paraId="6A03F9E6">
      <w:pPr>
        <w:spacing w:line="360" w:lineRule="auto"/>
        <w:ind w:firstLine="420" w:firstLineChars="200"/>
        <w:rPr>
          <w:rFonts w:ascii="宋体" w:hAnsi="宋体"/>
          <w:szCs w:val="21"/>
        </w:rPr>
      </w:pPr>
      <w:r>
        <w:rPr>
          <w:rFonts w:hint="eastAsia" w:ascii="宋体" w:hAnsi="宋体"/>
          <w:szCs w:val="21"/>
        </w:rPr>
        <w:t>（5）发包人及其工作人员不得以任何理由向承包人推荐分包单位或推销材料，不得要求承包人购买合同规定外的材料和设备。</w:t>
      </w:r>
    </w:p>
    <w:p w14:paraId="2158678C">
      <w:pPr>
        <w:spacing w:line="360" w:lineRule="auto"/>
        <w:ind w:firstLine="420" w:firstLineChars="200"/>
        <w:rPr>
          <w:rFonts w:ascii="宋体" w:hAnsi="宋体"/>
          <w:szCs w:val="21"/>
        </w:rPr>
      </w:pPr>
      <w:r>
        <w:rPr>
          <w:rFonts w:hint="eastAsia" w:ascii="宋体" w:hAnsi="宋体"/>
          <w:szCs w:val="21"/>
        </w:rPr>
        <w:t>（6）发包人工作人员要秉公办事，不准营私舞弊，不准利用职权从事各种个人有偿中介活动和安排个人施工队伍。</w:t>
      </w:r>
    </w:p>
    <w:p w14:paraId="65EEDED5">
      <w:pPr>
        <w:spacing w:line="360" w:lineRule="auto"/>
        <w:ind w:firstLine="420" w:firstLineChars="200"/>
        <w:rPr>
          <w:rFonts w:ascii="宋体" w:hAnsi="宋体"/>
          <w:szCs w:val="21"/>
        </w:rPr>
      </w:pPr>
      <w:r>
        <w:rPr>
          <w:rFonts w:hint="eastAsia" w:ascii="宋体" w:hAnsi="宋体"/>
          <w:szCs w:val="21"/>
        </w:rPr>
        <w:t>3. 承包人义务</w:t>
      </w:r>
    </w:p>
    <w:p w14:paraId="10912A13">
      <w:pPr>
        <w:spacing w:line="360" w:lineRule="auto"/>
        <w:ind w:firstLine="420" w:firstLineChars="200"/>
        <w:rPr>
          <w:rFonts w:ascii="宋体" w:hAnsi="宋体"/>
          <w:szCs w:val="21"/>
        </w:rPr>
      </w:pPr>
      <w:r>
        <w:rPr>
          <w:rFonts w:hint="eastAsia" w:ascii="宋体" w:hAnsi="宋体"/>
          <w:szCs w:val="21"/>
        </w:rPr>
        <w:t>（1）承包人不得以任何理由向发包人及其工作人员行贿或馈赠礼金、有价证券、贵重礼品。</w:t>
      </w:r>
    </w:p>
    <w:p w14:paraId="5947F3E3">
      <w:pPr>
        <w:spacing w:line="360" w:lineRule="auto"/>
        <w:ind w:firstLine="420" w:firstLineChars="200"/>
        <w:rPr>
          <w:rFonts w:ascii="宋体" w:hAnsi="宋体"/>
          <w:szCs w:val="21"/>
        </w:rPr>
      </w:pPr>
      <w:r>
        <w:rPr>
          <w:rFonts w:hint="eastAsia" w:ascii="宋体" w:hAnsi="宋体"/>
          <w:szCs w:val="21"/>
        </w:rPr>
        <w:t>（2）承包人不得以任何名义为发包人及其工作人员报销应由发包人单位或个人支付的任何费用。</w:t>
      </w:r>
    </w:p>
    <w:p w14:paraId="7D6F8B55">
      <w:pPr>
        <w:spacing w:line="360" w:lineRule="auto"/>
        <w:ind w:firstLine="420" w:firstLineChars="200"/>
        <w:rPr>
          <w:rFonts w:ascii="宋体" w:hAnsi="宋体"/>
          <w:szCs w:val="21"/>
        </w:rPr>
      </w:pPr>
      <w:r>
        <w:rPr>
          <w:rFonts w:hint="eastAsia" w:ascii="宋体" w:hAnsi="宋体"/>
          <w:szCs w:val="21"/>
        </w:rPr>
        <w:t>（3）承包人不得以任何理由安排发包人工作人员参加超标准宴请及娱乐活动。</w:t>
      </w:r>
    </w:p>
    <w:p w14:paraId="58EDE201">
      <w:pPr>
        <w:spacing w:line="360" w:lineRule="auto"/>
        <w:ind w:firstLine="420" w:firstLineChars="200"/>
        <w:rPr>
          <w:rFonts w:ascii="宋体" w:hAnsi="宋体"/>
          <w:szCs w:val="21"/>
        </w:rPr>
      </w:pPr>
      <w:r>
        <w:rPr>
          <w:rFonts w:hint="eastAsia" w:ascii="宋体" w:hAnsi="宋体"/>
          <w:szCs w:val="21"/>
        </w:rPr>
        <w:t>（4）承包人不得为发包人单位和个人购置或提供通讯工具、交通工具和高档办公用品等。</w:t>
      </w:r>
    </w:p>
    <w:p w14:paraId="4AEA3B15">
      <w:pPr>
        <w:spacing w:line="360" w:lineRule="auto"/>
        <w:ind w:firstLine="420" w:firstLineChars="200"/>
        <w:rPr>
          <w:rFonts w:ascii="宋体" w:hAnsi="宋体"/>
          <w:szCs w:val="21"/>
        </w:rPr>
      </w:pPr>
      <w:r>
        <w:rPr>
          <w:rFonts w:hint="eastAsia" w:ascii="宋体" w:hAnsi="宋体"/>
          <w:szCs w:val="21"/>
        </w:rPr>
        <w:t>4. 违约责任</w:t>
      </w:r>
    </w:p>
    <w:p w14:paraId="3CF02F6B">
      <w:pPr>
        <w:spacing w:line="360" w:lineRule="auto"/>
        <w:ind w:firstLine="420" w:firstLineChars="200"/>
        <w:rPr>
          <w:rFonts w:ascii="宋体" w:hAnsi="宋体"/>
          <w:szCs w:val="21"/>
        </w:rPr>
      </w:pPr>
      <w:r>
        <w:rPr>
          <w:rFonts w:hint="eastAsia" w:ascii="宋体" w:hAnsi="宋体"/>
          <w:szCs w:val="21"/>
        </w:rPr>
        <w:t>（1）发包人及其工作人员违反合同第1、2条，按管理权限，依据有关规定给予党纪、政纪或组织处理；涉嫌犯罪的，移交司法机关追究刑事责任；给承包人单位造成经济损失的，应予以赔偿。</w:t>
      </w:r>
    </w:p>
    <w:p w14:paraId="70547908">
      <w:pPr>
        <w:spacing w:line="360" w:lineRule="auto"/>
        <w:ind w:firstLine="420" w:firstLineChars="200"/>
        <w:rPr>
          <w:rFonts w:ascii="宋体" w:hAnsi="宋体"/>
          <w:szCs w:val="21"/>
        </w:rPr>
      </w:pPr>
      <w:r>
        <w:rPr>
          <w:rFonts w:hint="eastAsia" w:ascii="宋体" w:hAnsi="宋体"/>
          <w:szCs w:val="21"/>
        </w:rPr>
        <w:t>（2）承包人及其工作人员违反合同第1、3条，按管理权限，依据有关规定给予党纪、政纪或组织处理；给发包人单位造成经济损失的，应予以赔偿。</w:t>
      </w:r>
    </w:p>
    <w:p w14:paraId="2FA21097">
      <w:pPr>
        <w:spacing w:line="360" w:lineRule="auto"/>
        <w:ind w:firstLine="420" w:firstLineChars="200"/>
        <w:rPr>
          <w:rFonts w:ascii="宋体" w:hAnsi="宋体"/>
          <w:szCs w:val="21"/>
        </w:rPr>
      </w:pPr>
      <w:r>
        <w:rPr>
          <w:rFonts w:hint="eastAsia" w:ascii="宋体" w:hAnsi="宋体"/>
          <w:szCs w:val="21"/>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29F7E17F">
      <w:pPr>
        <w:spacing w:line="360" w:lineRule="auto"/>
        <w:ind w:firstLine="420" w:firstLineChars="200"/>
        <w:rPr>
          <w:rFonts w:ascii="宋体" w:hAnsi="宋体"/>
          <w:szCs w:val="21"/>
        </w:rPr>
      </w:pPr>
      <w:r>
        <w:rPr>
          <w:rFonts w:hint="eastAsia" w:ascii="宋体" w:hAnsi="宋体"/>
          <w:szCs w:val="21"/>
        </w:rPr>
        <w:t>6. 协议有效期为甲乙双方签署之日起至该工程项目竣工验收后止。</w:t>
      </w:r>
    </w:p>
    <w:p w14:paraId="76B53F0E">
      <w:pPr>
        <w:spacing w:line="360" w:lineRule="auto"/>
        <w:ind w:firstLine="420" w:firstLineChars="200"/>
        <w:rPr>
          <w:rFonts w:ascii="宋体" w:hAnsi="宋体"/>
          <w:szCs w:val="21"/>
        </w:rPr>
      </w:pPr>
      <w:r>
        <w:rPr>
          <w:rFonts w:hint="eastAsia" w:ascii="宋体" w:hAnsi="宋体"/>
          <w:szCs w:val="21"/>
        </w:rPr>
        <w:t>7.协议作为 工程施工合同的附件，与工程施工合同具有同等的法律效力，经合同双方签署立即生效。</w:t>
      </w:r>
    </w:p>
    <w:p w14:paraId="1E14407B">
      <w:pPr>
        <w:spacing w:line="360" w:lineRule="auto"/>
        <w:ind w:firstLine="420" w:firstLineChars="200"/>
        <w:rPr>
          <w:rFonts w:ascii="宋体" w:hAnsi="宋体"/>
          <w:szCs w:val="21"/>
        </w:rPr>
      </w:pPr>
      <w:r>
        <w:rPr>
          <w:rFonts w:hint="eastAsia" w:ascii="宋体" w:hAnsi="宋体"/>
          <w:szCs w:val="21"/>
        </w:rPr>
        <w:t>（以下无正文）</w:t>
      </w:r>
    </w:p>
    <w:p w14:paraId="165BB736">
      <w:pPr>
        <w:spacing w:line="360" w:lineRule="auto"/>
        <w:rPr>
          <w:rFonts w:ascii="宋体" w:hAnsi="宋体"/>
          <w:szCs w:val="21"/>
        </w:rPr>
      </w:pPr>
    </w:p>
    <w:p w14:paraId="6D170D04">
      <w:pPr>
        <w:pStyle w:val="2"/>
        <w:spacing w:line="360" w:lineRule="auto"/>
        <w:rPr>
          <w:rFonts w:ascii="宋体" w:hAnsi="宋体"/>
          <w:szCs w:val="21"/>
        </w:rPr>
      </w:pPr>
    </w:p>
    <w:p w14:paraId="0FA064CF">
      <w:pPr>
        <w:pStyle w:val="2"/>
        <w:spacing w:line="360" w:lineRule="auto"/>
        <w:rPr>
          <w:rFonts w:ascii="宋体" w:hAnsi="宋体"/>
          <w:szCs w:val="21"/>
        </w:rPr>
      </w:pPr>
    </w:p>
    <w:p w14:paraId="374066A8">
      <w:pPr>
        <w:spacing w:line="360" w:lineRule="auto"/>
        <w:rPr>
          <w:rFonts w:ascii="宋体" w:hAnsi="宋体"/>
          <w:szCs w:val="21"/>
        </w:rPr>
      </w:pPr>
      <w:r>
        <w:rPr>
          <w:rFonts w:hint="eastAsia" w:ascii="宋体" w:hAnsi="宋体"/>
          <w:szCs w:val="21"/>
        </w:rPr>
        <w:t>甲     方：                         乙     方：</w:t>
      </w:r>
    </w:p>
    <w:p w14:paraId="5E0FD721">
      <w:pPr>
        <w:spacing w:line="360" w:lineRule="auto"/>
        <w:rPr>
          <w:rFonts w:ascii="宋体" w:hAnsi="宋体"/>
          <w:szCs w:val="21"/>
        </w:rPr>
      </w:pPr>
    </w:p>
    <w:p w14:paraId="1E46CC6F">
      <w:pPr>
        <w:spacing w:line="360" w:lineRule="auto"/>
        <w:rPr>
          <w:rFonts w:ascii="宋体" w:hAnsi="宋体"/>
          <w:szCs w:val="21"/>
        </w:rPr>
      </w:pPr>
    </w:p>
    <w:p w14:paraId="27CCF4D3">
      <w:pPr>
        <w:spacing w:line="360" w:lineRule="auto"/>
        <w:rPr>
          <w:rFonts w:ascii="宋体" w:hAnsi="宋体"/>
          <w:szCs w:val="21"/>
        </w:rPr>
      </w:pPr>
      <w:r>
        <w:rPr>
          <w:rFonts w:hint="eastAsia" w:ascii="宋体" w:hAnsi="宋体"/>
          <w:szCs w:val="21"/>
        </w:rPr>
        <w:t xml:space="preserve">法定代表人                          法定代表人                      </w:t>
      </w:r>
    </w:p>
    <w:p w14:paraId="0D6457FC">
      <w:pPr>
        <w:spacing w:line="360" w:lineRule="auto"/>
        <w:rPr>
          <w:rFonts w:ascii="宋体" w:hAnsi="宋体"/>
          <w:szCs w:val="21"/>
        </w:rPr>
      </w:pPr>
    </w:p>
    <w:p w14:paraId="26157059">
      <w:pPr>
        <w:spacing w:line="360" w:lineRule="auto"/>
        <w:rPr>
          <w:rFonts w:ascii="宋体" w:hAnsi="宋体"/>
          <w:szCs w:val="21"/>
        </w:rPr>
      </w:pPr>
    </w:p>
    <w:p w14:paraId="067F022C">
      <w:pPr>
        <w:spacing w:line="360" w:lineRule="auto"/>
        <w:rPr>
          <w:rFonts w:ascii="宋体" w:hAnsi="宋体"/>
          <w:szCs w:val="21"/>
        </w:rPr>
      </w:pPr>
      <w:r>
        <w:rPr>
          <w:rFonts w:hint="eastAsia" w:ascii="宋体" w:hAnsi="宋体"/>
          <w:szCs w:val="21"/>
        </w:rPr>
        <w:t>或其授权的代理人：                  或授权的代理人：</w:t>
      </w:r>
    </w:p>
    <w:p w14:paraId="26F55904">
      <w:pPr>
        <w:spacing w:line="480" w:lineRule="auto"/>
        <w:rPr>
          <w:rFonts w:ascii="宋体" w:hAnsi="宋体"/>
          <w:szCs w:val="21"/>
        </w:rPr>
      </w:pPr>
      <w:r>
        <w:rPr>
          <w:rFonts w:hint="eastAsia" w:ascii="宋体" w:hAnsi="宋体"/>
          <w:szCs w:val="21"/>
        </w:rPr>
        <w:br w:type="page"/>
      </w:r>
      <w:r>
        <w:rPr>
          <w:rFonts w:hint="eastAsia" w:ascii="宋体" w:hAnsi="宋体"/>
          <w:szCs w:val="21"/>
        </w:rPr>
        <w:t>附件</w:t>
      </w:r>
      <w:r>
        <w:rPr>
          <w:rFonts w:ascii="宋体" w:hAnsi="宋体"/>
          <w:szCs w:val="21"/>
        </w:rPr>
        <w:t>9</w:t>
      </w:r>
      <w:r>
        <w:rPr>
          <w:rFonts w:hint="eastAsia" w:ascii="宋体" w:hAnsi="宋体"/>
          <w:szCs w:val="21"/>
        </w:rPr>
        <w:t>：</w:t>
      </w:r>
    </w:p>
    <w:p w14:paraId="180AB564">
      <w:pPr>
        <w:spacing w:before="156" w:beforeLines="50" w:after="156" w:afterLines="50" w:line="480" w:lineRule="auto"/>
        <w:jc w:val="center"/>
        <w:rPr>
          <w:rFonts w:ascii="宋体" w:hAnsi="宋体"/>
          <w:szCs w:val="21"/>
        </w:rPr>
      </w:pPr>
      <w:bookmarkStart w:id="1332" w:name="_Toc435690184"/>
      <w:bookmarkStart w:id="1333" w:name="_Toc247431422"/>
      <w:bookmarkStart w:id="1334" w:name="_Toc435689499"/>
      <w:bookmarkStart w:id="1335" w:name="_Toc448406299"/>
      <w:bookmarkStart w:id="1336" w:name="_Toc239510288"/>
      <w:bookmarkStart w:id="1337" w:name="_Toc336680145"/>
      <w:r>
        <w:rPr>
          <w:rFonts w:hint="eastAsia" w:ascii="宋体" w:hAnsi="宋体"/>
          <w:szCs w:val="21"/>
        </w:rPr>
        <w:t>安全管理协议</w:t>
      </w:r>
      <w:bookmarkEnd w:id="1332"/>
      <w:bookmarkEnd w:id="1333"/>
      <w:bookmarkEnd w:id="1334"/>
      <w:bookmarkEnd w:id="1335"/>
      <w:bookmarkEnd w:id="1336"/>
      <w:bookmarkEnd w:id="1337"/>
    </w:p>
    <w:p w14:paraId="47AA1D5F">
      <w:pPr>
        <w:snapToGrid w:val="0"/>
        <w:spacing w:line="360" w:lineRule="auto"/>
        <w:ind w:firstLine="422" w:firstLineChars="200"/>
        <w:rPr>
          <w:rFonts w:ascii="宋体" w:hAnsi="宋体"/>
          <w:b/>
          <w:szCs w:val="21"/>
          <w:u w:val="single"/>
        </w:rPr>
      </w:pPr>
      <w:r>
        <w:rPr>
          <w:rFonts w:hint="eastAsia" w:ascii="宋体" w:hAnsi="宋体"/>
          <w:b/>
          <w:szCs w:val="21"/>
        </w:rPr>
        <w:t>发包人（全称）：</w:t>
      </w:r>
      <w:r>
        <w:rPr>
          <w:rFonts w:hint="eastAsia" w:ascii="宋体" w:hAnsi="宋体"/>
          <w:szCs w:val="21"/>
          <w:u w:val="single"/>
        </w:rPr>
        <w:t xml:space="preserve">                             </w:t>
      </w:r>
    </w:p>
    <w:p w14:paraId="41F2C220">
      <w:pPr>
        <w:snapToGrid w:val="0"/>
        <w:spacing w:line="360" w:lineRule="auto"/>
        <w:ind w:firstLine="422" w:firstLineChars="200"/>
        <w:rPr>
          <w:rFonts w:ascii="宋体" w:hAnsi="宋体"/>
          <w:b/>
          <w:szCs w:val="21"/>
          <w:u w:val="single"/>
        </w:rPr>
      </w:pPr>
      <w:r>
        <w:rPr>
          <w:rFonts w:hint="eastAsia" w:ascii="宋体" w:hAnsi="宋体"/>
          <w:b/>
          <w:szCs w:val="21"/>
        </w:rPr>
        <w:t>承包人（全称）：</w:t>
      </w:r>
      <w:r>
        <w:rPr>
          <w:rFonts w:hint="eastAsia" w:ascii="宋体" w:hAnsi="宋体"/>
          <w:szCs w:val="21"/>
          <w:u w:val="single"/>
        </w:rPr>
        <w:t xml:space="preserve">                             </w:t>
      </w:r>
    </w:p>
    <w:p w14:paraId="1976F8A0">
      <w:pPr>
        <w:spacing w:line="360" w:lineRule="auto"/>
        <w:ind w:firstLine="420" w:firstLineChars="200"/>
        <w:jc w:val="left"/>
        <w:rPr>
          <w:rFonts w:ascii="宋体" w:hAnsi="宋体"/>
          <w:szCs w:val="21"/>
        </w:rPr>
      </w:pPr>
      <w:r>
        <w:rPr>
          <w:rFonts w:hint="eastAsia" w:ascii="宋体" w:hAnsi="宋体"/>
          <w:szCs w:val="21"/>
        </w:rPr>
        <w:t>为了确保实现</w:t>
      </w:r>
      <w:r>
        <w:rPr>
          <w:rFonts w:hint="eastAsia" w:ascii="宋体" w:hAnsi="宋体"/>
          <w:szCs w:val="21"/>
          <w:u w:val="single"/>
        </w:rPr>
        <w:t xml:space="preserve">        </w:t>
      </w:r>
      <w:r>
        <w:rPr>
          <w:rFonts w:hint="eastAsia" w:ascii="宋体" w:hAnsi="宋体"/>
          <w:szCs w:val="21"/>
        </w:rPr>
        <w:t>安全生产目标，进一步明确双方的安全管理责任，加强安全生产管理工作的协调、管理力度，</w:t>
      </w:r>
      <w:r>
        <w:rPr>
          <w:rFonts w:hint="eastAsia" w:ascii="宋体" w:hAnsi="宋体"/>
          <w:szCs w:val="21"/>
          <w:u w:val="single"/>
        </w:rPr>
        <w:t xml:space="preserve">        </w:t>
      </w:r>
      <w:r>
        <w:rPr>
          <w:rFonts w:hint="eastAsia" w:ascii="宋体" w:hAnsi="宋体"/>
          <w:szCs w:val="21"/>
        </w:rPr>
        <w:t>（以下简称“发包人”）与</w:t>
      </w:r>
      <w:r>
        <w:rPr>
          <w:rFonts w:hint="eastAsia" w:ascii="宋体" w:hAnsi="宋体"/>
          <w:szCs w:val="21"/>
          <w:u w:val="single"/>
        </w:rPr>
        <w:t xml:space="preserve">        </w:t>
      </w:r>
      <w:r>
        <w:rPr>
          <w:rFonts w:hint="eastAsia" w:ascii="宋体" w:hAnsi="宋体"/>
          <w:szCs w:val="21"/>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25E932E8">
      <w:pPr>
        <w:spacing w:line="360" w:lineRule="auto"/>
        <w:ind w:firstLine="420" w:firstLineChars="200"/>
        <w:rPr>
          <w:rFonts w:ascii="宋体" w:hAnsi="宋体"/>
          <w:szCs w:val="21"/>
        </w:rPr>
      </w:pPr>
      <w:bookmarkStart w:id="1338" w:name="_Toc532375700"/>
      <w:bookmarkStart w:id="1339" w:name="_Toc239510289"/>
      <w:bookmarkStart w:id="1340" w:name="_Toc247418263"/>
      <w:bookmarkStart w:id="1341" w:name="_Toc247431423"/>
      <w:r>
        <w:rPr>
          <w:rFonts w:hint="eastAsia" w:ascii="宋体" w:hAnsi="宋体"/>
          <w:szCs w:val="21"/>
        </w:rPr>
        <w:t>一、协议有效期限</w:t>
      </w:r>
      <w:bookmarkEnd w:id="1338"/>
      <w:bookmarkEnd w:id="1339"/>
      <w:bookmarkEnd w:id="1340"/>
      <w:bookmarkEnd w:id="1341"/>
    </w:p>
    <w:p w14:paraId="594AF2CC">
      <w:pPr>
        <w:spacing w:line="360" w:lineRule="auto"/>
        <w:ind w:firstLine="420" w:firstLineChars="200"/>
        <w:jc w:val="left"/>
        <w:rPr>
          <w:rFonts w:ascii="宋体" w:hAnsi="宋体"/>
          <w:szCs w:val="21"/>
        </w:rPr>
      </w:pPr>
      <w:r>
        <w:rPr>
          <w:rFonts w:hint="eastAsia" w:ascii="宋体" w:hAnsi="宋体"/>
          <w:szCs w:val="21"/>
        </w:rPr>
        <w:t>本协议中所涉及的安全管理责任自合同签订之日起开始生效，至合同工程全部完工验收且经发包人与承包人签订移交协议生效后之日终止。</w:t>
      </w:r>
    </w:p>
    <w:p w14:paraId="3C9D7BAD">
      <w:pPr>
        <w:spacing w:line="360" w:lineRule="auto"/>
        <w:ind w:firstLine="420" w:firstLineChars="200"/>
        <w:rPr>
          <w:rFonts w:ascii="宋体" w:hAnsi="宋体"/>
          <w:szCs w:val="21"/>
        </w:rPr>
      </w:pPr>
      <w:bookmarkStart w:id="1342" w:name="_Toc239510290"/>
      <w:bookmarkStart w:id="1343" w:name="_Toc247431424"/>
      <w:bookmarkStart w:id="1344" w:name="_Toc247418264"/>
      <w:bookmarkStart w:id="1345" w:name="_Toc532375701"/>
      <w:r>
        <w:rPr>
          <w:rFonts w:hint="eastAsia" w:ascii="宋体" w:hAnsi="宋体"/>
          <w:szCs w:val="21"/>
        </w:rPr>
        <w:t>二、责任目标</w:t>
      </w:r>
      <w:bookmarkEnd w:id="1342"/>
      <w:bookmarkEnd w:id="1343"/>
      <w:bookmarkEnd w:id="1344"/>
      <w:bookmarkEnd w:id="1345"/>
    </w:p>
    <w:p w14:paraId="1F984967">
      <w:pPr>
        <w:spacing w:line="360" w:lineRule="auto"/>
        <w:ind w:firstLine="420" w:firstLineChars="200"/>
        <w:jc w:val="left"/>
        <w:rPr>
          <w:rFonts w:ascii="宋体" w:hAnsi="宋体"/>
          <w:szCs w:val="21"/>
        </w:rPr>
      </w:pPr>
      <w:r>
        <w:rPr>
          <w:rFonts w:hint="eastAsia" w:ascii="宋体" w:hAnsi="宋体"/>
          <w:szCs w:val="21"/>
        </w:rPr>
        <w:t>（一）承包人承诺承担和履行合同和发包人所规定的安全责任，且满足要求。</w:t>
      </w:r>
    </w:p>
    <w:p w14:paraId="00906387">
      <w:pPr>
        <w:spacing w:line="360" w:lineRule="auto"/>
        <w:ind w:firstLine="420" w:firstLineChars="200"/>
        <w:jc w:val="left"/>
        <w:rPr>
          <w:rFonts w:ascii="宋体" w:hAnsi="宋体"/>
          <w:szCs w:val="21"/>
        </w:rPr>
      </w:pPr>
      <w:r>
        <w:rPr>
          <w:rFonts w:hint="eastAsia" w:ascii="宋体" w:hAnsi="宋体"/>
          <w:szCs w:val="21"/>
        </w:rPr>
        <w:t>（二）承包人的安全控制目标是确保本工程在实施过程中：</w:t>
      </w:r>
    </w:p>
    <w:p w14:paraId="590B04EC">
      <w:pPr>
        <w:spacing w:line="360" w:lineRule="auto"/>
        <w:ind w:firstLine="420" w:firstLineChars="200"/>
        <w:jc w:val="left"/>
        <w:rPr>
          <w:rFonts w:ascii="宋体" w:hAnsi="宋体"/>
          <w:szCs w:val="21"/>
        </w:rPr>
      </w:pPr>
      <w:r>
        <w:rPr>
          <w:rFonts w:hint="eastAsia" w:ascii="宋体" w:hAnsi="宋体"/>
          <w:szCs w:val="21"/>
        </w:rPr>
        <w:t>1．不发生人身重伤事故；</w:t>
      </w:r>
    </w:p>
    <w:p w14:paraId="237DD752">
      <w:pPr>
        <w:spacing w:line="360" w:lineRule="auto"/>
        <w:ind w:firstLine="420" w:firstLineChars="200"/>
        <w:jc w:val="left"/>
        <w:rPr>
          <w:rFonts w:ascii="宋体" w:hAnsi="宋体"/>
          <w:szCs w:val="21"/>
        </w:rPr>
      </w:pPr>
      <w:r>
        <w:rPr>
          <w:rFonts w:hint="eastAsia" w:ascii="宋体" w:hAnsi="宋体"/>
          <w:szCs w:val="21"/>
        </w:rPr>
        <w:t>2．不发生火灾事故；</w:t>
      </w:r>
    </w:p>
    <w:p w14:paraId="56EEF933">
      <w:pPr>
        <w:spacing w:line="360" w:lineRule="auto"/>
        <w:ind w:firstLine="420" w:firstLineChars="200"/>
        <w:jc w:val="left"/>
        <w:rPr>
          <w:rFonts w:ascii="宋体" w:hAnsi="宋体"/>
          <w:szCs w:val="21"/>
        </w:rPr>
      </w:pPr>
      <w:r>
        <w:rPr>
          <w:rFonts w:hint="eastAsia" w:ascii="宋体" w:hAnsi="宋体"/>
          <w:szCs w:val="21"/>
        </w:rPr>
        <w:t>3．不发生负有同等及以上事故责任的造成人身重伤的一般交通事故；</w:t>
      </w:r>
    </w:p>
    <w:p w14:paraId="48B9D761">
      <w:pPr>
        <w:spacing w:line="360" w:lineRule="auto"/>
        <w:ind w:firstLine="420" w:firstLineChars="200"/>
        <w:jc w:val="left"/>
        <w:rPr>
          <w:rFonts w:ascii="宋体" w:hAnsi="宋体"/>
          <w:szCs w:val="21"/>
        </w:rPr>
      </w:pPr>
      <w:r>
        <w:rPr>
          <w:rFonts w:hint="eastAsia" w:ascii="宋体" w:hAnsi="宋体"/>
          <w:szCs w:val="21"/>
        </w:rPr>
        <w:t>4．不发生集体食物中毒事件（同时5人及以上的食物中毒）；</w:t>
      </w:r>
    </w:p>
    <w:p w14:paraId="4B874530">
      <w:pPr>
        <w:spacing w:line="360" w:lineRule="auto"/>
        <w:ind w:firstLine="420" w:firstLineChars="200"/>
        <w:jc w:val="left"/>
        <w:rPr>
          <w:rFonts w:ascii="宋体" w:hAnsi="宋体"/>
          <w:szCs w:val="21"/>
        </w:rPr>
      </w:pPr>
      <w:r>
        <w:rPr>
          <w:rFonts w:hint="eastAsia" w:ascii="宋体" w:hAnsi="宋体"/>
          <w:szCs w:val="21"/>
        </w:rPr>
        <w:t>5．不发生流行性传染病 （无甲型传染病、其他常见传染病未形成多人同时患病）；</w:t>
      </w:r>
    </w:p>
    <w:p w14:paraId="78762D28">
      <w:pPr>
        <w:spacing w:line="360" w:lineRule="auto"/>
        <w:ind w:firstLine="420" w:firstLineChars="200"/>
        <w:jc w:val="left"/>
        <w:rPr>
          <w:rFonts w:ascii="宋体" w:hAnsi="宋体"/>
          <w:szCs w:val="21"/>
        </w:rPr>
      </w:pPr>
      <w:r>
        <w:rPr>
          <w:rFonts w:hint="eastAsia" w:ascii="宋体" w:hAnsi="宋体"/>
          <w:szCs w:val="21"/>
        </w:rPr>
        <w:t>6．不发生重大环境污染事件（生活、工业垃圾及其他污染物造成环境污染和大面积水土流失）；</w:t>
      </w:r>
    </w:p>
    <w:p w14:paraId="59B8BD0B">
      <w:pPr>
        <w:spacing w:line="360" w:lineRule="auto"/>
        <w:ind w:firstLine="420" w:firstLineChars="200"/>
        <w:jc w:val="left"/>
        <w:rPr>
          <w:rFonts w:ascii="宋体" w:hAnsi="宋体"/>
          <w:szCs w:val="21"/>
        </w:rPr>
      </w:pPr>
      <w:r>
        <w:rPr>
          <w:rFonts w:hint="eastAsia" w:ascii="宋体" w:hAnsi="宋体"/>
          <w:szCs w:val="21"/>
        </w:rPr>
        <w:t>7．不发生对施工区附近生产、生活造成重大影响的事件（如造成重大设备损坏、重大财产损失、人员伤害等）；</w:t>
      </w:r>
    </w:p>
    <w:p w14:paraId="6AC95B8D">
      <w:pPr>
        <w:spacing w:line="360" w:lineRule="auto"/>
        <w:ind w:firstLine="420" w:firstLineChars="200"/>
        <w:jc w:val="left"/>
        <w:rPr>
          <w:rFonts w:ascii="宋体" w:hAnsi="宋体"/>
          <w:szCs w:val="21"/>
        </w:rPr>
      </w:pPr>
      <w:r>
        <w:rPr>
          <w:rFonts w:hint="eastAsia" w:ascii="宋体" w:hAnsi="宋体"/>
          <w:szCs w:val="21"/>
        </w:rPr>
        <w:t>8．不发生治安保卫事件（构成刑事拘留及以上的事件、盗窃直接损失超过1万元人民币的事件）。</w:t>
      </w:r>
    </w:p>
    <w:p w14:paraId="337DCD8E">
      <w:pPr>
        <w:spacing w:line="360" w:lineRule="auto"/>
        <w:ind w:firstLine="420" w:firstLineChars="200"/>
        <w:jc w:val="left"/>
        <w:rPr>
          <w:rFonts w:ascii="宋体" w:hAnsi="宋体"/>
          <w:szCs w:val="21"/>
        </w:rPr>
      </w:pPr>
      <w:bookmarkStart w:id="1346" w:name="_Toc247418265"/>
      <w:bookmarkStart w:id="1347" w:name="_Toc239510291"/>
      <w:bookmarkStart w:id="1348" w:name="_Toc247431425"/>
      <w:r>
        <w:rPr>
          <w:rFonts w:hint="eastAsia" w:ascii="宋体" w:hAnsi="宋体"/>
          <w:szCs w:val="21"/>
        </w:rPr>
        <w:t>（三）承包人承诺在施工中控制以下安全事故的发生：</w:t>
      </w:r>
      <w:bookmarkEnd w:id="1346"/>
      <w:bookmarkEnd w:id="1347"/>
      <w:bookmarkEnd w:id="1348"/>
    </w:p>
    <w:p w14:paraId="0E2057A5">
      <w:pPr>
        <w:spacing w:line="360" w:lineRule="auto"/>
        <w:ind w:firstLine="420" w:firstLineChars="200"/>
        <w:jc w:val="left"/>
        <w:rPr>
          <w:rFonts w:ascii="宋体" w:hAnsi="宋体"/>
          <w:szCs w:val="21"/>
        </w:rPr>
      </w:pPr>
      <w:r>
        <w:rPr>
          <w:rFonts w:hint="eastAsia" w:ascii="宋体" w:hAnsi="宋体"/>
          <w:szCs w:val="21"/>
        </w:rPr>
        <w:t>1．人员轻伤事故。</w:t>
      </w:r>
    </w:p>
    <w:p w14:paraId="2A9E0E37">
      <w:pPr>
        <w:spacing w:line="360" w:lineRule="auto"/>
        <w:ind w:firstLine="420" w:firstLineChars="200"/>
        <w:jc w:val="left"/>
        <w:rPr>
          <w:rFonts w:ascii="宋体" w:hAnsi="宋体"/>
          <w:szCs w:val="21"/>
        </w:rPr>
      </w:pPr>
      <w:r>
        <w:rPr>
          <w:rFonts w:hint="eastAsia" w:ascii="宋体" w:hAnsi="宋体"/>
          <w:szCs w:val="21"/>
        </w:rPr>
        <w:t>2．负有同等及以上事故责任的人身轻伤交通事故。</w:t>
      </w:r>
    </w:p>
    <w:p w14:paraId="45622E06">
      <w:pPr>
        <w:spacing w:line="360" w:lineRule="auto"/>
        <w:ind w:firstLine="420" w:firstLineChars="200"/>
        <w:jc w:val="left"/>
        <w:rPr>
          <w:rFonts w:ascii="宋体" w:hAnsi="宋体"/>
          <w:szCs w:val="21"/>
        </w:rPr>
      </w:pPr>
      <w:r>
        <w:rPr>
          <w:rFonts w:hint="eastAsia" w:ascii="宋体" w:hAnsi="宋体"/>
          <w:szCs w:val="21"/>
        </w:rPr>
        <w:t>3．其他安全未遂事故和异常事件。</w:t>
      </w:r>
    </w:p>
    <w:p w14:paraId="63C2A698">
      <w:pPr>
        <w:spacing w:line="360" w:lineRule="auto"/>
        <w:ind w:firstLine="420" w:firstLineChars="200"/>
        <w:rPr>
          <w:rFonts w:ascii="宋体" w:hAnsi="宋体"/>
          <w:szCs w:val="21"/>
        </w:rPr>
      </w:pPr>
      <w:bookmarkStart w:id="1349" w:name="_Toc239510292"/>
      <w:bookmarkStart w:id="1350" w:name="_Toc532375702"/>
      <w:bookmarkStart w:id="1351" w:name="_Toc247418266"/>
      <w:bookmarkStart w:id="1352" w:name="_Toc247431426"/>
      <w:r>
        <w:rPr>
          <w:rFonts w:hint="eastAsia" w:ascii="宋体" w:hAnsi="宋体"/>
          <w:szCs w:val="21"/>
        </w:rPr>
        <w:t>三、安全责任</w:t>
      </w:r>
      <w:bookmarkEnd w:id="1349"/>
      <w:bookmarkEnd w:id="1350"/>
      <w:bookmarkEnd w:id="1351"/>
      <w:bookmarkEnd w:id="1352"/>
    </w:p>
    <w:p w14:paraId="2A8E8D70">
      <w:pPr>
        <w:spacing w:line="360" w:lineRule="auto"/>
        <w:ind w:firstLine="420" w:firstLineChars="200"/>
        <w:jc w:val="left"/>
        <w:rPr>
          <w:rFonts w:ascii="宋体" w:hAnsi="宋体"/>
          <w:szCs w:val="21"/>
        </w:rPr>
      </w:pPr>
      <w:r>
        <w:rPr>
          <w:rFonts w:hint="eastAsia" w:ascii="宋体" w:hAnsi="宋体"/>
          <w:szCs w:val="21"/>
        </w:rPr>
        <w:t>1．承包人负有安全生产的管理责任和直接责任。</w:t>
      </w:r>
    </w:p>
    <w:p w14:paraId="2BB31F35">
      <w:pPr>
        <w:spacing w:line="360" w:lineRule="auto"/>
        <w:ind w:firstLine="420" w:firstLineChars="200"/>
        <w:jc w:val="left"/>
        <w:rPr>
          <w:rFonts w:ascii="宋体" w:hAnsi="宋体"/>
          <w:szCs w:val="21"/>
        </w:rPr>
      </w:pPr>
      <w:r>
        <w:rPr>
          <w:rFonts w:hint="eastAsia" w:ascii="宋体" w:hAnsi="宋体"/>
          <w:szCs w:val="21"/>
        </w:rPr>
        <w:t>2．承包人的法人或签署合同的公司总经理或受委托的代理人对合同安全负有全面的领导责任。</w:t>
      </w:r>
    </w:p>
    <w:p w14:paraId="2C014E64">
      <w:pPr>
        <w:spacing w:line="360" w:lineRule="auto"/>
        <w:ind w:firstLine="420" w:firstLineChars="200"/>
        <w:jc w:val="left"/>
        <w:rPr>
          <w:rFonts w:ascii="宋体" w:hAnsi="宋体"/>
          <w:szCs w:val="21"/>
        </w:rPr>
      </w:pPr>
      <w:r>
        <w:rPr>
          <w:rFonts w:hint="eastAsia" w:ascii="宋体" w:hAnsi="宋体"/>
          <w:szCs w:val="21"/>
        </w:rPr>
        <w:t>3．承包人项目经理对施工现场的安全工作负有全面的直接领导责任。</w:t>
      </w:r>
    </w:p>
    <w:p w14:paraId="665C057F">
      <w:pPr>
        <w:spacing w:line="360" w:lineRule="auto"/>
        <w:ind w:firstLine="420" w:firstLineChars="200"/>
        <w:jc w:val="left"/>
        <w:rPr>
          <w:rFonts w:ascii="宋体" w:hAnsi="宋体"/>
          <w:szCs w:val="21"/>
        </w:rPr>
      </w:pPr>
      <w:r>
        <w:rPr>
          <w:rFonts w:hint="eastAsia" w:ascii="宋体" w:hAnsi="宋体"/>
          <w:szCs w:val="21"/>
        </w:rPr>
        <w:t>4．承包人保证执行“谁施工、谁负责”的施工安全原则。</w:t>
      </w:r>
    </w:p>
    <w:p w14:paraId="64D15B26">
      <w:pPr>
        <w:spacing w:line="360" w:lineRule="auto"/>
        <w:ind w:firstLine="420" w:firstLineChars="200"/>
        <w:jc w:val="left"/>
        <w:rPr>
          <w:rFonts w:ascii="宋体" w:hAnsi="宋体"/>
          <w:szCs w:val="21"/>
        </w:rPr>
      </w:pPr>
      <w:r>
        <w:rPr>
          <w:rFonts w:hint="eastAsia" w:ascii="宋体" w:hAnsi="宋体"/>
          <w:szCs w:val="21"/>
        </w:rPr>
        <w:t>5．承包人保证服从发包人对安全工作的统一协调和管理。</w:t>
      </w:r>
    </w:p>
    <w:p w14:paraId="24953FD4">
      <w:pPr>
        <w:spacing w:line="360" w:lineRule="auto"/>
        <w:ind w:firstLine="420" w:firstLineChars="200"/>
        <w:jc w:val="left"/>
        <w:rPr>
          <w:rFonts w:ascii="宋体" w:hAnsi="宋体"/>
          <w:szCs w:val="21"/>
        </w:rPr>
      </w:pPr>
      <w:r>
        <w:rPr>
          <w:rFonts w:hint="eastAsia" w:ascii="宋体" w:hAnsi="宋体"/>
          <w:szCs w:val="21"/>
        </w:rPr>
        <w:t>6．承包人保证对本工程项目安全生产条件及其管理资源自行投入，保证安全资金的专款专用。</w:t>
      </w:r>
    </w:p>
    <w:p w14:paraId="593067F8">
      <w:pPr>
        <w:spacing w:line="360" w:lineRule="auto"/>
        <w:ind w:firstLine="420" w:firstLineChars="200"/>
        <w:jc w:val="left"/>
        <w:rPr>
          <w:rFonts w:ascii="宋体" w:hAnsi="宋体"/>
          <w:szCs w:val="21"/>
        </w:rPr>
      </w:pPr>
      <w:r>
        <w:rPr>
          <w:rFonts w:hint="eastAsia" w:ascii="宋体" w:hAnsi="宋体"/>
          <w:szCs w:val="21"/>
        </w:rPr>
        <w:t>7．承包人保证建立本工程项目的安全管理体系及安全保证体系（注：项目安全管理大纲/手册、管理性的程序文件等）。</w:t>
      </w:r>
    </w:p>
    <w:p w14:paraId="7C4751EA">
      <w:pPr>
        <w:spacing w:line="360" w:lineRule="auto"/>
        <w:ind w:firstLine="420" w:firstLineChars="200"/>
        <w:jc w:val="left"/>
        <w:rPr>
          <w:rFonts w:ascii="宋体" w:hAnsi="宋体"/>
          <w:szCs w:val="21"/>
        </w:rPr>
      </w:pPr>
      <w:r>
        <w:rPr>
          <w:rFonts w:hint="eastAsia" w:ascii="宋体" w:hAnsi="宋体"/>
          <w:szCs w:val="21"/>
        </w:rPr>
        <w:t>8．承包人保证现场的安全管理专职人员必须持有建设主管部门安全生产培训考核合格证书。</w:t>
      </w:r>
    </w:p>
    <w:p w14:paraId="3ADEA5D1">
      <w:pPr>
        <w:spacing w:line="360" w:lineRule="auto"/>
        <w:ind w:firstLine="420" w:firstLineChars="200"/>
        <w:jc w:val="left"/>
        <w:rPr>
          <w:rFonts w:ascii="宋体" w:hAnsi="宋体"/>
          <w:szCs w:val="21"/>
        </w:rPr>
      </w:pPr>
      <w:r>
        <w:rPr>
          <w:rFonts w:hint="eastAsia" w:ascii="宋体" w:hAnsi="宋体"/>
          <w:szCs w:val="21"/>
        </w:rPr>
        <w:t>9．承包人保证为现场所有工作人员（含分包商员工及劳务人员）配备符合国家标准的有承包人和/或其下属分包商标志的个人基本劳动保护用品。</w:t>
      </w:r>
    </w:p>
    <w:p w14:paraId="142D49EC">
      <w:pPr>
        <w:spacing w:line="360" w:lineRule="auto"/>
        <w:ind w:firstLine="420" w:firstLineChars="200"/>
        <w:jc w:val="left"/>
        <w:rPr>
          <w:rFonts w:ascii="宋体" w:hAnsi="宋体"/>
          <w:szCs w:val="21"/>
        </w:rPr>
      </w:pPr>
      <w:r>
        <w:rPr>
          <w:rFonts w:hint="eastAsia" w:ascii="宋体" w:hAnsi="宋体"/>
          <w:szCs w:val="21"/>
        </w:rPr>
        <w:t>10．承包人保证按照国家法律规定为现场所有工作人员（含分包商员工及劳务人员）购买意外伤害保险。</w:t>
      </w:r>
    </w:p>
    <w:p w14:paraId="23DDE0BF">
      <w:pPr>
        <w:spacing w:line="360" w:lineRule="auto"/>
        <w:ind w:firstLine="420" w:firstLineChars="200"/>
        <w:jc w:val="left"/>
        <w:rPr>
          <w:rFonts w:ascii="宋体" w:hAnsi="宋体"/>
          <w:szCs w:val="21"/>
        </w:rPr>
      </w:pPr>
      <w:r>
        <w:rPr>
          <w:rFonts w:hint="eastAsia" w:ascii="宋体" w:hAnsi="宋体"/>
          <w:szCs w:val="21"/>
        </w:rPr>
        <w:t>11．承包人保证施工生活营地（包括自建的和租用的营地）满足消防、安全用电、卫生防疫、防暴雨、防雷击等方面的安全要求。</w:t>
      </w:r>
    </w:p>
    <w:p w14:paraId="74574663">
      <w:pPr>
        <w:spacing w:line="360" w:lineRule="auto"/>
        <w:ind w:firstLine="420" w:firstLineChars="200"/>
        <w:jc w:val="left"/>
        <w:rPr>
          <w:rFonts w:ascii="宋体" w:hAnsi="宋体"/>
          <w:szCs w:val="21"/>
        </w:rPr>
      </w:pPr>
      <w:r>
        <w:rPr>
          <w:rFonts w:hint="eastAsia" w:ascii="宋体" w:hAnsi="宋体"/>
          <w:szCs w:val="21"/>
        </w:rPr>
        <w:t>12．承包人保证对带入现场的设备、工具、材料按照国家法规和标准进行检测、试验，并持有法定部门出具的检验证书。</w:t>
      </w:r>
    </w:p>
    <w:p w14:paraId="13F5F973">
      <w:pPr>
        <w:spacing w:line="360" w:lineRule="auto"/>
        <w:ind w:firstLine="420" w:firstLineChars="200"/>
        <w:jc w:val="left"/>
        <w:rPr>
          <w:rFonts w:ascii="宋体" w:hAnsi="宋体"/>
          <w:szCs w:val="21"/>
        </w:rPr>
      </w:pPr>
      <w:r>
        <w:rPr>
          <w:rFonts w:hint="eastAsia" w:ascii="宋体" w:hAnsi="宋体"/>
          <w:szCs w:val="21"/>
        </w:rPr>
        <w:t>13．承包人保证制订施工现场的文明施工措施，保护环境、树木和植被，保持施工现场的良好秩序和整洁的作业环境。</w:t>
      </w:r>
    </w:p>
    <w:p w14:paraId="468C4478">
      <w:pPr>
        <w:spacing w:line="360" w:lineRule="auto"/>
        <w:ind w:firstLine="420" w:firstLineChars="200"/>
        <w:jc w:val="left"/>
        <w:rPr>
          <w:rFonts w:ascii="宋体" w:hAnsi="宋体"/>
          <w:szCs w:val="21"/>
        </w:rPr>
      </w:pPr>
      <w:r>
        <w:rPr>
          <w:rFonts w:hint="eastAsia" w:ascii="宋体" w:hAnsi="宋体"/>
          <w:szCs w:val="21"/>
        </w:rPr>
        <w:t>14．承包人负责在施工过程中与当地政府、周边群众及其他承包商保持良好的沟通和交流。承包人遇到与周边群众发生纠纷时，应负责协调工作，确保工程能够顺利进行。</w:t>
      </w:r>
    </w:p>
    <w:p w14:paraId="58FDFACF">
      <w:pPr>
        <w:spacing w:line="360" w:lineRule="auto"/>
        <w:ind w:firstLine="420" w:firstLineChars="200"/>
        <w:rPr>
          <w:rFonts w:ascii="宋体" w:hAnsi="宋体"/>
          <w:szCs w:val="21"/>
        </w:rPr>
      </w:pPr>
      <w:bookmarkStart w:id="1353" w:name="_Toc532375703"/>
      <w:bookmarkStart w:id="1354" w:name="_Toc247431427"/>
      <w:bookmarkStart w:id="1355" w:name="_Toc239510293"/>
      <w:bookmarkStart w:id="1356" w:name="_Toc247418267"/>
      <w:r>
        <w:rPr>
          <w:rFonts w:hint="eastAsia" w:ascii="宋体" w:hAnsi="宋体"/>
          <w:szCs w:val="21"/>
        </w:rPr>
        <w:t>四、接口及协调</w:t>
      </w:r>
      <w:bookmarkEnd w:id="1353"/>
      <w:bookmarkEnd w:id="1354"/>
      <w:bookmarkEnd w:id="1355"/>
      <w:bookmarkEnd w:id="1356"/>
    </w:p>
    <w:p w14:paraId="54331CF4">
      <w:pPr>
        <w:spacing w:line="360" w:lineRule="auto"/>
        <w:ind w:firstLine="420" w:firstLineChars="200"/>
        <w:jc w:val="left"/>
        <w:rPr>
          <w:rFonts w:ascii="宋体" w:hAnsi="宋体"/>
          <w:szCs w:val="21"/>
        </w:rPr>
      </w:pPr>
      <w:r>
        <w:rPr>
          <w:rFonts w:hint="eastAsia" w:ascii="宋体" w:hAnsi="宋体"/>
          <w:szCs w:val="21"/>
        </w:rPr>
        <w:t>1．发包人委托监理公司对该工程实施监理，监理公司在安全管理方面代表发包人行使监督检查职能，承包人必须给予配合和支持。</w:t>
      </w:r>
    </w:p>
    <w:p w14:paraId="3C8820C3">
      <w:pPr>
        <w:spacing w:line="360" w:lineRule="auto"/>
        <w:ind w:firstLine="420" w:firstLineChars="200"/>
        <w:jc w:val="left"/>
        <w:rPr>
          <w:rFonts w:ascii="宋体" w:hAnsi="宋体"/>
          <w:szCs w:val="21"/>
        </w:rPr>
      </w:pPr>
      <w:r>
        <w:rPr>
          <w:rFonts w:hint="eastAsia" w:ascii="宋体" w:hAnsi="宋体"/>
          <w:szCs w:val="21"/>
        </w:rPr>
        <w:t>2．承包人人员、车辆的出入，带入现场的设备、机具、材料，在现场使用的或直接管理的办公、生活、生产性设施的安全管理须满足发包人现场管理的基本要求。</w:t>
      </w:r>
    </w:p>
    <w:p w14:paraId="38983182">
      <w:pPr>
        <w:spacing w:line="360" w:lineRule="auto"/>
        <w:ind w:firstLine="420" w:firstLineChars="200"/>
        <w:jc w:val="left"/>
        <w:rPr>
          <w:rFonts w:ascii="宋体" w:hAnsi="宋体"/>
          <w:szCs w:val="21"/>
        </w:rPr>
      </w:pPr>
      <w:r>
        <w:rPr>
          <w:rFonts w:hint="eastAsia" w:ascii="宋体" w:hAnsi="宋体"/>
          <w:szCs w:val="21"/>
        </w:rPr>
        <w:t>3．承包人应指定专职安全管理人员与发包人委托的监理公司接口，参与安全协调和管理。安全协调和管理的内容包括职业健康、工业安全、消防安全、卫生防疫、交通安全、环境保护、治安保卫等各方面。</w:t>
      </w:r>
    </w:p>
    <w:p w14:paraId="04D94E9C">
      <w:pPr>
        <w:spacing w:line="360" w:lineRule="auto"/>
        <w:ind w:firstLine="420" w:firstLineChars="200"/>
        <w:jc w:val="left"/>
        <w:rPr>
          <w:rFonts w:ascii="宋体" w:hAnsi="宋体"/>
          <w:szCs w:val="21"/>
        </w:rPr>
      </w:pPr>
      <w:r>
        <w:rPr>
          <w:rFonts w:hint="eastAsia" w:ascii="宋体" w:hAnsi="宋体"/>
          <w:szCs w:val="21"/>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4E44ACA7">
      <w:pPr>
        <w:spacing w:line="360" w:lineRule="auto"/>
        <w:ind w:firstLine="420" w:firstLineChars="200"/>
        <w:jc w:val="left"/>
        <w:rPr>
          <w:rFonts w:ascii="宋体" w:hAnsi="宋体"/>
          <w:szCs w:val="21"/>
        </w:rPr>
      </w:pPr>
      <w:r>
        <w:rPr>
          <w:rFonts w:hint="eastAsia" w:ascii="宋体" w:hAnsi="宋体"/>
          <w:szCs w:val="21"/>
        </w:rPr>
        <w:t>5．承包人指定的专职安全管理人员应与发包人委托的监理公司建立联系，在业务上接受发包人委托的监理公司的协调和指导。</w:t>
      </w:r>
    </w:p>
    <w:p w14:paraId="680C316F">
      <w:pPr>
        <w:spacing w:line="360" w:lineRule="auto"/>
        <w:ind w:firstLine="420" w:firstLineChars="200"/>
        <w:jc w:val="left"/>
        <w:rPr>
          <w:rFonts w:ascii="宋体" w:hAnsi="宋体"/>
          <w:szCs w:val="21"/>
        </w:rPr>
      </w:pPr>
      <w:r>
        <w:rPr>
          <w:rFonts w:hint="eastAsia" w:ascii="宋体" w:hAnsi="宋体"/>
          <w:szCs w:val="21"/>
        </w:rPr>
        <w:t>6．开工后承包人的专职安全管理人员应按照发包人委托的监理公司的规定，定期报送安全月度快报、季报、年报和各种专项事故报告等。</w:t>
      </w:r>
    </w:p>
    <w:p w14:paraId="38F1317E">
      <w:pPr>
        <w:spacing w:line="360" w:lineRule="auto"/>
        <w:ind w:firstLine="420" w:firstLineChars="200"/>
        <w:jc w:val="left"/>
        <w:rPr>
          <w:rFonts w:ascii="宋体" w:hAnsi="宋体"/>
          <w:szCs w:val="21"/>
        </w:rPr>
      </w:pPr>
      <w:r>
        <w:rPr>
          <w:rFonts w:hint="eastAsia" w:ascii="宋体" w:hAnsi="宋体"/>
          <w:szCs w:val="21"/>
        </w:rPr>
        <w:t>7．在工程实体未全部正式移交发包人施工管理部门之前，承包人依旧对施工范围内的安全管理负责。</w:t>
      </w:r>
    </w:p>
    <w:p w14:paraId="01963CD6">
      <w:pPr>
        <w:spacing w:line="360" w:lineRule="auto"/>
        <w:ind w:firstLine="420" w:firstLineChars="200"/>
        <w:rPr>
          <w:rFonts w:ascii="宋体" w:hAnsi="宋体"/>
          <w:szCs w:val="21"/>
        </w:rPr>
      </w:pPr>
      <w:bookmarkStart w:id="1357" w:name="_Toc247431428"/>
      <w:bookmarkStart w:id="1358" w:name="_Toc247418268"/>
      <w:bookmarkStart w:id="1359" w:name="_Toc239510294"/>
      <w:bookmarkStart w:id="1360" w:name="_Toc532375704"/>
      <w:r>
        <w:rPr>
          <w:rFonts w:hint="eastAsia" w:ascii="宋体" w:hAnsi="宋体"/>
          <w:szCs w:val="21"/>
        </w:rPr>
        <w:t>五、安全资质审查</w:t>
      </w:r>
      <w:bookmarkEnd w:id="1357"/>
      <w:bookmarkEnd w:id="1358"/>
      <w:bookmarkEnd w:id="1359"/>
      <w:bookmarkEnd w:id="1360"/>
    </w:p>
    <w:p w14:paraId="582FA852">
      <w:pPr>
        <w:spacing w:line="360" w:lineRule="auto"/>
        <w:ind w:firstLine="420" w:firstLineChars="200"/>
        <w:jc w:val="left"/>
        <w:rPr>
          <w:rFonts w:ascii="宋体" w:hAnsi="宋体"/>
          <w:szCs w:val="21"/>
        </w:rPr>
      </w:pPr>
      <w:r>
        <w:rPr>
          <w:rFonts w:hint="eastAsia" w:ascii="宋体" w:hAnsi="宋体"/>
          <w:szCs w:val="21"/>
        </w:rPr>
        <w:t>承包人在项目开工前5个工作天内向发包人委托的监理公司提供以下安全资质供审查和存档：</w:t>
      </w:r>
    </w:p>
    <w:p w14:paraId="1FBE53B4">
      <w:pPr>
        <w:spacing w:line="360" w:lineRule="auto"/>
        <w:ind w:firstLine="420" w:firstLineChars="200"/>
        <w:jc w:val="left"/>
        <w:rPr>
          <w:rFonts w:ascii="宋体" w:hAnsi="宋体"/>
          <w:szCs w:val="21"/>
        </w:rPr>
      </w:pPr>
      <w:r>
        <w:rPr>
          <w:rFonts w:hint="eastAsia" w:ascii="宋体" w:hAnsi="宋体"/>
          <w:szCs w:val="21"/>
        </w:rPr>
        <w:t>1．企业安全生产许可证书复印件。</w:t>
      </w:r>
    </w:p>
    <w:p w14:paraId="0B3E6F7B">
      <w:pPr>
        <w:spacing w:line="360" w:lineRule="auto"/>
        <w:ind w:firstLine="420" w:firstLineChars="200"/>
        <w:jc w:val="left"/>
        <w:rPr>
          <w:rFonts w:ascii="宋体" w:hAnsi="宋体"/>
          <w:szCs w:val="21"/>
        </w:rPr>
      </w:pPr>
      <w:r>
        <w:rPr>
          <w:rFonts w:hint="eastAsia" w:ascii="宋体" w:hAnsi="宋体"/>
          <w:szCs w:val="21"/>
        </w:rPr>
        <w:t>2．企业近三年的施工简历及安全施工业绩证明文件。</w:t>
      </w:r>
    </w:p>
    <w:p w14:paraId="12F8F709">
      <w:pPr>
        <w:spacing w:line="360" w:lineRule="auto"/>
        <w:ind w:firstLine="420" w:firstLineChars="200"/>
        <w:jc w:val="left"/>
        <w:rPr>
          <w:rFonts w:ascii="宋体" w:hAnsi="宋体"/>
          <w:szCs w:val="21"/>
        </w:rPr>
      </w:pPr>
      <w:r>
        <w:rPr>
          <w:rFonts w:hint="eastAsia" w:ascii="宋体" w:hAnsi="宋体"/>
          <w:szCs w:val="21"/>
        </w:rPr>
        <w:t>3．企业主要安全管理人员（包括项目经理、专职安全管理人员）经建设主管部门安全生产知识考核合格证书。</w:t>
      </w:r>
    </w:p>
    <w:p w14:paraId="7B739B3C">
      <w:pPr>
        <w:spacing w:line="360" w:lineRule="auto"/>
        <w:ind w:firstLine="420" w:firstLineChars="200"/>
        <w:jc w:val="left"/>
        <w:rPr>
          <w:rFonts w:ascii="宋体" w:hAnsi="宋体"/>
          <w:szCs w:val="21"/>
        </w:rPr>
      </w:pPr>
      <w:r>
        <w:rPr>
          <w:rFonts w:hint="eastAsia" w:ascii="宋体" w:hAnsi="宋体"/>
          <w:szCs w:val="21"/>
        </w:rPr>
        <w:t>4．特种作业人员资格证书。</w:t>
      </w:r>
    </w:p>
    <w:p w14:paraId="4203D9D0">
      <w:pPr>
        <w:spacing w:line="360" w:lineRule="auto"/>
        <w:ind w:firstLine="420" w:firstLineChars="200"/>
        <w:jc w:val="left"/>
        <w:rPr>
          <w:rFonts w:ascii="宋体" w:hAnsi="宋体"/>
          <w:szCs w:val="21"/>
        </w:rPr>
      </w:pPr>
      <w:r>
        <w:rPr>
          <w:rFonts w:hint="eastAsia" w:ascii="宋体" w:hAnsi="宋体"/>
          <w:szCs w:val="21"/>
        </w:rPr>
        <w:t>5．项目安全管理机构及其人员配备（承包人必须配有专职的安全员）。</w:t>
      </w:r>
    </w:p>
    <w:p w14:paraId="39A23BC8">
      <w:pPr>
        <w:spacing w:line="360" w:lineRule="auto"/>
        <w:ind w:firstLine="420" w:firstLineChars="200"/>
        <w:jc w:val="left"/>
        <w:rPr>
          <w:rFonts w:ascii="宋体" w:hAnsi="宋体"/>
          <w:szCs w:val="21"/>
        </w:rPr>
      </w:pPr>
      <w:r>
        <w:rPr>
          <w:rFonts w:hint="eastAsia" w:ascii="宋体" w:hAnsi="宋体"/>
          <w:szCs w:val="21"/>
        </w:rPr>
        <w:t>6．适用于项目的安全管理体系及保证体系文件（安全管理大纲及管理程序文件）。</w:t>
      </w:r>
    </w:p>
    <w:p w14:paraId="75557910">
      <w:pPr>
        <w:spacing w:line="360" w:lineRule="auto"/>
        <w:ind w:firstLine="420" w:firstLineChars="200"/>
        <w:rPr>
          <w:rFonts w:ascii="宋体" w:hAnsi="宋体"/>
          <w:szCs w:val="21"/>
        </w:rPr>
      </w:pPr>
      <w:bookmarkStart w:id="1361" w:name="_Toc247431429"/>
      <w:bookmarkStart w:id="1362" w:name="_Toc247418269"/>
      <w:bookmarkStart w:id="1363" w:name="_Toc239510295"/>
      <w:bookmarkStart w:id="1364" w:name="_Toc532375705"/>
      <w:r>
        <w:rPr>
          <w:rFonts w:hint="eastAsia" w:ascii="宋体" w:hAnsi="宋体"/>
          <w:szCs w:val="21"/>
        </w:rPr>
        <w:t>六、人员基本素质</w:t>
      </w:r>
      <w:bookmarkEnd w:id="1361"/>
      <w:bookmarkEnd w:id="1362"/>
      <w:bookmarkEnd w:id="1363"/>
      <w:bookmarkEnd w:id="1364"/>
    </w:p>
    <w:p w14:paraId="0797C3F6">
      <w:pPr>
        <w:spacing w:line="360" w:lineRule="auto"/>
        <w:ind w:firstLine="420" w:firstLineChars="200"/>
        <w:jc w:val="left"/>
        <w:rPr>
          <w:rFonts w:ascii="宋体" w:hAnsi="宋体"/>
          <w:szCs w:val="21"/>
        </w:rPr>
      </w:pPr>
      <w:r>
        <w:rPr>
          <w:rFonts w:hint="eastAsia" w:ascii="宋体" w:hAnsi="宋体"/>
          <w:szCs w:val="21"/>
        </w:rPr>
        <w:t>承包人提供的人员必须满足下列要求：</w:t>
      </w:r>
    </w:p>
    <w:p w14:paraId="0A4C8AD3">
      <w:pPr>
        <w:spacing w:line="360" w:lineRule="auto"/>
        <w:ind w:firstLine="420" w:firstLineChars="200"/>
        <w:jc w:val="left"/>
        <w:rPr>
          <w:rFonts w:ascii="宋体" w:hAnsi="宋体"/>
          <w:szCs w:val="21"/>
        </w:rPr>
      </w:pPr>
      <w:r>
        <w:rPr>
          <w:rFonts w:hint="eastAsia" w:ascii="宋体" w:hAnsi="宋体"/>
          <w:szCs w:val="21"/>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54621F7F">
      <w:pPr>
        <w:spacing w:line="360" w:lineRule="auto"/>
        <w:ind w:firstLine="420" w:firstLineChars="200"/>
        <w:jc w:val="left"/>
        <w:rPr>
          <w:rFonts w:ascii="宋体" w:hAnsi="宋体"/>
          <w:szCs w:val="21"/>
        </w:rPr>
      </w:pPr>
      <w:r>
        <w:rPr>
          <w:rFonts w:hint="eastAsia" w:ascii="宋体" w:hAnsi="宋体"/>
          <w:szCs w:val="21"/>
        </w:rPr>
        <w:t>2．无刑事案件牵连。</w:t>
      </w:r>
    </w:p>
    <w:p w14:paraId="48529F13">
      <w:pPr>
        <w:spacing w:line="360" w:lineRule="auto"/>
        <w:ind w:firstLine="420" w:firstLineChars="200"/>
        <w:jc w:val="left"/>
        <w:rPr>
          <w:rFonts w:ascii="宋体" w:hAnsi="宋体"/>
          <w:szCs w:val="21"/>
        </w:rPr>
      </w:pPr>
      <w:r>
        <w:rPr>
          <w:rFonts w:hint="eastAsia" w:ascii="宋体" w:hAnsi="宋体"/>
          <w:szCs w:val="21"/>
        </w:rPr>
        <w:t>3．无吸毒、酗酒、赌博、嫖娼等恶习及违法行为。</w:t>
      </w:r>
    </w:p>
    <w:p w14:paraId="6674A0A2">
      <w:pPr>
        <w:spacing w:line="360" w:lineRule="auto"/>
        <w:ind w:firstLine="420" w:firstLineChars="200"/>
        <w:rPr>
          <w:rFonts w:ascii="宋体" w:hAnsi="宋体"/>
          <w:szCs w:val="21"/>
        </w:rPr>
      </w:pPr>
      <w:bookmarkStart w:id="1365" w:name="_Toc247418270"/>
      <w:bookmarkStart w:id="1366" w:name="_Toc247431430"/>
      <w:bookmarkStart w:id="1367" w:name="_Toc532375706"/>
      <w:bookmarkStart w:id="1368" w:name="_Toc239510296"/>
      <w:r>
        <w:rPr>
          <w:rFonts w:hint="eastAsia" w:ascii="宋体" w:hAnsi="宋体"/>
          <w:szCs w:val="21"/>
        </w:rPr>
        <w:t>七、劳动保护</w:t>
      </w:r>
      <w:bookmarkEnd w:id="1365"/>
      <w:bookmarkEnd w:id="1366"/>
      <w:bookmarkEnd w:id="1367"/>
      <w:bookmarkEnd w:id="1368"/>
    </w:p>
    <w:p w14:paraId="6F938BB3">
      <w:pPr>
        <w:spacing w:line="360" w:lineRule="auto"/>
        <w:ind w:firstLine="420" w:firstLineChars="200"/>
        <w:jc w:val="left"/>
        <w:rPr>
          <w:rFonts w:ascii="宋体" w:hAnsi="宋体"/>
          <w:szCs w:val="21"/>
        </w:rPr>
      </w:pPr>
      <w:r>
        <w:rPr>
          <w:rFonts w:hint="eastAsia" w:ascii="宋体" w:hAnsi="宋体"/>
          <w:szCs w:val="21"/>
        </w:rPr>
        <w:t>1．承包人负责为本单位任何用工形式的员工提供个人劳动保护用品（包括工作服、安全帽、安全鞋等）。</w:t>
      </w:r>
    </w:p>
    <w:p w14:paraId="76C40096">
      <w:pPr>
        <w:spacing w:line="360" w:lineRule="auto"/>
        <w:ind w:firstLine="420" w:firstLineChars="200"/>
        <w:jc w:val="left"/>
        <w:rPr>
          <w:rFonts w:ascii="宋体" w:hAnsi="宋体"/>
          <w:szCs w:val="21"/>
        </w:rPr>
      </w:pPr>
      <w:r>
        <w:rPr>
          <w:rFonts w:hint="eastAsia" w:ascii="宋体" w:hAnsi="宋体"/>
          <w:szCs w:val="21"/>
        </w:rPr>
        <w:t>2．承包人负责向特殊工种的员工提供特殊劳动保护，否则不得从事特殊工种作业。</w:t>
      </w:r>
    </w:p>
    <w:p w14:paraId="39B2E83F">
      <w:pPr>
        <w:spacing w:line="360" w:lineRule="auto"/>
        <w:ind w:firstLine="420" w:firstLineChars="200"/>
        <w:jc w:val="left"/>
        <w:rPr>
          <w:rFonts w:ascii="宋体" w:hAnsi="宋体"/>
          <w:szCs w:val="21"/>
        </w:rPr>
      </w:pPr>
      <w:r>
        <w:rPr>
          <w:rFonts w:hint="eastAsia" w:ascii="宋体" w:hAnsi="宋体"/>
          <w:szCs w:val="21"/>
        </w:rPr>
        <w:t>3．发包人委托的监理公司有权检查承包人的个人劳动保护用品是否符合国家的相应标准。</w:t>
      </w:r>
    </w:p>
    <w:p w14:paraId="51293E12">
      <w:pPr>
        <w:spacing w:line="360" w:lineRule="auto"/>
        <w:ind w:firstLine="420" w:firstLineChars="200"/>
        <w:jc w:val="left"/>
        <w:rPr>
          <w:rFonts w:ascii="宋体" w:hAnsi="宋体"/>
          <w:szCs w:val="21"/>
        </w:rPr>
      </w:pPr>
      <w:r>
        <w:rPr>
          <w:rFonts w:hint="eastAsia" w:ascii="宋体" w:hAnsi="宋体"/>
          <w:szCs w:val="21"/>
        </w:rPr>
        <w:t>4． 承包人在特殊风险场所作业而需要特殊防护用品或安全仪表时，必须在上述防护用品全部到位后才能开工。</w:t>
      </w:r>
    </w:p>
    <w:p w14:paraId="11F26226">
      <w:pPr>
        <w:spacing w:line="360" w:lineRule="auto"/>
        <w:ind w:firstLine="420" w:firstLineChars="200"/>
        <w:jc w:val="left"/>
        <w:rPr>
          <w:rFonts w:ascii="宋体" w:hAnsi="宋体"/>
          <w:szCs w:val="21"/>
        </w:rPr>
      </w:pPr>
      <w:r>
        <w:rPr>
          <w:rFonts w:hint="eastAsia" w:ascii="宋体" w:hAnsi="宋体"/>
          <w:szCs w:val="21"/>
        </w:rPr>
        <w:t>5．承包人应配备临时安全围栏、警示带、警告标志、防火布等集体防护用品。</w:t>
      </w:r>
    </w:p>
    <w:p w14:paraId="2EFAA918">
      <w:pPr>
        <w:spacing w:line="360" w:lineRule="auto"/>
        <w:ind w:firstLine="420" w:firstLineChars="200"/>
        <w:rPr>
          <w:rFonts w:ascii="宋体" w:hAnsi="宋体"/>
          <w:szCs w:val="21"/>
        </w:rPr>
      </w:pPr>
      <w:bookmarkStart w:id="1369" w:name="_Toc532375707"/>
      <w:bookmarkStart w:id="1370" w:name="_Toc239510297"/>
      <w:bookmarkStart w:id="1371" w:name="_Toc247431431"/>
      <w:bookmarkStart w:id="1372" w:name="_Toc247418271"/>
      <w:r>
        <w:rPr>
          <w:rFonts w:hint="eastAsia" w:ascii="宋体" w:hAnsi="宋体"/>
          <w:szCs w:val="21"/>
        </w:rPr>
        <w:t>八、施工机具与材料</w:t>
      </w:r>
      <w:bookmarkEnd w:id="1369"/>
      <w:bookmarkEnd w:id="1370"/>
      <w:bookmarkEnd w:id="1371"/>
      <w:bookmarkEnd w:id="1372"/>
    </w:p>
    <w:p w14:paraId="3C4C6115">
      <w:pPr>
        <w:spacing w:line="360" w:lineRule="auto"/>
        <w:ind w:firstLine="420" w:firstLineChars="200"/>
        <w:jc w:val="left"/>
        <w:rPr>
          <w:rFonts w:ascii="宋体" w:hAnsi="宋体"/>
          <w:szCs w:val="21"/>
        </w:rPr>
      </w:pPr>
      <w:r>
        <w:rPr>
          <w:rFonts w:hint="eastAsia" w:ascii="宋体" w:hAnsi="宋体"/>
          <w:szCs w:val="21"/>
        </w:rPr>
        <w:t>1．承包人对带入现场的施工机械和工器具的安全负责。</w:t>
      </w:r>
    </w:p>
    <w:p w14:paraId="34286F73">
      <w:pPr>
        <w:spacing w:line="360" w:lineRule="auto"/>
        <w:ind w:firstLine="420" w:firstLineChars="200"/>
        <w:jc w:val="left"/>
        <w:rPr>
          <w:rFonts w:ascii="宋体" w:hAnsi="宋体"/>
          <w:szCs w:val="21"/>
        </w:rPr>
      </w:pPr>
      <w:r>
        <w:rPr>
          <w:rFonts w:hint="eastAsia" w:ascii="宋体" w:hAnsi="宋体"/>
          <w:szCs w:val="21"/>
        </w:rPr>
        <w:t>2．对于承包人带入现场的特殊工器具，如起重设备、索具、机动车辆、压缩气瓶等，承包人必须按国家法规和标准进行检测、试验，并持有法定部门出具的检验证书。</w:t>
      </w:r>
    </w:p>
    <w:p w14:paraId="008FF097">
      <w:pPr>
        <w:spacing w:line="360" w:lineRule="auto"/>
        <w:ind w:firstLine="420" w:firstLineChars="200"/>
        <w:jc w:val="left"/>
        <w:rPr>
          <w:rFonts w:ascii="宋体" w:hAnsi="宋体"/>
          <w:szCs w:val="21"/>
        </w:rPr>
      </w:pPr>
      <w:r>
        <w:rPr>
          <w:rFonts w:hint="eastAsia" w:ascii="宋体" w:hAnsi="宋体"/>
          <w:szCs w:val="21"/>
        </w:rPr>
        <w:t>3．对于不属于法定检测的工器具，承包人也必须建立相应的管理、检测制度，这些工器具包括登高工具、脚手架材料、电动工具、安全防护设备及用具等。</w:t>
      </w:r>
    </w:p>
    <w:p w14:paraId="70A845DB">
      <w:pPr>
        <w:spacing w:line="360" w:lineRule="auto"/>
        <w:ind w:firstLine="420" w:firstLineChars="200"/>
        <w:rPr>
          <w:rFonts w:ascii="宋体" w:hAnsi="宋体"/>
          <w:szCs w:val="21"/>
        </w:rPr>
      </w:pPr>
      <w:bookmarkStart w:id="1373" w:name="_Toc239510298"/>
      <w:bookmarkStart w:id="1374" w:name="_Toc247431432"/>
      <w:bookmarkStart w:id="1375" w:name="_Toc532375708"/>
      <w:bookmarkStart w:id="1376" w:name="_Toc247418272"/>
      <w:r>
        <w:rPr>
          <w:rFonts w:hint="eastAsia" w:ascii="宋体" w:hAnsi="宋体"/>
          <w:szCs w:val="21"/>
        </w:rPr>
        <w:t>九、开工前安全条件检查</w:t>
      </w:r>
      <w:bookmarkEnd w:id="1373"/>
      <w:bookmarkEnd w:id="1374"/>
      <w:bookmarkEnd w:id="1375"/>
      <w:bookmarkEnd w:id="1376"/>
    </w:p>
    <w:p w14:paraId="261B01A4">
      <w:pPr>
        <w:spacing w:line="360" w:lineRule="auto"/>
        <w:ind w:firstLine="420" w:firstLineChars="200"/>
        <w:jc w:val="left"/>
        <w:rPr>
          <w:rFonts w:ascii="宋体" w:hAnsi="宋体"/>
          <w:szCs w:val="21"/>
        </w:rPr>
      </w:pPr>
      <w:r>
        <w:rPr>
          <w:rFonts w:hint="eastAsia" w:ascii="宋体" w:hAnsi="宋体"/>
          <w:szCs w:val="21"/>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452E5D8D">
      <w:pPr>
        <w:spacing w:line="360" w:lineRule="auto"/>
        <w:ind w:firstLine="420" w:firstLineChars="200"/>
        <w:jc w:val="left"/>
        <w:rPr>
          <w:rFonts w:ascii="宋体" w:hAnsi="宋体"/>
          <w:szCs w:val="21"/>
        </w:rPr>
      </w:pPr>
      <w:r>
        <w:rPr>
          <w:rFonts w:hint="eastAsia" w:ascii="宋体" w:hAnsi="宋体"/>
          <w:szCs w:val="21"/>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68EFD868">
      <w:pPr>
        <w:spacing w:line="360" w:lineRule="auto"/>
        <w:ind w:firstLine="420" w:firstLineChars="200"/>
        <w:jc w:val="left"/>
        <w:rPr>
          <w:rFonts w:ascii="宋体" w:hAnsi="宋体"/>
          <w:szCs w:val="21"/>
        </w:rPr>
      </w:pPr>
      <w:r>
        <w:rPr>
          <w:rFonts w:hint="eastAsia" w:ascii="宋体" w:hAnsi="宋体"/>
          <w:szCs w:val="21"/>
        </w:rPr>
        <w:t>3．发包人委托的监理公司检查发现的缺陷，承包人应在规定期限内完成整改。对于重大缺陷，发包人委托的监理公司有权要求承包人推迟开工，由此对工期产生的影响或经济损失，由承包人承担。</w:t>
      </w:r>
    </w:p>
    <w:p w14:paraId="1F452877">
      <w:pPr>
        <w:spacing w:line="360" w:lineRule="auto"/>
        <w:ind w:firstLine="420" w:firstLineChars="200"/>
        <w:rPr>
          <w:rFonts w:ascii="宋体" w:hAnsi="宋体"/>
          <w:szCs w:val="21"/>
        </w:rPr>
      </w:pPr>
      <w:bookmarkStart w:id="1377" w:name="_Toc247418273"/>
      <w:bookmarkStart w:id="1378" w:name="_Toc532375709"/>
      <w:bookmarkStart w:id="1379" w:name="_Toc247431433"/>
      <w:bookmarkStart w:id="1380" w:name="_Toc239510299"/>
      <w:r>
        <w:rPr>
          <w:rFonts w:hint="eastAsia" w:ascii="宋体" w:hAnsi="宋体"/>
          <w:szCs w:val="21"/>
        </w:rPr>
        <w:t>十、安全监督</w:t>
      </w:r>
      <w:bookmarkEnd w:id="1377"/>
      <w:bookmarkEnd w:id="1378"/>
      <w:bookmarkEnd w:id="1379"/>
      <w:bookmarkEnd w:id="1380"/>
    </w:p>
    <w:p w14:paraId="324D4851">
      <w:pPr>
        <w:spacing w:line="360" w:lineRule="auto"/>
        <w:ind w:firstLine="420" w:firstLineChars="200"/>
        <w:jc w:val="left"/>
        <w:rPr>
          <w:rFonts w:ascii="宋体" w:hAnsi="宋体"/>
          <w:szCs w:val="21"/>
        </w:rPr>
      </w:pPr>
      <w:r>
        <w:rPr>
          <w:rFonts w:hint="eastAsia" w:ascii="宋体" w:hAnsi="宋体"/>
          <w:szCs w:val="21"/>
        </w:rPr>
        <w:t>1．承包人应配备有满足项目安全管理需要的专职安全管理人员。</w:t>
      </w:r>
    </w:p>
    <w:p w14:paraId="3D27020B">
      <w:pPr>
        <w:spacing w:line="360" w:lineRule="auto"/>
        <w:ind w:firstLine="420" w:firstLineChars="200"/>
        <w:jc w:val="left"/>
        <w:rPr>
          <w:rFonts w:ascii="宋体" w:hAnsi="宋体"/>
          <w:szCs w:val="21"/>
        </w:rPr>
      </w:pPr>
      <w:r>
        <w:rPr>
          <w:rFonts w:hint="eastAsia" w:ascii="宋体" w:hAnsi="宋体"/>
          <w:szCs w:val="21"/>
        </w:rPr>
        <w:t>2．承包人的专职安全管理人员必须持建设主管部门颁发的安全生产知识考核合格证书。</w:t>
      </w:r>
    </w:p>
    <w:p w14:paraId="7774DC87">
      <w:pPr>
        <w:spacing w:line="360" w:lineRule="auto"/>
        <w:ind w:firstLine="420" w:firstLineChars="200"/>
        <w:jc w:val="left"/>
        <w:rPr>
          <w:rFonts w:ascii="宋体" w:hAnsi="宋体"/>
          <w:szCs w:val="21"/>
        </w:rPr>
      </w:pPr>
      <w:r>
        <w:rPr>
          <w:rFonts w:hint="eastAsia" w:ascii="宋体" w:hAnsi="宋体"/>
          <w:szCs w:val="21"/>
        </w:rPr>
        <w:t>3．承包人的专职安全管理人员在业务上接受发包人委托的监理公司和发包人安全管理部门的协调和指导。</w:t>
      </w:r>
    </w:p>
    <w:p w14:paraId="7296C2E3">
      <w:pPr>
        <w:spacing w:line="360" w:lineRule="auto"/>
        <w:ind w:firstLine="420" w:firstLineChars="200"/>
        <w:jc w:val="left"/>
        <w:rPr>
          <w:rFonts w:ascii="宋体" w:hAnsi="宋体"/>
          <w:szCs w:val="21"/>
        </w:rPr>
      </w:pPr>
      <w:r>
        <w:rPr>
          <w:rFonts w:hint="eastAsia" w:ascii="宋体" w:hAnsi="宋体"/>
          <w:szCs w:val="21"/>
        </w:rPr>
        <w:t>4．承包人应建立班前安全交底制度；施工期间坚持开展安全检查和日常安全监督并形成相应的记录。</w:t>
      </w:r>
    </w:p>
    <w:p w14:paraId="525E2B54">
      <w:pPr>
        <w:spacing w:line="360" w:lineRule="auto"/>
        <w:ind w:firstLine="420" w:firstLineChars="200"/>
        <w:jc w:val="left"/>
        <w:rPr>
          <w:rFonts w:ascii="宋体" w:hAnsi="宋体"/>
          <w:szCs w:val="21"/>
        </w:rPr>
      </w:pPr>
      <w:r>
        <w:rPr>
          <w:rFonts w:hint="eastAsia" w:ascii="宋体" w:hAnsi="宋体"/>
          <w:szCs w:val="21"/>
        </w:rPr>
        <w:t>5．承包人应在每个作业区任命兼职安全员，赋予兼职安全员相应的授权和义务，并对兼职安全员进行定期考核。</w:t>
      </w:r>
    </w:p>
    <w:p w14:paraId="33843E78">
      <w:pPr>
        <w:spacing w:line="360" w:lineRule="auto"/>
        <w:ind w:firstLine="420" w:firstLineChars="200"/>
        <w:jc w:val="left"/>
        <w:rPr>
          <w:rFonts w:ascii="宋体" w:hAnsi="宋体"/>
          <w:szCs w:val="21"/>
        </w:rPr>
      </w:pPr>
      <w:r>
        <w:rPr>
          <w:rFonts w:hint="eastAsia" w:ascii="宋体" w:hAnsi="宋体"/>
          <w:szCs w:val="21"/>
        </w:rPr>
        <w:t>6．承包人应接受和配合发包人专业部门及委托的监理公司的监督与安全评价。</w:t>
      </w:r>
    </w:p>
    <w:p w14:paraId="5DB39AB3">
      <w:pPr>
        <w:spacing w:line="360" w:lineRule="auto"/>
        <w:ind w:firstLine="420" w:firstLineChars="200"/>
        <w:jc w:val="left"/>
        <w:rPr>
          <w:rFonts w:ascii="宋体" w:hAnsi="宋体"/>
          <w:szCs w:val="21"/>
        </w:rPr>
      </w:pPr>
      <w:r>
        <w:rPr>
          <w:rFonts w:hint="eastAsia" w:ascii="宋体" w:hAnsi="宋体"/>
          <w:szCs w:val="21"/>
        </w:rPr>
        <w:t>7．发包人和委托的监理公司有权对承包人履行安全管理协议的情况进行监督，并有权对违章行为实行停工和处罚，处罚情况将通知承包人。涉及经济处罚时将直接通知合同管理部门从合同结算中扣除。</w:t>
      </w:r>
    </w:p>
    <w:p w14:paraId="4C38F274">
      <w:pPr>
        <w:spacing w:line="360" w:lineRule="auto"/>
        <w:ind w:firstLine="420" w:firstLineChars="200"/>
        <w:rPr>
          <w:rFonts w:ascii="宋体" w:hAnsi="宋体"/>
          <w:szCs w:val="21"/>
        </w:rPr>
      </w:pPr>
      <w:bookmarkStart w:id="1381" w:name="_Toc247418274"/>
      <w:bookmarkStart w:id="1382" w:name="_Toc239510300"/>
      <w:bookmarkStart w:id="1383" w:name="_Toc247431434"/>
      <w:bookmarkStart w:id="1384" w:name="_Toc532375710"/>
      <w:r>
        <w:rPr>
          <w:rFonts w:hint="eastAsia" w:ascii="宋体" w:hAnsi="宋体"/>
          <w:szCs w:val="21"/>
        </w:rPr>
        <w:t>十一、安全培训与授权</w:t>
      </w:r>
      <w:bookmarkEnd w:id="1381"/>
      <w:bookmarkEnd w:id="1382"/>
      <w:bookmarkEnd w:id="1383"/>
      <w:bookmarkEnd w:id="1384"/>
    </w:p>
    <w:p w14:paraId="4BCA931A">
      <w:pPr>
        <w:spacing w:line="360" w:lineRule="auto"/>
        <w:ind w:firstLine="420" w:firstLineChars="200"/>
        <w:jc w:val="left"/>
        <w:rPr>
          <w:rFonts w:ascii="宋体" w:hAnsi="宋体"/>
          <w:szCs w:val="21"/>
        </w:rPr>
      </w:pPr>
      <w:r>
        <w:rPr>
          <w:rFonts w:hint="eastAsia" w:ascii="宋体" w:hAnsi="宋体"/>
          <w:szCs w:val="21"/>
        </w:rPr>
        <w:t>1．承包人所有特殊工种人员必须持证上岗，发包人和发包人委托的监理公司有权对其进行抽查。承包人要建立特殊工种定期培训和检查计划，这些工种包括但不限于：机动车驾驶员、焊工、起重工、电工等。</w:t>
      </w:r>
    </w:p>
    <w:p w14:paraId="1780EF0E">
      <w:pPr>
        <w:spacing w:line="360" w:lineRule="auto"/>
        <w:ind w:firstLine="420" w:firstLineChars="200"/>
        <w:jc w:val="left"/>
        <w:rPr>
          <w:rFonts w:ascii="宋体" w:hAnsi="宋体"/>
          <w:szCs w:val="21"/>
        </w:rPr>
      </w:pPr>
      <w:r>
        <w:rPr>
          <w:rFonts w:hint="eastAsia" w:ascii="宋体" w:hAnsi="宋体"/>
          <w:szCs w:val="21"/>
        </w:rPr>
        <w:t>2．承包人应在特殊工种之外的其他工种中，筛选出高风险工种，并对其开展针对性的专题安全培训。</w:t>
      </w:r>
    </w:p>
    <w:p w14:paraId="2A8715CA">
      <w:pPr>
        <w:spacing w:line="360" w:lineRule="auto"/>
        <w:ind w:firstLine="420" w:firstLineChars="200"/>
        <w:jc w:val="left"/>
        <w:rPr>
          <w:rFonts w:ascii="宋体" w:hAnsi="宋体"/>
          <w:szCs w:val="21"/>
        </w:rPr>
      </w:pPr>
      <w:r>
        <w:rPr>
          <w:rFonts w:hint="eastAsia" w:ascii="宋体" w:hAnsi="宋体"/>
          <w:szCs w:val="21"/>
        </w:rPr>
        <w:t>3．承包人应组织 “入场培训”和考核。发包人委托的监理公司有权监督培训、考核情况或组织抽查考核。</w:t>
      </w:r>
    </w:p>
    <w:p w14:paraId="2AFC6FCD">
      <w:pPr>
        <w:spacing w:line="360" w:lineRule="auto"/>
        <w:ind w:firstLine="420" w:firstLineChars="200"/>
        <w:jc w:val="left"/>
        <w:rPr>
          <w:rFonts w:ascii="宋体" w:hAnsi="宋体"/>
          <w:szCs w:val="21"/>
        </w:rPr>
      </w:pPr>
      <w:r>
        <w:rPr>
          <w:rFonts w:hint="eastAsia" w:ascii="宋体" w:hAnsi="宋体"/>
          <w:szCs w:val="21"/>
        </w:rPr>
        <w:t>4．承包人应建立安全培训和考核机制，编制培训教材和培训滚动计划。承包人应组织安全考试/考核，建立培训考核记录，发包人委托的监理公司有权查看这些记录。</w:t>
      </w:r>
    </w:p>
    <w:p w14:paraId="292BEFEF">
      <w:pPr>
        <w:spacing w:line="360" w:lineRule="auto"/>
        <w:ind w:firstLine="420" w:firstLineChars="200"/>
        <w:rPr>
          <w:rFonts w:ascii="宋体" w:hAnsi="宋体"/>
          <w:szCs w:val="21"/>
        </w:rPr>
      </w:pPr>
      <w:bookmarkStart w:id="1385" w:name="_Toc532375711"/>
      <w:bookmarkStart w:id="1386" w:name="_Toc247418275"/>
      <w:bookmarkStart w:id="1387" w:name="_Toc239510301"/>
      <w:bookmarkStart w:id="1388" w:name="_Toc247431435"/>
      <w:r>
        <w:rPr>
          <w:rFonts w:hint="eastAsia" w:ascii="宋体" w:hAnsi="宋体"/>
          <w:szCs w:val="21"/>
        </w:rPr>
        <w:t>十二、职业健康与卫生防疫</w:t>
      </w:r>
      <w:bookmarkEnd w:id="1385"/>
      <w:bookmarkEnd w:id="1386"/>
      <w:bookmarkEnd w:id="1387"/>
      <w:bookmarkEnd w:id="1388"/>
    </w:p>
    <w:p w14:paraId="47E460B8">
      <w:pPr>
        <w:spacing w:line="360" w:lineRule="auto"/>
        <w:ind w:firstLine="420" w:firstLineChars="200"/>
        <w:jc w:val="left"/>
        <w:rPr>
          <w:rFonts w:ascii="宋体" w:hAnsi="宋体"/>
          <w:szCs w:val="21"/>
        </w:rPr>
      </w:pPr>
      <w:r>
        <w:rPr>
          <w:rFonts w:hint="eastAsia" w:ascii="宋体" w:hAnsi="宋体"/>
          <w:szCs w:val="21"/>
        </w:rPr>
        <w:t>1．承包人应有特殊健康检查制度，预防有禁忌症患者从事有关职业，如恐高症患者不得从事高空作业，患有心血管疾病的人员不得从事繁重的体力劳动，特殊工种人员的体检应符合国家的规定。</w:t>
      </w:r>
    </w:p>
    <w:p w14:paraId="7906849D">
      <w:pPr>
        <w:spacing w:line="360" w:lineRule="auto"/>
        <w:ind w:firstLine="420" w:firstLineChars="200"/>
        <w:jc w:val="left"/>
        <w:rPr>
          <w:rFonts w:ascii="宋体" w:hAnsi="宋体"/>
          <w:szCs w:val="21"/>
        </w:rPr>
      </w:pPr>
      <w:r>
        <w:rPr>
          <w:rFonts w:hint="eastAsia" w:ascii="宋体" w:hAnsi="宋体"/>
          <w:szCs w:val="21"/>
        </w:rPr>
        <w:t>2．承包人应保证卫生防疫基本设施的投入，以满足医疗、急救的要求，建立外部医疗支持渠道。</w:t>
      </w:r>
    </w:p>
    <w:p w14:paraId="67F2EDDA">
      <w:pPr>
        <w:spacing w:line="360" w:lineRule="auto"/>
        <w:ind w:firstLine="420" w:firstLineChars="200"/>
        <w:jc w:val="left"/>
        <w:rPr>
          <w:rFonts w:ascii="宋体" w:hAnsi="宋体"/>
          <w:szCs w:val="21"/>
        </w:rPr>
      </w:pPr>
      <w:r>
        <w:rPr>
          <w:rFonts w:hint="eastAsia" w:ascii="宋体" w:hAnsi="宋体"/>
          <w:szCs w:val="21"/>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0A91D06E">
      <w:pPr>
        <w:spacing w:line="360" w:lineRule="auto"/>
        <w:ind w:firstLine="420" w:firstLineChars="200"/>
        <w:rPr>
          <w:rFonts w:ascii="宋体" w:hAnsi="宋体"/>
          <w:szCs w:val="21"/>
        </w:rPr>
      </w:pPr>
      <w:bookmarkStart w:id="1389" w:name="_Toc247431436"/>
      <w:bookmarkStart w:id="1390" w:name="_Toc532375712"/>
      <w:bookmarkStart w:id="1391" w:name="_Toc247418276"/>
      <w:bookmarkStart w:id="1392" w:name="_Toc239510302"/>
      <w:r>
        <w:rPr>
          <w:rFonts w:hint="eastAsia" w:ascii="宋体" w:hAnsi="宋体"/>
          <w:szCs w:val="21"/>
        </w:rPr>
        <w:t>十三、文明施工与环保要求</w:t>
      </w:r>
      <w:bookmarkEnd w:id="1389"/>
      <w:bookmarkEnd w:id="1390"/>
      <w:bookmarkEnd w:id="1391"/>
      <w:bookmarkEnd w:id="1392"/>
    </w:p>
    <w:p w14:paraId="17DB860D">
      <w:pPr>
        <w:spacing w:line="360" w:lineRule="auto"/>
        <w:ind w:firstLine="420" w:firstLineChars="200"/>
        <w:jc w:val="left"/>
        <w:rPr>
          <w:rFonts w:ascii="宋体" w:hAnsi="宋体"/>
          <w:szCs w:val="21"/>
        </w:rPr>
      </w:pPr>
      <w:r>
        <w:rPr>
          <w:rFonts w:hint="eastAsia" w:ascii="宋体" w:hAnsi="宋体"/>
          <w:szCs w:val="21"/>
        </w:rPr>
        <w:t>1．承包人需制订施工现场的文明施工措施，保持良好的施工现场秩序。施工现场的物料堆放要摆放整齐，安全标志和宣传标志要清楚醒目，废料、废物要分类收集，安全通道要畅通。</w:t>
      </w:r>
    </w:p>
    <w:p w14:paraId="6B1B5BE9">
      <w:pPr>
        <w:spacing w:line="360" w:lineRule="auto"/>
        <w:ind w:firstLine="420" w:firstLineChars="200"/>
        <w:jc w:val="left"/>
        <w:rPr>
          <w:rFonts w:ascii="宋体" w:hAnsi="宋体"/>
          <w:szCs w:val="21"/>
        </w:rPr>
      </w:pPr>
      <w:r>
        <w:rPr>
          <w:rFonts w:hint="eastAsia" w:ascii="宋体" w:hAnsi="宋体"/>
          <w:szCs w:val="21"/>
        </w:rPr>
        <w:t>2．承包人作业时应避免建筑材料抛洒、飞扬、流淌；应尽可能降低噪音、震动。</w:t>
      </w:r>
    </w:p>
    <w:p w14:paraId="3C2E8E5C">
      <w:pPr>
        <w:spacing w:line="360" w:lineRule="auto"/>
        <w:ind w:firstLine="420" w:firstLineChars="200"/>
        <w:jc w:val="left"/>
        <w:rPr>
          <w:rFonts w:ascii="宋体" w:hAnsi="宋体"/>
          <w:szCs w:val="21"/>
        </w:rPr>
      </w:pPr>
      <w:r>
        <w:rPr>
          <w:rFonts w:hint="eastAsia" w:ascii="宋体" w:hAnsi="宋体"/>
          <w:szCs w:val="21"/>
        </w:rPr>
        <w:t>3．承包人应根据实际需要，在施工现场布置临时卫生设施（洗手间、卫生间等），施工作业不破坏环境卫生，不污染现场环境。</w:t>
      </w:r>
    </w:p>
    <w:p w14:paraId="484A01BF">
      <w:pPr>
        <w:spacing w:line="360" w:lineRule="auto"/>
        <w:ind w:firstLine="420" w:firstLineChars="200"/>
        <w:jc w:val="left"/>
        <w:rPr>
          <w:rFonts w:ascii="宋体" w:hAnsi="宋体"/>
          <w:szCs w:val="21"/>
        </w:rPr>
      </w:pPr>
      <w:r>
        <w:rPr>
          <w:rFonts w:hint="eastAsia" w:ascii="宋体" w:hAnsi="宋体"/>
          <w:szCs w:val="21"/>
        </w:rPr>
        <w:t>4．承包人在施工中应充分重视对环境的保护，保护绿色植被，保护古树。施工如需伤害古树，必须报告发包人委托的监理公司，在未得到指令前，禁止擅自伤害古树。</w:t>
      </w:r>
    </w:p>
    <w:p w14:paraId="24FC4FFD">
      <w:pPr>
        <w:spacing w:line="360" w:lineRule="auto"/>
        <w:ind w:firstLine="420" w:firstLineChars="200"/>
        <w:jc w:val="left"/>
        <w:rPr>
          <w:rFonts w:ascii="宋体" w:hAnsi="宋体"/>
          <w:szCs w:val="21"/>
        </w:rPr>
      </w:pPr>
      <w:r>
        <w:rPr>
          <w:rFonts w:hint="eastAsia" w:ascii="宋体" w:hAnsi="宋体"/>
          <w:szCs w:val="21"/>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2C9A76B5">
      <w:pPr>
        <w:spacing w:line="360" w:lineRule="auto"/>
        <w:ind w:firstLine="420" w:firstLineChars="200"/>
        <w:jc w:val="left"/>
        <w:rPr>
          <w:rFonts w:ascii="宋体" w:hAnsi="宋体"/>
          <w:szCs w:val="21"/>
        </w:rPr>
      </w:pPr>
      <w:r>
        <w:rPr>
          <w:rFonts w:hint="eastAsia" w:ascii="宋体" w:hAnsi="宋体"/>
          <w:szCs w:val="21"/>
        </w:rPr>
        <w:t>6．承包人在施工中应禁止向环境，排放工业污水、生活污水、废油或其他有害物质。</w:t>
      </w:r>
    </w:p>
    <w:p w14:paraId="06071A3F">
      <w:pPr>
        <w:spacing w:line="360" w:lineRule="auto"/>
        <w:ind w:firstLine="420" w:firstLineChars="200"/>
        <w:jc w:val="left"/>
        <w:rPr>
          <w:rFonts w:ascii="宋体" w:hAnsi="宋体"/>
          <w:szCs w:val="21"/>
        </w:rPr>
      </w:pPr>
      <w:r>
        <w:rPr>
          <w:rFonts w:hint="eastAsia" w:ascii="宋体" w:hAnsi="宋体"/>
          <w:szCs w:val="21"/>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2CA1C6ED">
      <w:pPr>
        <w:spacing w:line="360" w:lineRule="auto"/>
        <w:ind w:firstLine="420" w:firstLineChars="200"/>
        <w:rPr>
          <w:rFonts w:ascii="宋体" w:hAnsi="宋体"/>
          <w:szCs w:val="21"/>
        </w:rPr>
      </w:pPr>
      <w:bookmarkStart w:id="1393" w:name="_Toc532375713"/>
      <w:bookmarkStart w:id="1394" w:name="_Toc247431437"/>
      <w:bookmarkStart w:id="1395" w:name="_Toc239510303"/>
      <w:bookmarkStart w:id="1396" w:name="_Toc247418277"/>
      <w:r>
        <w:rPr>
          <w:rFonts w:hint="eastAsia" w:ascii="宋体" w:hAnsi="宋体"/>
          <w:szCs w:val="21"/>
        </w:rPr>
        <w:t>十四、工程风险管理与事故预防</w:t>
      </w:r>
      <w:bookmarkEnd w:id="1393"/>
      <w:bookmarkEnd w:id="1394"/>
      <w:bookmarkEnd w:id="1395"/>
      <w:bookmarkEnd w:id="1396"/>
    </w:p>
    <w:p w14:paraId="79368281">
      <w:pPr>
        <w:spacing w:line="360" w:lineRule="auto"/>
        <w:ind w:firstLine="420" w:firstLineChars="200"/>
        <w:jc w:val="left"/>
        <w:rPr>
          <w:rFonts w:ascii="宋体" w:hAnsi="宋体"/>
          <w:szCs w:val="21"/>
        </w:rPr>
      </w:pPr>
      <w:bookmarkStart w:id="1397" w:name="_Toc239510304"/>
      <w:bookmarkStart w:id="1398" w:name="_Toc247418278"/>
      <w:bookmarkStart w:id="1399" w:name="_Toc247431438"/>
      <w:r>
        <w:rPr>
          <w:rFonts w:hint="eastAsia" w:ascii="宋体" w:hAnsi="宋体"/>
          <w:szCs w:val="21"/>
        </w:rPr>
        <w:t>（一）基本要求</w:t>
      </w:r>
      <w:bookmarkEnd w:id="1397"/>
      <w:bookmarkEnd w:id="1398"/>
      <w:bookmarkEnd w:id="1399"/>
    </w:p>
    <w:p w14:paraId="5B86E3B4">
      <w:pPr>
        <w:spacing w:line="360" w:lineRule="auto"/>
        <w:ind w:firstLine="420" w:firstLineChars="200"/>
        <w:jc w:val="left"/>
        <w:rPr>
          <w:rFonts w:ascii="宋体" w:hAnsi="宋体"/>
          <w:szCs w:val="21"/>
        </w:rPr>
      </w:pPr>
      <w:bookmarkStart w:id="1400" w:name="_Toc532375714"/>
      <w:r>
        <w:rPr>
          <w:rFonts w:hint="eastAsia" w:ascii="宋体" w:hAnsi="宋体"/>
          <w:szCs w:val="21"/>
        </w:rPr>
        <w:t>1．承包人应对施工过程进行全面、深入的危险源识别和风险分析。在施工安全组织设计中提供危险源及重要危险源清单、作业风险分析报告，该报告应包括（但不限于）如下信息：</w:t>
      </w:r>
      <w:bookmarkEnd w:id="1400"/>
    </w:p>
    <w:p w14:paraId="7D0E0937">
      <w:pPr>
        <w:spacing w:line="360" w:lineRule="auto"/>
        <w:ind w:firstLine="420" w:firstLineChars="200"/>
        <w:jc w:val="left"/>
        <w:rPr>
          <w:rFonts w:ascii="宋体" w:hAnsi="宋体"/>
          <w:szCs w:val="21"/>
        </w:rPr>
      </w:pPr>
      <w:r>
        <w:rPr>
          <w:rFonts w:hint="eastAsia" w:ascii="宋体" w:hAnsi="宋体"/>
          <w:szCs w:val="21"/>
        </w:rPr>
        <w:t>（1）高风险作业和工种清单：作业名称、类别和数量、主要事故风险。</w:t>
      </w:r>
    </w:p>
    <w:p w14:paraId="32A6B671">
      <w:pPr>
        <w:spacing w:line="360" w:lineRule="auto"/>
        <w:ind w:firstLine="420" w:firstLineChars="200"/>
        <w:jc w:val="left"/>
        <w:rPr>
          <w:rFonts w:ascii="宋体" w:hAnsi="宋体"/>
          <w:szCs w:val="21"/>
        </w:rPr>
      </w:pPr>
      <w:r>
        <w:rPr>
          <w:rFonts w:hint="eastAsia" w:ascii="宋体" w:hAnsi="宋体"/>
          <w:szCs w:val="21"/>
        </w:rPr>
        <w:t>（2）施工能源和机械的种类、数量和主要事故风险。</w:t>
      </w:r>
    </w:p>
    <w:p w14:paraId="55EA676C">
      <w:pPr>
        <w:spacing w:line="360" w:lineRule="auto"/>
        <w:ind w:firstLine="420" w:firstLineChars="200"/>
        <w:jc w:val="left"/>
        <w:rPr>
          <w:rFonts w:ascii="宋体" w:hAnsi="宋体"/>
          <w:szCs w:val="21"/>
        </w:rPr>
      </w:pPr>
      <w:r>
        <w:rPr>
          <w:rFonts w:hint="eastAsia" w:ascii="宋体" w:hAnsi="宋体"/>
          <w:szCs w:val="21"/>
        </w:rPr>
        <w:t>（3）施工作业条件的类型和主要事故风险。</w:t>
      </w:r>
    </w:p>
    <w:p w14:paraId="4A20CC3F">
      <w:pPr>
        <w:spacing w:line="360" w:lineRule="auto"/>
        <w:ind w:firstLine="420" w:firstLineChars="200"/>
        <w:jc w:val="left"/>
        <w:rPr>
          <w:rFonts w:ascii="宋体" w:hAnsi="宋体"/>
          <w:szCs w:val="21"/>
        </w:rPr>
      </w:pPr>
      <w:r>
        <w:rPr>
          <w:rFonts w:hint="eastAsia" w:ascii="宋体" w:hAnsi="宋体"/>
          <w:szCs w:val="21"/>
        </w:rPr>
        <w:t>（4）主要工艺过程（或施工活动）的类别及其相关的事故风险。</w:t>
      </w:r>
    </w:p>
    <w:p w14:paraId="7E93A05A">
      <w:pPr>
        <w:spacing w:line="360" w:lineRule="auto"/>
        <w:ind w:firstLine="420" w:firstLineChars="200"/>
        <w:jc w:val="left"/>
        <w:rPr>
          <w:rFonts w:ascii="宋体" w:hAnsi="宋体"/>
          <w:szCs w:val="21"/>
        </w:rPr>
      </w:pPr>
      <w:r>
        <w:rPr>
          <w:rFonts w:hint="eastAsia" w:ascii="宋体" w:hAnsi="宋体"/>
          <w:szCs w:val="21"/>
        </w:rPr>
        <w:t>（5）主要火灾危险（可燃物、点火源）。</w:t>
      </w:r>
    </w:p>
    <w:p w14:paraId="18945D25">
      <w:pPr>
        <w:spacing w:line="360" w:lineRule="auto"/>
        <w:ind w:firstLine="420" w:firstLineChars="200"/>
        <w:jc w:val="left"/>
        <w:rPr>
          <w:rFonts w:ascii="宋体" w:hAnsi="宋体"/>
          <w:szCs w:val="21"/>
        </w:rPr>
      </w:pPr>
      <w:r>
        <w:rPr>
          <w:rFonts w:hint="eastAsia" w:ascii="宋体" w:hAnsi="宋体"/>
          <w:szCs w:val="21"/>
        </w:rPr>
        <w:t>（6）主要自然灾害（洪水、大风、雷暴、暴雨、地质灾害等）。</w:t>
      </w:r>
    </w:p>
    <w:p w14:paraId="12E549A1">
      <w:pPr>
        <w:spacing w:line="360" w:lineRule="auto"/>
        <w:ind w:firstLine="420" w:firstLineChars="200"/>
        <w:jc w:val="left"/>
        <w:rPr>
          <w:rFonts w:ascii="宋体" w:hAnsi="宋体"/>
          <w:szCs w:val="21"/>
        </w:rPr>
      </w:pPr>
      <w:r>
        <w:rPr>
          <w:rFonts w:hint="eastAsia" w:ascii="宋体" w:hAnsi="宋体"/>
          <w:szCs w:val="21"/>
        </w:rPr>
        <w:t>（7）主要环境保护事件（有害垃圾、机械的跑冒滴漏、原材料流失、水土流失等）。</w:t>
      </w:r>
    </w:p>
    <w:p w14:paraId="47F86C3A">
      <w:pPr>
        <w:spacing w:line="360" w:lineRule="auto"/>
        <w:ind w:firstLine="420" w:firstLineChars="200"/>
        <w:jc w:val="left"/>
        <w:rPr>
          <w:rFonts w:ascii="宋体" w:hAnsi="宋体"/>
          <w:szCs w:val="21"/>
        </w:rPr>
      </w:pPr>
      <w:r>
        <w:rPr>
          <w:rFonts w:hint="eastAsia" w:ascii="宋体" w:hAnsi="宋体"/>
          <w:szCs w:val="21"/>
        </w:rPr>
        <w:t>（8）其他。</w:t>
      </w:r>
    </w:p>
    <w:p w14:paraId="75E7F9D6">
      <w:pPr>
        <w:spacing w:line="360" w:lineRule="auto"/>
        <w:ind w:firstLine="420" w:firstLineChars="200"/>
        <w:jc w:val="left"/>
        <w:rPr>
          <w:rFonts w:ascii="宋体" w:hAnsi="宋体"/>
          <w:szCs w:val="21"/>
        </w:rPr>
      </w:pPr>
      <w:r>
        <w:rPr>
          <w:rFonts w:hint="eastAsia" w:ascii="宋体" w:hAnsi="宋体"/>
          <w:szCs w:val="21"/>
        </w:rPr>
        <w:t>2．承包人应针对识别出的危险源制定有针对性的事故预防措施并确保在施工中得到有效落实。</w:t>
      </w:r>
    </w:p>
    <w:p w14:paraId="675F75CF">
      <w:pPr>
        <w:spacing w:line="360" w:lineRule="auto"/>
        <w:ind w:firstLine="420" w:firstLineChars="200"/>
        <w:jc w:val="left"/>
        <w:rPr>
          <w:rFonts w:ascii="宋体" w:hAnsi="宋体"/>
          <w:szCs w:val="21"/>
        </w:rPr>
      </w:pPr>
      <w:r>
        <w:rPr>
          <w:rFonts w:hint="eastAsia" w:ascii="宋体" w:hAnsi="宋体"/>
          <w:szCs w:val="21"/>
        </w:rPr>
        <w:t>3．承包人应建立日常施工活动的动态作业风险分析和安全交底制度。该制度应明确规定风险分析的方法、责任和交底的内容、时间及记录。</w:t>
      </w:r>
    </w:p>
    <w:p w14:paraId="142CBAA6">
      <w:pPr>
        <w:spacing w:line="360" w:lineRule="auto"/>
        <w:ind w:firstLine="420" w:firstLineChars="200"/>
        <w:jc w:val="left"/>
        <w:rPr>
          <w:rFonts w:ascii="宋体" w:hAnsi="宋体"/>
          <w:szCs w:val="21"/>
        </w:rPr>
      </w:pPr>
      <w:bookmarkStart w:id="1401" w:name="_Toc247431439"/>
      <w:bookmarkStart w:id="1402" w:name="_Toc239510305"/>
      <w:bookmarkStart w:id="1403" w:name="_Toc247418279"/>
      <w:r>
        <w:rPr>
          <w:rFonts w:hint="eastAsia" w:ascii="宋体" w:hAnsi="宋体"/>
          <w:szCs w:val="21"/>
        </w:rPr>
        <w:t>（二）现场作业基本安全条件</w:t>
      </w:r>
      <w:bookmarkEnd w:id="1401"/>
      <w:bookmarkEnd w:id="1402"/>
      <w:bookmarkEnd w:id="1403"/>
    </w:p>
    <w:p w14:paraId="1CD61EB8">
      <w:pPr>
        <w:spacing w:line="360" w:lineRule="auto"/>
        <w:ind w:firstLine="420" w:firstLineChars="200"/>
        <w:jc w:val="left"/>
        <w:rPr>
          <w:rFonts w:ascii="宋体" w:hAnsi="宋体"/>
          <w:szCs w:val="21"/>
        </w:rPr>
      </w:pPr>
      <w:r>
        <w:rPr>
          <w:rFonts w:hint="eastAsia" w:ascii="宋体" w:hAnsi="宋体"/>
          <w:szCs w:val="21"/>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28EF3B32">
      <w:pPr>
        <w:spacing w:line="360" w:lineRule="auto"/>
        <w:ind w:firstLine="420" w:firstLineChars="200"/>
        <w:rPr>
          <w:rFonts w:ascii="宋体" w:hAnsi="宋体"/>
          <w:szCs w:val="21"/>
        </w:rPr>
      </w:pPr>
      <w:bookmarkStart w:id="1404" w:name="_Toc532375715"/>
      <w:bookmarkStart w:id="1405" w:name="_Toc247418280"/>
      <w:bookmarkStart w:id="1406" w:name="_Toc247431440"/>
      <w:bookmarkStart w:id="1407" w:name="_Toc239510306"/>
      <w:r>
        <w:rPr>
          <w:rFonts w:hint="eastAsia" w:ascii="宋体" w:hAnsi="宋体"/>
          <w:szCs w:val="21"/>
        </w:rPr>
        <w:t>十五、事故报告与应急救援</w:t>
      </w:r>
      <w:bookmarkEnd w:id="1404"/>
      <w:bookmarkEnd w:id="1405"/>
      <w:bookmarkEnd w:id="1406"/>
      <w:bookmarkEnd w:id="1407"/>
    </w:p>
    <w:p w14:paraId="16F79767">
      <w:pPr>
        <w:spacing w:line="360" w:lineRule="auto"/>
        <w:ind w:firstLine="420" w:firstLineChars="200"/>
        <w:jc w:val="left"/>
        <w:rPr>
          <w:rFonts w:ascii="宋体" w:hAnsi="宋体"/>
          <w:szCs w:val="21"/>
        </w:rPr>
      </w:pPr>
      <w:r>
        <w:rPr>
          <w:rFonts w:hint="eastAsia" w:ascii="宋体" w:hAnsi="宋体"/>
          <w:szCs w:val="21"/>
        </w:rPr>
        <w:t>1．承包人应制定对于未遂事故及以上级别的安全事件和事故，定期报送安全月度快报、季报、年报和各种专项事故报告等。</w:t>
      </w:r>
    </w:p>
    <w:p w14:paraId="562D62E5">
      <w:pPr>
        <w:spacing w:line="360" w:lineRule="auto"/>
        <w:ind w:firstLine="420" w:firstLineChars="200"/>
        <w:jc w:val="left"/>
        <w:rPr>
          <w:rFonts w:ascii="宋体" w:hAnsi="宋体"/>
          <w:szCs w:val="21"/>
        </w:rPr>
      </w:pPr>
      <w:r>
        <w:rPr>
          <w:rFonts w:hint="eastAsia" w:ascii="宋体" w:hAnsi="宋体"/>
          <w:szCs w:val="21"/>
        </w:rPr>
        <w:t>2．承包人应建立安全事故统计记录、未遂事故统计记录、违章统计记录，并根据统计情况进行分析，并就分析结果制定相应的预防措施。</w:t>
      </w:r>
    </w:p>
    <w:p w14:paraId="13F463EE">
      <w:pPr>
        <w:spacing w:line="360" w:lineRule="auto"/>
        <w:ind w:firstLine="420" w:firstLineChars="200"/>
        <w:jc w:val="left"/>
        <w:rPr>
          <w:rFonts w:ascii="宋体" w:hAnsi="宋体"/>
          <w:szCs w:val="21"/>
        </w:rPr>
      </w:pPr>
      <w:r>
        <w:rPr>
          <w:rFonts w:hint="eastAsia" w:ascii="宋体" w:hAnsi="宋体"/>
          <w:szCs w:val="21"/>
        </w:rPr>
        <w:t>3．承包人应建立事故应急救援机制，明确事故处置的基本原则，即现场发生事故时，首先抢救生命，向救援组织报警，并采取措施限制事故扩大。</w:t>
      </w:r>
    </w:p>
    <w:p w14:paraId="048B19F3">
      <w:pPr>
        <w:spacing w:line="360" w:lineRule="auto"/>
        <w:ind w:firstLine="420" w:firstLineChars="200"/>
        <w:jc w:val="left"/>
        <w:rPr>
          <w:rFonts w:ascii="宋体" w:hAnsi="宋体"/>
          <w:szCs w:val="21"/>
        </w:rPr>
      </w:pPr>
      <w:r>
        <w:rPr>
          <w:rFonts w:hint="eastAsia" w:ascii="宋体" w:hAnsi="宋体"/>
          <w:szCs w:val="21"/>
        </w:rPr>
        <w:t>4．承包人应建立相应的应急响应组织，以便能迅速处理突发意外。</w:t>
      </w:r>
    </w:p>
    <w:p w14:paraId="47F5B174">
      <w:pPr>
        <w:spacing w:line="360" w:lineRule="auto"/>
        <w:ind w:firstLine="420" w:firstLineChars="200"/>
        <w:jc w:val="left"/>
        <w:rPr>
          <w:rFonts w:ascii="宋体" w:hAnsi="宋体"/>
          <w:szCs w:val="21"/>
        </w:rPr>
      </w:pPr>
      <w:r>
        <w:rPr>
          <w:rFonts w:hint="eastAsia" w:ascii="宋体" w:hAnsi="宋体"/>
          <w:szCs w:val="21"/>
        </w:rPr>
        <w:t>5．承包人应建立专项应急响应预案，包括重大人身伤亡事故的救护预案、火灾响应预案、“四防”预案（防风、防冻、防雷、防暴雨）、重大疫病防护预案、环境污染防护预案、地质灾害防护预案等。</w:t>
      </w:r>
    </w:p>
    <w:p w14:paraId="06C6DAD3">
      <w:pPr>
        <w:spacing w:line="360" w:lineRule="auto"/>
        <w:ind w:firstLine="420" w:firstLineChars="200"/>
        <w:jc w:val="left"/>
        <w:rPr>
          <w:rFonts w:ascii="宋体" w:hAnsi="宋体"/>
          <w:szCs w:val="21"/>
        </w:rPr>
      </w:pPr>
      <w:r>
        <w:rPr>
          <w:rFonts w:hint="eastAsia" w:ascii="宋体" w:hAnsi="宋体"/>
          <w:szCs w:val="21"/>
        </w:rPr>
        <w:t>6．承包人应对应急预案进行适当演练，保证应急预案的可操作性。</w:t>
      </w:r>
    </w:p>
    <w:p w14:paraId="39AF5244">
      <w:pPr>
        <w:spacing w:line="360" w:lineRule="auto"/>
        <w:ind w:firstLine="420" w:firstLineChars="200"/>
        <w:jc w:val="left"/>
        <w:rPr>
          <w:rFonts w:ascii="宋体" w:hAnsi="宋体"/>
          <w:szCs w:val="21"/>
        </w:rPr>
      </w:pPr>
      <w:r>
        <w:rPr>
          <w:rFonts w:hint="eastAsia" w:ascii="宋体" w:hAnsi="宋体"/>
          <w:szCs w:val="21"/>
        </w:rPr>
        <w:t>7．在工地的其他施工单位发生重大事故时，承包人应无条件立即配合、支持事故抢险。</w:t>
      </w:r>
    </w:p>
    <w:p w14:paraId="4A6BEC83">
      <w:pPr>
        <w:spacing w:line="360" w:lineRule="auto"/>
        <w:ind w:firstLine="420" w:firstLineChars="200"/>
        <w:jc w:val="left"/>
        <w:rPr>
          <w:rFonts w:ascii="宋体" w:hAnsi="宋体"/>
          <w:szCs w:val="21"/>
        </w:rPr>
      </w:pPr>
      <w:r>
        <w:rPr>
          <w:rFonts w:hint="eastAsia" w:ascii="宋体" w:hAnsi="宋体"/>
          <w:szCs w:val="21"/>
        </w:rPr>
        <w:t>8．承包人必须为事故处置支付各项费用，包括受伤者的抚恤、补偿等费用，并按合同要求赔偿对发包人造成的损失。</w:t>
      </w:r>
    </w:p>
    <w:p w14:paraId="14176BB6">
      <w:pPr>
        <w:spacing w:line="360" w:lineRule="auto"/>
        <w:ind w:firstLine="420" w:firstLineChars="200"/>
        <w:jc w:val="left"/>
        <w:rPr>
          <w:rFonts w:ascii="宋体" w:hAnsi="宋体"/>
          <w:szCs w:val="21"/>
        </w:rPr>
      </w:pPr>
      <w:r>
        <w:rPr>
          <w:rFonts w:hint="eastAsia" w:ascii="宋体" w:hAnsi="宋体"/>
          <w:szCs w:val="21"/>
        </w:rPr>
        <w:t>9．由于发包人原因而造成的事故，发包人应负责按事故的具体损失情况给予承包人经济赔偿。</w:t>
      </w:r>
    </w:p>
    <w:p w14:paraId="3F0FDCB4">
      <w:pPr>
        <w:spacing w:line="360" w:lineRule="auto"/>
        <w:ind w:firstLine="420" w:firstLineChars="200"/>
        <w:jc w:val="left"/>
        <w:rPr>
          <w:rFonts w:ascii="宋体" w:hAnsi="宋体"/>
          <w:szCs w:val="21"/>
        </w:rPr>
      </w:pPr>
      <w:r>
        <w:rPr>
          <w:rFonts w:hint="eastAsia" w:ascii="宋体" w:hAnsi="宋体"/>
          <w:szCs w:val="21"/>
        </w:rPr>
        <w:t>10．涉及承包人员工的伤害事故，承包人除要报告发包人委托的监理公司外，还应负责按照国家、行业和本单位上级公司的要求，上报事故。</w:t>
      </w:r>
    </w:p>
    <w:p w14:paraId="68BDA67F">
      <w:pPr>
        <w:spacing w:line="360" w:lineRule="auto"/>
        <w:ind w:firstLine="420" w:firstLineChars="200"/>
        <w:rPr>
          <w:rFonts w:ascii="宋体" w:hAnsi="宋体"/>
          <w:szCs w:val="21"/>
        </w:rPr>
      </w:pPr>
      <w:bookmarkStart w:id="1408" w:name="_Toc239510307"/>
      <w:bookmarkStart w:id="1409" w:name="_Toc532375716"/>
      <w:bookmarkStart w:id="1410" w:name="_Toc247431441"/>
      <w:bookmarkStart w:id="1411" w:name="_Toc247418281"/>
      <w:r>
        <w:rPr>
          <w:rFonts w:hint="eastAsia" w:ascii="宋体" w:hAnsi="宋体"/>
          <w:szCs w:val="21"/>
        </w:rPr>
        <w:t>十六、安全业绩考核</w:t>
      </w:r>
      <w:bookmarkEnd w:id="1408"/>
      <w:bookmarkEnd w:id="1409"/>
      <w:bookmarkEnd w:id="1410"/>
      <w:bookmarkEnd w:id="1411"/>
    </w:p>
    <w:p w14:paraId="111F271E">
      <w:pPr>
        <w:spacing w:line="360" w:lineRule="auto"/>
        <w:ind w:firstLine="420" w:firstLineChars="200"/>
        <w:jc w:val="left"/>
        <w:rPr>
          <w:rFonts w:ascii="宋体" w:hAnsi="宋体"/>
          <w:szCs w:val="21"/>
        </w:rPr>
      </w:pPr>
      <w:r>
        <w:rPr>
          <w:rFonts w:hint="eastAsia" w:ascii="宋体" w:hAnsi="宋体"/>
          <w:szCs w:val="21"/>
        </w:rPr>
        <w:t>为了落实安全管理的责任，承包人在施工过程中发生安全事故时，承包人除应按国家有关规定承担责任和处罚外，发包人还将按照以下标准进行考核：</w:t>
      </w:r>
    </w:p>
    <w:tbl>
      <w:tblPr>
        <w:tblStyle w:val="45"/>
        <w:tblW w:w="7005" w:type="dxa"/>
        <w:jc w:val="center"/>
        <w:tblLayout w:type="fixed"/>
        <w:tblCellMar>
          <w:top w:w="0" w:type="dxa"/>
          <w:left w:w="0" w:type="dxa"/>
          <w:bottom w:w="0" w:type="dxa"/>
          <w:right w:w="0" w:type="dxa"/>
        </w:tblCellMar>
      </w:tblPr>
      <w:tblGrid>
        <w:gridCol w:w="3240"/>
        <w:gridCol w:w="3765"/>
      </w:tblGrid>
      <w:tr w14:paraId="1C3136B9">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9D512A">
            <w:pPr>
              <w:spacing w:line="360" w:lineRule="auto"/>
              <w:ind w:firstLine="420" w:firstLineChars="200"/>
              <w:jc w:val="left"/>
              <w:rPr>
                <w:rFonts w:ascii="宋体" w:hAnsi="宋体"/>
                <w:szCs w:val="21"/>
              </w:rPr>
            </w:pPr>
            <w:r>
              <w:rPr>
                <w:rFonts w:hint="eastAsia" w:ascii="宋体" w:hAnsi="宋体"/>
                <w:szCs w:val="21"/>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F223536">
            <w:pPr>
              <w:spacing w:line="360" w:lineRule="auto"/>
              <w:ind w:firstLine="420" w:firstLineChars="200"/>
              <w:jc w:val="left"/>
              <w:rPr>
                <w:rFonts w:ascii="宋体" w:hAnsi="宋体"/>
                <w:szCs w:val="21"/>
              </w:rPr>
            </w:pPr>
            <w:r>
              <w:rPr>
                <w:rFonts w:hint="eastAsia" w:ascii="宋体" w:hAnsi="宋体"/>
                <w:szCs w:val="21"/>
              </w:rPr>
              <w:t>违约金额</w:t>
            </w:r>
          </w:p>
        </w:tc>
      </w:tr>
      <w:tr w14:paraId="63662219">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D38B4AE">
            <w:pPr>
              <w:spacing w:line="360" w:lineRule="auto"/>
              <w:ind w:firstLine="420" w:firstLineChars="200"/>
              <w:jc w:val="left"/>
              <w:rPr>
                <w:rFonts w:ascii="宋体" w:hAnsi="宋体"/>
                <w:szCs w:val="21"/>
              </w:rPr>
            </w:pPr>
            <w:r>
              <w:rPr>
                <w:rFonts w:hint="eastAsia" w:ascii="宋体" w:hAnsi="宋体"/>
                <w:szCs w:val="21"/>
              </w:rPr>
              <w:t>较大事故</w:t>
            </w:r>
          </w:p>
        </w:tc>
        <w:tc>
          <w:tcPr>
            <w:tcW w:w="3765" w:type="dxa"/>
            <w:tcBorders>
              <w:top w:val="single" w:color="auto" w:sz="8" w:space="0"/>
              <w:left w:val="nil"/>
              <w:bottom w:val="single" w:color="auto" w:sz="8" w:space="0"/>
              <w:right w:val="single" w:color="auto" w:sz="8" w:space="0"/>
            </w:tcBorders>
            <w:vAlign w:val="center"/>
          </w:tcPr>
          <w:p w14:paraId="073E646E">
            <w:pPr>
              <w:spacing w:line="360" w:lineRule="auto"/>
              <w:ind w:firstLine="420" w:firstLineChars="200"/>
              <w:jc w:val="left"/>
              <w:rPr>
                <w:rFonts w:ascii="宋体" w:hAnsi="宋体"/>
                <w:szCs w:val="21"/>
              </w:rPr>
            </w:pPr>
            <w:r>
              <w:rPr>
                <w:rFonts w:hint="eastAsia" w:ascii="宋体" w:hAnsi="宋体"/>
                <w:kern w:val="0"/>
                <w:szCs w:val="21"/>
              </w:rPr>
              <w:t>签约合同价</w:t>
            </w:r>
            <w:r>
              <w:rPr>
                <w:rFonts w:hint="eastAsia" w:ascii="宋体" w:hAnsi="宋体"/>
                <w:szCs w:val="21"/>
              </w:rPr>
              <w:t>的0.5‰</w:t>
            </w:r>
          </w:p>
        </w:tc>
      </w:tr>
      <w:tr w14:paraId="764DCE3B">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410125">
            <w:pPr>
              <w:spacing w:line="360" w:lineRule="auto"/>
              <w:ind w:firstLine="420" w:firstLineChars="200"/>
              <w:jc w:val="left"/>
              <w:rPr>
                <w:rFonts w:ascii="宋体" w:hAnsi="宋体"/>
                <w:szCs w:val="21"/>
              </w:rPr>
            </w:pPr>
            <w:r>
              <w:rPr>
                <w:rFonts w:hint="eastAsia" w:ascii="宋体" w:hAnsi="宋体"/>
                <w:szCs w:val="21"/>
              </w:rPr>
              <w:t>重大事故</w:t>
            </w:r>
          </w:p>
        </w:tc>
        <w:tc>
          <w:tcPr>
            <w:tcW w:w="3765" w:type="dxa"/>
            <w:tcBorders>
              <w:top w:val="single" w:color="auto" w:sz="8" w:space="0"/>
              <w:left w:val="nil"/>
              <w:bottom w:val="single" w:color="auto" w:sz="8" w:space="0"/>
              <w:right w:val="single" w:color="auto" w:sz="8" w:space="0"/>
            </w:tcBorders>
            <w:vAlign w:val="center"/>
          </w:tcPr>
          <w:p w14:paraId="2E712900">
            <w:pPr>
              <w:spacing w:line="360" w:lineRule="auto"/>
              <w:ind w:firstLine="420" w:firstLineChars="200"/>
              <w:jc w:val="left"/>
              <w:rPr>
                <w:rFonts w:ascii="宋体" w:hAnsi="宋体"/>
                <w:szCs w:val="21"/>
              </w:rPr>
            </w:pPr>
            <w:r>
              <w:rPr>
                <w:rFonts w:hint="eastAsia" w:ascii="宋体" w:hAnsi="宋体"/>
                <w:szCs w:val="21"/>
              </w:rPr>
              <w:t>签约合同价的2‰</w:t>
            </w:r>
          </w:p>
        </w:tc>
      </w:tr>
      <w:tr w14:paraId="608A663B">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6F7C5C">
            <w:pPr>
              <w:spacing w:line="360" w:lineRule="auto"/>
              <w:ind w:firstLine="420" w:firstLineChars="200"/>
              <w:jc w:val="left"/>
              <w:rPr>
                <w:rFonts w:ascii="宋体" w:hAnsi="宋体"/>
                <w:szCs w:val="21"/>
              </w:rPr>
            </w:pPr>
            <w:r>
              <w:rPr>
                <w:rFonts w:hint="eastAsia" w:ascii="宋体" w:hAnsi="宋体"/>
                <w:szCs w:val="21"/>
              </w:rPr>
              <w:t>特别重大事故</w:t>
            </w:r>
          </w:p>
        </w:tc>
        <w:tc>
          <w:tcPr>
            <w:tcW w:w="3765" w:type="dxa"/>
            <w:tcBorders>
              <w:top w:val="single" w:color="auto" w:sz="8" w:space="0"/>
              <w:left w:val="nil"/>
              <w:bottom w:val="single" w:color="auto" w:sz="8" w:space="0"/>
              <w:right w:val="single" w:color="auto" w:sz="8" w:space="0"/>
            </w:tcBorders>
            <w:vAlign w:val="center"/>
          </w:tcPr>
          <w:p w14:paraId="6641AC23">
            <w:pPr>
              <w:spacing w:line="360" w:lineRule="auto"/>
              <w:ind w:firstLine="420" w:firstLineChars="200"/>
              <w:jc w:val="left"/>
              <w:rPr>
                <w:rFonts w:ascii="宋体" w:hAnsi="宋体"/>
                <w:szCs w:val="21"/>
              </w:rPr>
            </w:pPr>
            <w:r>
              <w:rPr>
                <w:rFonts w:hint="eastAsia" w:ascii="宋体" w:hAnsi="宋体"/>
                <w:szCs w:val="21"/>
              </w:rPr>
              <w:t>签约合同价的4‰</w:t>
            </w:r>
          </w:p>
        </w:tc>
      </w:tr>
    </w:tbl>
    <w:p w14:paraId="63E173F5">
      <w:pPr>
        <w:spacing w:line="360" w:lineRule="auto"/>
        <w:ind w:firstLine="420" w:firstLineChars="200"/>
        <w:jc w:val="left"/>
        <w:rPr>
          <w:rFonts w:ascii="宋体" w:hAnsi="宋体"/>
          <w:szCs w:val="21"/>
        </w:rPr>
      </w:pPr>
      <w:r>
        <w:rPr>
          <w:rFonts w:hint="eastAsia" w:ascii="宋体" w:hAnsi="宋体"/>
          <w:szCs w:val="21"/>
        </w:rPr>
        <w:t>（1）较大事故，是指造成3人以上10人以下死亡，或者10人以上50人以下重伤，或者1000万元以上5000万元以下直接经济损失的事故；</w:t>
      </w:r>
    </w:p>
    <w:p w14:paraId="1363FE1D">
      <w:pPr>
        <w:spacing w:line="360" w:lineRule="auto"/>
        <w:ind w:firstLine="420" w:firstLineChars="200"/>
        <w:jc w:val="left"/>
        <w:rPr>
          <w:rFonts w:ascii="宋体" w:hAnsi="宋体"/>
          <w:szCs w:val="21"/>
        </w:rPr>
      </w:pPr>
      <w:r>
        <w:rPr>
          <w:rFonts w:hint="eastAsia" w:ascii="宋体" w:hAnsi="宋体"/>
          <w:szCs w:val="21"/>
        </w:rPr>
        <w:t>（2）重大事故，是指造成10人以上30人以下死亡，或者50人以上100人以下重伤，或者5000万元以上1亿元以下直接经济损失的事故；</w:t>
      </w:r>
    </w:p>
    <w:p w14:paraId="74114DAD">
      <w:pPr>
        <w:spacing w:line="360" w:lineRule="auto"/>
        <w:ind w:firstLine="420" w:firstLineChars="200"/>
        <w:jc w:val="left"/>
        <w:rPr>
          <w:rFonts w:ascii="宋体" w:hAnsi="宋体"/>
          <w:szCs w:val="21"/>
        </w:rPr>
      </w:pPr>
      <w:r>
        <w:rPr>
          <w:rFonts w:hint="eastAsia" w:ascii="宋体" w:hAnsi="宋体"/>
          <w:szCs w:val="21"/>
        </w:rPr>
        <w:t>（3）特别重大事故，是指造成30人以上死亡，或者100人以上重伤（包括急性工业中毒，下同），或者1亿元以上直接经济损失的事故；</w:t>
      </w:r>
    </w:p>
    <w:p w14:paraId="5E7A6D7D">
      <w:pPr>
        <w:spacing w:line="276" w:lineRule="auto"/>
        <w:ind w:firstLine="420" w:firstLineChars="200"/>
        <w:jc w:val="left"/>
        <w:rPr>
          <w:rFonts w:ascii="宋体" w:hAnsi="宋体"/>
          <w:szCs w:val="21"/>
        </w:rPr>
      </w:pPr>
      <w:r>
        <w:rPr>
          <w:rFonts w:hint="eastAsia" w:ascii="宋体" w:hAnsi="宋体"/>
          <w:szCs w:val="21"/>
        </w:rPr>
        <w:t>（4）所称的“以上”包括本数，所称的“以下”不包括本数。</w:t>
      </w:r>
    </w:p>
    <w:p w14:paraId="3752CC02">
      <w:pPr>
        <w:spacing w:line="276" w:lineRule="auto"/>
        <w:ind w:firstLine="420" w:firstLineChars="200"/>
        <w:jc w:val="left"/>
        <w:rPr>
          <w:rFonts w:ascii="宋体" w:hAnsi="宋体"/>
          <w:szCs w:val="21"/>
        </w:rPr>
      </w:pPr>
      <w:r>
        <w:rPr>
          <w:rFonts w:hint="eastAsia" w:ascii="宋体" w:hAnsi="宋体"/>
          <w:szCs w:val="21"/>
        </w:rPr>
        <w:t>（5）如整个施工过程未发生以上安全事故，则给予承包人建安费总额的1‰的安全奖励。</w:t>
      </w:r>
    </w:p>
    <w:p w14:paraId="37E0DB2F">
      <w:pPr>
        <w:spacing w:line="276" w:lineRule="auto"/>
        <w:ind w:firstLine="420" w:firstLineChars="200"/>
        <w:jc w:val="left"/>
        <w:rPr>
          <w:rFonts w:ascii="宋体" w:hAnsi="宋体"/>
          <w:szCs w:val="21"/>
        </w:rPr>
      </w:pPr>
      <w:r>
        <w:rPr>
          <w:rFonts w:hint="eastAsia" w:ascii="宋体" w:hAnsi="宋体"/>
          <w:szCs w:val="21"/>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31EC9EAD">
      <w:pPr>
        <w:spacing w:line="276" w:lineRule="auto"/>
        <w:ind w:firstLine="420" w:firstLineChars="200"/>
        <w:rPr>
          <w:rFonts w:ascii="宋体" w:hAnsi="宋体"/>
          <w:szCs w:val="21"/>
        </w:rPr>
      </w:pPr>
      <w:bookmarkStart w:id="1412" w:name="_Toc247418282"/>
      <w:bookmarkStart w:id="1413" w:name="_Toc532375717"/>
      <w:bookmarkStart w:id="1414" w:name="_Toc239510308"/>
      <w:bookmarkStart w:id="1415" w:name="_Toc247431442"/>
      <w:r>
        <w:rPr>
          <w:rFonts w:hint="eastAsia" w:ascii="宋体" w:hAnsi="宋体"/>
          <w:szCs w:val="21"/>
        </w:rPr>
        <w:t>十七、协议条款的修订</w:t>
      </w:r>
      <w:bookmarkEnd w:id="1412"/>
      <w:bookmarkEnd w:id="1413"/>
      <w:bookmarkEnd w:id="1414"/>
      <w:bookmarkEnd w:id="1415"/>
    </w:p>
    <w:p w14:paraId="7D43E69E">
      <w:pPr>
        <w:spacing w:line="276" w:lineRule="auto"/>
        <w:ind w:firstLine="420" w:firstLineChars="200"/>
        <w:jc w:val="left"/>
        <w:rPr>
          <w:rFonts w:ascii="宋体" w:hAnsi="宋体"/>
          <w:szCs w:val="21"/>
        </w:rPr>
      </w:pPr>
      <w:r>
        <w:rPr>
          <w:rFonts w:hint="eastAsia" w:ascii="宋体" w:hAnsi="宋体"/>
          <w:szCs w:val="21"/>
        </w:rPr>
        <w:t>在项目实施过程中，经双方友好协商，本协议的有关条款也可做出相应的修改。</w:t>
      </w:r>
    </w:p>
    <w:p w14:paraId="4E440154">
      <w:pPr>
        <w:spacing w:line="276" w:lineRule="auto"/>
        <w:ind w:firstLine="420" w:firstLineChars="200"/>
        <w:jc w:val="left"/>
        <w:rPr>
          <w:rFonts w:ascii="宋体" w:hAnsi="宋体"/>
          <w:szCs w:val="21"/>
        </w:rPr>
      </w:pPr>
      <w:r>
        <w:rPr>
          <w:rFonts w:hint="eastAsia" w:ascii="宋体" w:hAnsi="宋体"/>
          <w:szCs w:val="21"/>
        </w:rPr>
        <w:t>本工程安全管理协议，由发包人、承包人双方在施工承包合同签订后7天内共同签署，作为施工合同附件。</w:t>
      </w:r>
    </w:p>
    <w:p w14:paraId="6C00C05F">
      <w:pPr>
        <w:spacing w:line="360" w:lineRule="auto"/>
        <w:ind w:firstLine="420" w:firstLineChars="200"/>
        <w:jc w:val="left"/>
        <w:rPr>
          <w:rFonts w:ascii="宋体" w:hAnsi="宋体"/>
          <w:szCs w:val="21"/>
        </w:rPr>
      </w:pPr>
      <w:r>
        <w:rPr>
          <w:rFonts w:hint="eastAsia" w:ascii="宋体" w:hAnsi="宋体"/>
          <w:szCs w:val="21"/>
        </w:rPr>
        <w:t>发  包  人（单位公章）：</w:t>
      </w:r>
      <w:r>
        <w:rPr>
          <w:rFonts w:hint="eastAsia" w:ascii="宋体" w:hAnsi="宋体" w:cs="宋体"/>
          <w:szCs w:val="21"/>
          <w:u w:val="single"/>
        </w:rPr>
        <w:t xml:space="preserve">                   </w:t>
      </w:r>
    </w:p>
    <w:p w14:paraId="3A57C4EB">
      <w:pPr>
        <w:spacing w:line="360" w:lineRule="auto"/>
        <w:ind w:firstLine="420" w:firstLineChars="200"/>
        <w:jc w:val="left"/>
        <w:rPr>
          <w:rFonts w:ascii="宋体" w:hAnsi="宋体"/>
          <w:szCs w:val="21"/>
        </w:rPr>
      </w:pPr>
      <w:r>
        <w:rPr>
          <w:rFonts w:hint="eastAsia" w:ascii="宋体" w:hAnsi="宋体"/>
          <w:szCs w:val="21"/>
        </w:rPr>
        <w:t>法定代表人（签名）：</w:t>
      </w:r>
      <w:r>
        <w:rPr>
          <w:rFonts w:hint="eastAsia" w:ascii="宋体" w:hAnsi="宋体" w:cs="宋体"/>
          <w:szCs w:val="21"/>
          <w:u w:val="single"/>
        </w:rPr>
        <w:t xml:space="preserve">                       </w:t>
      </w:r>
      <w:r>
        <w:rPr>
          <w:rFonts w:hint="eastAsia" w:ascii="宋体" w:hAnsi="宋体"/>
          <w:szCs w:val="21"/>
        </w:rPr>
        <w:t xml:space="preserve">  </w:t>
      </w:r>
    </w:p>
    <w:p w14:paraId="7B1432F3">
      <w:pPr>
        <w:spacing w:line="360" w:lineRule="auto"/>
        <w:ind w:firstLine="420" w:firstLineChars="200"/>
        <w:jc w:val="left"/>
        <w:rPr>
          <w:rFonts w:ascii="宋体" w:hAnsi="宋体"/>
          <w:szCs w:val="21"/>
        </w:rPr>
      </w:pPr>
      <w:r>
        <w:rPr>
          <w:rFonts w:hint="eastAsia" w:ascii="宋体" w:hAnsi="宋体"/>
          <w:szCs w:val="21"/>
        </w:rPr>
        <w:t>或其委托代理人（签名）：</w:t>
      </w:r>
      <w:r>
        <w:rPr>
          <w:rFonts w:hint="eastAsia" w:ascii="宋体" w:hAnsi="宋体" w:cs="宋体"/>
          <w:szCs w:val="21"/>
          <w:u w:val="single"/>
        </w:rPr>
        <w:t xml:space="preserve">                   </w:t>
      </w:r>
      <w:r>
        <w:rPr>
          <w:rFonts w:hint="eastAsia" w:ascii="宋体" w:hAnsi="宋体"/>
          <w:szCs w:val="21"/>
        </w:rPr>
        <w:t xml:space="preserve">  </w:t>
      </w:r>
    </w:p>
    <w:p w14:paraId="7AA945DC">
      <w:pPr>
        <w:spacing w:line="360" w:lineRule="auto"/>
        <w:ind w:firstLine="420" w:firstLineChars="200"/>
        <w:jc w:val="left"/>
        <w:rPr>
          <w:rFonts w:ascii="宋体" w:hAnsi="宋体"/>
          <w:szCs w:val="21"/>
        </w:rPr>
      </w:pPr>
    </w:p>
    <w:p w14:paraId="5F9BF22B">
      <w:pPr>
        <w:spacing w:line="360" w:lineRule="auto"/>
        <w:ind w:firstLine="420" w:firstLineChars="200"/>
        <w:jc w:val="left"/>
        <w:rPr>
          <w:rFonts w:ascii="宋体" w:hAnsi="宋体"/>
          <w:kern w:val="0"/>
          <w:szCs w:val="21"/>
        </w:rPr>
      </w:pPr>
      <w:r>
        <w:rPr>
          <w:rFonts w:hint="eastAsia" w:ascii="宋体" w:hAnsi="宋体"/>
          <w:szCs w:val="21"/>
        </w:rPr>
        <w:t>承  包  人（单位公章）：</w:t>
      </w:r>
      <w:r>
        <w:rPr>
          <w:rFonts w:hint="eastAsia" w:ascii="宋体" w:hAnsi="宋体" w:cs="宋体"/>
          <w:szCs w:val="21"/>
          <w:u w:val="single"/>
        </w:rPr>
        <w:t xml:space="preserve">                   </w:t>
      </w:r>
    </w:p>
    <w:p w14:paraId="24E005AF">
      <w:pPr>
        <w:spacing w:line="360" w:lineRule="auto"/>
        <w:ind w:firstLine="420" w:firstLineChars="200"/>
        <w:jc w:val="left"/>
        <w:rPr>
          <w:rFonts w:ascii="宋体" w:hAnsi="宋体"/>
          <w:szCs w:val="21"/>
        </w:rPr>
      </w:pPr>
      <w:r>
        <w:rPr>
          <w:rFonts w:hint="eastAsia" w:ascii="宋体" w:hAnsi="宋体"/>
          <w:szCs w:val="21"/>
        </w:rPr>
        <w:t>法定代表人（签名）：</w:t>
      </w:r>
      <w:r>
        <w:rPr>
          <w:rFonts w:hint="eastAsia" w:ascii="宋体" w:hAnsi="宋体" w:cs="宋体"/>
          <w:szCs w:val="21"/>
          <w:u w:val="single"/>
        </w:rPr>
        <w:t xml:space="preserve">                       </w:t>
      </w:r>
    </w:p>
    <w:p w14:paraId="4EBD6EC6">
      <w:pPr>
        <w:spacing w:line="360" w:lineRule="auto"/>
        <w:ind w:firstLine="420" w:firstLineChars="200"/>
        <w:jc w:val="left"/>
        <w:rPr>
          <w:rFonts w:ascii="宋体" w:hAnsi="宋体"/>
          <w:kern w:val="0"/>
          <w:szCs w:val="21"/>
        </w:rPr>
      </w:pPr>
      <w:r>
        <w:rPr>
          <w:rFonts w:hint="eastAsia" w:ascii="宋体" w:hAnsi="宋体"/>
          <w:szCs w:val="21"/>
        </w:rPr>
        <w:t>或其委托代理人（签名）：</w:t>
      </w:r>
      <w:r>
        <w:rPr>
          <w:rFonts w:hint="eastAsia" w:ascii="宋体" w:hAnsi="宋体" w:cs="宋体"/>
          <w:szCs w:val="21"/>
          <w:u w:val="single"/>
        </w:rPr>
        <w:t xml:space="preserve">                   </w:t>
      </w:r>
    </w:p>
    <w:p w14:paraId="19146858">
      <w:pPr>
        <w:snapToGrid w:val="0"/>
        <w:spacing w:line="360" w:lineRule="auto"/>
        <w:jc w:val="left"/>
        <w:rPr>
          <w:rFonts w:ascii="宋体" w:hAnsi="宋体"/>
          <w:kern w:val="0"/>
          <w:szCs w:val="21"/>
        </w:rPr>
      </w:pPr>
      <w:r>
        <w:rPr>
          <w:rFonts w:hint="eastAsia" w:ascii="宋体" w:hAnsi="宋体"/>
          <w:szCs w:val="21"/>
        </w:rPr>
        <w:br w:type="page"/>
      </w:r>
    </w:p>
    <w:p w14:paraId="584A2667">
      <w:pPr>
        <w:spacing w:line="480" w:lineRule="auto"/>
        <w:rPr>
          <w:rFonts w:ascii="宋体" w:hAnsi="宋体"/>
          <w:szCs w:val="21"/>
        </w:rPr>
      </w:pPr>
      <w:r>
        <w:rPr>
          <w:rFonts w:hint="eastAsia" w:ascii="宋体" w:hAnsi="宋体"/>
          <w:szCs w:val="21"/>
        </w:rPr>
        <w:t>附件</w:t>
      </w:r>
      <w:r>
        <w:rPr>
          <w:rFonts w:ascii="宋体" w:hAnsi="宋体"/>
          <w:szCs w:val="21"/>
        </w:rPr>
        <w:t>10</w:t>
      </w:r>
      <w:r>
        <w:rPr>
          <w:rFonts w:hint="eastAsia" w:ascii="宋体" w:hAnsi="宋体"/>
          <w:szCs w:val="21"/>
        </w:rPr>
        <w:t>：</w:t>
      </w:r>
    </w:p>
    <w:p w14:paraId="25C1DAD2">
      <w:pPr>
        <w:spacing w:before="156" w:beforeLines="50" w:after="156" w:afterLines="50" w:line="480" w:lineRule="auto"/>
        <w:jc w:val="center"/>
        <w:rPr>
          <w:rFonts w:ascii="宋体" w:hAnsi="宋体"/>
          <w:szCs w:val="21"/>
        </w:rPr>
      </w:pPr>
      <w:r>
        <w:rPr>
          <w:rFonts w:hint="eastAsia" w:ascii="宋体" w:hAnsi="宋体"/>
          <w:szCs w:val="21"/>
        </w:rPr>
        <w:t>保障农民工工资支付协议</w:t>
      </w:r>
    </w:p>
    <w:p w14:paraId="76E0C03E">
      <w:pPr>
        <w:snapToGrid w:val="0"/>
        <w:spacing w:line="480" w:lineRule="auto"/>
        <w:rPr>
          <w:rFonts w:ascii="宋体" w:hAnsi="宋体"/>
          <w:szCs w:val="21"/>
        </w:rPr>
      </w:pPr>
      <w:r>
        <w:rPr>
          <w:rFonts w:hint="eastAsia" w:ascii="宋体" w:hAnsi="宋体"/>
          <w:szCs w:val="21"/>
        </w:rPr>
        <w:t xml:space="preserve"> 发包人：</w:t>
      </w:r>
      <w:r>
        <w:rPr>
          <w:rFonts w:hint="eastAsia" w:ascii="宋体" w:hAnsi="宋体" w:cs="宋体"/>
          <w:szCs w:val="21"/>
          <w:u w:val="single"/>
        </w:rPr>
        <w:t xml:space="preserve">                                 </w:t>
      </w:r>
      <w:r>
        <w:rPr>
          <w:rFonts w:hint="eastAsia" w:ascii="宋体" w:hAnsi="宋体"/>
          <w:szCs w:val="21"/>
        </w:rPr>
        <w:t>（发包人）</w:t>
      </w:r>
    </w:p>
    <w:p w14:paraId="27DFD5D2">
      <w:pPr>
        <w:snapToGrid w:val="0"/>
        <w:spacing w:line="360" w:lineRule="auto"/>
        <w:rPr>
          <w:rFonts w:ascii="宋体" w:hAnsi="宋体"/>
          <w:szCs w:val="21"/>
        </w:rPr>
      </w:pPr>
      <w:r>
        <w:rPr>
          <w:rFonts w:hint="eastAsia" w:ascii="宋体" w:hAnsi="宋体"/>
          <w:szCs w:val="21"/>
        </w:rPr>
        <w:t xml:space="preserve"> 承包人：</w:t>
      </w:r>
      <w:r>
        <w:rPr>
          <w:rFonts w:hint="eastAsia" w:ascii="宋体" w:hAnsi="宋体" w:cs="宋体"/>
          <w:szCs w:val="21"/>
          <w:u w:val="single"/>
        </w:rPr>
        <w:t xml:space="preserve">                                 </w:t>
      </w:r>
      <w:r>
        <w:rPr>
          <w:rFonts w:hint="eastAsia" w:ascii="宋体" w:hAnsi="宋体"/>
          <w:szCs w:val="21"/>
        </w:rPr>
        <w:t>（承包人）</w:t>
      </w:r>
    </w:p>
    <w:p w14:paraId="7A9FF3D3">
      <w:pPr>
        <w:spacing w:line="360" w:lineRule="auto"/>
        <w:ind w:firstLine="420" w:firstLineChars="200"/>
        <w:rPr>
          <w:rFonts w:ascii="宋体" w:hAnsi="宋体"/>
          <w:szCs w:val="21"/>
        </w:rPr>
      </w:pPr>
      <w:r>
        <w:rPr>
          <w:rFonts w:hint="eastAsia" w:ascii="宋体" w:hAnsi="宋体"/>
          <w:szCs w:val="21"/>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14:paraId="2D29DED8">
      <w:pPr>
        <w:spacing w:line="360" w:lineRule="auto"/>
        <w:ind w:firstLine="420" w:firstLineChars="200"/>
        <w:rPr>
          <w:rFonts w:ascii="宋体" w:hAnsi="宋体"/>
          <w:szCs w:val="21"/>
        </w:rPr>
      </w:pPr>
      <w:r>
        <w:rPr>
          <w:rFonts w:hint="eastAsia" w:ascii="宋体" w:hAnsi="宋体"/>
          <w:szCs w:val="21"/>
        </w:rPr>
        <w:t>一、承包人申报工程进度款时，应对上月已支付工程款用于农民工工资发放的情况进行说明，并附农民工代表按时足额收取了工资的签名确认书。监理单位应对相关情况说明和签名确认书（详附件）进行审查签名后，与工程进度款申报资料一并提交给发包人。发包人审核合格后，才进行当期工程进度款的支付。</w:t>
      </w:r>
    </w:p>
    <w:p w14:paraId="3BEBB98D">
      <w:pPr>
        <w:spacing w:line="360" w:lineRule="auto"/>
        <w:ind w:firstLine="420" w:firstLineChars="200"/>
        <w:rPr>
          <w:rFonts w:ascii="宋体" w:hAnsi="宋体"/>
          <w:szCs w:val="21"/>
        </w:rPr>
      </w:pPr>
      <w:r>
        <w:rPr>
          <w:rFonts w:hint="eastAsia" w:ascii="宋体" w:hAnsi="宋体"/>
          <w:szCs w:val="21"/>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14:paraId="3CE5795C">
      <w:pPr>
        <w:spacing w:line="360" w:lineRule="auto"/>
        <w:ind w:firstLine="420" w:firstLineChars="200"/>
        <w:rPr>
          <w:rFonts w:ascii="宋体" w:hAnsi="宋体"/>
          <w:szCs w:val="21"/>
        </w:rPr>
      </w:pPr>
      <w:r>
        <w:rPr>
          <w:rFonts w:hint="eastAsia" w:ascii="宋体" w:hAnsi="宋体"/>
          <w:szCs w:val="21"/>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14:paraId="27EF1D81">
      <w:pPr>
        <w:spacing w:line="360" w:lineRule="auto"/>
        <w:ind w:firstLine="420" w:firstLineChars="200"/>
        <w:rPr>
          <w:rFonts w:ascii="宋体" w:hAnsi="宋体"/>
          <w:szCs w:val="21"/>
        </w:rPr>
      </w:pPr>
      <w:r>
        <w:rPr>
          <w:rFonts w:hint="eastAsia" w:ascii="宋体" w:hAnsi="宋体"/>
          <w:szCs w:val="21"/>
        </w:rPr>
        <w:t>四、若发现承包人有下列事项的，发包人在支付当期进度款时暂扣当期应支付进度款5%比例的款项。</w:t>
      </w:r>
    </w:p>
    <w:p w14:paraId="16201492">
      <w:pPr>
        <w:spacing w:line="360" w:lineRule="auto"/>
        <w:ind w:firstLine="420" w:firstLineChars="200"/>
        <w:rPr>
          <w:rFonts w:ascii="宋体" w:hAnsi="宋体"/>
          <w:szCs w:val="21"/>
        </w:rPr>
      </w:pPr>
      <w:r>
        <w:rPr>
          <w:rFonts w:hint="eastAsia" w:ascii="宋体" w:hAnsi="宋体"/>
          <w:szCs w:val="21"/>
        </w:rPr>
        <w:t xml:space="preserve">    （一）现场检查发现项目存在拖欠农民工工资情况并经核查属实的；</w:t>
      </w:r>
    </w:p>
    <w:p w14:paraId="064D8BDC">
      <w:pPr>
        <w:spacing w:line="360" w:lineRule="auto"/>
        <w:ind w:firstLine="420" w:firstLineChars="200"/>
        <w:rPr>
          <w:rFonts w:ascii="宋体" w:hAnsi="宋体"/>
          <w:szCs w:val="21"/>
        </w:rPr>
      </w:pPr>
      <w:r>
        <w:rPr>
          <w:rFonts w:hint="eastAsia" w:ascii="宋体" w:hAnsi="宋体"/>
          <w:szCs w:val="21"/>
        </w:rPr>
        <w:t>（二）相关行政管理部门检查发现存在拖欠农民工工资情况并经核查属实的；</w:t>
      </w:r>
    </w:p>
    <w:p w14:paraId="48B213F5">
      <w:pPr>
        <w:spacing w:line="360" w:lineRule="auto"/>
        <w:ind w:firstLine="420" w:firstLineChars="200"/>
        <w:rPr>
          <w:rFonts w:ascii="宋体" w:hAnsi="宋体"/>
          <w:szCs w:val="21"/>
        </w:rPr>
      </w:pPr>
      <w:r>
        <w:rPr>
          <w:rFonts w:hint="eastAsia" w:ascii="宋体" w:hAnsi="宋体"/>
          <w:szCs w:val="21"/>
        </w:rPr>
        <w:t xml:space="preserve">    （三）有拖欠农民工工资投诉事项并经核查属实的。</w:t>
      </w:r>
    </w:p>
    <w:p w14:paraId="1A44B2DC">
      <w:pPr>
        <w:spacing w:line="360" w:lineRule="auto"/>
        <w:ind w:firstLine="420" w:firstLineChars="200"/>
        <w:rPr>
          <w:rFonts w:ascii="宋体" w:hAnsi="宋体"/>
          <w:szCs w:val="21"/>
        </w:rPr>
      </w:pPr>
      <w:r>
        <w:rPr>
          <w:rFonts w:hint="eastAsia" w:ascii="宋体" w:hAnsi="宋体"/>
          <w:szCs w:val="21"/>
        </w:rP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14:paraId="623BEB5B">
      <w:pPr>
        <w:tabs>
          <w:tab w:val="left" w:pos="1080"/>
          <w:tab w:val="left" w:pos="1260"/>
          <w:tab w:val="left" w:pos="1440"/>
        </w:tabs>
        <w:spacing w:line="360" w:lineRule="auto"/>
        <w:ind w:firstLine="420" w:firstLineChars="200"/>
        <w:rPr>
          <w:rFonts w:ascii="宋体" w:hAnsi="宋体"/>
          <w:snapToGrid w:val="0"/>
          <w:spacing w:val="-4"/>
          <w:kern w:val="0"/>
          <w:szCs w:val="21"/>
        </w:rPr>
      </w:pPr>
      <w:r>
        <w:rPr>
          <w:rFonts w:hint="eastAsia" w:ascii="宋体" w:hAnsi="宋体"/>
          <w:szCs w:val="21"/>
        </w:rPr>
        <w:t>六、本协议经双方法定代表人或委托代理人签名并加盖单位公章后生效，履行完毕后自然失效。</w:t>
      </w:r>
    </w:p>
    <w:p w14:paraId="68F2CE9C">
      <w:pPr>
        <w:spacing w:line="360" w:lineRule="auto"/>
        <w:ind w:firstLine="420" w:firstLineChars="200"/>
        <w:rPr>
          <w:rFonts w:ascii="宋体" w:hAnsi="宋体"/>
          <w:szCs w:val="21"/>
        </w:rPr>
      </w:pPr>
      <w:r>
        <w:rPr>
          <w:rFonts w:hint="eastAsia" w:ascii="宋体" w:hAnsi="宋体"/>
          <w:szCs w:val="21"/>
        </w:rPr>
        <w:t>附件：</w:t>
      </w:r>
    </w:p>
    <w:p w14:paraId="1BFE568A">
      <w:pPr>
        <w:spacing w:line="360" w:lineRule="auto"/>
        <w:ind w:firstLine="420" w:firstLineChars="200"/>
        <w:rPr>
          <w:rFonts w:ascii="宋体" w:hAnsi="宋体"/>
          <w:szCs w:val="21"/>
        </w:rPr>
      </w:pPr>
      <w:r>
        <w:rPr>
          <w:rFonts w:hint="eastAsia" w:ascii="宋体" w:hAnsi="宋体"/>
          <w:szCs w:val="21"/>
        </w:rPr>
        <w:t>1、关于农民工工资发放情况的说明表</w:t>
      </w:r>
    </w:p>
    <w:p w14:paraId="5E5A256B">
      <w:pPr>
        <w:pStyle w:val="2"/>
        <w:spacing w:line="360" w:lineRule="auto"/>
        <w:ind w:firstLine="420" w:firstLineChars="200"/>
        <w:rPr>
          <w:rFonts w:ascii="宋体" w:hAnsi="宋体"/>
          <w:szCs w:val="21"/>
        </w:rPr>
      </w:pPr>
    </w:p>
    <w:p w14:paraId="4948F730">
      <w:pPr>
        <w:pStyle w:val="2"/>
        <w:spacing w:line="360" w:lineRule="auto"/>
        <w:ind w:firstLine="420" w:firstLineChars="200"/>
        <w:rPr>
          <w:rFonts w:ascii="宋体" w:hAnsi="宋体"/>
          <w:szCs w:val="21"/>
        </w:rPr>
      </w:pPr>
    </w:p>
    <w:p w14:paraId="1A572A9E">
      <w:pPr>
        <w:pStyle w:val="2"/>
        <w:spacing w:line="360" w:lineRule="auto"/>
        <w:ind w:firstLine="420" w:firstLineChars="200"/>
        <w:rPr>
          <w:rFonts w:ascii="宋体" w:hAnsi="宋体"/>
          <w:szCs w:val="21"/>
        </w:rPr>
      </w:pPr>
    </w:p>
    <w:p w14:paraId="784815AA">
      <w:pPr>
        <w:spacing w:line="360" w:lineRule="auto"/>
        <w:ind w:firstLine="420" w:firstLineChars="200"/>
        <w:rPr>
          <w:rFonts w:ascii="宋体" w:hAnsi="宋体"/>
          <w:szCs w:val="21"/>
        </w:rPr>
      </w:pPr>
      <w:r>
        <w:rPr>
          <w:rFonts w:hint="eastAsia" w:ascii="宋体" w:hAnsi="宋体"/>
          <w:szCs w:val="21"/>
        </w:rPr>
        <w:t>（以下无正文）</w:t>
      </w:r>
    </w:p>
    <w:p w14:paraId="6821BA76">
      <w:pPr>
        <w:spacing w:line="360" w:lineRule="auto"/>
        <w:ind w:firstLine="420" w:firstLineChars="200"/>
        <w:rPr>
          <w:rFonts w:ascii="宋体" w:hAnsi="宋体"/>
          <w:szCs w:val="21"/>
        </w:rPr>
      </w:pPr>
    </w:p>
    <w:p w14:paraId="5CE363B6">
      <w:pPr>
        <w:spacing w:line="360" w:lineRule="auto"/>
        <w:ind w:firstLine="420" w:firstLineChars="200"/>
        <w:rPr>
          <w:rFonts w:ascii="宋体" w:hAnsi="宋体"/>
          <w:szCs w:val="21"/>
        </w:rPr>
      </w:pPr>
    </w:p>
    <w:p w14:paraId="3A6D9726">
      <w:pPr>
        <w:pStyle w:val="2"/>
        <w:spacing w:line="360" w:lineRule="auto"/>
        <w:rPr>
          <w:rFonts w:ascii="宋体" w:hAnsi="宋体"/>
          <w:szCs w:val="21"/>
        </w:rPr>
      </w:pPr>
    </w:p>
    <w:p w14:paraId="628E9D7D">
      <w:pPr>
        <w:spacing w:line="360" w:lineRule="auto"/>
        <w:rPr>
          <w:rFonts w:ascii="宋体" w:hAnsi="宋体"/>
          <w:szCs w:val="21"/>
        </w:rPr>
      </w:pPr>
      <w:r>
        <w:rPr>
          <w:rFonts w:hint="eastAsia" w:ascii="宋体" w:hAnsi="宋体"/>
          <w:szCs w:val="21"/>
        </w:rPr>
        <w:t>发包人：</w:t>
      </w:r>
      <w:r>
        <w:rPr>
          <w:rFonts w:hint="eastAsia" w:ascii="宋体" w:hAnsi="宋体" w:cs="宋体"/>
          <w:szCs w:val="21"/>
          <w:u w:val="single"/>
        </w:rPr>
        <w:t xml:space="preserve">       </w:t>
      </w:r>
      <w:r>
        <w:rPr>
          <w:rFonts w:hint="eastAsia" w:ascii="宋体" w:hAnsi="宋体"/>
          <w:szCs w:val="21"/>
        </w:rPr>
        <w:t>（发包人）</w:t>
      </w:r>
    </w:p>
    <w:p w14:paraId="0EAFB73B">
      <w:pPr>
        <w:spacing w:line="360" w:lineRule="auto"/>
        <w:rPr>
          <w:rFonts w:ascii="宋体" w:hAnsi="宋体"/>
          <w:szCs w:val="21"/>
        </w:rPr>
      </w:pPr>
      <w:r>
        <w:rPr>
          <w:rFonts w:hint="eastAsia" w:ascii="宋体" w:hAnsi="宋体"/>
          <w:szCs w:val="21"/>
        </w:rPr>
        <w:t>法定代表人：</w:t>
      </w:r>
      <w:r>
        <w:rPr>
          <w:rFonts w:hint="eastAsia" w:ascii="宋体" w:hAnsi="宋体" w:cs="宋体"/>
          <w:szCs w:val="21"/>
          <w:u w:val="single"/>
        </w:rPr>
        <w:t xml:space="preserve">       </w:t>
      </w:r>
    </w:p>
    <w:p w14:paraId="3F07F4E9">
      <w:pPr>
        <w:spacing w:line="360" w:lineRule="auto"/>
        <w:rPr>
          <w:rFonts w:ascii="宋体" w:hAnsi="宋体"/>
          <w:szCs w:val="21"/>
        </w:rPr>
      </w:pPr>
      <w:r>
        <w:rPr>
          <w:rFonts w:hint="eastAsia" w:ascii="宋体" w:hAnsi="宋体"/>
          <w:szCs w:val="21"/>
        </w:rPr>
        <w:t>或委托代理人：</w:t>
      </w:r>
      <w:r>
        <w:rPr>
          <w:rFonts w:hint="eastAsia" w:ascii="宋体" w:hAnsi="宋体" w:cs="宋体"/>
          <w:szCs w:val="21"/>
          <w:u w:val="single"/>
        </w:rPr>
        <w:t xml:space="preserve">       </w:t>
      </w:r>
    </w:p>
    <w:p w14:paraId="09CDD402">
      <w:pPr>
        <w:spacing w:line="360" w:lineRule="auto"/>
        <w:rPr>
          <w:rFonts w:ascii="宋体" w:hAnsi="宋体"/>
          <w:szCs w:val="21"/>
        </w:rPr>
      </w:pPr>
      <w:r>
        <w:rPr>
          <w:rFonts w:hint="eastAsia" w:ascii="宋体" w:hAnsi="宋体"/>
          <w:szCs w:val="21"/>
        </w:rPr>
        <w:t>联系人：</w:t>
      </w:r>
      <w:r>
        <w:rPr>
          <w:rFonts w:hint="eastAsia" w:ascii="宋体" w:hAnsi="宋体" w:cs="宋体"/>
          <w:szCs w:val="21"/>
          <w:u w:val="single"/>
        </w:rPr>
        <w:t xml:space="preserve">       </w:t>
      </w:r>
    </w:p>
    <w:p w14:paraId="0FB55626">
      <w:pPr>
        <w:spacing w:line="360" w:lineRule="auto"/>
        <w:rPr>
          <w:rFonts w:ascii="宋体" w:hAnsi="宋体"/>
          <w:szCs w:val="21"/>
        </w:rPr>
      </w:pPr>
    </w:p>
    <w:p w14:paraId="53F84AE5">
      <w:pPr>
        <w:spacing w:line="360" w:lineRule="auto"/>
        <w:rPr>
          <w:rFonts w:ascii="宋体" w:hAnsi="宋体"/>
          <w:szCs w:val="21"/>
        </w:rPr>
      </w:pPr>
    </w:p>
    <w:p w14:paraId="5AAA0F26">
      <w:pPr>
        <w:spacing w:line="360" w:lineRule="auto"/>
        <w:rPr>
          <w:rFonts w:ascii="宋体" w:hAnsi="宋体"/>
          <w:szCs w:val="21"/>
        </w:rPr>
      </w:pPr>
    </w:p>
    <w:p w14:paraId="0B47A86B">
      <w:pPr>
        <w:spacing w:line="360" w:lineRule="auto"/>
        <w:rPr>
          <w:rFonts w:ascii="宋体" w:hAnsi="宋体"/>
          <w:szCs w:val="21"/>
        </w:rPr>
      </w:pPr>
      <w:r>
        <w:rPr>
          <w:rFonts w:hint="eastAsia" w:ascii="宋体" w:hAnsi="宋体"/>
          <w:szCs w:val="21"/>
        </w:rPr>
        <w:t>承包人：</w:t>
      </w:r>
      <w:r>
        <w:rPr>
          <w:rFonts w:hint="eastAsia" w:ascii="宋体" w:hAnsi="宋体" w:cs="宋体"/>
          <w:szCs w:val="21"/>
          <w:u w:val="single"/>
        </w:rPr>
        <w:t xml:space="preserve">       </w:t>
      </w:r>
      <w:r>
        <w:rPr>
          <w:rFonts w:hint="eastAsia" w:ascii="宋体" w:hAnsi="宋体"/>
          <w:szCs w:val="21"/>
        </w:rPr>
        <w:t>（承包人）</w:t>
      </w:r>
    </w:p>
    <w:p w14:paraId="4B8F705E">
      <w:pPr>
        <w:spacing w:line="360" w:lineRule="auto"/>
        <w:rPr>
          <w:rFonts w:ascii="宋体" w:hAnsi="宋体"/>
          <w:szCs w:val="21"/>
        </w:rPr>
      </w:pPr>
      <w:r>
        <w:rPr>
          <w:rFonts w:hint="eastAsia" w:ascii="宋体" w:hAnsi="宋体"/>
          <w:szCs w:val="21"/>
        </w:rPr>
        <w:t>法定代表人：</w:t>
      </w:r>
      <w:r>
        <w:rPr>
          <w:rFonts w:hint="eastAsia" w:ascii="宋体" w:hAnsi="宋体" w:cs="宋体"/>
          <w:szCs w:val="21"/>
          <w:u w:val="single"/>
        </w:rPr>
        <w:t xml:space="preserve">       </w:t>
      </w:r>
    </w:p>
    <w:p w14:paraId="0FC5A5B5">
      <w:pPr>
        <w:spacing w:line="360" w:lineRule="auto"/>
        <w:rPr>
          <w:rFonts w:ascii="宋体" w:hAnsi="宋体"/>
          <w:szCs w:val="21"/>
        </w:rPr>
      </w:pPr>
      <w:r>
        <w:rPr>
          <w:rFonts w:hint="eastAsia" w:ascii="宋体" w:hAnsi="宋体"/>
          <w:szCs w:val="21"/>
        </w:rPr>
        <w:t>或委托代理人：</w:t>
      </w:r>
      <w:r>
        <w:rPr>
          <w:rFonts w:hint="eastAsia" w:ascii="宋体" w:hAnsi="宋体" w:cs="宋体"/>
          <w:szCs w:val="21"/>
          <w:u w:val="single"/>
        </w:rPr>
        <w:t xml:space="preserve">       </w:t>
      </w:r>
    </w:p>
    <w:p w14:paraId="5A240340">
      <w:pPr>
        <w:spacing w:line="360" w:lineRule="auto"/>
        <w:rPr>
          <w:rFonts w:ascii="宋体" w:hAnsi="宋体"/>
          <w:szCs w:val="21"/>
        </w:rPr>
      </w:pPr>
      <w:r>
        <w:rPr>
          <w:rFonts w:hint="eastAsia" w:ascii="宋体" w:hAnsi="宋体"/>
          <w:szCs w:val="21"/>
        </w:rPr>
        <w:t>联系人：</w:t>
      </w:r>
      <w:r>
        <w:rPr>
          <w:rFonts w:hint="eastAsia" w:ascii="宋体" w:hAnsi="宋体" w:cs="宋体"/>
          <w:szCs w:val="21"/>
          <w:u w:val="single"/>
        </w:rPr>
        <w:t xml:space="preserve">       </w:t>
      </w:r>
    </w:p>
    <w:p w14:paraId="4CCD58A5">
      <w:pPr>
        <w:snapToGrid w:val="0"/>
        <w:spacing w:line="360" w:lineRule="auto"/>
        <w:ind w:firstLine="560"/>
        <w:rPr>
          <w:rFonts w:ascii="宋体" w:hAnsi="宋体"/>
          <w:szCs w:val="21"/>
        </w:rPr>
      </w:pPr>
    </w:p>
    <w:p w14:paraId="6232529F">
      <w:pPr>
        <w:spacing w:line="480" w:lineRule="auto"/>
        <w:rPr>
          <w:rFonts w:ascii="宋体" w:hAnsi="宋体"/>
          <w:szCs w:val="21"/>
        </w:rPr>
      </w:pPr>
      <w:r>
        <w:rPr>
          <w:rFonts w:hint="eastAsia" w:ascii="宋体" w:hAnsi="宋体"/>
          <w:szCs w:val="21"/>
        </w:rPr>
        <w:br w:type="page"/>
      </w:r>
      <w:r>
        <w:rPr>
          <w:rFonts w:hint="eastAsia" w:ascii="宋体" w:hAnsi="宋体"/>
          <w:szCs w:val="21"/>
        </w:rPr>
        <w:t>保障农民工工资支付协议附件1：</w:t>
      </w:r>
    </w:p>
    <w:p w14:paraId="319EBFB3">
      <w:pPr>
        <w:widowControl/>
        <w:snapToGrid w:val="0"/>
        <w:spacing w:after="100" w:afterAutospacing="1" w:line="480" w:lineRule="auto"/>
        <w:jc w:val="center"/>
        <w:rPr>
          <w:rFonts w:ascii="宋体" w:hAnsi="宋体"/>
          <w:szCs w:val="21"/>
        </w:rPr>
      </w:pPr>
      <w:r>
        <w:rPr>
          <w:rFonts w:hint="eastAsia" w:ascii="宋体" w:hAnsi="宋体"/>
          <w:szCs w:val="21"/>
        </w:rPr>
        <w:t>关于农民工工资发放情况的说明表</w:t>
      </w:r>
    </w:p>
    <w:tbl>
      <w:tblPr>
        <w:tblStyle w:val="45"/>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201"/>
      </w:tblGrid>
      <w:tr w14:paraId="7094B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tcPr>
          <w:p w14:paraId="57C3DEE1">
            <w:pPr>
              <w:widowControl/>
              <w:snapToGrid w:val="0"/>
              <w:spacing w:after="100" w:afterAutospacing="1" w:line="400" w:lineRule="exact"/>
              <w:jc w:val="left"/>
              <w:rPr>
                <w:rFonts w:ascii="宋体" w:hAnsi="宋体"/>
                <w:kern w:val="0"/>
                <w:szCs w:val="21"/>
              </w:rPr>
            </w:pPr>
            <w:r>
              <w:rPr>
                <w:rFonts w:hint="eastAsia" w:ascii="宋体" w:hAnsi="宋体"/>
                <w:kern w:val="0"/>
                <w:szCs w:val="21"/>
              </w:rPr>
              <w:t>工程名称：</w:t>
            </w:r>
          </w:p>
        </w:tc>
      </w:tr>
      <w:tr w14:paraId="0AAB1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36" w:type="dxa"/>
          </w:tcPr>
          <w:p w14:paraId="12A7F1CE">
            <w:pPr>
              <w:widowControl/>
              <w:snapToGrid w:val="0"/>
              <w:spacing w:after="100" w:afterAutospacing="1" w:line="400" w:lineRule="exact"/>
              <w:rPr>
                <w:rFonts w:ascii="宋体" w:hAnsi="宋体"/>
                <w:kern w:val="0"/>
                <w:szCs w:val="21"/>
              </w:rPr>
            </w:pPr>
            <w:r>
              <w:rPr>
                <w:rFonts w:hint="eastAsia" w:ascii="宋体" w:hAnsi="宋体"/>
                <w:kern w:val="0"/>
                <w:szCs w:val="21"/>
              </w:rPr>
              <w:t>施工单位：</w:t>
            </w:r>
          </w:p>
        </w:tc>
        <w:tc>
          <w:tcPr>
            <w:tcW w:w="6201" w:type="dxa"/>
          </w:tcPr>
          <w:p w14:paraId="1ECD767A">
            <w:pPr>
              <w:widowControl/>
              <w:snapToGrid w:val="0"/>
              <w:spacing w:after="100" w:afterAutospacing="1" w:line="400" w:lineRule="exact"/>
              <w:rPr>
                <w:rFonts w:ascii="宋体" w:hAnsi="宋体"/>
                <w:kern w:val="0"/>
                <w:szCs w:val="21"/>
              </w:rPr>
            </w:pPr>
          </w:p>
        </w:tc>
      </w:tr>
      <w:tr w14:paraId="62D1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tcPr>
          <w:p w14:paraId="259AE689">
            <w:pPr>
              <w:widowControl/>
              <w:snapToGrid w:val="0"/>
              <w:spacing w:after="100" w:afterAutospacing="1" w:line="400" w:lineRule="exact"/>
              <w:rPr>
                <w:rFonts w:ascii="宋体" w:hAnsi="宋体"/>
                <w:kern w:val="0"/>
                <w:szCs w:val="21"/>
              </w:rPr>
            </w:pPr>
            <w:r>
              <w:rPr>
                <w:rFonts w:hint="eastAsia" w:ascii="宋体" w:hAnsi="宋体"/>
                <w:kern w:val="0"/>
                <w:szCs w:val="21"/>
              </w:rPr>
              <w:t>监理单位：</w:t>
            </w:r>
          </w:p>
        </w:tc>
        <w:tc>
          <w:tcPr>
            <w:tcW w:w="6201" w:type="dxa"/>
          </w:tcPr>
          <w:p w14:paraId="62D42C7B">
            <w:pPr>
              <w:widowControl/>
              <w:snapToGrid w:val="0"/>
              <w:spacing w:after="100" w:afterAutospacing="1" w:line="400" w:lineRule="exact"/>
              <w:rPr>
                <w:rFonts w:ascii="宋体" w:hAnsi="宋体"/>
                <w:kern w:val="0"/>
                <w:szCs w:val="21"/>
              </w:rPr>
            </w:pPr>
          </w:p>
        </w:tc>
      </w:tr>
      <w:tr w14:paraId="1137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tcPr>
          <w:p w14:paraId="01820DCB">
            <w:pPr>
              <w:widowControl/>
              <w:snapToGrid w:val="0"/>
              <w:spacing w:after="100" w:afterAutospacing="1" w:line="400" w:lineRule="exact"/>
              <w:rPr>
                <w:rFonts w:ascii="宋体" w:hAnsi="宋体"/>
                <w:kern w:val="0"/>
                <w:szCs w:val="21"/>
                <w:u w:val="single"/>
              </w:rPr>
            </w:pPr>
          </w:p>
          <w:p w14:paraId="047C679F">
            <w:pPr>
              <w:widowControl/>
              <w:snapToGrid w:val="0"/>
              <w:spacing w:after="100" w:afterAutospacing="1" w:line="400" w:lineRule="exact"/>
              <w:rPr>
                <w:rFonts w:ascii="宋体" w:hAnsi="宋体"/>
                <w:kern w:val="0"/>
                <w:szCs w:val="21"/>
              </w:rPr>
            </w:pPr>
            <w:r>
              <w:rPr>
                <w:rFonts w:hint="eastAsia" w:ascii="宋体" w:hAnsi="宋体"/>
                <w:kern w:val="0"/>
                <w:szCs w:val="21"/>
              </w:rPr>
              <w:t>（项目业主单位名称）：</w:t>
            </w:r>
          </w:p>
          <w:p w14:paraId="156786E6">
            <w:pPr>
              <w:widowControl/>
              <w:snapToGrid w:val="0"/>
              <w:spacing w:after="100" w:afterAutospacing="1" w:line="400" w:lineRule="exact"/>
              <w:rPr>
                <w:rFonts w:ascii="宋体" w:hAnsi="宋体"/>
                <w:kern w:val="0"/>
                <w:szCs w:val="21"/>
              </w:rPr>
            </w:pPr>
            <w:r>
              <w:rPr>
                <w:rFonts w:hint="eastAsia" w:ascii="宋体" w:hAnsi="宋体"/>
                <w:kern w:val="0"/>
                <w:szCs w:val="21"/>
              </w:rPr>
              <w:t xml:space="preserve">    我单位负责承建的（工程名称）无拖欠农民工资的情况，贵单位先期支付我单位的工程款已优先用于支付了农民工工资，农民工工资全部按时足额进行了发放，请贵单位予以审核。</w:t>
            </w:r>
          </w:p>
          <w:p w14:paraId="37B4C60E">
            <w:pPr>
              <w:pStyle w:val="2"/>
            </w:pPr>
          </w:p>
          <w:p w14:paraId="1733003E">
            <w:pPr>
              <w:widowControl/>
              <w:snapToGrid w:val="0"/>
              <w:spacing w:after="100" w:afterAutospacing="1" w:line="400" w:lineRule="exact"/>
              <w:ind w:firstLine="1260" w:firstLineChars="600"/>
              <w:rPr>
                <w:rFonts w:ascii="宋体" w:hAnsi="宋体"/>
                <w:kern w:val="0"/>
                <w:szCs w:val="21"/>
                <w:u w:val="single"/>
              </w:rPr>
            </w:pPr>
            <w:r>
              <w:rPr>
                <w:rFonts w:hint="eastAsia" w:ascii="宋体" w:hAnsi="宋体"/>
                <w:kern w:val="0"/>
                <w:szCs w:val="21"/>
              </w:rPr>
              <w:t>施工单位项目负责人签名（加盖项目章）：</w:t>
            </w:r>
            <w:r>
              <w:rPr>
                <w:rFonts w:hint="eastAsia" w:ascii="宋体" w:hAnsi="宋体"/>
                <w:kern w:val="0"/>
                <w:szCs w:val="21"/>
                <w:u w:val="single"/>
              </w:rPr>
              <w:t xml:space="preserve">        </w:t>
            </w:r>
          </w:p>
        </w:tc>
      </w:tr>
      <w:tr w14:paraId="325B6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236" w:type="dxa"/>
            <w:vAlign w:val="center"/>
          </w:tcPr>
          <w:p w14:paraId="24F6E502">
            <w:pPr>
              <w:widowControl/>
              <w:snapToGrid w:val="0"/>
              <w:spacing w:after="100" w:afterAutospacing="1" w:line="400" w:lineRule="exact"/>
              <w:jc w:val="center"/>
              <w:rPr>
                <w:rFonts w:ascii="宋体" w:hAnsi="宋体" w:cs="宋体"/>
                <w:kern w:val="0"/>
                <w:szCs w:val="21"/>
              </w:rPr>
            </w:pPr>
            <w:r>
              <w:rPr>
                <w:rFonts w:hint="eastAsia" w:ascii="宋体" w:hAnsi="宋体" w:cs="宋体"/>
                <w:kern w:val="0"/>
                <w:szCs w:val="21"/>
              </w:rPr>
              <w:t>监理单位意见：</w:t>
            </w:r>
          </w:p>
        </w:tc>
        <w:tc>
          <w:tcPr>
            <w:tcW w:w="6201" w:type="dxa"/>
          </w:tcPr>
          <w:p w14:paraId="10F73236">
            <w:pPr>
              <w:widowControl/>
              <w:snapToGrid w:val="0"/>
              <w:spacing w:after="100" w:afterAutospacing="1" w:line="400" w:lineRule="exact"/>
              <w:rPr>
                <w:rFonts w:ascii="宋体" w:hAnsi="宋体"/>
                <w:kern w:val="0"/>
                <w:szCs w:val="21"/>
                <w:u w:val="single"/>
              </w:rPr>
            </w:pPr>
          </w:p>
          <w:p w14:paraId="244F07CF">
            <w:pPr>
              <w:widowControl/>
              <w:snapToGrid w:val="0"/>
              <w:spacing w:after="100" w:afterAutospacing="1" w:line="400" w:lineRule="exact"/>
              <w:rPr>
                <w:rFonts w:ascii="宋体" w:hAnsi="宋体"/>
                <w:kern w:val="0"/>
                <w:szCs w:val="21"/>
                <w:u w:val="single"/>
              </w:rPr>
            </w:pPr>
            <w:r>
              <w:rPr>
                <w:rFonts w:hint="eastAsia" w:ascii="宋体" w:hAnsi="宋体"/>
                <w:kern w:val="0"/>
                <w:szCs w:val="21"/>
              </w:rPr>
              <w:t xml:space="preserve">             总监签名并加盖项目章：</w:t>
            </w:r>
            <w:r>
              <w:rPr>
                <w:rFonts w:hint="eastAsia" w:ascii="宋体" w:hAnsi="宋体"/>
                <w:kern w:val="0"/>
                <w:szCs w:val="21"/>
                <w:u w:val="single"/>
              </w:rPr>
              <w:t xml:space="preserve">        </w:t>
            </w:r>
          </w:p>
        </w:tc>
      </w:tr>
      <w:tr w14:paraId="7101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236" w:type="dxa"/>
            <w:vAlign w:val="center"/>
          </w:tcPr>
          <w:p w14:paraId="2DCA5315">
            <w:pPr>
              <w:widowControl/>
              <w:snapToGrid w:val="0"/>
              <w:spacing w:after="100" w:afterAutospacing="1" w:line="400" w:lineRule="exact"/>
              <w:jc w:val="center"/>
              <w:rPr>
                <w:rFonts w:ascii="宋体" w:hAnsi="宋体"/>
                <w:kern w:val="0"/>
                <w:szCs w:val="21"/>
              </w:rPr>
            </w:pPr>
            <w:r>
              <w:rPr>
                <w:rFonts w:hint="eastAsia" w:ascii="宋体" w:hAnsi="宋体"/>
                <w:kern w:val="0"/>
                <w:szCs w:val="21"/>
              </w:rPr>
              <w:t>工程部项目负责人意见：</w:t>
            </w:r>
          </w:p>
        </w:tc>
        <w:tc>
          <w:tcPr>
            <w:tcW w:w="6201" w:type="dxa"/>
          </w:tcPr>
          <w:p w14:paraId="79B80FB1">
            <w:pPr>
              <w:widowControl/>
              <w:snapToGrid w:val="0"/>
              <w:spacing w:after="100" w:afterAutospacing="1" w:line="400" w:lineRule="exact"/>
              <w:rPr>
                <w:rFonts w:ascii="宋体" w:hAnsi="宋体"/>
                <w:kern w:val="0"/>
                <w:szCs w:val="21"/>
                <w:u w:val="single"/>
              </w:rPr>
            </w:pPr>
          </w:p>
          <w:p w14:paraId="1CA38C03">
            <w:pPr>
              <w:widowControl/>
              <w:snapToGrid w:val="0"/>
              <w:spacing w:after="100" w:afterAutospacing="1" w:line="400" w:lineRule="exact"/>
              <w:rPr>
                <w:rFonts w:ascii="宋体" w:hAnsi="宋体"/>
                <w:kern w:val="0"/>
                <w:szCs w:val="21"/>
                <w:u w:val="single"/>
              </w:rPr>
            </w:pPr>
            <w:r>
              <w:rPr>
                <w:rFonts w:hint="eastAsia" w:ascii="宋体" w:hAnsi="宋体"/>
                <w:kern w:val="0"/>
                <w:szCs w:val="21"/>
              </w:rPr>
              <w:t xml:space="preserve">                   项目负责人签名：</w:t>
            </w:r>
            <w:r>
              <w:rPr>
                <w:rFonts w:hint="eastAsia" w:ascii="宋体" w:hAnsi="宋体"/>
                <w:kern w:val="0"/>
                <w:szCs w:val="21"/>
                <w:u w:val="single"/>
              </w:rPr>
              <w:t xml:space="preserve">        </w:t>
            </w:r>
          </w:p>
        </w:tc>
      </w:tr>
    </w:tbl>
    <w:p w14:paraId="23E7CC2D">
      <w:pPr>
        <w:rPr>
          <w:rFonts w:ascii="宋体" w:hAnsi="宋体"/>
          <w:sz w:val="24"/>
        </w:rPr>
      </w:pPr>
      <w:r>
        <w:rPr>
          <w:rFonts w:ascii="宋体" w:hAnsi="宋体"/>
          <w:sz w:val="24"/>
        </w:rPr>
        <w:br w:type="page"/>
      </w:r>
    </w:p>
    <w:bookmarkEnd w:id="473"/>
    <w:p w14:paraId="26B5A4E8">
      <w:pPr>
        <w:pStyle w:val="3"/>
        <w:spacing w:before="0" w:after="0" w:line="360" w:lineRule="auto"/>
        <w:jc w:val="center"/>
        <w:rPr>
          <w:rFonts w:ascii="宋体" w:hAnsi="宋体"/>
        </w:rPr>
      </w:pPr>
      <w:bookmarkStart w:id="1416" w:name="_Toc216768221"/>
      <w:r>
        <w:rPr>
          <w:rFonts w:hint="eastAsia" w:ascii="宋体" w:hAnsi="宋体"/>
        </w:rPr>
        <w:t>第五章  工程量清单</w:t>
      </w:r>
      <w:bookmarkEnd w:id="459"/>
      <w:bookmarkEnd w:id="460"/>
      <w:bookmarkEnd w:id="461"/>
      <w:bookmarkEnd w:id="462"/>
      <w:bookmarkEnd w:id="463"/>
      <w:bookmarkEnd w:id="464"/>
      <w:bookmarkEnd w:id="1416"/>
      <w:bookmarkStart w:id="1417" w:name="招标文件05章工程量清单01"/>
      <w:bookmarkEnd w:id="1417"/>
      <w:bookmarkStart w:id="1418" w:name="_Toc287620798"/>
      <w:bookmarkStart w:id="1419" w:name="_Toc277082638"/>
      <w:bookmarkStart w:id="1420" w:name="_Toc287607856"/>
      <w:bookmarkStart w:id="1421" w:name="_Toc224103477"/>
      <w:bookmarkStart w:id="1422" w:name="_Toc430530514"/>
    </w:p>
    <w:bookmarkEnd w:id="1418"/>
    <w:bookmarkEnd w:id="1419"/>
    <w:bookmarkEnd w:id="1420"/>
    <w:bookmarkEnd w:id="1421"/>
    <w:bookmarkEnd w:id="1422"/>
    <w:p w14:paraId="0DDB1E30">
      <w:pPr>
        <w:snapToGrid w:val="0"/>
        <w:spacing w:line="360" w:lineRule="auto"/>
        <w:jc w:val="center"/>
        <w:rPr>
          <w:rFonts w:ascii="宋体" w:hAnsi="宋体"/>
          <w:sz w:val="24"/>
        </w:rPr>
      </w:pPr>
    </w:p>
    <w:p w14:paraId="235B60F1">
      <w:pPr>
        <w:snapToGrid w:val="0"/>
        <w:spacing w:line="360" w:lineRule="auto"/>
        <w:jc w:val="center"/>
        <w:rPr>
          <w:rFonts w:ascii="宋体" w:hAnsi="宋体"/>
          <w:szCs w:val="21"/>
        </w:rPr>
      </w:pPr>
      <w:r>
        <w:rPr>
          <w:rFonts w:hint="eastAsia" w:ascii="宋体" w:hAnsi="宋体"/>
          <w:szCs w:val="20"/>
        </w:rPr>
        <w:t>同招标文件一并发布。</w:t>
      </w:r>
    </w:p>
    <w:p w14:paraId="3506E95E">
      <w:pPr>
        <w:ind w:right="561"/>
        <w:rPr>
          <w:rFonts w:ascii="宋体" w:hAnsi="宋体"/>
          <w:szCs w:val="21"/>
        </w:rPr>
      </w:pPr>
      <w:r>
        <w:rPr>
          <w:rFonts w:ascii="宋体" w:hAnsi="宋体"/>
          <w:sz w:val="24"/>
        </w:rPr>
        <w:br w:type="page"/>
      </w:r>
    </w:p>
    <w:p w14:paraId="55F8E313">
      <w:pPr>
        <w:pStyle w:val="3"/>
        <w:spacing w:before="0" w:after="0" w:line="360" w:lineRule="auto"/>
        <w:jc w:val="center"/>
      </w:pPr>
      <w:bookmarkStart w:id="1423" w:name="_Toc13474"/>
      <w:bookmarkStart w:id="1424" w:name="_Toc216768222"/>
      <w:bookmarkStart w:id="1425" w:name="_Toc509218844"/>
      <w:bookmarkStart w:id="1426" w:name="_Toc534185823"/>
      <w:r>
        <w:rPr>
          <w:rFonts w:ascii="宋体" w:hAnsi="宋体"/>
          <w:sz w:val="52"/>
          <w:szCs w:val="52"/>
        </w:rPr>
        <w:t>第 二 卷</w:t>
      </w:r>
      <w:bookmarkEnd w:id="1423"/>
      <w:bookmarkEnd w:id="1424"/>
      <w:bookmarkEnd w:id="1425"/>
      <w:bookmarkEnd w:id="1426"/>
      <w:bookmarkStart w:id="1427" w:name="招标文件06章图纸01"/>
      <w:bookmarkEnd w:id="1427"/>
      <w:bookmarkStart w:id="1428" w:name="招标文件06章图纸"/>
      <w:bookmarkEnd w:id="1428"/>
      <w:bookmarkStart w:id="1429" w:name="_Toc536621880"/>
      <w:bookmarkStart w:id="1430" w:name="_Toc536797121"/>
      <w:bookmarkStart w:id="1431" w:name="_Toc536619968"/>
      <w:bookmarkStart w:id="1432" w:name="_Toc13211764"/>
      <w:bookmarkStart w:id="1433" w:name="_Toc536796850"/>
      <w:bookmarkStart w:id="1434" w:name="_Toc536628344"/>
      <w:bookmarkStart w:id="1435" w:name="_Toc13210772"/>
      <w:bookmarkStart w:id="1436" w:name="_Toc534185826"/>
      <w:bookmarkStart w:id="1437" w:name="_Toc13211206"/>
      <w:bookmarkStart w:id="1438" w:name="_Toc536797390"/>
      <w:bookmarkStart w:id="1439" w:name="_Toc536797255"/>
      <w:bookmarkStart w:id="1440" w:name="_Toc536620100"/>
      <w:bookmarkStart w:id="1441" w:name="_Toc536796986"/>
      <w:r>
        <w:br w:type="page"/>
      </w:r>
      <w:bookmarkEnd w:id="1429"/>
      <w:bookmarkEnd w:id="1430"/>
      <w:bookmarkEnd w:id="1431"/>
      <w:bookmarkEnd w:id="1432"/>
      <w:bookmarkEnd w:id="1433"/>
      <w:bookmarkEnd w:id="1434"/>
      <w:bookmarkEnd w:id="1435"/>
      <w:bookmarkEnd w:id="1436"/>
      <w:bookmarkEnd w:id="1437"/>
      <w:bookmarkEnd w:id="1438"/>
      <w:bookmarkEnd w:id="1439"/>
      <w:bookmarkEnd w:id="1440"/>
      <w:bookmarkEnd w:id="1441"/>
    </w:p>
    <w:p w14:paraId="3AFFA6F1">
      <w:pPr>
        <w:pStyle w:val="3"/>
        <w:spacing w:line="360" w:lineRule="auto"/>
        <w:jc w:val="center"/>
        <w:rPr>
          <w:rFonts w:ascii="宋体" w:hAnsi="宋体"/>
        </w:rPr>
      </w:pPr>
      <w:bookmarkStart w:id="1442" w:name="招标文件07章技术标准和要求"/>
      <w:bookmarkEnd w:id="1442"/>
      <w:bookmarkStart w:id="1443" w:name="_Toc17170"/>
      <w:bookmarkStart w:id="1444" w:name="_Toc216768223"/>
      <w:r>
        <w:rPr>
          <w:rFonts w:ascii="宋体" w:hAnsi="宋体"/>
        </w:rPr>
        <w:t>第</w:t>
      </w:r>
      <w:r>
        <w:rPr>
          <w:rFonts w:hint="eastAsia" w:ascii="宋体" w:hAnsi="宋体"/>
        </w:rPr>
        <w:t>六</w:t>
      </w:r>
      <w:r>
        <w:rPr>
          <w:rFonts w:ascii="宋体" w:hAnsi="宋体"/>
        </w:rPr>
        <w:t>章</w:t>
      </w:r>
      <w:r>
        <w:rPr>
          <w:rFonts w:hint="eastAsia" w:ascii="宋体" w:hAnsi="宋体"/>
        </w:rPr>
        <w:t xml:space="preserve">  </w:t>
      </w:r>
      <w:r>
        <w:rPr>
          <w:rFonts w:ascii="宋体" w:hAnsi="宋体"/>
        </w:rPr>
        <w:t>技术标准和要求</w:t>
      </w:r>
      <w:bookmarkEnd w:id="1443"/>
      <w:bookmarkEnd w:id="1444"/>
      <w:bookmarkStart w:id="1445" w:name="招标文件07章技术标准和要求01"/>
      <w:bookmarkEnd w:id="1445"/>
      <w:bookmarkStart w:id="1446" w:name="_Toc287620808"/>
      <w:bookmarkStart w:id="1447" w:name="_Toc430530524"/>
    </w:p>
    <w:bookmarkEnd w:id="1446"/>
    <w:bookmarkEnd w:id="1447"/>
    <w:p w14:paraId="1230527B">
      <w:pPr>
        <w:spacing w:line="360" w:lineRule="auto"/>
        <w:jc w:val="center"/>
        <w:rPr>
          <w:rFonts w:ascii="宋体" w:hAnsi="宋体"/>
          <w:szCs w:val="21"/>
        </w:rPr>
      </w:pPr>
      <w:r>
        <w:rPr>
          <w:rFonts w:ascii="宋体" w:hAnsi="宋体"/>
          <w:szCs w:val="21"/>
        </w:rPr>
        <w:t>由</w:t>
      </w:r>
      <w:r>
        <w:rPr>
          <w:rFonts w:hint="eastAsia" w:ascii="宋体" w:hAnsi="宋体"/>
          <w:szCs w:val="21"/>
        </w:rPr>
        <w:t>比选人</w:t>
      </w:r>
      <w:r>
        <w:rPr>
          <w:rFonts w:ascii="宋体" w:hAnsi="宋体"/>
          <w:szCs w:val="21"/>
        </w:rPr>
        <w:t>根据招标项目的实际情况编写</w:t>
      </w:r>
      <w:r>
        <w:rPr>
          <w:rFonts w:hint="eastAsia" w:ascii="宋体" w:hAnsi="宋体"/>
          <w:szCs w:val="21"/>
        </w:rPr>
        <w:t>（如有）。</w:t>
      </w:r>
    </w:p>
    <w:p w14:paraId="60364DC5">
      <w:pPr>
        <w:spacing w:line="360" w:lineRule="auto"/>
        <w:rPr>
          <w:rFonts w:ascii="宋体" w:hAnsi="宋体"/>
        </w:rPr>
      </w:pPr>
      <w:r>
        <w:rPr>
          <w:rFonts w:ascii="宋体" w:hAnsi="宋体"/>
        </w:rPr>
        <w:br w:type="page"/>
      </w:r>
    </w:p>
    <w:p w14:paraId="261EE240">
      <w:pPr>
        <w:pStyle w:val="3"/>
        <w:spacing w:before="0" w:after="0" w:line="360" w:lineRule="auto"/>
        <w:jc w:val="center"/>
        <w:rPr>
          <w:rFonts w:ascii="宋体" w:hAnsi="宋体"/>
          <w:sz w:val="52"/>
          <w:szCs w:val="52"/>
        </w:rPr>
      </w:pPr>
      <w:bookmarkStart w:id="1448" w:name="_Toc534185827"/>
      <w:bookmarkStart w:id="1449" w:name="_Toc18822"/>
      <w:bookmarkStart w:id="1450" w:name="_Toc509218849"/>
      <w:bookmarkStart w:id="1451" w:name="_Toc216768224"/>
      <w:r>
        <w:rPr>
          <w:rFonts w:ascii="宋体" w:hAnsi="宋体"/>
          <w:sz w:val="52"/>
          <w:szCs w:val="52"/>
        </w:rPr>
        <w:t xml:space="preserve">第 </w:t>
      </w:r>
      <w:r>
        <w:rPr>
          <w:rFonts w:hint="eastAsia" w:ascii="宋体" w:hAnsi="宋体"/>
          <w:sz w:val="52"/>
          <w:szCs w:val="52"/>
        </w:rPr>
        <w:t>三</w:t>
      </w:r>
      <w:r>
        <w:rPr>
          <w:rFonts w:ascii="宋体" w:hAnsi="宋体"/>
          <w:sz w:val="52"/>
          <w:szCs w:val="52"/>
        </w:rPr>
        <w:t xml:space="preserve"> 卷</w:t>
      </w:r>
      <w:bookmarkEnd w:id="1448"/>
      <w:bookmarkEnd w:id="1449"/>
      <w:bookmarkEnd w:id="1450"/>
      <w:bookmarkEnd w:id="1451"/>
      <w:bookmarkStart w:id="1452" w:name="_Toc534185828"/>
      <w:bookmarkStart w:id="1453" w:name="_Toc13211767"/>
      <w:bookmarkStart w:id="1454" w:name="_Toc536797393"/>
      <w:bookmarkStart w:id="1455" w:name="_Toc536619970"/>
      <w:bookmarkStart w:id="1456" w:name="_Toc536797124"/>
      <w:bookmarkStart w:id="1457" w:name="_Toc536796989"/>
      <w:bookmarkStart w:id="1458" w:name="_Toc536628347"/>
      <w:bookmarkStart w:id="1459" w:name="_Toc13211209"/>
      <w:bookmarkStart w:id="1460" w:name="_Toc509218850"/>
      <w:bookmarkStart w:id="1461" w:name="_Toc536621883"/>
      <w:bookmarkStart w:id="1462" w:name="_Toc536796853"/>
      <w:bookmarkStart w:id="1463" w:name="_Toc13210775"/>
      <w:bookmarkStart w:id="1464" w:name="_Toc536797258"/>
      <w:bookmarkStart w:id="1465" w:name="_Toc536620102"/>
    </w:p>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p w14:paraId="0F52D603">
      <w:r>
        <w:br w:type="page"/>
      </w:r>
      <w:bookmarkStart w:id="1466" w:name="招标文件08章投标文件格式"/>
      <w:bookmarkEnd w:id="1466"/>
      <w:bookmarkStart w:id="1467" w:name="_Toc287607865"/>
      <w:bookmarkStart w:id="1468" w:name="_Toc287620812"/>
    </w:p>
    <w:p w14:paraId="5920E379">
      <w:pPr>
        <w:pStyle w:val="3"/>
        <w:spacing w:line="360" w:lineRule="auto"/>
        <w:jc w:val="center"/>
        <w:rPr>
          <w:rFonts w:ascii="宋体" w:hAnsi="宋体"/>
        </w:rPr>
      </w:pPr>
      <w:bookmarkStart w:id="1469" w:name="_Toc509218852"/>
      <w:bookmarkStart w:id="1470" w:name="_Toc23843"/>
      <w:bookmarkStart w:id="1471" w:name="_Toc430530528"/>
      <w:bookmarkStart w:id="1472" w:name="_Toc534185829"/>
      <w:bookmarkStart w:id="1473" w:name="_Toc216768225"/>
      <w:r>
        <w:rPr>
          <w:rFonts w:hint="eastAsia" w:ascii="宋体" w:hAnsi="宋体"/>
        </w:rPr>
        <w:t>第七章  投标文件格式</w:t>
      </w:r>
      <w:bookmarkEnd w:id="1467"/>
      <w:bookmarkEnd w:id="1468"/>
      <w:bookmarkEnd w:id="1469"/>
      <w:bookmarkEnd w:id="1470"/>
      <w:bookmarkEnd w:id="1471"/>
      <w:bookmarkEnd w:id="1472"/>
      <w:bookmarkEnd w:id="1473"/>
    </w:p>
    <w:p w14:paraId="1608D238">
      <w:pPr>
        <w:spacing w:line="360" w:lineRule="auto"/>
        <w:rPr>
          <w:rFonts w:ascii="宋体" w:hAnsi="宋体"/>
          <w:sz w:val="32"/>
          <w:szCs w:val="32"/>
        </w:rPr>
      </w:pPr>
    </w:p>
    <w:p w14:paraId="5AB0BD38">
      <w:pPr>
        <w:spacing w:line="360" w:lineRule="auto"/>
        <w:jc w:val="center"/>
        <w:rPr>
          <w:rFonts w:ascii="宋体" w:hAnsi="宋体"/>
          <w:sz w:val="36"/>
          <w:szCs w:val="36"/>
        </w:rPr>
      </w:pPr>
      <w:r>
        <w:rPr>
          <w:rFonts w:ascii="宋体" w:hAnsi="宋体"/>
          <w:szCs w:val="20"/>
        </w:rPr>
        <w:br w:type="page"/>
      </w:r>
      <w:bookmarkStart w:id="1474" w:name="_Toc224103493"/>
      <w:r>
        <w:rPr>
          <w:rFonts w:hint="eastAsia" w:ascii="宋体" w:hAnsi="宋体"/>
          <w:sz w:val="36"/>
          <w:szCs w:val="36"/>
        </w:rPr>
        <w:t>目  录</w:t>
      </w:r>
      <w:bookmarkEnd w:id="1474"/>
    </w:p>
    <w:p w14:paraId="24693072">
      <w:pPr>
        <w:spacing w:line="360" w:lineRule="auto"/>
        <w:jc w:val="center"/>
        <w:rPr>
          <w:rFonts w:ascii="宋体" w:hAnsi="宋体"/>
          <w:szCs w:val="20"/>
        </w:rPr>
      </w:pPr>
    </w:p>
    <w:p w14:paraId="40DAB0A2">
      <w:pPr>
        <w:spacing w:line="360" w:lineRule="auto"/>
        <w:rPr>
          <w:rFonts w:ascii="宋体" w:hAnsi="宋体"/>
          <w:b/>
        </w:rPr>
      </w:pPr>
      <w:r>
        <w:rPr>
          <w:rFonts w:hint="eastAsia" w:ascii="宋体" w:hAnsi="宋体"/>
          <w:b/>
        </w:rPr>
        <w:t>一</w:t>
      </w:r>
      <w:r>
        <w:rPr>
          <w:rFonts w:ascii="宋体" w:hAnsi="宋体"/>
          <w:b/>
        </w:rPr>
        <w:t>、</w:t>
      </w:r>
      <w:r>
        <w:rPr>
          <w:rFonts w:hint="eastAsia" w:ascii="宋体" w:hAnsi="宋体"/>
          <w:b/>
        </w:rPr>
        <w:t>投标函</w:t>
      </w:r>
      <w:r>
        <w:rPr>
          <w:rFonts w:ascii="宋体" w:hAnsi="宋体"/>
          <w:b/>
        </w:rPr>
        <w:t>部分</w:t>
      </w:r>
    </w:p>
    <w:p w14:paraId="0B866253">
      <w:pPr>
        <w:spacing w:line="360" w:lineRule="auto"/>
        <w:ind w:firstLine="420" w:firstLineChars="200"/>
        <w:rPr>
          <w:rFonts w:ascii="宋体" w:hAnsi="宋体"/>
        </w:rPr>
      </w:pPr>
      <w:r>
        <w:rPr>
          <w:rFonts w:ascii="宋体" w:hAnsi="宋体"/>
        </w:rPr>
        <w:t>（一）</w:t>
      </w:r>
      <w:r>
        <w:rPr>
          <w:rFonts w:hint="eastAsia" w:ascii="宋体" w:hAnsi="宋体"/>
        </w:rPr>
        <w:t>投标函</w:t>
      </w:r>
    </w:p>
    <w:p w14:paraId="35E3CAE3">
      <w:pPr>
        <w:spacing w:line="360" w:lineRule="auto"/>
        <w:ind w:firstLine="420" w:firstLineChars="200"/>
        <w:rPr>
          <w:rFonts w:ascii="宋体" w:hAnsi="宋体"/>
        </w:rPr>
      </w:pPr>
      <w:r>
        <w:rPr>
          <w:rFonts w:ascii="宋体" w:hAnsi="宋体"/>
        </w:rPr>
        <w:t>（二）</w:t>
      </w:r>
      <w:r>
        <w:rPr>
          <w:rFonts w:hint="eastAsia" w:ascii="宋体" w:hAnsi="宋体"/>
        </w:rPr>
        <w:t>投标函</w:t>
      </w:r>
      <w:r>
        <w:rPr>
          <w:rFonts w:ascii="宋体" w:hAnsi="宋体"/>
        </w:rPr>
        <w:t>附录</w:t>
      </w:r>
    </w:p>
    <w:p w14:paraId="029A3FE8">
      <w:pPr>
        <w:spacing w:line="360" w:lineRule="auto"/>
        <w:ind w:firstLine="420" w:firstLineChars="200"/>
        <w:rPr>
          <w:rFonts w:ascii="宋体" w:hAnsi="宋体"/>
        </w:rPr>
      </w:pPr>
      <w:r>
        <w:rPr>
          <w:rFonts w:ascii="宋体" w:hAnsi="宋体"/>
        </w:rPr>
        <w:t>（三）</w:t>
      </w:r>
      <w:r>
        <w:rPr>
          <w:rFonts w:hint="eastAsia" w:ascii="宋体" w:hAnsi="宋体"/>
        </w:rPr>
        <w:t>法定代表人身份证明或附有法定代表人身份证明的授权委托书</w:t>
      </w:r>
    </w:p>
    <w:p w14:paraId="4A45D6E5">
      <w:pPr>
        <w:spacing w:line="360" w:lineRule="auto"/>
        <w:rPr>
          <w:rFonts w:ascii="宋体" w:hAnsi="宋体"/>
          <w:b/>
        </w:rPr>
      </w:pPr>
      <w:r>
        <w:rPr>
          <w:rFonts w:hint="eastAsia" w:ascii="宋体" w:hAnsi="宋体"/>
          <w:b/>
        </w:rPr>
        <w:t>二</w:t>
      </w:r>
      <w:r>
        <w:rPr>
          <w:rFonts w:ascii="宋体" w:hAnsi="宋体"/>
          <w:b/>
        </w:rPr>
        <w:t>、</w:t>
      </w:r>
      <w:r>
        <w:rPr>
          <w:rFonts w:hint="eastAsia" w:ascii="宋体" w:hAnsi="宋体"/>
          <w:b/>
        </w:rPr>
        <w:t>经济</w:t>
      </w:r>
      <w:r>
        <w:rPr>
          <w:rFonts w:ascii="宋体" w:hAnsi="宋体"/>
          <w:b/>
        </w:rPr>
        <w:t>部分</w:t>
      </w:r>
    </w:p>
    <w:p w14:paraId="15D7AE37">
      <w:pPr>
        <w:spacing w:line="360" w:lineRule="auto"/>
        <w:ind w:firstLine="420" w:firstLineChars="200"/>
        <w:rPr>
          <w:rFonts w:ascii="宋体" w:hAnsi="宋体"/>
        </w:rPr>
      </w:pPr>
      <w:r>
        <w:rPr>
          <w:rFonts w:ascii="宋体" w:hAnsi="宋体"/>
        </w:rPr>
        <w:t>已标价工程量清单</w:t>
      </w:r>
    </w:p>
    <w:p w14:paraId="0BECB97B">
      <w:pPr>
        <w:spacing w:line="360" w:lineRule="auto"/>
        <w:rPr>
          <w:rFonts w:ascii="宋体" w:hAnsi="宋体"/>
          <w:b/>
        </w:rPr>
      </w:pPr>
      <w:r>
        <w:rPr>
          <w:rFonts w:hint="eastAsia" w:ascii="宋体" w:hAnsi="宋体"/>
          <w:b/>
        </w:rPr>
        <w:t>三</w:t>
      </w:r>
      <w:r>
        <w:rPr>
          <w:rFonts w:ascii="宋体" w:hAnsi="宋体"/>
          <w:b/>
        </w:rPr>
        <w:t>、技术部分（不设置</w:t>
      </w:r>
      <w:r>
        <w:rPr>
          <w:rFonts w:hint="eastAsia" w:ascii="宋体" w:hAnsi="宋体"/>
          <w:b/>
        </w:rPr>
        <w:t>技术方案</w:t>
      </w:r>
      <w:r>
        <w:rPr>
          <w:rFonts w:ascii="宋体" w:hAnsi="宋体"/>
          <w:b/>
        </w:rPr>
        <w:t>评审的不设此部分）</w:t>
      </w:r>
    </w:p>
    <w:p w14:paraId="47C7DDF7">
      <w:pPr>
        <w:spacing w:line="360" w:lineRule="auto"/>
        <w:ind w:firstLine="420" w:firstLineChars="200"/>
        <w:rPr>
          <w:rFonts w:ascii="宋体" w:hAnsi="宋体"/>
        </w:rPr>
      </w:pPr>
      <w:r>
        <w:rPr>
          <w:rFonts w:hint="eastAsia" w:ascii="宋体" w:hAnsi="宋体"/>
        </w:rPr>
        <w:t>技术方案</w:t>
      </w:r>
    </w:p>
    <w:p w14:paraId="15555DE5">
      <w:pPr>
        <w:spacing w:line="360" w:lineRule="auto"/>
        <w:ind w:firstLine="420" w:firstLineChars="200"/>
        <w:rPr>
          <w:rFonts w:ascii="宋体" w:hAnsi="宋体"/>
        </w:rPr>
      </w:pPr>
      <w:r>
        <w:rPr>
          <w:rFonts w:ascii="宋体" w:hAnsi="宋体"/>
        </w:rPr>
        <w:t>附表一</w:t>
      </w:r>
      <w:r>
        <w:rPr>
          <w:rFonts w:hint="eastAsia" w:ascii="宋体" w:hAnsi="宋体"/>
        </w:rPr>
        <w:t xml:space="preserve"> </w:t>
      </w:r>
      <w:r>
        <w:rPr>
          <w:rFonts w:ascii="宋体" w:hAnsi="宋体"/>
        </w:rPr>
        <w:t>拟投入本标段的主要施工设备表</w:t>
      </w:r>
    </w:p>
    <w:p w14:paraId="74BCB151">
      <w:pPr>
        <w:spacing w:line="360" w:lineRule="auto"/>
        <w:ind w:firstLine="420" w:firstLineChars="200"/>
        <w:rPr>
          <w:rFonts w:ascii="宋体" w:hAnsi="宋体"/>
        </w:rPr>
      </w:pPr>
      <w:r>
        <w:rPr>
          <w:rFonts w:ascii="宋体" w:hAnsi="宋体"/>
        </w:rPr>
        <w:t>附表二</w:t>
      </w:r>
      <w:r>
        <w:rPr>
          <w:rFonts w:hint="eastAsia" w:ascii="宋体" w:hAnsi="宋体"/>
        </w:rPr>
        <w:t xml:space="preserve"> </w:t>
      </w:r>
      <w:r>
        <w:rPr>
          <w:rFonts w:ascii="宋体" w:hAnsi="宋体"/>
        </w:rPr>
        <w:t>拟配备本标段的试验和检测仪器设备表</w:t>
      </w:r>
    </w:p>
    <w:p w14:paraId="5013F8BA">
      <w:pPr>
        <w:spacing w:line="360" w:lineRule="auto"/>
        <w:ind w:firstLine="420" w:firstLineChars="200"/>
        <w:rPr>
          <w:rFonts w:ascii="宋体" w:hAnsi="宋体"/>
        </w:rPr>
      </w:pPr>
      <w:r>
        <w:rPr>
          <w:rFonts w:ascii="宋体" w:hAnsi="宋体"/>
        </w:rPr>
        <w:t>附表三</w:t>
      </w:r>
      <w:r>
        <w:rPr>
          <w:rFonts w:hint="eastAsia" w:ascii="宋体" w:hAnsi="宋体"/>
        </w:rPr>
        <w:t xml:space="preserve"> </w:t>
      </w:r>
      <w:r>
        <w:rPr>
          <w:rFonts w:ascii="宋体" w:hAnsi="宋体"/>
        </w:rPr>
        <w:t>劳动力计划表</w:t>
      </w:r>
    </w:p>
    <w:p w14:paraId="579A3C45">
      <w:pPr>
        <w:spacing w:line="360" w:lineRule="auto"/>
        <w:ind w:firstLine="420" w:firstLineChars="200"/>
        <w:rPr>
          <w:rFonts w:ascii="宋体" w:hAnsi="宋体"/>
        </w:rPr>
      </w:pPr>
      <w:r>
        <w:rPr>
          <w:rFonts w:ascii="宋体" w:hAnsi="宋体"/>
        </w:rPr>
        <w:t>附表四</w:t>
      </w:r>
      <w:r>
        <w:rPr>
          <w:rFonts w:hint="eastAsia" w:ascii="宋体" w:hAnsi="宋体"/>
        </w:rPr>
        <w:t xml:space="preserve"> </w:t>
      </w:r>
      <w:r>
        <w:rPr>
          <w:rFonts w:ascii="宋体" w:hAnsi="宋体"/>
        </w:rPr>
        <w:t>计划开、竣工日期和施工进度网络图</w:t>
      </w:r>
    </w:p>
    <w:p w14:paraId="1F661248">
      <w:pPr>
        <w:spacing w:line="360" w:lineRule="auto"/>
        <w:ind w:firstLine="420" w:firstLineChars="200"/>
        <w:rPr>
          <w:rFonts w:ascii="宋体" w:hAnsi="宋体"/>
        </w:rPr>
      </w:pPr>
      <w:r>
        <w:rPr>
          <w:rFonts w:ascii="宋体" w:hAnsi="宋体"/>
        </w:rPr>
        <w:t>附表五</w:t>
      </w:r>
      <w:r>
        <w:rPr>
          <w:rFonts w:hint="eastAsia" w:ascii="宋体" w:hAnsi="宋体"/>
        </w:rPr>
        <w:t xml:space="preserve"> </w:t>
      </w:r>
      <w:r>
        <w:rPr>
          <w:rFonts w:ascii="宋体" w:hAnsi="宋体"/>
        </w:rPr>
        <w:t>施工总平面图</w:t>
      </w:r>
    </w:p>
    <w:p w14:paraId="6BC3B669">
      <w:pPr>
        <w:spacing w:line="360" w:lineRule="auto"/>
        <w:ind w:firstLine="420" w:firstLineChars="200"/>
        <w:rPr>
          <w:rFonts w:ascii="宋体" w:hAnsi="宋体"/>
        </w:rPr>
      </w:pPr>
      <w:r>
        <w:rPr>
          <w:rFonts w:ascii="宋体" w:hAnsi="宋体"/>
        </w:rPr>
        <w:t>附表六</w:t>
      </w:r>
      <w:r>
        <w:rPr>
          <w:rFonts w:hint="eastAsia" w:ascii="宋体" w:hAnsi="宋体"/>
        </w:rPr>
        <w:t xml:space="preserve"> </w:t>
      </w:r>
      <w:r>
        <w:rPr>
          <w:rFonts w:ascii="宋体" w:hAnsi="宋体"/>
        </w:rPr>
        <w:t>临时用地表</w:t>
      </w:r>
    </w:p>
    <w:p w14:paraId="46F8A559">
      <w:pPr>
        <w:spacing w:line="360" w:lineRule="auto"/>
        <w:rPr>
          <w:rFonts w:ascii="宋体" w:hAnsi="宋体"/>
          <w:b/>
        </w:rPr>
      </w:pPr>
      <w:r>
        <w:rPr>
          <w:rFonts w:hint="eastAsia" w:ascii="宋体" w:hAnsi="宋体"/>
          <w:b/>
        </w:rPr>
        <w:t>四</w:t>
      </w:r>
      <w:r>
        <w:rPr>
          <w:rFonts w:ascii="宋体" w:hAnsi="宋体"/>
          <w:b/>
        </w:rPr>
        <w:t>、</w:t>
      </w:r>
      <w:r>
        <w:rPr>
          <w:rFonts w:hint="eastAsia" w:ascii="宋体" w:hAnsi="宋体"/>
          <w:b/>
        </w:rPr>
        <w:t>资格审查部分</w:t>
      </w:r>
    </w:p>
    <w:p w14:paraId="3622E3CC">
      <w:pPr>
        <w:spacing w:line="360" w:lineRule="auto"/>
        <w:ind w:firstLine="420" w:firstLineChars="200"/>
        <w:rPr>
          <w:rFonts w:ascii="宋体" w:hAnsi="宋体"/>
        </w:rPr>
      </w:pPr>
      <w:r>
        <w:rPr>
          <w:rFonts w:ascii="宋体" w:hAnsi="宋体"/>
        </w:rPr>
        <w:t>（一）</w:t>
      </w:r>
      <w:r>
        <w:rPr>
          <w:rFonts w:hint="eastAsia" w:ascii="宋体" w:hAnsi="宋体"/>
        </w:rPr>
        <w:t>法定代表人身份证明或附有法定代表人身份证明的授权委托书</w:t>
      </w:r>
    </w:p>
    <w:p w14:paraId="2E2A8942">
      <w:pPr>
        <w:spacing w:line="360" w:lineRule="auto"/>
        <w:ind w:firstLine="420" w:firstLineChars="200"/>
        <w:rPr>
          <w:rFonts w:ascii="宋体" w:hAnsi="宋体"/>
        </w:rPr>
      </w:pPr>
      <w:r>
        <w:rPr>
          <w:rFonts w:ascii="宋体" w:hAnsi="宋体"/>
        </w:rPr>
        <w:t>（二）</w:t>
      </w:r>
      <w:r>
        <w:rPr>
          <w:rFonts w:hint="eastAsia" w:ascii="宋体" w:hAnsi="宋体"/>
        </w:rPr>
        <w:t>投标人</w:t>
      </w:r>
      <w:r>
        <w:rPr>
          <w:rFonts w:ascii="宋体" w:hAnsi="宋体"/>
        </w:rPr>
        <w:t>基本情况表</w:t>
      </w:r>
    </w:p>
    <w:p w14:paraId="515EEA3B">
      <w:pPr>
        <w:spacing w:line="360" w:lineRule="auto"/>
        <w:ind w:firstLine="420" w:firstLineChars="200"/>
        <w:rPr>
          <w:rFonts w:ascii="宋体" w:hAnsi="宋体"/>
        </w:rPr>
      </w:pPr>
      <w:r>
        <w:rPr>
          <w:rFonts w:ascii="宋体" w:hAnsi="宋体"/>
        </w:rPr>
        <w:t>（</w:t>
      </w:r>
      <w:r>
        <w:rPr>
          <w:rFonts w:hint="eastAsia" w:ascii="宋体" w:hAnsi="宋体"/>
        </w:rPr>
        <w:t>三</w:t>
      </w:r>
      <w:r>
        <w:rPr>
          <w:rFonts w:ascii="宋体" w:hAnsi="宋体"/>
        </w:rPr>
        <w:t>）项目管理机构</w:t>
      </w:r>
    </w:p>
    <w:p w14:paraId="08672EC7">
      <w:pPr>
        <w:spacing w:line="360" w:lineRule="auto"/>
        <w:ind w:firstLine="420" w:firstLineChars="200"/>
        <w:rPr>
          <w:rFonts w:ascii="宋体" w:hAnsi="宋体"/>
        </w:rPr>
      </w:pPr>
      <w:r>
        <w:rPr>
          <w:rFonts w:ascii="宋体" w:hAnsi="宋体"/>
        </w:rPr>
        <w:t>（</w:t>
      </w:r>
      <w:r>
        <w:rPr>
          <w:rFonts w:hint="eastAsia" w:ascii="宋体" w:hAnsi="宋体"/>
        </w:rPr>
        <w:t>四</w:t>
      </w:r>
      <w:r>
        <w:rPr>
          <w:rFonts w:ascii="宋体" w:hAnsi="宋体"/>
        </w:rPr>
        <w:t>）近年财务状况表</w:t>
      </w:r>
    </w:p>
    <w:p w14:paraId="1451A808">
      <w:pPr>
        <w:spacing w:line="360" w:lineRule="auto"/>
        <w:ind w:firstLine="420" w:firstLineChars="200"/>
        <w:rPr>
          <w:rFonts w:ascii="宋体" w:hAnsi="宋体"/>
        </w:rPr>
      </w:pPr>
      <w:r>
        <w:rPr>
          <w:rFonts w:ascii="宋体" w:hAnsi="宋体"/>
        </w:rPr>
        <w:t>（</w:t>
      </w:r>
      <w:r>
        <w:rPr>
          <w:rFonts w:hint="eastAsia" w:ascii="宋体" w:hAnsi="宋体"/>
        </w:rPr>
        <w:t>五</w:t>
      </w:r>
      <w:r>
        <w:rPr>
          <w:rFonts w:ascii="宋体" w:hAnsi="宋体"/>
        </w:rPr>
        <w:t>）类似项目情况表</w:t>
      </w:r>
    </w:p>
    <w:p w14:paraId="329747F7">
      <w:pPr>
        <w:spacing w:line="360" w:lineRule="auto"/>
        <w:ind w:firstLine="420" w:firstLineChars="200"/>
        <w:rPr>
          <w:rFonts w:ascii="宋体" w:hAnsi="宋体"/>
        </w:rPr>
      </w:pPr>
      <w:r>
        <w:rPr>
          <w:rFonts w:ascii="宋体" w:hAnsi="宋体"/>
        </w:rPr>
        <w:t>（</w:t>
      </w:r>
      <w:r>
        <w:rPr>
          <w:rFonts w:hint="eastAsia" w:ascii="宋体" w:hAnsi="宋体"/>
        </w:rPr>
        <w:t>六</w:t>
      </w:r>
      <w:r>
        <w:rPr>
          <w:rFonts w:ascii="宋体" w:hAnsi="宋体"/>
        </w:rPr>
        <w:t>）</w:t>
      </w:r>
      <w:r>
        <w:rPr>
          <w:rFonts w:hint="eastAsia" w:ascii="宋体" w:hAnsi="宋体"/>
        </w:rPr>
        <w:t>承诺</w:t>
      </w:r>
    </w:p>
    <w:p w14:paraId="04FAD3E7">
      <w:pPr>
        <w:spacing w:line="360" w:lineRule="auto"/>
        <w:ind w:firstLine="420" w:firstLineChars="200"/>
        <w:rPr>
          <w:rFonts w:ascii="宋体" w:hAnsi="宋体"/>
        </w:rPr>
      </w:pPr>
      <w:r>
        <w:rPr>
          <w:rFonts w:ascii="宋体" w:hAnsi="宋体"/>
        </w:rPr>
        <w:t>（</w:t>
      </w:r>
      <w:r>
        <w:rPr>
          <w:rFonts w:hint="eastAsia" w:ascii="宋体" w:hAnsi="宋体"/>
        </w:rPr>
        <w:t>七</w:t>
      </w:r>
      <w:r>
        <w:rPr>
          <w:rFonts w:ascii="宋体" w:hAnsi="宋体"/>
        </w:rPr>
        <w:t>）其他资料</w:t>
      </w:r>
    </w:p>
    <w:p w14:paraId="1DC730D3">
      <w:pPr>
        <w:spacing w:line="360" w:lineRule="auto"/>
        <w:rPr>
          <w:rFonts w:ascii="宋体" w:hAnsi="宋体"/>
        </w:rPr>
      </w:pPr>
    </w:p>
    <w:p w14:paraId="5D90F108">
      <w:pPr>
        <w:autoSpaceDE w:val="0"/>
        <w:autoSpaceDN w:val="0"/>
        <w:adjustRightInd w:val="0"/>
        <w:spacing w:line="276" w:lineRule="auto"/>
        <w:ind w:right="-23"/>
        <w:jc w:val="left"/>
        <w:rPr>
          <w:rFonts w:ascii="宋体" w:hAnsi="宋体"/>
          <w:b/>
          <w:kern w:val="0"/>
          <w:sz w:val="24"/>
        </w:rPr>
      </w:pPr>
      <w:r>
        <w:rPr>
          <w:rFonts w:ascii="宋体" w:hAnsi="宋体"/>
          <w:b/>
          <w:kern w:val="0"/>
          <w:sz w:val="24"/>
        </w:rPr>
        <w:br w:type="page"/>
      </w:r>
      <w:bookmarkStart w:id="1475" w:name="_Toc224103494"/>
      <w:bookmarkStart w:id="1476" w:name="_Toc430530529"/>
      <w:bookmarkStart w:id="1477" w:name="_Toc277082642"/>
      <w:bookmarkStart w:id="1478" w:name="_Toc287607866"/>
      <w:bookmarkStart w:id="1479" w:name="_Toc287620813"/>
    </w:p>
    <w:p w14:paraId="6DA7CC5A">
      <w:pPr>
        <w:pStyle w:val="4"/>
        <w:spacing w:line="360" w:lineRule="auto"/>
        <w:jc w:val="center"/>
        <w:rPr>
          <w:rFonts w:ascii="宋体" w:hAnsi="宋体"/>
          <w:b w:val="0"/>
          <w:bCs w:val="0"/>
          <w:sz w:val="44"/>
          <w:szCs w:val="44"/>
        </w:rPr>
      </w:pPr>
      <w:bookmarkStart w:id="1480" w:name="_Toc216768226"/>
      <w:bookmarkStart w:id="1481" w:name="_Toc19476"/>
      <w:r>
        <w:rPr>
          <w:rFonts w:hint="eastAsia" w:ascii="宋体" w:hAnsi="宋体"/>
          <w:b w:val="0"/>
          <w:bCs w:val="0"/>
          <w:sz w:val="44"/>
          <w:szCs w:val="44"/>
        </w:rPr>
        <w:t>一、投标函部分</w:t>
      </w:r>
      <w:bookmarkEnd w:id="1475"/>
      <w:bookmarkEnd w:id="1476"/>
      <w:bookmarkEnd w:id="1477"/>
      <w:bookmarkEnd w:id="1478"/>
      <w:bookmarkEnd w:id="1479"/>
      <w:bookmarkEnd w:id="1480"/>
      <w:bookmarkEnd w:id="1481"/>
    </w:p>
    <w:p w14:paraId="786BE978">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14:paraId="58D1770A">
      <w:pPr>
        <w:tabs>
          <w:tab w:val="left" w:pos="2580"/>
          <w:tab w:val="left" w:pos="5940"/>
        </w:tabs>
        <w:autoSpaceDE w:val="0"/>
        <w:autoSpaceDN w:val="0"/>
        <w:adjustRightInd w:val="0"/>
        <w:snapToGrid w:val="0"/>
        <w:spacing w:line="360" w:lineRule="auto"/>
        <w:jc w:val="left"/>
        <w:rPr>
          <w:rFonts w:ascii="宋体" w:hAnsi="宋体"/>
          <w:kern w:val="0"/>
          <w:sz w:val="28"/>
          <w:szCs w:val="28"/>
          <w:u w:val="single"/>
        </w:rPr>
      </w:pPr>
      <w:r>
        <w:rPr>
          <w:rFonts w:ascii="宋体" w:hAnsi="宋体"/>
          <w:kern w:val="0"/>
          <w:sz w:val="28"/>
          <w:szCs w:val="28"/>
          <w:u w:val="single"/>
        </w:rPr>
        <w:br w:type="page"/>
      </w:r>
    </w:p>
    <w:p w14:paraId="0EB67DF6">
      <w:pPr>
        <w:spacing w:line="360" w:lineRule="auto"/>
        <w:jc w:val="center"/>
        <w:rPr>
          <w:rFonts w:ascii="宋体" w:hAnsi="宋体"/>
          <w:kern w:val="0"/>
          <w:sz w:val="32"/>
          <w:szCs w:val="32"/>
        </w:rPr>
      </w:pPr>
      <w:r>
        <w:rPr>
          <w:rFonts w:hint="eastAsia" w:ascii="宋体" w:hAnsi="宋体"/>
          <w:kern w:val="0"/>
          <w:sz w:val="32"/>
          <w:szCs w:val="32"/>
          <w:u w:val="single"/>
        </w:rPr>
        <w:t xml:space="preserve">                   （项目名称）</w:t>
      </w:r>
    </w:p>
    <w:p w14:paraId="19EE25AE">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5314DE5E">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5AFF8445">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058967B5">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48A5F131">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7A138699">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14:paraId="78DA0943">
      <w:pPr>
        <w:autoSpaceDE w:val="0"/>
        <w:autoSpaceDN w:val="0"/>
        <w:adjustRightInd w:val="0"/>
        <w:snapToGrid w:val="0"/>
        <w:spacing w:line="360" w:lineRule="auto"/>
        <w:jc w:val="left"/>
        <w:rPr>
          <w:rFonts w:ascii="宋体" w:hAnsi="宋体"/>
          <w:kern w:val="0"/>
          <w:sz w:val="16"/>
          <w:szCs w:val="16"/>
        </w:rPr>
      </w:pPr>
    </w:p>
    <w:p w14:paraId="325B072A">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投标函部分</w:t>
      </w:r>
    </w:p>
    <w:p w14:paraId="2BFFA9FE">
      <w:pPr>
        <w:autoSpaceDE w:val="0"/>
        <w:autoSpaceDN w:val="0"/>
        <w:adjustRightInd w:val="0"/>
        <w:snapToGrid w:val="0"/>
        <w:spacing w:line="360" w:lineRule="auto"/>
        <w:jc w:val="left"/>
        <w:rPr>
          <w:rFonts w:ascii="宋体" w:hAnsi="宋体"/>
          <w:b/>
          <w:kern w:val="0"/>
          <w:sz w:val="20"/>
          <w:szCs w:val="20"/>
        </w:rPr>
      </w:pPr>
    </w:p>
    <w:p w14:paraId="3A11F5E0">
      <w:pPr>
        <w:autoSpaceDE w:val="0"/>
        <w:autoSpaceDN w:val="0"/>
        <w:adjustRightInd w:val="0"/>
        <w:snapToGrid w:val="0"/>
        <w:spacing w:line="360" w:lineRule="auto"/>
        <w:jc w:val="left"/>
        <w:rPr>
          <w:rFonts w:ascii="宋体" w:hAnsi="宋体"/>
          <w:b/>
          <w:kern w:val="0"/>
          <w:sz w:val="20"/>
          <w:szCs w:val="20"/>
        </w:rPr>
      </w:pPr>
    </w:p>
    <w:p w14:paraId="36F6694F">
      <w:pPr>
        <w:autoSpaceDE w:val="0"/>
        <w:autoSpaceDN w:val="0"/>
        <w:adjustRightInd w:val="0"/>
        <w:snapToGrid w:val="0"/>
        <w:spacing w:line="360" w:lineRule="auto"/>
        <w:jc w:val="left"/>
        <w:rPr>
          <w:rFonts w:ascii="宋体" w:hAnsi="宋体"/>
          <w:b/>
          <w:kern w:val="0"/>
          <w:sz w:val="20"/>
          <w:szCs w:val="20"/>
        </w:rPr>
      </w:pPr>
    </w:p>
    <w:p w14:paraId="6C2128F5">
      <w:pPr>
        <w:autoSpaceDE w:val="0"/>
        <w:autoSpaceDN w:val="0"/>
        <w:adjustRightInd w:val="0"/>
        <w:snapToGrid w:val="0"/>
        <w:spacing w:line="360" w:lineRule="auto"/>
        <w:jc w:val="left"/>
        <w:rPr>
          <w:rFonts w:ascii="宋体" w:hAnsi="宋体"/>
          <w:b/>
          <w:kern w:val="0"/>
          <w:sz w:val="20"/>
          <w:szCs w:val="20"/>
        </w:rPr>
      </w:pPr>
    </w:p>
    <w:p w14:paraId="51DD7485">
      <w:pPr>
        <w:autoSpaceDE w:val="0"/>
        <w:autoSpaceDN w:val="0"/>
        <w:adjustRightInd w:val="0"/>
        <w:snapToGrid w:val="0"/>
        <w:spacing w:line="360" w:lineRule="auto"/>
        <w:jc w:val="left"/>
        <w:rPr>
          <w:rFonts w:ascii="宋体" w:hAnsi="宋体"/>
          <w:b/>
          <w:kern w:val="0"/>
          <w:sz w:val="20"/>
          <w:szCs w:val="20"/>
        </w:rPr>
      </w:pPr>
    </w:p>
    <w:p w14:paraId="51B9772C">
      <w:pPr>
        <w:autoSpaceDE w:val="0"/>
        <w:autoSpaceDN w:val="0"/>
        <w:adjustRightInd w:val="0"/>
        <w:snapToGrid w:val="0"/>
        <w:spacing w:line="360" w:lineRule="auto"/>
        <w:jc w:val="left"/>
        <w:rPr>
          <w:rFonts w:ascii="宋体" w:hAnsi="宋体"/>
          <w:b/>
          <w:kern w:val="0"/>
          <w:sz w:val="20"/>
          <w:szCs w:val="20"/>
        </w:rPr>
      </w:pPr>
    </w:p>
    <w:p w14:paraId="4B769400">
      <w:pPr>
        <w:autoSpaceDE w:val="0"/>
        <w:autoSpaceDN w:val="0"/>
        <w:adjustRightInd w:val="0"/>
        <w:snapToGrid w:val="0"/>
        <w:spacing w:line="360" w:lineRule="auto"/>
        <w:jc w:val="left"/>
        <w:rPr>
          <w:rFonts w:ascii="宋体" w:hAnsi="宋体"/>
          <w:b/>
          <w:kern w:val="0"/>
          <w:sz w:val="20"/>
          <w:szCs w:val="20"/>
        </w:rPr>
      </w:pPr>
    </w:p>
    <w:p w14:paraId="1D33E5B7">
      <w:pPr>
        <w:autoSpaceDE w:val="0"/>
        <w:autoSpaceDN w:val="0"/>
        <w:adjustRightInd w:val="0"/>
        <w:snapToGrid w:val="0"/>
        <w:spacing w:line="360" w:lineRule="auto"/>
        <w:jc w:val="left"/>
        <w:rPr>
          <w:rFonts w:ascii="宋体" w:hAnsi="宋体"/>
          <w:b/>
          <w:kern w:val="0"/>
          <w:sz w:val="20"/>
          <w:szCs w:val="20"/>
        </w:rPr>
      </w:pPr>
    </w:p>
    <w:p w14:paraId="38665F43">
      <w:pPr>
        <w:autoSpaceDE w:val="0"/>
        <w:autoSpaceDN w:val="0"/>
        <w:adjustRightInd w:val="0"/>
        <w:snapToGrid w:val="0"/>
        <w:spacing w:line="360" w:lineRule="auto"/>
        <w:jc w:val="left"/>
        <w:rPr>
          <w:rFonts w:ascii="宋体" w:hAnsi="宋体"/>
          <w:b/>
          <w:kern w:val="0"/>
          <w:sz w:val="20"/>
          <w:szCs w:val="20"/>
        </w:rPr>
      </w:pPr>
    </w:p>
    <w:p w14:paraId="37EB94B2">
      <w:pPr>
        <w:autoSpaceDE w:val="0"/>
        <w:autoSpaceDN w:val="0"/>
        <w:adjustRightInd w:val="0"/>
        <w:snapToGrid w:val="0"/>
        <w:spacing w:line="360" w:lineRule="auto"/>
        <w:jc w:val="left"/>
        <w:rPr>
          <w:rFonts w:ascii="宋体" w:hAnsi="宋体"/>
          <w:b/>
          <w:kern w:val="0"/>
          <w:sz w:val="20"/>
          <w:szCs w:val="20"/>
        </w:rPr>
      </w:pPr>
    </w:p>
    <w:p w14:paraId="60484BBE">
      <w:pPr>
        <w:autoSpaceDE w:val="0"/>
        <w:autoSpaceDN w:val="0"/>
        <w:adjustRightInd w:val="0"/>
        <w:snapToGrid w:val="0"/>
        <w:spacing w:line="360" w:lineRule="auto"/>
        <w:jc w:val="left"/>
        <w:rPr>
          <w:rFonts w:ascii="宋体" w:hAnsi="宋体"/>
          <w:b/>
          <w:kern w:val="0"/>
          <w:sz w:val="20"/>
          <w:szCs w:val="20"/>
        </w:rPr>
      </w:pPr>
    </w:p>
    <w:p w14:paraId="4649326B">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rPr>
      </w:pPr>
      <w:r>
        <w:rPr>
          <w:rFonts w:hint="eastAsia"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w:t>
      </w:r>
      <w:r>
        <w:rPr>
          <w:rFonts w:hint="eastAsia" w:ascii="宋体" w:hAnsi="宋体"/>
          <w:w w:val="99"/>
          <w:kern w:val="0"/>
          <w:sz w:val="28"/>
          <w:szCs w:val="28"/>
        </w:rPr>
        <w:t>公</w:t>
      </w:r>
      <w:r>
        <w:rPr>
          <w:rFonts w:ascii="宋体" w:hAnsi="宋体"/>
          <w:w w:val="99"/>
          <w:kern w:val="0"/>
          <w:sz w:val="28"/>
          <w:szCs w:val="28"/>
        </w:rPr>
        <w:t>章）</w:t>
      </w:r>
    </w:p>
    <w:p w14:paraId="2DF25084">
      <w:pPr>
        <w:tabs>
          <w:tab w:val="left" w:pos="6080"/>
          <w:tab w:val="left" w:pos="6640"/>
        </w:tabs>
        <w:autoSpaceDE w:val="0"/>
        <w:autoSpaceDN w:val="0"/>
        <w:adjustRightInd w:val="0"/>
        <w:snapToGrid w:val="0"/>
        <w:spacing w:after="156" w:afterLines="50"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14:paraId="6A222C80">
      <w:pPr>
        <w:autoSpaceDE w:val="0"/>
        <w:autoSpaceDN w:val="0"/>
        <w:adjustRightInd w:val="0"/>
        <w:snapToGrid w:val="0"/>
        <w:spacing w:line="360" w:lineRule="auto"/>
        <w:jc w:val="center"/>
        <w:rPr>
          <w:rFonts w:ascii="宋体" w:hAnsi="宋体"/>
          <w:kern w:val="0"/>
          <w:sz w:val="24"/>
          <w:szCs w:val="21"/>
        </w:rPr>
      </w:pPr>
      <w:r>
        <w:rPr>
          <w:rFonts w:hint="eastAsia" w:ascii="宋体" w:hAnsi="宋体"/>
          <w:w w:val="99"/>
          <w:kern w:val="0"/>
          <w:sz w:val="28"/>
          <w:szCs w:val="28"/>
          <w:u w:val="single"/>
        </w:rPr>
        <w:t xml:space="preserve">    </w:t>
      </w:r>
      <w:r>
        <w:rPr>
          <w:rFonts w:hint="eastAsia" w:ascii="宋体" w:hAnsi="宋体"/>
          <w:w w:val="99"/>
          <w:kern w:val="0"/>
          <w:sz w:val="28"/>
          <w:szCs w:val="28"/>
        </w:rPr>
        <w:t>年</w:t>
      </w:r>
      <w:r>
        <w:rPr>
          <w:rFonts w:hint="eastAsia" w:ascii="宋体" w:hAnsi="宋体"/>
          <w:w w:val="99"/>
          <w:kern w:val="0"/>
          <w:sz w:val="28"/>
          <w:szCs w:val="28"/>
          <w:u w:val="single"/>
        </w:rPr>
        <w:t xml:space="preserve">    </w:t>
      </w:r>
      <w:r>
        <w:rPr>
          <w:rFonts w:hint="eastAsia" w:ascii="宋体" w:hAnsi="宋体"/>
          <w:w w:val="99"/>
          <w:kern w:val="0"/>
          <w:sz w:val="28"/>
          <w:szCs w:val="28"/>
        </w:rPr>
        <w:t>月</w:t>
      </w:r>
      <w:r>
        <w:rPr>
          <w:rFonts w:hint="eastAsia" w:ascii="宋体" w:hAnsi="宋体"/>
          <w:w w:val="99"/>
          <w:kern w:val="0"/>
          <w:sz w:val="28"/>
          <w:szCs w:val="28"/>
          <w:u w:val="single"/>
        </w:rPr>
        <w:t xml:space="preserve">    </w:t>
      </w:r>
      <w:r>
        <w:rPr>
          <w:rFonts w:hint="eastAsia" w:ascii="宋体" w:hAnsi="宋体"/>
          <w:w w:val="99"/>
          <w:kern w:val="0"/>
          <w:sz w:val="28"/>
          <w:szCs w:val="28"/>
        </w:rPr>
        <w:t>日</w:t>
      </w:r>
      <w:r>
        <w:rPr>
          <w:rFonts w:ascii="宋体" w:hAnsi="宋体"/>
          <w:kern w:val="0"/>
          <w:sz w:val="24"/>
          <w:szCs w:val="21"/>
        </w:rPr>
        <w:br w:type="page"/>
      </w:r>
    </w:p>
    <w:p w14:paraId="58554D80">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目  录</w:t>
      </w:r>
    </w:p>
    <w:p w14:paraId="50D47639">
      <w:pPr>
        <w:autoSpaceDE w:val="0"/>
        <w:autoSpaceDN w:val="0"/>
        <w:adjustRightInd w:val="0"/>
        <w:snapToGrid w:val="0"/>
        <w:spacing w:line="360" w:lineRule="auto"/>
        <w:jc w:val="left"/>
        <w:rPr>
          <w:rFonts w:ascii="宋体" w:hAnsi="宋体"/>
          <w:kern w:val="0"/>
          <w:sz w:val="24"/>
          <w:szCs w:val="21"/>
        </w:rPr>
      </w:pPr>
    </w:p>
    <w:p w14:paraId="00F8D8A8">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（一）</w:t>
      </w:r>
      <w:r>
        <w:rPr>
          <w:rFonts w:hint="eastAsia" w:ascii="宋体" w:hAnsi="宋体"/>
          <w:kern w:val="0"/>
          <w:sz w:val="24"/>
        </w:rPr>
        <w:t>投标函</w:t>
      </w:r>
    </w:p>
    <w:p w14:paraId="14237B17">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（二）</w:t>
      </w:r>
      <w:r>
        <w:rPr>
          <w:rFonts w:hint="eastAsia" w:ascii="宋体" w:hAnsi="宋体"/>
          <w:kern w:val="0"/>
          <w:sz w:val="24"/>
        </w:rPr>
        <w:t>投标函</w:t>
      </w:r>
      <w:r>
        <w:rPr>
          <w:rFonts w:ascii="宋体" w:hAnsi="宋体"/>
          <w:kern w:val="0"/>
          <w:sz w:val="24"/>
        </w:rPr>
        <w:t>附录</w:t>
      </w:r>
    </w:p>
    <w:p w14:paraId="68476891">
      <w:pPr>
        <w:autoSpaceDE w:val="0"/>
        <w:autoSpaceDN w:val="0"/>
        <w:adjustRightInd w:val="0"/>
        <w:spacing w:line="360" w:lineRule="auto"/>
        <w:ind w:firstLine="480" w:firstLineChars="200"/>
        <w:jc w:val="left"/>
        <w:rPr>
          <w:rFonts w:ascii="宋体" w:hAnsi="宋体"/>
          <w:kern w:val="0"/>
          <w:sz w:val="24"/>
        </w:rPr>
      </w:pPr>
      <w:r>
        <w:rPr>
          <w:rFonts w:ascii="宋体" w:hAnsi="宋体"/>
          <w:kern w:val="0"/>
          <w:sz w:val="24"/>
        </w:rPr>
        <w:t>（三）</w:t>
      </w:r>
      <w:r>
        <w:rPr>
          <w:rFonts w:hint="eastAsia" w:ascii="宋体" w:hAnsi="宋体"/>
          <w:kern w:val="0"/>
          <w:sz w:val="24"/>
        </w:rPr>
        <w:t>法定代表人身份证明或附有法定代表人身份证明的授权委托书</w:t>
      </w:r>
    </w:p>
    <w:p w14:paraId="0A06930C">
      <w:pPr>
        <w:autoSpaceDE w:val="0"/>
        <w:autoSpaceDN w:val="0"/>
        <w:adjustRightInd w:val="0"/>
        <w:snapToGrid w:val="0"/>
        <w:spacing w:line="360" w:lineRule="auto"/>
        <w:jc w:val="left"/>
        <w:rPr>
          <w:rFonts w:ascii="宋体" w:hAnsi="宋体"/>
          <w:w w:val="99"/>
          <w:kern w:val="0"/>
          <w:sz w:val="28"/>
          <w:szCs w:val="28"/>
        </w:rPr>
      </w:pPr>
    </w:p>
    <w:p w14:paraId="3D7BF378">
      <w:pPr>
        <w:pStyle w:val="5"/>
        <w:spacing w:before="0" w:after="0" w:line="400" w:lineRule="exact"/>
        <w:jc w:val="center"/>
        <w:rPr>
          <w:rFonts w:ascii="宋体" w:hAnsi="宋体"/>
          <w:b w:val="0"/>
        </w:rPr>
      </w:pPr>
      <w:bookmarkStart w:id="1482" w:name="_Toc509218854"/>
      <w:bookmarkStart w:id="1483" w:name="_Toc534185831"/>
      <w:bookmarkStart w:id="1484" w:name="_Toc224103495"/>
      <w:bookmarkStart w:id="1485" w:name="_Toc277082643"/>
      <w:bookmarkStart w:id="1486" w:name="_Toc287620814"/>
      <w:bookmarkStart w:id="1487" w:name="_Toc287607867"/>
      <w:bookmarkStart w:id="1488" w:name="_Toc430530530"/>
      <w:r>
        <w:rPr>
          <w:rFonts w:ascii="宋体" w:hAnsi="宋体"/>
        </w:rPr>
        <w:br w:type="page"/>
      </w:r>
      <w:bookmarkStart w:id="1489" w:name="_Toc26071"/>
      <w:bookmarkStart w:id="1490" w:name="_Toc216768227"/>
      <w:bookmarkStart w:id="1491" w:name="_Toc882"/>
      <w:r>
        <w:rPr>
          <w:rFonts w:hint="eastAsia"/>
        </w:rPr>
        <w:t>（一）</w:t>
      </w:r>
      <w:bookmarkEnd w:id="1482"/>
      <w:bookmarkEnd w:id="1483"/>
      <w:bookmarkEnd w:id="1484"/>
      <w:bookmarkEnd w:id="1485"/>
      <w:bookmarkEnd w:id="1486"/>
      <w:bookmarkEnd w:id="1487"/>
      <w:bookmarkEnd w:id="1488"/>
      <w:bookmarkEnd w:id="1489"/>
      <w:r>
        <w:rPr>
          <w:rFonts w:hint="eastAsia"/>
        </w:rPr>
        <w:t>投标函</w:t>
      </w:r>
      <w:bookmarkEnd w:id="1490"/>
      <w:bookmarkEnd w:id="1491"/>
    </w:p>
    <w:p w14:paraId="1429B572">
      <w:pPr>
        <w:tabs>
          <w:tab w:val="left" w:pos="2640"/>
        </w:tabs>
        <w:autoSpaceDE w:val="0"/>
        <w:autoSpaceDN w:val="0"/>
        <w:adjustRightInd w:val="0"/>
        <w:spacing w:line="400" w:lineRule="exact"/>
        <w:rPr>
          <w:rFonts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w:t>
      </w:r>
      <w:r>
        <w:rPr>
          <w:rFonts w:hint="eastAsia" w:ascii="宋体" w:hAnsi="宋体"/>
          <w:snapToGrid w:val="0"/>
          <w:kern w:val="0"/>
          <w:szCs w:val="21"/>
          <w:u w:val="single"/>
        </w:rPr>
        <w:t>比选人</w:t>
      </w:r>
      <w:r>
        <w:rPr>
          <w:rFonts w:ascii="宋体" w:hAnsi="宋体"/>
          <w:snapToGrid w:val="0"/>
          <w:kern w:val="0"/>
          <w:szCs w:val="21"/>
          <w:u w:val="single"/>
        </w:rPr>
        <w:t>名称）</w:t>
      </w:r>
      <w:r>
        <w:rPr>
          <w:rFonts w:ascii="宋体" w:hAnsi="宋体"/>
          <w:snapToGrid w:val="0"/>
          <w:kern w:val="0"/>
          <w:szCs w:val="21"/>
        </w:rPr>
        <w:t>：</w:t>
      </w:r>
    </w:p>
    <w:p w14:paraId="39EFE02B">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招标文件的全部内容，愿意以人民币（大写）</w:t>
      </w:r>
      <w:r>
        <w:rPr>
          <w:rFonts w:ascii="宋体" w:hAnsi="宋体"/>
          <w:snapToGrid w:val="0"/>
          <w:kern w:val="0"/>
          <w:szCs w:val="21"/>
          <w:u w:val="single"/>
        </w:rPr>
        <w:tab/>
      </w:r>
      <w:r>
        <w:rPr>
          <w:rFonts w:ascii="宋体" w:hAnsi="宋体"/>
          <w:snapToGrid w:val="0"/>
          <w:kern w:val="0"/>
          <w:szCs w:val="21"/>
        </w:rPr>
        <w:t>（¥</w:t>
      </w:r>
      <w:r>
        <w:rPr>
          <w:rFonts w:ascii="宋体" w:hAnsi="宋体"/>
          <w:snapToGrid w:val="0"/>
          <w:kern w:val="0"/>
          <w:szCs w:val="21"/>
          <w:u w:val="single"/>
        </w:rPr>
        <w:tab/>
      </w:r>
      <w:r>
        <w:rPr>
          <w:rFonts w:ascii="宋体" w:hAnsi="宋体"/>
          <w:snapToGrid w:val="0"/>
          <w:kern w:val="0"/>
          <w:szCs w:val="21"/>
        </w:rPr>
        <w:t>）的投标总报价进行报价，其中</w:t>
      </w:r>
      <w:r>
        <w:rPr>
          <w:rFonts w:ascii="宋体" w:hAnsi="宋体"/>
          <w:snapToGrid w:val="0"/>
          <w:kern w:val="0"/>
        </w:rPr>
        <w:t>安全文明施工费暂定金额为人民币</w:t>
      </w:r>
      <w:r>
        <w:rPr>
          <w:rFonts w:ascii="宋体" w:hAnsi="宋体"/>
          <w:snapToGrid w:val="0"/>
          <w:kern w:val="0"/>
          <w:szCs w:val="21"/>
        </w:rPr>
        <w:t>（大写）</w:t>
      </w:r>
      <w:r>
        <w:rPr>
          <w:rFonts w:ascii="宋体" w:hAnsi="宋体"/>
          <w:snapToGrid w:val="0"/>
          <w:kern w:val="0"/>
          <w:szCs w:val="21"/>
          <w:u w:val="single"/>
        </w:rPr>
        <w:tab/>
      </w:r>
      <w:r>
        <w:rPr>
          <w:rFonts w:ascii="宋体" w:hAnsi="宋体"/>
          <w:snapToGrid w:val="0"/>
          <w:kern w:val="0"/>
          <w:szCs w:val="21"/>
        </w:rPr>
        <w:t>（¥</w:t>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rPr>
        <w:t>；委托代理人为：</w:t>
      </w:r>
      <w:r>
        <w:rPr>
          <w:rFonts w:hint="eastAsia" w:ascii="宋体" w:hAnsi="宋体"/>
          <w:snapToGrid w:val="0"/>
          <w:kern w:val="0"/>
          <w:szCs w:val="21"/>
          <w:u w:val="single"/>
        </w:rPr>
        <w:t xml:space="preserve">        </w:t>
      </w:r>
      <w:r>
        <w:rPr>
          <w:rFonts w:hint="eastAsia" w:ascii="宋体" w:hAnsi="宋体"/>
          <w:snapToGrid w:val="0"/>
          <w:kern w:val="0"/>
          <w:szCs w:val="21"/>
        </w:rPr>
        <w:t>，身份证号码为</w:t>
      </w:r>
      <w:r>
        <w:rPr>
          <w:rFonts w:hint="eastAsia" w:ascii="宋体" w:hAnsi="宋体"/>
          <w:snapToGrid w:val="0"/>
          <w:kern w:val="0"/>
          <w:szCs w:val="21"/>
          <w:u w:val="single"/>
        </w:rPr>
        <w:t xml:space="preserve">        </w:t>
      </w:r>
      <w:r>
        <w:rPr>
          <w:rFonts w:ascii="宋体" w:hAnsi="宋体"/>
          <w:snapToGrid w:val="0"/>
          <w:kern w:val="0"/>
          <w:szCs w:val="21"/>
        </w:rPr>
        <w:t>。工期</w:t>
      </w:r>
      <w:r>
        <w:rPr>
          <w:rFonts w:hint="eastAsia" w:ascii="宋体" w:hAnsi="宋体"/>
          <w:snapToGrid w:val="0"/>
          <w:kern w:val="0"/>
          <w:szCs w:val="21"/>
        </w:rPr>
        <w:t>达到招标文件的要求</w:t>
      </w:r>
      <w:r>
        <w:rPr>
          <w:rFonts w:ascii="宋体" w:hAnsi="宋体"/>
          <w:snapToGrid w:val="0"/>
          <w:kern w:val="0"/>
          <w:szCs w:val="21"/>
        </w:rPr>
        <w:t xml:space="preserve">， </w:t>
      </w:r>
      <w:r>
        <w:rPr>
          <w:rFonts w:hint="eastAsia" w:ascii="宋体" w:hAnsi="宋体"/>
          <w:snapToGrid w:val="0"/>
          <w:kern w:val="0"/>
          <w:szCs w:val="21"/>
        </w:rPr>
        <w:t>缺陷责任期</w:t>
      </w:r>
      <w:r>
        <w:rPr>
          <w:rFonts w:hint="eastAsia" w:ascii="宋体" w:hAnsi="宋体"/>
          <w:snapToGrid w:val="0"/>
          <w:kern w:val="0"/>
          <w:szCs w:val="21"/>
          <w:u w:val="single"/>
        </w:rPr>
        <w:t xml:space="preserve">       </w:t>
      </w:r>
      <w:r>
        <w:rPr>
          <w:rFonts w:hint="eastAsia" w:ascii="宋体" w:hAnsi="宋体"/>
          <w:snapToGrid w:val="0"/>
          <w:kern w:val="0"/>
          <w:szCs w:val="21"/>
        </w:rPr>
        <w:t>，</w:t>
      </w:r>
      <w:r>
        <w:rPr>
          <w:rFonts w:ascii="宋体" w:hAnsi="宋体"/>
          <w:snapToGrid w:val="0"/>
          <w:kern w:val="0"/>
          <w:szCs w:val="21"/>
        </w:rPr>
        <w:t>按合同约定实施和完成承包工程，修补工程中的任何缺陷，工程质量达到</w:t>
      </w:r>
      <w:r>
        <w:rPr>
          <w:rFonts w:hint="eastAsia" w:ascii="宋体" w:hAnsi="宋体"/>
          <w:snapToGrid w:val="0"/>
          <w:kern w:val="0"/>
          <w:szCs w:val="21"/>
        </w:rPr>
        <w:t>招标文件的要求</w:t>
      </w:r>
      <w:r>
        <w:rPr>
          <w:rFonts w:ascii="宋体" w:hAnsi="宋体"/>
          <w:snapToGrid w:val="0"/>
          <w:kern w:val="0"/>
          <w:szCs w:val="21"/>
        </w:rPr>
        <w:t>。</w:t>
      </w:r>
    </w:p>
    <w:p w14:paraId="1CF60303">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2</w:t>
      </w:r>
      <w:r>
        <w:rPr>
          <w:rFonts w:hint="eastAsia" w:ascii="宋体" w:hAnsi="宋体"/>
          <w:snapToGrid w:val="0"/>
          <w:kern w:val="0"/>
          <w:szCs w:val="21"/>
        </w:rPr>
        <w:t xml:space="preserve">. </w:t>
      </w:r>
      <w:r>
        <w:rPr>
          <w:rFonts w:ascii="宋体" w:hAnsi="宋体"/>
          <w:snapToGrid w:val="0"/>
          <w:kern w:val="0"/>
          <w:szCs w:val="21"/>
        </w:rPr>
        <w:t>我方承诺</w:t>
      </w:r>
      <w:r>
        <w:rPr>
          <w:rFonts w:hint="eastAsia" w:ascii="宋体" w:hAnsi="宋体"/>
          <w:snapToGrid w:val="0"/>
          <w:kern w:val="0"/>
          <w:szCs w:val="21"/>
        </w:rPr>
        <w:t>响应招标文件规定的投标有效期，</w:t>
      </w:r>
      <w:r>
        <w:rPr>
          <w:rFonts w:ascii="宋体" w:hAnsi="宋体"/>
          <w:snapToGrid w:val="0"/>
          <w:kern w:val="0"/>
          <w:szCs w:val="21"/>
        </w:rPr>
        <w:t>在投标有效期内不修改、撤销</w:t>
      </w:r>
      <w:r>
        <w:rPr>
          <w:rFonts w:hint="eastAsia" w:ascii="宋体" w:hAnsi="宋体"/>
          <w:snapToGrid w:val="0"/>
          <w:kern w:val="0"/>
          <w:szCs w:val="21"/>
        </w:rPr>
        <w:t>投标文件</w:t>
      </w:r>
      <w:r>
        <w:rPr>
          <w:rFonts w:ascii="宋体" w:hAnsi="宋体"/>
          <w:snapToGrid w:val="0"/>
          <w:kern w:val="0"/>
          <w:szCs w:val="21"/>
        </w:rPr>
        <w:t>。</w:t>
      </w:r>
    </w:p>
    <w:p w14:paraId="11BDAABC">
      <w:pPr>
        <w:tabs>
          <w:tab w:val="left" w:pos="2730"/>
          <w:tab w:val="left" w:pos="7980"/>
        </w:tabs>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3</w:t>
      </w:r>
      <w:r>
        <w:rPr>
          <w:rFonts w:hint="eastAsia" w:ascii="宋体" w:hAnsi="宋体"/>
          <w:snapToGrid w:val="0"/>
          <w:kern w:val="0"/>
          <w:szCs w:val="21"/>
        </w:rPr>
        <w:t xml:space="preserve">. </w:t>
      </w:r>
      <w:r>
        <w:rPr>
          <w:rFonts w:ascii="宋体" w:hAnsi="宋体"/>
          <w:snapToGrid w:val="0"/>
          <w:kern w:val="0"/>
          <w:szCs w:val="21"/>
        </w:rPr>
        <w:t>随同本</w:t>
      </w:r>
      <w:r>
        <w:rPr>
          <w:rFonts w:hint="eastAsia" w:ascii="宋体" w:hAnsi="宋体"/>
          <w:snapToGrid w:val="0"/>
          <w:kern w:val="0"/>
          <w:szCs w:val="21"/>
        </w:rPr>
        <w:t>投标函</w:t>
      </w:r>
      <w:r>
        <w:rPr>
          <w:rFonts w:ascii="宋体" w:hAnsi="宋体"/>
          <w:snapToGrid w:val="0"/>
          <w:kern w:val="0"/>
          <w:szCs w:val="21"/>
        </w:rPr>
        <w:t>提交投标保证金一份，金额为人民币（大写）</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u w:val="single"/>
        </w:rPr>
        <w:t xml:space="preserve">        </w:t>
      </w:r>
      <w:r>
        <w:rPr>
          <w:rFonts w:ascii="宋体" w:hAnsi="宋体"/>
          <w:snapToGrid w:val="0"/>
          <w:kern w:val="0"/>
          <w:szCs w:val="21"/>
        </w:rPr>
        <w:t>）。投标保证金</w:t>
      </w:r>
      <w:r>
        <w:rPr>
          <w:rFonts w:hint="eastAsia" w:ascii="宋体" w:hAnsi="宋体"/>
          <w:snapToGrid w:val="0"/>
          <w:kern w:val="0"/>
          <w:szCs w:val="21"/>
        </w:rPr>
        <w:t>有效期</w:t>
      </w:r>
      <w:r>
        <w:rPr>
          <w:rFonts w:ascii="宋体" w:hAnsi="宋体"/>
          <w:snapToGrid w:val="0"/>
          <w:kern w:val="0"/>
          <w:szCs w:val="21"/>
        </w:rPr>
        <w:t>与投标</w:t>
      </w:r>
      <w:r>
        <w:rPr>
          <w:rFonts w:hint="eastAsia" w:ascii="宋体" w:hAnsi="宋体"/>
          <w:snapToGrid w:val="0"/>
          <w:kern w:val="0"/>
          <w:szCs w:val="21"/>
        </w:rPr>
        <w:t>有效期</w:t>
      </w:r>
      <w:r>
        <w:rPr>
          <w:rFonts w:ascii="宋体" w:hAnsi="宋体"/>
          <w:snapToGrid w:val="0"/>
          <w:kern w:val="0"/>
          <w:szCs w:val="21"/>
        </w:rPr>
        <w:t>一致，在此期间，若我方违反招投标有关法律、法规及本招标文件的相关规定，投标保证金的受益人为</w:t>
      </w:r>
      <w:r>
        <w:rPr>
          <w:rFonts w:hint="eastAsia" w:ascii="宋体" w:hAnsi="宋体"/>
          <w:snapToGrid w:val="0"/>
          <w:kern w:val="0"/>
          <w:szCs w:val="21"/>
        </w:rPr>
        <w:t>比选人</w:t>
      </w:r>
      <w:r>
        <w:rPr>
          <w:rFonts w:ascii="宋体" w:hAnsi="宋体"/>
          <w:snapToGrid w:val="0"/>
          <w:kern w:val="0"/>
          <w:szCs w:val="21"/>
        </w:rPr>
        <w:t>。</w:t>
      </w:r>
    </w:p>
    <w:p w14:paraId="3B1E8CB2">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4</w:t>
      </w:r>
      <w:r>
        <w:rPr>
          <w:rFonts w:hint="eastAsia" w:ascii="宋体" w:hAnsi="宋体"/>
          <w:snapToGrid w:val="0"/>
          <w:kern w:val="0"/>
          <w:szCs w:val="21"/>
        </w:rPr>
        <w:t xml:space="preserve">. </w:t>
      </w:r>
      <w:r>
        <w:rPr>
          <w:rFonts w:ascii="宋体" w:hAnsi="宋体"/>
          <w:snapToGrid w:val="0"/>
          <w:kern w:val="0"/>
          <w:szCs w:val="21"/>
        </w:rPr>
        <w:t>如我方中标：</w:t>
      </w:r>
    </w:p>
    <w:p w14:paraId="7F5FBD14">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（1）我方承诺在收到中标通知书后，在中标通知书规定的期限内与你方签订合同。</w:t>
      </w:r>
    </w:p>
    <w:p w14:paraId="6596309D">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（2）随同本</w:t>
      </w:r>
      <w:r>
        <w:rPr>
          <w:rFonts w:hint="eastAsia" w:ascii="宋体" w:hAnsi="宋体"/>
          <w:snapToGrid w:val="0"/>
          <w:kern w:val="0"/>
          <w:szCs w:val="21"/>
        </w:rPr>
        <w:t>投标函</w:t>
      </w:r>
      <w:r>
        <w:rPr>
          <w:rFonts w:ascii="宋体" w:hAnsi="宋体"/>
          <w:snapToGrid w:val="0"/>
          <w:kern w:val="0"/>
          <w:szCs w:val="21"/>
        </w:rPr>
        <w:t>递交的</w:t>
      </w:r>
      <w:r>
        <w:rPr>
          <w:rFonts w:hint="eastAsia" w:ascii="宋体" w:hAnsi="宋体"/>
          <w:snapToGrid w:val="0"/>
          <w:kern w:val="0"/>
          <w:szCs w:val="21"/>
        </w:rPr>
        <w:t>投标函</w:t>
      </w:r>
      <w:r>
        <w:rPr>
          <w:rFonts w:ascii="宋体" w:hAnsi="宋体"/>
          <w:snapToGrid w:val="0"/>
          <w:kern w:val="0"/>
          <w:szCs w:val="21"/>
        </w:rPr>
        <w:t>附录属于合同文件的组成部分。</w:t>
      </w:r>
    </w:p>
    <w:p w14:paraId="5DB14BFE">
      <w:pPr>
        <w:autoSpaceDE w:val="0"/>
        <w:autoSpaceDN w:val="0"/>
        <w:adjustRightInd w:val="0"/>
        <w:spacing w:line="400" w:lineRule="exact"/>
        <w:ind w:firstLine="420" w:firstLineChars="200"/>
        <w:rPr>
          <w:rFonts w:ascii="宋体" w:hAnsi="宋体"/>
          <w:snapToGrid w:val="0"/>
          <w:kern w:val="0"/>
          <w:sz w:val="10"/>
          <w:szCs w:val="10"/>
        </w:rPr>
      </w:pPr>
      <w:r>
        <w:rPr>
          <w:rFonts w:ascii="宋体" w:hAnsi="宋体"/>
          <w:snapToGrid w:val="0"/>
          <w:kern w:val="0"/>
          <w:szCs w:val="21"/>
        </w:rPr>
        <w:t>（3）我方承诺按照招标文件规定向你方递交履约担保。</w:t>
      </w:r>
    </w:p>
    <w:p w14:paraId="75C6973B">
      <w:pPr>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（4）我方承诺在合同约定的期限内完成并移交全部合同工程。</w:t>
      </w:r>
    </w:p>
    <w:p w14:paraId="507BB43D">
      <w:pPr>
        <w:autoSpaceDE w:val="0"/>
        <w:autoSpaceDN w:val="0"/>
        <w:adjustRightInd w:val="0"/>
        <w:spacing w:line="400" w:lineRule="exact"/>
        <w:ind w:firstLine="420" w:firstLineChars="200"/>
        <w:rPr>
          <w:rFonts w:ascii="宋体" w:hAnsi="宋体"/>
          <w:snapToGrid w:val="0"/>
          <w:kern w:val="0"/>
          <w:sz w:val="10"/>
          <w:szCs w:val="10"/>
        </w:rPr>
      </w:pPr>
      <w:r>
        <w:rPr>
          <w:rFonts w:hint="eastAsia" w:ascii="宋体" w:hAnsi="宋体"/>
          <w:snapToGrid w:val="0"/>
          <w:kern w:val="0"/>
          <w:szCs w:val="21"/>
        </w:rPr>
        <w:t>（5）我方承诺以不低于招标文件第七章 技术标准和要求中所列的技术指标和参数要求完成全部合同工程。</w:t>
      </w:r>
    </w:p>
    <w:p w14:paraId="238F4F7D">
      <w:pPr>
        <w:tabs>
          <w:tab w:val="left" w:pos="5985"/>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5</w:t>
      </w:r>
      <w:r>
        <w:rPr>
          <w:rFonts w:hint="eastAsia" w:ascii="宋体" w:hAnsi="宋体"/>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w:t>
      </w:r>
      <w:r>
        <w:rPr>
          <w:rFonts w:hint="eastAsia" w:ascii="宋体" w:hAnsi="宋体"/>
          <w:snapToGrid w:val="0"/>
          <w:spacing w:val="-2"/>
          <w:kern w:val="0"/>
          <w:szCs w:val="21"/>
        </w:rPr>
        <w:t>投标文件</w:t>
      </w:r>
      <w:r>
        <w:rPr>
          <w:rFonts w:ascii="宋体" w:hAnsi="宋体"/>
          <w:snapToGrid w:val="0"/>
          <w:spacing w:val="-2"/>
          <w:kern w:val="0"/>
          <w:szCs w:val="21"/>
        </w:rPr>
        <w:t>及有关资料内容完整、真实和准确，且不存在第二章“</w:t>
      </w:r>
      <w:r>
        <w:rPr>
          <w:rFonts w:hint="eastAsia" w:ascii="宋体" w:hAnsi="宋体"/>
          <w:snapToGrid w:val="0"/>
          <w:spacing w:val="-2"/>
          <w:kern w:val="0"/>
          <w:szCs w:val="21"/>
        </w:rPr>
        <w:t>投标人</w:t>
      </w:r>
      <w:r>
        <w:rPr>
          <w:rFonts w:ascii="宋体" w:hAnsi="宋体"/>
          <w:snapToGrid w:val="0"/>
          <w:kern w:val="0"/>
          <w:szCs w:val="21"/>
        </w:rPr>
        <w:t>须知”第 1.4.3 项规定的任何一种情形。同时我方承诺接受招标文件及附件、澄清及</w:t>
      </w:r>
      <w:r>
        <w:rPr>
          <w:rFonts w:hint="eastAsia" w:ascii="宋体" w:hAnsi="宋体"/>
          <w:snapToGrid w:val="0"/>
          <w:kern w:val="0"/>
          <w:szCs w:val="21"/>
        </w:rPr>
        <w:t>修改</w:t>
      </w:r>
      <w:r>
        <w:rPr>
          <w:rFonts w:ascii="宋体" w:hAnsi="宋体"/>
          <w:snapToGrid w:val="0"/>
          <w:kern w:val="0"/>
          <w:szCs w:val="21"/>
        </w:rPr>
        <w:t>通知中所有的内容。</w:t>
      </w:r>
    </w:p>
    <w:p w14:paraId="59A72801">
      <w:pPr>
        <w:tabs>
          <w:tab w:val="left" w:pos="5985"/>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6</w:t>
      </w:r>
      <w:r>
        <w:rPr>
          <w:rFonts w:hint="eastAsia" w:ascii="宋体" w:hAnsi="宋体"/>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（其他补充说明）</w:t>
      </w:r>
      <w:r>
        <w:rPr>
          <w:rFonts w:ascii="宋体" w:hAnsi="宋体"/>
          <w:snapToGrid w:val="0"/>
          <w:kern w:val="0"/>
          <w:szCs w:val="21"/>
        </w:rPr>
        <w:t>。</w:t>
      </w:r>
    </w:p>
    <w:p w14:paraId="45C4A0DF">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（盖</w:t>
      </w:r>
      <w:r>
        <w:rPr>
          <w:rFonts w:hint="eastAsia" w:ascii="宋体" w:hAnsi="宋体"/>
          <w:snapToGrid w:val="0"/>
          <w:kern w:val="0"/>
          <w:szCs w:val="21"/>
        </w:rPr>
        <w:t>公</w:t>
      </w:r>
      <w:r>
        <w:rPr>
          <w:rFonts w:ascii="宋体" w:hAnsi="宋体"/>
          <w:snapToGrid w:val="0"/>
          <w:kern w:val="0"/>
          <w:szCs w:val="21"/>
        </w:rPr>
        <w:t xml:space="preserve">章） </w:t>
      </w:r>
    </w:p>
    <w:p w14:paraId="401DD094">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14:paraId="32BB9E61">
      <w:pPr>
        <w:tabs>
          <w:tab w:val="left" w:pos="7035"/>
          <w:tab w:val="left" w:pos="7560"/>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地</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27372E1B">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网</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76F33BFB">
      <w:pPr>
        <w:tabs>
          <w:tab w:val="left" w:pos="8300"/>
        </w:tabs>
        <w:autoSpaceDE w:val="0"/>
        <w:autoSpaceDN w:val="0"/>
        <w:adjustRightInd w:val="0"/>
        <w:spacing w:line="400" w:lineRule="exact"/>
        <w:ind w:firstLine="420" w:firstLineChars="200"/>
        <w:rPr>
          <w:rFonts w:ascii="宋体" w:hAnsi="宋体"/>
          <w:snapToGrid w:val="0"/>
          <w:kern w:val="0"/>
          <w:szCs w:val="21"/>
          <w:u w:val="single"/>
        </w:rPr>
      </w:pPr>
      <w:r>
        <w:rPr>
          <w:rFonts w:hint="eastAsia" w:ascii="宋体" w:hAnsi="宋体"/>
          <w:snapToGrid w:val="0"/>
          <w:kern w:val="0"/>
          <w:szCs w:val="21"/>
        </w:rPr>
        <w:t>单位电话（座机）：</w:t>
      </w:r>
      <w:r>
        <w:rPr>
          <w:rFonts w:hint="eastAsia" w:ascii="宋体" w:hAnsi="宋体"/>
          <w:snapToGrid w:val="0"/>
          <w:kern w:val="0"/>
          <w:szCs w:val="21"/>
          <w:u w:val="single"/>
        </w:rPr>
        <w:t xml:space="preserve">                      </w:t>
      </w:r>
      <w:r>
        <w:rPr>
          <w:rFonts w:hint="eastAsia" w:ascii="宋体" w:hAnsi="宋体"/>
          <w:snapToGrid w:val="0"/>
          <w:kern w:val="0"/>
          <w:szCs w:val="21"/>
        </w:rPr>
        <w:t>委托代理人电话（手机）：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03031A7D">
      <w:pPr>
        <w:tabs>
          <w:tab w:val="left" w:pos="8300"/>
        </w:tabs>
        <w:autoSpaceDE w:val="0"/>
        <w:autoSpaceDN w:val="0"/>
        <w:adjustRightInd w:val="0"/>
        <w:spacing w:line="400" w:lineRule="exact"/>
        <w:ind w:firstLine="420" w:firstLineChars="200"/>
        <w:rPr>
          <w:rFonts w:ascii="宋体" w:hAnsi="宋体"/>
          <w:snapToGrid w:val="0"/>
          <w:kern w:val="0"/>
          <w:szCs w:val="21"/>
        </w:rPr>
      </w:pPr>
      <w:r>
        <w:rPr>
          <w:rFonts w:ascii="宋体" w:hAnsi="宋体"/>
          <w:snapToGrid w:val="0"/>
          <w:kern w:val="0"/>
          <w:szCs w:val="21"/>
        </w:rPr>
        <w:t>传</w:t>
      </w:r>
      <w:r>
        <w:rPr>
          <w:rFonts w:hint="eastAsia" w:ascii="宋体" w:hAnsi="宋体"/>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1FBE3939">
      <w:pPr>
        <w:tabs>
          <w:tab w:val="left" w:pos="8300"/>
        </w:tabs>
        <w:autoSpaceDE w:val="0"/>
        <w:autoSpaceDN w:val="0"/>
        <w:adjustRightInd w:val="0"/>
        <w:spacing w:line="400" w:lineRule="exact"/>
        <w:ind w:firstLine="420" w:firstLineChars="200"/>
        <w:rPr>
          <w:rFonts w:ascii="宋体" w:hAnsi="宋体"/>
          <w:snapToGrid w:val="0"/>
          <w:kern w:val="0"/>
          <w:szCs w:val="21"/>
          <w:u w:val="single"/>
        </w:rPr>
      </w:pPr>
      <w:r>
        <w:rPr>
          <w:rFonts w:ascii="宋体" w:hAnsi="宋体"/>
          <w:snapToGrid w:val="0"/>
          <w:kern w:val="0"/>
          <w:szCs w:val="21"/>
        </w:rPr>
        <w:t>邮政编码：</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06778C8A">
      <w:pPr>
        <w:tabs>
          <w:tab w:val="left" w:pos="8300"/>
        </w:tabs>
        <w:autoSpaceDE w:val="0"/>
        <w:autoSpaceDN w:val="0"/>
        <w:adjustRightInd w:val="0"/>
        <w:spacing w:line="400" w:lineRule="exact"/>
        <w:ind w:firstLine="400" w:firstLineChars="200"/>
        <w:rPr>
          <w:rFonts w:ascii="宋体" w:hAnsi="宋体"/>
          <w:snapToGrid w:val="0"/>
          <w:kern w:val="0"/>
          <w:sz w:val="20"/>
          <w:szCs w:val="20"/>
        </w:rPr>
      </w:pPr>
    </w:p>
    <w:p w14:paraId="0FF57563">
      <w:pPr>
        <w:tabs>
          <w:tab w:val="left" w:pos="8300"/>
        </w:tabs>
        <w:autoSpaceDE w:val="0"/>
        <w:autoSpaceDN w:val="0"/>
        <w:adjustRightInd w:val="0"/>
        <w:spacing w:line="400" w:lineRule="exact"/>
        <w:ind w:firstLine="420" w:firstLineChars="200"/>
        <w:jc w:val="right"/>
        <w:rPr>
          <w:rFonts w:ascii="宋体" w:hAnsi="宋体"/>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158AA7C7">
      <w:pPr>
        <w:tabs>
          <w:tab w:val="left" w:pos="8300"/>
        </w:tabs>
        <w:autoSpaceDE w:val="0"/>
        <w:autoSpaceDN w:val="0"/>
        <w:adjustRightInd w:val="0"/>
        <w:spacing w:line="400" w:lineRule="exact"/>
        <w:ind w:firstLine="420" w:firstLineChars="200"/>
        <w:jc w:val="right"/>
        <w:rPr>
          <w:rFonts w:ascii="宋体" w:hAnsi="宋体"/>
          <w:kern w:val="0"/>
          <w:szCs w:val="21"/>
        </w:rPr>
      </w:pPr>
    </w:p>
    <w:p w14:paraId="485DFAD5">
      <w:pPr>
        <w:tabs>
          <w:tab w:val="left" w:pos="8300"/>
        </w:tabs>
        <w:autoSpaceDE w:val="0"/>
        <w:autoSpaceDN w:val="0"/>
        <w:adjustRightInd w:val="0"/>
        <w:spacing w:line="400" w:lineRule="exact"/>
        <w:ind w:firstLine="400" w:firstLineChars="200"/>
        <w:jc w:val="right"/>
        <w:rPr>
          <w:rFonts w:ascii="宋体" w:hAnsi="宋体"/>
          <w:snapToGrid w:val="0"/>
          <w:kern w:val="0"/>
          <w:sz w:val="20"/>
          <w:szCs w:val="20"/>
        </w:rPr>
      </w:pPr>
    </w:p>
    <w:p w14:paraId="1C365DBC">
      <w:pPr>
        <w:pStyle w:val="5"/>
        <w:jc w:val="center"/>
        <w:rPr>
          <w:rFonts w:ascii="宋体" w:hAnsi="宋体"/>
          <w:snapToGrid w:val="0"/>
          <w:kern w:val="0"/>
          <w:szCs w:val="21"/>
        </w:rPr>
      </w:pPr>
      <w:bookmarkStart w:id="1492" w:name="_Toc430530531"/>
      <w:bookmarkStart w:id="1493" w:name="_Toc287620815"/>
      <w:bookmarkStart w:id="1494" w:name="_Toc224103496"/>
      <w:bookmarkStart w:id="1495" w:name="_Toc277082644"/>
      <w:bookmarkStart w:id="1496" w:name="_Toc287607868"/>
      <w:r>
        <w:rPr>
          <w:rFonts w:ascii="宋体" w:hAnsi="宋体"/>
          <w:sz w:val="28"/>
        </w:rPr>
        <w:br w:type="page"/>
      </w:r>
      <w:bookmarkStart w:id="1497" w:name="_Toc216768228"/>
      <w:bookmarkStart w:id="1498" w:name="_Toc30967"/>
      <w:bookmarkStart w:id="1499" w:name="_Toc6045"/>
      <w:bookmarkStart w:id="1500" w:name="_Toc534185832"/>
      <w:bookmarkStart w:id="1501" w:name="_Toc509218855"/>
      <w:r>
        <w:t>（二）</w:t>
      </w:r>
      <w:r>
        <w:rPr>
          <w:rFonts w:hint="eastAsia"/>
        </w:rPr>
        <w:t>投标函</w:t>
      </w:r>
      <w:r>
        <w:t>附录</w:t>
      </w:r>
      <w:bookmarkEnd w:id="1492"/>
      <w:bookmarkEnd w:id="1493"/>
      <w:bookmarkEnd w:id="1494"/>
      <w:bookmarkEnd w:id="1495"/>
      <w:bookmarkEnd w:id="1496"/>
      <w:bookmarkEnd w:id="1497"/>
      <w:bookmarkEnd w:id="1498"/>
      <w:bookmarkEnd w:id="1499"/>
      <w:bookmarkEnd w:id="1500"/>
      <w:bookmarkEnd w:id="1501"/>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14:paraId="7D8724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06915340">
            <w:pPr>
              <w:autoSpaceDE w:val="0"/>
              <w:autoSpaceDN w:val="0"/>
              <w:adjustRightInd w:val="0"/>
              <w:jc w:val="center"/>
              <w:rPr>
                <w:rFonts w:ascii="宋体" w:hAnsi="宋体"/>
                <w:snapToGrid w:val="0"/>
                <w:kern w:val="0"/>
                <w:szCs w:val="21"/>
              </w:rPr>
            </w:pPr>
            <w:r>
              <w:rPr>
                <w:rFonts w:ascii="宋体" w:hAnsi="宋体"/>
                <w:snapToGrid w:val="0"/>
                <w:kern w:val="0"/>
                <w:szCs w:val="21"/>
              </w:rPr>
              <w:t>序号</w:t>
            </w:r>
          </w:p>
        </w:tc>
        <w:tc>
          <w:tcPr>
            <w:tcW w:w="2582" w:type="dxa"/>
            <w:vAlign w:val="center"/>
          </w:tcPr>
          <w:p w14:paraId="7A2AD912">
            <w:pPr>
              <w:autoSpaceDE w:val="0"/>
              <w:autoSpaceDN w:val="0"/>
              <w:adjustRightInd w:val="0"/>
              <w:jc w:val="center"/>
              <w:rPr>
                <w:rFonts w:ascii="宋体" w:hAnsi="宋体"/>
                <w:snapToGrid w:val="0"/>
                <w:kern w:val="0"/>
                <w:szCs w:val="21"/>
              </w:rPr>
            </w:pPr>
            <w:r>
              <w:rPr>
                <w:rFonts w:ascii="宋体" w:hAnsi="宋体"/>
                <w:snapToGrid w:val="0"/>
                <w:kern w:val="0"/>
                <w:szCs w:val="21"/>
              </w:rPr>
              <w:t>条款名称</w:t>
            </w:r>
          </w:p>
        </w:tc>
        <w:tc>
          <w:tcPr>
            <w:tcW w:w="2388" w:type="dxa"/>
            <w:vAlign w:val="center"/>
          </w:tcPr>
          <w:p w14:paraId="30A788AB">
            <w:pPr>
              <w:autoSpaceDE w:val="0"/>
              <w:autoSpaceDN w:val="0"/>
              <w:adjustRightInd w:val="0"/>
              <w:jc w:val="center"/>
              <w:rPr>
                <w:rFonts w:ascii="宋体" w:hAnsi="宋体"/>
                <w:snapToGrid w:val="0"/>
                <w:kern w:val="0"/>
                <w:szCs w:val="21"/>
              </w:rPr>
            </w:pPr>
            <w:r>
              <w:rPr>
                <w:rFonts w:ascii="宋体" w:hAnsi="宋体"/>
                <w:snapToGrid w:val="0"/>
                <w:kern w:val="0"/>
                <w:szCs w:val="21"/>
              </w:rPr>
              <w:t>合同条款号</w:t>
            </w:r>
          </w:p>
        </w:tc>
        <w:tc>
          <w:tcPr>
            <w:tcW w:w="2987" w:type="dxa"/>
            <w:vAlign w:val="center"/>
          </w:tcPr>
          <w:p w14:paraId="332CB8AB">
            <w:pPr>
              <w:autoSpaceDE w:val="0"/>
              <w:autoSpaceDN w:val="0"/>
              <w:adjustRightInd w:val="0"/>
              <w:jc w:val="center"/>
              <w:rPr>
                <w:rFonts w:ascii="宋体" w:hAnsi="宋体"/>
                <w:snapToGrid w:val="0"/>
                <w:kern w:val="0"/>
                <w:szCs w:val="21"/>
              </w:rPr>
            </w:pPr>
            <w:r>
              <w:rPr>
                <w:rFonts w:ascii="宋体" w:hAnsi="宋体"/>
                <w:snapToGrid w:val="0"/>
                <w:kern w:val="0"/>
                <w:szCs w:val="21"/>
              </w:rPr>
              <w:t>约定内容</w:t>
            </w:r>
          </w:p>
        </w:tc>
        <w:tc>
          <w:tcPr>
            <w:tcW w:w="792" w:type="dxa"/>
            <w:vAlign w:val="center"/>
          </w:tcPr>
          <w:p w14:paraId="4F997308">
            <w:pPr>
              <w:autoSpaceDE w:val="0"/>
              <w:autoSpaceDN w:val="0"/>
              <w:adjustRightInd w:val="0"/>
              <w:jc w:val="center"/>
              <w:rPr>
                <w:rFonts w:ascii="宋体" w:hAnsi="宋体"/>
                <w:snapToGrid w:val="0"/>
                <w:kern w:val="0"/>
                <w:szCs w:val="21"/>
              </w:rPr>
            </w:pPr>
            <w:r>
              <w:rPr>
                <w:rFonts w:ascii="宋体" w:hAnsi="宋体"/>
                <w:snapToGrid w:val="0"/>
                <w:kern w:val="0"/>
                <w:szCs w:val="21"/>
              </w:rPr>
              <w:t>备注</w:t>
            </w:r>
          </w:p>
        </w:tc>
      </w:tr>
      <w:tr w14:paraId="763030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3BADDEE3">
            <w:pPr>
              <w:autoSpaceDE w:val="0"/>
              <w:autoSpaceDN w:val="0"/>
              <w:adjustRightInd w:val="0"/>
              <w:jc w:val="center"/>
              <w:rPr>
                <w:rFonts w:ascii="宋体" w:hAnsi="宋体"/>
                <w:snapToGrid w:val="0"/>
                <w:kern w:val="0"/>
                <w:szCs w:val="21"/>
              </w:rPr>
            </w:pPr>
            <w:r>
              <w:rPr>
                <w:rFonts w:hint="eastAsia" w:ascii="宋体" w:hAnsi="宋体"/>
                <w:snapToGrid w:val="0"/>
                <w:kern w:val="0"/>
                <w:szCs w:val="21"/>
              </w:rPr>
              <w:t>1</w:t>
            </w:r>
          </w:p>
        </w:tc>
        <w:tc>
          <w:tcPr>
            <w:tcW w:w="2582" w:type="dxa"/>
            <w:vAlign w:val="center"/>
          </w:tcPr>
          <w:p w14:paraId="41DB056A">
            <w:pPr>
              <w:autoSpaceDE w:val="0"/>
              <w:autoSpaceDN w:val="0"/>
              <w:adjustRightInd w:val="0"/>
              <w:jc w:val="center"/>
              <w:rPr>
                <w:rFonts w:ascii="宋体" w:hAnsi="宋体"/>
                <w:snapToGrid w:val="0"/>
                <w:kern w:val="0"/>
                <w:szCs w:val="21"/>
              </w:rPr>
            </w:pPr>
            <w:r>
              <w:rPr>
                <w:rFonts w:ascii="宋体" w:hAnsi="宋体"/>
                <w:snapToGrid w:val="0"/>
                <w:kern w:val="0"/>
                <w:szCs w:val="21"/>
              </w:rPr>
              <w:t>工期</w:t>
            </w:r>
          </w:p>
        </w:tc>
        <w:tc>
          <w:tcPr>
            <w:tcW w:w="2388" w:type="dxa"/>
            <w:vAlign w:val="center"/>
          </w:tcPr>
          <w:p w14:paraId="54CD617B">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1.1.4.3</w:t>
            </w:r>
          </w:p>
        </w:tc>
        <w:tc>
          <w:tcPr>
            <w:tcW w:w="2987" w:type="dxa"/>
            <w:vAlign w:val="center"/>
          </w:tcPr>
          <w:p w14:paraId="51355C2D">
            <w:pPr>
              <w:tabs>
                <w:tab w:val="left" w:pos="1560"/>
              </w:tabs>
              <w:autoSpaceDE w:val="0"/>
              <w:autoSpaceDN w:val="0"/>
              <w:adjustRightInd w:val="0"/>
              <w:ind w:firstLine="630" w:firstLineChars="300"/>
              <w:jc w:val="center"/>
              <w:rPr>
                <w:rFonts w:ascii="宋体" w:hAnsi="宋体"/>
                <w:snapToGrid w:val="0"/>
                <w:kern w:val="0"/>
                <w:szCs w:val="21"/>
              </w:rPr>
            </w:pPr>
            <w:r>
              <w:rPr>
                <w:rFonts w:hint="eastAsia" w:ascii="宋体" w:hAnsi="宋体"/>
                <w:snapToGrid w:val="0"/>
                <w:kern w:val="0"/>
                <w:szCs w:val="21"/>
              </w:rPr>
              <w:t>日历天</w:t>
            </w:r>
          </w:p>
        </w:tc>
        <w:tc>
          <w:tcPr>
            <w:tcW w:w="792" w:type="dxa"/>
            <w:vAlign w:val="center"/>
          </w:tcPr>
          <w:p w14:paraId="5451D3FA">
            <w:pPr>
              <w:autoSpaceDE w:val="0"/>
              <w:autoSpaceDN w:val="0"/>
              <w:adjustRightInd w:val="0"/>
              <w:jc w:val="center"/>
              <w:rPr>
                <w:rFonts w:ascii="宋体" w:hAnsi="宋体"/>
                <w:snapToGrid w:val="0"/>
                <w:kern w:val="0"/>
                <w:szCs w:val="21"/>
              </w:rPr>
            </w:pPr>
          </w:p>
        </w:tc>
      </w:tr>
      <w:tr w14:paraId="562C19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5F4C8B27">
            <w:pPr>
              <w:autoSpaceDE w:val="0"/>
              <w:autoSpaceDN w:val="0"/>
              <w:adjustRightInd w:val="0"/>
              <w:jc w:val="center"/>
              <w:rPr>
                <w:rFonts w:ascii="宋体" w:hAnsi="宋体"/>
                <w:snapToGrid w:val="0"/>
                <w:kern w:val="0"/>
                <w:szCs w:val="21"/>
              </w:rPr>
            </w:pPr>
            <w:r>
              <w:rPr>
                <w:rFonts w:hint="eastAsia" w:ascii="宋体" w:hAnsi="宋体"/>
                <w:snapToGrid w:val="0"/>
                <w:kern w:val="0"/>
                <w:szCs w:val="21"/>
              </w:rPr>
              <w:t>2</w:t>
            </w:r>
          </w:p>
        </w:tc>
        <w:tc>
          <w:tcPr>
            <w:tcW w:w="2582" w:type="dxa"/>
            <w:vAlign w:val="center"/>
          </w:tcPr>
          <w:p w14:paraId="5B4B0F75">
            <w:pPr>
              <w:autoSpaceDE w:val="0"/>
              <w:autoSpaceDN w:val="0"/>
              <w:adjustRightInd w:val="0"/>
              <w:jc w:val="center"/>
              <w:rPr>
                <w:rFonts w:ascii="宋体" w:hAnsi="宋体"/>
                <w:snapToGrid w:val="0"/>
                <w:kern w:val="0"/>
                <w:szCs w:val="21"/>
              </w:rPr>
            </w:pPr>
            <w:r>
              <w:rPr>
                <w:rFonts w:ascii="宋体" w:hAnsi="宋体"/>
                <w:snapToGrid w:val="0"/>
                <w:kern w:val="0"/>
                <w:szCs w:val="21"/>
              </w:rPr>
              <w:t>分包</w:t>
            </w:r>
          </w:p>
        </w:tc>
        <w:tc>
          <w:tcPr>
            <w:tcW w:w="2388" w:type="dxa"/>
            <w:vAlign w:val="center"/>
          </w:tcPr>
          <w:p w14:paraId="1AA607F1">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3.5</w:t>
            </w:r>
          </w:p>
        </w:tc>
        <w:tc>
          <w:tcPr>
            <w:tcW w:w="2987" w:type="dxa"/>
            <w:vAlign w:val="center"/>
          </w:tcPr>
          <w:p w14:paraId="048D36B9">
            <w:pPr>
              <w:autoSpaceDE w:val="0"/>
              <w:autoSpaceDN w:val="0"/>
              <w:adjustRightInd w:val="0"/>
              <w:jc w:val="center"/>
              <w:rPr>
                <w:rFonts w:ascii="宋体" w:hAnsi="宋体"/>
                <w:snapToGrid w:val="0"/>
                <w:kern w:val="0"/>
                <w:szCs w:val="21"/>
              </w:rPr>
            </w:pPr>
            <w:r>
              <w:rPr>
                <w:rFonts w:hint="eastAsia" w:ascii="宋体" w:hAnsi="宋体"/>
                <w:snapToGrid w:val="0"/>
                <w:kern w:val="0"/>
                <w:szCs w:val="21"/>
              </w:rPr>
              <w:t>不允许</w:t>
            </w:r>
          </w:p>
        </w:tc>
        <w:tc>
          <w:tcPr>
            <w:tcW w:w="792" w:type="dxa"/>
            <w:vAlign w:val="center"/>
          </w:tcPr>
          <w:p w14:paraId="24732C45">
            <w:pPr>
              <w:autoSpaceDE w:val="0"/>
              <w:autoSpaceDN w:val="0"/>
              <w:adjustRightInd w:val="0"/>
              <w:jc w:val="center"/>
              <w:rPr>
                <w:rFonts w:ascii="宋体" w:hAnsi="宋体"/>
                <w:snapToGrid w:val="0"/>
                <w:kern w:val="0"/>
                <w:szCs w:val="21"/>
              </w:rPr>
            </w:pPr>
          </w:p>
        </w:tc>
      </w:tr>
      <w:tr w14:paraId="2EDC2C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0FEA2A9A">
            <w:pPr>
              <w:autoSpaceDE w:val="0"/>
              <w:autoSpaceDN w:val="0"/>
              <w:adjustRightInd w:val="0"/>
              <w:jc w:val="center"/>
              <w:rPr>
                <w:rFonts w:ascii="宋体" w:hAnsi="宋体"/>
                <w:snapToGrid w:val="0"/>
                <w:kern w:val="0"/>
                <w:szCs w:val="21"/>
              </w:rPr>
            </w:pPr>
            <w:r>
              <w:rPr>
                <w:rFonts w:hint="eastAsia" w:ascii="宋体" w:hAnsi="宋体"/>
                <w:snapToGrid w:val="0"/>
                <w:kern w:val="0"/>
                <w:szCs w:val="21"/>
              </w:rPr>
              <w:t>3</w:t>
            </w:r>
          </w:p>
        </w:tc>
        <w:tc>
          <w:tcPr>
            <w:tcW w:w="2582" w:type="dxa"/>
            <w:vAlign w:val="center"/>
          </w:tcPr>
          <w:p w14:paraId="1168797F">
            <w:pPr>
              <w:autoSpaceDE w:val="0"/>
              <w:autoSpaceDN w:val="0"/>
              <w:adjustRightInd w:val="0"/>
              <w:jc w:val="center"/>
              <w:rPr>
                <w:rFonts w:ascii="宋体" w:hAnsi="宋体"/>
                <w:snapToGrid w:val="0"/>
                <w:kern w:val="0"/>
                <w:szCs w:val="21"/>
              </w:rPr>
            </w:pPr>
            <w:r>
              <w:rPr>
                <w:rFonts w:hint="eastAsia" w:ascii="宋体" w:hAnsi="宋体"/>
                <w:snapToGrid w:val="0"/>
                <w:kern w:val="0"/>
                <w:szCs w:val="21"/>
              </w:rPr>
              <w:t>工程质量</w:t>
            </w:r>
          </w:p>
        </w:tc>
        <w:tc>
          <w:tcPr>
            <w:tcW w:w="2388" w:type="dxa"/>
            <w:vAlign w:val="center"/>
          </w:tcPr>
          <w:p w14:paraId="01C413A8">
            <w:pPr>
              <w:tabs>
                <w:tab w:val="left" w:pos="2051"/>
              </w:tabs>
              <w:autoSpaceDE w:val="0"/>
              <w:autoSpaceDN w:val="0"/>
              <w:adjustRightInd w:val="0"/>
              <w:jc w:val="center"/>
              <w:rPr>
                <w:rFonts w:ascii="宋体" w:hAnsi="宋体"/>
                <w:snapToGrid w:val="0"/>
                <w:kern w:val="0"/>
                <w:szCs w:val="21"/>
              </w:rPr>
            </w:pPr>
            <w:r>
              <w:rPr>
                <w:rFonts w:hint="eastAsia" w:ascii="宋体" w:hAnsi="宋体"/>
                <w:snapToGrid w:val="0"/>
                <w:kern w:val="0"/>
                <w:szCs w:val="21"/>
              </w:rPr>
              <w:t>5.1</w:t>
            </w:r>
          </w:p>
        </w:tc>
        <w:tc>
          <w:tcPr>
            <w:tcW w:w="2987" w:type="dxa"/>
            <w:vAlign w:val="center"/>
          </w:tcPr>
          <w:p w14:paraId="65CB1729">
            <w:pPr>
              <w:autoSpaceDE w:val="0"/>
              <w:autoSpaceDN w:val="0"/>
              <w:adjustRightInd w:val="0"/>
              <w:jc w:val="center"/>
              <w:rPr>
                <w:rFonts w:ascii="宋体" w:hAnsi="宋体"/>
                <w:snapToGrid w:val="0"/>
                <w:kern w:val="0"/>
                <w:szCs w:val="21"/>
              </w:rPr>
            </w:pPr>
            <w:r>
              <w:rPr>
                <w:rFonts w:hint="eastAsia" w:ascii="宋体" w:hAnsi="宋体"/>
                <w:snapToGrid w:val="0"/>
                <w:kern w:val="0"/>
                <w:szCs w:val="21"/>
              </w:rPr>
              <w:t>合格</w:t>
            </w:r>
          </w:p>
        </w:tc>
        <w:tc>
          <w:tcPr>
            <w:tcW w:w="792" w:type="dxa"/>
            <w:vAlign w:val="center"/>
          </w:tcPr>
          <w:p w14:paraId="2E35704F">
            <w:pPr>
              <w:autoSpaceDE w:val="0"/>
              <w:autoSpaceDN w:val="0"/>
              <w:adjustRightInd w:val="0"/>
              <w:jc w:val="center"/>
              <w:rPr>
                <w:rFonts w:ascii="宋体" w:hAnsi="宋体"/>
                <w:snapToGrid w:val="0"/>
                <w:kern w:val="0"/>
                <w:szCs w:val="21"/>
              </w:rPr>
            </w:pPr>
          </w:p>
        </w:tc>
      </w:tr>
      <w:tr w14:paraId="4993C0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360FCD2A">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582" w:type="dxa"/>
            <w:vAlign w:val="center"/>
          </w:tcPr>
          <w:p w14:paraId="4169E8B0">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14:paraId="24ECDD83">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14:paraId="17A543B4">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792" w:type="dxa"/>
            <w:vAlign w:val="center"/>
          </w:tcPr>
          <w:p w14:paraId="55CA8997">
            <w:pPr>
              <w:autoSpaceDE w:val="0"/>
              <w:autoSpaceDN w:val="0"/>
              <w:adjustRightInd w:val="0"/>
              <w:jc w:val="center"/>
              <w:rPr>
                <w:rFonts w:ascii="宋体" w:hAnsi="宋体"/>
                <w:snapToGrid w:val="0"/>
                <w:kern w:val="0"/>
                <w:szCs w:val="21"/>
              </w:rPr>
            </w:pPr>
          </w:p>
        </w:tc>
      </w:tr>
      <w:tr w14:paraId="33E3B5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0B30AD68">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582" w:type="dxa"/>
            <w:vAlign w:val="center"/>
          </w:tcPr>
          <w:p w14:paraId="56919876">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14:paraId="08679175">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14:paraId="1B34E68F">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792" w:type="dxa"/>
            <w:vAlign w:val="center"/>
          </w:tcPr>
          <w:p w14:paraId="4377EC65">
            <w:pPr>
              <w:autoSpaceDE w:val="0"/>
              <w:autoSpaceDN w:val="0"/>
              <w:adjustRightInd w:val="0"/>
              <w:jc w:val="center"/>
              <w:rPr>
                <w:rFonts w:ascii="宋体" w:hAnsi="宋体"/>
                <w:snapToGrid w:val="0"/>
                <w:kern w:val="0"/>
                <w:szCs w:val="21"/>
              </w:rPr>
            </w:pPr>
          </w:p>
        </w:tc>
      </w:tr>
    </w:tbl>
    <w:p w14:paraId="56D2A0B1">
      <w:pPr>
        <w:spacing w:line="360" w:lineRule="auto"/>
        <w:rPr>
          <w:rFonts w:ascii="宋体" w:hAnsi="宋体"/>
          <w:snapToGrid w:val="0"/>
          <w:w w:val="99"/>
        </w:rPr>
      </w:pPr>
    </w:p>
    <w:p w14:paraId="1FF041E1">
      <w:pPr>
        <w:spacing w:line="360" w:lineRule="auto"/>
        <w:rPr>
          <w:rFonts w:ascii="宋体" w:hAnsi="宋体"/>
          <w:snapToGrid w:val="0"/>
        </w:rPr>
      </w:pPr>
    </w:p>
    <w:p w14:paraId="77E7EFFB">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盖公章</w:t>
      </w:r>
      <w:r>
        <w:rPr>
          <w:rFonts w:ascii="宋体" w:hAnsi="宋体"/>
          <w:snapToGrid w:val="0"/>
          <w:kern w:val="0"/>
          <w:szCs w:val="21"/>
        </w:rPr>
        <w:t xml:space="preserve">） </w:t>
      </w:r>
    </w:p>
    <w:p w14:paraId="49921D30">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kern w:val="0"/>
          <w:szCs w:val="21"/>
        </w:rPr>
      </w:pPr>
      <w:r>
        <w:rPr>
          <w:rFonts w:hint="eastAsia" w:ascii="宋体" w:hAnsi="宋体"/>
          <w:snapToGrid w:val="0"/>
          <w:kern w:val="0"/>
          <w:szCs w:val="21"/>
        </w:rPr>
        <w:t xml:space="preserve">   </w:t>
      </w:r>
    </w:p>
    <w:p w14:paraId="03FCAB90">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 xml:space="preserve">或盖章） </w:t>
      </w:r>
    </w:p>
    <w:p w14:paraId="75124972">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kern w:val="0"/>
          <w:szCs w:val="21"/>
        </w:rPr>
      </w:pPr>
    </w:p>
    <w:p w14:paraId="55A7DD69">
      <w:pPr>
        <w:pStyle w:val="5"/>
        <w:jc w:val="center"/>
        <w:rPr>
          <w:rFonts w:ascii="宋体" w:hAnsi="宋体"/>
          <w:b w:val="0"/>
          <w:snapToGrid w:val="0"/>
          <w:kern w:val="0"/>
          <w:sz w:val="30"/>
          <w:szCs w:val="30"/>
        </w:rPr>
      </w:pPr>
      <w:r>
        <w:rPr>
          <w:rFonts w:ascii="宋体" w:hAnsi="宋体"/>
          <w:snapToGrid w:val="0"/>
        </w:rPr>
        <w:br w:type="page"/>
      </w:r>
      <w:bookmarkStart w:id="1502" w:name="_Toc287620816"/>
      <w:bookmarkStart w:id="1503" w:name="_Toc20860"/>
      <w:bookmarkStart w:id="1504" w:name="_Toc8650"/>
      <w:bookmarkStart w:id="1505" w:name="_Toc287607869"/>
      <w:bookmarkStart w:id="1506" w:name="_Toc430530532"/>
      <w:bookmarkStart w:id="1507" w:name="_Toc216768229"/>
      <w:bookmarkStart w:id="1508" w:name="_Toc224103497"/>
      <w:bookmarkStart w:id="1509" w:name="_Toc277082645"/>
      <w:r>
        <w:rPr>
          <w:sz w:val="30"/>
          <w:szCs w:val="30"/>
        </w:rPr>
        <w:t>（三）</w:t>
      </w:r>
      <w:r>
        <w:rPr>
          <w:rFonts w:hint="eastAsia"/>
          <w:sz w:val="30"/>
          <w:szCs w:val="30"/>
        </w:rPr>
        <w:t>法定代表人身份证明或附有法定代表人身份证明的授权委托书</w:t>
      </w:r>
      <w:bookmarkEnd w:id="1502"/>
      <w:bookmarkEnd w:id="1503"/>
      <w:bookmarkEnd w:id="1504"/>
      <w:bookmarkEnd w:id="1505"/>
      <w:bookmarkEnd w:id="1506"/>
      <w:bookmarkEnd w:id="1507"/>
      <w:bookmarkEnd w:id="1508"/>
      <w:bookmarkEnd w:id="1509"/>
    </w:p>
    <w:p w14:paraId="6FD24A85">
      <w:pPr>
        <w:spacing w:line="480" w:lineRule="auto"/>
        <w:jc w:val="center"/>
        <w:rPr>
          <w:rFonts w:ascii="宋体" w:hAnsi="宋体"/>
          <w:sz w:val="28"/>
        </w:rPr>
      </w:pPr>
      <w:r>
        <w:rPr>
          <w:rFonts w:hint="eastAsia" w:ascii="宋体" w:hAnsi="宋体"/>
          <w:sz w:val="28"/>
        </w:rPr>
        <w:t>法定代表人身份证明</w:t>
      </w:r>
    </w:p>
    <w:p w14:paraId="1885D554">
      <w:pPr>
        <w:spacing w:line="480" w:lineRule="auto"/>
        <w:jc w:val="center"/>
        <w:rPr>
          <w:rFonts w:ascii="宋体" w:hAnsi="宋体"/>
        </w:rPr>
      </w:pPr>
    </w:p>
    <w:p w14:paraId="6811425E">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hint="eastAsia" w:ascii="宋体" w:hAnsi="宋体"/>
          <w:kern w:val="0"/>
          <w:szCs w:val="21"/>
        </w:rPr>
        <w:t>投标人</w:t>
      </w:r>
      <w:r>
        <w:rPr>
          <w:rFonts w:ascii="宋体" w:hAnsi="宋体"/>
          <w:kern w:val="0"/>
          <w:szCs w:val="21"/>
        </w:rPr>
        <w:t>名称：</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5251CF01">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0816433F">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76A72F8E">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20315400">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7A04C934">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14:paraId="67632982">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u w:val="single"/>
        </w:rPr>
        <w:t>投标人</w:t>
      </w:r>
      <w:r>
        <w:rPr>
          <w:rFonts w:ascii="宋体" w:hAnsi="宋体"/>
          <w:kern w:val="0"/>
          <w:szCs w:val="21"/>
          <w:u w:val="single"/>
        </w:rPr>
        <w:t>名称）</w:t>
      </w:r>
      <w:r>
        <w:rPr>
          <w:rFonts w:ascii="宋体" w:hAnsi="宋体"/>
          <w:kern w:val="0"/>
          <w:szCs w:val="21"/>
        </w:rPr>
        <w:t>的法定代表人。</w:t>
      </w:r>
    </w:p>
    <w:p w14:paraId="54CD5AF3">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14:paraId="68E2C2C4">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附：法定代表人身份证复印件（双面）</w:t>
      </w:r>
    </w:p>
    <w:p w14:paraId="3F13C1F0">
      <w:pPr>
        <w:pStyle w:val="2"/>
        <w:spacing w:after="0" w:line="360" w:lineRule="auto"/>
        <w:rPr>
          <w:rFonts w:ascii="宋体" w:hAnsi="宋体"/>
          <w:szCs w:val="21"/>
        </w:rPr>
      </w:pPr>
    </w:p>
    <w:p w14:paraId="0E386354">
      <w:pPr>
        <w:pStyle w:val="2"/>
        <w:spacing w:after="0" w:line="360" w:lineRule="auto"/>
        <w:rPr>
          <w:rFonts w:ascii="宋体" w:hAnsi="宋体"/>
          <w:szCs w:val="21"/>
        </w:rPr>
      </w:pPr>
    </w:p>
    <w:p w14:paraId="4D85F4D1">
      <w:pPr>
        <w:pStyle w:val="2"/>
        <w:spacing w:after="0" w:line="360" w:lineRule="auto"/>
        <w:rPr>
          <w:rFonts w:ascii="宋体" w:hAnsi="宋体"/>
          <w:szCs w:val="21"/>
        </w:rPr>
      </w:pPr>
    </w:p>
    <w:p w14:paraId="5A28AEF8">
      <w:pPr>
        <w:pStyle w:val="2"/>
        <w:spacing w:after="0" w:line="360" w:lineRule="auto"/>
        <w:rPr>
          <w:rFonts w:ascii="宋体" w:hAnsi="宋体"/>
          <w:szCs w:val="21"/>
        </w:rPr>
      </w:pPr>
    </w:p>
    <w:p w14:paraId="7F3EA059">
      <w:pPr>
        <w:pStyle w:val="2"/>
        <w:spacing w:after="0" w:line="360" w:lineRule="auto"/>
        <w:rPr>
          <w:rFonts w:ascii="宋体" w:hAnsi="宋体"/>
          <w:szCs w:val="21"/>
        </w:rPr>
      </w:pPr>
    </w:p>
    <w:p w14:paraId="693A01F8">
      <w:pPr>
        <w:pStyle w:val="2"/>
        <w:spacing w:after="0" w:line="360" w:lineRule="auto"/>
        <w:rPr>
          <w:rFonts w:ascii="宋体" w:hAnsi="宋体"/>
          <w:szCs w:val="21"/>
        </w:rPr>
      </w:pPr>
    </w:p>
    <w:p w14:paraId="720439A8">
      <w:pPr>
        <w:autoSpaceDE w:val="0"/>
        <w:autoSpaceDN w:val="0"/>
        <w:adjustRightInd w:val="0"/>
        <w:snapToGrid w:val="0"/>
        <w:spacing w:line="480" w:lineRule="auto"/>
        <w:ind w:firstLine="420" w:firstLineChars="200"/>
        <w:jc w:val="right"/>
        <w:rPr>
          <w:rFonts w:ascii="宋体" w:hAnsi="宋体"/>
          <w:kern w:val="0"/>
          <w:szCs w:val="21"/>
        </w:rPr>
      </w:pPr>
      <w:r>
        <w:rPr>
          <w:rFonts w:hint="eastAsia" w:ascii="宋体" w:hAnsi="宋体"/>
          <w:kern w:val="0"/>
          <w:szCs w:val="21"/>
        </w:rPr>
        <w:t>投标人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hint="eastAsia" w:ascii="宋体" w:hAnsi="宋体"/>
          <w:kern w:val="0"/>
          <w:szCs w:val="21"/>
        </w:rPr>
        <w:t>盖公章</w:t>
      </w:r>
      <w:r>
        <w:rPr>
          <w:rFonts w:ascii="宋体" w:hAnsi="宋体"/>
          <w:kern w:val="0"/>
          <w:szCs w:val="21"/>
        </w:rPr>
        <w:t>）</w:t>
      </w:r>
    </w:p>
    <w:p w14:paraId="0495BBCD">
      <w:pPr>
        <w:autoSpaceDE w:val="0"/>
        <w:autoSpaceDN w:val="0"/>
        <w:adjustRightInd w:val="0"/>
        <w:snapToGrid w:val="0"/>
        <w:spacing w:line="480" w:lineRule="auto"/>
        <w:jc w:val="left"/>
        <w:rPr>
          <w:rFonts w:ascii="宋体" w:hAnsi="宋体"/>
          <w:kern w:val="0"/>
          <w:sz w:val="20"/>
          <w:szCs w:val="20"/>
        </w:rPr>
      </w:pPr>
    </w:p>
    <w:p w14:paraId="1E21E0DA">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31FE9591">
      <w:pPr>
        <w:autoSpaceDE w:val="0"/>
        <w:autoSpaceDN w:val="0"/>
        <w:adjustRightInd w:val="0"/>
        <w:snapToGrid w:val="0"/>
        <w:spacing w:line="360" w:lineRule="auto"/>
        <w:jc w:val="left"/>
        <w:rPr>
          <w:rFonts w:ascii="宋体" w:hAnsi="宋体"/>
          <w:kern w:val="0"/>
        </w:rPr>
      </w:pPr>
    </w:p>
    <w:p w14:paraId="2DF93C0C">
      <w:pPr>
        <w:autoSpaceDE w:val="0"/>
        <w:autoSpaceDN w:val="0"/>
        <w:adjustRightInd w:val="0"/>
        <w:snapToGrid w:val="0"/>
        <w:spacing w:line="360" w:lineRule="auto"/>
        <w:jc w:val="left"/>
        <w:rPr>
          <w:rFonts w:ascii="宋体" w:hAnsi="宋体"/>
          <w:kern w:val="0"/>
        </w:rPr>
      </w:pPr>
    </w:p>
    <w:p w14:paraId="2DB45480">
      <w:pPr>
        <w:spacing w:line="360" w:lineRule="auto"/>
        <w:ind w:firstLine="420" w:firstLineChars="200"/>
        <w:rPr>
          <w:rFonts w:ascii="宋体" w:hAnsi="宋体"/>
        </w:rPr>
      </w:pPr>
      <w:r>
        <w:rPr>
          <w:rFonts w:ascii="宋体" w:hAnsi="宋体"/>
        </w:rPr>
        <w:t>注：法定代表人身份证明需按上述格式填写完整，不可缺少内容。在此基础上增加内容的不影响其有效性。</w:t>
      </w:r>
    </w:p>
    <w:p w14:paraId="4E126549">
      <w:pPr>
        <w:autoSpaceDE w:val="0"/>
        <w:autoSpaceDN w:val="0"/>
        <w:adjustRightInd w:val="0"/>
        <w:snapToGrid w:val="0"/>
        <w:spacing w:line="360" w:lineRule="auto"/>
        <w:jc w:val="left"/>
        <w:rPr>
          <w:rFonts w:ascii="宋体" w:hAnsi="宋体"/>
          <w:kern w:val="0"/>
        </w:rPr>
      </w:pPr>
    </w:p>
    <w:p w14:paraId="7F5593B9">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rPr>
      </w:pPr>
      <w:r>
        <w:rPr>
          <w:rFonts w:ascii="宋体" w:hAnsi="宋体"/>
          <w:b/>
          <w:kern w:val="0"/>
          <w:sz w:val="28"/>
          <w:szCs w:val="28"/>
        </w:rPr>
        <w:br w:type="page"/>
      </w:r>
      <w:r>
        <w:rPr>
          <w:rFonts w:ascii="宋体" w:hAnsi="宋体"/>
          <w:snapToGrid w:val="0"/>
          <w:kern w:val="0"/>
          <w:sz w:val="32"/>
          <w:szCs w:val="32"/>
        </w:rPr>
        <w:t>授权委托书</w:t>
      </w:r>
    </w:p>
    <w:p w14:paraId="5FFE8E20">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hint="eastAsia" w:ascii="宋体" w:hAnsi="宋体"/>
          <w:spacing w:val="-1"/>
          <w:kern w:val="0"/>
          <w:szCs w:val="21"/>
          <w:u w:val="single"/>
        </w:rPr>
        <w:t>投标人</w:t>
      </w:r>
      <w:r>
        <w:rPr>
          <w:rFonts w:ascii="宋体" w:hAnsi="宋体"/>
          <w:kern w:val="0"/>
          <w:szCs w:val="21"/>
          <w:u w:val="single"/>
        </w:rPr>
        <w:t>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hint="eastAsia" w:ascii="宋体" w:hAnsi="宋体"/>
          <w:kern w:val="0"/>
          <w:szCs w:val="21"/>
        </w:rPr>
        <w:t>投标文件</w:t>
      </w:r>
      <w:r>
        <w:rPr>
          <w:rFonts w:ascii="宋体" w:hAnsi="宋体"/>
          <w:kern w:val="0"/>
          <w:szCs w:val="21"/>
        </w:rPr>
        <w:t>、签订合同和处理有关事宜， 其法律后果由我方承担。</w:t>
      </w:r>
    </w:p>
    <w:p w14:paraId="7F35B28F">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14:paraId="32A1CB35">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14:paraId="03CD3C82">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14:paraId="602C239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spacing w:val="-1"/>
          <w:kern w:val="0"/>
          <w:szCs w:val="21"/>
        </w:rPr>
        <w:t>盖公章</w:t>
      </w:r>
      <w:r>
        <w:rPr>
          <w:rFonts w:ascii="宋体" w:hAnsi="宋体"/>
          <w:kern w:val="0"/>
          <w:szCs w:val="21"/>
        </w:rPr>
        <w:t>）</w:t>
      </w:r>
    </w:p>
    <w:p w14:paraId="080802D8">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16637B7D">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0B9D5335">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w:t>
      </w:r>
    </w:p>
    <w:p w14:paraId="7B3805F3">
      <w:pPr>
        <w:tabs>
          <w:tab w:val="left" w:pos="6825"/>
        </w:tabs>
        <w:autoSpaceDE w:val="0"/>
        <w:autoSpaceDN w:val="0"/>
        <w:adjustRightInd w:val="0"/>
        <w:snapToGrid w:val="0"/>
        <w:spacing w:line="480" w:lineRule="auto"/>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72A97B86">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14:paraId="33F269B5">
      <w:pPr>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 xml:space="preserve">委托代理人电话（手机）：                                          </w:t>
      </w:r>
    </w:p>
    <w:p w14:paraId="169BBA46">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附：法定代表人和委托代理人身份证复印件（双面）</w:t>
      </w:r>
    </w:p>
    <w:p w14:paraId="2EC3F46A">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14:paraId="105A5C53">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46A1078B">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09FB9487">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6518272E">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500C7643">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7CDE1347">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39AE081B">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p>
    <w:p w14:paraId="391CEDDE">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14:paraId="67D62276">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3FC4FAB2">
      <w:pPr>
        <w:tabs>
          <w:tab w:val="left" w:pos="5760"/>
        </w:tabs>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2、法定代表人身份证明及授权委托书原件装入</w:t>
      </w:r>
      <w:r>
        <w:rPr>
          <w:rFonts w:hint="eastAsia" w:ascii="宋体" w:hAnsi="宋体"/>
          <w:kern w:val="0"/>
          <w:szCs w:val="21"/>
        </w:rPr>
        <w:t>投标文件</w:t>
      </w:r>
      <w:r>
        <w:rPr>
          <w:rFonts w:ascii="宋体" w:hAnsi="宋体"/>
          <w:kern w:val="0"/>
          <w:szCs w:val="21"/>
        </w:rPr>
        <w:t>一并递交。另外须准备一份授权委托书原件在开标现场出具。</w:t>
      </w:r>
    </w:p>
    <w:p w14:paraId="286C35A3">
      <w:pPr>
        <w:spacing w:line="360" w:lineRule="auto"/>
        <w:ind w:firstLine="420" w:firstLineChars="200"/>
        <w:jc w:val="left"/>
        <w:rPr>
          <w:rFonts w:ascii="宋体" w:hAnsi="宋体"/>
        </w:rPr>
      </w:pPr>
      <w:r>
        <w:rPr>
          <w:rFonts w:hint="eastAsia" w:ascii="宋体" w:hAnsi="宋体"/>
          <w:kern w:val="0"/>
          <w:szCs w:val="21"/>
        </w:rPr>
        <w:t>3.</w:t>
      </w:r>
      <w:r>
        <w:rPr>
          <w:rFonts w:hint="eastAsia" w:ascii="宋体" w:hAnsi="宋体"/>
        </w:rPr>
        <w:t>授权委托书</w:t>
      </w:r>
      <w:r>
        <w:rPr>
          <w:rFonts w:ascii="宋体" w:hAnsi="宋体"/>
        </w:rPr>
        <w:t>需按上述格式填写完整，不可缺少内容。在此基础上增加内容的不影响其有效性。</w:t>
      </w:r>
    </w:p>
    <w:p w14:paraId="76135BBF">
      <w:pPr>
        <w:spacing w:line="360" w:lineRule="auto"/>
        <w:ind w:firstLine="420" w:firstLineChars="200"/>
        <w:rPr>
          <w:rFonts w:ascii="宋体" w:hAnsi="宋体"/>
        </w:rPr>
      </w:pPr>
      <w:r>
        <w:rPr>
          <w:rFonts w:ascii="宋体" w:hAnsi="宋体"/>
        </w:rPr>
        <w:br w:type="page"/>
      </w:r>
      <w:bookmarkStart w:id="1510" w:name="_Toc287620819"/>
      <w:bookmarkStart w:id="1511" w:name="_Toc287607872"/>
      <w:bookmarkStart w:id="1512" w:name="_Toc224103500"/>
      <w:bookmarkStart w:id="1513" w:name="_Toc430530534"/>
    </w:p>
    <w:p w14:paraId="2FA9554B">
      <w:pPr>
        <w:pStyle w:val="4"/>
        <w:spacing w:line="360" w:lineRule="auto"/>
        <w:jc w:val="center"/>
        <w:rPr>
          <w:rFonts w:ascii="宋体" w:hAnsi="宋体"/>
          <w:b w:val="0"/>
          <w:bCs w:val="0"/>
          <w:sz w:val="44"/>
          <w:szCs w:val="44"/>
        </w:rPr>
      </w:pPr>
      <w:bookmarkStart w:id="1514" w:name="_Toc23891"/>
      <w:bookmarkStart w:id="1515" w:name="_Toc216768230"/>
      <w:r>
        <w:rPr>
          <w:rFonts w:hint="eastAsia" w:ascii="宋体" w:hAnsi="宋体"/>
          <w:b w:val="0"/>
          <w:bCs w:val="0"/>
          <w:sz w:val="44"/>
          <w:szCs w:val="44"/>
        </w:rPr>
        <w:t>二、经济部分</w:t>
      </w:r>
      <w:bookmarkEnd w:id="1510"/>
      <w:bookmarkEnd w:id="1511"/>
      <w:bookmarkEnd w:id="1512"/>
      <w:bookmarkEnd w:id="1513"/>
      <w:bookmarkEnd w:id="1514"/>
      <w:bookmarkEnd w:id="1515"/>
    </w:p>
    <w:p w14:paraId="00A4D269">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14:paraId="3600B983">
      <w:pPr>
        <w:tabs>
          <w:tab w:val="left" w:pos="2580"/>
          <w:tab w:val="left" w:pos="5940"/>
        </w:tabs>
        <w:autoSpaceDE w:val="0"/>
        <w:autoSpaceDN w:val="0"/>
        <w:adjustRightInd w:val="0"/>
        <w:snapToGrid w:val="0"/>
        <w:spacing w:line="360" w:lineRule="auto"/>
        <w:jc w:val="left"/>
        <w:rPr>
          <w:rFonts w:ascii="宋体" w:hAnsi="宋体"/>
          <w:kern w:val="0"/>
          <w:sz w:val="28"/>
          <w:szCs w:val="28"/>
          <w:u w:val="single"/>
        </w:rPr>
      </w:pPr>
      <w:r>
        <w:rPr>
          <w:rFonts w:ascii="宋体" w:hAnsi="宋体"/>
          <w:kern w:val="0"/>
          <w:sz w:val="28"/>
          <w:szCs w:val="28"/>
          <w:u w:val="single"/>
        </w:rPr>
        <w:br w:type="page"/>
      </w:r>
    </w:p>
    <w:p w14:paraId="4D914697">
      <w:pPr>
        <w:spacing w:line="360" w:lineRule="auto"/>
        <w:jc w:val="center"/>
        <w:rPr>
          <w:rFonts w:ascii="宋体" w:hAnsi="宋体"/>
          <w:kern w:val="0"/>
          <w:sz w:val="32"/>
          <w:szCs w:val="32"/>
        </w:rPr>
      </w:pPr>
      <w:r>
        <w:rPr>
          <w:rFonts w:hint="eastAsia" w:ascii="宋体" w:hAnsi="宋体"/>
          <w:kern w:val="0"/>
          <w:sz w:val="32"/>
          <w:szCs w:val="32"/>
          <w:u w:val="single"/>
        </w:rPr>
        <w:t xml:space="preserve">                   （项目名称）</w:t>
      </w:r>
    </w:p>
    <w:p w14:paraId="6E4A8EBA">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49BF64BA">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6D3E5797">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1382F5E8">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0BB3F82E">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14:paraId="3E4D4AB6">
      <w:pPr>
        <w:autoSpaceDE w:val="0"/>
        <w:autoSpaceDN w:val="0"/>
        <w:adjustRightInd w:val="0"/>
        <w:snapToGrid w:val="0"/>
        <w:spacing w:line="360" w:lineRule="auto"/>
        <w:jc w:val="left"/>
        <w:rPr>
          <w:rFonts w:ascii="宋体" w:hAnsi="宋体"/>
          <w:kern w:val="0"/>
          <w:sz w:val="16"/>
          <w:szCs w:val="16"/>
        </w:rPr>
      </w:pPr>
    </w:p>
    <w:p w14:paraId="5E2FD7C6">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经济部分</w:t>
      </w:r>
    </w:p>
    <w:p w14:paraId="4792E97A">
      <w:pPr>
        <w:autoSpaceDE w:val="0"/>
        <w:autoSpaceDN w:val="0"/>
        <w:adjustRightInd w:val="0"/>
        <w:snapToGrid w:val="0"/>
        <w:spacing w:line="360" w:lineRule="auto"/>
        <w:jc w:val="left"/>
        <w:rPr>
          <w:rFonts w:ascii="宋体" w:hAnsi="宋体"/>
          <w:b/>
          <w:kern w:val="0"/>
          <w:sz w:val="20"/>
          <w:szCs w:val="20"/>
        </w:rPr>
      </w:pPr>
    </w:p>
    <w:p w14:paraId="0A8901C4">
      <w:pPr>
        <w:autoSpaceDE w:val="0"/>
        <w:autoSpaceDN w:val="0"/>
        <w:adjustRightInd w:val="0"/>
        <w:snapToGrid w:val="0"/>
        <w:spacing w:line="360" w:lineRule="auto"/>
        <w:jc w:val="left"/>
        <w:rPr>
          <w:rFonts w:ascii="宋体" w:hAnsi="宋体"/>
          <w:b/>
          <w:kern w:val="0"/>
          <w:sz w:val="20"/>
          <w:szCs w:val="20"/>
        </w:rPr>
      </w:pPr>
    </w:p>
    <w:p w14:paraId="4223D8E2">
      <w:pPr>
        <w:autoSpaceDE w:val="0"/>
        <w:autoSpaceDN w:val="0"/>
        <w:adjustRightInd w:val="0"/>
        <w:snapToGrid w:val="0"/>
        <w:spacing w:line="360" w:lineRule="auto"/>
        <w:jc w:val="left"/>
        <w:rPr>
          <w:rFonts w:ascii="宋体" w:hAnsi="宋体"/>
          <w:b/>
          <w:kern w:val="0"/>
          <w:sz w:val="20"/>
          <w:szCs w:val="20"/>
        </w:rPr>
      </w:pPr>
    </w:p>
    <w:p w14:paraId="2B6652CD">
      <w:pPr>
        <w:autoSpaceDE w:val="0"/>
        <w:autoSpaceDN w:val="0"/>
        <w:adjustRightInd w:val="0"/>
        <w:snapToGrid w:val="0"/>
        <w:spacing w:line="360" w:lineRule="auto"/>
        <w:jc w:val="left"/>
        <w:rPr>
          <w:rFonts w:ascii="宋体" w:hAnsi="宋体"/>
          <w:b/>
          <w:kern w:val="0"/>
          <w:sz w:val="20"/>
          <w:szCs w:val="20"/>
        </w:rPr>
      </w:pPr>
    </w:p>
    <w:p w14:paraId="01BF9FA4">
      <w:pPr>
        <w:autoSpaceDE w:val="0"/>
        <w:autoSpaceDN w:val="0"/>
        <w:adjustRightInd w:val="0"/>
        <w:snapToGrid w:val="0"/>
        <w:spacing w:line="360" w:lineRule="auto"/>
        <w:jc w:val="left"/>
        <w:rPr>
          <w:rFonts w:ascii="宋体" w:hAnsi="宋体"/>
          <w:b/>
          <w:kern w:val="0"/>
          <w:sz w:val="20"/>
          <w:szCs w:val="20"/>
        </w:rPr>
      </w:pPr>
    </w:p>
    <w:p w14:paraId="04CA0003">
      <w:pPr>
        <w:autoSpaceDE w:val="0"/>
        <w:autoSpaceDN w:val="0"/>
        <w:adjustRightInd w:val="0"/>
        <w:snapToGrid w:val="0"/>
        <w:spacing w:line="360" w:lineRule="auto"/>
        <w:jc w:val="left"/>
        <w:rPr>
          <w:rFonts w:ascii="宋体" w:hAnsi="宋体"/>
          <w:b/>
          <w:kern w:val="0"/>
          <w:sz w:val="20"/>
          <w:szCs w:val="20"/>
        </w:rPr>
      </w:pPr>
    </w:p>
    <w:p w14:paraId="6316118D">
      <w:pPr>
        <w:autoSpaceDE w:val="0"/>
        <w:autoSpaceDN w:val="0"/>
        <w:adjustRightInd w:val="0"/>
        <w:snapToGrid w:val="0"/>
        <w:spacing w:line="360" w:lineRule="auto"/>
        <w:jc w:val="left"/>
        <w:rPr>
          <w:rFonts w:ascii="宋体" w:hAnsi="宋体"/>
          <w:b/>
          <w:kern w:val="0"/>
          <w:sz w:val="20"/>
          <w:szCs w:val="20"/>
        </w:rPr>
      </w:pPr>
    </w:p>
    <w:p w14:paraId="0CF7D523">
      <w:pPr>
        <w:autoSpaceDE w:val="0"/>
        <w:autoSpaceDN w:val="0"/>
        <w:adjustRightInd w:val="0"/>
        <w:snapToGrid w:val="0"/>
        <w:spacing w:line="360" w:lineRule="auto"/>
        <w:jc w:val="left"/>
        <w:rPr>
          <w:rFonts w:ascii="宋体" w:hAnsi="宋体"/>
          <w:b/>
          <w:kern w:val="0"/>
          <w:sz w:val="20"/>
          <w:szCs w:val="20"/>
        </w:rPr>
      </w:pPr>
    </w:p>
    <w:p w14:paraId="04BC43C9">
      <w:pPr>
        <w:autoSpaceDE w:val="0"/>
        <w:autoSpaceDN w:val="0"/>
        <w:adjustRightInd w:val="0"/>
        <w:snapToGrid w:val="0"/>
        <w:spacing w:line="360" w:lineRule="auto"/>
        <w:jc w:val="left"/>
        <w:rPr>
          <w:rFonts w:ascii="宋体" w:hAnsi="宋体"/>
          <w:b/>
          <w:kern w:val="0"/>
          <w:sz w:val="20"/>
          <w:szCs w:val="20"/>
        </w:rPr>
      </w:pPr>
    </w:p>
    <w:p w14:paraId="391B7EB8">
      <w:pPr>
        <w:autoSpaceDE w:val="0"/>
        <w:autoSpaceDN w:val="0"/>
        <w:adjustRightInd w:val="0"/>
        <w:snapToGrid w:val="0"/>
        <w:spacing w:line="360" w:lineRule="auto"/>
        <w:jc w:val="left"/>
        <w:rPr>
          <w:rFonts w:ascii="宋体" w:hAnsi="宋体"/>
          <w:b/>
          <w:kern w:val="0"/>
          <w:sz w:val="20"/>
          <w:szCs w:val="20"/>
        </w:rPr>
      </w:pPr>
    </w:p>
    <w:p w14:paraId="3B74EB91">
      <w:pPr>
        <w:autoSpaceDE w:val="0"/>
        <w:autoSpaceDN w:val="0"/>
        <w:adjustRightInd w:val="0"/>
        <w:snapToGrid w:val="0"/>
        <w:spacing w:line="360" w:lineRule="auto"/>
        <w:jc w:val="left"/>
        <w:rPr>
          <w:rFonts w:ascii="宋体" w:hAnsi="宋体"/>
          <w:b/>
          <w:kern w:val="0"/>
          <w:sz w:val="20"/>
          <w:szCs w:val="20"/>
        </w:rPr>
      </w:pPr>
    </w:p>
    <w:p w14:paraId="3F12C690">
      <w:pPr>
        <w:autoSpaceDE w:val="0"/>
        <w:autoSpaceDN w:val="0"/>
        <w:adjustRightInd w:val="0"/>
        <w:snapToGrid w:val="0"/>
        <w:spacing w:line="360" w:lineRule="auto"/>
        <w:jc w:val="left"/>
        <w:rPr>
          <w:rFonts w:ascii="宋体" w:hAnsi="宋体"/>
          <w:b/>
          <w:kern w:val="0"/>
          <w:sz w:val="20"/>
          <w:szCs w:val="20"/>
        </w:rPr>
      </w:pPr>
    </w:p>
    <w:p w14:paraId="6A720B18">
      <w:pPr>
        <w:autoSpaceDE w:val="0"/>
        <w:autoSpaceDN w:val="0"/>
        <w:adjustRightInd w:val="0"/>
        <w:snapToGrid w:val="0"/>
        <w:spacing w:line="360" w:lineRule="auto"/>
        <w:jc w:val="left"/>
        <w:rPr>
          <w:rFonts w:ascii="宋体" w:hAnsi="宋体"/>
          <w:b/>
          <w:kern w:val="0"/>
          <w:sz w:val="20"/>
          <w:szCs w:val="20"/>
        </w:rPr>
      </w:pPr>
    </w:p>
    <w:p w14:paraId="5BF0B27F">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rPr>
      </w:pPr>
      <w:r>
        <w:rPr>
          <w:rFonts w:hint="eastAsia"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盖公章</w:t>
      </w:r>
      <w:r>
        <w:rPr>
          <w:rFonts w:ascii="宋体" w:hAnsi="宋体"/>
          <w:w w:val="99"/>
          <w:kern w:val="0"/>
          <w:sz w:val="28"/>
          <w:szCs w:val="28"/>
        </w:rPr>
        <w:t>）</w:t>
      </w:r>
    </w:p>
    <w:p w14:paraId="6E523786">
      <w:pPr>
        <w:tabs>
          <w:tab w:val="left" w:pos="6080"/>
          <w:tab w:val="left" w:pos="6640"/>
        </w:tabs>
        <w:autoSpaceDE w:val="0"/>
        <w:autoSpaceDN w:val="0"/>
        <w:adjustRightInd w:val="0"/>
        <w:snapToGrid w:val="0"/>
        <w:spacing w:after="156" w:afterLines="50" w:line="360" w:lineRule="auto"/>
        <w:jc w:val="center"/>
        <w:rPr>
          <w:rFonts w:ascii="宋体" w:hAnsi="宋体"/>
          <w:b/>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14:paraId="00C6E502">
      <w:pPr>
        <w:tabs>
          <w:tab w:val="left" w:pos="3280"/>
          <w:tab w:val="left" w:pos="4680"/>
          <w:tab w:val="left" w:pos="6080"/>
        </w:tabs>
        <w:autoSpaceDE w:val="0"/>
        <w:autoSpaceDN w:val="0"/>
        <w:adjustRightInd w:val="0"/>
        <w:snapToGrid w:val="0"/>
        <w:spacing w:after="156" w:afterLines="50" w:line="360" w:lineRule="auto"/>
        <w:jc w:val="center"/>
        <w:rPr>
          <w:rFonts w:ascii="宋体" w:hAnsi="宋体"/>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日</w:t>
      </w:r>
    </w:p>
    <w:p w14:paraId="543CE6EC">
      <w:pPr>
        <w:autoSpaceDE w:val="0"/>
        <w:autoSpaceDN w:val="0"/>
        <w:adjustRightInd w:val="0"/>
        <w:snapToGrid w:val="0"/>
        <w:spacing w:line="360" w:lineRule="auto"/>
        <w:jc w:val="left"/>
        <w:rPr>
          <w:rFonts w:ascii="宋体" w:hAnsi="宋体"/>
          <w:kern w:val="0"/>
          <w:sz w:val="24"/>
          <w:szCs w:val="21"/>
        </w:rPr>
      </w:pPr>
      <w:r>
        <w:rPr>
          <w:rFonts w:ascii="宋体" w:hAnsi="宋体"/>
          <w:kern w:val="0"/>
          <w:sz w:val="24"/>
          <w:szCs w:val="21"/>
        </w:rPr>
        <w:br w:type="page"/>
      </w:r>
    </w:p>
    <w:p w14:paraId="2E58C703">
      <w:pPr>
        <w:autoSpaceDE w:val="0"/>
        <w:autoSpaceDN w:val="0"/>
        <w:adjustRightInd w:val="0"/>
        <w:snapToGrid w:val="0"/>
        <w:spacing w:line="360" w:lineRule="auto"/>
        <w:jc w:val="center"/>
        <w:rPr>
          <w:rFonts w:ascii="宋体" w:hAnsi="宋体"/>
          <w:kern w:val="0"/>
          <w:szCs w:val="21"/>
        </w:rPr>
      </w:pPr>
      <w:r>
        <w:rPr>
          <w:rFonts w:hint="eastAsia" w:ascii="宋体" w:hAnsi="宋体"/>
          <w:kern w:val="0"/>
          <w:sz w:val="36"/>
          <w:szCs w:val="36"/>
        </w:rPr>
        <w:t>目  录</w:t>
      </w:r>
    </w:p>
    <w:p w14:paraId="2E8457C4">
      <w:pPr>
        <w:autoSpaceDE w:val="0"/>
        <w:autoSpaceDN w:val="0"/>
        <w:adjustRightInd w:val="0"/>
        <w:snapToGrid w:val="0"/>
        <w:spacing w:line="360" w:lineRule="auto"/>
        <w:jc w:val="left"/>
        <w:rPr>
          <w:rFonts w:ascii="宋体" w:hAnsi="宋体"/>
          <w:kern w:val="0"/>
          <w:szCs w:val="21"/>
        </w:rPr>
      </w:pPr>
    </w:p>
    <w:p w14:paraId="4E3D2A14">
      <w:pPr>
        <w:autoSpaceDE w:val="0"/>
        <w:autoSpaceDN w:val="0"/>
        <w:adjustRightInd w:val="0"/>
        <w:snapToGrid w:val="0"/>
        <w:spacing w:line="360" w:lineRule="auto"/>
        <w:jc w:val="center"/>
        <w:rPr>
          <w:rFonts w:ascii="宋体" w:hAnsi="宋体"/>
          <w:i/>
          <w:iCs/>
          <w:kern w:val="0"/>
          <w:szCs w:val="21"/>
        </w:rPr>
      </w:pPr>
      <w:r>
        <w:rPr>
          <w:rFonts w:ascii="宋体" w:hAnsi="宋体"/>
          <w:i/>
          <w:iCs/>
          <w:kern w:val="0"/>
          <w:szCs w:val="21"/>
        </w:rPr>
        <w:t>[</w:t>
      </w:r>
      <w:r>
        <w:rPr>
          <w:rFonts w:hint="eastAsia" w:ascii="宋体" w:hAnsi="宋体"/>
          <w:i/>
          <w:iCs/>
          <w:kern w:val="0"/>
          <w:szCs w:val="21"/>
        </w:rPr>
        <w:t>提示：</w:t>
      </w:r>
      <w:r>
        <w:rPr>
          <w:rFonts w:ascii="宋体" w:hAnsi="宋体"/>
          <w:i/>
          <w:iCs/>
          <w:kern w:val="0"/>
          <w:szCs w:val="21"/>
        </w:rPr>
        <w:t>目录由</w:t>
      </w:r>
      <w:r>
        <w:rPr>
          <w:rFonts w:hint="eastAsia" w:ascii="宋体" w:hAnsi="宋体"/>
          <w:i/>
          <w:iCs/>
          <w:kern w:val="0"/>
          <w:szCs w:val="21"/>
        </w:rPr>
        <w:t>投标人</w:t>
      </w:r>
      <w:r>
        <w:rPr>
          <w:rFonts w:ascii="宋体" w:hAnsi="宋体"/>
          <w:i/>
          <w:iCs/>
          <w:kern w:val="0"/>
          <w:szCs w:val="21"/>
        </w:rPr>
        <w:t>自行编制]</w:t>
      </w:r>
    </w:p>
    <w:p w14:paraId="038A043D">
      <w:pPr>
        <w:autoSpaceDE w:val="0"/>
        <w:autoSpaceDN w:val="0"/>
        <w:adjustRightInd w:val="0"/>
        <w:snapToGrid w:val="0"/>
        <w:spacing w:line="360" w:lineRule="auto"/>
        <w:jc w:val="left"/>
        <w:rPr>
          <w:rFonts w:ascii="宋体" w:hAnsi="宋体"/>
          <w:w w:val="99"/>
          <w:kern w:val="0"/>
          <w:sz w:val="28"/>
          <w:szCs w:val="28"/>
        </w:rPr>
      </w:pPr>
    </w:p>
    <w:p w14:paraId="07CA435E">
      <w:pPr>
        <w:autoSpaceDE w:val="0"/>
        <w:autoSpaceDN w:val="0"/>
        <w:adjustRightInd w:val="0"/>
        <w:snapToGrid w:val="0"/>
        <w:spacing w:line="360" w:lineRule="auto"/>
        <w:jc w:val="left"/>
        <w:rPr>
          <w:rFonts w:ascii="宋体" w:hAnsi="宋体"/>
          <w:kern w:val="0"/>
          <w:sz w:val="24"/>
          <w:szCs w:val="21"/>
        </w:rPr>
      </w:pPr>
      <w:r>
        <w:rPr>
          <w:rFonts w:ascii="宋体" w:hAnsi="宋体"/>
        </w:rPr>
        <w:br w:type="page"/>
      </w:r>
      <w:bookmarkStart w:id="1516" w:name="_Toc224103501"/>
      <w:bookmarkStart w:id="1517" w:name="_Toc277082648"/>
      <w:bookmarkStart w:id="1518" w:name="_Toc430530535"/>
      <w:bookmarkStart w:id="1519" w:name="_Toc287620820"/>
      <w:bookmarkStart w:id="1520" w:name="_Toc287607873"/>
    </w:p>
    <w:p w14:paraId="0DFD5E6E">
      <w:pPr>
        <w:pStyle w:val="5"/>
        <w:jc w:val="center"/>
      </w:pPr>
      <w:bookmarkStart w:id="1521" w:name="_Toc28475"/>
      <w:bookmarkStart w:id="1522" w:name="_Toc28369"/>
      <w:bookmarkStart w:id="1523" w:name="_Toc216768231"/>
      <w:r>
        <w:rPr>
          <w:rFonts w:hint="eastAsia"/>
        </w:rPr>
        <w:t>（一）已标价工程量清单</w:t>
      </w:r>
      <w:bookmarkEnd w:id="1516"/>
      <w:bookmarkEnd w:id="1517"/>
      <w:bookmarkEnd w:id="1518"/>
      <w:bookmarkEnd w:id="1519"/>
      <w:bookmarkEnd w:id="1520"/>
      <w:bookmarkEnd w:id="1521"/>
      <w:bookmarkEnd w:id="1522"/>
      <w:bookmarkEnd w:id="1523"/>
    </w:p>
    <w:p w14:paraId="4A921FA8">
      <w:pPr>
        <w:autoSpaceDE w:val="0"/>
        <w:autoSpaceDN w:val="0"/>
        <w:adjustRightInd w:val="0"/>
        <w:snapToGrid w:val="0"/>
        <w:spacing w:line="360" w:lineRule="auto"/>
        <w:jc w:val="left"/>
        <w:rPr>
          <w:rFonts w:ascii="宋体" w:hAnsi="宋体"/>
        </w:rPr>
        <w:sectPr>
          <w:footerReference r:id="rId14" w:type="default"/>
          <w:pgSz w:w="11906" w:h="16838"/>
          <w:pgMar w:top="1304" w:right="1134" w:bottom="1304" w:left="1304" w:header="851" w:footer="992" w:gutter="0"/>
          <w:cols w:space="720" w:num="1"/>
          <w:docGrid w:type="lines" w:linePitch="312" w:charSpace="0"/>
        </w:sectPr>
      </w:pPr>
      <w:bookmarkStart w:id="1524" w:name="_Toc430530536"/>
      <w:bookmarkStart w:id="1525" w:name="_Toc287607874"/>
      <w:bookmarkStart w:id="1526" w:name="_Toc224103502"/>
      <w:bookmarkStart w:id="1527" w:name="_Toc287620821"/>
    </w:p>
    <w:p w14:paraId="55BDF590">
      <w:pPr>
        <w:pStyle w:val="4"/>
        <w:spacing w:line="360" w:lineRule="auto"/>
        <w:jc w:val="center"/>
        <w:rPr>
          <w:rFonts w:ascii="宋体" w:hAnsi="宋体"/>
          <w:b w:val="0"/>
          <w:bCs w:val="0"/>
          <w:sz w:val="44"/>
          <w:szCs w:val="44"/>
        </w:rPr>
      </w:pPr>
      <w:bookmarkStart w:id="1528" w:name="_Toc216768232"/>
      <w:r>
        <w:rPr>
          <w:rFonts w:hint="eastAsia" w:ascii="宋体" w:hAnsi="宋体"/>
          <w:b w:val="0"/>
          <w:bCs w:val="0"/>
          <w:sz w:val="44"/>
          <w:szCs w:val="44"/>
        </w:rPr>
        <w:t>三、技术部分</w:t>
      </w:r>
      <w:bookmarkEnd w:id="1528"/>
    </w:p>
    <w:p w14:paraId="35E22FC5">
      <w:pPr>
        <w:pStyle w:val="4"/>
        <w:spacing w:line="360" w:lineRule="auto"/>
        <w:rPr>
          <w:rFonts w:ascii="宋体" w:hAnsi="宋体"/>
          <w:b w:val="0"/>
          <w:bCs w:val="0"/>
          <w:sz w:val="44"/>
          <w:szCs w:val="44"/>
        </w:rPr>
      </w:pPr>
      <w:r>
        <w:rPr>
          <w:rFonts w:ascii="宋体" w:hAnsi="宋体"/>
        </w:rPr>
        <w:br w:type="page"/>
      </w:r>
      <w:bookmarkStart w:id="1529" w:name="_Toc216768233"/>
      <w:r>
        <w:rPr>
          <w:rFonts w:hint="eastAsia" w:ascii="宋体" w:hAnsi="宋体"/>
          <w:b w:val="0"/>
          <w:bCs w:val="0"/>
          <w:sz w:val="44"/>
          <w:szCs w:val="44"/>
        </w:rPr>
        <w:t>三、技术部分</w:t>
      </w:r>
      <w:bookmarkEnd w:id="1529"/>
    </w:p>
    <w:p w14:paraId="4A898189">
      <w:pPr>
        <w:autoSpaceDE w:val="0"/>
        <w:autoSpaceDN w:val="0"/>
        <w:adjustRightInd w:val="0"/>
        <w:snapToGrid w:val="0"/>
        <w:spacing w:line="360" w:lineRule="auto"/>
        <w:jc w:val="left"/>
        <w:rPr>
          <w:rFonts w:ascii="宋体" w:hAnsi="宋体"/>
          <w:kern w:val="0"/>
          <w:sz w:val="24"/>
          <w:szCs w:val="21"/>
        </w:rPr>
      </w:pPr>
    </w:p>
    <w:bookmarkEnd w:id="1524"/>
    <w:bookmarkEnd w:id="1525"/>
    <w:bookmarkEnd w:id="1526"/>
    <w:bookmarkEnd w:id="1527"/>
    <w:p w14:paraId="6D161B7B">
      <w:pPr>
        <w:spacing w:line="360" w:lineRule="auto"/>
        <w:jc w:val="center"/>
        <w:rPr>
          <w:rFonts w:ascii="宋体" w:hAnsi="宋体"/>
          <w:kern w:val="0"/>
          <w:sz w:val="32"/>
          <w:szCs w:val="32"/>
        </w:rPr>
      </w:pPr>
      <w:r>
        <w:rPr>
          <w:rFonts w:hint="eastAsia" w:ascii="宋体" w:hAnsi="宋体"/>
          <w:kern w:val="0"/>
          <w:sz w:val="32"/>
          <w:szCs w:val="32"/>
          <w:u w:val="single"/>
        </w:rPr>
        <w:t xml:space="preserve">                   （项目名称）</w:t>
      </w:r>
    </w:p>
    <w:p w14:paraId="2A3DC86E">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6E715638">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299BB04C">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4AEF9778">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28752811">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58F42E8B">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14:paraId="3F39EB03">
      <w:pPr>
        <w:autoSpaceDE w:val="0"/>
        <w:autoSpaceDN w:val="0"/>
        <w:adjustRightInd w:val="0"/>
        <w:snapToGrid w:val="0"/>
        <w:spacing w:line="360" w:lineRule="auto"/>
        <w:jc w:val="left"/>
        <w:rPr>
          <w:rFonts w:ascii="宋体" w:hAnsi="宋体"/>
          <w:kern w:val="0"/>
          <w:sz w:val="16"/>
          <w:szCs w:val="16"/>
        </w:rPr>
      </w:pPr>
    </w:p>
    <w:p w14:paraId="0D2D6D4D">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技术部分</w:t>
      </w:r>
    </w:p>
    <w:p w14:paraId="7F62D87A">
      <w:pPr>
        <w:autoSpaceDE w:val="0"/>
        <w:autoSpaceDN w:val="0"/>
        <w:adjustRightInd w:val="0"/>
        <w:snapToGrid w:val="0"/>
        <w:spacing w:line="360" w:lineRule="auto"/>
        <w:jc w:val="left"/>
        <w:rPr>
          <w:rFonts w:ascii="宋体" w:hAnsi="宋体"/>
          <w:b/>
          <w:kern w:val="0"/>
          <w:sz w:val="20"/>
          <w:szCs w:val="20"/>
        </w:rPr>
      </w:pPr>
    </w:p>
    <w:p w14:paraId="057ABBD7">
      <w:pPr>
        <w:autoSpaceDE w:val="0"/>
        <w:autoSpaceDN w:val="0"/>
        <w:adjustRightInd w:val="0"/>
        <w:snapToGrid w:val="0"/>
        <w:spacing w:line="360" w:lineRule="auto"/>
        <w:jc w:val="left"/>
        <w:rPr>
          <w:rFonts w:ascii="宋体" w:hAnsi="宋体"/>
          <w:b/>
          <w:kern w:val="0"/>
          <w:sz w:val="20"/>
          <w:szCs w:val="20"/>
        </w:rPr>
      </w:pPr>
    </w:p>
    <w:p w14:paraId="02A1AF35">
      <w:pPr>
        <w:autoSpaceDE w:val="0"/>
        <w:autoSpaceDN w:val="0"/>
        <w:adjustRightInd w:val="0"/>
        <w:snapToGrid w:val="0"/>
        <w:spacing w:line="360" w:lineRule="auto"/>
        <w:jc w:val="left"/>
        <w:rPr>
          <w:rFonts w:ascii="宋体" w:hAnsi="宋体"/>
          <w:b/>
          <w:kern w:val="0"/>
          <w:sz w:val="20"/>
          <w:szCs w:val="20"/>
        </w:rPr>
      </w:pPr>
    </w:p>
    <w:p w14:paraId="391CF29E">
      <w:pPr>
        <w:autoSpaceDE w:val="0"/>
        <w:autoSpaceDN w:val="0"/>
        <w:adjustRightInd w:val="0"/>
        <w:snapToGrid w:val="0"/>
        <w:spacing w:line="360" w:lineRule="auto"/>
        <w:jc w:val="left"/>
        <w:rPr>
          <w:rFonts w:ascii="宋体" w:hAnsi="宋体"/>
          <w:b/>
          <w:kern w:val="0"/>
          <w:sz w:val="20"/>
          <w:szCs w:val="20"/>
        </w:rPr>
      </w:pPr>
    </w:p>
    <w:p w14:paraId="650BCB1A">
      <w:pPr>
        <w:autoSpaceDE w:val="0"/>
        <w:autoSpaceDN w:val="0"/>
        <w:adjustRightInd w:val="0"/>
        <w:snapToGrid w:val="0"/>
        <w:spacing w:line="360" w:lineRule="auto"/>
        <w:jc w:val="left"/>
        <w:rPr>
          <w:rFonts w:ascii="宋体" w:hAnsi="宋体"/>
          <w:b/>
          <w:kern w:val="0"/>
          <w:sz w:val="20"/>
          <w:szCs w:val="20"/>
        </w:rPr>
      </w:pPr>
    </w:p>
    <w:p w14:paraId="52C8ACCC">
      <w:pPr>
        <w:autoSpaceDE w:val="0"/>
        <w:autoSpaceDN w:val="0"/>
        <w:adjustRightInd w:val="0"/>
        <w:snapToGrid w:val="0"/>
        <w:spacing w:line="360" w:lineRule="auto"/>
        <w:jc w:val="left"/>
        <w:rPr>
          <w:rFonts w:ascii="宋体" w:hAnsi="宋体"/>
          <w:b/>
          <w:kern w:val="0"/>
          <w:sz w:val="20"/>
          <w:szCs w:val="20"/>
        </w:rPr>
      </w:pPr>
    </w:p>
    <w:p w14:paraId="4DA2AC76">
      <w:pPr>
        <w:autoSpaceDE w:val="0"/>
        <w:autoSpaceDN w:val="0"/>
        <w:adjustRightInd w:val="0"/>
        <w:snapToGrid w:val="0"/>
        <w:spacing w:line="360" w:lineRule="auto"/>
        <w:jc w:val="left"/>
        <w:rPr>
          <w:rFonts w:ascii="宋体" w:hAnsi="宋体"/>
          <w:b/>
          <w:kern w:val="0"/>
          <w:sz w:val="20"/>
          <w:szCs w:val="20"/>
        </w:rPr>
      </w:pPr>
    </w:p>
    <w:p w14:paraId="4BE65C09">
      <w:pPr>
        <w:autoSpaceDE w:val="0"/>
        <w:autoSpaceDN w:val="0"/>
        <w:adjustRightInd w:val="0"/>
        <w:snapToGrid w:val="0"/>
        <w:spacing w:line="360" w:lineRule="auto"/>
        <w:jc w:val="left"/>
        <w:rPr>
          <w:rFonts w:ascii="宋体" w:hAnsi="宋体"/>
          <w:b/>
          <w:kern w:val="0"/>
          <w:sz w:val="20"/>
          <w:szCs w:val="20"/>
        </w:rPr>
      </w:pPr>
    </w:p>
    <w:p w14:paraId="0C304235">
      <w:pPr>
        <w:autoSpaceDE w:val="0"/>
        <w:autoSpaceDN w:val="0"/>
        <w:adjustRightInd w:val="0"/>
        <w:snapToGrid w:val="0"/>
        <w:spacing w:line="360" w:lineRule="auto"/>
        <w:jc w:val="left"/>
        <w:rPr>
          <w:rFonts w:ascii="宋体" w:hAnsi="宋体"/>
          <w:b/>
          <w:kern w:val="0"/>
          <w:sz w:val="20"/>
          <w:szCs w:val="20"/>
        </w:rPr>
      </w:pPr>
    </w:p>
    <w:p w14:paraId="2D97980A">
      <w:pPr>
        <w:autoSpaceDE w:val="0"/>
        <w:autoSpaceDN w:val="0"/>
        <w:adjustRightInd w:val="0"/>
        <w:snapToGrid w:val="0"/>
        <w:spacing w:line="360" w:lineRule="auto"/>
        <w:jc w:val="left"/>
        <w:rPr>
          <w:rFonts w:ascii="宋体" w:hAnsi="宋体"/>
          <w:b/>
          <w:kern w:val="0"/>
          <w:sz w:val="20"/>
          <w:szCs w:val="20"/>
        </w:rPr>
      </w:pPr>
    </w:p>
    <w:p w14:paraId="64B8929C">
      <w:pPr>
        <w:autoSpaceDE w:val="0"/>
        <w:autoSpaceDN w:val="0"/>
        <w:adjustRightInd w:val="0"/>
        <w:snapToGrid w:val="0"/>
        <w:spacing w:line="360" w:lineRule="auto"/>
        <w:jc w:val="left"/>
        <w:rPr>
          <w:rFonts w:ascii="宋体" w:hAnsi="宋体"/>
          <w:b/>
          <w:kern w:val="0"/>
          <w:sz w:val="20"/>
          <w:szCs w:val="20"/>
        </w:rPr>
      </w:pPr>
    </w:p>
    <w:p w14:paraId="60FA826E">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rPr>
      </w:pPr>
      <w:r>
        <w:rPr>
          <w:rFonts w:hint="eastAsia"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w:t>
      </w:r>
      <w:r>
        <w:rPr>
          <w:rFonts w:hint="eastAsia" w:ascii="宋体" w:hAnsi="宋体"/>
          <w:w w:val="99"/>
          <w:kern w:val="0"/>
          <w:sz w:val="28"/>
          <w:szCs w:val="28"/>
        </w:rPr>
        <w:t>公</w:t>
      </w:r>
      <w:r>
        <w:rPr>
          <w:rFonts w:ascii="宋体" w:hAnsi="宋体"/>
          <w:w w:val="99"/>
          <w:kern w:val="0"/>
          <w:sz w:val="28"/>
          <w:szCs w:val="28"/>
        </w:rPr>
        <w:t>章）</w:t>
      </w:r>
    </w:p>
    <w:p w14:paraId="6BAC9FED">
      <w:pPr>
        <w:tabs>
          <w:tab w:val="left" w:pos="6080"/>
          <w:tab w:val="left" w:pos="6640"/>
        </w:tabs>
        <w:autoSpaceDE w:val="0"/>
        <w:autoSpaceDN w:val="0"/>
        <w:adjustRightInd w:val="0"/>
        <w:snapToGrid w:val="0"/>
        <w:spacing w:after="156" w:afterLines="50"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14:paraId="2E5487A1">
      <w:pPr>
        <w:autoSpaceDE w:val="0"/>
        <w:autoSpaceDN w:val="0"/>
        <w:adjustRightInd w:val="0"/>
        <w:snapToGrid w:val="0"/>
        <w:spacing w:line="360" w:lineRule="auto"/>
        <w:jc w:val="center"/>
        <w:rPr>
          <w:rFonts w:ascii="宋体" w:hAnsi="宋体"/>
          <w:kern w:val="0"/>
          <w:sz w:val="36"/>
          <w:szCs w:val="36"/>
        </w:rPr>
      </w:pPr>
      <w:r>
        <w:rPr>
          <w:rFonts w:hint="eastAsia" w:ascii="宋体" w:hAnsi="宋体"/>
          <w:w w:val="99"/>
          <w:kern w:val="0"/>
          <w:sz w:val="28"/>
          <w:szCs w:val="28"/>
          <w:u w:val="single"/>
        </w:rPr>
        <w:t xml:space="preserve">    </w:t>
      </w:r>
      <w:r>
        <w:rPr>
          <w:rFonts w:hint="eastAsia" w:ascii="宋体" w:hAnsi="宋体"/>
          <w:w w:val="99"/>
          <w:kern w:val="0"/>
          <w:sz w:val="28"/>
          <w:szCs w:val="28"/>
        </w:rPr>
        <w:t>年</w:t>
      </w:r>
      <w:r>
        <w:rPr>
          <w:rFonts w:hint="eastAsia" w:ascii="宋体" w:hAnsi="宋体"/>
          <w:w w:val="99"/>
          <w:kern w:val="0"/>
          <w:sz w:val="28"/>
          <w:szCs w:val="28"/>
          <w:u w:val="single"/>
        </w:rPr>
        <w:t xml:space="preserve">    </w:t>
      </w:r>
      <w:r>
        <w:rPr>
          <w:rFonts w:hint="eastAsia" w:ascii="宋体" w:hAnsi="宋体"/>
          <w:w w:val="99"/>
          <w:kern w:val="0"/>
          <w:sz w:val="28"/>
          <w:szCs w:val="28"/>
        </w:rPr>
        <w:t>月</w:t>
      </w:r>
      <w:r>
        <w:rPr>
          <w:rFonts w:hint="eastAsia" w:ascii="宋体" w:hAnsi="宋体"/>
          <w:w w:val="99"/>
          <w:kern w:val="0"/>
          <w:sz w:val="28"/>
          <w:szCs w:val="28"/>
          <w:u w:val="single"/>
        </w:rPr>
        <w:t xml:space="preserve">    </w:t>
      </w:r>
      <w:r>
        <w:rPr>
          <w:rFonts w:hint="eastAsia" w:ascii="宋体" w:hAnsi="宋体"/>
          <w:w w:val="99"/>
          <w:kern w:val="0"/>
          <w:sz w:val="28"/>
          <w:szCs w:val="28"/>
        </w:rPr>
        <w:t>日</w:t>
      </w:r>
    </w:p>
    <w:p w14:paraId="033A83B7">
      <w:pPr>
        <w:autoSpaceDE w:val="0"/>
        <w:autoSpaceDN w:val="0"/>
        <w:adjustRightInd w:val="0"/>
        <w:snapToGrid w:val="0"/>
        <w:spacing w:line="360" w:lineRule="auto"/>
        <w:jc w:val="center"/>
        <w:rPr>
          <w:rFonts w:ascii="宋体" w:hAnsi="宋体"/>
          <w:kern w:val="0"/>
          <w:sz w:val="32"/>
          <w:szCs w:val="32"/>
        </w:rPr>
      </w:pPr>
      <w:r>
        <w:rPr>
          <w:rFonts w:hint="eastAsia" w:ascii="宋体" w:hAnsi="宋体"/>
          <w:kern w:val="0"/>
          <w:sz w:val="36"/>
          <w:szCs w:val="36"/>
        </w:rPr>
        <w:t>目  录</w:t>
      </w:r>
    </w:p>
    <w:p w14:paraId="3963504F">
      <w:pPr>
        <w:autoSpaceDE w:val="0"/>
        <w:autoSpaceDN w:val="0"/>
        <w:adjustRightInd w:val="0"/>
        <w:snapToGrid w:val="0"/>
        <w:spacing w:line="360" w:lineRule="auto"/>
        <w:jc w:val="left"/>
        <w:rPr>
          <w:rFonts w:ascii="宋体" w:hAnsi="宋体"/>
          <w:kern w:val="0"/>
          <w:sz w:val="32"/>
          <w:szCs w:val="32"/>
        </w:rPr>
      </w:pPr>
    </w:p>
    <w:p w14:paraId="5AD303B5">
      <w:pPr>
        <w:autoSpaceDE w:val="0"/>
        <w:autoSpaceDN w:val="0"/>
        <w:adjustRightInd w:val="0"/>
        <w:snapToGrid w:val="0"/>
        <w:spacing w:line="360" w:lineRule="auto"/>
        <w:jc w:val="center"/>
        <w:rPr>
          <w:rFonts w:ascii="宋体" w:hAnsi="宋体"/>
          <w:i/>
          <w:iCs/>
          <w:kern w:val="0"/>
          <w:szCs w:val="21"/>
        </w:rPr>
      </w:pPr>
      <w:r>
        <w:rPr>
          <w:rFonts w:ascii="宋体" w:hAnsi="宋体"/>
          <w:i/>
          <w:iCs/>
          <w:kern w:val="0"/>
          <w:szCs w:val="21"/>
        </w:rPr>
        <w:t>[</w:t>
      </w:r>
      <w:r>
        <w:rPr>
          <w:rFonts w:hint="eastAsia" w:ascii="宋体" w:hAnsi="宋体"/>
          <w:i/>
          <w:iCs/>
          <w:kern w:val="0"/>
          <w:szCs w:val="21"/>
        </w:rPr>
        <w:t>提示：</w:t>
      </w:r>
      <w:r>
        <w:rPr>
          <w:rFonts w:ascii="宋体" w:hAnsi="宋体"/>
          <w:i/>
          <w:iCs/>
          <w:kern w:val="0"/>
          <w:szCs w:val="21"/>
        </w:rPr>
        <w:t>目录由</w:t>
      </w:r>
      <w:r>
        <w:rPr>
          <w:rFonts w:hint="eastAsia" w:ascii="宋体" w:hAnsi="宋体"/>
          <w:i/>
          <w:iCs/>
          <w:kern w:val="0"/>
          <w:szCs w:val="21"/>
        </w:rPr>
        <w:t>投标人</w:t>
      </w:r>
      <w:r>
        <w:rPr>
          <w:rFonts w:ascii="宋体" w:hAnsi="宋体"/>
          <w:i/>
          <w:iCs/>
          <w:kern w:val="0"/>
          <w:szCs w:val="21"/>
        </w:rPr>
        <w:t>自行编制]</w:t>
      </w:r>
    </w:p>
    <w:p w14:paraId="2CA6CFD4">
      <w:pPr>
        <w:autoSpaceDE w:val="0"/>
        <w:autoSpaceDN w:val="0"/>
        <w:adjustRightInd w:val="0"/>
        <w:snapToGrid w:val="0"/>
        <w:spacing w:line="360" w:lineRule="auto"/>
        <w:jc w:val="left"/>
        <w:rPr>
          <w:rFonts w:ascii="宋体" w:hAnsi="宋体"/>
          <w:w w:val="99"/>
          <w:kern w:val="0"/>
          <w:sz w:val="28"/>
          <w:szCs w:val="28"/>
        </w:rPr>
      </w:pPr>
    </w:p>
    <w:p w14:paraId="0F726B1C">
      <w:pPr>
        <w:autoSpaceDE w:val="0"/>
        <w:autoSpaceDN w:val="0"/>
        <w:adjustRightInd w:val="0"/>
        <w:snapToGrid w:val="0"/>
        <w:spacing w:line="360" w:lineRule="auto"/>
        <w:jc w:val="center"/>
        <w:rPr>
          <w:rFonts w:ascii="宋体" w:hAnsi="宋体"/>
          <w:sz w:val="36"/>
          <w:szCs w:val="36"/>
        </w:rPr>
      </w:pPr>
      <w:r>
        <w:rPr>
          <w:rFonts w:ascii="宋体" w:hAnsi="宋体"/>
        </w:rPr>
        <w:br w:type="page"/>
      </w:r>
      <w:bookmarkStart w:id="1530" w:name="_Toc29745"/>
      <w:bookmarkStart w:id="1531" w:name="_Toc299"/>
      <w:bookmarkStart w:id="1532" w:name="_Toc216768234"/>
      <w:r>
        <w:rPr>
          <w:rStyle w:val="193"/>
          <w:rFonts w:hint="eastAsia"/>
        </w:rPr>
        <w:t>（一）技术方案</w:t>
      </w:r>
      <w:bookmarkEnd w:id="1530"/>
      <w:bookmarkEnd w:id="1531"/>
      <w:bookmarkEnd w:id="1532"/>
    </w:p>
    <w:p w14:paraId="2807F682">
      <w:pPr>
        <w:autoSpaceDE w:val="0"/>
        <w:autoSpaceDN w:val="0"/>
        <w:adjustRightInd w:val="0"/>
        <w:snapToGrid w:val="0"/>
        <w:spacing w:line="360" w:lineRule="auto"/>
        <w:jc w:val="left"/>
        <w:rPr>
          <w:rFonts w:ascii="宋体" w:hAnsi="宋体"/>
          <w:kern w:val="0"/>
          <w:sz w:val="12"/>
          <w:szCs w:val="12"/>
        </w:rPr>
      </w:pPr>
    </w:p>
    <w:p w14:paraId="49709A6C">
      <w:pPr>
        <w:pStyle w:val="2"/>
        <w:spacing w:line="360" w:lineRule="auto"/>
        <w:ind w:firstLine="420" w:firstLineChars="200"/>
        <w:jc w:val="center"/>
        <w:rPr>
          <w:rFonts w:ascii="宋体" w:hAnsi="宋体"/>
          <w:i/>
          <w:kern w:val="0"/>
          <w:szCs w:val="21"/>
        </w:rPr>
      </w:pPr>
      <w:r>
        <w:rPr>
          <w:rFonts w:hint="eastAsia" w:ascii="宋体" w:hAnsi="宋体"/>
          <w:i/>
          <w:kern w:val="0"/>
          <w:szCs w:val="21"/>
        </w:rPr>
        <w:t>[提示：投标人应根据招标文件的要求编制技术方案]</w:t>
      </w:r>
    </w:p>
    <w:p w14:paraId="0C7330EF">
      <w:pPr>
        <w:autoSpaceDE w:val="0"/>
        <w:autoSpaceDN w:val="0"/>
        <w:adjustRightInd w:val="0"/>
        <w:snapToGrid w:val="0"/>
        <w:spacing w:line="360" w:lineRule="auto"/>
        <w:ind w:firstLine="420"/>
        <w:rPr>
          <w:rFonts w:ascii="宋体" w:hAnsi="宋体"/>
          <w:kern w:val="0"/>
          <w:szCs w:val="21"/>
        </w:rPr>
      </w:pPr>
      <w:r>
        <w:rPr>
          <w:rFonts w:ascii="宋体" w:hAnsi="宋体"/>
          <w:kern w:val="0"/>
          <w:szCs w:val="21"/>
        </w:rPr>
        <w:t>1.</w:t>
      </w:r>
      <w:r>
        <w:rPr>
          <w:rFonts w:hint="eastAsia"/>
        </w:rPr>
        <w:t>投标人</w:t>
      </w:r>
      <w:r>
        <w:t>编制技术方案的要求：编制时应采用文字并结合图表形式说明施工方法； 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w:t>
      </w:r>
      <w:r>
        <w:rPr>
          <w:rFonts w:hint="eastAsia"/>
        </w:rPr>
        <w:t>；BIM、CIM、智慧工地建设管理方案及措施（如有）；</w:t>
      </w:r>
      <w:r>
        <w:rPr>
          <w:rFonts w:hint="eastAsia" w:ascii="宋体" w:hAnsi="宋体" w:cs="宋体"/>
          <w:kern w:val="0"/>
        </w:rPr>
        <w:t>危大工程清单安全管理措施</w:t>
      </w:r>
      <w:r>
        <w:rPr>
          <w:rFonts w:hint="eastAsia"/>
        </w:rPr>
        <w:t>（如有）</w:t>
      </w:r>
      <w:r>
        <w:t>等</w:t>
      </w:r>
      <w:r>
        <w:rPr>
          <w:rFonts w:ascii="宋体" w:hAnsi="宋体"/>
          <w:kern w:val="0"/>
          <w:szCs w:val="21"/>
        </w:rPr>
        <w:t>。</w:t>
      </w:r>
    </w:p>
    <w:p w14:paraId="2B93EE83">
      <w:pPr>
        <w:tabs>
          <w:tab w:val="left" w:pos="735"/>
          <w:tab w:val="left" w:pos="840"/>
          <w:tab w:val="left" w:pos="1050"/>
          <w:tab w:val="left" w:pos="1700"/>
        </w:tabs>
        <w:autoSpaceDE w:val="0"/>
        <w:autoSpaceDN w:val="0"/>
        <w:adjustRightInd w:val="0"/>
        <w:snapToGrid w:val="0"/>
        <w:spacing w:line="360" w:lineRule="auto"/>
        <w:ind w:left="-2" w:leftChars="-1" w:firstLine="424" w:firstLineChars="202"/>
        <w:jc w:val="left"/>
        <w:rPr>
          <w:rFonts w:ascii="宋体" w:hAnsi="宋体"/>
          <w:kern w:val="0"/>
          <w:szCs w:val="21"/>
        </w:rPr>
      </w:pPr>
      <w:r>
        <w:rPr>
          <w:rFonts w:ascii="宋体" w:hAnsi="宋体"/>
          <w:kern w:val="0"/>
          <w:szCs w:val="21"/>
        </w:rPr>
        <w:t xml:space="preserve">2.技术方案除采用文字表述外可附下列图表，图表及格式要求附后。 </w:t>
      </w:r>
    </w:p>
    <w:p w14:paraId="4940000B">
      <w:pPr>
        <w:tabs>
          <w:tab w:val="left" w:pos="1700"/>
        </w:tabs>
        <w:autoSpaceDE w:val="0"/>
        <w:autoSpaceDN w:val="0"/>
        <w:adjustRightInd w:val="0"/>
        <w:snapToGrid w:val="0"/>
        <w:spacing w:line="360" w:lineRule="auto"/>
        <w:ind w:firstLine="424" w:firstLineChars="202"/>
        <w:jc w:val="left"/>
        <w:rPr>
          <w:rFonts w:ascii="宋体" w:hAnsi="宋体"/>
          <w:kern w:val="0"/>
          <w:szCs w:val="21"/>
        </w:rPr>
      </w:pPr>
    </w:p>
    <w:p w14:paraId="5115D0E4">
      <w:pPr>
        <w:tabs>
          <w:tab w:val="left" w:pos="1700"/>
        </w:tabs>
        <w:autoSpaceDE w:val="0"/>
        <w:autoSpaceDN w:val="0"/>
        <w:adjustRightInd w:val="0"/>
        <w:snapToGrid w:val="0"/>
        <w:spacing w:line="360" w:lineRule="auto"/>
        <w:ind w:firstLine="424" w:firstLineChars="202"/>
        <w:jc w:val="left"/>
        <w:rPr>
          <w:rFonts w:ascii="宋体" w:hAnsi="宋体"/>
          <w:kern w:val="0"/>
          <w:szCs w:val="21"/>
        </w:rPr>
      </w:pPr>
      <w:r>
        <w:rPr>
          <w:rFonts w:ascii="宋体" w:hAnsi="宋体"/>
          <w:kern w:val="0"/>
          <w:szCs w:val="21"/>
        </w:rPr>
        <w:t>附表一</w:t>
      </w:r>
      <w:r>
        <w:rPr>
          <w:rFonts w:hint="eastAsia" w:ascii="宋体" w:hAnsi="宋体"/>
          <w:kern w:val="0"/>
          <w:szCs w:val="21"/>
        </w:rPr>
        <w:t xml:space="preserve">  </w:t>
      </w:r>
      <w:r>
        <w:rPr>
          <w:rFonts w:ascii="宋体" w:hAnsi="宋体"/>
          <w:kern w:val="0"/>
          <w:szCs w:val="21"/>
        </w:rPr>
        <w:t>拟投入本标段的主要施工设备表</w:t>
      </w:r>
    </w:p>
    <w:p w14:paraId="02A95D16">
      <w:pPr>
        <w:tabs>
          <w:tab w:val="left" w:pos="1700"/>
        </w:tabs>
        <w:autoSpaceDE w:val="0"/>
        <w:autoSpaceDN w:val="0"/>
        <w:adjustRightInd w:val="0"/>
        <w:snapToGrid w:val="0"/>
        <w:spacing w:line="360" w:lineRule="auto"/>
        <w:ind w:firstLine="424" w:firstLineChars="202"/>
        <w:jc w:val="left"/>
        <w:rPr>
          <w:rFonts w:ascii="宋体" w:hAnsi="宋体"/>
          <w:kern w:val="0"/>
          <w:szCs w:val="21"/>
        </w:rPr>
      </w:pPr>
      <w:r>
        <w:rPr>
          <w:rFonts w:ascii="宋体" w:hAnsi="宋体"/>
          <w:kern w:val="0"/>
          <w:szCs w:val="21"/>
        </w:rPr>
        <w:t>附表二</w:t>
      </w:r>
      <w:r>
        <w:rPr>
          <w:rFonts w:hint="eastAsia" w:ascii="宋体" w:hAnsi="宋体"/>
          <w:kern w:val="0"/>
          <w:szCs w:val="21"/>
        </w:rPr>
        <w:t xml:space="preserve">  </w:t>
      </w:r>
      <w:r>
        <w:rPr>
          <w:rFonts w:ascii="宋体" w:hAnsi="宋体"/>
          <w:kern w:val="0"/>
          <w:szCs w:val="21"/>
        </w:rPr>
        <w:t>拟配备本标段的试验和检测仪器设备表</w:t>
      </w:r>
    </w:p>
    <w:p w14:paraId="01F07CCD">
      <w:pPr>
        <w:tabs>
          <w:tab w:val="left" w:pos="1700"/>
        </w:tabs>
        <w:autoSpaceDE w:val="0"/>
        <w:autoSpaceDN w:val="0"/>
        <w:adjustRightInd w:val="0"/>
        <w:snapToGrid w:val="0"/>
        <w:spacing w:line="360" w:lineRule="auto"/>
        <w:ind w:firstLine="424" w:firstLineChars="202"/>
        <w:jc w:val="left"/>
        <w:rPr>
          <w:rFonts w:ascii="宋体" w:hAnsi="宋体"/>
          <w:kern w:val="0"/>
          <w:szCs w:val="21"/>
        </w:rPr>
      </w:pPr>
      <w:r>
        <w:rPr>
          <w:rFonts w:ascii="宋体" w:hAnsi="宋体"/>
          <w:kern w:val="0"/>
          <w:szCs w:val="21"/>
        </w:rPr>
        <w:t>附表三</w:t>
      </w:r>
      <w:r>
        <w:rPr>
          <w:rFonts w:hint="eastAsia" w:ascii="宋体" w:hAnsi="宋体"/>
          <w:kern w:val="0"/>
          <w:szCs w:val="21"/>
        </w:rPr>
        <w:t xml:space="preserve">  </w:t>
      </w:r>
      <w:r>
        <w:rPr>
          <w:rFonts w:ascii="宋体" w:hAnsi="宋体"/>
          <w:kern w:val="0"/>
          <w:szCs w:val="21"/>
        </w:rPr>
        <w:t>劳动力计划表</w:t>
      </w:r>
    </w:p>
    <w:p w14:paraId="373B6262">
      <w:pPr>
        <w:tabs>
          <w:tab w:val="left" w:pos="1700"/>
        </w:tabs>
        <w:autoSpaceDE w:val="0"/>
        <w:autoSpaceDN w:val="0"/>
        <w:adjustRightInd w:val="0"/>
        <w:snapToGrid w:val="0"/>
        <w:spacing w:line="360" w:lineRule="auto"/>
        <w:ind w:firstLine="424" w:firstLineChars="202"/>
        <w:jc w:val="left"/>
        <w:rPr>
          <w:rFonts w:ascii="宋体" w:hAnsi="宋体"/>
          <w:kern w:val="0"/>
          <w:szCs w:val="21"/>
        </w:rPr>
      </w:pPr>
      <w:r>
        <w:rPr>
          <w:rFonts w:ascii="宋体" w:hAnsi="宋体"/>
          <w:kern w:val="0"/>
          <w:szCs w:val="21"/>
        </w:rPr>
        <w:t>附表四</w:t>
      </w:r>
      <w:r>
        <w:rPr>
          <w:rFonts w:hint="eastAsia" w:ascii="宋体" w:hAnsi="宋体"/>
          <w:kern w:val="0"/>
          <w:szCs w:val="21"/>
        </w:rPr>
        <w:t xml:space="preserve">  </w:t>
      </w:r>
      <w:r>
        <w:rPr>
          <w:rFonts w:ascii="宋体" w:hAnsi="宋体"/>
          <w:kern w:val="0"/>
          <w:szCs w:val="21"/>
        </w:rPr>
        <w:t>计划开、竣工日期和施工进度网络图</w:t>
      </w:r>
    </w:p>
    <w:p w14:paraId="381EAC05">
      <w:pPr>
        <w:tabs>
          <w:tab w:val="left" w:pos="1700"/>
        </w:tabs>
        <w:autoSpaceDE w:val="0"/>
        <w:autoSpaceDN w:val="0"/>
        <w:adjustRightInd w:val="0"/>
        <w:snapToGrid w:val="0"/>
        <w:spacing w:line="360" w:lineRule="auto"/>
        <w:ind w:firstLine="424" w:firstLineChars="202"/>
        <w:jc w:val="left"/>
        <w:rPr>
          <w:rFonts w:ascii="宋体" w:hAnsi="宋体"/>
          <w:kern w:val="0"/>
          <w:szCs w:val="21"/>
        </w:rPr>
      </w:pPr>
      <w:r>
        <w:rPr>
          <w:rFonts w:ascii="宋体" w:hAnsi="宋体"/>
          <w:kern w:val="0"/>
          <w:szCs w:val="21"/>
        </w:rPr>
        <w:t>附表五</w:t>
      </w:r>
      <w:r>
        <w:rPr>
          <w:rFonts w:hint="eastAsia" w:ascii="宋体" w:hAnsi="宋体"/>
          <w:kern w:val="0"/>
          <w:szCs w:val="21"/>
        </w:rPr>
        <w:t xml:space="preserve">  </w:t>
      </w:r>
      <w:r>
        <w:rPr>
          <w:rFonts w:ascii="宋体" w:hAnsi="宋体"/>
          <w:kern w:val="0"/>
          <w:szCs w:val="21"/>
        </w:rPr>
        <w:t>施工总平面图</w:t>
      </w:r>
    </w:p>
    <w:p w14:paraId="03E97FA2">
      <w:pPr>
        <w:tabs>
          <w:tab w:val="left" w:pos="1700"/>
        </w:tabs>
        <w:autoSpaceDE w:val="0"/>
        <w:autoSpaceDN w:val="0"/>
        <w:adjustRightInd w:val="0"/>
        <w:snapToGrid w:val="0"/>
        <w:spacing w:line="360" w:lineRule="auto"/>
        <w:ind w:firstLine="424" w:firstLineChars="202"/>
        <w:jc w:val="left"/>
        <w:rPr>
          <w:rFonts w:ascii="宋体" w:hAnsi="宋体"/>
          <w:kern w:val="0"/>
          <w:szCs w:val="21"/>
        </w:rPr>
      </w:pPr>
      <w:r>
        <w:rPr>
          <w:rFonts w:ascii="宋体" w:hAnsi="宋体"/>
          <w:kern w:val="0"/>
          <w:szCs w:val="21"/>
        </w:rPr>
        <w:t>附表六</w:t>
      </w:r>
      <w:r>
        <w:rPr>
          <w:rFonts w:hint="eastAsia" w:ascii="宋体" w:hAnsi="宋体"/>
          <w:kern w:val="0"/>
          <w:szCs w:val="21"/>
        </w:rPr>
        <w:t xml:space="preserve">  </w:t>
      </w:r>
      <w:r>
        <w:rPr>
          <w:rFonts w:ascii="宋体" w:hAnsi="宋体"/>
          <w:kern w:val="0"/>
          <w:szCs w:val="21"/>
        </w:rPr>
        <w:t>临时用地表</w:t>
      </w:r>
    </w:p>
    <w:p w14:paraId="03DF8E98">
      <w:pPr>
        <w:autoSpaceDE w:val="0"/>
        <w:autoSpaceDN w:val="0"/>
        <w:adjustRightInd w:val="0"/>
        <w:snapToGrid w:val="0"/>
        <w:spacing w:line="360" w:lineRule="auto"/>
        <w:jc w:val="left"/>
        <w:rPr>
          <w:rFonts w:ascii="宋体" w:hAnsi="宋体"/>
          <w:kern w:val="0"/>
          <w:sz w:val="24"/>
        </w:rPr>
      </w:pPr>
    </w:p>
    <w:p w14:paraId="1C180D83">
      <w:pPr>
        <w:jc w:val="center"/>
        <w:rPr>
          <w:sz w:val="32"/>
          <w:szCs w:val="32"/>
        </w:rPr>
      </w:pPr>
      <w:bookmarkStart w:id="1533" w:name="_Toc287620823"/>
      <w:bookmarkStart w:id="1534" w:name="_Toc224103504"/>
      <w:bookmarkStart w:id="1535" w:name="_Toc430530539"/>
      <w:bookmarkStart w:id="1536" w:name="_Toc277082650"/>
      <w:bookmarkStart w:id="1537" w:name="_Toc287607876"/>
      <w:bookmarkStart w:id="1538" w:name="_Toc287620826"/>
      <w:bookmarkStart w:id="1539" w:name="_Toc287607879"/>
      <w:bookmarkStart w:id="1540" w:name="_Toc277082653"/>
      <w:bookmarkStart w:id="1541" w:name="_Toc224103507"/>
      <w:r>
        <w:br w:type="page"/>
      </w:r>
      <w:bookmarkStart w:id="1542" w:name="_Toc534185834"/>
      <w:bookmarkStart w:id="1543" w:name="_Toc509218857"/>
      <w:r>
        <w:rPr>
          <w:rFonts w:hint="eastAsia"/>
          <w:sz w:val="32"/>
          <w:szCs w:val="32"/>
        </w:rPr>
        <w:t>附表一：拟投入本标段的主要施工设备表</w:t>
      </w:r>
      <w:bookmarkEnd w:id="1533"/>
      <w:bookmarkEnd w:id="1534"/>
      <w:bookmarkEnd w:id="1535"/>
      <w:bookmarkEnd w:id="1536"/>
      <w:bookmarkEnd w:id="1537"/>
      <w:bookmarkEnd w:id="1542"/>
      <w:bookmarkEnd w:id="1543"/>
    </w:p>
    <w:tbl>
      <w:tblPr>
        <w:tblStyle w:val="45"/>
        <w:tblW w:w="9469"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1"/>
        <w:gridCol w:w="1176"/>
        <w:gridCol w:w="824"/>
        <w:gridCol w:w="1072"/>
        <w:gridCol w:w="728"/>
        <w:gridCol w:w="799"/>
        <w:gridCol w:w="1312"/>
        <w:gridCol w:w="947"/>
        <w:gridCol w:w="1141"/>
        <w:gridCol w:w="749"/>
      </w:tblGrid>
      <w:tr w14:paraId="27E51A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17" w:hRule="exact"/>
        </w:trPr>
        <w:tc>
          <w:tcPr>
            <w:tcW w:w="721" w:type="dxa"/>
            <w:vAlign w:val="center"/>
          </w:tcPr>
          <w:p w14:paraId="08A3302D">
            <w:pPr>
              <w:autoSpaceDE w:val="0"/>
              <w:autoSpaceDN w:val="0"/>
              <w:adjustRightInd w:val="0"/>
              <w:snapToGrid w:val="0"/>
              <w:jc w:val="center"/>
              <w:rPr>
                <w:rFonts w:ascii="宋体" w:hAnsi="宋体"/>
                <w:kern w:val="0"/>
                <w:sz w:val="24"/>
              </w:rPr>
            </w:pPr>
            <w:r>
              <w:rPr>
                <w:rFonts w:ascii="宋体" w:hAnsi="宋体"/>
                <w:kern w:val="0"/>
                <w:szCs w:val="21"/>
              </w:rPr>
              <w:t>序号</w:t>
            </w:r>
          </w:p>
        </w:tc>
        <w:tc>
          <w:tcPr>
            <w:tcW w:w="1176" w:type="dxa"/>
            <w:vAlign w:val="center"/>
          </w:tcPr>
          <w:p w14:paraId="6BE29416">
            <w:pPr>
              <w:autoSpaceDE w:val="0"/>
              <w:autoSpaceDN w:val="0"/>
              <w:adjustRightInd w:val="0"/>
              <w:snapToGrid w:val="0"/>
              <w:jc w:val="center"/>
              <w:rPr>
                <w:rFonts w:ascii="宋体" w:hAnsi="宋体"/>
                <w:kern w:val="0"/>
                <w:sz w:val="24"/>
              </w:rPr>
            </w:pPr>
            <w:r>
              <w:rPr>
                <w:rFonts w:ascii="宋体" w:hAnsi="宋体"/>
                <w:kern w:val="0"/>
                <w:szCs w:val="21"/>
              </w:rPr>
              <w:t>设备名称</w:t>
            </w:r>
          </w:p>
        </w:tc>
        <w:tc>
          <w:tcPr>
            <w:tcW w:w="824" w:type="dxa"/>
            <w:vAlign w:val="center"/>
          </w:tcPr>
          <w:p w14:paraId="4AFE6041">
            <w:pPr>
              <w:autoSpaceDE w:val="0"/>
              <w:autoSpaceDN w:val="0"/>
              <w:adjustRightInd w:val="0"/>
              <w:snapToGrid w:val="0"/>
              <w:jc w:val="center"/>
              <w:rPr>
                <w:rFonts w:ascii="宋体" w:hAnsi="宋体"/>
                <w:kern w:val="0"/>
                <w:szCs w:val="21"/>
              </w:rPr>
            </w:pPr>
            <w:r>
              <w:rPr>
                <w:rFonts w:ascii="宋体" w:hAnsi="宋体"/>
                <w:kern w:val="0"/>
                <w:szCs w:val="21"/>
              </w:rPr>
              <w:t>型号</w:t>
            </w:r>
          </w:p>
          <w:p w14:paraId="203D8BC9">
            <w:pPr>
              <w:autoSpaceDE w:val="0"/>
              <w:autoSpaceDN w:val="0"/>
              <w:adjustRightInd w:val="0"/>
              <w:snapToGrid w:val="0"/>
              <w:jc w:val="center"/>
              <w:rPr>
                <w:rFonts w:ascii="宋体" w:hAnsi="宋体"/>
                <w:kern w:val="0"/>
                <w:sz w:val="24"/>
              </w:rPr>
            </w:pPr>
            <w:r>
              <w:rPr>
                <w:rFonts w:ascii="宋体" w:hAnsi="宋体"/>
                <w:kern w:val="0"/>
                <w:szCs w:val="21"/>
              </w:rPr>
              <w:t>规格</w:t>
            </w:r>
          </w:p>
        </w:tc>
        <w:tc>
          <w:tcPr>
            <w:tcW w:w="1072" w:type="dxa"/>
            <w:vAlign w:val="center"/>
          </w:tcPr>
          <w:p w14:paraId="3A77686A">
            <w:pPr>
              <w:autoSpaceDE w:val="0"/>
              <w:autoSpaceDN w:val="0"/>
              <w:adjustRightInd w:val="0"/>
              <w:snapToGrid w:val="0"/>
              <w:jc w:val="center"/>
              <w:rPr>
                <w:rFonts w:ascii="宋体" w:hAnsi="宋体"/>
                <w:kern w:val="0"/>
                <w:sz w:val="24"/>
              </w:rPr>
            </w:pPr>
            <w:r>
              <w:rPr>
                <w:rFonts w:ascii="宋体" w:hAnsi="宋体"/>
                <w:kern w:val="0"/>
                <w:szCs w:val="21"/>
              </w:rPr>
              <w:t>数量</w:t>
            </w:r>
          </w:p>
        </w:tc>
        <w:tc>
          <w:tcPr>
            <w:tcW w:w="728" w:type="dxa"/>
            <w:vAlign w:val="center"/>
          </w:tcPr>
          <w:p w14:paraId="2DAF9ED6">
            <w:pPr>
              <w:autoSpaceDE w:val="0"/>
              <w:autoSpaceDN w:val="0"/>
              <w:adjustRightInd w:val="0"/>
              <w:snapToGrid w:val="0"/>
              <w:jc w:val="center"/>
              <w:rPr>
                <w:rFonts w:ascii="宋体" w:hAnsi="宋体"/>
                <w:kern w:val="0"/>
                <w:sz w:val="24"/>
              </w:rPr>
            </w:pPr>
            <w:r>
              <w:rPr>
                <w:rFonts w:ascii="宋体" w:hAnsi="宋体"/>
                <w:kern w:val="0"/>
                <w:szCs w:val="21"/>
              </w:rPr>
              <w:t>国别 产地</w:t>
            </w:r>
          </w:p>
        </w:tc>
        <w:tc>
          <w:tcPr>
            <w:tcW w:w="799" w:type="dxa"/>
            <w:vAlign w:val="center"/>
          </w:tcPr>
          <w:p w14:paraId="6B1BB3EE">
            <w:pPr>
              <w:autoSpaceDE w:val="0"/>
              <w:autoSpaceDN w:val="0"/>
              <w:adjustRightInd w:val="0"/>
              <w:snapToGrid w:val="0"/>
              <w:jc w:val="center"/>
              <w:rPr>
                <w:rFonts w:ascii="宋体" w:hAnsi="宋体"/>
                <w:kern w:val="0"/>
                <w:szCs w:val="21"/>
              </w:rPr>
            </w:pPr>
            <w:r>
              <w:rPr>
                <w:rFonts w:ascii="宋体" w:hAnsi="宋体"/>
                <w:kern w:val="0"/>
                <w:szCs w:val="21"/>
              </w:rPr>
              <w:t>制造</w:t>
            </w:r>
          </w:p>
          <w:p w14:paraId="752C303C">
            <w:pPr>
              <w:autoSpaceDE w:val="0"/>
              <w:autoSpaceDN w:val="0"/>
              <w:adjustRightInd w:val="0"/>
              <w:snapToGrid w:val="0"/>
              <w:jc w:val="center"/>
              <w:rPr>
                <w:rFonts w:ascii="宋体" w:hAnsi="宋体"/>
                <w:kern w:val="0"/>
                <w:sz w:val="24"/>
              </w:rPr>
            </w:pPr>
            <w:r>
              <w:rPr>
                <w:rFonts w:ascii="宋体" w:hAnsi="宋体"/>
                <w:kern w:val="0"/>
                <w:szCs w:val="21"/>
              </w:rPr>
              <w:t>年份</w:t>
            </w:r>
          </w:p>
        </w:tc>
        <w:tc>
          <w:tcPr>
            <w:tcW w:w="1312" w:type="dxa"/>
            <w:vAlign w:val="center"/>
          </w:tcPr>
          <w:p w14:paraId="5A561357">
            <w:pPr>
              <w:autoSpaceDE w:val="0"/>
              <w:autoSpaceDN w:val="0"/>
              <w:adjustRightInd w:val="0"/>
              <w:snapToGrid w:val="0"/>
              <w:jc w:val="center"/>
              <w:rPr>
                <w:rFonts w:ascii="宋体" w:hAnsi="宋体"/>
                <w:kern w:val="0"/>
                <w:szCs w:val="21"/>
              </w:rPr>
            </w:pPr>
            <w:r>
              <w:rPr>
                <w:rFonts w:ascii="宋体" w:hAnsi="宋体"/>
                <w:kern w:val="0"/>
                <w:szCs w:val="21"/>
              </w:rPr>
              <w:t>额定功率</w:t>
            </w:r>
          </w:p>
          <w:p w14:paraId="270B8CC7">
            <w:pPr>
              <w:autoSpaceDE w:val="0"/>
              <w:autoSpaceDN w:val="0"/>
              <w:adjustRightInd w:val="0"/>
              <w:snapToGrid w:val="0"/>
              <w:jc w:val="center"/>
              <w:rPr>
                <w:rFonts w:ascii="宋体" w:hAnsi="宋体"/>
                <w:kern w:val="0"/>
                <w:sz w:val="10"/>
                <w:szCs w:val="10"/>
              </w:rPr>
            </w:pPr>
          </w:p>
          <w:p w14:paraId="47F19868">
            <w:pPr>
              <w:autoSpaceDE w:val="0"/>
              <w:autoSpaceDN w:val="0"/>
              <w:adjustRightInd w:val="0"/>
              <w:snapToGrid w:val="0"/>
              <w:jc w:val="center"/>
              <w:rPr>
                <w:rFonts w:ascii="宋体" w:hAnsi="宋体"/>
                <w:kern w:val="0"/>
                <w:sz w:val="24"/>
              </w:rPr>
            </w:pPr>
            <w:r>
              <w:rPr>
                <w:rFonts w:ascii="宋体" w:hAnsi="宋体"/>
                <w:kern w:val="0"/>
                <w:szCs w:val="21"/>
              </w:rPr>
              <w:t>（KW）</w:t>
            </w:r>
          </w:p>
        </w:tc>
        <w:tc>
          <w:tcPr>
            <w:tcW w:w="947" w:type="dxa"/>
            <w:vAlign w:val="center"/>
          </w:tcPr>
          <w:p w14:paraId="5B051383">
            <w:pPr>
              <w:autoSpaceDE w:val="0"/>
              <w:autoSpaceDN w:val="0"/>
              <w:adjustRightInd w:val="0"/>
              <w:snapToGrid w:val="0"/>
              <w:jc w:val="center"/>
              <w:rPr>
                <w:rFonts w:ascii="宋体" w:hAnsi="宋体"/>
                <w:kern w:val="0"/>
                <w:szCs w:val="21"/>
              </w:rPr>
            </w:pPr>
            <w:r>
              <w:rPr>
                <w:rFonts w:ascii="宋体" w:hAnsi="宋体"/>
                <w:kern w:val="0"/>
                <w:szCs w:val="21"/>
              </w:rPr>
              <w:t>生产</w:t>
            </w:r>
          </w:p>
          <w:p w14:paraId="3F991F88">
            <w:pPr>
              <w:autoSpaceDE w:val="0"/>
              <w:autoSpaceDN w:val="0"/>
              <w:adjustRightInd w:val="0"/>
              <w:snapToGrid w:val="0"/>
              <w:jc w:val="center"/>
              <w:rPr>
                <w:rFonts w:ascii="宋体" w:hAnsi="宋体"/>
                <w:kern w:val="0"/>
                <w:sz w:val="24"/>
              </w:rPr>
            </w:pPr>
            <w:r>
              <w:rPr>
                <w:rFonts w:ascii="宋体" w:hAnsi="宋体"/>
                <w:kern w:val="0"/>
                <w:szCs w:val="21"/>
              </w:rPr>
              <w:t>能力</w:t>
            </w:r>
          </w:p>
        </w:tc>
        <w:tc>
          <w:tcPr>
            <w:tcW w:w="1141" w:type="dxa"/>
            <w:vAlign w:val="center"/>
          </w:tcPr>
          <w:p w14:paraId="02237C53">
            <w:pPr>
              <w:autoSpaceDE w:val="0"/>
              <w:autoSpaceDN w:val="0"/>
              <w:adjustRightInd w:val="0"/>
              <w:snapToGrid w:val="0"/>
              <w:jc w:val="center"/>
              <w:rPr>
                <w:rFonts w:ascii="宋体" w:hAnsi="宋体"/>
                <w:kern w:val="0"/>
                <w:szCs w:val="21"/>
              </w:rPr>
            </w:pPr>
            <w:r>
              <w:rPr>
                <w:rFonts w:ascii="宋体" w:hAnsi="宋体"/>
                <w:kern w:val="0"/>
                <w:szCs w:val="21"/>
              </w:rPr>
              <w:t>用于施</w:t>
            </w:r>
          </w:p>
          <w:p w14:paraId="50EEFFE6">
            <w:pPr>
              <w:autoSpaceDE w:val="0"/>
              <w:autoSpaceDN w:val="0"/>
              <w:adjustRightInd w:val="0"/>
              <w:snapToGrid w:val="0"/>
              <w:jc w:val="center"/>
              <w:rPr>
                <w:rFonts w:ascii="宋体" w:hAnsi="宋体"/>
                <w:kern w:val="0"/>
                <w:sz w:val="24"/>
              </w:rPr>
            </w:pPr>
            <w:r>
              <w:rPr>
                <w:rFonts w:ascii="宋体" w:hAnsi="宋体"/>
                <w:kern w:val="0"/>
                <w:szCs w:val="21"/>
              </w:rPr>
              <w:t>工部位</w:t>
            </w:r>
          </w:p>
        </w:tc>
        <w:tc>
          <w:tcPr>
            <w:tcW w:w="749" w:type="dxa"/>
            <w:vAlign w:val="center"/>
          </w:tcPr>
          <w:p w14:paraId="7EBF4F67">
            <w:pPr>
              <w:autoSpaceDE w:val="0"/>
              <w:autoSpaceDN w:val="0"/>
              <w:adjustRightInd w:val="0"/>
              <w:snapToGrid w:val="0"/>
              <w:jc w:val="center"/>
              <w:rPr>
                <w:rFonts w:ascii="宋体" w:hAnsi="宋体"/>
                <w:kern w:val="0"/>
                <w:sz w:val="24"/>
              </w:rPr>
            </w:pPr>
            <w:r>
              <w:rPr>
                <w:rFonts w:ascii="宋体" w:hAnsi="宋体"/>
                <w:kern w:val="0"/>
                <w:szCs w:val="21"/>
              </w:rPr>
              <w:t>备注</w:t>
            </w:r>
          </w:p>
        </w:tc>
      </w:tr>
      <w:tr w14:paraId="50E5C9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15BD4F81">
            <w:pPr>
              <w:autoSpaceDE w:val="0"/>
              <w:autoSpaceDN w:val="0"/>
              <w:adjustRightInd w:val="0"/>
              <w:snapToGrid w:val="0"/>
              <w:jc w:val="center"/>
              <w:rPr>
                <w:rFonts w:ascii="宋体" w:hAnsi="宋体"/>
                <w:kern w:val="0"/>
                <w:sz w:val="24"/>
              </w:rPr>
            </w:pPr>
          </w:p>
        </w:tc>
        <w:tc>
          <w:tcPr>
            <w:tcW w:w="1176" w:type="dxa"/>
            <w:vAlign w:val="center"/>
          </w:tcPr>
          <w:p w14:paraId="1C719E2A">
            <w:pPr>
              <w:autoSpaceDE w:val="0"/>
              <w:autoSpaceDN w:val="0"/>
              <w:adjustRightInd w:val="0"/>
              <w:snapToGrid w:val="0"/>
              <w:jc w:val="center"/>
              <w:rPr>
                <w:rFonts w:ascii="宋体" w:hAnsi="宋体"/>
                <w:kern w:val="0"/>
                <w:sz w:val="24"/>
              </w:rPr>
            </w:pPr>
          </w:p>
        </w:tc>
        <w:tc>
          <w:tcPr>
            <w:tcW w:w="824" w:type="dxa"/>
            <w:vAlign w:val="center"/>
          </w:tcPr>
          <w:p w14:paraId="40F10314">
            <w:pPr>
              <w:autoSpaceDE w:val="0"/>
              <w:autoSpaceDN w:val="0"/>
              <w:adjustRightInd w:val="0"/>
              <w:snapToGrid w:val="0"/>
              <w:jc w:val="center"/>
              <w:rPr>
                <w:rFonts w:ascii="宋体" w:hAnsi="宋体"/>
                <w:kern w:val="0"/>
                <w:sz w:val="24"/>
              </w:rPr>
            </w:pPr>
          </w:p>
        </w:tc>
        <w:tc>
          <w:tcPr>
            <w:tcW w:w="1072" w:type="dxa"/>
            <w:vAlign w:val="center"/>
          </w:tcPr>
          <w:p w14:paraId="7BAC8FCE">
            <w:pPr>
              <w:autoSpaceDE w:val="0"/>
              <w:autoSpaceDN w:val="0"/>
              <w:adjustRightInd w:val="0"/>
              <w:snapToGrid w:val="0"/>
              <w:jc w:val="center"/>
              <w:rPr>
                <w:rFonts w:ascii="宋体" w:hAnsi="宋体"/>
                <w:kern w:val="0"/>
                <w:sz w:val="24"/>
              </w:rPr>
            </w:pPr>
          </w:p>
        </w:tc>
        <w:tc>
          <w:tcPr>
            <w:tcW w:w="728" w:type="dxa"/>
            <w:vAlign w:val="center"/>
          </w:tcPr>
          <w:p w14:paraId="33E600F4">
            <w:pPr>
              <w:autoSpaceDE w:val="0"/>
              <w:autoSpaceDN w:val="0"/>
              <w:adjustRightInd w:val="0"/>
              <w:snapToGrid w:val="0"/>
              <w:jc w:val="center"/>
              <w:rPr>
                <w:rFonts w:ascii="宋体" w:hAnsi="宋体"/>
                <w:kern w:val="0"/>
                <w:sz w:val="24"/>
              </w:rPr>
            </w:pPr>
          </w:p>
        </w:tc>
        <w:tc>
          <w:tcPr>
            <w:tcW w:w="799" w:type="dxa"/>
            <w:vAlign w:val="center"/>
          </w:tcPr>
          <w:p w14:paraId="18ECD2C4">
            <w:pPr>
              <w:autoSpaceDE w:val="0"/>
              <w:autoSpaceDN w:val="0"/>
              <w:adjustRightInd w:val="0"/>
              <w:snapToGrid w:val="0"/>
              <w:jc w:val="center"/>
              <w:rPr>
                <w:rFonts w:ascii="宋体" w:hAnsi="宋体"/>
                <w:kern w:val="0"/>
                <w:sz w:val="24"/>
              </w:rPr>
            </w:pPr>
          </w:p>
        </w:tc>
        <w:tc>
          <w:tcPr>
            <w:tcW w:w="1312" w:type="dxa"/>
            <w:vAlign w:val="center"/>
          </w:tcPr>
          <w:p w14:paraId="110BBA18">
            <w:pPr>
              <w:autoSpaceDE w:val="0"/>
              <w:autoSpaceDN w:val="0"/>
              <w:adjustRightInd w:val="0"/>
              <w:snapToGrid w:val="0"/>
              <w:jc w:val="center"/>
              <w:rPr>
                <w:rFonts w:ascii="宋体" w:hAnsi="宋体"/>
                <w:kern w:val="0"/>
                <w:sz w:val="24"/>
              </w:rPr>
            </w:pPr>
          </w:p>
        </w:tc>
        <w:tc>
          <w:tcPr>
            <w:tcW w:w="947" w:type="dxa"/>
            <w:vAlign w:val="center"/>
          </w:tcPr>
          <w:p w14:paraId="5FF90EC7">
            <w:pPr>
              <w:autoSpaceDE w:val="0"/>
              <w:autoSpaceDN w:val="0"/>
              <w:adjustRightInd w:val="0"/>
              <w:snapToGrid w:val="0"/>
              <w:jc w:val="center"/>
              <w:rPr>
                <w:rFonts w:ascii="宋体" w:hAnsi="宋体"/>
                <w:kern w:val="0"/>
                <w:sz w:val="24"/>
              </w:rPr>
            </w:pPr>
          </w:p>
        </w:tc>
        <w:tc>
          <w:tcPr>
            <w:tcW w:w="1141" w:type="dxa"/>
            <w:vAlign w:val="center"/>
          </w:tcPr>
          <w:p w14:paraId="3C8F7B92">
            <w:pPr>
              <w:autoSpaceDE w:val="0"/>
              <w:autoSpaceDN w:val="0"/>
              <w:adjustRightInd w:val="0"/>
              <w:snapToGrid w:val="0"/>
              <w:jc w:val="center"/>
              <w:rPr>
                <w:rFonts w:ascii="宋体" w:hAnsi="宋体"/>
                <w:kern w:val="0"/>
                <w:sz w:val="24"/>
              </w:rPr>
            </w:pPr>
          </w:p>
        </w:tc>
        <w:tc>
          <w:tcPr>
            <w:tcW w:w="749" w:type="dxa"/>
            <w:vAlign w:val="center"/>
          </w:tcPr>
          <w:p w14:paraId="24679CC5">
            <w:pPr>
              <w:autoSpaceDE w:val="0"/>
              <w:autoSpaceDN w:val="0"/>
              <w:adjustRightInd w:val="0"/>
              <w:snapToGrid w:val="0"/>
              <w:jc w:val="center"/>
              <w:rPr>
                <w:rFonts w:ascii="宋体" w:hAnsi="宋体"/>
                <w:kern w:val="0"/>
                <w:sz w:val="24"/>
              </w:rPr>
            </w:pPr>
          </w:p>
        </w:tc>
      </w:tr>
      <w:tr w14:paraId="7ECEE6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4A921E59">
            <w:pPr>
              <w:autoSpaceDE w:val="0"/>
              <w:autoSpaceDN w:val="0"/>
              <w:adjustRightInd w:val="0"/>
              <w:snapToGrid w:val="0"/>
              <w:jc w:val="center"/>
              <w:rPr>
                <w:rFonts w:ascii="宋体" w:hAnsi="宋体"/>
                <w:kern w:val="0"/>
                <w:sz w:val="24"/>
              </w:rPr>
            </w:pPr>
          </w:p>
        </w:tc>
        <w:tc>
          <w:tcPr>
            <w:tcW w:w="1176" w:type="dxa"/>
            <w:vAlign w:val="center"/>
          </w:tcPr>
          <w:p w14:paraId="624B3A56">
            <w:pPr>
              <w:autoSpaceDE w:val="0"/>
              <w:autoSpaceDN w:val="0"/>
              <w:adjustRightInd w:val="0"/>
              <w:snapToGrid w:val="0"/>
              <w:jc w:val="center"/>
              <w:rPr>
                <w:rFonts w:ascii="宋体" w:hAnsi="宋体"/>
                <w:kern w:val="0"/>
                <w:sz w:val="24"/>
              </w:rPr>
            </w:pPr>
          </w:p>
        </w:tc>
        <w:tc>
          <w:tcPr>
            <w:tcW w:w="824" w:type="dxa"/>
            <w:vAlign w:val="center"/>
          </w:tcPr>
          <w:p w14:paraId="37741CB9">
            <w:pPr>
              <w:autoSpaceDE w:val="0"/>
              <w:autoSpaceDN w:val="0"/>
              <w:adjustRightInd w:val="0"/>
              <w:snapToGrid w:val="0"/>
              <w:jc w:val="center"/>
              <w:rPr>
                <w:rFonts w:ascii="宋体" w:hAnsi="宋体"/>
                <w:kern w:val="0"/>
                <w:sz w:val="24"/>
              </w:rPr>
            </w:pPr>
          </w:p>
        </w:tc>
        <w:tc>
          <w:tcPr>
            <w:tcW w:w="1072" w:type="dxa"/>
            <w:vAlign w:val="center"/>
          </w:tcPr>
          <w:p w14:paraId="6B4A8015">
            <w:pPr>
              <w:autoSpaceDE w:val="0"/>
              <w:autoSpaceDN w:val="0"/>
              <w:adjustRightInd w:val="0"/>
              <w:snapToGrid w:val="0"/>
              <w:jc w:val="center"/>
              <w:rPr>
                <w:rFonts w:ascii="宋体" w:hAnsi="宋体"/>
                <w:kern w:val="0"/>
                <w:sz w:val="24"/>
              </w:rPr>
            </w:pPr>
          </w:p>
        </w:tc>
        <w:tc>
          <w:tcPr>
            <w:tcW w:w="728" w:type="dxa"/>
            <w:vAlign w:val="center"/>
          </w:tcPr>
          <w:p w14:paraId="63120121">
            <w:pPr>
              <w:autoSpaceDE w:val="0"/>
              <w:autoSpaceDN w:val="0"/>
              <w:adjustRightInd w:val="0"/>
              <w:snapToGrid w:val="0"/>
              <w:jc w:val="center"/>
              <w:rPr>
                <w:rFonts w:ascii="宋体" w:hAnsi="宋体"/>
                <w:kern w:val="0"/>
                <w:sz w:val="24"/>
              </w:rPr>
            </w:pPr>
          </w:p>
        </w:tc>
        <w:tc>
          <w:tcPr>
            <w:tcW w:w="799" w:type="dxa"/>
            <w:vAlign w:val="center"/>
          </w:tcPr>
          <w:p w14:paraId="4EABC1A1">
            <w:pPr>
              <w:autoSpaceDE w:val="0"/>
              <w:autoSpaceDN w:val="0"/>
              <w:adjustRightInd w:val="0"/>
              <w:snapToGrid w:val="0"/>
              <w:jc w:val="center"/>
              <w:rPr>
                <w:rFonts w:ascii="宋体" w:hAnsi="宋体"/>
                <w:kern w:val="0"/>
                <w:sz w:val="24"/>
              </w:rPr>
            </w:pPr>
          </w:p>
        </w:tc>
        <w:tc>
          <w:tcPr>
            <w:tcW w:w="1312" w:type="dxa"/>
            <w:vAlign w:val="center"/>
          </w:tcPr>
          <w:p w14:paraId="749D8696">
            <w:pPr>
              <w:autoSpaceDE w:val="0"/>
              <w:autoSpaceDN w:val="0"/>
              <w:adjustRightInd w:val="0"/>
              <w:snapToGrid w:val="0"/>
              <w:jc w:val="center"/>
              <w:rPr>
                <w:rFonts w:ascii="宋体" w:hAnsi="宋体"/>
                <w:kern w:val="0"/>
                <w:sz w:val="24"/>
              </w:rPr>
            </w:pPr>
          </w:p>
        </w:tc>
        <w:tc>
          <w:tcPr>
            <w:tcW w:w="947" w:type="dxa"/>
            <w:vAlign w:val="center"/>
          </w:tcPr>
          <w:p w14:paraId="4D17661D">
            <w:pPr>
              <w:autoSpaceDE w:val="0"/>
              <w:autoSpaceDN w:val="0"/>
              <w:adjustRightInd w:val="0"/>
              <w:snapToGrid w:val="0"/>
              <w:jc w:val="center"/>
              <w:rPr>
                <w:rFonts w:ascii="宋体" w:hAnsi="宋体"/>
                <w:kern w:val="0"/>
                <w:sz w:val="24"/>
              </w:rPr>
            </w:pPr>
          </w:p>
        </w:tc>
        <w:tc>
          <w:tcPr>
            <w:tcW w:w="1141" w:type="dxa"/>
            <w:vAlign w:val="center"/>
          </w:tcPr>
          <w:p w14:paraId="1A6EA243">
            <w:pPr>
              <w:autoSpaceDE w:val="0"/>
              <w:autoSpaceDN w:val="0"/>
              <w:adjustRightInd w:val="0"/>
              <w:snapToGrid w:val="0"/>
              <w:jc w:val="center"/>
              <w:rPr>
                <w:rFonts w:ascii="宋体" w:hAnsi="宋体"/>
                <w:kern w:val="0"/>
                <w:sz w:val="24"/>
              </w:rPr>
            </w:pPr>
          </w:p>
        </w:tc>
        <w:tc>
          <w:tcPr>
            <w:tcW w:w="749" w:type="dxa"/>
            <w:vAlign w:val="center"/>
          </w:tcPr>
          <w:p w14:paraId="03F67D64">
            <w:pPr>
              <w:autoSpaceDE w:val="0"/>
              <w:autoSpaceDN w:val="0"/>
              <w:adjustRightInd w:val="0"/>
              <w:snapToGrid w:val="0"/>
              <w:jc w:val="center"/>
              <w:rPr>
                <w:rFonts w:ascii="宋体" w:hAnsi="宋体"/>
                <w:kern w:val="0"/>
                <w:sz w:val="24"/>
              </w:rPr>
            </w:pPr>
          </w:p>
        </w:tc>
      </w:tr>
      <w:tr w14:paraId="5BA53C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35F1E5C7">
            <w:pPr>
              <w:autoSpaceDE w:val="0"/>
              <w:autoSpaceDN w:val="0"/>
              <w:adjustRightInd w:val="0"/>
              <w:snapToGrid w:val="0"/>
              <w:jc w:val="center"/>
              <w:rPr>
                <w:rFonts w:ascii="宋体" w:hAnsi="宋体"/>
                <w:kern w:val="0"/>
                <w:sz w:val="24"/>
              </w:rPr>
            </w:pPr>
          </w:p>
        </w:tc>
        <w:tc>
          <w:tcPr>
            <w:tcW w:w="1176" w:type="dxa"/>
            <w:vAlign w:val="center"/>
          </w:tcPr>
          <w:p w14:paraId="2682CDE8">
            <w:pPr>
              <w:autoSpaceDE w:val="0"/>
              <w:autoSpaceDN w:val="0"/>
              <w:adjustRightInd w:val="0"/>
              <w:snapToGrid w:val="0"/>
              <w:jc w:val="center"/>
              <w:rPr>
                <w:rFonts w:ascii="宋体" w:hAnsi="宋体"/>
                <w:kern w:val="0"/>
                <w:sz w:val="24"/>
              </w:rPr>
            </w:pPr>
          </w:p>
        </w:tc>
        <w:tc>
          <w:tcPr>
            <w:tcW w:w="824" w:type="dxa"/>
            <w:vAlign w:val="center"/>
          </w:tcPr>
          <w:p w14:paraId="4EC05AE6">
            <w:pPr>
              <w:autoSpaceDE w:val="0"/>
              <w:autoSpaceDN w:val="0"/>
              <w:adjustRightInd w:val="0"/>
              <w:snapToGrid w:val="0"/>
              <w:jc w:val="center"/>
              <w:rPr>
                <w:rFonts w:ascii="宋体" w:hAnsi="宋体"/>
                <w:kern w:val="0"/>
                <w:sz w:val="24"/>
              </w:rPr>
            </w:pPr>
          </w:p>
        </w:tc>
        <w:tc>
          <w:tcPr>
            <w:tcW w:w="1072" w:type="dxa"/>
            <w:vAlign w:val="center"/>
          </w:tcPr>
          <w:p w14:paraId="5B29BAB3">
            <w:pPr>
              <w:autoSpaceDE w:val="0"/>
              <w:autoSpaceDN w:val="0"/>
              <w:adjustRightInd w:val="0"/>
              <w:snapToGrid w:val="0"/>
              <w:jc w:val="center"/>
              <w:rPr>
                <w:rFonts w:ascii="宋体" w:hAnsi="宋体"/>
                <w:kern w:val="0"/>
                <w:sz w:val="24"/>
              </w:rPr>
            </w:pPr>
          </w:p>
        </w:tc>
        <w:tc>
          <w:tcPr>
            <w:tcW w:w="728" w:type="dxa"/>
            <w:vAlign w:val="center"/>
          </w:tcPr>
          <w:p w14:paraId="20EA6C62">
            <w:pPr>
              <w:autoSpaceDE w:val="0"/>
              <w:autoSpaceDN w:val="0"/>
              <w:adjustRightInd w:val="0"/>
              <w:snapToGrid w:val="0"/>
              <w:jc w:val="center"/>
              <w:rPr>
                <w:rFonts w:ascii="宋体" w:hAnsi="宋体"/>
                <w:kern w:val="0"/>
                <w:sz w:val="24"/>
              </w:rPr>
            </w:pPr>
          </w:p>
        </w:tc>
        <w:tc>
          <w:tcPr>
            <w:tcW w:w="799" w:type="dxa"/>
            <w:vAlign w:val="center"/>
          </w:tcPr>
          <w:p w14:paraId="3F355FD2">
            <w:pPr>
              <w:autoSpaceDE w:val="0"/>
              <w:autoSpaceDN w:val="0"/>
              <w:adjustRightInd w:val="0"/>
              <w:snapToGrid w:val="0"/>
              <w:jc w:val="center"/>
              <w:rPr>
                <w:rFonts w:ascii="宋体" w:hAnsi="宋体"/>
                <w:kern w:val="0"/>
                <w:sz w:val="24"/>
              </w:rPr>
            </w:pPr>
          </w:p>
        </w:tc>
        <w:tc>
          <w:tcPr>
            <w:tcW w:w="1312" w:type="dxa"/>
            <w:vAlign w:val="center"/>
          </w:tcPr>
          <w:p w14:paraId="6A6C8AD2">
            <w:pPr>
              <w:autoSpaceDE w:val="0"/>
              <w:autoSpaceDN w:val="0"/>
              <w:adjustRightInd w:val="0"/>
              <w:snapToGrid w:val="0"/>
              <w:jc w:val="center"/>
              <w:rPr>
                <w:rFonts w:ascii="宋体" w:hAnsi="宋体"/>
                <w:kern w:val="0"/>
                <w:sz w:val="24"/>
              </w:rPr>
            </w:pPr>
          </w:p>
        </w:tc>
        <w:tc>
          <w:tcPr>
            <w:tcW w:w="947" w:type="dxa"/>
            <w:vAlign w:val="center"/>
          </w:tcPr>
          <w:p w14:paraId="2E2872E6">
            <w:pPr>
              <w:autoSpaceDE w:val="0"/>
              <w:autoSpaceDN w:val="0"/>
              <w:adjustRightInd w:val="0"/>
              <w:snapToGrid w:val="0"/>
              <w:jc w:val="center"/>
              <w:rPr>
                <w:rFonts w:ascii="宋体" w:hAnsi="宋体"/>
                <w:kern w:val="0"/>
                <w:sz w:val="24"/>
              </w:rPr>
            </w:pPr>
          </w:p>
        </w:tc>
        <w:tc>
          <w:tcPr>
            <w:tcW w:w="1141" w:type="dxa"/>
            <w:vAlign w:val="center"/>
          </w:tcPr>
          <w:p w14:paraId="20AC9DAC">
            <w:pPr>
              <w:autoSpaceDE w:val="0"/>
              <w:autoSpaceDN w:val="0"/>
              <w:adjustRightInd w:val="0"/>
              <w:snapToGrid w:val="0"/>
              <w:jc w:val="center"/>
              <w:rPr>
                <w:rFonts w:ascii="宋体" w:hAnsi="宋体"/>
                <w:kern w:val="0"/>
                <w:sz w:val="24"/>
              </w:rPr>
            </w:pPr>
          </w:p>
        </w:tc>
        <w:tc>
          <w:tcPr>
            <w:tcW w:w="749" w:type="dxa"/>
            <w:vAlign w:val="center"/>
          </w:tcPr>
          <w:p w14:paraId="6B01F3E2">
            <w:pPr>
              <w:autoSpaceDE w:val="0"/>
              <w:autoSpaceDN w:val="0"/>
              <w:adjustRightInd w:val="0"/>
              <w:snapToGrid w:val="0"/>
              <w:jc w:val="center"/>
              <w:rPr>
                <w:rFonts w:ascii="宋体" w:hAnsi="宋体"/>
                <w:kern w:val="0"/>
                <w:sz w:val="24"/>
              </w:rPr>
            </w:pPr>
          </w:p>
        </w:tc>
      </w:tr>
      <w:tr w14:paraId="699461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4F590227">
            <w:pPr>
              <w:autoSpaceDE w:val="0"/>
              <w:autoSpaceDN w:val="0"/>
              <w:adjustRightInd w:val="0"/>
              <w:snapToGrid w:val="0"/>
              <w:jc w:val="center"/>
              <w:rPr>
                <w:rFonts w:ascii="宋体" w:hAnsi="宋体"/>
                <w:kern w:val="0"/>
                <w:sz w:val="24"/>
              </w:rPr>
            </w:pPr>
          </w:p>
        </w:tc>
        <w:tc>
          <w:tcPr>
            <w:tcW w:w="1176" w:type="dxa"/>
            <w:vAlign w:val="center"/>
          </w:tcPr>
          <w:p w14:paraId="765F12C1">
            <w:pPr>
              <w:autoSpaceDE w:val="0"/>
              <w:autoSpaceDN w:val="0"/>
              <w:adjustRightInd w:val="0"/>
              <w:snapToGrid w:val="0"/>
              <w:jc w:val="center"/>
              <w:rPr>
                <w:rFonts w:ascii="宋体" w:hAnsi="宋体"/>
                <w:kern w:val="0"/>
                <w:sz w:val="24"/>
              </w:rPr>
            </w:pPr>
          </w:p>
        </w:tc>
        <w:tc>
          <w:tcPr>
            <w:tcW w:w="824" w:type="dxa"/>
            <w:vAlign w:val="center"/>
          </w:tcPr>
          <w:p w14:paraId="091F258B">
            <w:pPr>
              <w:autoSpaceDE w:val="0"/>
              <w:autoSpaceDN w:val="0"/>
              <w:adjustRightInd w:val="0"/>
              <w:snapToGrid w:val="0"/>
              <w:jc w:val="center"/>
              <w:rPr>
                <w:rFonts w:ascii="宋体" w:hAnsi="宋体"/>
                <w:kern w:val="0"/>
                <w:sz w:val="24"/>
              </w:rPr>
            </w:pPr>
          </w:p>
        </w:tc>
        <w:tc>
          <w:tcPr>
            <w:tcW w:w="1072" w:type="dxa"/>
            <w:vAlign w:val="center"/>
          </w:tcPr>
          <w:p w14:paraId="6D90D569">
            <w:pPr>
              <w:autoSpaceDE w:val="0"/>
              <w:autoSpaceDN w:val="0"/>
              <w:adjustRightInd w:val="0"/>
              <w:snapToGrid w:val="0"/>
              <w:jc w:val="center"/>
              <w:rPr>
                <w:rFonts w:ascii="宋体" w:hAnsi="宋体"/>
                <w:kern w:val="0"/>
                <w:sz w:val="24"/>
              </w:rPr>
            </w:pPr>
          </w:p>
        </w:tc>
        <w:tc>
          <w:tcPr>
            <w:tcW w:w="728" w:type="dxa"/>
            <w:vAlign w:val="center"/>
          </w:tcPr>
          <w:p w14:paraId="04BB4C0D">
            <w:pPr>
              <w:autoSpaceDE w:val="0"/>
              <w:autoSpaceDN w:val="0"/>
              <w:adjustRightInd w:val="0"/>
              <w:snapToGrid w:val="0"/>
              <w:jc w:val="center"/>
              <w:rPr>
                <w:rFonts w:ascii="宋体" w:hAnsi="宋体"/>
                <w:kern w:val="0"/>
                <w:sz w:val="24"/>
              </w:rPr>
            </w:pPr>
          </w:p>
        </w:tc>
        <w:tc>
          <w:tcPr>
            <w:tcW w:w="799" w:type="dxa"/>
            <w:vAlign w:val="center"/>
          </w:tcPr>
          <w:p w14:paraId="122A36EE">
            <w:pPr>
              <w:autoSpaceDE w:val="0"/>
              <w:autoSpaceDN w:val="0"/>
              <w:adjustRightInd w:val="0"/>
              <w:snapToGrid w:val="0"/>
              <w:jc w:val="center"/>
              <w:rPr>
                <w:rFonts w:ascii="宋体" w:hAnsi="宋体"/>
                <w:kern w:val="0"/>
                <w:sz w:val="24"/>
              </w:rPr>
            </w:pPr>
          </w:p>
        </w:tc>
        <w:tc>
          <w:tcPr>
            <w:tcW w:w="1312" w:type="dxa"/>
            <w:vAlign w:val="center"/>
          </w:tcPr>
          <w:p w14:paraId="63F04F41">
            <w:pPr>
              <w:autoSpaceDE w:val="0"/>
              <w:autoSpaceDN w:val="0"/>
              <w:adjustRightInd w:val="0"/>
              <w:snapToGrid w:val="0"/>
              <w:jc w:val="center"/>
              <w:rPr>
                <w:rFonts w:ascii="宋体" w:hAnsi="宋体"/>
                <w:kern w:val="0"/>
                <w:sz w:val="24"/>
              </w:rPr>
            </w:pPr>
          </w:p>
        </w:tc>
        <w:tc>
          <w:tcPr>
            <w:tcW w:w="947" w:type="dxa"/>
            <w:vAlign w:val="center"/>
          </w:tcPr>
          <w:p w14:paraId="572B4A22">
            <w:pPr>
              <w:autoSpaceDE w:val="0"/>
              <w:autoSpaceDN w:val="0"/>
              <w:adjustRightInd w:val="0"/>
              <w:snapToGrid w:val="0"/>
              <w:jc w:val="center"/>
              <w:rPr>
                <w:rFonts w:ascii="宋体" w:hAnsi="宋体"/>
                <w:kern w:val="0"/>
                <w:sz w:val="24"/>
              </w:rPr>
            </w:pPr>
          </w:p>
        </w:tc>
        <w:tc>
          <w:tcPr>
            <w:tcW w:w="1141" w:type="dxa"/>
            <w:vAlign w:val="center"/>
          </w:tcPr>
          <w:p w14:paraId="5AC759CB">
            <w:pPr>
              <w:autoSpaceDE w:val="0"/>
              <w:autoSpaceDN w:val="0"/>
              <w:adjustRightInd w:val="0"/>
              <w:snapToGrid w:val="0"/>
              <w:jc w:val="center"/>
              <w:rPr>
                <w:rFonts w:ascii="宋体" w:hAnsi="宋体"/>
                <w:kern w:val="0"/>
                <w:sz w:val="24"/>
              </w:rPr>
            </w:pPr>
          </w:p>
        </w:tc>
        <w:tc>
          <w:tcPr>
            <w:tcW w:w="749" w:type="dxa"/>
            <w:vAlign w:val="center"/>
          </w:tcPr>
          <w:p w14:paraId="72C4EA40">
            <w:pPr>
              <w:autoSpaceDE w:val="0"/>
              <w:autoSpaceDN w:val="0"/>
              <w:adjustRightInd w:val="0"/>
              <w:snapToGrid w:val="0"/>
              <w:jc w:val="center"/>
              <w:rPr>
                <w:rFonts w:ascii="宋体" w:hAnsi="宋体"/>
                <w:kern w:val="0"/>
                <w:sz w:val="24"/>
              </w:rPr>
            </w:pPr>
          </w:p>
        </w:tc>
      </w:tr>
      <w:tr w14:paraId="0EA09D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035C0364">
            <w:pPr>
              <w:autoSpaceDE w:val="0"/>
              <w:autoSpaceDN w:val="0"/>
              <w:adjustRightInd w:val="0"/>
              <w:snapToGrid w:val="0"/>
              <w:jc w:val="center"/>
              <w:rPr>
                <w:rFonts w:ascii="宋体" w:hAnsi="宋体"/>
                <w:kern w:val="0"/>
                <w:sz w:val="24"/>
              </w:rPr>
            </w:pPr>
          </w:p>
        </w:tc>
        <w:tc>
          <w:tcPr>
            <w:tcW w:w="1176" w:type="dxa"/>
            <w:vAlign w:val="center"/>
          </w:tcPr>
          <w:p w14:paraId="2581FD6A">
            <w:pPr>
              <w:autoSpaceDE w:val="0"/>
              <w:autoSpaceDN w:val="0"/>
              <w:adjustRightInd w:val="0"/>
              <w:snapToGrid w:val="0"/>
              <w:jc w:val="center"/>
              <w:rPr>
                <w:rFonts w:ascii="宋体" w:hAnsi="宋体"/>
                <w:kern w:val="0"/>
                <w:sz w:val="24"/>
              </w:rPr>
            </w:pPr>
          </w:p>
        </w:tc>
        <w:tc>
          <w:tcPr>
            <w:tcW w:w="824" w:type="dxa"/>
            <w:vAlign w:val="center"/>
          </w:tcPr>
          <w:p w14:paraId="5A365DB6">
            <w:pPr>
              <w:autoSpaceDE w:val="0"/>
              <w:autoSpaceDN w:val="0"/>
              <w:adjustRightInd w:val="0"/>
              <w:snapToGrid w:val="0"/>
              <w:jc w:val="center"/>
              <w:rPr>
                <w:rFonts w:ascii="宋体" w:hAnsi="宋体"/>
                <w:kern w:val="0"/>
                <w:sz w:val="24"/>
              </w:rPr>
            </w:pPr>
          </w:p>
        </w:tc>
        <w:tc>
          <w:tcPr>
            <w:tcW w:w="1072" w:type="dxa"/>
            <w:vAlign w:val="center"/>
          </w:tcPr>
          <w:p w14:paraId="0C402807">
            <w:pPr>
              <w:autoSpaceDE w:val="0"/>
              <w:autoSpaceDN w:val="0"/>
              <w:adjustRightInd w:val="0"/>
              <w:snapToGrid w:val="0"/>
              <w:jc w:val="center"/>
              <w:rPr>
                <w:rFonts w:ascii="宋体" w:hAnsi="宋体"/>
                <w:kern w:val="0"/>
                <w:sz w:val="24"/>
              </w:rPr>
            </w:pPr>
          </w:p>
        </w:tc>
        <w:tc>
          <w:tcPr>
            <w:tcW w:w="728" w:type="dxa"/>
            <w:vAlign w:val="center"/>
          </w:tcPr>
          <w:p w14:paraId="3640705F">
            <w:pPr>
              <w:autoSpaceDE w:val="0"/>
              <w:autoSpaceDN w:val="0"/>
              <w:adjustRightInd w:val="0"/>
              <w:snapToGrid w:val="0"/>
              <w:jc w:val="center"/>
              <w:rPr>
                <w:rFonts w:ascii="宋体" w:hAnsi="宋体"/>
                <w:kern w:val="0"/>
                <w:sz w:val="24"/>
              </w:rPr>
            </w:pPr>
          </w:p>
        </w:tc>
        <w:tc>
          <w:tcPr>
            <w:tcW w:w="799" w:type="dxa"/>
            <w:vAlign w:val="center"/>
          </w:tcPr>
          <w:p w14:paraId="6BE40F93">
            <w:pPr>
              <w:autoSpaceDE w:val="0"/>
              <w:autoSpaceDN w:val="0"/>
              <w:adjustRightInd w:val="0"/>
              <w:snapToGrid w:val="0"/>
              <w:jc w:val="center"/>
              <w:rPr>
                <w:rFonts w:ascii="宋体" w:hAnsi="宋体"/>
                <w:kern w:val="0"/>
                <w:sz w:val="24"/>
              </w:rPr>
            </w:pPr>
          </w:p>
        </w:tc>
        <w:tc>
          <w:tcPr>
            <w:tcW w:w="1312" w:type="dxa"/>
            <w:vAlign w:val="center"/>
          </w:tcPr>
          <w:p w14:paraId="3C72083C">
            <w:pPr>
              <w:autoSpaceDE w:val="0"/>
              <w:autoSpaceDN w:val="0"/>
              <w:adjustRightInd w:val="0"/>
              <w:snapToGrid w:val="0"/>
              <w:jc w:val="center"/>
              <w:rPr>
                <w:rFonts w:ascii="宋体" w:hAnsi="宋体"/>
                <w:kern w:val="0"/>
                <w:sz w:val="24"/>
              </w:rPr>
            </w:pPr>
          </w:p>
        </w:tc>
        <w:tc>
          <w:tcPr>
            <w:tcW w:w="947" w:type="dxa"/>
            <w:vAlign w:val="center"/>
          </w:tcPr>
          <w:p w14:paraId="179FDF11">
            <w:pPr>
              <w:autoSpaceDE w:val="0"/>
              <w:autoSpaceDN w:val="0"/>
              <w:adjustRightInd w:val="0"/>
              <w:snapToGrid w:val="0"/>
              <w:jc w:val="center"/>
              <w:rPr>
                <w:rFonts w:ascii="宋体" w:hAnsi="宋体"/>
                <w:kern w:val="0"/>
                <w:sz w:val="24"/>
              </w:rPr>
            </w:pPr>
          </w:p>
        </w:tc>
        <w:tc>
          <w:tcPr>
            <w:tcW w:w="1141" w:type="dxa"/>
            <w:vAlign w:val="center"/>
          </w:tcPr>
          <w:p w14:paraId="3D2A57C0">
            <w:pPr>
              <w:autoSpaceDE w:val="0"/>
              <w:autoSpaceDN w:val="0"/>
              <w:adjustRightInd w:val="0"/>
              <w:snapToGrid w:val="0"/>
              <w:jc w:val="center"/>
              <w:rPr>
                <w:rFonts w:ascii="宋体" w:hAnsi="宋体"/>
                <w:kern w:val="0"/>
                <w:sz w:val="24"/>
              </w:rPr>
            </w:pPr>
          </w:p>
        </w:tc>
        <w:tc>
          <w:tcPr>
            <w:tcW w:w="749" w:type="dxa"/>
            <w:vAlign w:val="center"/>
          </w:tcPr>
          <w:p w14:paraId="6A14A89B">
            <w:pPr>
              <w:autoSpaceDE w:val="0"/>
              <w:autoSpaceDN w:val="0"/>
              <w:adjustRightInd w:val="0"/>
              <w:snapToGrid w:val="0"/>
              <w:jc w:val="center"/>
              <w:rPr>
                <w:rFonts w:ascii="宋体" w:hAnsi="宋体"/>
                <w:kern w:val="0"/>
                <w:sz w:val="24"/>
              </w:rPr>
            </w:pPr>
          </w:p>
        </w:tc>
      </w:tr>
      <w:tr w14:paraId="43A7EB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601D3FBA">
            <w:pPr>
              <w:autoSpaceDE w:val="0"/>
              <w:autoSpaceDN w:val="0"/>
              <w:adjustRightInd w:val="0"/>
              <w:snapToGrid w:val="0"/>
              <w:jc w:val="center"/>
              <w:rPr>
                <w:rFonts w:ascii="宋体" w:hAnsi="宋体"/>
                <w:kern w:val="0"/>
                <w:sz w:val="24"/>
              </w:rPr>
            </w:pPr>
          </w:p>
        </w:tc>
        <w:tc>
          <w:tcPr>
            <w:tcW w:w="1176" w:type="dxa"/>
            <w:vAlign w:val="center"/>
          </w:tcPr>
          <w:p w14:paraId="05508D16">
            <w:pPr>
              <w:autoSpaceDE w:val="0"/>
              <w:autoSpaceDN w:val="0"/>
              <w:adjustRightInd w:val="0"/>
              <w:snapToGrid w:val="0"/>
              <w:jc w:val="center"/>
              <w:rPr>
                <w:rFonts w:ascii="宋体" w:hAnsi="宋体"/>
                <w:kern w:val="0"/>
                <w:sz w:val="24"/>
              </w:rPr>
            </w:pPr>
          </w:p>
        </w:tc>
        <w:tc>
          <w:tcPr>
            <w:tcW w:w="824" w:type="dxa"/>
            <w:vAlign w:val="center"/>
          </w:tcPr>
          <w:p w14:paraId="0BF564EE">
            <w:pPr>
              <w:autoSpaceDE w:val="0"/>
              <w:autoSpaceDN w:val="0"/>
              <w:adjustRightInd w:val="0"/>
              <w:snapToGrid w:val="0"/>
              <w:jc w:val="center"/>
              <w:rPr>
                <w:rFonts w:ascii="宋体" w:hAnsi="宋体"/>
                <w:kern w:val="0"/>
                <w:sz w:val="24"/>
              </w:rPr>
            </w:pPr>
          </w:p>
        </w:tc>
        <w:tc>
          <w:tcPr>
            <w:tcW w:w="1072" w:type="dxa"/>
            <w:vAlign w:val="center"/>
          </w:tcPr>
          <w:p w14:paraId="22DC6D4E">
            <w:pPr>
              <w:autoSpaceDE w:val="0"/>
              <w:autoSpaceDN w:val="0"/>
              <w:adjustRightInd w:val="0"/>
              <w:snapToGrid w:val="0"/>
              <w:jc w:val="center"/>
              <w:rPr>
                <w:rFonts w:ascii="宋体" w:hAnsi="宋体"/>
                <w:kern w:val="0"/>
                <w:sz w:val="24"/>
              </w:rPr>
            </w:pPr>
          </w:p>
        </w:tc>
        <w:tc>
          <w:tcPr>
            <w:tcW w:w="728" w:type="dxa"/>
            <w:vAlign w:val="center"/>
          </w:tcPr>
          <w:p w14:paraId="670D5318">
            <w:pPr>
              <w:autoSpaceDE w:val="0"/>
              <w:autoSpaceDN w:val="0"/>
              <w:adjustRightInd w:val="0"/>
              <w:snapToGrid w:val="0"/>
              <w:jc w:val="center"/>
              <w:rPr>
                <w:rFonts w:ascii="宋体" w:hAnsi="宋体"/>
                <w:kern w:val="0"/>
                <w:sz w:val="24"/>
              </w:rPr>
            </w:pPr>
          </w:p>
        </w:tc>
        <w:tc>
          <w:tcPr>
            <w:tcW w:w="799" w:type="dxa"/>
            <w:vAlign w:val="center"/>
          </w:tcPr>
          <w:p w14:paraId="32697849">
            <w:pPr>
              <w:autoSpaceDE w:val="0"/>
              <w:autoSpaceDN w:val="0"/>
              <w:adjustRightInd w:val="0"/>
              <w:snapToGrid w:val="0"/>
              <w:jc w:val="center"/>
              <w:rPr>
                <w:rFonts w:ascii="宋体" w:hAnsi="宋体"/>
                <w:kern w:val="0"/>
                <w:sz w:val="24"/>
              </w:rPr>
            </w:pPr>
          </w:p>
        </w:tc>
        <w:tc>
          <w:tcPr>
            <w:tcW w:w="1312" w:type="dxa"/>
            <w:vAlign w:val="center"/>
          </w:tcPr>
          <w:p w14:paraId="6A741A5F">
            <w:pPr>
              <w:autoSpaceDE w:val="0"/>
              <w:autoSpaceDN w:val="0"/>
              <w:adjustRightInd w:val="0"/>
              <w:snapToGrid w:val="0"/>
              <w:jc w:val="center"/>
              <w:rPr>
                <w:rFonts w:ascii="宋体" w:hAnsi="宋体"/>
                <w:kern w:val="0"/>
                <w:sz w:val="24"/>
              </w:rPr>
            </w:pPr>
          </w:p>
        </w:tc>
        <w:tc>
          <w:tcPr>
            <w:tcW w:w="947" w:type="dxa"/>
            <w:vAlign w:val="center"/>
          </w:tcPr>
          <w:p w14:paraId="59982D80">
            <w:pPr>
              <w:autoSpaceDE w:val="0"/>
              <w:autoSpaceDN w:val="0"/>
              <w:adjustRightInd w:val="0"/>
              <w:snapToGrid w:val="0"/>
              <w:jc w:val="center"/>
              <w:rPr>
                <w:rFonts w:ascii="宋体" w:hAnsi="宋体"/>
                <w:kern w:val="0"/>
                <w:sz w:val="24"/>
              </w:rPr>
            </w:pPr>
          </w:p>
        </w:tc>
        <w:tc>
          <w:tcPr>
            <w:tcW w:w="1141" w:type="dxa"/>
            <w:vAlign w:val="center"/>
          </w:tcPr>
          <w:p w14:paraId="0DB1C830">
            <w:pPr>
              <w:autoSpaceDE w:val="0"/>
              <w:autoSpaceDN w:val="0"/>
              <w:adjustRightInd w:val="0"/>
              <w:snapToGrid w:val="0"/>
              <w:jc w:val="center"/>
              <w:rPr>
                <w:rFonts w:ascii="宋体" w:hAnsi="宋体"/>
                <w:kern w:val="0"/>
                <w:sz w:val="24"/>
              </w:rPr>
            </w:pPr>
          </w:p>
        </w:tc>
        <w:tc>
          <w:tcPr>
            <w:tcW w:w="749" w:type="dxa"/>
            <w:vAlign w:val="center"/>
          </w:tcPr>
          <w:p w14:paraId="0E90ADA3">
            <w:pPr>
              <w:autoSpaceDE w:val="0"/>
              <w:autoSpaceDN w:val="0"/>
              <w:adjustRightInd w:val="0"/>
              <w:snapToGrid w:val="0"/>
              <w:jc w:val="center"/>
              <w:rPr>
                <w:rFonts w:ascii="宋体" w:hAnsi="宋体"/>
                <w:kern w:val="0"/>
                <w:sz w:val="24"/>
              </w:rPr>
            </w:pPr>
          </w:p>
        </w:tc>
      </w:tr>
      <w:tr w14:paraId="5355BF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03281A1B">
            <w:pPr>
              <w:autoSpaceDE w:val="0"/>
              <w:autoSpaceDN w:val="0"/>
              <w:adjustRightInd w:val="0"/>
              <w:snapToGrid w:val="0"/>
              <w:jc w:val="center"/>
              <w:rPr>
                <w:rFonts w:ascii="宋体" w:hAnsi="宋体"/>
                <w:kern w:val="0"/>
                <w:sz w:val="24"/>
              </w:rPr>
            </w:pPr>
          </w:p>
        </w:tc>
        <w:tc>
          <w:tcPr>
            <w:tcW w:w="1176" w:type="dxa"/>
            <w:vAlign w:val="center"/>
          </w:tcPr>
          <w:p w14:paraId="4707CD78">
            <w:pPr>
              <w:autoSpaceDE w:val="0"/>
              <w:autoSpaceDN w:val="0"/>
              <w:adjustRightInd w:val="0"/>
              <w:snapToGrid w:val="0"/>
              <w:jc w:val="center"/>
              <w:rPr>
                <w:rFonts w:ascii="宋体" w:hAnsi="宋体"/>
                <w:kern w:val="0"/>
                <w:sz w:val="24"/>
              </w:rPr>
            </w:pPr>
          </w:p>
        </w:tc>
        <w:tc>
          <w:tcPr>
            <w:tcW w:w="824" w:type="dxa"/>
            <w:vAlign w:val="center"/>
          </w:tcPr>
          <w:p w14:paraId="1595F6DF">
            <w:pPr>
              <w:autoSpaceDE w:val="0"/>
              <w:autoSpaceDN w:val="0"/>
              <w:adjustRightInd w:val="0"/>
              <w:snapToGrid w:val="0"/>
              <w:jc w:val="center"/>
              <w:rPr>
                <w:rFonts w:ascii="宋体" w:hAnsi="宋体"/>
                <w:kern w:val="0"/>
                <w:sz w:val="24"/>
              </w:rPr>
            </w:pPr>
          </w:p>
        </w:tc>
        <w:tc>
          <w:tcPr>
            <w:tcW w:w="1072" w:type="dxa"/>
            <w:vAlign w:val="center"/>
          </w:tcPr>
          <w:p w14:paraId="6CCF5A7F">
            <w:pPr>
              <w:autoSpaceDE w:val="0"/>
              <w:autoSpaceDN w:val="0"/>
              <w:adjustRightInd w:val="0"/>
              <w:snapToGrid w:val="0"/>
              <w:jc w:val="center"/>
              <w:rPr>
                <w:rFonts w:ascii="宋体" w:hAnsi="宋体"/>
                <w:kern w:val="0"/>
                <w:sz w:val="24"/>
              </w:rPr>
            </w:pPr>
          </w:p>
        </w:tc>
        <w:tc>
          <w:tcPr>
            <w:tcW w:w="728" w:type="dxa"/>
            <w:vAlign w:val="center"/>
          </w:tcPr>
          <w:p w14:paraId="037001B4">
            <w:pPr>
              <w:autoSpaceDE w:val="0"/>
              <w:autoSpaceDN w:val="0"/>
              <w:adjustRightInd w:val="0"/>
              <w:snapToGrid w:val="0"/>
              <w:jc w:val="center"/>
              <w:rPr>
                <w:rFonts w:ascii="宋体" w:hAnsi="宋体"/>
                <w:kern w:val="0"/>
                <w:sz w:val="24"/>
              </w:rPr>
            </w:pPr>
          </w:p>
        </w:tc>
        <w:tc>
          <w:tcPr>
            <w:tcW w:w="799" w:type="dxa"/>
            <w:vAlign w:val="center"/>
          </w:tcPr>
          <w:p w14:paraId="3BFA8095">
            <w:pPr>
              <w:autoSpaceDE w:val="0"/>
              <w:autoSpaceDN w:val="0"/>
              <w:adjustRightInd w:val="0"/>
              <w:snapToGrid w:val="0"/>
              <w:jc w:val="center"/>
              <w:rPr>
                <w:rFonts w:ascii="宋体" w:hAnsi="宋体"/>
                <w:kern w:val="0"/>
                <w:sz w:val="24"/>
              </w:rPr>
            </w:pPr>
          </w:p>
        </w:tc>
        <w:tc>
          <w:tcPr>
            <w:tcW w:w="1312" w:type="dxa"/>
            <w:vAlign w:val="center"/>
          </w:tcPr>
          <w:p w14:paraId="4B22BF68">
            <w:pPr>
              <w:autoSpaceDE w:val="0"/>
              <w:autoSpaceDN w:val="0"/>
              <w:adjustRightInd w:val="0"/>
              <w:snapToGrid w:val="0"/>
              <w:jc w:val="center"/>
              <w:rPr>
                <w:rFonts w:ascii="宋体" w:hAnsi="宋体"/>
                <w:kern w:val="0"/>
                <w:sz w:val="24"/>
              </w:rPr>
            </w:pPr>
          </w:p>
        </w:tc>
        <w:tc>
          <w:tcPr>
            <w:tcW w:w="947" w:type="dxa"/>
            <w:vAlign w:val="center"/>
          </w:tcPr>
          <w:p w14:paraId="10025530">
            <w:pPr>
              <w:autoSpaceDE w:val="0"/>
              <w:autoSpaceDN w:val="0"/>
              <w:adjustRightInd w:val="0"/>
              <w:snapToGrid w:val="0"/>
              <w:jc w:val="center"/>
              <w:rPr>
                <w:rFonts w:ascii="宋体" w:hAnsi="宋体"/>
                <w:kern w:val="0"/>
                <w:sz w:val="24"/>
              </w:rPr>
            </w:pPr>
          </w:p>
        </w:tc>
        <w:tc>
          <w:tcPr>
            <w:tcW w:w="1141" w:type="dxa"/>
            <w:vAlign w:val="center"/>
          </w:tcPr>
          <w:p w14:paraId="2C41BA6A">
            <w:pPr>
              <w:autoSpaceDE w:val="0"/>
              <w:autoSpaceDN w:val="0"/>
              <w:adjustRightInd w:val="0"/>
              <w:snapToGrid w:val="0"/>
              <w:jc w:val="center"/>
              <w:rPr>
                <w:rFonts w:ascii="宋体" w:hAnsi="宋体"/>
                <w:kern w:val="0"/>
                <w:sz w:val="24"/>
              </w:rPr>
            </w:pPr>
          </w:p>
        </w:tc>
        <w:tc>
          <w:tcPr>
            <w:tcW w:w="749" w:type="dxa"/>
            <w:vAlign w:val="center"/>
          </w:tcPr>
          <w:p w14:paraId="7439E1A4">
            <w:pPr>
              <w:autoSpaceDE w:val="0"/>
              <w:autoSpaceDN w:val="0"/>
              <w:adjustRightInd w:val="0"/>
              <w:snapToGrid w:val="0"/>
              <w:jc w:val="center"/>
              <w:rPr>
                <w:rFonts w:ascii="宋体" w:hAnsi="宋体"/>
                <w:kern w:val="0"/>
                <w:sz w:val="24"/>
              </w:rPr>
            </w:pPr>
          </w:p>
        </w:tc>
      </w:tr>
      <w:tr w14:paraId="68ADAC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338C7AE9">
            <w:pPr>
              <w:autoSpaceDE w:val="0"/>
              <w:autoSpaceDN w:val="0"/>
              <w:adjustRightInd w:val="0"/>
              <w:snapToGrid w:val="0"/>
              <w:jc w:val="center"/>
              <w:rPr>
                <w:rFonts w:ascii="宋体" w:hAnsi="宋体"/>
                <w:kern w:val="0"/>
                <w:sz w:val="24"/>
              </w:rPr>
            </w:pPr>
          </w:p>
        </w:tc>
        <w:tc>
          <w:tcPr>
            <w:tcW w:w="1176" w:type="dxa"/>
            <w:vAlign w:val="center"/>
          </w:tcPr>
          <w:p w14:paraId="78BA2F39">
            <w:pPr>
              <w:autoSpaceDE w:val="0"/>
              <w:autoSpaceDN w:val="0"/>
              <w:adjustRightInd w:val="0"/>
              <w:snapToGrid w:val="0"/>
              <w:jc w:val="center"/>
              <w:rPr>
                <w:rFonts w:ascii="宋体" w:hAnsi="宋体"/>
                <w:kern w:val="0"/>
                <w:sz w:val="24"/>
              </w:rPr>
            </w:pPr>
          </w:p>
        </w:tc>
        <w:tc>
          <w:tcPr>
            <w:tcW w:w="824" w:type="dxa"/>
            <w:vAlign w:val="center"/>
          </w:tcPr>
          <w:p w14:paraId="5AA02384">
            <w:pPr>
              <w:autoSpaceDE w:val="0"/>
              <w:autoSpaceDN w:val="0"/>
              <w:adjustRightInd w:val="0"/>
              <w:snapToGrid w:val="0"/>
              <w:jc w:val="center"/>
              <w:rPr>
                <w:rFonts w:ascii="宋体" w:hAnsi="宋体"/>
                <w:kern w:val="0"/>
                <w:sz w:val="24"/>
              </w:rPr>
            </w:pPr>
          </w:p>
        </w:tc>
        <w:tc>
          <w:tcPr>
            <w:tcW w:w="1072" w:type="dxa"/>
            <w:vAlign w:val="center"/>
          </w:tcPr>
          <w:p w14:paraId="02A50449">
            <w:pPr>
              <w:autoSpaceDE w:val="0"/>
              <w:autoSpaceDN w:val="0"/>
              <w:adjustRightInd w:val="0"/>
              <w:snapToGrid w:val="0"/>
              <w:jc w:val="center"/>
              <w:rPr>
                <w:rFonts w:ascii="宋体" w:hAnsi="宋体"/>
                <w:kern w:val="0"/>
                <w:sz w:val="24"/>
              </w:rPr>
            </w:pPr>
          </w:p>
        </w:tc>
        <w:tc>
          <w:tcPr>
            <w:tcW w:w="728" w:type="dxa"/>
            <w:vAlign w:val="center"/>
          </w:tcPr>
          <w:p w14:paraId="75424A2C">
            <w:pPr>
              <w:autoSpaceDE w:val="0"/>
              <w:autoSpaceDN w:val="0"/>
              <w:adjustRightInd w:val="0"/>
              <w:snapToGrid w:val="0"/>
              <w:jc w:val="center"/>
              <w:rPr>
                <w:rFonts w:ascii="宋体" w:hAnsi="宋体"/>
                <w:kern w:val="0"/>
                <w:sz w:val="24"/>
              </w:rPr>
            </w:pPr>
          </w:p>
        </w:tc>
        <w:tc>
          <w:tcPr>
            <w:tcW w:w="799" w:type="dxa"/>
            <w:vAlign w:val="center"/>
          </w:tcPr>
          <w:p w14:paraId="5045DDEF">
            <w:pPr>
              <w:autoSpaceDE w:val="0"/>
              <w:autoSpaceDN w:val="0"/>
              <w:adjustRightInd w:val="0"/>
              <w:snapToGrid w:val="0"/>
              <w:jc w:val="center"/>
              <w:rPr>
                <w:rFonts w:ascii="宋体" w:hAnsi="宋体"/>
                <w:kern w:val="0"/>
                <w:sz w:val="24"/>
              </w:rPr>
            </w:pPr>
          </w:p>
        </w:tc>
        <w:tc>
          <w:tcPr>
            <w:tcW w:w="1312" w:type="dxa"/>
            <w:vAlign w:val="center"/>
          </w:tcPr>
          <w:p w14:paraId="1D3056B9">
            <w:pPr>
              <w:autoSpaceDE w:val="0"/>
              <w:autoSpaceDN w:val="0"/>
              <w:adjustRightInd w:val="0"/>
              <w:snapToGrid w:val="0"/>
              <w:jc w:val="center"/>
              <w:rPr>
                <w:rFonts w:ascii="宋体" w:hAnsi="宋体"/>
                <w:kern w:val="0"/>
                <w:sz w:val="24"/>
              </w:rPr>
            </w:pPr>
          </w:p>
        </w:tc>
        <w:tc>
          <w:tcPr>
            <w:tcW w:w="947" w:type="dxa"/>
            <w:vAlign w:val="center"/>
          </w:tcPr>
          <w:p w14:paraId="7FAB288C">
            <w:pPr>
              <w:autoSpaceDE w:val="0"/>
              <w:autoSpaceDN w:val="0"/>
              <w:adjustRightInd w:val="0"/>
              <w:snapToGrid w:val="0"/>
              <w:jc w:val="center"/>
              <w:rPr>
                <w:rFonts w:ascii="宋体" w:hAnsi="宋体"/>
                <w:kern w:val="0"/>
                <w:sz w:val="24"/>
              </w:rPr>
            </w:pPr>
          </w:p>
        </w:tc>
        <w:tc>
          <w:tcPr>
            <w:tcW w:w="1141" w:type="dxa"/>
            <w:vAlign w:val="center"/>
          </w:tcPr>
          <w:p w14:paraId="7D5F3877">
            <w:pPr>
              <w:autoSpaceDE w:val="0"/>
              <w:autoSpaceDN w:val="0"/>
              <w:adjustRightInd w:val="0"/>
              <w:snapToGrid w:val="0"/>
              <w:jc w:val="center"/>
              <w:rPr>
                <w:rFonts w:ascii="宋体" w:hAnsi="宋体"/>
                <w:kern w:val="0"/>
                <w:sz w:val="24"/>
              </w:rPr>
            </w:pPr>
          </w:p>
        </w:tc>
        <w:tc>
          <w:tcPr>
            <w:tcW w:w="749" w:type="dxa"/>
            <w:vAlign w:val="center"/>
          </w:tcPr>
          <w:p w14:paraId="76171E26">
            <w:pPr>
              <w:autoSpaceDE w:val="0"/>
              <w:autoSpaceDN w:val="0"/>
              <w:adjustRightInd w:val="0"/>
              <w:snapToGrid w:val="0"/>
              <w:jc w:val="center"/>
              <w:rPr>
                <w:rFonts w:ascii="宋体" w:hAnsi="宋体"/>
                <w:kern w:val="0"/>
                <w:sz w:val="24"/>
              </w:rPr>
            </w:pPr>
          </w:p>
        </w:tc>
      </w:tr>
      <w:tr w14:paraId="5CCA78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43018217">
            <w:pPr>
              <w:autoSpaceDE w:val="0"/>
              <w:autoSpaceDN w:val="0"/>
              <w:adjustRightInd w:val="0"/>
              <w:snapToGrid w:val="0"/>
              <w:jc w:val="center"/>
              <w:rPr>
                <w:rFonts w:ascii="宋体" w:hAnsi="宋体"/>
                <w:kern w:val="0"/>
                <w:sz w:val="24"/>
              </w:rPr>
            </w:pPr>
          </w:p>
        </w:tc>
        <w:tc>
          <w:tcPr>
            <w:tcW w:w="1176" w:type="dxa"/>
            <w:vAlign w:val="center"/>
          </w:tcPr>
          <w:p w14:paraId="70F356C5">
            <w:pPr>
              <w:autoSpaceDE w:val="0"/>
              <w:autoSpaceDN w:val="0"/>
              <w:adjustRightInd w:val="0"/>
              <w:snapToGrid w:val="0"/>
              <w:jc w:val="center"/>
              <w:rPr>
                <w:rFonts w:ascii="宋体" w:hAnsi="宋体"/>
                <w:kern w:val="0"/>
                <w:sz w:val="24"/>
              </w:rPr>
            </w:pPr>
          </w:p>
        </w:tc>
        <w:tc>
          <w:tcPr>
            <w:tcW w:w="824" w:type="dxa"/>
            <w:vAlign w:val="center"/>
          </w:tcPr>
          <w:p w14:paraId="779B730B">
            <w:pPr>
              <w:autoSpaceDE w:val="0"/>
              <w:autoSpaceDN w:val="0"/>
              <w:adjustRightInd w:val="0"/>
              <w:snapToGrid w:val="0"/>
              <w:jc w:val="center"/>
              <w:rPr>
                <w:rFonts w:ascii="宋体" w:hAnsi="宋体"/>
                <w:kern w:val="0"/>
                <w:sz w:val="24"/>
              </w:rPr>
            </w:pPr>
          </w:p>
        </w:tc>
        <w:tc>
          <w:tcPr>
            <w:tcW w:w="1072" w:type="dxa"/>
            <w:vAlign w:val="center"/>
          </w:tcPr>
          <w:p w14:paraId="2CC446FE">
            <w:pPr>
              <w:autoSpaceDE w:val="0"/>
              <w:autoSpaceDN w:val="0"/>
              <w:adjustRightInd w:val="0"/>
              <w:snapToGrid w:val="0"/>
              <w:jc w:val="center"/>
              <w:rPr>
                <w:rFonts w:ascii="宋体" w:hAnsi="宋体"/>
                <w:kern w:val="0"/>
                <w:sz w:val="24"/>
              </w:rPr>
            </w:pPr>
          </w:p>
        </w:tc>
        <w:tc>
          <w:tcPr>
            <w:tcW w:w="728" w:type="dxa"/>
            <w:vAlign w:val="center"/>
          </w:tcPr>
          <w:p w14:paraId="4017EF8E">
            <w:pPr>
              <w:autoSpaceDE w:val="0"/>
              <w:autoSpaceDN w:val="0"/>
              <w:adjustRightInd w:val="0"/>
              <w:snapToGrid w:val="0"/>
              <w:jc w:val="center"/>
              <w:rPr>
                <w:rFonts w:ascii="宋体" w:hAnsi="宋体"/>
                <w:kern w:val="0"/>
                <w:sz w:val="24"/>
              </w:rPr>
            </w:pPr>
          </w:p>
        </w:tc>
        <w:tc>
          <w:tcPr>
            <w:tcW w:w="799" w:type="dxa"/>
            <w:vAlign w:val="center"/>
          </w:tcPr>
          <w:p w14:paraId="799EEF2F">
            <w:pPr>
              <w:autoSpaceDE w:val="0"/>
              <w:autoSpaceDN w:val="0"/>
              <w:adjustRightInd w:val="0"/>
              <w:snapToGrid w:val="0"/>
              <w:jc w:val="center"/>
              <w:rPr>
                <w:rFonts w:ascii="宋体" w:hAnsi="宋体"/>
                <w:kern w:val="0"/>
                <w:sz w:val="24"/>
              </w:rPr>
            </w:pPr>
          </w:p>
        </w:tc>
        <w:tc>
          <w:tcPr>
            <w:tcW w:w="1312" w:type="dxa"/>
            <w:vAlign w:val="center"/>
          </w:tcPr>
          <w:p w14:paraId="2ADD1D75">
            <w:pPr>
              <w:autoSpaceDE w:val="0"/>
              <w:autoSpaceDN w:val="0"/>
              <w:adjustRightInd w:val="0"/>
              <w:snapToGrid w:val="0"/>
              <w:jc w:val="center"/>
              <w:rPr>
                <w:rFonts w:ascii="宋体" w:hAnsi="宋体"/>
                <w:kern w:val="0"/>
                <w:sz w:val="24"/>
              </w:rPr>
            </w:pPr>
          </w:p>
        </w:tc>
        <w:tc>
          <w:tcPr>
            <w:tcW w:w="947" w:type="dxa"/>
            <w:vAlign w:val="center"/>
          </w:tcPr>
          <w:p w14:paraId="2D777D47">
            <w:pPr>
              <w:autoSpaceDE w:val="0"/>
              <w:autoSpaceDN w:val="0"/>
              <w:adjustRightInd w:val="0"/>
              <w:snapToGrid w:val="0"/>
              <w:jc w:val="center"/>
              <w:rPr>
                <w:rFonts w:ascii="宋体" w:hAnsi="宋体"/>
                <w:kern w:val="0"/>
                <w:sz w:val="24"/>
              </w:rPr>
            </w:pPr>
          </w:p>
        </w:tc>
        <w:tc>
          <w:tcPr>
            <w:tcW w:w="1141" w:type="dxa"/>
            <w:vAlign w:val="center"/>
          </w:tcPr>
          <w:p w14:paraId="73ECBAF9">
            <w:pPr>
              <w:autoSpaceDE w:val="0"/>
              <w:autoSpaceDN w:val="0"/>
              <w:adjustRightInd w:val="0"/>
              <w:snapToGrid w:val="0"/>
              <w:jc w:val="center"/>
              <w:rPr>
                <w:rFonts w:ascii="宋体" w:hAnsi="宋体"/>
                <w:kern w:val="0"/>
                <w:sz w:val="24"/>
              </w:rPr>
            </w:pPr>
          </w:p>
        </w:tc>
        <w:tc>
          <w:tcPr>
            <w:tcW w:w="749" w:type="dxa"/>
            <w:vAlign w:val="center"/>
          </w:tcPr>
          <w:p w14:paraId="04B81E7A">
            <w:pPr>
              <w:autoSpaceDE w:val="0"/>
              <w:autoSpaceDN w:val="0"/>
              <w:adjustRightInd w:val="0"/>
              <w:snapToGrid w:val="0"/>
              <w:jc w:val="center"/>
              <w:rPr>
                <w:rFonts w:ascii="宋体" w:hAnsi="宋体"/>
                <w:kern w:val="0"/>
                <w:sz w:val="24"/>
              </w:rPr>
            </w:pPr>
          </w:p>
        </w:tc>
      </w:tr>
      <w:tr w14:paraId="563478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3368F132">
            <w:pPr>
              <w:autoSpaceDE w:val="0"/>
              <w:autoSpaceDN w:val="0"/>
              <w:adjustRightInd w:val="0"/>
              <w:snapToGrid w:val="0"/>
              <w:jc w:val="center"/>
              <w:rPr>
                <w:rFonts w:ascii="宋体" w:hAnsi="宋体"/>
                <w:kern w:val="0"/>
                <w:sz w:val="24"/>
              </w:rPr>
            </w:pPr>
          </w:p>
        </w:tc>
        <w:tc>
          <w:tcPr>
            <w:tcW w:w="1176" w:type="dxa"/>
            <w:vAlign w:val="center"/>
          </w:tcPr>
          <w:p w14:paraId="6C8DAED8">
            <w:pPr>
              <w:autoSpaceDE w:val="0"/>
              <w:autoSpaceDN w:val="0"/>
              <w:adjustRightInd w:val="0"/>
              <w:snapToGrid w:val="0"/>
              <w:jc w:val="center"/>
              <w:rPr>
                <w:rFonts w:ascii="宋体" w:hAnsi="宋体"/>
                <w:kern w:val="0"/>
                <w:sz w:val="24"/>
              </w:rPr>
            </w:pPr>
          </w:p>
        </w:tc>
        <w:tc>
          <w:tcPr>
            <w:tcW w:w="824" w:type="dxa"/>
            <w:vAlign w:val="center"/>
          </w:tcPr>
          <w:p w14:paraId="2C3FD7D0">
            <w:pPr>
              <w:autoSpaceDE w:val="0"/>
              <w:autoSpaceDN w:val="0"/>
              <w:adjustRightInd w:val="0"/>
              <w:snapToGrid w:val="0"/>
              <w:jc w:val="center"/>
              <w:rPr>
                <w:rFonts w:ascii="宋体" w:hAnsi="宋体"/>
                <w:kern w:val="0"/>
                <w:sz w:val="24"/>
              </w:rPr>
            </w:pPr>
          </w:p>
        </w:tc>
        <w:tc>
          <w:tcPr>
            <w:tcW w:w="1072" w:type="dxa"/>
            <w:vAlign w:val="center"/>
          </w:tcPr>
          <w:p w14:paraId="2910847A">
            <w:pPr>
              <w:autoSpaceDE w:val="0"/>
              <w:autoSpaceDN w:val="0"/>
              <w:adjustRightInd w:val="0"/>
              <w:snapToGrid w:val="0"/>
              <w:jc w:val="center"/>
              <w:rPr>
                <w:rFonts w:ascii="宋体" w:hAnsi="宋体"/>
                <w:kern w:val="0"/>
                <w:sz w:val="24"/>
              </w:rPr>
            </w:pPr>
          </w:p>
        </w:tc>
        <w:tc>
          <w:tcPr>
            <w:tcW w:w="728" w:type="dxa"/>
            <w:vAlign w:val="center"/>
          </w:tcPr>
          <w:p w14:paraId="6E7A7382">
            <w:pPr>
              <w:autoSpaceDE w:val="0"/>
              <w:autoSpaceDN w:val="0"/>
              <w:adjustRightInd w:val="0"/>
              <w:snapToGrid w:val="0"/>
              <w:jc w:val="center"/>
              <w:rPr>
                <w:rFonts w:ascii="宋体" w:hAnsi="宋体"/>
                <w:kern w:val="0"/>
                <w:sz w:val="24"/>
              </w:rPr>
            </w:pPr>
          </w:p>
        </w:tc>
        <w:tc>
          <w:tcPr>
            <w:tcW w:w="799" w:type="dxa"/>
            <w:vAlign w:val="center"/>
          </w:tcPr>
          <w:p w14:paraId="34AD359F">
            <w:pPr>
              <w:autoSpaceDE w:val="0"/>
              <w:autoSpaceDN w:val="0"/>
              <w:adjustRightInd w:val="0"/>
              <w:snapToGrid w:val="0"/>
              <w:jc w:val="center"/>
              <w:rPr>
                <w:rFonts w:ascii="宋体" w:hAnsi="宋体"/>
                <w:kern w:val="0"/>
                <w:sz w:val="24"/>
              </w:rPr>
            </w:pPr>
          </w:p>
        </w:tc>
        <w:tc>
          <w:tcPr>
            <w:tcW w:w="1312" w:type="dxa"/>
            <w:vAlign w:val="center"/>
          </w:tcPr>
          <w:p w14:paraId="3F4F518C">
            <w:pPr>
              <w:autoSpaceDE w:val="0"/>
              <w:autoSpaceDN w:val="0"/>
              <w:adjustRightInd w:val="0"/>
              <w:snapToGrid w:val="0"/>
              <w:jc w:val="center"/>
              <w:rPr>
                <w:rFonts w:ascii="宋体" w:hAnsi="宋体"/>
                <w:kern w:val="0"/>
                <w:sz w:val="24"/>
              </w:rPr>
            </w:pPr>
          </w:p>
        </w:tc>
        <w:tc>
          <w:tcPr>
            <w:tcW w:w="947" w:type="dxa"/>
            <w:vAlign w:val="center"/>
          </w:tcPr>
          <w:p w14:paraId="1E002B8C">
            <w:pPr>
              <w:autoSpaceDE w:val="0"/>
              <w:autoSpaceDN w:val="0"/>
              <w:adjustRightInd w:val="0"/>
              <w:snapToGrid w:val="0"/>
              <w:jc w:val="center"/>
              <w:rPr>
                <w:rFonts w:ascii="宋体" w:hAnsi="宋体"/>
                <w:kern w:val="0"/>
                <w:sz w:val="24"/>
              </w:rPr>
            </w:pPr>
          </w:p>
        </w:tc>
        <w:tc>
          <w:tcPr>
            <w:tcW w:w="1141" w:type="dxa"/>
            <w:vAlign w:val="center"/>
          </w:tcPr>
          <w:p w14:paraId="071C9965">
            <w:pPr>
              <w:autoSpaceDE w:val="0"/>
              <w:autoSpaceDN w:val="0"/>
              <w:adjustRightInd w:val="0"/>
              <w:snapToGrid w:val="0"/>
              <w:jc w:val="center"/>
              <w:rPr>
                <w:rFonts w:ascii="宋体" w:hAnsi="宋体"/>
                <w:kern w:val="0"/>
                <w:sz w:val="24"/>
              </w:rPr>
            </w:pPr>
          </w:p>
        </w:tc>
        <w:tc>
          <w:tcPr>
            <w:tcW w:w="749" w:type="dxa"/>
            <w:vAlign w:val="center"/>
          </w:tcPr>
          <w:p w14:paraId="72821CBD">
            <w:pPr>
              <w:autoSpaceDE w:val="0"/>
              <w:autoSpaceDN w:val="0"/>
              <w:adjustRightInd w:val="0"/>
              <w:snapToGrid w:val="0"/>
              <w:jc w:val="center"/>
              <w:rPr>
                <w:rFonts w:ascii="宋体" w:hAnsi="宋体"/>
                <w:kern w:val="0"/>
                <w:sz w:val="24"/>
              </w:rPr>
            </w:pPr>
          </w:p>
        </w:tc>
      </w:tr>
      <w:tr w14:paraId="5A2995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59AB8B81">
            <w:pPr>
              <w:autoSpaceDE w:val="0"/>
              <w:autoSpaceDN w:val="0"/>
              <w:adjustRightInd w:val="0"/>
              <w:snapToGrid w:val="0"/>
              <w:jc w:val="center"/>
              <w:rPr>
                <w:rFonts w:ascii="宋体" w:hAnsi="宋体"/>
                <w:kern w:val="0"/>
                <w:sz w:val="24"/>
              </w:rPr>
            </w:pPr>
          </w:p>
        </w:tc>
        <w:tc>
          <w:tcPr>
            <w:tcW w:w="1176" w:type="dxa"/>
            <w:vAlign w:val="center"/>
          </w:tcPr>
          <w:p w14:paraId="0BFE208B">
            <w:pPr>
              <w:autoSpaceDE w:val="0"/>
              <w:autoSpaceDN w:val="0"/>
              <w:adjustRightInd w:val="0"/>
              <w:snapToGrid w:val="0"/>
              <w:jc w:val="center"/>
              <w:rPr>
                <w:rFonts w:ascii="宋体" w:hAnsi="宋体"/>
                <w:kern w:val="0"/>
                <w:sz w:val="24"/>
              </w:rPr>
            </w:pPr>
          </w:p>
        </w:tc>
        <w:tc>
          <w:tcPr>
            <w:tcW w:w="824" w:type="dxa"/>
            <w:vAlign w:val="center"/>
          </w:tcPr>
          <w:p w14:paraId="23146DC7">
            <w:pPr>
              <w:autoSpaceDE w:val="0"/>
              <w:autoSpaceDN w:val="0"/>
              <w:adjustRightInd w:val="0"/>
              <w:snapToGrid w:val="0"/>
              <w:jc w:val="center"/>
              <w:rPr>
                <w:rFonts w:ascii="宋体" w:hAnsi="宋体"/>
                <w:kern w:val="0"/>
                <w:sz w:val="24"/>
              </w:rPr>
            </w:pPr>
          </w:p>
        </w:tc>
        <w:tc>
          <w:tcPr>
            <w:tcW w:w="1072" w:type="dxa"/>
            <w:vAlign w:val="center"/>
          </w:tcPr>
          <w:p w14:paraId="4DDC9E62">
            <w:pPr>
              <w:autoSpaceDE w:val="0"/>
              <w:autoSpaceDN w:val="0"/>
              <w:adjustRightInd w:val="0"/>
              <w:snapToGrid w:val="0"/>
              <w:jc w:val="center"/>
              <w:rPr>
                <w:rFonts w:ascii="宋体" w:hAnsi="宋体"/>
                <w:kern w:val="0"/>
                <w:sz w:val="24"/>
              </w:rPr>
            </w:pPr>
          </w:p>
        </w:tc>
        <w:tc>
          <w:tcPr>
            <w:tcW w:w="728" w:type="dxa"/>
            <w:vAlign w:val="center"/>
          </w:tcPr>
          <w:p w14:paraId="37036100">
            <w:pPr>
              <w:autoSpaceDE w:val="0"/>
              <w:autoSpaceDN w:val="0"/>
              <w:adjustRightInd w:val="0"/>
              <w:snapToGrid w:val="0"/>
              <w:jc w:val="center"/>
              <w:rPr>
                <w:rFonts w:ascii="宋体" w:hAnsi="宋体"/>
                <w:kern w:val="0"/>
                <w:sz w:val="24"/>
              </w:rPr>
            </w:pPr>
          </w:p>
        </w:tc>
        <w:tc>
          <w:tcPr>
            <w:tcW w:w="799" w:type="dxa"/>
            <w:vAlign w:val="center"/>
          </w:tcPr>
          <w:p w14:paraId="4306BC13">
            <w:pPr>
              <w:autoSpaceDE w:val="0"/>
              <w:autoSpaceDN w:val="0"/>
              <w:adjustRightInd w:val="0"/>
              <w:snapToGrid w:val="0"/>
              <w:jc w:val="center"/>
              <w:rPr>
                <w:rFonts w:ascii="宋体" w:hAnsi="宋体"/>
                <w:kern w:val="0"/>
                <w:sz w:val="24"/>
              </w:rPr>
            </w:pPr>
          </w:p>
        </w:tc>
        <w:tc>
          <w:tcPr>
            <w:tcW w:w="1312" w:type="dxa"/>
            <w:vAlign w:val="center"/>
          </w:tcPr>
          <w:p w14:paraId="6F09406F">
            <w:pPr>
              <w:autoSpaceDE w:val="0"/>
              <w:autoSpaceDN w:val="0"/>
              <w:adjustRightInd w:val="0"/>
              <w:snapToGrid w:val="0"/>
              <w:jc w:val="center"/>
              <w:rPr>
                <w:rFonts w:ascii="宋体" w:hAnsi="宋体"/>
                <w:kern w:val="0"/>
                <w:sz w:val="24"/>
              </w:rPr>
            </w:pPr>
          </w:p>
        </w:tc>
        <w:tc>
          <w:tcPr>
            <w:tcW w:w="947" w:type="dxa"/>
            <w:vAlign w:val="center"/>
          </w:tcPr>
          <w:p w14:paraId="778C985D">
            <w:pPr>
              <w:autoSpaceDE w:val="0"/>
              <w:autoSpaceDN w:val="0"/>
              <w:adjustRightInd w:val="0"/>
              <w:snapToGrid w:val="0"/>
              <w:jc w:val="center"/>
              <w:rPr>
                <w:rFonts w:ascii="宋体" w:hAnsi="宋体"/>
                <w:kern w:val="0"/>
                <w:sz w:val="24"/>
              </w:rPr>
            </w:pPr>
          </w:p>
        </w:tc>
        <w:tc>
          <w:tcPr>
            <w:tcW w:w="1141" w:type="dxa"/>
            <w:vAlign w:val="center"/>
          </w:tcPr>
          <w:p w14:paraId="2A96DE2B">
            <w:pPr>
              <w:autoSpaceDE w:val="0"/>
              <w:autoSpaceDN w:val="0"/>
              <w:adjustRightInd w:val="0"/>
              <w:snapToGrid w:val="0"/>
              <w:jc w:val="center"/>
              <w:rPr>
                <w:rFonts w:ascii="宋体" w:hAnsi="宋体"/>
                <w:kern w:val="0"/>
                <w:sz w:val="24"/>
              </w:rPr>
            </w:pPr>
          </w:p>
        </w:tc>
        <w:tc>
          <w:tcPr>
            <w:tcW w:w="749" w:type="dxa"/>
            <w:vAlign w:val="center"/>
          </w:tcPr>
          <w:p w14:paraId="7E1FF47B">
            <w:pPr>
              <w:autoSpaceDE w:val="0"/>
              <w:autoSpaceDN w:val="0"/>
              <w:adjustRightInd w:val="0"/>
              <w:snapToGrid w:val="0"/>
              <w:jc w:val="center"/>
              <w:rPr>
                <w:rFonts w:ascii="宋体" w:hAnsi="宋体"/>
                <w:kern w:val="0"/>
                <w:sz w:val="24"/>
              </w:rPr>
            </w:pPr>
          </w:p>
        </w:tc>
      </w:tr>
      <w:tr w14:paraId="3C4F64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34652F3A">
            <w:pPr>
              <w:autoSpaceDE w:val="0"/>
              <w:autoSpaceDN w:val="0"/>
              <w:adjustRightInd w:val="0"/>
              <w:snapToGrid w:val="0"/>
              <w:jc w:val="center"/>
              <w:rPr>
                <w:rFonts w:ascii="宋体" w:hAnsi="宋体"/>
                <w:kern w:val="0"/>
                <w:sz w:val="24"/>
              </w:rPr>
            </w:pPr>
          </w:p>
        </w:tc>
        <w:tc>
          <w:tcPr>
            <w:tcW w:w="1176" w:type="dxa"/>
            <w:vAlign w:val="center"/>
          </w:tcPr>
          <w:p w14:paraId="1130708C">
            <w:pPr>
              <w:autoSpaceDE w:val="0"/>
              <w:autoSpaceDN w:val="0"/>
              <w:adjustRightInd w:val="0"/>
              <w:snapToGrid w:val="0"/>
              <w:jc w:val="center"/>
              <w:rPr>
                <w:rFonts w:ascii="宋体" w:hAnsi="宋体"/>
                <w:kern w:val="0"/>
                <w:sz w:val="24"/>
              </w:rPr>
            </w:pPr>
          </w:p>
        </w:tc>
        <w:tc>
          <w:tcPr>
            <w:tcW w:w="824" w:type="dxa"/>
            <w:vAlign w:val="center"/>
          </w:tcPr>
          <w:p w14:paraId="6047E5EA">
            <w:pPr>
              <w:autoSpaceDE w:val="0"/>
              <w:autoSpaceDN w:val="0"/>
              <w:adjustRightInd w:val="0"/>
              <w:snapToGrid w:val="0"/>
              <w:jc w:val="center"/>
              <w:rPr>
                <w:rFonts w:ascii="宋体" w:hAnsi="宋体"/>
                <w:kern w:val="0"/>
                <w:sz w:val="24"/>
              </w:rPr>
            </w:pPr>
          </w:p>
        </w:tc>
        <w:tc>
          <w:tcPr>
            <w:tcW w:w="1072" w:type="dxa"/>
            <w:vAlign w:val="center"/>
          </w:tcPr>
          <w:p w14:paraId="1FBB77CC">
            <w:pPr>
              <w:autoSpaceDE w:val="0"/>
              <w:autoSpaceDN w:val="0"/>
              <w:adjustRightInd w:val="0"/>
              <w:snapToGrid w:val="0"/>
              <w:jc w:val="center"/>
              <w:rPr>
                <w:rFonts w:ascii="宋体" w:hAnsi="宋体"/>
                <w:kern w:val="0"/>
                <w:sz w:val="24"/>
              </w:rPr>
            </w:pPr>
          </w:p>
        </w:tc>
        <w:tc>
          <w:tcPr>
            <w:tcW w:w="728" w:type="dxa"/>
            <w:vAlign w:val="center"/>
          </w:tcPr>
          <w:p w14:paraId="5C2A834A">
            <w:pPr>
              <w:autoSpaceDE w:val="0"/>
              <w:autoSpaceDN w:val="0"/>
              <w:adjustRightInd w:val="0"/>
              <w:snapToGrid w:val="0"/>
              <w:jc w:val="center"/>
              <w:rPr>
                <w:rFonts w:ascii="宋体" w:hAnsi="宋体"/>
                <w:kern w:val="0"/>
                <w:sz w:val="24"/>
              </w:rPr>
            </w:pPr>
          </w:p>
        </w:tc>
        <w:tc>
          <w:tcPr>
            <w:tcW w:w="799" w:type="dxa"/>
            <w:vAlign w:val="center"/>
          </w:tcPr>
          <w:p w14:paraId="0ACAEC98">
            <w:pPr>
              <w:autoSpaceDE w:val="0"/>
              <w:autoSpaceDN w:val="0"/>
              <w:adjustRightInd w:val="0"/>
              <w:snapToGrid w:val="0"/>
              <w:jc w:val="center"/>
              <w:rPr>
                <w:rFonts w:ascii="宋体" w:hAnsi="宋体"/>
                <w:kern w:val="0"/>
                <w:sz w:val="24"/>
              </w:rPr>
            </w:pPr>
          </w:p>
        </w:tc>
        <w:tc>
          <w:tcPr>
            <w:tcW w:w="1312" w:type="dxa"/>
            <w:vAlign w:val="center"/>
          </w:tcPr>
          <w:p w14:paraId="4E309427">
            <w:pPr>
              <w:autoSpaceDE w:val="0"/>
              <w:autoSpaceDN w:val="0"/>
              <w:adjustRightInd w:val="0"/>
              <w:snapToGrid w:val="0"/>
              <w:jc w:val="center"/>
              <w:rPr>
                <w:rFonts w:ascii="宋体" w:hAnsi="宋体"/>
                <w:kern w:val="0"/>
                <w:sz w:val="24"/>
              </w:rPr>
            </w:pPr>
          </w:p>
        </w:tc>
        <w:tc>
          <w:tcPr>
            <w:tcW w:w="947" w:type="dxa"/>
            <w:vAlign w:val="center"/>
          </w:tcPr>
          <w:p w14:paraId="62F7E709">
            <w:pPr>
              <w:autoSpaceDE w:val="0"/>
              <w:autoSpaceDN w:val="0"/>
              <w:adjustRightInd w:val="0"/>
              <w:snapToGrid w:val="0"/>
              <w:jc w:val="center"/>
              <w:rPr>
                <w:rFonts w:ascii="宋体" w:hAnsi="宋体"/>
                <w:kern w:val="0"/>
                <w:sz w:val="24"/>
              </w:rPr>
            </w:pPr>
          </w:p>
        </w:tc>
        <w:tc>
          <w:tcPr>
            <w:tcW w:w="1141" w:type="dxa"/>
            <w:vAlign w:val="center"/>
          </w:tcPr>
          <w:p w14:paraId="73174301">
            <w:pPr>
              <w:autoSpaceDE w:val="0"/>
              <w:autoSpaceDN w:val="0"/>
              <w:adjustRightInd w:val="0"/>
              <w:snapToGrid w:val="0"/>
              <w:jc w:val="center"/>
              <w:rPr>
                <w:rFonts w:ascii="宋体" w:hAnsi="宋体"/>
                <w:kern w:val="0"/>
                <w:sz w:val="24"/>
              </w:rPr>
            </w:pPr>
          </w:p>
        </w:tc>
        <w:tc>
          <w:tcPr>
            <w:tcW w:w="749" w:type="dxa"/>
            <w:vAlign w:val="center"/>
          </w:tcPr>
          <w:p w14:paraId="3CA9EAB2">
            <w:pPr>
              <w:autoSpaceDE w:val="0"/>
              <w:autoSpaceDN w:val="0"/>
              <w:adjustRightInd w:val="0"/>
              <w:snapToGrid w:val="0"/>
              <w:jc w:val="center"/>
              <w:rPr>
                <w:rFonts w:ascii="宋体" w:hAnsi="宋体"/>
                <w:kern w:val="0"/>
                <w:sz w:val="24"/>
              </w:rPr>
            </w:pPr>
          </w:p>
        </w:tc>
      </w:tr>
      <w:tr w14:paraId="201B16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5ADCA688">
            <w:pPr>
              <w:autoSpaceDE w:val="0"/>
              <w:autoSpaceDN w:val="0"/>
              <w:adjustRightInd w:val="0"/>
              <w:snapToGrid w:val="0"/>
              <w:jc w:val="center"/>
              <w:rPr>
                <w:rFonts w:ascii="宋体" w:hAnsi="宋体"/>
                <w:kern w:val="0"/>
                <w:sz w:val="24"/>
              </w:rPr>
            </w:pPr>
          </w:p>
        </w:tc>
        <w:tc>
          <w:tcPr>
            <w:tcW w:w="1176" w:type="dxa"/>
            <w:vAlign w:val="center"/>
          </w:tcPr>
          <w:p w14:paraId="138E5C38">
            <w:pPr>
              <w:autoSpaceDE w:val="0"/>
              <w:autoSpaceDN w:val="0"/>
              <w:adjustRightInd w:val="0"/>
              <w:snapToGrid w:val="0"/>
              <w:jc w:val="center"/>
              <w:rPr>
                <w:rFonts w:ascii="宋体" w:hAnsi="宋体"/>
                <w:kern w:val="0"/>
                <w:sz w:val="24"/>
              </w:rPr>
            </w:pPr>
          </w:p>
        </w:tc>
        <w:tc>
          <w:tcPr>
            <w:tcW w:w="824" w:type="dxa"/>
            <w:vAlign w:val="center"/>
          </w:tcPr>
          <w:p w14:paraId="7EF2BA48">
            <w:pPr>
              <w:autoSpaceDE w:val="0"/>
              <w:autoSpaceDN w:val="0"/>
              <w:adjustRightInd w:val="0"/>
              <w:snapToGrid w:val="0"/>
              <w:jc w:val="center"/>
              <w:rPr>
                <w:rFonts w:ascii="宋体" w:hAnsi="宋体"/>
                <w:kern w:val="0"/>
                <w:sz w:val="24"/>
              </w:rPr>
            </w:pPr>
          </w:p>
        </w:tc>
        <w:tc>
          <w:tcPr>
            <w:tcW w:w="1072" w:type="dxa"/>
            <w:vAlign w:val="center"/>
          </w:tcPr>
          <w:p w14:paraId="580A298E">
            <w:pPr>
              <w:autoSpaceDE w:val="0"/>
              <w:autoSpaceDN w:val="0"/>
              <w:adjustRightInd w:val="0"/>
              <w:snapToGrid w:val="0"/>
              <w:jc w:val="center"/>
              <w:rPr>
                <w:rFonts w:ascii="宋体" w:hAnsi="宋体"/>
                <w:kern w:val="0"/>
                <w:sz w:val="24"/>
              </w:rPr>
            </w:pPr>
          </w:p>
        </w:tc>
        <w:tc>
          <w:tcPr>
            <w:tcW w:w="728" w:type="dxa"/>
            <w:vAlign w:val="center"/>
          </w:tcPr>
          <w:p w14:paraId="53CB0A86">
            <w:pPr>
              <w:autoSpaceDE w:val="0"/>
              <w:autoSpaceDN w:val="0"/>
              <w:adjustRightInd w:val="0"/>
              <w:snapToGrid w:val="0"/>
              <w:jc w:val="center"/>
              <w:rPr>
                <w:rFonts w:ascii="宋体" w:hAnsi="宋体"/>
                <w:kern w:val="0"/>
                <w:sz w:val="24"/>
              </w:rPr>
            </w:pPr>
          </w:p>
        </w:tc>
        <w:tc>
          <w:tcPr>
            <w:tcW w:w="799" w:type="dxa"/>
            <w:vAlign w:val="center"/>
          </w:tcPr>
          <w:p w14:paraId="735D6403">
            <w:pPr>
              <w:autoSpaceDE w:val="0"/>
              <w:autoSpaceDN w:val="0"/>
              <w:adjustRightInd w:val="0"/>
              <w:snapToGrid w:val="0"/>
              <w:jc w:val="center"/>
              <w:rPr>
                <w:rFonts w:ascii="宋体" w:hAnsi="宋体"/>
                <w:kern w:val="0"/>
                <w:sz w:val="24"/>
              </w:rPr>
            </w:pPr>
          </w:p>
        </w:tc>
        <w:tc>
          <w:tcPr>
            <w:tcW w:w="1312" w:type="dxa"/>
            <w:vAlign w:val="center"/>
          </w:tcPr>
          <w:p w14:paraId="4C56C48F">
            <w:pPr>
              <w:autoSpaceDE w:val="0"/>
              <w:autoSpaceDN w:val="0"/>
              <w:adjustRightInd w:val="0"/>
              <w:snapToGrid w:val="0"/>
              <w:jc w:val="center"/>
              <w:rPr>
                <w:rFonts w:ascii="宋体" w:hAnsi="宋体"/>
                <w:kern w:val="0"/>
                <w:sz w:val="24"/>
              </w:rPr>
            </w:pPr>
          </w:p>
        </w:tc>
        <w:tc>
          <w:tcPr>
            <w:tcW w:w="947" w:type="dxa"/>
            <w:vAlign w:val="center"/>
          </w:tcPr>
          <w:p w14:paraId="15BF6BBA">
            <w:pPr>
              <w:autoSpaceDE w:val="0"/>
              <w:autoSpaceDN w:val="0"/>
              <w:adjustRightInd w:val="0"/>
              <w:snapToGrid w:val="0"/>
              <w:jc w:val="center"/>
              <w:rPr>
                <w:rFonts w:ascii="宋体" w:hAnsi="宋体"/>
                <w:kern w:val="0"/>
                <w:sz w:val="24"/>
              </w:rPr>
            </w:pPr>
          </w:p>
        </w:tc>
        <w:tc>
          <w:tcPr>
            <w:tcW w:w="1141" w:type="dxa"/>
            <w:vAlign w:val="center"/>
          </w:tcPr>
          <w:p w14:paraId="3E19A56F">
            <w:pPr>
              <w:autoSpaceDE w:val="0"/>
              <w:autoSpaceDN w:val="0"/>
              <w:adjustRightInd w:val="0"/>
              <w:snapToGrid w:val="0"/>
              <w:jc w:val="center"/>
              <w:rPr>
                <w:rFonts w:ascii="宋体" w:hAnsi="宋体"/>
                <w:kern w:val="0"/>
                <w:sz w:val="24"/>
              </w:rPr>
            </w:pPr>
          </w:p>
        </w:tc>
        <w:tc>
          <w:tcPr>
            <w:tcW w:w="749" w:type="dxa"/>
            <w:vAlign w:val="center"/>
          </w:tcPr>
          <w:p w14:paraId="2638F91C">
            <w:pPr>
              <w:autoSpaceDE w:val="0"/>
              <w:autoSpaceDN w:val="0"/>
              <w:adjustRightInd w:val="0"/>
              <w:snapToGrid w:val="0"/>
              <w:jc w:val="center"/>
              <w:rPr>
                <w:rFonts w:ascii="宋体" w:hAnsi="宋体"/>
                <w:kern w:val="0"/>
                <w:sz w:val="24"/>
              </w:rPr>
            </w:pPr>
          </w:p>
        </w:tc>
      </w:tr>
      <w:tr w14:paraId="082CC4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41F625A1">
            <w:pPr>
              <w:autoSpaceDE w:val="0"/>
              <w:autoSpaceDN w:val="0"/>
              <w:adjustRightInd w:val="0"/>
              <w:snapToGrid w:val="0"/>
              <w:jc w:val="center"/>
              <w:rPr>
                <w:rFonts w:ascii="宋体" w:hAnsi="宋体"/>
                <w:kern w:val="0"/>
                <w:sz w:val="24"/>
              </w:rPr>
            </w:pPr>
          </w:p>
        </w:tc>
        <w:tc>
          <w:tcPr>
            <w:tcW w:w="1176" w:type="dxa"/>
            <w:vAlign w:val="center"/>
          </w:tcPr>
          <w:p w14:paraId="05E53C36">
            <w:pPr>
              <w:autoSpaceDE w:val="0"/>
              <w:autoSpaceDN w:val="0"/>
              <w:adjustRightInd w:val="0"/>
              <w:snapToGrid w:val="0"/>
              <w:jc w:val="center"/>
              <w:rPr>
                <w:rFonts w:ascii="宋体" w:hAnsi="宋体"/>
                <w:kern w:val="0"/>
                <w:sz w:val="24"/>
              </w:rPr>
            </w:pPr>
          </w:p>
        </w:tc>
        <w:tc>
          <w:tcPr>
            <w:tcW w:w="824" w:type="dxa"/>
            <w:vAlign w:val="center"/>
          </w:tcPr>
          <w:p w14:paraId="5D17ADE8">
            <w:pPr>
              <w:autoSpaceDE w:val="0"/>
              <w:autoSpaceDN w:val="0"/>
              <w:adjustRightInd w:val="0"/>
              <w:snapToGrid w:val="0"/>
              <w:jc w:val="center"/>
              <w:rPr>
                <w:rFonts w:ascii="宋体" w:hAnsi="宋体"/>
                <w:kern w:val="0"/>
                <w:sz w:val="24"/>
              </w:rPr>
            </w:pPr>
          </w:p>
        </w:tc>
        <w:tc>
          <w:tcPr>
            <w:tcW w:w="1072" w:type="dxa"/>
            <w:vAlign w:val="center"/>
          </w:tcPr>
          <w:p w14:paraId="53F93C0A">
            <w:pPr>
              <w:autoSpaceDE w:val="0"/>
              <w:autoSpaceDN w:val="0"/>
              <w:adjustRightInd w:val="0"/>
              <w:snapToGrid w:val="0"/>
              <w:jc w:val="center"/>
              <w:rPr>
                <w:rFonts w:ascii="宋体" w:hAnsi="宋体"/>
                <w:kern w:val="0"/>
                <w:sz w:val="24"/>
              </w:rPr>
            </w:pPr>
          </w:p>
        </w:tc>
        <w:tc>
          <w:tcPr>
            <w:tcW w:w="728" w:type="dxa"/>
            <w:vAlign w:val="center"/>
          </w:tcPr>
          <w:p w14:paraId="239EEBE0">
            <w:pPr>
              <w:autoSpaceDE w:val="0"/>
              <w:autoSpaceDN w:val="0"/>
              <w:adjustRightInd w:val="0"/>
              <w:snapToGrid w:val="0"/>
              <w:jc w:val="center"/>
              <w:rPr>
                <w:rFonts w:ascii="宋体" w:hAnsi="宋体"/>
                <w:kern w:val="0"/>
                <w:sz w:val="24"/>
              </w:rPr>
            </w:pPr>
          </w:p>
        </w:tc>
        <w:tc>
          <w:tcPr>
            <w:tcW w:w="799" w:type="dxa"/>
            <w:vAlign w:val="center"/>
          </w:tcPr>
          <w:p w14:paraId="4828229D">
            <w:pPr>
              <w:autoSpaceDE w:val="0"/>
              <w:autoSpaceDN w:val="0"/>
              <w:adjustRightInd w:val="0"/>
              <w:snapToGrid w:val="0"/>
              <w:jc w:val="center"/>
              <w:rPr>
                <w:rFonts w:ascii="宋体" w:hAnsi="宋体"/>
                <w:kern w:val="0"/>
                <w:sz w:val="24"/>
              </w:rPr>
            </w:pPr>
          </w:p>
        </w:tc>
        <w:tc>
          <w:tcPr>
            <w:tcW w:w="1312" w:type="dxa"/>
            <w:vAlign w:val="center"/>
          </w:tcPr>
          <w:p w14:paraId="797350FC">
            <w:pPr>
              <w:autoSpaceDE w:val="0"/>
              <w:autoSpaceDN w:val="0"/>
              <w:adjustRightInd w:val="0"/>
              <w:snapToGrid w:val="0"/>
              <w:jc w:val="center"/>
              <w:rPr>
                <w:rFonts w:ascii="宋体" w:hAnsi="宋体"/>
                <w:kern w:val="0"/>
                <w:sz w:val="24"/>
              </w:rPr>
            </w:pPr>
          </w:p>
        </w:tc>
        <w:tc>
          <w:tcPr>
            <w:tcW w:w="947" w:type="dxa"/>
            <w:vAlign w:val="center"/>
          </w:tcPr>
          <w:p w14:paraId="611D0A3E">
            <w:pPr>
              <w:autoSpaceDE w:val="0"/>
              <w:autoSpaceDN w:val="0"/>
              <w:adjustRightInd w:val="0"/>
              <w:snapToGrid w:val="0"/>
              <w:jc w:val="center"/>
              <w:rPr>
                <w:rFonts w:ascii="宋体" w:hAnsi="宋体"/>
                <w:kern w:val="0"/>
                <w:sz w:val="24"/>
              </w:rPr>
            </w:pPr>
          </w:p>
        </w:tc>
        <w:tc>
          <w:tcPr>
            <w:tcW w:w="1141" w:type="dxa"/>
            <w:vAlign w:val="center"/>
          </w:tcPr>
          <w:p w14:paraId="13A8BEFB">
            <w:pPr>
              <w:autoSpaceDE w:val="0"/>
              <w:autoSpaceDN w:val="0"/>
              <w:adjustRightInd w:val="0"/>
              <w:snapToGrid w:val="0"/>
              <w:jc w:val="center"/>
              <w:rPr>
                <w:rFonts w:ascii="宋体" w:hAnsi="宋体"/>
                <w:kern w:val="0"/>
                <w:sz w:val="24"/>
              </w:rPr>
            </w:pPr>
          </w:p>
        </w:tc>
        <w:tc>
          <w:tcPr>
            <w:tcW w:w="749" w:type="dxa"/>
            <w:vAlign w:val="center"/>
          </w:tcPr>
          <w:p w14:paraId="69B48981">
            <w:pPr>
              <w:autoSpaceDE w:val="0"/>
              <w:autoSpaceDN w:val="0"/>
              <w:adjustRightInd w:val="0"/>
              <w:snapToGrid w:val="0"/>
              <w:jc w:val="center"/>
              <w:rPr>
                <w:rFonts w:ascii="宋体" w:hAnsi="宋体"/>
                <w:kern w:val="0"/>
                <w:sz w:val="24"/>
              </w:rPr>
            </w:pPr>
          </w:p>
        </w:tc>
      </w:tr>
      <w:tr w14:paraId="379CA9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2640A8C2">
            <w:pPr>
              <w:autoSpaceDE w:val="0"/>
              <w:autoSpaceDN w:val="0"/>
              <w:adjustRightInd w:val="0"/>
              <w:snapToGrid w:val="0"/>
              <w:jc w:val="center"/>
              <w:rPr>
                <w:rFonts w:ascii="宋体" w:hAnsi="宋体"/>
                <w:kern w:val="0"/>
                <w:sz w:val="24"/>
              </w:rPr>
            </w:pPr>
          </w:p>
        </w:tc>
        <w:tc>
          <w:tcPr>
            <w:tcW w:w="1176" w:type="dxa"/>
            <w:vAlign w:val="center"/>
          </w:tcPr>
          <w:p w14:paraId="360AE8B3">
            <w:pPr>
              <w:autoSpaceDE w:val="0"/>
              <w:autoSpaceDN w:val="0"/>
              <w:adjustRightInd w:val="0"/>
              <w:snapToGrid w:val="0"/>
              <w:jc w:val="center"/>
              <w:rPr>
                <w:rFonts w:ascii="宋体" w:hAnsi="宋体"/>
                <w:kern w:val="0"/>
                <w:sz w:val="24"/>
              </w:rPr>
            </w:pPr>
          </w:p>
        </w:tc>
        <w:tc>
          <w:tcPr>
            <w:tcW w:w="824" w:type="dxa"/>
            <w:vAlign w:val="center"/>
          </w:tcPr>
          <w:p w14:paraId="185E3CF6">
            <w:pPr>
              <w:autoSpaceDE w:val="0"/>
              <w:autoSpaceDN w:val="0"/>
              <w:adjustRightInd w:val="0"/>
              <w:snapToGrid w:val="0"/>
              <w:jc w:val="center"/>
              <w:rPr>
                <w:rFonts w:ascii="宋体" w:hAnsi="宋体"/>
                <w:kern w:val="0"/>
                <w:sz w:val="24"/>
              </w:rPr>
            </w:pPr>
          </w:p>
        </w:tc>
        <w:tc>
          <w:tcPr>
            <w:tcW w:w="1072" w:type="dxa"/>
            <w:vAlign w:val="center"/>
          </w:tcPr>
          <w:p w14:paraId="6799D639">
            <w:pPr>
              <w:autoSpaceDE w:val="0"/>
              <w:autoSpaceDN w:val="0"/>
              <w:adjustRightInd w:val="0"/>
              <w:snapToGrid w:val="0"/>
              <w:jc w:val="center"/>
              <w:rPr>
                <w:rFonts w:ascii="宋体" w:hAnsi="宋体"/>
                <w:kern w:val="0"/>
                <w:sz w:val="24"/>
              </w:rPr>
            </w:pPr>
          </w:p>
        </w:tc>
        <w:tc>
          <w:tcPr>
            <w:tcW w:w="728" w:type="dxa"/>
            <w:vAlign w:val="center"/>
          </w:tcPr>
          <w:p w14:paraId="2AD0EFB3">
            <w:pPr>
              <w:autoSpaceDE w:val="0"/>
              <w:autoSpaceDN w:val="0"/>
              <w:adjustRightInd w:val="0"/>
              <w:snapToGrid w:val="0"/>
              <w:jc w:val="center"/>
              <w:rPr>
                <w:rFonts w:ascii="宋体" w:hAnsi="宋体"/>
                <w:kern w:val="0"/>
                <w:sz w:val="24"/>
              </w:rPr>
            </w:pPr>
          </w:p>
        </w:tc>
        <w:tc>
          <w:tcPr>
            <w:tcW w:w="799" w:type="dxa"/>
            <w:vAlign w:val="center"/>
          </w:tcPr>
          <w:p w14:paraId="3EF6C04D">
            <w:pPr>
              <w:autoSpaceDE w:val="0"/>
              <w:autoSpaceDN w:val="0"/>
              <w:adjustRightInd w:val="0"/>
              <w:snapToGrid w:val="0"/>
              <w:jc w:val="center"/>
              <w:rPr>
                <w:rFonts w:ascii="宋体" w:hAnsi="宋体"/>
                <w:kern w:val="0"/>
                <w:sz w:val="24"/>
              </w:rPr>
            </w:pPr>
          </w:p>
        </w:tc>
        <w:tc>
          <w:tcPr>
            <w:tcW w:w="1312" w:type="dxa"/>
            <w:vAlign w:val="center"/>
          </w:tcPr>
          <w:p w14:paraId="70AB805A">
            <w:pPr>
              <w:autoSpaceDE w:val="0"/>
              <w:autoSpaceDN w:val="0"/>
              <w:adjustRightInd w:val="0"/>
              <w:snapToGrid w:val="0"/>
              <w:jc w:val="center"/>
              <w:rPr>
                <w:rFonts w:ascii="宋体" w:hAnsi="宋体"/>
                <w:kern w:val="0"/>
                <w:sz w:val="24"/>
              </w:rPr>
            </w:pPr>
          </w:p>
        </w:tc>
        <w:tc>
          <w:tcPr>
            <w:tcW w:w="947" w:type="dxa"/>
            <w:vAlign w:val="center"/>
          </w:tcPr>
          <w:p w14:paraId="4567D6F1">
            <w:pPr>
              <w:autoSpaceDE w:val="0"/>
              <w:autoSpaceDN w:val="0"/>
              <w:adjustRightInd w:val="0"/>
              <w:snapToGrid w:val="0"/>
              <w:jc w:val="center"/>
              <w:rPr>
                <w:rFonts w:ascii="宋体" w:hAnsi="宋体"/>
                <w:kern w:val="0"/>
                <w:sz w:val="24"/>
              </w:rPr>
            </w:pPr>
          </w:p>
        </w:tc>
        <w:tc>
          <w:tcPr>
            <w:tcW w:w="1141" w:type="dxa"/>
            <w:vAlign w:val="center"/>
          </w:tcPr>
          <w:p w14:paraId="09EE0AB9">
            <w:pPr>
              <w:autoSpaceDE w:val="0"/>
              <w:autoSpaceDN w:val="0"/>
              <w:adjustRightInd w:val="0"/>
              <w:snapToGrid w:val="0"/>
              <w:jc w:val="center"/>
              <w:rPr>
                <w:rFonts w:ascii="宋体" w:hAnsi="宋体"/>
                <w:kern w:val="0"/>
                <w:sz w:val="24"/>
              </w:rPr>
            </w:pPr>
          </w:p>
        </w:tc>
        <w:tc>
          <w:tcPr>
            <w:tcW w:w="749" w:type="dxa"/>
            <w:vAlign w:val="center"/>
          </w:tcPr>
          <w:p w14:paraId="209450D0">
            <w:pPr>
              <w:autoSpaceDE w:val="0"/>
              <w:autoSpaceDN w:val="0"/>
              <w:adjustRightInd w:val="0"/>
              <w:snapToGrid w:val="0"/>
              <w:jc w:val="center"/>
              <w:rPr>
                <w:rFonts w:ascii="宋体" w:hAnsi="宋体"/>
                <w:kern w:val="0"/>
                <w:sz w:val="24"/>
              </w:rPr>
            </w:pPr>
          </w:p>
        </w:tc>
      </w:tr>
      <w:tr w14:paraId="7070C4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37EA2A9B">
            <w:pPr>
              <w:autoSpaceDE w:val="0"/>
              <w:autoSpaceDN w:val="0"/>
              <w:adjustRightInd w:val="0"/>
              <w:snapToGrid w:val="0"/>
              <w:jc w:val="center"/>
              <w:rPr>
                <w:rFonts w:ascii="宋体" w:hAnsi="宋体"/>
                <w:kern w:val="0"/>
                <w:sz w:val="24"/>
              </w:rPr>
            </w:pPr>
          </w:p>
        </w:tc>
        <w:tc>
          <w:tcPr>
            <w:tcW w:w="1176" w:type="dxa"/>
            <w:vAlign w:val="center"/>
          </w:tcPr>
          <w:p w14:paraId="52BAEE70">
            <w:pPr>
              <w:autoSpaceDE w:val="0"/>
              <w:autoSpaceDN w:val="0"/>
              <w:adjustRightInd w:val="0"/>
              <w:snapToGrid w:val="0"/>
              <w:jc w:val="center"/>
              <w:rPr>
                <w:rFonts w:ascii="宋体" w:hAnsi="宋体"/>
                <w:kern w:val="0"/>
                <w:sz w:val="24"/>
              </w:rPr>
            </w:pPr>
          </w:p>
        </w:tc>
        <w:tc>
          <w:tcPr>
            <w:tcW w:w="824" w:type="dxa"/>
            <w:vAlign w:val="center"/>
          </w:tcPr>
          <w:p w14:paraId="6A681785">
            <w:pPr>
              <w:autoSpaceDE w:val="0"/>
              <w:autoSpaceDN w:val="0"/>
              <w:adjustRightInd w:val="0"/>
              <w:snapToGrid w:val="0"/>
              <w:jc w:val="center"/>
              <w:rPr>
                <w:rFonts w:ascii="宋体" w:hAnsi="宋体"/>
                <w:kern w:val="0"/>
                <w:sz w:val="24"/>
              </w:rPr>
            </w:pPr>
          </w:p>
        </w:tc>
        <w:tc>
          <w:tcPr>
            <w:tcW w:w="1072" w:type="dxa"/>
            <w:vAlign w:val="center"/>
          </w:tcPr>
          <w:p w14:paraId="339D052F">
            <w:pPr>
              <w:autoSpaceDE w:val="0"/>
              <w:autoSpaceDN w:val="0"/>
              <w:adjustRightInd w:val="0"/>
              <w:snapToGrid w:val="0"/>
              <w:jc w:val="center"/>
              <w:rPr>
                <w:rFonts w:ascii="宋体" w:hAnsi="宋体"/>
                <w:kern w:val="0"/>
                <w:sz w:val="24"/>
              </w:rPr>
            </w:pPr>
          </w:p>
        </w:tc>
        <w:tc>
          <w:tcPr>
            <w:tcW w:w="728" w:type="dxa"/>
            <w:vAlign w:val="center"/>
          </w:tcPr>
          <w:p w14:paraId="38EBC33C">
            <w:pPr>
              <w:autoSpaceDE w:val="0"/>
              <w:autoSpaceDN w:val="0"/>
              <w:adjustRightInd w:val="0"/>
              <w:snapToGrid w:val="0"/>
              <w:jc w:val="center"/>
              <w:rPr>
                <w:rFonts w:ascii="宋体" w:hAnsi="宋体"/>
                <w:kern w:val="0"/>
                <w:sz w:val="24"/>
              </w:rPr>
            </w:pPr>
          </w:p>
        </w:tc>
        <w:tc>
          <w:tcPr>
            <w:tcW w:w="799" w:type="dxa"/>
            <w:vAlign w:val="center"/>
          </w:tcPr>
          <w:p w14:paraId="1C9A78FD">
            <w:pPr>
              <w:autoSpaceDE w:val="0"/>
              <w:autoSpaceDN w:val="0"/>
              <w:adjustRightInd w:val="0"/>
              <w:snapToGrid w:val="0"/>
              <w:jc w:val="center"/>
              <w:rPr>
                <w:rFonts w:ascii="宋体" w:hAnsi="宋体"/>
                <w:kern w:val="0"/>
                <w:sz w:val="24"/>
              </w:rPr>
            </w:pPr>
          </w:p>
        </w:tc>
        <w:tc>
          <w:tcPr>
            <w:tcW w:w="1312" w:type="dxa"/>
            <w:vAlign w:val="center"/>
          </w:tcPr>
          <w:p w14:paraId="1252B680">
            <w:pPr>
              <w:autoSpaceDE w:val="0"/>
              <w:autoSpaceDN w:val="0"/>
              <w:adjustRightInd w:val="0"/>
              <w:snapToGrid w:val="0"/>
              <w:jc w:val="center"/>
              <w:rPr>
                <w:rFonts w:ascii="宋体" w:hAnsi="宋体"/>
                <w:kern w:val="0"/>
                <w:sz w:val="24"/>
              </w:rPr>
            </w:pPr>
          </w:p>
        </w:tc>
        <w:tc>
          <w:tcPr>
            <w:tcW w:w="947" w:type="dxa"/>
            <w:vAlign w:val="center"/>
          </w:tcPr>
          <w:p w14:paraId="7FA463ED">
            <w:pPr>
              <w:autoSpaceDE w:val="0"/>
              <w:autoSpaceDN w:val="0"/>
              <w:adjustRightInd w:val="0"/>
              <w:snapToGrid w:val="0"/>
              <w:jc w:val="center"/>
              <w:rPr>
                <w:rFonts w:ascii="宋体" w:hAnsi="宋体"/>
                <w:kern w:val="0"/>
                <w:sz w:val="24"/>
              </w:rPr>
            </w:pPr>
          </w:p>
        </w:tc>
        <w:tc>
          <w:tcPr>
            <w:tcW w:w="1141" w:type="dxa"/>
            <w:vAlign w:val="center"/>
          </w:tcPr>
          <w:p w14:paraId="5D9CD65B">
            <w:pPr>
              <w:autoSpaceDE w:val="0"/>
              <w:autoSpaceDN w:val="0"/>
              <w:adjustRightInd w:val="0"/>
              <w:snapToGrid w:val="0"/>
              <w:jc w:val="center"/>
              <w:rPr>
                <w:rFonts w:ascii="宋体" w:hAnsi="宋体"/>
                <w:kern w:val="0"/>
                <w:sz w:val="24"/>
              </w:rPr>
            </w:pPr>
          </w:p>
        </w:tc>
        <w:tc>
          <w:tcPr>
            <w:tcW w:w="749" w:type="dxa"/>
            <w:vAlign w:val="center"/>
          </w:tcPr>
          <w:p w14:paraId="729F2A2C">
            <w:pPr>
              <w:autoSpaceDE w:val="0"/>
              <w:autoSpaceDN w:val="0"/>
              <w:adjustRightInd w:val="0"/>
              <w:snapToGrid w:val="0"/>
              <w:jc w:val="center"/>
              <w:rPr>
                <w:rFonts w:ascii="宋体" w:hAnsi="宋体"/>
                <w:kern w:val="0"/>
                <w:sz w:val="24"/>
              </w:rPr>
            </w:pPr>
          </w:p>
        </w:tc>
      </w:tr>
      <w:tr w14:paraId="2334D0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6C3FA9FC">
            <w:pPr>
              <w:autoSpaceDE w:val="0"/>
              <w:autoSpaceDN w:val="0"/>
              <w:adjustRightInd w:val="0"/>
              <w:snapToGrid w:val="0"/>
              <w:jc w:val="center"/>
              <w:rPr>
                <w:rFonts w:ascii="宋体" w:hAnsi="宋体"/>
                <w:kern w:val="0"/>
                <w:sz w:val="24"/>
              </w:rPr>
            </w:pPr>
          </w:p>
        </w:tc>
        <w:tc>
          <w:tcPr>
            <w:tcW w:w="1176" w:type="dxa"/>
            <w:vAlign w:val="center"/>
          </w:tcPr>
          <w:p w14:paraId="34C759D9">
            <w:pPr>
              <w:autoSpaceDE w:val="0"/>
              <w:autoSpaceDN w:val="0"/>
              <w:adjustRightInd w:val="0"/>
              <w:snapToGrid w:val="0"/>
              <w:jc w:val="center"/>
              <w:rPr>
                <w:rFonts w:ascii="宋体" w:hAnsi="宋体"/>
                <w:kern w:val="0"/>
                <w:sz w:val="24"/>
              </w:rPr>
            </w:pPr>
          </w:p>
        </w:tc>
        <w:tc>
          <w:tcPr>
            <w:tcW w:w="824" w:type="dxa"/>
            <w:vAlign w:val="center"/>
          </w:tcPr>
          <w:p w14:paraId="66DC4FF8">
            <w:pPr>
              <w:autoSpaceDE w:val="0"/>
              <w:autoSpaceDN w:val="0"/>
              <w:adjustRightInd w:val="0"/>
              <w:snapToGrid w:val="0"/>
              <w:jc w:val="center"/>
              <w:rPr>
                <w:rFonts w:ascii="宋体" w:hAnsi="宋体"/>
                <w:kern w:val="0"/>
                <w:sz w:val="24"/>
              </w:rPr>
            </w:pPr>
          </w:p>
        </w:tc>
        <w:tc>
          <w:tcPr>
            <w:tcW w:w="1072" w:type="dxa"/>
            <w:vAlign w:val="center"/>
          </w:tcPr>
          <w:p w14:paraId="50811329">
            <w:pPr>
              <w:autoSpaceDE w:val="0"/>
              <w:autoSpaceDN w:val="0"/>
              <w:adjustRightInd w:val="0"/>
              <w:snapToGrid w:val="0"/>
              <w:jc w:val="center"/>
              <w:rPr>
                <w:rFonts w:ascii="宋体" w:hAnsi="宋体"/>
                <w:kern w:val="0"/>
                <w:sz w:val="24"/>
              </w:rPr>
            </w:pPr>
          </w:p>
        </w:tc>
        <w:tc>
          <w:tcPr>
            <w:tcW w:w="728" w:type="dxa"/>
            <w:vAlign w:val="center"/>
          </w:tcPr>
          <w:p w14:paraId="5D1FE0A7">
            <w:pPr>
              <w:autoSpaceDE w:val="0"/>
              <w:autoSpaceDN w:val="0"/>
              <w:adjustRightInd w:val="0"/>
              <w:snapToGrid w:val="0"/>
              <w:jc w:val="center"/>
              <w:rPr>
                <w:rFonts w:ascii="宋体" w:hAnsi="宋体"/>
                <w:kern w:val="0"/>
                <w:sz w:val="24"/>
              </w:rPr>
            </w:pPr>
          </w:p>
        </w:tc>
        <w:tc>
          <w:tcPr>
            <w:tcW w:w="799" w:type="dxa"/>
            <w:vAlign w:val="center"/>
          </w:tcPr>
          <w:p w14:paraId="29802A86">
            <w:pPr>
              <w:autoSpaceDE w:val="0"/>
              <w:autoSpaceDN w:val="0"/>
              <w:adjustRightInd w:val="0"/>
              <w:snapToGrid w:val="0"/>
              <w:jc w:val="center"/>
              <w:rPr>
                <w:rFonts w:ascii="宋体" w:hAnsi="宋体"/>
                <w:kern w:val="0"/>
                <w:sz w:val="24"/>
              </w:rPr>
            </w:pPr>
          </w:p>
        </w:tc>
        <w:tc>
          <w:tcPr>
            <w:tcW w:w="1312" w:type="dxa"/>
            <w:vAlign w:val="center"/>
          </w:tcPr>
          <w:p w14:paraId="455013F4">
            <w:pPr>
              <w:autoSpaceDE w:val="0"/>
              <w:autoSpaceDN w:val="0"/>
              <w:adjustRightInd w:val="0"/>
              <w:snapToGrid w:val="0"/>
              <w:jc w:val="center"/>
              <w:rPr>
                <w:rFonts w:ascii="宋体" w:hAnsi="宋体"/>
                <w:kern w:val="0"/>
                <w:sz w:val="24"/>
              </w:rPr>
            </w:pPr>
          </w:p>
        </w:tc>
        <w:tc>
          <w:tcPr>
            <w:tcW w:w="947" w:type="dxa"/>
            <w:vAlign w:val="center"/>
          </w:tcPr>
          <w:p w14:paraId="6E1FA77A">
            <w:pPr>
              <w:autoSpaceDE w:val="0"/>
              <w:autoSpaceDN w:val="0"/>
              <w:adjustRightInd w:val="0"/>
              <w:snapToGrid w:val="0"/>
              <w:jc w:val="center"/>
              <w:rPr>
                <w:rFonts w:ascii="宋体" w:hAnsi="宋体"/>
                <w:kern w:val="0"/>
                <w:sz w:val="24"/>
              </w:rPr>
            </w:pPr>
          </w:p>
        </w:tc>
        <w:tc>
          <w:tcPr>
            <w:tcW w:w="1141" w:type="dxa"/>
            <w:vAlign w:val="center"/>
          </w:tcPr>
          <w:p w14:paraId="74EC2A2E">
            <w:pPr>
              <w:autoSpaceDE w:val="0"/>
              <w:autoSpaceDN w:val="0"/>
              <w:adjustRightInd w:val="0"/>
              <w:snapToGrid w:val="0"/>
              <w:jc w:val="center"/>
              <w:rPr>
                <w:rFonts w:ascii="宋体" w:hAnsi="宋体"/>
                <w:kern w:val="0"/>
                <w:sz w:val="24"/>
              </w:rPr>
            </w:pPr>
          </w:p>
        </w:tc>
        <w:tc>
          <w:tcPr>
            <w:tcW w:w="749" w:type="dxa"/>
            <w:vAlign w:val="center"/>
          </w:tcPr>
          <w:p w14:paraId="3C9AA3E9">
            <w:pPr>
              <w:autoSpaceDE w:val="0"/>
              <w:autoSpaceDN w:val="0"/>
              <w:adjustRightInd w:val="0"/>
              <w:snapToGrid w:val="0"/>
              <w:jc w:val="center"/>
              <w:rPr>
                <w:rFonts w:ascii="宋体" w:hAnsi="宋体"/>
                <w:kern w:val="0"/>
                <w:sz w:val="24"/>
              </w:rPr>
            </w:pPr>
          </w:p>
        </w:tc>
      </w:tr>
      <w:tr w14:paraId="6F8FBA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4907A0FF">
            <w:pPr>
              <w:autoSpaceDE w:val="0"/>
              <w:autoSpaceDN w:val="0"/>
              <w:adjustRightInd w:val="0"/>
              <w:snapToGrid w:val="0"/>
              <w:jc w:val="center"/>
              <w:rPr>
                <w:rFonts w:ascii="宋体" w:hAnsi="宋体"/>
                <w:kern w:val="0"/>
                <w:sz w:val="24"/>
              </w:rPr>
            </w:pPr>
          </w:p>
        </w:tc>
        <w:tc>
          <w:tcPr>
            <w:tcW w:w="1176" w:type="dxa"/>
            <w:vAlign w:val="center"/>
          </w:tcPr>
          <w:p w14:paraId="5134EB37">
            <w:pPr>
              <w:autoSpaceDE w:val="0"/>
              <w:autoSpaceDN w:val="0"/>
              <w:adjustRightInd w:val="0"/>
              <w:snapToGrid w:val="0"/>
              <w:jc w:val="center"/>
              <w:rPr>
                <w:rFonts w:ascii="宋体" w:hAnsi="宋体"/>
                <w:kern w:val="0"/>
                <w:sz w:val="24"/>
              </w:rPr>
            </w:pPr>
          </w:p>
        </w:tc>
        <w:tc>
          <w:tcPr>
            <w:tcW w:w="824" w:type="dxa"/>
            <w:vAlign w:val="center"/>
          </w:tcPr>
          <w:p w14:paraId="18979799">
            <w:pPr>
              <w:autoSpaceDE w:val="0"/>
              <w:autoSpaceDN w:val="0"/>
              <w:adjustRightInd w:val="0"/>
              <w:snapToGrid w:val="0"/>
              <w:jc w:val="center"/>
              <w:rPr>
                <w:rFonts w:ascii="宋体" w:hAnsi="宋体"/>
                <w:kern w:val="0"/>
                <w:sz w:val="24"/>
              </w:rPr>
            </w:pPr>
          </w:p>
        </w:tc>
        <w:tc>
          <w:tcPr>
            <w:tcW w:w="1072" w:type="dxa"/>
            <w:vAlign w:val="center"/>
          </w:tcPr>
          <w:p w14:paraId="6409A748">
            <w:pPr>
              <w:autoSpaceDE w:val="0"/>
              <w:autoSpaceDN w:val="0"/>
              <w:adjustRightInd w:val="0"/>
              <w:snapToGrid w:val="0"/>
              <w:jc w:val="center"/>
              <w:rPr>
                <w:rFonts w:ascii="宋体" w:hAnsi="宋体"/>
                <w:kern w:val="0"/>
                <w:sz w:val="24"/>
              </w:rPr>
            </w:pPr>
          </w:p>
        </w:tc>
        <w:tc>
          <w:tcPr>
            <w:tcW w:w="728" w:type="dxa"/>
            <w:vAlign w:val="center"/>
          </w:tcPr>
          <w:p w14:paraId="31113B61">
            <w:pPr>
              <w:autoSpaceDE w:val="0"/>
              <w:autoSpaceDN w:val="0"/>
              <w:adjustRightInd w:val="0"/>
              <w:snapToGrid w:val="0"/>
              <w:jc w:val="center"/>
              <w:rPr>
                <w:rFonts w:ascii="宋体" w:hAnsi="宋体"/>
                <w:kern w:val="0"/>
                <w:sz w:val="24"/>
              </w:rPr>
            </w:pPr>
          </w:p>
        </w:tc>
        <w:tc>
          <w:tcPr>
            <w:tcW w:w="799" w:type="dxa"/>
            <w:vAlign w:val="center"/>
          </w:tcPr>
          <w:p w14:paraId="0C86FEC6">
            <w:pPr>
              <w:autoSpaceDE w:val="0"/>
              <w:autoSpaceDN w:val="0"/>
              <w:adjustRightInd w:val="0"/>
              <w:snapToGrid w:val="0"/>
              <w:jc w:val="center"/>
              <w:rPr>
                <w:rFonts w:ascii="宋体" w:hAnsi="宋体"/>
                <w:kern w:val="0"/>
                <w:sz w:val="24"/>
              </w:rPr>
            </w:pPr>
          </w:p>
        </w:tc>
        <w:tc>
          <w:tcPr>
            <w:tcW w:w="1312" w:type="dxa"/>
            <w:vAlign w:val="center"/>
          </w:tcPr>
          <w:p w14:paraId="6B3DEA27">
            <w:pPr>
              <w:autoSpaceDE w:val="0"/>
              <w:autoSpaceDN w:val="0"/>
              <w:adjustRightInd w:val="0"/>
              <w:snapToGrid w:val="0"/>
              <w:jc w:val="center"/>
              <w:rPr>
                <w:rFonts w:ascii="宋体" w:hAnsi="宋体"/>
                <w:kern w:val="0"/>
                <w:sz w:val="24"/>
              </w:rPr>
            </w:pPr>
          </w:p>
        </w:tc>
        <w:tc>
          <w:tcPr>
            <w:tcW w:w="947" w:type="dxa"/>
            <w:vAlign w:val="center"/>
          </w:tcPr>
          <w:p w14:paraId="2FA22961">
            <w:pPr>
              <w:autoSpaceDE w:val="0"/>
              <w:autoSpaceDN w:val="0"/>
              <w:adjustRightInd w:val="0"/>
              <w:snapToGrid w:val="0"/>
              <w:jc w:val="center"/>
              <w:rPr>
                <w:rFonts w:ascii="宋体" w:hAnsi="宋体"/>
                <w:kern w:val="0"/>
                <w:sz w:val="24"/>
              </w:rPr>
            </w:pPr>
          </w:p>
        </w:tc>
        <w:tc>
          <w:tcPr>
            <w:tcW w:w="1141" w:type="dxa"/>
            <w:vAlign w:val="center"/>
          </w:tcPr>
          <w:p w14:paraId="2EA68A2D">
            <w:pPr>
              <w:autoSpaceDE w:val="0"/>
              <w:autoSpaceDN w:val="0"/>
              <w:adjustRightInd w:val="0"/>
              <w:snapToGrid w:val="0"/>
              <w:jc w:val="center"/>
              <w:rPr>
                <w:rFonts w:ascii="宋体" w:hAnsi="宋体"/>
                <w:kern w:val="0"/>
                <w:sz w:val="24"/>
              </w:rPr>
            </w:pPr>
          </w:p>
        </w:tc>
        <w:tc>
          <w:tcPr>
            <w:tcW w:w="749" w:type="dxa"/>
            <w:vAlign w:val="center"/>
          </w:tcPr>
          <w:p w14:paraId="50C98D88">
            <w:pPr>
              <w:autoSpaceDE w:val="0"/>
              <w:autoSpaceDN w:val="0"/>
              <w:adjustRightInd w:val="0"/>
              <w:snapToGrid w:val="0"/>
              <w:jc w:val="center"/>
              <w:rPr>
                <w:rFonts w:ascii="宋体" w:hAnsi="宋体"/>
                <w:kern w:val="0"/>
                <w:sz w:val="24"/>
              </w:rPr>
            </w:pPr>
          </w:p>
        </w:tc>
      </w:tr>
      <w:tr w14:paraId="53B71E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56342533">
            <w:pPr>
              <w:autoSpaceDE w:val="0"/>
              <w:autoSpaceDN w:val="0"/>
              <w:adjustRightInd w:val="0"/>
              <w:snapToGrid w:val="0"/>
              <w:jc w:val="center"/>
              <w:rPr>
                <w:rFonts w:ascii="宋体" w:hAnsi="宋体"/>
                <w:kern w:val="0"/>
                <w:sz w:val="24"/>
              </w:rPr>
            </w:pPr>
          </w:p>
        </w:tc>
        <w:tc>
          <w:tcPr>
            <w:tcW w:w="1176" w:type="dxa"/>
            <w:vAlign w:val="center"/>
          </w:tcPr>
          <w:p w14:paraId="50D06D9F">
            <w:pPr>
              <w:autoSpaceDE w:val="0"/>
              <w:autoSpaceDN w:val="0"/>
              <w:adjustRightInd w:val="0"/>
              <w:snapToGrid w:val="0"/>
              <w:jc w:val="center"/>
              <w:rPr>
                <w:rFonts w:ascii="宋体" w:hAnsi="宋体"/>
                <w:kern w:val="0"/>
                <w:sz w:val="24"/>
              </w:rPr>
            </w:pPr>
          </w:p>
        </w:tc>
        <w:tc>
          <w:tcPr>
            <w:tcW w:w="824" w:type="dxa"/>
            <w:vAlign w:val="center"/>
          </w:tcPr>
          <w:p w14:paraId="469B5F1B">
            <w:pPr>
              <w:autoSpaceDE w:val="0"/>
              <w:autoSpaceDN w:val="0"/>
              <w:adjustRightInd w:val="0"/>
              <w:snapToGrid w:val="0"/>
              <w:jc w:val="center"/>
              <w:rPr>
                <w:rFonts w:ascii="宋体" w:hAnsi="宋体"/>
                <w:kern w:val="0"/>
                <w:sz w:val="24"/>
              </w:rPr>
            </w:pPr>
          </w:p>
        </w:tc>
        <w:tc>
          <w:tcPr>
            <w:tcW w:w="1072" w:type="dxa"/>
            <w:vAlign w:val="center"/>
          </w:tcPr>
          <w:p w14:paraId="176C47F1">
            <w:pPr>
              <w:autoSpaceDE w:val="0"/>
              <w:autoSpaceDN w:val="0"/>
              <w:adjustRightInd w:val="0"/>
              <w:snapToGrid w:val="0"/>
              <w:jc w:val="center"/>
              <w:rPr>
                <w:rFonts w:ascii="宋体" w:hAnsi="宋体"/>
                <w:kern w:val="0"/>
                <w:sz w:val="24"/>
              </w:rPr>
            </w:pPr>
          </w:p>
        </w:tc>
        <w:tc>
          <w:tcPr>
            <w:tcW w:w="728" w:type="dxa"/>
            <w:vAlign w:val="center"/>
          </w:tcPr>
          <w:p w14:paraId="2EE2544A">
            <w:pPr>
              <w:autoSpaceDE w:val="0"/>
              <w:autoSpaceDN w:val="0"/>
              <w:adjustRightInd w:val="0"/>
              <w:snapToGrid w:val="0"/>
              <w:jc w:val="center"/>
              <w:rPr>
                <w:rFonts w:ascii="宋体" w:hAnsi="宋体"/>
                <w:kern w:val="0"/>
                <w:sz w:val="24"/>
              </w:rPr>
            </w:pPr>
          </w:p>
        </w:tc>
        <w:tc>
          <w:tcPr>
            <w:tcW w:w="799" w:type="dxa"/>
            <w:vAlign w:val="center"/>
          </w:tcPr>
          <w:p w14:paraId="2915C479">
            <w:pPr>
              <w:autoSpaceDE w:val="0"/>
              <w:autoSpaceDN w:val="0"/>
              <w:adjustRightInd w:val="0"/>
              <w:snapToGrid w:val="0"/>
              <w:jc w:val="center"/>
              <w:rPr>
                <w:rFonts w:ascii="宋体" w:hAnsi="宋体"/>
                <w:kern w:val="0"/>
                <w:sz w:val="24"/>
              </w:rPr>
            </w:pPr>
          </w:p>
        </w:tc>
        <w:tc>
          <w:tcPr>
            <w:tcW w:w="1312" w:type="dxa"/>
            <w:vAlign w:val="center"/>
          </w:tcPr>
          <w:p w14:paraId="3D087E80">
            <w:pPr>
              <w:autoSpaceDE w:val="0"/>
              <w:autoSpaceDN w:val="0"/>
              <w:adjustRightInd w:val="0"/>
              <w:snapToGrid w:val="0"/>
              <w:jc w:val="center"/>
              <w:rPr>
                <w:rFonts w:ascii="宋体" w:hAnsi="宋体"/>
                <w:kern w:val="0"/>
                <w:sz w:val="24"/>
              </w:rPr>
            </w:pPr>
          </w:p>
        </w:tc>
        <w:tc>
          <w:tcPr>
            <w:tcW w:w="947" w:type="dxa"/>
            <w:vAlign w:val="center"/>
          </w:tcPr>
          <w:p w14:paraId="2A64B82A">
            <w:pPr>
              <w:autoSpaceDE w:val="0"/>
              <w:autoSpaceDN w:val="0"/>
              <w:adjustRightInd w:val="0"/>
              <w:snapToGrid w:val="0"/>
              <w:jc w:val="center"/>
              <w:rPr>
                <w:rFonts w:ascii="宋体" w:hAnsi="宋体"/>
                <w:kern w:val="0"/>
                <w:sz w:val="24"/>
              </w:rPr>
            </w:pPr>
          </w:p>
        </w:tc>
        <w:tc>
          <w:tcPr>
            <w:tcW w:w="1141" w:type="dxa"/>
            <w:vAlign w:val="center"/>
          </w:tcPr>
          <w:p w14:paraId="2E05BCF8">
            <w:pPr>
              <w:autoSpaceDE w:val="0"/>
              <w:autoSpaceDN w:val="0"/>
              <w:adjustRightInd w:val="0"/>
              <w:snapToGrid w:val="0"/>
              <w:jc w:val="center"/>
              <w:rPr>
                <w:rFonts w:ascii="宋体" w:hAnsi="宋体"/>
                <w:kern w:val="0"/>
                <w:sz w:val="24"/>
              </w:rPr>
            </w:pPr>
          </w:p>
        </w:tc>
        <w:tc>
          <w:tcPr>
            <w:tcW w:w="749" w:type="dxa"/>
            <w:vAlign w:val="center"/>
          </w:tcPr>
          <w:p w14:paraId="1CF74D80">
            <w:pPr>
              <w:autoSpaceDE w:val="0"/>
              <w:autoSpaceDN w:val="0"/>
              <w:adjustRightInd w:val="0"/>
              <w:snapToGrid w:val="0"/>
              <w:jc w:val="center"/>
              <w:rPr>
                <w:rFonts w:ascii="宋体" w:hAnsi="宋体"/>
                <w:kern w:val="0"/>
                <w:sz w:val="24"/>
              </w:rPr>
            </w:pPr>
          </w:p>
        </w:tc>
      </w:tr>
      <w:tr w14:paraId="7B5DAA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642CFD69">
            <w:pPr>
              <w:autoSpaceDE w:val="0"/>
              <w:autoSpaceDN w:val="0"/>
              <w:adjustRightInd w:val="0"/>
              <w:snapToGrid w:val="0"/>
              <w:jc w:val="center"/>
              <w:rPr>
                <w:rFonts w:ascii="宋体" w:hAnsi="宋体"/>
                <w:kern w:val="0"/>
                <w:sz w:val="24"/>
              </w:rPr>
            </w:pPr>
          </w:p>
        </w:tc>
        <w:tc>
          <w:tcPr>
            <w:tcW w:w="1176" w:type="dxa"/>
            <w:vAlign w:val="center"/>
          </w:tcPr>
          <w:p w14:paraId="442E856A">
            <w:pPr>
              <w:autoSpaceDE w:val="0"/>
              <w:autoSpaceDN w:val="0"/>
              <w:adjustRightInd w:val="0"/>
              <w:snapToGrid w:val="0"/>
              <w:jc w:val="center"/>
              <w:rPr>
                <w:rFonts w:ascii="宋体" w:hAnsi="宋体"/>
                <w:kern w:val="0"/>
                <w:sz w:val="24"/>
              </w:rPr>
            </w:pPr>
          </w:p>
        </w:tc>
        <w:tc>
          <w:tcPr>
            <w:tcW w:w="824" w:type="dxa"/>
            <w:vAlign w:val="center"/>
          </w:tcPr>
          <w:p w14:paraId="6CC1E50F">
            <w:pPr>
              <w:autoSpaceDE w:val="0"/>
              <w:autoSpaceDN w:val="0"/>
              <w:adjustRightInd w:val="0"/>
              <w:snapToGrid w:val="0"/>
              <w:jc w:val="center"/>
              <w:rPr>
                <w:rFonts w:ascii="宋体" w:hAnsi="宋体"/>
                <w:kern w:val="0"/>
                <w:sz w:val="24"/>
              </w:rPr>
            </w:pPr>
          </w:p>
        </w:tc>
        <w:tc>
          <w:tcPr>
            <w:tcW w:w="1072" w:type="dxa"/>
            <w:vAlign w:val="center"/>
          </w:tcPr>
          <w:p w14:paraId="7F2CE72C">
            <w:pPr>
              <w:autoSpaceDE w:val="0"/>
              <w:autoSpaceDN w:val="0"/>
              <w:adjustRightInd w:val="0"/>
              <w:snapToGrid w:val="0"/>
              <w:jc w:val="center"/>
              <w:rPr>
                <w:rFonts w:ascii="宋体" w:hAnsi="宋体"/>
                <w:kern w:val="0"/>
                <w:sz w:val="24"/>
              </w:rPr>
            </w:pPr>
          </w:p>
        </w:tc>
        <w:tc>
          <w:tcPr>
            <w:tcW w:w="728" w:type="dxa"/>
            <w:vAlign w:val="center"/>
          </w:tcPr>
          <w:p w14:paraId="1125C937">
            <w:pPr>
              <w:autoSpaceDE w:val="0"/>
              <w:autoSpaceDN w:val="0"/>
              <w:adjustRightInd w:val="0"/>
              <w:snapToGrid w:val="0"/>
              <w:jc w:val="center"/>
              <w:rPr>
                <w:rFonts w:ascii="宋体" w:hAnsi="宋体"/>
                <w:kern w:val="0"/>
                <w:sz w:val="24"/>
              </w:rPr>
            </w:pPr>
          </w:p>
        </w:tc>
        <w:tc>
          <w:tcPr>
            <w:tcW w:w="799" w:type="dxa"/>
            <w:vAlign w:val="center"/>
          </w:tcPr>
          <w:p w14:paraId="3F65DA24">
            <w:pPr>
              <w:autoSpaceDE w:val="0"/>
              <w:autoSpaceDN w:val="0"/>
              <w:adjustRightInd w:val="0"/>
              <w:snapToGrid w:val="0"/>
              <w:jc w:val="center"/>
              <w:rPr>
                <w:rFonts w:ascii="宋体" w:hAnsi="宋体"/>
                <w:kern w:val="0"/>
                <w:sz w:val="24"/>
              </w:rPr>
            </w:pPr>
          </w:p>
        </w:tc>
        <w:tc>
          <w:tcPr>
            <w:tcW w:w="1312" w:type="dxa"/>
            <w:vAlign w:val="center"/>
          </w:tcPr>
          <w:p w14:paraId="5EA1CE46">
            <w:pPr>
              <w:autoSpaceDE w:val="0"/>
              <w:autoSpaceDN w:val="0"/>
              <w:adjustRightInd w:val="0"/>
              <w:snapToGrid w:val="0"/>
              <w:jc w:val="center"/>
              <w:rPr>
                <w:rFonts w:ascii="宋体" w:hAnsi="宋体"/>
                <w:kern w:val="0"/>
                <w:sz w:val="24"/>
              </w:rPr>
            </w:pPr>
          </w:p>
        </w:tc>
        <w:tc>
          <w:tcPr>
            <w:tcW w:w="947" w:type="dxa"/>
            <w:vAlign w:val="center"/>
          </w:tcPr>
          <w:p w14:paraId="4DA4CA69">
            <w:pPr>
              <w:autoSpaceDE w:val="0"/>
              <w:autoSpaceDN w:val="0"/>
              <w:adjustRightInd w:val="0"/>
              <w:snapToGrid w:val="0"/>
              <w:jc w:val="center"/>
              <w:rPr>
                <w:rFonts w:ascii="宋体" w:hAnsi="宋体"/>
                <w:kern w:val="0"/>
                <w:sz w:val="24"/>
              </w:rPr>
            </w:pPr>
          </w:p>
        </w:tc>
        <w:tc>
          <w:tcPr>
            <w:tcW w:w="1141" w:type="dxa"/>
            <w:vAlign w:val="center"/>
          </w:tcPr>
          <w:p w14:paraId="622C6888">
            <w:pPr>
              <w:autoSpaceDE w:val="0"/>
              <w:autoSpaceDN w:val="0"/>
              <w:adjustRightInd w:val="0"/>
              <w:snapToGrid w:val="0"/>
              <w:jc w:val="center"/>
              <w:rPr>
                <w:rFonts w:ascii="宋体" w:hAnsi="宋体"/>
                <w:kern w:val="0"/>
                <w:sz w:val="24"/>
              </w:rPr>
            </w:pPr>
          </w:p>
        </w:tc>
        <w:tc>
          <w:tcPr>
            <w:tcW w:w="749" w:type="dxa"/>
            <w:vAlign w:val="center"/>
          </w:tcPr>
          <w:p w14:paraId="2FE84173">
            <w:pPr>
              <w:autoSpaceDE w:val="0"/>
              <w:autoSpaceDN w:val="0"/>
              <w:adjustRightInd w:val="0"/>
              <w:snapToGrid w:val="0"/>
              <w:jc w:val="center"/>
              <w:rPr>
                <w:rFonts w:ascii="宋体" w:hAnsi="宋体"/>
                <w:kern w:val="0"/>
                <w:sz w:val="24"/>
              </w:rPr>
            </w:pPr>
          </w:p>
        </w:tc>
      </w:tr>
      <w:tr w14:paraId="015A39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70915602">
            <w:pPr>
              <w:autoSpaceDE w:val="0"/>
              <w:autoSpaceDN w:val="0"/>
              <w:adjustRightInd w:val="0"/>
              <w:snapToGrid w:val="0"/>
              <w:jc w:val="center"/>
              <w:rPr>
                <w:rFonts w:ascii="宋体" w:hAnsi="宋体"/>
                <w:kern w:val="0"/>
                <w:sz w:val="24"/>
              </w:rPr>
            </w:pPr>
          </w:p>
        </w:tc>
        <w:tc>
          <w:tcPr>
            <w:tcW w:w="1176" w:type="dxa"/>
            <w:vAlign w:val="center"/>
          </w:tcPr>
          <w:p w14:paraId="2F5088B2">
            <w:pPr>
              <w:autoSpaceDE w:val="0"/>
              <w:autoSpaceDN w:val="0"/>
              <w:adjustRightInd w:val="0"/>
              <w:snapToGrid w:val="0"/>
              <w:jc w:val="center"/>
              <w:rPr>
                <w:rFonts w:ascii="宋体" w:hAnsi="宋体"/>
                <w:kern w:val="0"/>
                <w:sz w:val="24"/>
              </w:rPr>
            </w:pPr>
          </w:p>
        </w:tc>
        <w:tc>
          <w:tcPr>
            <w:tcW w:w="824" w:type="dxa"/>
            <w:vAlign w:val="center"/>
          </w:tcPr>
          <w:p w14:paraId="4A438507">
            <w:pPr>
              <w:autoSpaceDE w:val="0"/>
              <w:autoSpaceDN w:val="0"/>
              <w:adjustRightInd w:val="0"/>
              <w:snapToGrid w:val="0"/>
              <w:jc w:val="center"/>
              <w:rPr>
                <w:rFonts w:ascii="宋体" w:hAnsi="宋体"/>
                <w:kern w:val="0"/>
                <w:sz w:val="24"/>
              </w:rPr>
            </w:pPr>
          </w:p>
        </w:tc>
        <w:tc>
          <w:tcPr>
            <w:tcW w:w="1072" w:type="dxa"/>
            <w:vAlign w:val="center"/>
          </w:tcPr>
          <w:p w14:paraId="6E3976DC">
            <w:pPr>
              <w:autoSpaceDE w:val="0"/>
              <w:autoSpaceDN w:val="0"/>
              <w:adjustRightInd w:val="0"/>
              <w:snapToGrid w:val="0"/>
              <w:jc w:val="center"/>
              <w:rPr>
                <w:rFonts w:ascii="宋体" w:hAnsi="宋体"/>
                <w:kern w:val="0"/>
                <w:sz w:val="24"/>
              </w:rPr>
            </w:pPr>
          </w:p>
        </w:tc>
        <w:tc>
          <w:tcPr>
            <w:tcW w:w="728" w:type="dxa"/>
            <w:vAlign w:val="center"/>
          </w:tcPr>
          <w:p w14:paraId="6DF8738F">
            <w:pPr>
              <w:autoSpaceDE w:val="0"/>
              <w:autoSpaceDN w:val="0"/>
              <w:adjustRightInd w:val="0"/>
              <w:snapToGrid w:val="0"/>
              <w:jc w:val="center"/>
              <w:rPr>
                <w:rFonts w:ascii="宋体" w:hAnsi="宋体"/>
                <w:kern w:val="0"/>
                <w:sz w:val="24"/>
              </w:rPr>
            </w:pPr>
          </w:p>
        </w:tc>
        <w:tc>
          <w:tcPr>
            <w:tcW w:w="799" w:type="dxa"/>
            <w:vAlign w:val="center"/>
          </w:tcPr>
          <w:p w14:paraId="11D420F8">
            <w:pPr>
              <w:autoSpaceDE w:val="0"/>
              <w:autoSpaceDN w:val="0"/>
              <w:adjustRightInd w:val="0"/>
              <w:snapToGrid w:val="0"/>
              <w:jc w:val="center"/>
              <w:rPr>
                <w:rFonts w:ascii="宋体" w:hAnsi="宋体"/>
                <w:kern w:val="0"/>
                <w:sz w:val="24"/>
              </w:rPr>
            </w:pPr>
          </w:p>
        </w:tc>
        <w:tc>
          <w:tcPr>
            <w:tcW w:w="1312" w:type="dxa"/>
            <w:vAlign w:val="center"/>
          </w:tcPr>
          <w:p w14:paraId="6CBD7D85">
            <w:pPr>
              <w:autoSpaceDE w:val="0"/>
              <w:autoSpaceDN w:val="0"/>
              <w:adjustRightInd w:val="0"/>
              <w:snapToGrid w:val="0"/>
              <w:jc w:val="center"/>
              <w:rPr>
                <w:rFonts w:ascii="宋体" w:hAnsi="宋体"/>
                <w:kern w:val="0"/>
                <w:sz w:val="24"/>
              </w:rPr>
            </w:pPr>
          </w:p>
        </w:tc>
        <w:tc>
          <w:tcPr>
            <w:tcW w:w="947" w:type="dxa"/>
            <w:vAlign w:val="center"/>
          </w:tcPr>
          <w:p w14:paraId="31A14933">
            <w:pPr>
              <w:autoSpaceDE w:val="0"/>
              <w:autoSpaceDN w:val="0"/>
              <w:adjustRightInd w:val="0"/>
              <w:snapToGrid w:val="0"/>
              <w:jc w:val="center"/>
              <w:rPr>
                <w:rFonts w:ascii="宋体" w:hAnsi="宋体"/>
                <w:kern w:val="0"/>
                <w:sz w:val="24"/>
              </w:rPr>
            </w:pPr>
          </w:p>
        </w:tc>
        <w:tc>
          <w:tcPr>
            <w:tcW w:w="1141" w:type="dxa"/>
            <w:vAlign w:val="center"/>
          </w:tcPr>
          <w:p w14:paraId="16796716">
            <w:pPr>
              <w:autoSpaceDE w:val="0"/>
              <w:autoSpaceDN w:val="0"/>
              <w:adjustRightInd w:val="0"/>
              <w:snapToGrid w:val="0"/>
              <w:jc w:val="center"/>
              <w:rPr>
                <w:rFonts w:ascii="宋体" w:hAnsi="宋体"/>
                <w:kern w:val="0"/>
                <w:sz w:val="24"/>
              </w:rPr>
            </w:pPr>
          </w:p>
        </w:tc>
        <w:tc>
          <w:tcPr>
            <w:tcW w:w="749" w:type="dxa"/>
            <w:vAlign w:val="center"/>
          </w:tcPr>
          <w:p w14:paraId="2C664974">
            <w:pPr>
              <w:autoSpaceDE w:val="0"/>
              <w:autoSpaceDN w:val="0"/>
              <w:adjustRightInd w:val="0"/>
              <w:snapToGrid w:val="0"/>
              <w:jc w:val="center"/>
              <w:rPr>
                <w:rFonts w:ascii="宋体" w:hAnsi="宋体"/>
                <w:kern w:val="0"/>
                <w:sz w:val="24"/>
              </w:rPr>
            </w:pPr>
          </w:p>
        </w:tc>
      </w:tr>
      <w:tr w14:paraId="183602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5C9EC75B">
            <w:pPr>
              <w:autoSpaceDE w:val="0"/>
              <w:autoSpaceDN w:val="0"/>
              <w:adjustRightInd w:val="0"/>
              <w:snapToGrid w:val="0"/>
              <w:jc w:val="center"/>
              <w:rPr>
                <w:rFonts w:ascii="宋体" w:hAnsi="宋体"/>
                <w:kern w:val="0"/>
                <w:sz w:val="24"/>
              </w:rPr>
            </w:pPr>
          </w:p>
        </w:tc>
        <w:tc>
          <w:tcPr>
            <w:tcW w:w="1176" w:type="dxa"/>
            <w:vAlign w:val="center"/>
          </w:tcPr>
          <w:p w14:paraId="7A088808">
            <w:pPr>
              <w:autoSpaceDE w:val="0"/>
              <w:autoSpaceDN w:val="0"/>
              <w:adjustRightInd w:val="0"/>
              <w:snapToGrid w:val="0"/>
              <w:jc w:val="center"/>
              <w:rPr>
                <w:rFonts w:ascii="宋体" w:hAnsi="宋体"/>
                <w:kern w:val="0"/>
                <w:sz w:val="24"/>
              </w:rPr>
            </w:pPr>
          </w:p>
        </w:tc>
        <w:tc>
          <w:tcPr>
            <w:tcW w:w="824" w:type="dxa"/>
            <w:vAlign w:val="center"/>
          </w:tcPr>
          <w:p w14:paraId="302DE09B">
            <w:pPr>
              <w:autoSpaceDE w:val="0"/>
              <w:autoSpaceDN w:val="0"/>
              <w:adjustRightInd w:val="0"/>
              <w:snapToGrid w:val="0"/>
              <w:jc w:val="center"/>
              <w:rPr>
                <w:rFonts w:ascii="宋体" w:hAnsi="宋体"/>
                <w:kern w:val="0"/>
                <w:sz w:val="24"/>
              </w:rPr>
            </w:pPr>
          </w:p>
        </w:tc>
        <w:tc>
          <w:tcPr>
            <w:tcW w:w="1072" w:type="dxa"/>
            <w:vAlign w:val="center"/>
          </w:tcPr>
          <w:p w14:paraId="4C207FB0">
            <w:pPr>
              <w:autoSpaceDE w:val="0"/>
              <w:autoSpaceDN w:val="0"/>
              <w:adjustRightInd w:val="0"/>
              <w:snapToGrid w:val="0"/>
              <w:jc w:val="center"/>
              <w:rPr>
                <w:rFonts w:ascii="宋体" w:hAnsi="宋体"/>
                <w:kern w:val="0"/>
                <w:sz w:val="24"/>
              </w:rPr>
            </w:pPr>
          </w:p>
        </w:tc>
        <w:tc>
          <w:tcPr>
            <w:tcW w:w="728" w:type="dxa"/>
            <w:vAlign w:val="center"/>
          </w:tcPr>
          <w:p w14:paraId="1E424A47">
            <w:pPr>
              <w:autoSpaceDE w:val="0"/>
              <w:autoSpaceDN w:val="0"/>
              <w:adjustRightInd w:val="0"/>
              <w:snapToGrid w:val="0"/>
              <w:jc w:val="center"/>
              <w:rPr>
                <w:rFonts w:ascii="宋体" w:hAnsi="宋体"/>
                <w:kern w:val="0"/>
                <w:sz w:val="24"/>
              </w:rPr>
            </w:pPr>
          </w:p>
        </w:tc>
        <w:tc>
          <w:tcPr>
            <w:tcW w:w="799" w:type="dxa"/>
            <w:vAlign w:val="center"/>
          </w:tcPr>
          <w:p w14:paraId="2FAC4A50">
            <w:pPr>
              <w:autoSpaceDE w:val="0"/>
              <w:autoSpaceDN w:val="0"/>
              <w:adjustRightInd w:val="0"/>
              <w:snapToGrid w:val="0"/>
              <w:jc w:val="center"/>
              <w:rPr>
                <w:rFonts w:ascii="宋体" w:hAnsi="宋体"/>
                <w:kern w:val="0"/>
                <w:sz w:val="24"/>
              </w:rPr>
            </w:pPr>
          </w:p>
        </w:tc>
        <w:tc>
          <w:tcPr>
            <w:tcW w:w="1312" w:type="dxa"/>
            <w:vAlign w:val="center"/>
          </w:tcPr>
          <w:p w14:paraId="4096C9BF">
            <w:pPr>
              <w:autoSpaceDE w:val="0"/>
              <w:autoSpaceDN w:val="0"/>
              <w:adjustRightInd w:val="0"/>
              <w:snapToGrid w:val="0"/>
              <w:jc w:val="center"/>
              <w:rPr>
                <w:rFonts w:ascii="宋体" w:hAnsi="宋体"/>
                <w:kern w:val="0"/>
                <w:sz w:val="24"/>
              </w:rPr>
            </w:pPr>
          </w:p>
        </w:tc>
        <w:tc>
          <w:tcPr>
            <w:tcW w:w="947" w:type="dxa"/>
            <w:vAlign w:val="center"/>
          </w:tcPr>
          <w:p w14:paraId="4AB26920">
            <w:pPr>
              <w:autoSpaceDE w:val="0"/>
              <w:autoSpaceDN w:val="0"/>
              <w:adjustRightInd w:val="0"/>
              <w:snapToGrid w:val="0"/>
              <w:jc w:val="center"/>
              <w:rPr>
                <w:rFonts w:ascii="宋体" w:hAnsi="宋体"/>
                <w:kern w:val="0"/>
                <w:sz w:val="24"/>
              </w:rPr>
            </w:pPr>
          </w:p>
        </w:tc>
        <w:tc>
          <w:tcPr>
            <w:tcW w:w="1141" w:type="dxa"/>
            <w:vAlign w:val="center"/>
          </w:tcPr>
          <w:p w14:paraId="7F96BA3D">
            <w:pPr>
              <w:autoSpaceDE w:val="0"/>
              <w:autoSpaceDN w:val="0"/>
              <w:adjustRightInd w:val="0"/>
              <w:snapToGrid w:val="0"/>
              <w:jc w:val="center"/>
              <w:rPr>
                <w:rFonts w:ascii="宋体" w:hAnsi="宋体"/>
                <w:kern w:val="0"/>
                <w:sz w:val="24"/>
              </w:rPr>
            </w:pPr>
          </w:p>
        </w:tc>
        <w:tc>
          <w:tcPr>
            <w:tcW w:w="749" w:type="dxa"/>
            <w:vAlign w:val="center"/>
          </w:tcPr>
          <w:p w14:paraId="0A8888C8">
            <w:pPr>
              <w:autoSpaceDE w:val="0"/>
              <w:autoSpaceDN w:val="0"/>
              <w:adjustRightInd w:val="0"/>
              <w:snapToGrid w:val="0"/>
              <w:jc w:val="center"/>
              <w:rPr>
                <w:rFonts w:ascii="宋体" w:hAnsi="宋体"/>
                <w:kern w:val="0"/>
                <w:sz w:val="24"/>
              </w:rPr>
            </w:pPr>
          </w:p>
        </w:tc>
      </w:tr>
      <w:tr w14:paraId="26F5927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1CA028DE">
            <w:pPr>
              <w:autoSpaceDE w:val="0"/>
              <w:autoSpaceDN w:val="0"/>
              <w:adjustRightInd w:val="0"/>
              <w:snapToGrid w:val="0"/>
              <w:jc w:val="center"/>
              <w:rPr>
                <w:rFonts w:ascii="宋体" w:hAnsi="宋体"/>
                <w:kern w:val="0"/>
                <w:sz w:val="24"/>
              </w:rPr>
            </w:pPr>
          </w:p>
        </w:tc>
        <w:tc>
          <w:tcPr>
            <w:tcW w:w="1176" w:type="dxa"/>
            <w:vAlign w:val="center"/>
          </w:tcPr>
          <w:p w14:paraId="5882EF67">
            <w:pPr>
              <w:autoSpaceDE w:val="0"/>
              <w:autoSpaceDN w:val="0"/>
              <w:adjustRightInd w:val="0"/>
              <w:snapToGrid w:val="0"/>
              <w:jc w:val="center"/>
              <w:rPr>
                <w:rFonts w:ascii="宋体" w:hAnsi="宋体"/>
                <w:kern w:val="0"/>
                <w:sz w:val="24"/>
              </w:rPr>
            </w:pPr>
          </w:p>
        </w:tc>
        <w:tc>
          <w:tcPr>
            <w:tcW w:w="824" w:type="dxa"/>
            <w:vAlign w:val="center"/>
          </w:tcPr>
          <w:p w14:paraId="69394BE3">
            <w:pPr>
              <w:autoSpaceDE w:val="0"/>
              <w:autoSpaceDN w:val="0"/>
              <w:adjustRightInd w:val="0"/>
              <w:snapToGrid w:val="0"/>
              <w:jc w:val="center"/>
              <w:rPr>
                <w:rFonts w:ascii="宋体" w:hAnsi="宋体"/>
                <w:kern w:val="0"/>
                <w:sz w:val="24"/>
              </w:rPr>
            </w:pPr>
          </w:p>
        </w:tc>
        <w:tc>
          <w:tcPr>
            <w:tcW w:w="1072" w:type="dxa"/>
            <w:vAlign w:val="center"/>
          </w:tcPr>
          <w:p w14:paraId="30D25D3F">
            <w:pPr>
              <w:autoSpaceDE w:val="0"/>
              <w:autoSpaceDN w:val="0"/>
              <w:adjustRightInd w:val="0"/>
              <w:snapToGrid w:val="0"/>
              <w:jc w:val="center"/>
              <w:rPr>
                <w:rFonts w:ascii="宋体" w:hAnsi="宋体"/>
                <w:kern w:val="0"/>
                <w:sz w:val="24"/>
              </w:rPr>
            </w:pPr>
          </w:p>
        </w:tc>
        <w:tc>
          <w:tcPr>
            <w:tcW w:w="728" w:type="dxa"/>
            <w:vAlign w:val="center"/>
          </w:tcPr>
          <w:p w14:paraId="41DA08C1">
            <w:pPr>
              <w:autoSpaceDE w:val="0"/>
              <w:autoSpaceDN w:val="0"/>
              <w:adjustRightInd w:val="0"/>
              <w:snapToGrid w:val="0"/>
              <w:jc w:val="center"/>
              <w:rPr>
                <w:rFonts w:ascii="宋体" w:hAnsi="宋体"/>
                <w:kern w:val="0"/>
                <w:sz w:val="24"/>
              </w:rPr>
            </w:pPr>
          </w:p>
        </w:tc>
        <w:tc>
          <w:tcPr>
            <w:tcW w:w="799" w:type="dxa"/>
            <w:vAlign w:val="center"/>
          </w:tcPr>
          <w:p w14:paraId="5E1B651F">
            <w:pPr>
              <w:autoSpaceDE w:val="0"/>
              <w:autoSpaceDN w:val="0"/>
              <w:adjustRightInd w:val="0"/>
              <w:snapToGrid w:val="0"/>
              <w:jc w:val="center"/>
              <w:rPr>
                <w:rFonts w:ascii="宋体" w:hAnsi="宋体"/>
                <w:kern w:val="0"/>
                <w:sz w:val="24"/>
              </w:rPr>
            </w:pPr>
          </w:p>
        </w:tc>
        <w:tc>
          <w:tcPr>
            <w:tcW w:w="1312" w:type="dxa"/>
            <w:vAlign w:val="center"/>
          </w:tcPr>
          <w:p w14:paraId="79DF8832">
            <w:pPr>
              <w:autoSpaceDE w:val="0"/>
              <w:autoSpaceDN w:val="0"/>
              <w:adjustRightInd w:val="0"/>
              <w:snapToGrid w:val="0"/>
              <w:jc w:val="center"/>
              <w:rPr>
                <w:rFonts w:ascii="宋体" w:hAnsi="宋体"/>
                <w:kern w:val="0"/>
                <w:sz w:val="24"/>
              </w:rPr>
            </w:pPr>
          </w:p>
        </w:tc>
        <w:tc>
          <w:tcPr>
            <w:tcW w:w="947" w:type="dxa"/>
            <w:vAlign w:val="center"/>
          </w:tcPr>
          <w:p w14:paraId="440A1C7E">
            <w:pPr>
              <w:autoSpaceDE w:val="0"/>
              <w:autoSpaceDN w:val="0"/>
              <w:adjustRightInd w:val="0"/>
              <w:snapToGrid w:val="0"/>
              <w:jc w:val="center"/>
              <w:rPr>
                <w:rFonts w:ascii="宋体" w:hAnsi="宋体"/>
                <w:kern w:val="0"/>
                <w:sz w:val="24"/>
              </w:rPr>
            </w:pPr>
          </w:p>
        </w:tc>
        <w:tc>
          <w:tcPr>
            <w:tcW w:w="1141" w:type="dxa"/>
            <w:vAlign w:val="center"/>
          </w:tcPr>
          <w:p w14:paraId="67D7E300">
            <w:pPr>
              <w:autoSpaceDE w:val="0"/>
              <w:autoSpaceDN w:val="0"/>
              <w:adjustRightInd w:val="0"/>
              <w:snapToGrid w:val="0"/>
              <w:jc w:val="center"/>
              <w:rPr>
                <w:rFonts w:ascii="宋体" w:hAnsi="宋体"/>
                <w:kern w:val="0"/>
                <w:sz w:val="24"/>
              </w:rPr>
            </w:pPr>
          </w:p>
        </w:tc>
        <w:tc>
          <w:tcPr>
            <w:tcW w:w="749" w:type="dxa"/>
            <w:vAlign w:val="center"/>
          </w:tcPr>
          <w:p w14:paraId="078BF0A7">
            <w:pPr>
              <w:autoSpaceDE w:val="0"/>
              <w:autoSpaceDN w:val="0"/>
              <w:adjustRightInd w:val="0"/>
              <w:snapToGrid w:val="0"/>
              <w:jc w:val="center"/>
              <w:rPr>
                <w:rFonts w:ascii="宋体" w:hAnsi="宋体"/>
                <w:kern w:val="0"/>
                <w:sz w:val="24"/>
              </w:rPr>
            </w:pPr>
          </w:p>
        </w:tc>
      </w:tr>
    </w:tbl>
    <w:p w14:paraId="14D41D76">
      <w:pPr>
        <w:autoSpaceDE w:val="0"/>
        <w:autoSpaceDN w:val="0"/>
        <w:adjustRightInd w:val="0"/>
        <w:snapToGrid w:val="0"/>
        <w:spacing w:line="20" w:lineRule="exact"/>
        <w:jc w:val="left"/>
        <w:rPr>
          <w:rFonts w:ascii="宋体" w:hAnsi="宋体"/>
          <w:kern w:val="0"/>
        </w:rPr>
      </w:pPr>
    </w:p>
    <w:p w14:paraId="76CB27AA">
      <w:pPr>
        <w:jc w:val="center"/>
        <w:rPr>
          <w:rFonts w:ascii="宋体" w:hAnsi="宋体"/>
          <w:kern w:val="0"/>
          <w:sz w:val="20"/>
          <w:szCs w:val="20"/>
        </w:rPr>
      </w:pPr>
      <w:bookmarkStart w:id="1544" w:name="_Toc277082651"/>
      <w:bookmarkStart w:id="1545" w:name="_Toc224103505"/>
      <w:bookmarkStart w:id="1546" w:name="_Toc430530540"/>
      <w:bookmarkStart w:id="1547" w:name="_Toc287620824"/>
      <w:bookmarkStart w:id="1548" w:name="_Toc287607877"/>
      <w:r>
        <w:rPr>
          <w:rFonts w:ascii="宋体" w:hAnsi="宋体"/>
          <w:sz w:val="28"/>
        </w:rPr>
        <w:br w:type="page"/>
      </w:r>
      <w:bookmarkStart w:id="1549" w:name="_Toc534185835"/>
      <w:bookmarkStart w:id="1550" w:name="_Toc509218858"/>
      <w:r>
        <w:rPr>
          <w:sz w:val="32"/>
          <w:szCs w:val="32"/>
        </w:rPr>
        <w:t>附表二：拟配备本标段的试验和检测仪器设备表</w:t>
      </w:r>
      <w:bookmarkEnd w:id="1544"/>
      <w:bookmarkEnd w:id="1545"/>
      <w:bookmarkEnd w:id="1546"/>
      <w:bookmarkEnd w:id="1547"/>
      <w:bookmarkEnd w:id="1548"/>
      <w:bookmarkEnd w:id="1549"/>
      <w:bookmarkEnd w:id="1550"/>
    </w:p>
    <w:tbl>
      <w:tblPr>
        <w:tblStyle w:val="45"/>
        <w:tblW w:w="9494"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47"/>
        <w:gridCol w:w="1219"/>
        <w:gridCol w:w="852"/>
        <w:gridCol w:w="1111"/>
        <w:gridCol w:w="754"/>
        <w:gridCol w:w="827"/>
        <w:gridCol w:w="1359"/>
        <w:gridCol w:w="1855"/>
        <w:gridCol w:w="770"/>
      </w:tblGrid>
      <w:tr w14:paraId="411A69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14" w:hRule="exact"/>
        </w:trPr>
        <w:tc>
          <w:tcPr>
            <w:tcW w:w="747" w:type="dxa"/>
            <w:vAlign w:val="center"/>
          </w:tcPr>
          <w:p w14:paraId="495519D4">
            <w:pPr>
              <w:autoSpaceDE w:val="0"/>
              <w:autoSpaceDN w:val="0"/>
              <w:adjustRightInd w:val="0"/>
              <w:snapToGrid w:val="0"/>
              <w:jc w:val="center"/>
              <w:rPr>
                <w:rFonts w:ascii="宋体" w:hAnsi="宋体"/>
                <w:kern w:val="0"/>
                <w:sz w:val="24"/>
              </w:rPr>
            </w:pPr>
            <w:r>
              <w:rPr>
                <w:rFonts w:ascii="宋体" w:hAnsi="宋体"/>
                <w:kern w:val="0"/>
                <w:szCs w:val="21"/>
              </w:rPr>
              <w:t>序号</w:t>
            </w:r>
          </w:p>
        </w:tc>
        <w:tc>
          <w:tcPr>
            <w:tcW w:w="1219" w:type="dxa"/>
            <w:vAlign w:val="center"/>
          </w:tcPr>
          <w:p w14:paraId="346B853F">
            <w:pPr>
              <w:autoSpaceDE w:val="0"/>
              <w:autoSpaceDN w:val="0"/>
              <w:adjustRightInd w:val="0"/>
              <w:snapToGrid w:val="0"/>
              <w:jc w:val="center"/>
              <w:rPr>
                <w:rFonts w:ascii="宋体" w:hAnsi="宋体"/>
                <w:kern w:val="0"/>
                <w:szCs w:val="21"/>
              </w:rPr>
            </w:pPr>
            <w:r>
              <w:rPr>
                <w:rFonts w:ascii="宋体" w:hAnsi="宋体"/>
                <w:kern w:val="0"/>
                <w:szCs w:val="21"/>
              </w:rPr>
              <w:t>仪器设备</w:t>
            </w:r>
          </w:p>
          <w:p w14:paraId="084A8133">
            <w:pPr>
              <w:autoSpaceDE w:val="0"/>
              <w:autoSpaceDN w:val="0"/>
              <w:adjustRightInd w:val="0"/>
              <w:snapToGrid w:val="0"/>
              <w:jc w:val="center"/>
              <w:rPr>
                <w:rFonts w:ascii="宋体" w:hAnsi="宋体"/>
                <w:kern w:val="0"/>
                <w:sz w:val="24"/>
              </w:rPr>
            </w:pPr>
            <w:r>
              <w:rPr>
                <w:rFonts w:ascii="宋体" w:hAnsi="宋体"/>
                <w:kern w:val="0"/>
                <w:szCs w:val="21"/>
              </w:rPr>
              <w:t>名　　称</w:t>
            </w:r>
          </w:p>
        </w:tc>
        <w:tc>
          <w:tcPr>
            <w:tcW w:w="852" w:type="dxa"/>
            <w:vAlign w:val="center"/>
          </w:tcPr>
          <w:p w14:paraId="0F6A3EB4">
            <w:pPr>
              <w:autoSpaceDE w:val="0"/>
              <w:autoSpaceDN w:val="0"/>
              <w:adjustRightInd w:val="0"/>
              <w:snapToGrid w:val="0"/>
              <w:jc w:val="center"/>
              <w:rPr>
                <w:rFonts w:ascii="宋体" w:hAnsi="宋体"/>
                <w:kern w:val="0"/>
                <w:szCs w:val="21"/>
              </w:rPr>
            </w:pPr>
            <w:r>
              <w:rPr>
                <w:rFonts w:ascii="宋体" w:hAnsi="宋体"/>
                <w:kern w:val="0"/>
                <w:szCs w:val="21"/>
              </w:rPr>
              <w:t>型号</w:t>
            </w:r>
          </w:p>
          <w:p w14:paraId="7ED5C49E">
            <w:pPr>
              <w:autoSpaceDE w:val="0"/>
              <w:autoSpaceDN w:val="0"/>
              <w:adjustRightInd w:val="0"/>
              <w:snapToGrid w:val="0"/>
              <w:jc w:val="center"/>
              <w:rPr>
                <w:rFonts w:ascii="宋体" w:hAnsi="宋体"/>
                <w:kern w:val="0"/>
                <w:sz w:val="24"/>
              </w:rPr>
            </w:pPr>
            <w:r>
              <w:rPr>
                <w:rFonts w:ascii="宋体" w:hAnsi="宋体"/>
                <w:kern w:val="0"/>
                <w:szCs w:val="21"/>
              </w:rPr>
              <w:t>规格</w:t>
            </w:r>
          </w:p>
        </w:tc>
        <w:tc>
          <w:tcPr>
            <w:tcW w:w="1111" w:type="dxa"/>
            <w:vAlign w:val="center"/>
          </w:tcPr>
          <w:p w14:paraId="43FD008A">
            <w:pPr>
              <w:autoSpaceDE w:val="0"/>
              <w:autoSpaceDN w:val="0"/>
              <w:adjustRightInd w:val="0"/>
              <w:snapToGrid w:val="0"/>
              <w:jc w:val="center"/>
              <w:rPr>
                <w:rFonts w:ascii="宋体" w:hAnsi="宋体"/>
                <w:kern w:val="0"/>
                <w:sz w:val="24"/>
              </w:rPr>
            </w:pPr>
            <w:r>
              <w:rPr>
                <w:rFonts w:ascii="宋体" w:hAnsi="宋体"/>
                <w:kern w:val="0"/>
                <w:szCs w:val="21"/>
              </w:rPr>
              <w:t>数量</w:t>
            </w:r>
          </w:p>
        </w:tc>
        <w:tc>
          <w:tcPr>
            <w:tcW w:w="754" w:type="dxa"/>
            <w:vAlign w:val="center"/>
          </w:tcPr>
          <w:p w14:paraId="2DB61EAC">
            <w:pPr>
              <w:autoSpaceDE w:val="0"/>
              <w:autoSpaceDN w:val="0"/>
              <w:adjustRightInd w:val="0"/>
              <w:snapToGrid w:val="0"/>
              <w:jc w:val="center"/>
              <w:rPr>
                <w:rFonts w:ascii="宋体" w:hAnsi="宋体"/>
                <w:kern w:val="0"/>
                <w:szCs w:val="21"/>
              </w:rPr>
            </w:pPr>
            <w:r>
              <w:rPr>
                <w:rFonts w:ascii="宋体" w:hAnsi="宋体"/>
                <w:kern w:val="0"/>
                <w:szCs w:val="21"/>
              </w:rPr>
              <w:t>国别</w:t>
            </w:r>
          </w:p>
          <w:p w14:paraId="3644A220">
            <w:pPr>
              <w:autoSpaceDE w:val="0"/>
              <w:autoSpaceDN w:val="0"/>
              <w:adjustRightInd w:val="0"/>
              <w:snapToGrid w:val="0"/>
              <w:jc w:val="center"/>
              <w:rPr>
                <w:rFonts w:ascii="宋体" w:hAnsi="宋体"/>
                <w:kern w:val="0"/>
                <w:sz w:val="24"/>
              </w:rPr>
            </w:pPr>
            <w:r>
              <w:rPr>
                <w:rFonts w:ascii="宋体" w:hAnsi="宋体"/>
                <w:kern w:val="0"/>
                <w:szCs w:val="21"/>
              </w:rPr>
              <w:t>产地</w:t>
            </w:r>
          </w:p>
        </w:tc>
        <w:tc>
          <w:tcPr>
            <w:tcW w:w="827" w:type="dxa"/>
            <w:vAlign w:val="center"/>
          </w:tcPr>
          <w:p w14:paraId="72ED1B4E">
            <w:pPr>
              <w:autoSpaceDE w:val="0"/>
              <w:autoSpaceDN w:val="0"/>
              <w:adjustRightInd w:val="0"/>
              <w:snapToGrid w:val="0"/>
              <w:jc w:val="center"/>
              <w:rPr>
                <w:rFonts w:ascii="宋体" w:hAnsi="宋体"/>
                <w:kern w:val="0"/>
                <w:szCs w:val="21"/>
              </w:rPr>
            </w:pPr>
            <w:r>
              <w:rPr>
                <w:rFonts w:ascii="宋体" w:hAnsi="宋体"/>
                <w:kern w:val="0"/>
                <w:szCs w:val="21"/>
              </w:rPr>
              <w:t>制造</w:t>
            </w:r>
          </w:p>
          <w:p w14:paraId="7BBB9BE9">
            <w:pPr>
              <w:autoSpaceDE w:val="0"/>
              <w:autoSpaceDN w:val="0"/>
              <w:adjustRightInd w:val="0"/>
              <w:snapToGrid w:val="0"/>
              <w:jc w:val="center"/>
              <w:rPr>
                <w:rFonts w:ascii="宋体" w:hAnsi="宋体"/>
                <w:kern w:val="0"/>
                <w:sz w:val="24"/>
              </w:rPr>
            </w:pPr>
            <w:r>
              <w:rPr>
                <w:rFonts w:ascii="宋体" w:hAnsi="宋体"/>
                <w:kern w:val="0"/>
                <w:szCs w:val="21"/>
              </w:rPr>
              <w:t>年份</w:t>
            </w:r>
          </w:p>
        </w:tc>
        <w:tc>
          <w:tcPr>
            <w:tcW w:w="1359" w:type="dxa"/>
            <w:vAlign w:val="center"/>
          </w:tcPr>
          <w:p w14:paraId="7C24A349">
            <w:pPr>
              <w:autoSpaceDE w:val="0"/>
              <w:autoSpaceDN w:val="0"/>
              <w:adjustRightInd w:val="0"/>
              <w:snapToGrid w:val="0"/>
              <w:jc w:val="center"/>
              <w:rPr>
                <w:rFonts w:ascii="宋体" w:hAnsi="宋体"/>
                <w:kern w:val="0"/>
                <w:szCs w:val="21"/>
              </w:rPr>
            </w:pPr>
            <w:r>
              <w:rPr>
                <w:rFonts w:ascii="宋体" w:hAnsi="宋体"/>
                <w:kern w:val="0"/>
                <w:szCs w:val="21"/>
              </w:rPr>
              <w:t>已使用</w:t>
            </w:r>
          </w:p>
          <w:p w14:paraId="642D5307">
            <w:pPr>
              <w:autoSpaceDE w:val="0"/>
              <w:autoSpaceDN w:val="0"/>
              <w:adjustRightInd w:val="0"/>
              <w:snapToGrid w:val="0"/>
              <w:jc w:val="center"/>
              <w:rPr>
                <w:rFonts w:ascii="宋体" w:hAnsi="宋体"/>
                <w:kern w:val="0"/>
                <w:szCs w:val="21"/>
              </w:rPr>
            </w:pPr>
            <w:r>
              <w:rPr>
                <w:rFonts w:ascii="宋体" w:hAnsi="宋体"/>
                <w:kern w:val="0"/>
                <w:szCs w:val="21"/>
              </w:rPr>
              <w:t>台时数</w:t>
            </w:r>
          </w:p>
        </w:tc>
        <w:tc>
          <w:tcPr>
            <w:tcW w:w="1855" w:type="dxa"/>
            <w:vAlign w:val="center"/>
          </w:tcPr>
          <w:p w14:paraId="27958322">
            <w:pPr>
              <w:autoSpaceDE w:val="0"/>
              <w:autoSpaceDN w:val="0"/>
              <w:adjustRightInd w:val="0"/>
              <w:snapToGrid w:val="0"/>
              <w:jc w:val="center"/>
              <w:rPr>
                <w:rFonts w:ascii="宋体" w:hAnsi="宋体"/>
                <w:kern w:val="0"/>
                <w:szCs w:val="21"/>
              </w:rPr>
            </w:pPr>
            <w:r>
              <w:rPr>
                <w:rFonts w:ascii="宋体" w:hAnsi="宋体"/>
                <w:kern w:val="0"/>
                <w:szCs w:val="21"/>
              </w:rPr>
              <w:t>用途</w:t>
            </w:r>
          </w:p>
        </w:tc>
        <w:tc>
          <w:tcPr>
            <w:tcW w:w="770" w:type="dxa"/>
            <w:vAlign w:val="center"/>
          </w:tcPr>
          <w:p w14:paraId="14ADAFE1">
            <w:pPr>
              <w:autoSpaceDE w:val="0"/>
              <w:autoSpaceDN w:val="0"/>
              <w:adjustRightInd w:val="0"/>
              <w:snapToGrid w:val="0"/>
              <w:jc w:val="center"/>
              <w:rPr>
                <w:rFonts w:ascii="宋体" w:hAnsi="宋体"/>
                <w:kern w:val="0"/>
                <w:sz w:val="24"/>
              </w:rPr>
            </w:pPr>
            <w:r>
              <w:rPr>
                <w:rFonts w:ascii="宋体" w:hAnsi="宋体"/>
                <w:kern w:val="0"/>
                <w:szCs w:val="21"/>
              </w:rPr>
              <w:t>备注</w:t>
            </w:r>
          </w:p>
        </w:tc>
      </w:tr>
      <w:tr w14:paraId="500AE7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60F8CA78">
            <w:pPr>
              <w:autoSpaceDE w:val="0"/>
              <w:autoSpaceDN w:val="0"/>
              <w:adjustRightInd w:val="0"/>
              <w:snapToGrid w:val="0"/>
              <w:jc w:val="left"/>
              <w:rPr>
                <w:rFonts w:ascii="宋体" w:hAnsi="宋体"/>
                <w:kern w:val="0"/>
                <w:sz w:val="24"/>
              </w:rPr>
            </w:pPr>
          </w:p>
        </w:tc>
        <w:tc>
          <w:tcPr>
            <w:tcW w:w="1219" w:type="dxa"/>
          </w:tcPr>
          <w:p w14:paraId="00314820">
            <w:pPr>
              <w:autoSpaceDE w:val="0"/>
              <w:autoSpaceDN w:val="0"/>
              <w:adjustRightInd w:val="0"/>
              <w:snapToGrid w:val="0"/>
              <w:jc w:val="left"/>
              <w:rPr>
                <w:rFonts w:ascii="宋体" w:hAnsi="宋体"/>
                <w:kern w:val="0"/>
                <w:sz w:val="24"/>
              </w:rPr>
            </w:pPr>
          </w:p>
        </w:tc>
        <w:tc>
          <w:tcPr>
            <w:tcW w:w="852" w:type="dxa"/>
          </w:tcPr>
          <w:p w14:paraId="7801C019">
            <w:pPr>
              <w:autoSpaceDE w:val="0"/>
              <w:autoSpaceDN w:val="0"/>
              <w:adjustRightInd w:val="0"/>
              <w:snapToGrid w:val="0"/>
              <w:jc w:val="left"/>
              <w:rPr>
                <w:rFonts w:ascii="宋体" w:hAnsi="宋体"/>
                <w:kern w:val="0"/>
                <w:sz w:val="24"/>
              </w:rPr>
            </w:pPr>
          </w:p>
        </w:tc>
        <w:tc>
          <w:tcPr>
            <w:tcW w:w="1111" w:type="dxa"/>
          </w:tcPr>
          <w:p w14:paraId="239ED5EB">
            <w:pPr>
              <w:autoSpaceDE w:val="0"/>
              <w:autoSpaceDN w:val="0"/>
              <w:adjustRightInd w:val="0"/>
              <w:snapToGrid w:val="0"/>
              <w:jc w:val="left"/>
              <w:rPr>
                <w:rFonts w:ascii="宋体" w:hAnsi="宋体"/>
                <w:kern w:val="0"/>
                <w:sz w:val="24"/>
              </w:rPr>
            </w:pPr>
          </w:p>
        </w:tc>
        <w:tc>
          <w:tcPr>
            <w:tcW w:w="754" w:type="dxa"/>
          </w:tcPr>
          <w:p w14:paraId="30E9ADE3">
            <w:pPr>
              <w:autoSpaceDE w:val="0"/>
              <w:autoSpaceDN w:val="0"/>
              <w:adjustRightInd w:val="0"/>
              <w:snapToGrid w:val="0"/>
              <w:jc w:val="left"/>
              <w:rPr>
                <w:rFonts w:ascii="宋体" w:hAnsi="宋体"/>
                <w:kern w:val="0"/>
                <w:sz w:val="24"/>
              </w:rPr>
            </w:pPr>
          </w:p>
        </w:tc>
        <w:tc>
          <w:tcPr>
            <w:tcW w:w="827" w:type="dxa"/>
          </w:tcPr>
          <w:p w14:paraId="1C6C47DE">
            <w:pPr>
              <w:autoSpaceDE w:val="0"/>
              <w:autoSpaceDN w:val="0"/>
              <w:adjustRightInd w:val="0"/>
              <w:snapToGrid w:val="0"/>
              <w:jc w:val="left"/>
              <w:rPr>
                <w:rFonts w:ascii="宋体" w:hAnsi="宋体"/>
                <w:kern w:val="0"/>
                <w:sz w:val="24"/>
              </w:rPr>
            </w:pPr>
          </w:p>
        </w:tc>
        <w:tc>
          <w:tcPr>
            <w:tcW w:w="1359" w:type="dxa"/>
          </w:tcPr>
          <w:p w14:paraId="0708E8BE">
            <w:pPr>
              <w:autoSpaceDE w:val="0"/>
              <w:autoSpaceDN w:val="0"/>
              <w:adjustRightInd w:val="0"/>
              <w:snapToGrid w:val="0"/>
              <w:jc w:val="left"/>
              <w:rPr>
                <w:rFonts w:ascii="宋体" w:hAnsi="宋体"/>
                <w:kern w:val="0"/>
                <w:sz w:val="24"/>
              </w:rPr>
            </w:pPr>
          </w:p>
        </w:tc>
        <w:tc>
          <w:tcPr>
            <w:tcW w:w="1855" w:type="dxa"/>
          </w:tcPr>
          <w:p w14:paraId="05F5D0F4">
            <w:pPr>
              <w:autoSpaceDE w:val="0"/>
              <w:autoSpaceDN w:val="0"/>
              <w:adjustRightInd w:val="0"/>
              <w:snapToGrid w:val="0"/>
              <w:jc w:val="left"/>
              <w:rPr>
                <w:rFonts w:ascii="宋体" w:hAnsi="宋体"/>
                <w:kern w:val="0"/>
                <w:sz w:val="24"/>
              </w:rPr>
            </w:pPr>
          </w:p>
        </w:tc>
        <w:tc>
          <w:tcPr>
            <w:tcW w:w="770" w:type="dxa"/>
          </w:tcPr>
          <w:p w14:paraId="0F7EBD1A">
            <w:pPr>
              <w:autoSpaceDE w:val="0"/>
              <w:autoSpaceDN w:val="0"/>
              <w:adjustRightInd w:val="0"/>
              <w:snapToGrid w:val="0"/>
              <w:jc w:val="left"/>
              <w:rPr>
                <w:rFonts w:ascii="宋体" w:hAnsi="宋体"/>
                <w:kern w:val="0"/>
                <w:sz w:val="24"/>
              </w:rPr>
            </w:pPr>
          </w:p>
        </w:tc>
      </w:tr>
      <w:tr w14:paraId="3C76F7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030411B3">
            <w:pPr>
              <w:autoSpaceDE w:val="0"/>
              <w:autoSpaceDN w:val="0"/>
              <w:adjustRightInd w:val="0"/>
              <w:snapToGrid w:val="0"/>
              <w:jc w:val="left"/>
              <w:rPr>
                <w:rFonts w:ascii="宋体" w:hAnsi="宋体"/>
                <w:kern w:val="0"/>
                <w:sz w:val="24"/>
              </w:rPr>
            </w:pPr>
          </w:p>
        </w:tc>
        <w:tc>
          <w:tcPr>
            <w:tcW w:w="1219" w:type="dxa"/>
          </w:tcPr>
          <w:p w14:paraId="651E6CB9">
            <w:pPr>
              <w:autoSpaceDE w:val="0"/>
              <w:autoSpaceDN w:val="0"/>
              <w:adjustRightInd w:val="0"/>
              <w:snapToGrid w:val="0"/>
              <w:jc w:val="left"/>
              <w:rPr>
                <w:rFonts w:ascii="宋体" w:hAnsi="宋体"/>
                <w:kern w:val="0"/>
                <w:sz w:val="24"/>
              </w:rPr>
            </w:pPr>
          </w:p>
        </w:tc>
        <w:tc>
          <w:tcPr>
            <w:tcW w:w="852" w:type="dxa"/>
          </w:tcPr>
          <w:p w14:paraId="59C5CF25">
            <w:pPr>
              <w:autoSpaceDE w:val="0"/>
              <w:autoSpaceDN w:val="0"/>
              <w:adjustRightInd w:val="0"/>
              <w:snapToGrid w:val="0"/>
              <w:jc w:val="left"/>
              <w:rPr>
                <w:rFonts w:ascii="宋体" w:hAnsi="宋体"/>
                <w:kern w:val="0"/>
                <w:sz w:val="24"/>
              </w:rPr>
            </w:pPr>
          </w:p>
        </w:tc>
        <w:tc>
          <w:tcPr>
            <w:tcW w:w="1111" w:type="dxa"/>
          </w:tcPr>
          <w:p w14:paraId="540943F6">
            <w:pPr>
              <w:autoSpaceDE w:val="0"/>
              <w:autoSpaceDN w:val="0"/>
              <w:adjustRightInd w:val="0"/>
              <w:snapToGrid w:val="0"/>
              <w:jc w:val="left"/>
              <w:rPr>
                <w:rFonts w:ascii="宋体" w:hAnsi="宋体"/>
                <w:kern w:val="0"/>
                <w:sz w:val="24"/>
              </w:rPr>
            </w:pPr>
          </w:p>
        </w:tc>
        <w:tc>
          <w:tcPr>
            <w:tcW w:w="754" w:type="dxa"/>
          </w:tcPr>
          <w:p w14:paraId="03E74128">
            <w:pPr>
              <w:autoSpaceDE w:val="0"/>
              <w:autoSpaceDN w:val="0"/>
              <w:adjustRightInd w:val="0"/>
              <w:snapToGrid w:val="0"/>
              <w:jc w:val="left"/>
              <w:rPr>
                <w:rFonts w:ascii="宋体" w:hAnsi="宋体"/>
                <w:kern w:val="0"/>
                <w:sz w:val="24"/>
              </w:rPr>
            </w:pPr>
          </w:p>
        </w:tc>
        <w:tc>
          <w:tcPr>
            <w:tcW w:w="827" w:type="dxa"/>
          </w:tcPr>
          <w:p w14:paraId="59E3195E">
            <w:pPr>
              <w:autoSpaceDE w:val="0"/>
              <w:autoSpaceDN w:val="0"/>
              <w:adjustRightInd w:val="0"/>
              <w:snapToGrid w:val="0"/>
              <w:jc w:val="left"/>
              <w:rPr>
                <w:rFonts w:ascii="宋体" w:hAnsi="宋体"/>
                <w:kern w:val="0"/>
                <w:sz w:val="24"/>
              </w:rPr>
            </w:pPr>
          </w:p>
        </w:tc>
        <w:tc>
          <w:tcPr>
            <w:tcW w:w="1359" w:type="dxa"/>
          </w:tcPr>
          <w:p w14:paraId="5DBEECBF">
            <w:pPr>
              <w:autoSpaceDE w:val="0"/>
              <w:autoSpaceDN w:val="0"/>
              <w:adjustRightInd w:val="0"/>
              <w:snapToGrid w:val="0"/>
              <w:jc w:val="left"/>
              <w:rPr>
                <w:rFonts w:ascii="宋体" w:hAnsi="宋体"/>
                <w:kern w:val="0"/>
                <w:sz w:val="24"/>
              </w:rPr>
            </w:pPr>
          </w:p>
        </w:tc>
        <w:tc>
          <w:tcPr>
            <w:tcW w:w="1855" w:type="dxa"/>
          </w:tcPr>
          <w:p w14:paraId="5833D64B">
            <w:pPr>
              <w:autoSpaceDE w:val="0"/>
              <w:autoSpaceDN w:val="0"/>
              <w:adjustRightInd w:val="0"/>
              <w:snapToGrid w:val="0"/>
              <w:jc w:val="left"/>
              <w:rPr>
                <w:rFonts w:ascii="宋体" w:hAnsi="宋体"/>
                <w:kern w:val="0"/>
                <w:sz w:val="24"/>
              </w:rPr>
            </w:pPr>
          </w:p>
        </w:tc>
        <w:tc>
          <w:tcPr>
            <w:tcW w:w="770" w:type="dxa"/>
          </w:tcPr>
          <w:p w14:paraId="4833463A">
            <w:pPr>
              <w:autoSpaceDE w:val="0"/>
              <w:autoSpaceDN w:val="0"/>
              <w:adjustRightInd w:val="0"/>
              <w:snapToGrid w:val="0"/>
              <w:jc w:val="left"/>
              <w:rPr>
                <w:rFonts w:ascii="宋体" w:hAnsi="宋体"/>
                <w:kern w:val="0"/>
                <w:sz w:val="24"/>
              </w:rPr>
            </w:pPr>
          </w:p>
        </w:tc>
      </w:tr>
      <w:tr w14:paraId="4012D4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02CE9A16">
            <w:pPr>
              <w:autoSpaceDE w:val="0"/>
              <w:autoSpaceDN w:val="0"/>
              <w:adjustRightInd w:val="0"/>
              <w:snapToGrid w:val="0"/>
              <w:jc w:val="left"/>
              <w:rPr>
                <w:rFonts w:ascii="宋体" w:hAnsi="宋体"/>
                <w:kern w:val="0"/>
                <w:sz w:val="24"/>
              </w:rPr>
            </w:pPr>
          </w:p>
        </w:tc>
        <w:tc>
          <w:tcPr>
            <w:tcW w:w="1219" w:type="dxa"/>
          </w:tcPr>
          <w:p w14:paraId="1EE86C85">
            <w:pPr>
              <w:autoSpaceDE w:val="0"/>
              <w:autoSpaceDN w:val="0"/>
              <w:adjustRightInd w:val="0"/>
              <w:snapToGrid w:val="0"/>
              <w:jc w:val="left"/>
              <w:rPr>
                <w:rFonts w:ascii="宋体" w:hAnsi="宋体"/>
                <w:kern w:val="0"/>
                <w:sz w:val="24"/>
              </w:rPr>
            </w:pPr>
          </w:p>
        </w:tc>
        <w:tc>
          <w:tcPr>
            <w:tcW w:w="852" w:type="dxa"/>
          </w:tcPr>
          <w:p w14:paraId="171A8227">
            <w:pPr>
              <w:autoSpaceDE w:val="0"/>
              <w:autoSpaceDN w:val="0"/>
              <w:adjustRightInd w:val="0"/>
              <w:snapToGrid w:val="0"/>
              <w:jc w:val="left"/>
              <w:rPr>
                <w:rFonts w:ascii="宋体" w:hAnsi="宋体"/>
                <w:kern w:val="0"/>
                <w:sz w:val="24"/>
              </w:rPr>
            </w:pPr>
          </w:p>
        </w:tc>
        <w:tc>
          <w:tcPr>
            <w:tcW w:w="1111" w:type="dxa"/>
          </w:tcPr>
          <w:p w14:paraId="201E3A3C">
            <w:pPr>
              <w:autoSpaceDE w:val="0"/>
              <w:autoSpaceDN w:val="0"/>
              <w:adjustRightInd w:val="0"/>
              <w:snapToGrid w:val="0"/>
              <w:jc w:val="left"/>
              <w:rPr>
                <w:rFonts w:ascii="宋体" w:hAnsi="宋体"/>
                <w:kern w:val="0"/>
                <w:sz w:val="24"/>
              </w:rPr>
            </w:pPr>
          </w:p>
        </w:tc>
        <w:tc>
          <w:tcPr>
            <w:tcW w:w="754" w:type="dxa"/>
          </w:tcPr>
          <w:p w14:paraId="37E5A55E">
            <w:pPr>
              <w:autoSpaceDE w:val="0"/>
              <w:autoSpaceDN w:val="0"/>
              <w:adjustRightInd w:val="0"/>
              <w:snapToGrid w:val="0"/>
              <w:jc w:val="left"/>
              <w:rPr>
                <w:rFonts w:ascii="宋体" w:hAnsi="宋体"/>
                <w:kern w:val="0"/>
                <w:sz w:val="24"/>
              </w:rPr>
            </w:pPr>
          </w:p>
        </w:tc>
        <w:tc>
          <w:tcPr>
            <w:tcW w:w="827" w:type="dxa"/>
          </w:tcPr>
          <w:p w14:paraId="26AA0945">
            <w:pPr>
              <w:autoSpaceDE w:val="0"/>
              <w:autoSpaceDN w:val="0"/>
              <w:adjustRightInd w:val="0"/>
              <w:snapToGrid w:val="0"/>
              <w:jc w:val="left"/>
              <w:rPr>
                <w:rFonts w:ascii="宋体" w:hAnsi="宋体"/>
                <w:kern w:val="0"/>
                <w:sz w:val="24"/>
              </w:rPr>
            </w:pPr>
          </w:p>
        </w:tc>
        <w:tc>
          <w:tcPr>
            <w:tcW w:w="1359" w:type="dxa"/>
          </w:tcPr>
          <w:p w14:paraId="27331823">
            <w:pPr>
              <w:autoSpaceDE w:val="0"/>
              <w:autoSpaceDN w:val="0"/>
              <w:adjustRightInd w:val="0"/>
              <w:snapToGrid w:val="0"/>
              <w:jc w:val="left"/>
              <w:rPr>
                <w:rFonts w:ascii="宋体" w:hAnsi="宋体"/>
                <w:kern w:val="0"/>
                <w:sz w:val="24"/>
              </w:rPr>
            </w:pPr>
          </w:p>
        </w:tc>
        <w:tc>
          <w:tcPr>
            <w:tcW w:w="1855" w:type="dxa"/>
          </w:tcPr>
          <w:p w14:paraId="65F14168">
            <w:pPr>
              <w:autoSpaceDE w:val="0"/>
              <w:autoSpaceDN w:val="0"/>
              <w:adjustRightInd w:val="0"/>
              <w:snapToGrid w:val="0"/>
              <w:jc w:val="left"/>
              <w:rPr>
                <w:rFonts w:ascii="宋体" w:hAnsi="宋体"/>
                <w:kern w:val="0"/>
                <w:sz w:val="24"/>
              </w:rPr>
            </w:pPr>
          </w:p>
        </w:tc>
        <w:tc>
          <w:tcPr>
            <w:tcW w:w="770" w:type="dxa"/>
          </w:tcPr>
          <w:p w14:paraId="09470542">
            <w:pPr>
              <w:autoSpaceDE w:val="0"/>
              <w:autoSpaceDN w:val="0"/>
              <w:adjustRightInd w:val="0"/>
              <w:snapToGrid w:val="0"/>
              <w:jc w:val="left"/>
              <w:rPr>
                <w:rFonts w:ascii="宋体" w:hAnsi="宋体"/>
                <w:kern w:val="0"/>
                <w:sz w:val="24"/>
              </w:rPr>
            </w:pPr>
          </w:p>
        </w:tc>
      </w:tr>
      <w:tr w14:paraId="61F460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67DC7255">
            <w:pPr>
              <w:autoSpaceDE w:val="0"/>
              <w:autoSpaceDN w:val="0"/>
              <w:adjustRightInd w:val="0"/>
              <w:snapToGrid w:val="0"/>
              <w:jc w:val="left"/>
              <w:rPr>
                <w:rFonts w:ascii="宋体" w:hAnsi="宋体"/>
                <w:kern w:val="0"/>
                <w:sz w:val="24"/>
              </w:rPr>
            </w:pPr>
          </w:p>
        </w:tc>
        <w:tc>
          <w:tcPr>
            <w:tcW w:w="1219" w:type="dxa"/>
          </w:tcPr>
          <w:p w14:paraId="1FC3F3C5">
            <w:pPr>
              <w:autoSpaceDE w:val="0"/>
              <w:autoSpaceDN w:val="0"/>
              <w:adjustRightInd w:val="0"/>
              <w:snapToGrid w:val="0"/>
              <w:jc w:val="left"/>
              <w:rPr>
                <w:rFonts w:ascii="宋体" w:hAnsi="宋体"/>
                <w:kern w:val="0"/>
                <w:sz w:val="24"/>
              </w:rPr>
            </w:pPr>
          </w:p>
        </w:tc>
        <w:tc>
          <w:tcPr>
            <w:tcW w:w="852" w:type="dxa"/>
          </w:tcPr>
          <w:p w14:paraId="5097B30E">
            <w:pPr>
              <w:autoSpaceDE w:val="0"/>
              <w:autoSpaceDN w:val="0"/>
              <w:adjustRightInd w:val="0"/>
              <w:snapToGrid w:val="0"/>
              <w:jc w:val="left"/>
              <w:rPr>
                <w:rFonts w:ascii="宋体" w:hAnsi="宋体"/>
                <w:kern w:val="0"/>
                <w:sz w:val="24"/>
              </w:rPr>
            </w:pPr>
          </w:p>
        </w:tc>
        <w:tc>
          <w:tcPr>
            <w:tcW w:w="1111" w:type="dxa"/>
          </w:tcPr>
          <w:p w14:paraId="396F49D6">
            <w:pPr>
              <w:autoSpaceDE w:val="0"/>
              <w:autoSpaceDN w:val="0"/>
              <w:adjustRightInd w:val="0"/>
              <w:snapToGrid w:val="0"/>
              <w:jc w:val="left"/>
              <w:rPr>
                <w:rFonts w:ascii="宋体" w:hAnsi="宋体"/>
                <w:kern w:val="0"/>
                <w:sz w:val="24"/>
              </w:rPr>
            </w:pPr>
          </w:p>
        </w:tc>
        <w:tc>
          <w:tcPr>
            <w:tcW w:w="754" w:type="dxa"/>
          </w:tcPr>
          <w:p w14:paraId="3720F4F1">
            <w:pPr>
              <w:autoSpaceDE w:val="0"/>
              <w:autoSpaceDN w:val="0"/>
              <w:adjustRightInd w:val="0"/>
              <w:snapToGrid w:val="0"/>
              <w:jc w:val="left"/>
              <w:rPr>
                <w:rFonts w:ascii="宋体" w:hAnsi="宋体"/>
                <w:kern w:val="0"/>
                <w:sz w:val="24"/>
              </w:rPr>
            </w:pPr>
          </w:p>
        </w:tc>
        <w:tc>
          <w:tcPr>
            <w:tcW w:w="827" w:type="dxa"/>
          </w:tcPr>
          <w:p w14:paraId="2E3274F4">
            <w:pPr>
              <w:autoSpaceDE w:val="0"/>
              <w:autoSpaceDN w:val="0"/>
              <w:adjustRightInd w:val="0"/>
              <w:snapToGrid w:val="0"/>
              <w:jc w:val="left"/>
              <w:rPr>
                <w:rFonts w:ascii="宋体" w:hAnsi="宋体"/>
                <w:kern w:val="0"/>
                <w:sz w:val="24"/>
              </w:rPr>
            </w:pPr>
          </w:p>
        </w:tc>
        <w:tc>
          <w:tcPr>
            <w:tcW w:w="1359" w:type="dxa"/>
          </w:tcPr>
          <w:p w14:paraId="5B398BD8">
            <w:pPr>
              <w:autoSpaceDE w:val="0"/>
              <w:autoSpaceDN w:val="0"/>
              <w:adjustRightInd w:val="0"/>
              <w:snapToGrid w:val="0"/>
              <w:jc w:val="left"/>
              <w:rPr>
                <w:rFonts w:ascii="宋体" w:hAnsi="宋体"/>
                <w:kern w:val="0"/>
                <w:sz w:val="24"/>
              </w:rPr>
            </w:pPr>
          </w:p>
        </w:tc>
        <w:tc>
          <w:tcPr>
            <w:tcW w:w="1855" w:type="dxa"/>
          </w:tcPr>
          <w:p w14:paraId="4EF9C1EF">
            <w:pPr>
              <w:autoSpaceDE w:val="0"/>
              <w:autoSpaceDN w:val="0"/>
              <w:adjustRightInd w:val="0"/>
              <w:snapToGrid w:val="0"/>
              <w:jc w:val="left"/>
              <w:rPr>
                <w:rFonts w:ascii="宋体" w:hAnsi="宋体"/>
                <w:kern w:val="0"/>
                <w:sz w:val="24"/>
              </w:rPr>
            </w:pPr>
          </w:p>
        </w:tc>
        <w:tc>
          <w:tcPr>
            <w:tcW w:w="770" w:type="dxa"/>
          </w:tcPr>
          <w:p w14:paraId="3242536D">
            <w:pPr>
              <w:autoSpaceDE w:val="0"/>
              <w:autoSpaceDN w:val="0"/>
              <w:adjustRightInd w:val="0"/>
              <w:snapToGrid w:val="0"/>
              <w:jc w:val="left"/>
              <w:rPr>
                <w:rFonts w:ascii="宋体" w:hAnsi="宋体"/>
                <w:kern w:val="0"/>
                <w:sz w:val="24"/>
              </w:rPr>
            </w:pPr>
          </w:p>
        </w:tc>
      </w:tr>
      <w:tr w14:paraId="5BF3F9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2756FAAB">
            <w:pPr>
              <w:autoSpaceDE w:val="0"/>
              <w:autoSpaceDN w:val="0"/>
              <w:adjustRightInd w:val="0"/>
              <w:snapToGrid w:val="0"/>
              <w:jc w:val="left"/>
              <w:rPr>
                <w:rFonts w:ascii="宋体" w:hAnsi="宋体"/>
                <w:kern w:val="0"/>
                <w:sz w:val="24"/>
              </w:rPr>
            </w:pPr>
          </w:p>
        </w:tc>
        <w:tc>
          <w:tcPr>
            <w:tcW w:w="1219" w:type="dxa"/>
          </w:tcPr>
          <w:p w14:paraId="1A70A606">
            <w:pPr>
              <w:autoSpaceDE w:val="0"/>
              <w:autoSpaceDN w:val="0"/>
              <w:adjustRightInd w:val="0"/>
              <w:snapToGrid w:val="0"/>
              <w:jc w:val="left"/>
              <w:rPr>
                <w:rFonts w:ascii="宋体" w:hAnsi="宋体"/>
                <w:kern w:val="0"/>
                <w:sz w:val="24"/>
              </w:rPr>
            </w:pPr>
          </w:p>
        </w:tc>
        <w:tc>
          <w:tcPr>
            <w:tcW w:w="852" w:type="dxa"/>
          </w:tcPr>
          <w:p w14:paraId="1C096255">
            <w:pPr>
              <w:autoSpaceDE w:val="0"/>
              <w:autoSpaceDN w:val="0"/>
              <w:adjustRightInd w:val="0"/>
              <w:snapToGrid w:val="0"/>
              <w:jc w:val="left"/>
              <w:rPr>
                <w:rFonts w:ascii="宋体" w:hAnsi="宋体"/>
                <w:kern w:val="0"/>
                <w:sz w:val="24"/>
              </w:rPr>
            </w:pPr>
          </w:p>
        </w:tc>
        <w:tc>
          <w:tcPr>
            <w:tcW w:w="1111" w:type="dxa"/>
          </w:tcPr>
          <w:p w14:paraId="2B4F0092">
            <w:pPr>
              <w:autoSpaceDE w:val="0"/>
              <w:autoSpaceDN w:val="0"/>
              <w:adjustRightInd w:val="0"/>
              <w:snapToGrid w:val="0"/>
              <w:jc w:val="left"/>
              <w:rPr>
                <w:rFonts w:ascii="宋体" w:hAnsi="宋体"/>
                <w:kern w:val="0"/>
                <w:sz w:val="24"/>
              </w:rPr>
            </w:pPr>
          </w:p>
        </w:tc>
        <w:tc>
          <w:tcPr>
            <w:tcW w:w="754" w:type="dxa"/>
          </w:tcPr>
          <w:p w14:paraId="464011A2">
            <w:pPr>
              <w:autoSpaceDE w:val="0"/>
              <w:autoSpaceDN w:val="0"/>
              <w:adjustRightInd w:val="0"/>
              <w:snapToGrid w:val="0"/>
              <w:jc w:val="left"/>
              <w:rPr>
                <w:rFonts w:ascii="宋体" w:hAnsi="宋体"/>
                <w:kern w:val="0"/>
                <w:sz w:val="24"/>
              </w:rPr>
            </w:pPr>
          </w:p>
        </w:tc>
        <w:tc>
          <w:tcPr>
            <w:tcW w:w="827" w:type="dxa"/>
          </w:tcPr>
          <w:p w14:paraId="30AF81CD">
            <w:pPr>
              <w:autoSpaceDE w:val="0"/>
              <w:autoSpaceDN w:val="0"/>
              <w:adjustRightInd w:val="0"/>
              <w:snapToGrid w:val="0"/>
              <w:jc w:val="left"/>
              <w:rPr>
                <w:rFonts w:ascii="宋体" w:hAnsi="宋体"/>
                <w:kern w:val="0"/>
                <w:sz w:val="24"/>
              </w:rPr>
            </w:pPr>
          </w:p>
        </w:tc>
        <w:tc>
          <w:tcPr>
            <w:tcW w:w="1359" w:type="dxa"/>
          </w:tcPr>
          <w:p w14:paraId="79F17F2D">
            <w:pPr>
              <w:autoSpaceDE w:val="0"/>
              <w:autoSpaceDN w:val="0"/>
              <w:adjustRightInd w:val="0"/>
              <w:snapToGrid w:val="0"/>
              <w:jc w:val="left"/>
              <w:rPr>
                <w:rFonts w:ascii="宋体" w:hAnsi="宋体"/>
                <w:kern w:val="0"/>
                <w:sz w:val="24"/>
              </w:rPr>
            </w:pPr>
          </w:p>
        </w:tc>
        <w:tc>
          <w:tcPr>
            <w:tcW w:w="1855" w:type="dxa"/>
          </w:tcPr>
          <w:p w14:paraId="55C8D3A6">
            <w:pPr>
              <w:autoSpaceDE w:val="0"/>
              <w:autoSpaceDN w:val="0"/>
              <w:adjustRightInd w:val="0"/>
              <w:snapToGrid w:val="0"/>
              <w:jc w:val="left"/>
              <w:rPr>
                <w:rFonts w:ascii="宋体" w:hAnsi="宋体"/>
                <w:kern w:val="0"/>
                <w:sz w:val="24"/>
              </w:rPr>
            </w:pPr>
          </w:p>
        </w:tc>
        <w:tc>
          <w:tcPr>
            <w:tcW w:w="770" w:type="dxa"/>
          </w:tcPr>
          <w:p w14:paraId="6930F3A6">
            <w:pPr>
              <w:autoSpaceDE w:val="0"/>
              <w:autoSpaceDN w:val="0"/>
              <w:adjustRightInd w:val="0"/>
              <w:snapToGrid w:val="0"/>
              <w:jc w:val="left"/>
              <w:rPr>
                <w:rFonts w:ascii="宋体" w:hAnsi="宋体"/>
                <w:kern w:val="0"/>
                <w:sz w:val="24"/>
              </w:rPr>
            </w:pPr>
          </w:p>
        </w:tc>
      </w:tr>
      <w:tr w14:paraId="09FC40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7F4B582E">
            <w:pPr>
              <w:autoSpaceDE w:val="0"/>
              <w:autoSpaceDN w:val="0"/>
              <w:adjustRightInd w:val="0"/>
              <w:snapToGrid w:val="0"/>
              <w:jc w:val="left"/>
              <w:rPr>
                <w:rFonts w:ascii="宋体" w:hAnsi="宋体"/>
                <w:kern w:val="0"/>
                <w:sz w:val="24"/>
              </w:rPr>
            </w:pPr>
          </w:p>
        </w:tc>
        <w:tc>
          <w:tcPr>
            <w:tcW w:w="1219" w:type="dxa"/>
          </w:tcPr>
          <w:p w14:paraId="6D8CA735">
            <w:pPr>
              <w:autoSpaceDE w:val="0"/>
              <w:autoSpaceDN w:val="0"/>
              <w:adjustRightInd w:val="0"/>
              <w:snapToGrid w:val="0"/>
              <w:jc w:val="left"/>
              <w:rPr>
                <w:rFonts w:ascii="宋体" w:hAnsi="宋体"/>
                <w:kern w:val="0"/>
                <w:sz w:val="24"/>
              </w:rPr>
            </w:pPr>
          </w:p>
        </w:tc>
        <w:tc>
          <w:tcPr>
            <w:tcW w:w="852" w:type="dxa"/>
          </w:tcPr>
          <w:p w14:paraId="0C58F835">
            <w:pPr>
              <w:autoSpaceDE w:val="0"/>
              <w:autoSpaceDN w:val="0"/>
              <w:adjustRightInd w:val="0"/>
              <w:snapToGrid w:val="0"/>
              <w:jc w:val="left"/>
              <w:rPr>
                <w:rFonts w:ascii="宋体" w:hAnsi="宋体"/>
                <w:kern w:val="0"/>
                <w:sz w:val="24"/>
              </w:rPr>
            </w:pPr>
          </w:p>
        </w:tc>
        <w:tc>
          <w:tcPr>
            <w:tcW w:w="1111" w:type="dxa"/>
          </w:tcPr>
          <w:p w14:paraId="635AEF0A">
            <w:pPr>
              <w:autoSpaceDE w:val="0"/>
              <w:autoSpaceDN w:val="0"/>
              <w:adjustRightInd w:val="0"/>
              <w:snapToGrid w:val="0"/>
              <w:jc w:val="left"/>
              <w:rPr>
                <w:rFonts w:ascii="宋体" w:hAnsi="宋体"/>
                <w:kern w:val="0"/>
                <w:sz w:val="24"/>
              </w:rPr>
            </w:pPr>
          </w:p>
        </w:tc>
        <w:tc>
          <w:tcPr>
            <w:tcW w:w="754" w:type="dxa"/>
          </w:tcPr>
          <w:p w14:paraId="2871A69F">
            <w:pPr>
              <w:autoSpaceDE w:val="0"/>
              <w:autoSpaceDN w:val="0"/>
              <w:adjustRightInd w:val="0"/>
              <w:snapToGrid w:val="0"/>
              <w:jc w:val="left"/>
              <w:rPr>
                <w:rFonts w:ascii="宋体" w:hAnsi="宋体"/>
                <w:kern w:val="0"/>
                <w:sz w:val="24"/>
              </w:rPr>
            </w:pPr>
          </w:p>
        </w:tc>
        <w:tc>
          <w:tcPr>
            <w:tcW w:w="827" w:type="dxa"/>
          </w:tcPr>
          <w:p w14:paraId="7A467D6A">
            <w:pPr>
              <w:autoSpaceDE w:val="0"/>
              <w:autoSpaceDN w:val="0"/>
              <w:adjustRightInd w:val="0"/>
              <w:snapToGrid w:val="0"/>
              <w:jc w:val="left"/>
              <w:rPr>
                <w:rFonts w:ascii="宋体" w:hAnsi="宋体"/>
                <w:kern w:val="0"/>
                <w:sz w:val="24"/>
              </w:rPr>
            </w:pPr>
          </w:p>
        </w:tc>
        <w:tc>
          <w:tcPr>
            <w:tcW w:w="1359" w:type="dxa"/>
          </w:tcPr>
          <w:p w14:paraId="011EB8A3">
            <w:pPr>
              <w:autoSpaceDE w:val="0"/>
              <w:autoSpaceDN w:val="0"/>
              <w:adjustRightInd w:val="0"/>
              <w:snapToGrid w:val="0"/>
              <w:jc w:val="left"/>
              <w:rPr>
                <w:rFonts w:ascii="宋体" w:hAnsi="宋体"/>
                <w:kern w:val="0"/>
                <w:sz w:val="24"/>
              </w:rPr>
            </w:pPr>
          </w:p>
        </w:tc>
        <w:tc>
          <w:tcPr>
            <w:tcW w:w="1855" w:type="dxa"/>
          </w:tcPr>
          <w:p w14:paraId="60542CA7">
            <w:pPr>
              <w:autoSpaceDE w:val="0"/>
              <w:autoSpaceDN w:val="0"/>
              <w:adjustRightInd w:val="0"/>
              <w:snapToGrid w:val="0"/>
              <w:jc w:val="left"/>
              <w:rPr>
                <w:rFonts w:ascii="宋体" w:hAnsi="宋体"/>
                <w:kern w:val="0"/>
                <w:sz w:val="24"/>
              </w:rPr>
            </w:pPr>
          </w:p>
        </w:tc>
        <w:tc>
          <w:tcPr>
            <w:tcW w:w="770" w:type="dxa"/>
          </w:tcPr>
          <w:p w14:paraId="41CF72C1">
            <w:pPr>
              <w:autoSpaceDE w:val="0"/>
              <w:autoSpaceDN w:val="0"/>
              <w:adjustRightInd w:val="0"/>
              <w:snapToGrid w:val="0"/>
              <w:jc w:val="left"/>
              <w:rPr>
                <w:rFonts w:ascii="宋体" w:hAnsi="宋体"/>
                <w:kern w:val="0"/>
                <w:sz w:val="24"/>
              </w:rPr>
            </w:pPr>
          </w:p>
        </w:tc>
      </w:tr>
      <w:tr w14:paraId="7CA0CB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5B801512">
            <w:pPr>
              <w:autoSpaceDE w:val="0"/>
              <w:autoSpaceDN w:val="0"/>
              <w:adjustRightInd w:val="0"/>
              <w:snapToGrid w:val="0"/>
              <w:jc w:val="left"/>
              <w:rPr>
                <w:rFonts w:ascii="宋体" w:hAnsi="宋体"/>
                <w:kern w:val="0"/>
                <w:sz w:val="24"/>
              </w:rPr>
            </w:pPr>
          </w:p>
        </w:tc>
        <w:tc>
          <w:tcPr>
            <w:tcW w:w="1219" w:type="dxa"/>
          </w:tcPr>
          <w:p w14:paraId="1A90E0FA">
            <w:pPr>
              <w:autoSpaceDE w:val="0"/>
              <w:autoSpaceDN w:val="0"/>
              <w:adjustRightInd w:val="0"/>
              <w:snapToGrid w:val="0"/>
              <w:jc w:val="left"/>
              <w:rPr>
                <w:rFonts w:ascii="宋体" w:hAnsi="宋体"/>
                <w:kern w:val="0"/>
                <w:sz w:val="24"/>
              </w:rPr>
            </w:pPr>
          </w:p>
        </w:tc>
        <w:tc>
          <w:tcPr>
            <w:tcW w:w="852" w:type="dxa"/>
          </w:tcPr>
          <w:p w14:paraId="39356576">
            <w:pPr>
              <w:autoSpaceDE w:val="0"/>
              <w:autoSpaceDN w:val="0"/>
              <w:adjustRightInd w:val="0"/>
              <w:snapToGrid w:val="0"/>
              <w:jc w:val="left"/>
              <w:rPr>
                <w:rFonts w:ascii="宋体" w:hAnsi="宋体"/>
                <w:kern w:val="0"/>
                <w:sz w:val="24"/>
              </w:rPr>
            </w:pPr>
          </w:p>
        </w:tc>
        <w:tc>
          <w:tcPr>
            <w:tcW w:w="1111" w:type="dxa"/>
          </w:tcPr>
          <w:p w14:paraId="1DAFCFE1">
            <w:pPr>
              <w:autoSpaceDE w:val="0"/>
              <w:autoSpaceDN w:val="0"/>
              <w:adjustRightInd w:val="0"/>
              <w:snapToGrid w:val="0"/>
              <w:jc w:val="left"/>
              <w:rPr>
                <w:rFonts w:ascii="宋体" w:hAnsi="宋体"/>
                <w:kern w:val="0"/>
                <w:sz w:val="24"/>
              </w:rPr>
            </w:pPr>
          </w:p>
        </w:tc>
        <w:tc>
          <w:tcPr>
            <w:tcW w:w="754" w:type="dxa"/>
          </w:tcPr>
          <w:p w14:paraId="6F5DD599">
            <w:pPr>
              <w:autoSpaceDE w:val="0"/>
              <w:autoSpaceDN w:val="0"/>
              <w:adjustRightInd w:val="0"/>
              <w:snapToGrid w:val="0"/>
              <w:jc w:val="left"/>
              <w:rPr>
                <w:rFonts w:ascii="宋体" w:hAnsi="宋体"/>
                <w:kern w:val="0"/>
                <w:sz w:val="24"/>
              </w:rPr>
            </w:pPr>
          </w:p>
        </w:tc>
        <w:tc>
          <w:tcPr>
            <w:tcW w:w="827" w:type="dxa"/>
          </w:tcPr>
          <w:p w14:paraId="4A1EB260">
            <w:pPr>
              <w:autoSpaceDE w:val="0"/>
              <w:autoSpaceDN w:val="0"/>
              <w:adjustRightInd w:val="0"/>
              <w:snapToGrid w:val="0"/>
              <w:jc w:val="left"/>
              <w:rPr>
                <w:rFonts w:ascii="宋体" w:hAnsi="宋体"/>
                <w:kern w:val="0"/>
                <w:sz w:val="24"/>
              </w:rPr>
            </w:pPr>
          </w:p>
        </w:tc>
        <w:tc>
          <w:tcPr>
            <w:tcW w:w="1359" w:type="dxa"/>
          </w:tcPr>
          <w:p w14:paraId="3C735DDB">
            <w:pPr>
              <w:autoSpaceDE w:val="0"/>
              <w:autoSpaceDN w:val="0"/>
              <w:adjustRightInd w:val="0"/>
              <w:snapToGrid w:val="0"/>
              <w:jc w:val="left"/>
              <w:rPr>
                <w:rFonts w:ascii="宋体" w:hAnsi="宋体"/>
                <w:kern w:val="0"/>
                <w:sz w:val="24"/>
              </w:rPr>
            </w:pPr>
          </w:p>
        </w:tc>
        <w:tc>
          <w:tcPr>
            <w:tcW w:w="1855" w:type="dxa"/>
          </w:tcPr>
          <w:p w14:paraId="685C7CCA">
            <w:pPr>
              <w:autoSpaceDE w:val="0"/>
              <w:autoSpaceDN w:val="0"/>
              <w:adjustRightInd w:val="0"/>
              <w:snapToGrid w:val="0"/>
              <w:jc w:val="left"/>
              <w:rPr>
                <w:rFonts w:ascii="宋体" w:hAnsi="宋体"/>
                <w:kern w:val="0"/>
                <w:sz w:val="24"/>
              </w:rPr>
            </w:pPr>
          </w:p>
        </w:tc>
        <w:tc>
          <w:tcPr>
            <w:tcW w:w="770" w:type="dxa"/>
          </w:tcPr>
          <w:p w14:paraId="3B5F2CE6">
            <w:pPr>
              <w:autoSpaceDE w:val="0"/>
              <w:autoSpaceDN w:val="0"/>
              <w:adjustRightInd w:val="0"/>
              <w:snapToGrid w:val="0"/>
              <w:jc w:val="left"/>
              <w:rPr>
                <w:rFonts w:ascii="宋体" w:hAnsi="宋体"/>
                <w:kern w:val="0"/>
                <w:sz w:val="24"/>
              </w:rPr>
            </w:pPr>
          </w:p>
        </w:tc>
      </w:tr>
      <w:tr w14:paraId="7D01F4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376184BC">
            <w:pPr>
              <w:autoSpaceDE w:val="0"/>
              <w:autoSpaceDN w:val="0"/>
              <w:adjustRightInd w:val="0"/>
              <w:snapToGrid w:val="0"/>
              <w:jc w:val="left"/>
              <w:rPr>
                <w:rFonts w:ascii="宋体" w:hAnsi="宋体"/>
                <w:kern w:val="0"/>
                <w:sz w:val="24"/>
              </w:rPr>
            </w:pPr>
          </w:p>
        </w:tc>
        <w:tc>
          <w:tcPr>
            <w:tcW w:w="1219" w:type="dxa"/>
          </w:tcPr>
          <w:p w14:paraId="0CA8ABC8">
            <w:pPr>
              <w:autoSpaceDE w:val="0"/>
              <w:autoSpaceDN w:val="0"/>
              <w:adjustRightInd w:val="0"/>
              <w:snapToGrid w:val="0"/>
              <w:jc w:val="left"/>
              <w:rPr>
                <w:rFonts w:ascii="宋体" w:hAnsi="宋体"/>
                <w:kern w:val="0"/>
                <w:sz w:val="24"/>
              </w:rPr>
            </w:pPr>
          </w:p>
        </w:tc>
        <w:tc>
          <w:tcPr>
            <w:tcW w:w="852" w:type="dxa"/>
          </w:tcPr>
          <w:p w14:paraId="73283C13">
            <w:pPr>
              <w:autoSpaceDE w:val="0"/>
              <w:autoSpaceDN w:val="0"/>
              <w:adjustRightInd w:val="0"/>
              <w:snapToGrid w:val="0"/>
              <w:jc w:val="left"/>
              <w:rPr>
                <w:rFonts w:ascii="宋体" w:hAnsi="宋体"/>
                <w:kern w:val="0"/>
                <w:sz w:val="24"/>
              </w:rPr>
            </w:pPr>
          </w:p>
        </w:tc>
        <w:tc>
          <w:tcPr>
            <w:tcW w:w="1111" w:type="dxa"/>
          </w:tcPr>
          <w:p w14:paraId="72968917">
            <w:pPr>
              <w:autoSpaceDE w:val="0"/>
              <w:autoSpaceDN w:val="0"/>
              <w:adjustRightInd w:val="0"/>
              <w:snapToGrid w:val="0"/>
              <w:jc w:val="left"/>
              <w:rPr>
                <w:rFonts w:ascii="宋体" w:hAnsi="宋体"/>
                <w:kern w:val="0"/>
                <w:sz w:val="24"/>
              </w:rPr>
            </w:pPr>
          </w:p>
        </w:tc>
        <w:tc>
          <w:tcPr>
            <w:tcW w:w="754" w:type="dxa"/>
          </w:tcPr>
          <w:p w14:paraId="14974210">
            <w:pPr>
              <w:autoSpaceDE w:val="0"/>
              <w:autoSpaceDN w:val="0"/>
              <w:adjustRightInd w:val="0"/>
              <w:snapToGrid w:val="0"/>
              <w:jc w:val="left"/>
              <w:rPr>
                <w:rFonts w:ascii="宋体" w:hAnsi="宋体"/>
                <w:kern w:val="0"/>
                <w:sz w:val="24"/>
              </w:rPr>
            </w:pPr>
          </w:p>
        </w:tc>
        <w:tc>
          <w:tcPr>
            <w:tcW w:w="827" w:type="dxa"/>
          </w:tcPr>
          <w:p w14:paraId="6FD3FF8C">
            <w:pPr>
              <w:autoSpaceDE w:val="0"/>
              <w:autoSpaceDN w:val="0"/>
              <w:adjustRightInd w:val="0"/>
              <w:snapToGrid w:val="0"/>
              <w:jc w:val="left"/>
              <w:rPr>
                <w:rFonts w:ascii="宋体" w:hAnsi="宋体"/>
                <w:kern w:val="0"/>
                <w:sz w:val="24"/>
              </w:rPr>
            </w:pPr>
          </w:p>
        </w:tc>
        <w:tc>
          <w:tcPr>
            <w:tcW w:w="1359" w:type="dxa"/>
          </w:tcPr>
          <w:p w14:paraId="39C6A4AC">
            <w:pPr>
              <w:autoSpaceDE w:val="0"/>
              <w:autoSpaceDN w:val="0"/>
              <w:adjustRightInd w:val="0"/>
              <w:snapToGrid w:val="0"/>
              <w:jc w:val="left"/>
              <w:rPr>
                <w:rFonts w:ascii="宋体" w:hAnsi="宋体"/>
                <w:kern w:val="0"/>
                <w:sz w:val="24"/>
              </w:rPr>
            </w:pPr>
          </w:p>
        </w:tc>
        <w:tc>
          <w:tcPr>
            <w:tcW w:w="1855" w:type="dxa"/>
          </w:tcPr>
          <w:p w14:paraId="688D2AF9">
            <w:pPr>
              <w:autoSpaceDE w:val="0"/>
              <w:autoSpaceDN w:val="0"/>
              <w:adjustRightInd w:val="0"/>
              <w:snapToGrid w:val="0"/>
              <w:jc w:val="left"/>
              <w:rPr>
                <w:rFonts w:ascii="宋体" w:hAnsi="宋体"/>
                <w:kern w:val="0"/>
                <w:sz w:val="24"/>
              </w:rPr>
            </w:pPr>
          </w:p>
        </w:tc>
        <w:tc>
          <w:tcPr>
            <w:tcW w:w="770" w:type="dxa"/>
          </w:tcPr>
          <w:p w14:paraId="7974D564">
            <w:pPr>
              <w:autoSpaceDE w:val="0"/>
              <w:autoSpaceDN w:val="0"/>
              <w:adjustRightInd w:val="0"/>
              <w:snapToGrid w:val="0"/>
              <w:jc w:val="left"/>
              <w:rPr>
                <w:rFonts w:ascii="宋体" w:hAnsi="宋体"/>
                <w:kern w:val="0"/>
                <w:sz w:val="24"/>
              </w:rPr>
            </w:pPr>
          </w:p>
        </w:tc>
      </w:tr>
      <w:tr w14:paraId="2DD7A3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17DFCF8C">
            <w:pPr>
              <w:autoSpaceDE w:val="0"/>
              <w:autoSpaceDN w:val="0"/>
              <w:adjustRightInd w:val="0"/>
              <w:snapToGrid w:val="0"/>
              <w:jc w:val="left"/>
              <w:rPr>
                <w:rFonts w:ascii="宋体" w:hAnsi="宋体"/>
                <w:kern w:val="0"/>
                <w:sz w:val="24"/>
              </w:rPr>
            </w:pPr>
          </w:p>
        </w:tc>
        <w:tc>
          <w:tcPr>
            <w:tcW w:w="1219" w:type="dxa"/>
          </w:tcPr>
          <w:p w14:paraId="30BD049F">
            <w:pPr>
              <w:autoSpaceDE w:val="0"/>
              <w:autoSpaceDN w:val="0"/>
              <w:adjustRightInd w:val="0"/>
              <w:snapToGrid w:val="0"/>
              <w:jc w:val="left"/>
              <w:rPr>
                <w:rFonts w:ascii="宋体" w:hAnsi="宋体"/>
                <w:kern w:val="0"/>
                <w:sz w:val="24"/>
              </w:rPr>
            </w:pPr>
          </w:p>
        </w:tc>
        <w:tc>
          <w:tcPr>
            <w:tcW w:w="852" w:type="dxa"/>
          </w:tcPr>
          <w:p w14:paraId="35F5E58B">
            <w:pPr>
              <w:autoSpaceDE w:val="0"/>
              <w:autoSpaceDN w:val="0"/>
              <w:adjustRightInd w:val="0"/>
              <w:snapToGrid w:val="0"/>
              <w:jc w:val="left"/>
              <w:rPr>
                <w:rFonts w:ascii="宋体" w:hAnsi="宋体"/>
                <w:kern w:val="0"/>
                <w:sz w:val="24"/>
              </w:rPr>
            </w:pPr>
          </w:p>
        </w:tc>
        <w:tc>
          <w:tcPr>
            <w:tcW w:w="1111" w:type="dxa"/>
          </w:tcPr>
          <w:p w14:paraId="629031EF">
            <w:pPr>
              <w:autoSpaceDE w:val="0"/>
              <w:autoSpaceDN w:val="0"/>
              <w:adjustRightInd w:val="0"/>
              <w:snapToGrid w:val="0"/>
              <w:jc w:val="left"/>
              <w:rPr>
                <w:rFonts w:ascii="宋体" w:hAnsi="宋体"/>
                <w:kern w:val="0"/>
                <w:sz w:val="24"/>
              </w:rPr>
            </w:pPr>
          </w:p>
        </w:tc>
        <w:tc>
          <w:tcPr>
            <w:tcW w:w="754" w:type="dxa"/>
          </w:tcPr>
          <w:p w14:paraId="592A0DE6">
            <w:pPr>
              <w:autoSpaceDE w:val="0"/>
              <w:autoSpaceDN w:val="0"/>
              <w:adjustRightInd w:val="0"/>
              <w:snapToGrid w:val="0"/>
              <w:jc w:val="left"/>
              <w:rPr>
                <w:rFonts w:ascii="宋体" w:hAnsi="宋体"/>
                <w:kern w:val="0"/>
                <w:sz w:val="24"/>
              </w:rPr>
            </w:pPr>
          </w:p>
        </w:tc>
        <w:tc>
          <w:tcPr>
            <w:tcW w:w="827" w:type="dxa"/>
          </w:tcPr>
          <w:p w14:paraId="0C9AFD40">
            <w:pPr>
              <w:autoSpaceDE w:val="0"/>
              <w:autoSpaceDN w:val="0"/>
              <w:adjustRightInd w:val="0"/>
              <w:snapToGrid w:val="0"/>
              <w:jc w:val="left"/>
              <w:rPr>
                <w:rFonts w:ascii="宋体" w:hAnsi="宋体"/>
                <w:kern w:val="0"/>
                <w:sz w:val="24"/>
              </w:rPr>
            </w:pPr>
          </w:p>
        </w:tc>
        <w:tc>
          <w:tcPr>
            <w:tcW w:w="1359" w:type="dxa"/>
          </w:tcPr>
          <w:p w14:paraId="00FE0317">
            <w:pPr>
              <w:autoSpaceDE w:val="0"/>
              <w:autoSpaceDN w:val="0"/>
              <w:adjustRightInd w:val="0"/>
              <w:snapToGrid w:val="0"/>
              <w:jc w:val="left"/>
              <w:rPr>
                <w:rFonts w:ascii="宋体" w:hAnsi="宋体"/>
                <w:kern w:val="0"/>
                <w:sz w:val="24"/>
              </w:rPr>
            </w:pPr>
          </w:p>
        </w:tc>
        <w:tc>
          <w:tcPr>
            <w:tcW w:w="1855" w:type="dxa"/>
          </w:tcPr>
          <w:p w14:paraId="4E5830FC">
            <w:pPr>
              <w:autoSpaceDE w:val="0"/>
              <w:autoSpaceDN w:val="0"/>
              <w:adjustRightInd w:val="0"/>
              <w:snapToGrid w:val="0"/>
              <w:jc w:val="left"/>
              <w:rPr>
                <w:rFonts w:ascii="宋体" w:hAnsi="宋体"/>
                <w:kern w:val="0"/>
                <w:sz w:val="24"/>
              </w:rPr>
            </w:pPr>
          </w:p>
        </w:tc>
        <w:tc>
          <w:tcPr>
            <w:tcW w:w="770" w:type="dxa"/>
          </w:tcPr>
          <w:p w14:paraId="0BDB8C6F">
            <w:pPr>
              <w:autoSpaceDE w:val="0"/>
              <w:autoSpaceDN w:val="0"/>
              <w:adjustRightInd w:val="0"/>
              <w:snapToGrid w:val="0"/>
              <w:jc w:val="left"/>
              <w:rPr>
                <w:rFonts w:ascii="宋体" w:hAnsi="宋体"/>
                <w:kern w:val="0"/>
                <w:sz w:val="24"/>
              </w:rPr>
            </w:pPr>
          </w:p>
        </w:tc>
      </w:tr>
      <w:tr w14:paraId="1394C8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340DDD58">
            <w:pPr>
              <w:autoSpaceDE w:val="0"/>
              <w:autoSpaceDN w:val="0"/>
              <w:adjustRightInd w:val="0"/>
              <w:snapToGrid w:val="0"/>
              <w:jc w:val="left"/>
              <w:rPr>
                <w:rFonts w:ascii="宋体" w:hAnsi="宋体"/>
                <w:kern w:val="0"/>
                <w:sz w:val="24"/>
              </w:rPr>
            </w:pPr>
          </w:p>
        </w:tc>
        <w:tc>
          <w:tcPr>
            <w:tcW w:w="1219" w:type="dxa"/>
          </w:tcPr>
          <w:p w14:paraId="09F2518F">
            <w:pPr>
              <w:autoSpaceDE w:val="0"/>
              <w:autoSpaceDN w:val="0"/>
              <w:adjustRightInd w:val="0"/>
              <w:snapToGrid w:val="0"/>
              <w:jc w:val="left"/>
              <w:rPr>
                <w:rFonts w:ascii="宋体" w:hAnsi="宋体"/>
                <w:kern w:val="0"/>
                <w:sz w:val="24"/>
              </w:rPr>
            </w:pPr>
          </w:p>
        </w:tc>
        <w:tc>
          <w:tcPr>
            <w:tcW w:w="852" w:type="dxa"/>
          </w:tcPr>
          <w:p w14:paraId="2856EF24">
            <w:pPr>
              <w:autoSpaceDE w:val="0"/>
              <w:autoSpaceDN w:val="0"/>
              <w:adjustRightInd w:val="0"/>
              <w:snapToGrid w:val="0"/>
              <w:jc w:val="left"/>
              <w:rPr>
                <w:rFonts w:ascii="宋体" w:hAnsi="宋体"/>
                <w:kern w:val="0"/>
                <w:sz w:val="24"/>
              </w:rPr>
            </w:pPr>
          </w:p>
        </w:tc>
        <w:tc>
          <w:tcPr>
            <w:tcW w:w="1111" w:type="dxa"/>
          </w:tcPr>
          <w:p w14:paraId="3F5D185B">
            <w:pPr>
              <w:autoSpaceDE w:val="0"/>
              <w:autoSpaceDN w:val="0"/>
              <w:adjustRightInd w:val="0"/>
              <w:snapToGrid w:val="0"/>
              <w:jc w:val="left"/>
              <w:rPr>
                <w:rFonts w:ascii="宋体" w:hAnsi="宋体"/>
                <w:kern w:val="0"/>
                <w:sz w:val="24"/>
              </w:rPr>
            </w:pPr>
          </w:p>
        </w:tc>
        <w:tc>
          <w:tcPr>
            <w:tcW w:w="754" w:type="dxa"/>
          </w:tcPr>
          <w:p w14:paraId="6E58E942">
            <w:pPr>
              <w:autoSpaceDE w:val="0"/>
              <w:autoSpaceDN w:val="0"/>
              <w:adjustRightInd w:val="0"/>
              <w:snapToGrid w:val="0"/>
              <w:jc w:val="left"/>
              <w:rPr>
                <w:rFonts w:ascii="宋体" w:hAnsi="宋体"/>
                <w:kern w:val="0"/>
                <w:sz w:val="24"/>
              </w:rPr>
            </w:pPr>
          </w:p>
        </w:tc>
        <w:tc>
          <w:tcPr>
            <w:tcW w:w="827" w:type="dxa"/>
          </w:tcPr>
          <w:p w14:paraId="06AA5937">
            <w:pPr>
              <w:autoSpaceDE w:val="0"/>
              <w:autoSpaceDN w:val="0"/>
              <w:adjustRightInd w:val="0"/>
              <w:snapToGrid w:val="0"/>
              <w:jc w:val="left"/>
              <w:rPr>
                <w:rFonts w:ascii="宋体" w:hAnsi="宋体"/>
                <w:kern w:val="0"/>
                <w:sz w:val="24"/>
              </w:rPr>
            </w:pPr>
          </w:p>
        </w:tc>
        <w:tc>
          <w:tcPr>
            <w:tcW w:w="1359" w:type="dxa"/>
          </w:tcPr>
          <w:p w14:paraId="7E1156CC">
            <w:pPr>
              <w:autoSpaceDE w:val="0"/>
              <w:autoSpaceDN w:val="0"/>
              <w:adjustRightInd w:val="0"/>
              <w:snapToGrid w:val="0"/>
              <w:jc w:val="left"/>
              <w:rPr>
                <w:rFonts w:ascii="宋体" w:hAnsi="宋体"/>
                <w:kern w:val="0"/>
                <w:sz w:val="24"/>
              </w:rPr>
            </w:pPr>
          </w:p>
        </w:tc>
        <w:tc>
          <w:tcPr>
            <w:tcW w:w="1855" w:type="dxa"/>
          </w:tcPr>
          <w:p w14:paraId="00D07C5C">
            <w:pPr>
              <w:autoSpaceDE w:val="0"/>
              <w:autoSpaceDN w:val="0"/>
              <w:adjustRightInd w:val="0"/>
              <w:snapToGrid w:val="0"/>
              <w:jc w:val="left"/>
              <w:rPr>
                <w:rFonts w:ascii="宋体" w:hAnsi="宋体"/>
                <w:kern w:val="0"/>
                <w:sz w:val="24"/>
              </w:rPr>
            </w:pPr>
          </w:p>
        </w:tc>
        <w:tc>
          <w:tcPr>
            <w:tcW w:w="770" w:type="dxa"/>
          </w:tcPr>
          <w:p w14:paraId="4F60EA01">
            <w:pPr>
              <w:autoSpaceDE w:val="0"/>
              <w:autoSpaceDN w:val="0"/>
              <w:adjustRightInd w:val="0"/>
              <w:snapToGrid w:val="0"/>
              <w:jc w:val="left"/>
              <w:rPr>
                <w:rFonts w:ascii="宋体" w:hAnsi="宋体"/>
                <w:kern w:val="0"/>
                <w:sz w:val="24"/>
              </w:rPr>
            </w:pPr>
          </w:p>
        </w:tc>
      </w:tr>
      <w:tr w14:paraId="47099D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5E0288B8">
            <w:pPr>
              <w:autoSpaceDE w:val="0"/>
              <w:autoSpaceDN w:val="0"/>
              <w:adjustRightInd w:val="0"/>
              <w:snapToGrid w:val="0"/>
              <w:jc w:val="left"/>
              <w:rPr>
                <w:rFonts w:ascii="宋体" w:hAnsi="宋体"/>
                <w:kern w:val="0"/>
                <w:sz w:val="24"/>
              </w:rPr>
            </w:pPr>
          </w:p>
        </w:tc>
        <w:tc>
          <w:tcPr>
            <w:tcW w:w="1219" w:type="dxa"/>
          </w:tcPr>
          <w:p w14:paraId="5640CF5A">
            <w:pPr>
              <w:autoSpaceDE w:val="0"/>
              <w:autoSpaceDN w:val="0"/>
              <w:adjustRightInd w:val="0"/>
              <w:snapToGrid w:val="0"/>
              <w:jc w:val="left"/>
              <w:rPr>
                <w:rFonts w:ascii="宋体" w:hAnsi="宋体"/>
                <w:kern w:val="0"/>
                <w:sz w:val="24"/>
              </w:rPr>
            </w:pPr>
          </w:p>
        </w:tc>
        <w:tc>
          <w:tcPr>
            <w:tcW w:w="852" w:type="dxa"/>
          </w:tcPr>
          <w:p w14:paraId="4037BE7F">
            <w:pPr>
              <w:autoSpaceDE w:val="0"/>
              <w:autoSpaceDN w:val="0"/>
              <w:adjustRightInd w:val="0"/>
              <w:snapToGrid w:val="0"/>
              <w:jc w:val="left"/>
              <w:rPr>
                <w:rFonts w:ascii="宋体" w:hAnsi="宋体"/>
                <w:kern w:val="0"/>
                <w:sz w:val="24"/>
              </w:rPr>
            </w:pPr>
          </w:p>
        </w:tc>
        <w:tc>
          <w:tcPr>
            <w:tcW w:w="1111" w:type="dxa"/>
          </w:tcPr>
          <w:p w14:paraId="5481DA8B">
            <w:pPr>
              <w:autoSpaceDE w:val="0"/>
              <w:autoSpaceDN w:val="0"/>
              <w:adjustRightInd w:val="0"/>
              <w:snapToGrid w:val="0"/>
              <w:jc w:val="left"/>
              <w:rPr>
                <w:rFonts w:ascii="宋体" w:hAnsi="宋体"/>
                <w:kern w:val="0"/>
                <w:sz w:val="24"/>
              </w:rPr>
            </w:pPr>
          </w:p>
        </w:tc>
        <w:tc>
          <w:tcPr>
            <w:tcW w:w="754" w:type="dxa"/>
          </w:tcPr>
          <w:p w14:paraId="07EE7FB8">
            <w:pPr>
              <w:autoSpaceDE w:val="0"/>
              <w:autoSpaceDN w:val="0"/>
              <w:adjustRightInd w:val="0"/>
              <w:snapToGrid w:val="0"/>
              <w:jc w:val="left"/>
              <w:rPr>
                <w:rFonts w:ascii="宋体" w:hAnsi="宋体"/>
                <w:kern w:val="0"/>
                <w:sz w:val="24"/>
              </w:rPr>
            </w:pPr>
          </w:p>
        </w:tc>
        <w:tc>
          <w:tcPr>
            <w:tcW w:w="827" w:type="dxa"/>
          </w:tcPr>
          <w:p w14:paraId="439D074F">
            <w:pPr>
              <w:autoSpaceDE w:val="0"/>
              <w:autoSpaceDN w:val="0"/>
              <w:adjustRightInd w:val="0"/>
              <w:snapToGrid w:val="0"/>
              <w:jc w:val="left"/>
              <w:rPr>
                <w:rFonts w:ascii="宋体" w:hAnsi="宋体"/>
                <w:kern w:val="0"/>
                <w:sz w:val="24"/>
              </w:rPr>
            </w:pPr>
          </w:p>
        </w:tc>
        <w:tc>
          <w:tcPr>
            <w:tcW w:w="1359" w:type="dxa"/>
          </w:tcPr>
          <w:p w14:paraId="4812CC5C">
            <w:pPr>
              <w:autoSpaceDE w:val="0"/>
              <w:autoSpaceDN w:val="0"/>
              <w:adjustRightInd w:val="0"/>
              <w:snapToGrid w:val="0"/>
              <w:jc w:val="left"/>
              <w:rPr>
                <w:rFonts w:ascii="宋体" w:hAnsi="宋体"/>
                <w:kern w:val="0"/>
                <w:sz w:val="24"/>
              </w:rPr>
            </w:pPr>
          </w:p>
        </w:tc>
        <w:tc>
          <w:tcPr>
            <w:tcW w:w="1855" w:type="dxa"/>
          </w:tcPr>
          <w:p w14:paraId="0351A860">
            <w:pPr>
              <w:autoSpaceDE w:val="0"/>
              <w:autoSpaceDN w:val="0"/>
              <w:adjustRightInd w:val="0"/>
              <w:snapToGrid w:val="0"/>
              <w:jc w:val="left"/>
              <w:rPr>
                <w:rFonts w:ascii="宋体" w:hAnsi="宋体"/>
                <w:kern w:val="0"/>
                <w:sz w:val="24"/>
              </w:rPr>
            </w:pPr>
          </w:p>
        </w:tc>
        <w:tc>
          <w:tcPr>
            <w:tcW w:w="770" w:type="dxa"/>
          </w:tcPr>
          <w:p w14:paraId="2AA193FE">
            <w:pPr>
              <w:autoSpaceDE w:val="0"/>
              <w:autoSpaceDN w:val="0"/>
              <w:adjustRightInd w:val="0"/>
              <w:snapToGrid w:val="0"/>
              <w:jc w:val="left"/>
              <w:rPr>
                <w:rFonts w:ascii="宋体" w:hAnsi="宋体"/>
                <w:kern w:val="0"/>
                <w:sz w:val="24"/>
              </w:rPr>
            </w:pPr>
          </w:p>
        </w:tc>
      </w:tr>
      <w:tr w14:paraId="17C18C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25EC510A">
            <w:pPr>
              <w:autoSpaceDE w:val="0"/>
              <w:autoSpaceDN w:val="0"/>
              <w:adjustRightInd w:val="0"/>
              <w:snapToGrid w:val="0"/>
              <w:jc w:val="left"/>
              <w:rPr>
                <w:rFonts w:ascii="宋体" w:hAnsi="宋体"/>
                <w:kern w:val="0"/>
                <w:sz w:val="24"/>
              </w:rPr>
            </w:pPr>
          </w:p>
        </w:tc>
        <w:tc>
          <w:tcPr>
            <w:tcW w:w="1219" w:type="dxa"/>
          </w:tcPr>
          <w:p w14:paraId="52A132D5">
            <w:pPr>
              <w:autoSpaceDE w:val="0"/>
              <w:autoSpaceDN w:val="0"/>
              <w:adjustRightInd w:val="0"/>
              <w:snapToGrid w:val="0"/>
              <w:jc w:val="left"/>
              <w:rPr>
                <w:rFonts w:ascii="宋体" w:hAnsi="宋体"/>
                <w:kern w:val="0"/>
                <w:sz w:val="24"/>
              </w:rPr>
            </w:pPr>
          </w:p>
        </w:tc>
        <w:tc>
          <w:tcPr>
            <w:tcW w:w="852" w:type="dxa"/>
          </w:tcPr>
          <w:p w14:paraId="5537B185">
            <w:pPr>
              <w:autoSpaceDE w:val="0"/>
              <w:autoSpaceDN w:val="0"/>
              <w:adjustRightInd w:val="0"/>
              <w:snapToGrid w:val="0"/>
              <w:jc w:val="left"/>
              <w:rPr>
                <w:rFonts w:ascii="宋体" w:hAnsi="宋体"/>
                <w:kern w:val="0"/>
                <w:sz w:val="24"/>
              </w:rPr>
            </w:pPr>
          </w:p>
        </w:tc>
        <w:tc>
          <w:tcPr>
            <w:tcW w:w="1111" w:type="dxa"/>
          </w:tcPr>
          <w:p w14:paraId="5B5BE060">
            <w:pPr>
              <w:autoSpaceDE w:val="0"/>
              <w:autoSpaceDN w:val="0"/>
              <w:adjustRightInd w:val="0"/>
              <w:snapToGrid w:val="0"/>
              <w:jc w:val="left"/>
              <w:rPr>
                <w:rFonts w:ascii="宋体" w:hAnsi="宋体"/>
                <w:kern w:val="0"/>
                <w:sz w:val="24"/>
              </w:rPr>
            </w:pPr>
          </w:p>
        </w:tc>
        <w:tc>
          <w:tcPr>
            <w:tcW w:w="754" w:type="dxa"/>
          </w:tcPr>
          <w:p w14:paraId="01F387C8">
            <w:pPr>
              <w:autoSpaceDE w:val="0"/>
              <w:autoSpaceDN w:val="0"/>
              <w:adjustRightInd w:val="0"/>
              <w:snapToGrid w:val="0"/>
              <w:jc w:val="left"/>
              <w:rPr>
                <w:rFonts w:ascii="宋体" w:hAnsi="宋体"/>
                <w:kern w:val="0"/>
                <w:sz w:val="24"/>
              </w:rPr>
            </w:pPr>
          </w:p>
        </w:tc>
        <w:tc>
          <w:tcPr>
            <w:tcW w:w="827" w:type="dxa"/>
          </w:tcPr>
          <w:p w14:paraId="727F73B1">
            <w:pPr>
              <w:autoSpaceDE w:val="0"/>
              <w:autoSpaceDN w:val="0"/>
              <w:adjustRightInd w:val="0"/>
              <w:snapToGrid w:val="0"/>
              <w:jc w:val="left"/>
              <w:rPr>
                <w:rFonts w:ascii="宋体" w:hAnsi="宋体"/>
                <w:kern w:val="0"/>
                <w:sz w:val="24"/>
              </w:rPr>
            </w:pPr>
          </w:p>
        </w:tc>
        <w:tc>
          <w:tcPr>
            <w:tcW w:w="1359" w:type="dxa"/>
          </w:tcPr>
          <w:p w14:paraId="56686782">
            <w:pPr>
              <w:autoSpaceDE w:val="0"/>
              <w:autoSpaceDN w:val="0"/>
              <w:adjustRightInd w:val="0"/>
              <w:snapToGrid w:val="0"/>
              <w:jc w:val="left"/>
              <w:rPr>
                <w:rFonts w:ascii="宋体" w:hAnsi="宋体"/>
                <w:kern w:val="0"/>
                <w:sz w:val="24"/>
              </w:rPr>
            </w:pPr>
          </w:p>
        </w:tc>
        <w:tc>
          <w:tcPr>
            <w:tcW w:w="1855" w:type="dxa"/>
          </w:tcPr>
          <w:p w14:paraId="6AFAD989">
            <w:pPr>
              <w:autoSpaceDE w:val="0"/>
              <w:autoSpaceDN w:val="0"/>
              <w:adjustRightInd w:val="0"/>
              <w:snapToGrid w:val="0"/>
              <w:jc w:val="left"/>
              <w:rPr>
                <w:rFonts w:ascii="宋体" w:hAnsi="宋体"/>
                <w:kern w:val="0"/>
                <w:sz w:val="24"/>
              </w:rPr>
            </w:pPr>
          </w:p>
        </w:tc>
        <w:tc>
          <w:tcPr>
            <w:tcW w:w="770" w:type="dxa"/>
          </w:tcPr>
          <w:p w14:paraId="5124CE72">
            <w:pPr>
              <w:autoSpaceDE w:val="0"/>
              <w:autoSpaceDN w:val="0"/>
              <w:adjustRightInd w:val="0"/>
              <w:snapToGrid w:val="0"/>
              <w:jc w:val="left"/>
              <w:rPr>
                <w:rFonts w:ascii="宋体" w:hAnsi="宋体"/>
                <w:kern w:val="0"/>
                <w:sz w:val="24"/>
              </w:rPr>
            </w:pPr>
          </w:p>
        </w:tc>
      </w:tr>
      <w:tr w14:paraId="1F7660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2BC54600">
            <w:pPr>
              <w:autoSpaceDE w:val="0"/>
              <w:autoSpaceDN w:val="0"/>
              <w:adjustRightInd w:val="0"/>
              <w:snapToGrid w:val="0"/>
              <w:jc w:val="left"/>
              <w:rPr>
                <w:rFonts w:ascii="宋体" w:hAnsi="宋体"/>
                <w:kern w:val="0"/>
                <w:sz w:val="24"/>
              </w:rPr>
            </w:pPr>
          </w:p>
        </w:tc>
        <w:tc>
          <w:tcPr>
            <w:tcW w:w="1219" w:type="dxa"/>
          </w:tcPr>
          <w:p w14:paraId="680C1899">
            <w:pPr>
              <w:autoSpaceDE w:val="0"/>
              <w:autoSpaceDN w:val="0"/>
              <w:adjustRightInd w:val="0"/>
              <w:snapToGrid w:val="0"/>
              <w:jc w:val="left"/>
              <w:rPr>
                <w:rFonts w:ascii="宋体" w:hAnsi="宋体"/>
                <w:kern w:val="0"/>
                <w:sz w:val="24"/>
              </w:rPr>
            </w:pPr>
          </w:p>
        </w:tc>
        <w:tc>
          <w:tcPr>
            <w:tcW w:w="852" w:type="dxa"/>
          </w:tcPr>
          <w:p w14:paraId="31F2AC87">
            <w:pPr>
              <w:autoSpaceDE w:val="0"/>
              <w:autoSpaceDN w:val="0"/>
              <w:adjustRightInd w:val="0"/>
              <w:snapToGrid w:val="0"/>
              <w:jc w:val="left"/>
              <w:rPr>
                <w:rFonts w:ascii="宋体" w:hAnsi="宋体"/>
                <w:kern w:val="0"/>
                <w:sz w:val="24"/>
              </w:rPr>
            </w:pPr>
          </w:p>
        </w:tc>
        <w:tc>
          <w:tcPr>
            <w:tcW w:w="1111" w:type="dxa"/>
          </w:tcPr>
          <w:p w14:paraId="477DB30B">
            <w:pPr>
              <w:autoSpaceDE w:val="0"/>
              <w:autoSpaceDN w:val="0"/>
              <w:adjustRightInd w:val="0"/>
              <w:snapToGrid w:val="0"/>
              <w:jc w:val="left"/>
              <w:rPr>
                <w:rFonts w:ascii="宋体" w:hAnsi="宋体"/>
                <w:kern w:val="0"/>
                <w:sz w:val="24"/>
              </w:rPr>
            </w:pPr>
          </w:p>
        </w:tc>
        <w:tc>
          <w:tcPr>
            <w:tcW w:w="754" w:type="dxa"/>
          </w:tcPr>
          <w:p w14:paraId="28E3D17F">
            <w:pPr>
              <w:autoSpaceDE w:val="0"/>
              <w:autoSpaceDN w:val="0"/>
              <w:adjustRightInd w:val="0"/>
              <w:snapToGrid w:val="0"/>
              <w:jc w:val="left"/>
              <w:rPr>
                <w:rFonts w:ascii="宋体" w:hAnsi="宋体"/>
                <w:kern w:val="0"/>
                <w:sz w:val="24"/>
              </w:rPr>
            </w:pPr>
          </w:p>
        </w:tc>
        <w:tc>
          <w:tcPr>
            <w:tcW w:w="827" w:type="dxa"/>
          </w:tcPr>
          <w:p w14:paraId="252F8A6C">
            <w:pPr>
              <w:autoSpaceDE w:val="0"/>
              <w:autoSpaceDN w:val="0"/>
              <w:adjustRightInd w:val="0"/>
              <w:snapToGrid w:val="0"/>
              <w:jc w:val="left"/>
              <w:rPr>
                <w:rFonts w:ascii="宋体" w:hAnsi="宋体"/>
                <w:kern w:val="0"/>
                <w:sz w:val="24"/>
              </w:rPr>
            </w:pPr>
          </w:p>
        </w:tc>
        <w:tc>
          <w:tcPr>
            <w:tcW w:w="1359" w:type="dxa"/>
          </w:tcPr>
          <w:p w14:paraId="1E9B3501">
            <w:pPr>
              <w:autoSpaceDE w:val="0"/>
              <w:autoSpaceDN w:val="0"/>
              <w:adjustRightInd w:val="0"/>
              <w:snapToGrid w:val="0"/>
              <w:jc w:val="left"/>
              <w:rPr>
                <w:rFonts w:ascii="宋体" w:hAnsi="宋体"/>
                <w:kern w:val="0"/>
                <w:sz w:val="24"/>
              </w:rPr>
            </w:pPr>
          </w:p>
        </w:tc>
        <w:tc>
          <w:tcPr>
            <w:tcW w:w="1855" w:type="dxa"/>
          </w:tcPr>
          <w:p w14:paraId="7AF827FB">
            <w:pPr>
              <w:autoSpaceDE w:val="0"/>
              <w:autoSpaceDN w:val="0"/>
              <w:adjustRightInd w:val="0"/>
              <w:snapToGrid w:val="0"/>
              <w:jc w:val="left"/>
              <w:rPr>
                <w:rFonts w:ascii="宋体" w:hAnsi="宋体"/>
                <w:kern w:val="0"/>
                <w:sz w:val="24"/>
              </w:rPr>
            </w:pPr>
          </w:p>
        </w:tc>
        <w:tc>
          <w:tcPr>
            <w:tcW w:w="770" w:type="dxa"/>
          </w:tcPr>
          <w:p w14:paraId="2684CB8F">
            <w:pPr>
              <w:autoSpaceDE w:val="0"/>
              <w:autoSpaceDN w:val="0"/>
              <w:adjustRightInd w:val="0"/>
              <w:snapToGrid w:val="0"/>
              <w:jc w:val="left"/>
              <w:rPr>
                <w:rFonts w:ascii="宋体" w:hAnsi="宋体"/>
                <w:kern w:val="0"/>
                <w:sz w:val="24"/>
              </w:rPr>
            </w:pPr>
          </w:p>
        </w:tc>
      </w:tr>
      <w:tr w14:paraId="39E23E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19C2B7F1">
            <w:pPr>
              <w:autoSpaceDE w:val="0"/>
              <w:autoSpaceDN w:val="0"/>
              <w:adjustRightInd w:val="0"/>
              <w:snapToGrid w:val="0"/>
              <w:jc w:val="left"/>
              <w:rPr>
                <w:rFonts w:ascii="宋体" w:hAnsi="宋体"/>
                <w:kern w:val="0"/>
                <w:sz w:val="24"/>
              </w:rPr>
            </w:pPr>
          </w:p>
        </w:tc>
        <w:tc>
          <w:tcPr>
            <w:tcW w:w="1219" w:type="dxa"/>
          </w:tcPr>
          <w:p w14:paraId="40CF6C22">
            <w:pPr>
              <w:autoSpaceDE w:val="0"/>
              <w:autoSpaceDN w:val="0"/>
              <w:adjustRightInd w:val="0"/>
              <w:snapToGrid w:val="0"/>
              <w:jc w:val="left"/>
              <w:rPr>
                <w:rFonts w:ascii="宋体" w:hAnsi="宋体"/>
                <w:kern w:val="0"/>
                <w:sz w:val="24"/>
              </w:rPr>
            </w:pPr>
          </w:p>
        </w:tc>
        <w:tc>
          <w:tcPr>
            <w:tcW w:w="852" w:type="dxa"/>
          </w:tcPr>
          <w:p w14:paraId="32D186FA">
            <w:pPr>
              <w:autoSpaceDE w:val="0"/>
              <w:autoSpaceDN w:val="0"/>
              <w:adjustRightInd w:val="0"/>
              <w:snapToGrid w:val="0"/>
              <w:jc w:val="left"/>
              <w:rPr>
                <w:rFonts w:ascii="宋体" w:hAnsi="宋体"/>
                <w:kern w:val="0"/>
                <w:sz w:val="24"/>
              </w:rPr>
            </w:pPr>
          </w:p>
        </w:tc>
        <w:tc>
          <w:tcPr>
            <w:tcW w:w="1111" w:type="dxa"/>
          </w:tcPr>
          <w:p w14:paraId="3DE4B176">
            <w:pPr>
              <w:autoSpaceDE w:val="0"/>
              <w:autoSpaceDN w:val="0"/>
              <w:adjustRightInd w:val="0"/>
              <w:snapToGrid w:val="0"/>
              <w:jc w:val="left"/>
              <w:rPr>
                <w:rFonts w:ascii="宋体" w:hAnsi="宋体"/>
                <w:kern w:val="0"/>
                <w:sz w:val="24"/>
              </w:rPr>
            </w:pPr>
          </w:p>
        </w:tc>
        <w:tc>
          <w:tcPr>
            <w:tcW w:w="754" w:type="dxa"/>
          </w:tcPr>
          <w:p w14:paraId="549FF9C2">
            <w:pPr>
              <w:autoSpaceDE w:val="0"/>
              <w:autoSpaceDN w:val="0"/>
              <w:adjustRightInd w:val="0"/>
              <w:snapToGrid w:val="0"/>
              <w:jc w:val="left"/>
              <w:rPr>
                <w:rFonts w:ascii="宋体" w:hAnsi="宋体"/>
                <w:kern w:val="0"/>
                <w:sz w:val="24"/>
              </w:rPr>
            </w:pPr>
          </w:p>
        </w:tc>
        <w:tc>
          <w:tcPr>
            <w:tcW w:w="827" w:type="dxa"/>
          </w:tcPr>
          <w:p w14:paraId="581D4F5F">
            <w:pPr>
              <w:autoSpaceDE w:val="0"/>
              <w:autoSpaceDN w:val="0"/>
              <w:adjustRightInd w:val="0"/>
              <w:snapToGrid w:val="0"/>
              <w:jc w:val="left"/>
              <w:rPr>
                <w:rFonts w:ascii="宋体" w:hAnsi="宋体"/>
                <w:kern w:val="0"/>
                <w:sz w:val="24"/>
              </w:rPr>
            </w:pPr>
          </w:p>
        </w:tc>
        <w:tc>
          <w:tcPr>
            <w:tcW w:w="1359" w:type="dxa"/>
          </w:tcPr>
          <w:p w14:paraId="6CA1AF80">
            <w:pPr>
              <w:autoSpaceDE w:val="0"/>
              <w:autoSpaceDN w:val="0"/>
              <w:adjustRightInd w:val="0"/>
              <w:snapToGrid w:val="0"/>
              <w:jc w:val="left"/>
              <w:rPr>
                <w:rFonts w:ascii="宋体" w:hAnsi="宋体"/>
                <w:kern w:val="0"/>
                <w:sz w:val="24"/>
              </w:rPr>
            </w:pPr>
          </w:p>
        </w:tc>
        <w:tc>
          <w:tcPr>
            <w:tcW w:w="1855" w:type="dxa"/>
          </w:tcPr>
          <w:p w14:paraId="6F0F97F0">
            <w:pPr>
              <w:autoSpaceDE w:val="0"/>
              <w:autoSpaceDN w:val="0"/>
              <w:adjustRightInd w:val="0"/>
              <w:snapToGrid w:val="0"/>
              <w:jc w:val="left"/>
              <w:rPr>
                <w:rFonts w:ascii="宋体" w:hAnsi="宋体"/>
                <w:kern w:val="0"/>
                <w:sz w:val="24"/>
              </w:rPr>
            </w:pPr>
          </w:p>
        </w:tc>
        <w:tc>
          <w:tcPr>
            <w:tcW w:w="770" w:type="dxa"/>
          </w:tcPr>
          <w:p w14:paraId="05C1AF3E">
            <w:pPr>
              <w:autoSpaceDE w:val="0"/>
              <w:autoSpaceDN w:val="0"/>
              <w:adjustRightInd w:val="0"/>
              <w:snapToGrid w:val="0"/>
              <w:jc w:val="left"/>
              <w:rPr>
                <w:rFonts w:ascii="宋体" w:hAnsi="宋体"/>
                <w:kern w:val="0"/>
                <w:sz w:val="24"/>
              </w:rPr>
            </w:pPr>
          </w:p>
        </w:tc>
      </w:tr>
      <w:tr w14:paraId="2C9A6F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382ADC67">
            <w:pPr>
              <w:autoSpaceDE w:val="0"/>
              <w:autoSpaceDN w:val="0"/>
              <w:adjustRightInd w:val="0"/>
              <w:snapToGrid w:val="0"/>
              <w:jc w:val="left"/>
              <w:rPr>
                <w:rFonts w:ascii="宋体" w:hAnsi="宋体"/>
                <w:kern w:val="0"/>
                <w:sz w:val="24"/>
              </w:rPr>
            </w:pPr>
          </w:p>
        </w:tc>
        <w:tc>
          <w:tcPr>
            <w:tcW w:w="1219" w:type="dxa"/>
          </w:tcPr>
          <w:p w14:paraId="4495D9D0">
            <w:pPr>
              <w:autoSpaceDE w:val="0"/>
              <w:autoSpaceDN w:val="0"/>
              <w:adjustRightInd w:val="0"/>
              <w:snapToGrid w:val="0"/>
              <w:jc w:val="left"/>
              <w:rPr>
                <w:rFonts w:ascii="宋体" w:hAnsi="宋体"/>
                <w:kern w:val="0"/>
                <w:sz w:val="24"/>
              </w:rPr>
            </w:pPr>
          </w:p>
        </w:tc>
        <w:tc>
          <w:tcPr>
            <w:tcW w:w="852" w:type="dxa"/>
          </w:tcPr>
          <w:p w14:paraId="0FFCFCCC">
            <w:pPr>
              <w:autoSpaceDE w:val="0"/>
              <w:autoSpaceDN w:val="0"/>
              <w:adjustRightInd w:val="0"/>
              <w:snapToGrid w:val="0"/>
              <w:jc w:val="left"/>
              <w:rPr>
                <w:rFonts w:ascii="宋体" w:hAnsi="宋体"/>
                <w:kern w:val="0"/>
                <w:sz w:val="24"/>
              </w:rPr>
            </w:pPr>
          </w:p>
        </w:tc>
        <w:tc>
          <w:tcPr>
            <w:tcW w:w="1111" w:type="dxa"/>
          </w:tcPr>
          <w:p w14:paraId="565C2E05">
            <w:pPr>
              <w:autoSpaceDE w:val="0"/>
              <w:autoSpaceDN w:val="0"/>
              <w:adjustRightInd w:val="0"/>
              <w:snapToGrid w:val="0"/>
              <w:jc w:val="left"/>
              <w:rPr>
                <w:rFonts w:ascii="宋体" w:hAnsi="宋体"/>
                <w:kern w:val="0"/>
                <w:sz w:val="24"/>
              </w:rPr>
            </w:pPr>
          </w:p>
        </w:tc>
        <w:tc>
          <w:tcPr>
            <w:tcW w:w="754" w:type="dxa"/>
          </w:tcPr>
          <w:p w14:paraId="0079EB55">
            <w:pPr>
              <w:autoSpaceDE w:val="0"/>
              <w:autoSpaceDN w:val="0"/>
              <w:adjustRightInd w:val="0"/>
              <w:snapToGrid w:val="0"/>
              <w:jc w:val="left"/>
              <w:rPr>
                <w:rFonts w:ascii="宋体" w:hAnsi="宋体"/>
                <w:kern w:val="0"/>
                <w:sz w:val="24"/>
              </w:rPr>
            </w:pPr>
          </w:p>
        </w:tc>
        <w:tc>
          <w:tcPr>
            <w:tcW w:w="827" w:type="dxa"/>
          </w:tcPr>
          <w:p w14:paraId="1C3806ED">
            <w:pPr>
              <w:autoSpaceDE w:val="0"/>
              <w:autoSpaceDN w:val="0"/>
              <w:adjustRightInd w:val="0"/>
              <w:snapToGrid w:val="0"/>
              <w:jc w:val="left"/>
              <w:rPr>
                <w:rFonts w:ascii="宋体" w:hAnsi="宋体"/>
                <w:kern w:val="0"/>
                <w:sz w:val="24"/>
              </w:rPr>
            </w:pPr>
          </w:p>
        </w:tc>
        <w:tc>
          <w:tcPr>
            <w:tcW w:w="1359" w:type="dxa"/>
          </w:tcPr>
          <w:p w14:paraId="75666387">
            <w:pPr>
              <w:autoSpaceDE w:val="0"/>
              <w:autoSpaceDN w:val="0"/>
              <w:adjustRightInd w:val="0"/>
              <w:snapToGrid w:val="0"/>
              <w:jc w:val="left"/>
              <w:rPr>
                <w:rFonts w:ascii="宋体" w:hAnsi="宋体"/>
                <w:kern w:val="0"/>
                <w:sz w:val="24"/>
              </w:rPr>
            </w:pPr>
          </w:p>
        </w:tc>
        <w:tc>
          <w:tcPr>
            <w:tcW w:w="1855" w:type="dxa"/>
          </w:tcPr>
          <w:p w14:paraId="125BD5D2">
            <w:pPr>
              <w:autoSpaceDE w:val="0"/>
              <w:autoSpaceDN w:val="0"/>
              <w:adjustRightInd w:val="0"/>
              <w:snapToGrid w:val="0"/>
              <w:jc w:val="left"/>
              <w:rPr>
                <w:rFonts w:ascii="宋体" w:hAnsi="宋体"/>
                <w:kern w:val="0"/>
                <w:sz w:val="24"/>
              </w:rPr>
            </w:pPr>
          </w:p>
        </w:tc>
        <w:tc>
          <w:tcPr>
            <w:tcW w:w="770" w:type="dxa"/>
          </w:tcPr>
          <w:p w14:paraId="08046A00">
            <w:pPr>
              <w:autoSpaceDE w:val="0"/>
              <w:autoSpaceDN w:val="0"/>
              <w:adjustRightInd w:val="0"/>
              <w:snapToGrid w:val="0"/>
              <w:jc w:val="left"/>
              <w:rPr>
                <w:rFonts w:ascii="宋体" w:hAnsi="宋体"/>
                <w:kern w:val="0"/>
                <w:sz w:val="24"/>
              </w:rPr>
            </w:pPr>
          </w:p>
        </w:tc>
      </w:tr>
      <w:tr w14:paraId="344FA3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109DC7F7">
            <w:pPr>
              <w:autoSpaceDE w:val="0"/>
              <w:autoSpaceDN w:val="0"/>
              <w:adjustRightInd w:val="0"/>
              <w:snapToGrid w:val="0"/>
              <w:jc w:val="left"/>
              <w:rPr>
                <w:rFonts w:ascii="宋体" w:hAnsi="宋体"/>
                <w:kern w:val="0"/>
                <w:sz w:val="24"/>
              </w:rPr>
            </w:pPr>
          </w:p>
        </w:tc>
        <w:tc>
          <w:tcPr>
            <w:tcW w:w="1219" w:type="dxa"/>
          </w:tcPr>
          <w:p w14:paraId="1F630756">
            <w:pPr>
              <w:autoSpaceDE w:val="0"/>
              <w:autoSpaceDN w:val="0"/>
              <w:adjustRightInd w:val="0"/>
              <w:snapToGrid w:val="0"/>
              <w:jc w:val="left"/>
              <w:rPr>
                <w:rFonts w:ascii="宋体" w:hAnsi="宋体"/>
                <w:kern w:val="0"/>
                <w:sz w:val="24"/>
              </w:rPr>
            </w:pPr>
          </w:p>
        </w:tc>
        <w:tc>
          <w:tcPr>
            <w:tcW w:w="852" w:type="dxa"/>
          </w:tcPr>
          <w:p w14:paraId="7A84EC57">
            <w:pPr>
              <w:autoSpaceDE w:val="0"/>
              <w:autoSpaceDN w:val="0"/>
              <w:adjustRightInd w:val="0"/>
              <w:snapToGrid w:val="0"/>
              <w:jc w:val="left"/>
              <w:rPr>
                <w:rFonts w:ascii="宋体" w:hAnsi="宋体"/>
                <w:kern w:val="0"/>
                <w:sz w:val="24"/>
              </w:rPr>
            </w:pPr>
          </w:p>
        </w:tc>
        <w:tc>
          <w:tcPr>
            <w:tcW w:w="1111" w:type="dxa"/>
          </w:tcPr>
          <w:p w14:paraId="78ECC5EA">
            <w:pPr>
              <w:autoSpaceDE w:val="0"/>
              <w:autoSpaceDN w:val="0"/>
              <w:adjustRightInd w:val="0"/>
              <w:snapToGrid w:val="0"/>
              <w:jc w:val="left"/>
              <w:rPr>
                <w:rFonts w:ascii="宋体" w:hAnsi="宋体"/>
                <w:kern w:val="0"/>
                <w:sz w:val="24"/>
              </w:rPr>
            </w:pPr>
          </w:p>
        </w:tc>
        <w:tc>
          <w:tcPr>
            <w:tcW w:w="754" w:type="dxa"/>
          </w:tcPr>
          <w:p w14:paraId="6A26D4D7">
            <w:pPr>
              <w:autoSpaceDE w:val="0"/>
              <w:autoSpaceDN w:val="0"/>
              <w:adjustRightInd w:val="0"/>
              <w:snapToGrid w:val="0"/>
              <w:jc w:val="left"/>
              <w:rPr>
                <w:rFonts w:ascii="宋体" w:hAnsi="宋体"/>
                <w:kern w:val="0"/>
                <w:sz w:val="24"/>
              </w:rPr>
            </w:pPr>
          </w:p>
        </w:tc>
        <w:tc>
          <w:tcPr>
            <w:tcW w:w="827" w:type="dxa"/>
          </w:tcPr>
          <w:p w14:paraId="66DEB262">
            <w:pPr>
              <w:autoSpaceDE w:val="0"/>
              <w:autoSpaceDN w:val="0"/>
              <w:adjustRightInd w:val="0"/>
              <w:snapToGrid w:val="0"/>
              <w:jc w:val="left"/>
              <w:rPr>
                <w:rFonts w:ascii="宋体" w:hAnsi="宋体"/>
                <w:kern w:val="0"/>
                <w:sz w:val="24"/>
              </w:rPr>
            </w:pPr>
          </w:p>
        </w:tc>
        <w:tc>
          <w:tcPr>
            <w:tcW w:w="1359" w:type="dxa"/>
          </w:tcPr>
          <w:p w14:paraId="2367E15F">
            <w:pPr>
              <w:autoSpaceDE w:val="0"/>
              <w:autoSpaceDN w:val="0"/>
              <w:adjustRightInd w:val="0"/>
              <w:snapToGrid w:val="0"/>
              <w:jc w:val="left"/>
              <w:rPr>
                <w:rFonts w:ascii="宋体" w:hAnsi="宋体"/>
                <w:kern w:val="0"/>
                <w:sz w:val="24"/>
              </w:rPr>
            </w:pPr>
          </w:p>
        </w:tc>
        <w:tc>
          <w:tcPr>
            <w:tcW w:w="1855" w:type="dxa"/>
          </w:tcPr>
          <w:p w14:paraId="047CBC52">
            <w:pPr>
              <w:autoSpaceDE w:val="0"/>
              <w:autoSpaceDN w:val="0"/>
              <w:adjustRightInd w:val="0"/>
              <w:snapToGrid w:val="0"/>
              <w:jc w:val="left"/>
              <w:rPr>
                <w:rFonts w:ascii="宋体" w:hAnsi="宋体"/>
                <w:kern w:val="0"/>
                <w:sz w:val="24"/>
              </w:rPr>
            </w:pPr>
          </w:p>
        </w:tc>
        <w:tc>
          <w:tcPr>
            <w:tcW w:w="770" w:type="dxa"/>
          </w:tcPr>
          <w:p w14:paraId="038EBC25">
            <w:pPr>
              <w:autoSpaceDE w:val="0"/>
              <w:autoSpaceDN w:val="0"/>
              <w:adjustRightInd w:val="0"/>
              <w:snapToGrid w:val="0"/>
              <w:jc w:val="left"/>
              <w:rPr>
                <w:rFonts w:ascii="宋体" w:hAnsi="宋体"/>
                <w:kern w:val="0"/>
                <w:sz w:val="24"/>
              </w:rPr>
            </w:pPr>
          </w:p>
        </w:tc>
      </w:tr>
      <w:tr w14:paraId="60E698C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39D9EB54">
            <w:pPr>
              <w:autoSpaceDE w:val="0"/>
              <w:autoSpaceDN w:val="0"/>
              <w:adjustRightInd w:val="0"/>
              <w:snapToGrid w:val="0"/>
              <w:jc w:val="left"/>
              <w:rPr>
                <w:rFonts w:ascii="宋体" w:hAnsi="宋体"/>
                <w:kern w:val="0"/>
                <w:sz w:val="24"/>
              </w:rPr>
            </w:pPr>
          </w:p>
        </w:tc>
        <w:tc>
          <w:tcPr>
            <w:tcW w:w="1219" w:type="dxa"/>
          </w:tcPr>
          <w:p w14:paraId="68434299">
            <w:pPr>
              <w:autoSpaceDE w:val="0"/>
              <w:autoSpaceDN w:val="0"/>
              <w:adjustRightInd w:val="0"/>
              <w:snapToGrid w:val="0"/>
              <w:jc w:val="left"/>
              <w:rPr>
                <w:rFonts w:ascii="宋体" w:hAnsi="宋体"/>
                <w:kern w:val="0"/>
                <w:sz w:val="24"/>
              </w:rPr>
            </w:pPr>
          </w:p>
        </w:tc>
        <w:tc>
          <w:tcPr>
            <w:tcW w:w="852" w:type="dxa"/>
          </w:tcPr>
          <w:p w14:paraId="31E0F773">
            <w:pPr>
              <w:autoSpaceDE w:val="0"/>
              <w:autoSpaceDN w:val="0"/>
              <w:adjustRightInd w:val="0"/>
              <w:snapToGrid w:val="0"/>
              <w:jc w:val="left"/>
              <w:rPr>
                <w:rFonts w:ascii="宋体" w:hAnsi="宋体"/>
                <w:kern w:val="0"/>
                <w:sz w:val="24"/>
              </w:rPr>
            </w:pPr>
          </w:p>
        </w:tc>
        <w:tc>
          <w:tcPr>
            <w:tcW w:w="1111" w:type="dxa"/>
          </w:tcPr>
          <w:p w14:paraId="495D0E85">
            <w:pPr>
              <w:autoSpaceDE w:val="0"/>
              <w:autoSpaceDN w:val="0"/>
              <w:adjustRightInd w:val="0"/>
              <w:snapToGrid w:val="0"/>
              <w:jc w:val="left"/>
              <w:rPr>
                <w:rFonts w:ascii="宋体" w:hAnsi="宋体"/>
                <w:kern w:val="0"/>
                <w:sz w:val="24"/>
              </w:rPr>
            </w:pPr>
          </w:p>
        </w:tc>
        <w:tc>
          <w:tcPr>
            <w:tcW w:w="754" w:type="dxa"/>
          </w:tcPr>
          <w:p w14:paraId="67E5C8B4">
            <w:pPr>
              <w:autoSpaceDE w:val="0"/>
              <w:autoSpaceDN w:val="0"/>
              <w:adjustRightInd w:val="0"/>
              <w:snapToGrid w:val="0"/>
              <w:jc w:val="left"/>
              <w:rPr>
                <w:rFonts w:ascii="宋体" w:hAnsi="宋体"/>
                <w:kern w:val="0"/>
                <w:sz w:val="24"/>
              </w:rPr>
            </w:pPr>
          </w:p>
        </w:tc>
        <w:tc>
          <w:tcPr>
            <w:tcW w:w="827" w:type="dxa"/>
          </w:tcPr>
          <w:p w14:paraId="29EFD6C4">
            <w:pPr>
              <w:autoSpaceDE w:val="0"/>
              <w:autoSpaceDN w:val="0"/>
              <w:adjustRightInd w:val="0"/>
              <w:snapToGrid w:val="0"/>
              <w:jc w:val="left"/>
              <w:rPr>
                <w:rFonts w:ascii="宋体" w:hAnsi="宋体"/>
                <w:kern w:val="0"/>
                <w:sz w:val="24"/>
              </w:rPr>
            </w:pPr>
          </w:p>
        </w:tc>
        <w:tc>
          <w:tcPr>
            <w:tcW w:w="1359" w:type="dxa"/>
          </w:tcPr>
          <w:p w14:paraId="6BD78399">
            <w:pPr>
              <w:autoSpaceDE w:val="0"/>
              <w:autoSpaceDN w:val="0"/>
              <w:adjustRightInd w:val="0"/>
              <w:snapToGrid w:val="0"/>
              <w:jc w:val="left"/>
              <w:rPr>
                <w:rFonts w:ascii="宋体" w:hAnsi="宋体"/>
                <w:kern w:val="0"/>
                <w:sz w:val="24"/>
              </w:rPr>
            </w:pPr>
          </w:p>
        </w:tc>
        <w:tc>
          <w:tcPr>
            <w:tcW w:w="1855" w:type="dxa"/>
          </w:tcPr>
          <w:p w14:paraId="0508C031">
            <w:pPr>
              <w:autoSpaceDE w:val="0"/>
              <w:autoSpaceDN w:val="0"/>
              <w:adjustRightInd w:val="0"/>
              <w:snapToGrid w:val="0"/>
              <w:jc w:val="left"/>
              <w:rPr>
                <w:rFonts w:ascii="宋体" w:hAnsi="宋体"/>
                <w:kern w:val="0"/>
                <w:sz w:val="24"/>
              </w:rPr>
            </w:pPr>
          </w:p>
        </w:tc>
        <w:tc>
          <w:tcPr>
            <w:tcW w:w="770" w:type="dxa"/>
          </w:tcPr>
          <w:p w14:paraId="373AE151">
            <w:pPr>
              <w:autoSpaceDE w:val="0"/>
              <w:autoSpaceDN w:val="0"/>
              <w:adjustRightInd w:val="0"/>
              <w:snapToGrid w:val="0"/>
              <w:jc w:val="left"/>
              <w:rPr>
                <w:rFonts w:ascii="宋体" w:hAnsi="宋体"/>
                <w:kern w:val="0"/>
                <w:sz w:val="24"/>
              </w:rPr>
            </w:pPr>
          </w:p>
        </w:tc>
      </w:tr>
      <w:tr w14:paraId="5B8881C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2A2372BA">
            <w:pPr>
              <w:autoSpaceDE w:val="0"/>
              <w:autoSpaceDN w:val="0"/>
              <w:adjustRightInd w:val="0"/>
              <w:snapToGrid w:val="0"/>
              <w:jc w:val="left"/>
              <w:rPr>
                <w:rFonts w:ascii="宋体" w:hAnsi="宋体"/>
                <w:kern w:val="0"/>
                <w:sz w:val="24"/>
              </w:rPr>
            </w:pPr>
          </w:p>
        </w:tc>
        <w:tc>
          <w:tcPr>
            <w:tcW w:w="1219" w:type="dxa"/>
          </w:tcPr>
          <w:p w14:paraId="6DA36D0C">
            <w:pPr>
              <w:autoSpaceDE w:val="0"/>
              <w:autoSpaceDN w:val="0"/>
              <w:adjustRightInd w:val="0"/>
              <w:snapToGrid w:val="0"/>
              <w:jc w:val="left"/>
              <w:rPr>
                <w:rFonts w:ascii="宋体" w:hAnsi="宋体"/>
                <w:kern w:val="0"/>
                <w:sz w:val="24"/>
              </w:rPr>
            </w:pPr>
          </w:p>
        </w:tc>
        <w:tc>
          <w:tcPr>
            <w:tcW w:w="852" w:type="dxa"/>
          </w:tcPr>
          <w:p w14:paraId="607E1DE5">
            <w:pPr>
              <w:autoSpaceDE w:val="0"/>
              <w:autoSpaceDN w:val="0"/>
              <w:adjustRightInd w:val="0"/>
              <w:snapToGrid w:val="0"/>
              <w:jc w:val="left"/>
              <w:rPr>
                <w:rFonts w:ascii="宋体" w:hAnsi="宋体"/>
                <w:kern w:val="0"/>
                <w:sz w:val="24"/>
              </w:rPr>
            </w:pPr>
          </w:p>
        </w:tc>
        <w:tc>
          <w:tcPr>
            <w:tcW w:w="1111" w:type="dxa"/>
          </w:tcPr>
          <w:p w14:paraId="70C2BE2C">
            <w:pPr>
              <w:autoSpaceDE w:val="0"/>
              <w:autoSpaceDN w:val="0"/>
              <w:adjustRightInd w:val="0"/>
              <w:snapToGrid w:val="0"/>
              <w:jc w:val="left"/>
              <w:rPr>
                <w:rFonts w:ascii="宋体" w:hAnsi="宋体"/>
                <w:kern w:val="0"/>
                <w:sz w:val="24"/>
              </w:rPr>
            </w:pPr>
          </w:p>
        </w:tc>
        <w:tc>
          <w:tcPr>
            <w:tcW w:w="754" w:type="dxa"/>
          </w:tcPr>
          <w:p w14:paraId="78D199CF">
            <w:pPr>
              <w:autoSpaceDE w:val="0"/>
              <w:autoSpaceDN w:val="0"/>
              <w:adjustRightInd w:val="0"/>
              <w:snapToGrid w:val="0"/>
              <w:jc w:val="left"/>
              <w:rPr>
                <w:rFonts w:ascii="宋体" w:hAnsi="宋体"/>
                <w:kern w:val="0"/>
                <w:sz w:val="24"/>
              </w:rPr>
            </w:pPr>
          </w:p>
        </w:tc>
        <w:tc>
          <w:tcPr>
            <w:tcW w:w="827" w:type="dxa"/>
          </w:tcPr>
          <w:p w14:paraId="538EF8B8">
            <w:pPr>
              <w:autoSpaceDE w:val="0"/>
              <w:autoSpaceDN w:val="0"/>
              <w:adjustRightInd w:val="0"/>
              <w:snapToGrid w:val="0"/>
              <w:jc w:val="left"/>
              <w:rPr>
                <w:rFonts w:ascii="宋体" w:hAnsi="宋体"/>
                <w:kern w:val="0"/>
                <w:sz w:val="24"/>
              </w:rPr>
            </w:pPr>
          </w:p>
        </w:tc>
        <w:tc>
          <w:tcPr>
            <w:tcW w:w="1359" w:type="dxa"/>
          </w:tcPr>
          <w:p w14:paraId="6530E7AF">
            <w:pPr>
              <w:autoSpaceDE w:val="0"/>
              <w:autoSpaceDN w:val="0"/>
              <w:adjustRightInd w:val="0"/>
              <w:snapToGrid w:val="0"/>
              <w:jc w:val="left"/>
              <w:rPr>
                <w:rFonts w:ascii="宋体" w:hAnsi="宋体"/>
                <w:kern w:val="0"/>
                <w:sz w:val="24"/>
              </w:rPr>
            </w:pPr>
          </w:p>
        </w:tc>
        <w:tc>
          <w:tcPr>
            <w:tcW w:w="1855" w:type="dxa"/>
          </w:tcPr>
          <w:p w14:paraId="4CA9DF7A">
            <w:pPr>
              <w:autoSpaceDE w:val="0"/>
              <w:autoSpaceDN w:val="0"/>
              <w:adjustRightInd w:val="0"/>
              <w:snapToGrid w:val="0"/>
              <w:jc w:val="left"/>
              <w:rPr>
                <w:rFonts w:ascii="宋体" w:hAnsi="宋体"/>
                <w:kern w:val="0"/>
                <w:sz w:val="24"/>
              </w:rPr>
            </w:pPr>
          </w:p>
        </w:tc>
        <w:tc>
          <w:tcPr>
            <w:tcW w:w="770" w:type="dxa"/>
          </w:tcPr>
          <w:p w14:paraId="5CB5301D">
            <w:pPr>
              <w:autoSpaceDE w:val="0"/>
              <w:autoSpaceDN w:val="0"/>
              <w:adjustRightInd w:val="0"/>
              <w:snapToGrid w:val="0"/>
              <w:jc w:val="left"/>
              <w:rPr>
                <w:rFonts w:ascii="宋体" w:hAnsi="宋体"/>
                <w:kern w:val="0"/>
                <w:sz w:val="24"/>
              </w:rPr>
            </w:pPr>
          </w:p>
        </w:tc>
      </w:tr>
      <w:tr w14:paraId="3A039BC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02E114C4">
            <w:pPr>
              <w:autoSpaceDE w:val="0"/>
              <w:autoSpaceDN w:val="0"/>
              <w:adjustRightInd w:val="0"/>
              <w:snapToGrid w:val="0"/>
              <w:jc w:val="left"/>
              <w:rPr>
                <w:rFonts w:ascii="宋体" w:hAnsi="宋体"/>
                <w:kern w:val="0"/>
                <w:sz w:val="24"/>
              </w:rPr>
            </w:pPr>
          </w:p>
        </w:tc>
        <w:tc>
          <w:tcPr>
            <w:tcW w:w="1219" w:type="dxa"/>
          </w:tcPr>
          <w:p w14:paraId="38556BE2">
            <w:pPr>
              <w:autoSpaceDE w:val="0"/>
              <w:autoSpaceDN w:val="0"/>
              <w:adjustRightInd w:val="0"/>
              <w:snapToGrid w:val="0"/>
              <w:jc w:val="left"/>
              <w:rPr>
                <w:rFonts w:ascii="宋体" w:hAnsi="宋体"/>
                <w:kern w:val="0"/>
                <w:sz w:val="24"/>
              </w:rPr>
            </w:pPr>
          </w:p>
        </w:tc>
        <w:tc>
          <w:tcPr>
            <w:tcW w:w="852" w:type="dxa"/>
          </w:tcPr>
          <w:p w14:paraId="227C2F0E">
            <w:pPr>
              <w:autoSpaceDE w:val="0"/>
              <w:autoSpaceDN w:val="0"/>
              <w:adjustRightInd w:val="0"/>
              <w:snapToGrid w:val="0"/>
              <w:jc w:val="left"/>
              <w:rPr>
                <w:rFonts w:ascii="宋体" w:hAnsi="宋体"/>
                <w:kern w:val="0"/>
                <w:sz w:val="24"/>
              </w:rPr>
            </w:pPr>
          </w:p>
        </w:tc>
        <w:tc>
          <w:tcPr>
            <w:tcW w:w="1111" w:type="dxa"/>
          </w:tcPr>
          <w:p w14:paraId="2961838F">
            <w:pPr>
              <w:autoSpaceDE w:val="0"/>
              <w:autoSpaceDN w:val="0"/>
              <w:adjustRightInd w:val="0"/>
              <w:snapToGrid w:val="0"/>
              <w:jc w:val="left"/>
              <w:rPr>
                <w:rFonts w:ascii="宋体" w:hAnsi="宋体"/>
                <w:kern w:val="0"/>
                <w:sz w:val="24"/>
              </w:rPr>
            </w:pPr>
          </w:p>
        </w:tc>
        <w:tc>
          <w:tcPr>
            <w:tcW w:w="754" w:type="dxa"/>
          </w:tcPr>
          <w:p w14:paraId="3E0F528E">
            <w:pPr>
              <w:autoSpaceDE w:val="0"/>
              <w:autoSpaceDN w:val="0"/>
              <w:adjustRightInd w:val="0"/>
              <w:snapToGrid w:val="0"/>
              <w:jc w:val="left"/>
              <w:rPr>
                <w:rFonts w:ascii="宋体" w:hAnsi="宋体"/>
                <w:kern w:val="0"/>
                <w:sz w:val="24"/>
              </w:rPr>
            </w:pPr>
          </w:p>
        </w:tc>
        <w:tc>
          <w:tcPr>
            <w:tcW w:w="827" w:type="dxa"/>
          </w:tcPr>
          <w:p w14:paraId="26AB26E1">
            <w:pPr>
              <w:autoSpaceDE w:val="0"/>
              <w:autoSpaceDN w:val="0"/>
              <w:adjustRightInd w:val="0"/>
              <w:snapToGrid w:val="0"/>
              <w:jc w:val="left"/>
              <w:rPr>
                <w:rFonts w:ascii="宋体" w:hAnsi="宋体"/>
                <w:kern w:val="0"/>
                <w:sz w:val="24"/>
              </w:rPr>
            </w:pPr>
          </w:p>
        </w:tc>
        <w:tc>
          <w:tcPr>
            <w:tcW w:w="1359" w:type="dxa"/>
          </w:tcPr>
          <w:p w14:paraId="3972B655">
            <w:pPr>
              <w:autoSpaceDE w:val="0"/>
              <w:autoSpaceDN w:val="0"/>
              <w:adjustRightInd w:val="0"/>
              <w:snapToGrid w:val="0"/>
              <w:jc w:val="left"/>
              <w:rPr>
                <w:rFonts w:ascii="宋体" w:hAnsi="宋体"/>
                <w:kern w:val="0"/>
                <w:sz w:val="24"/>
              </w:rPr>
            </w:pPr>
          </w:p>
        </w:tc>
        <w:tc>
          <w:tcPr>
            <w:tcW w:w="1855" w:type="dxa"/>
          </w:tcPr>
          <w:p w14:paraId="37AB442B">
            <w:pPr>
              <w:autoSpaceDE w:val="0"/>
              <w:autoSpaceDN w:val="0"/>
              <w:adjustRightInd w:val="0"/>
              <w:snapToGrid w:val="0"/>
              <w:jc w:val="left"/>
              <w:rPr>
                <w:rFonts w:ascii="宋体" w:hAnsi="宋体"/>
                <w:kern w:val="0"/>
                <w:sz w:val="24"/>
              </w:rPr>
            </w:pPr>
          </w:p>
        </w:tc>
        <w:tc>
          <w:tcPr>
            <w:tcW w:w="770" w:type="dxa"/>
          </w:tcPr>
          <w:p w14:paraId="2B9E6CAA">
            <w:pPr>
              <w:autoSpaceDE w:val="0"/>
              <w:autoSpaceDN w:val="0"/>
              <w:adjustRightInd w:val="0"/>
              <w:snapToGrid w:val="0"/>
              <w:jc w:val="left"/>
              <w:rPr>
                <w:rFonts w:ascii="宋体" w:hAnsi="宋体"/>
                <w:kern w:val="0"/>
                <w:sz w:val="24"/>
              </w:rPr>
            </w:pPr>
          </w:p>
        </w:tc>
      </w:tr>
      <w:tr w14:paraId="6BA032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289AF1DF">
            <w:pPr>
              <w:autoSpaceDE w:val="0"/>
              <w:autoSpaceDN w:val="0"/>
              <w:adjustRightInd w:val="0"/>
              <w:snapToGrid w:val="0"/>
              <w:jc w:val="left"/>
              <w:rPr>
                <w:rFonts w:ascii="宋体" w:hAnsi="宋体"/>
                <w:kern w:val="0"/>
                <w:sz w:val="24"/>
              </w:rPr>
            </w:pPr>
          </w:p>
        </w:tc>
        <w:tc>
          <w:tcPr>
            <w:tcW w:w="1219" w:type="dxa"/>
          </w:tcPr>
          <w:p w14:paraId="41109A97">
            <w:pPr>
              <w:autoSpaceDE w:val="0"/>
              <w:autoSpaceDN w:val="0"/>
              <w:adjustRightInd w:val="0"/>
              <w:snapToGrid w:val="0"/>
              <w:jc w:val="left"/>
              <w:rPr>
                <w:rFonts w:ascii="宋体" w:hAnsi="宋体"/>
                <w:kern w:val="0"/>
                <w:sz w:val="24"/>
              </w:rPr>
            </w:pPr>
          </w:p>
        </w:tc>
        <w:tc>
          <w:tcPr>
            <w:tcW w:w="852" w:type="dxa"/>
          </w:tcPr>
          <w:p w14:paraId="550B7AB1">
            <w:pPr>
              <w:autoSpaceDE w:val="0"/>
              <w:autoSpaceDN w:val="0"/>
              <w:adjustRightInd w:val="0"/>
              <w:snapToGrid w:val="0"/>
              <w:jc w:val="left"/>
              <w:rPr>
                <w:rFonts w:ascii="宋体" w:hAnsi="宋体"/>
                <w:kern w:val="0"/>
                <w:sz w:val="24"/>
              </w:rPr>
            </w:pPr>
          </w:p>
        </w:tc>
        <w:tc>
          <w:tcPr>
            <w:tcW w:w="1111" w:type="dxa"/>
          </w:tcPr>
          <w:p w14:paraId="12DE6930">
            <w:pPr>
              <w:autoSpaceDE w:val="0"/>
              <w:autoSpaceDN w:val="0"/>
              <w:adjustRightInd w:val="0"/>
              <w:snapToGrid w:val="0"/>
              <w:jc w:val="left"/>
              <w:rPr>
                <w:rFonts w:ascii="宋体" w:hAnsi="宋体"/>
                <w:kern w:val="0"/>
                <w:sz w:val="24"/>
              </w:rPr>
            </w:pPr>
          </w:p>
        </w:tc>
        <w:tc>
          <w:tcPr>
            <w:tcW w:w="754" w:type="dxa"/>
          </w:tcPr>
          <w:p w14:paraId="79DE95B2">
            <w:pPr>
              <w:autoSpaceDE w:val="0"/>
              <w:autoSpaceDN w:val="0"/>
              <w:adjustRightInd w:val="0"/>
              <w:snapToGrid w:val="0"/>
              <w:jc w:val="left"/>
              <w:rPr>
                <w:rFonts w:ascii="宋体" w:hAnsi="宋体"/>
                <w:kern w:val="0"/>
                <w:sz w:val="24"/>
              </w:rPr>
            </w:pPr>
          </w:p>
        </w:tc>
        <w:tc>
          <w:tcPr>
            <w:tcW w:w="827" w:type="dxa"/>
          </w:tcPr>
          <w:p w14:paraId="47AF9E46">
            <w:pPr>
              <w:autoSpaceDE w:val="0"/>
              <w:autoSpaceDN w:val="0"/>
              <w:adjustRightInd w:val="0"/>
              <w:snapToGrid w:val="0"/>
              <w:jc w:val="left"/>
              <w:rPr>
                <w:rFonts w:ascii="宋体" w:hAnsi="宋体"/>
                <w:kern w:val="0"/>
                <w:sz w:val="24"/>
              </w:rPr>
            </w:pPr>
          </w:p>
        </w:tc>
        <w:tc>
          <w:tcPr>
            <w:tcW w:w="1359" w:type="dxa"/>
          </w:tcPr>
          <w:p w14:paraId="7DF60917">
            <w:pPr>
              <w:autoSpaceDE w:val="0"/>
              <w:autoSpaceDN w:val="0"/>
              <w:adjustRightInd w:val="0"/>
              <w:snapToGrid w:val="0"/>
              <w:jc w:val="left"/>
              <w:rPr>
                <w:rFonts w:ascii="宋体" w:hAnsi="宋体"/>
                <w:kern w:val="0"/>
                <w:sz w:val="24"/>
              </w:rPr>
            </w:pPr>
          </w:p>
        </w:tc>
        <w:tc>
          <w:tcPr>
            <w:tcW w:w="1855" w:type="dxa"/>
          </w:tcPr>
          <w:p w14:paraId="256D01C8">
            <w:pPr>
              <w:autoSpaceDE w:val="0"/>
              <w:autoSpaceDN w:val="0"/>
              <w:adjustRightInd w:val="0"/>
              <w:snapToGrid w:val="0"/>
              <w:jc w:val="left"/>
              <w:rPr>
                <w:rFonts w:ascii="宋体" w:hAnsi="宋体"/>
                <w:kern w:val="0"/>
                <w:sz w:val="24"/>
              </w:rPr>
            </w:pPr>
          </w:p>
        </w:tc>
        <w:tc>
          <w:tcPr>
            <w:tcW w:w="770" w:type="dxa"/>
          </w:tcPr>
          <w:p w14:paraId="11D0719D">
            <w:pPr>
              <w:autoSpaceDE w:val="0"/>
              <w:autoSpaceDN w:val="0"/>
              <w:adjustRightInd w:val="0"/>
              <w:snapToGrid w:val="0"/>
              <w:jc w:val="left"/>
              <w:rPr>
                <w:rFonts w:ascii="宋体" w:hAnsi="宋体"/>
                <w:kern w:val="0"/>
                <w:sz w:val="24"/>
              </w:rPr>
            </w:pPr>
          </w:p>
        </w:tc>
      </w:tr>
      <w:tr w14:paraId="2BD96D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7F436CBC">
            <w:pPr>
              <w:autoSpaceDE w:val="0"/>
              <w:autoSpaceDN w:val="0"/>
              <w:adjustRightInd w:val="0"/>
              <w:snapToGrid w:val="0"/>
              <w:jc w:val="left"/>
              <w:rPr>
                <w:rFonts w:ascii="宋体" w:hAnsi="宋体"/>
                <w:kern w:val="0"/>
                <w:sz w:val="24"/>
              </w:rPr>
            </w:pPr>
          </w:p>
        </w:tc>
        <w:tc>
          <w:tcPr>
            <w:tcW w:w="1219" w:type="dxa"/>
          </w:tcPr>
          <w:p w14:paraId="197013B9">
            <w:pPr>
              <w:autoSpaceDE w:val="0"/>
              <w:autoSpaceDN w:val="0"/>
              <w:adjustRightInd w:val="0"/>
              <w:snapToGrid w:val="0"/>
              <w:jc w:val="left"/>
              <w:rPr>
                <w:rFonts w:ascii="宋体" w:hAnsi="宋体"/>
                <w:kern w:val="0"/>
                <w:sz w:val="24"/>
              </w:rPr>
            </w:pPr>
          </w:p>
        </w:tc>
        <w:tc>
          <w:tcPr>
            <w:tcW w:w="852" w:type="dxa"/>
          </w:tcPr>
          <w:p w14:paraId="360BB068">
            <w:pPr>
              <w:autoSpaceDE w:val="0"/>
              <w:autoSpaceDN w:val="0"/>
              <w:adjustRightInd w:val="0"/>
              <w:snapToGrid w:val="0"/>
              <w:jc w:val="left"/>
              <w:rPr>
                <w:rFonts w:ascii="宋体" w:hAnsi="宋体"/>
                <w:kern w:val="0"/>
                <w:sz w:val="24"/>
              </w:rPr>
            </w:pPr>
          </w:p>
        </w:tc>
        <w:tc>
          <w:tcPr>
            <w:tcW w:w="1111" w:type="dxa"/>
          </w:tcPr>
          <w:p w14:paraId="03EA9C35">
            <w:pPr>
              <w:autoSpaceDE w:val="0"/>
              <w:autoSpaceDN w:val="0"/>
              <w:adjustRightInd w:val="0"/>
              <w:snapToGrid w:val="0"/>
              <w:jc w:val="left"/>
              <w:rPr>
                <w:rFonts w:ascii="宋体" w:hAnsi="宋体"/>
                <w:kern w:val="0"/>
                <w:sz w:val="24"/>
              </w:rPr>
            </w:pPr>
          </w:p>
        </w:tc>
        <w:tc>
          <w:tcPr>
            <w:tcW w:w="754" w:type="dxa"/>
          </w:tcPr>
          <w:p w14:paraId="34487F94">
            <w:pPr>
              <w:autoSpaceDE w:val="0"/>
              <w:autoSpaceDN w:val="0"/>
              <w:adjustRightInd w:val="0"/>
              <w:snapToGrid w:val="0"/>
              <w:jc w:val="left"/>
              <w:rPr>
                <w:rFonts w:ascii="宋体" w:hAnsi="宋体"/>
                <w:kern w:val="0"/>
                <w:sz w:val="24"/>
              </w:rPr>
            </w:pPr>
          </w:p>
        </w:tc>
        <w:tc>
          <w:tcPr>
            <w:tcW w:w="827" w:type="dxa"/>
          </w:tcPr>
          <w:p w14:paraId="1A0EEC42">
            <w:pPr>
              <w:autoSpaceDE w:val="0"/>
              <w:autoSpaceDN w:val="0"/>
              <w:adjustRightInd w:val="0"/>
              <w:snapToGrid w:val="0"/>
              <w:jc w:val="left"/>
              <w:rPr>
                <w:rFonts w:ascii="宋体" w:hAnsi="宋体"/>
                <w:kern w:val="0"/>
                <w:sz w:val="24"/>
              </w:rPr>
            </w:pPr>
          </w:p>
        </w:tc>
        <w:tc>
          <w:tcPr>
            <w:tcW w:w="1359" w:type="dxa"/>
          </w:tcPr>
          <w:p w14:paraId="4B6776EB">
            <w:pPr>
              <w:autoSpaceDE w:val="0"/>
              <w:autoSpaceDN w:val="0"/>
              <w:adjustRightInd w:val="0"/>
              <w:snapToGrid w:val="0"/>
              <w:jc w:val="left"/>
              <w:rPr>
                <w:rFonts w:ascii="宋体" w:hAnsi="宋体"/>
                <w:kern w:val="0"/>
                <w:sz w:val="24"/>
              </w:rPr>
            </w:pPr>
          </w:p>
        </w:tc>
        <w:tc>
          <w:tcPr>
            <w:tcW w:w="1855" w:type="dxa"/>
          </w:tcPr>
          <w:p w14:paraId="3684F516">
            <w:pPr>
              <w:autoSpaceDE w:val="0"/>
              <w:autoSpaceDN w:val="0"/>
              <w:adjustRightInd w:val="0"/>
              <w:snapToGrid w:val="0"/>
              <w:jc w:val="left"/>
              <w:rPr>
                <w:rFonts w:ascii="宋体" w:hAnsi="宋体"/>
                <w:kern w:val="0"/>
                <w:sz w:val="24"/>
              </w:rPr>
            </w:pPr>
          </w:p>
        </w:tc>
        <w:tc>
          <w:tcPr>
            <w:tcW w:w="770" w:type="dxa"/>
          </w:tcPr>
          <w:p w14:paraId="640BC121">
            <w:pPr>
              <w:autoSpaceDE w:val="0"/>
              <w:autoSpaceDN w:val="0"/>
              <w:adjustRightInd w:val="0"/>
              <w:snapToGrid w:val="0"/>
              <w:jc w:val="left"/>
              <w:rPr>
                <w:rFonts w:ascii="宋体" w:hAnsi="宋体"/>
                <w:kern w:val="0"/>
                <w:sz w:val="24"/>
              </w:rPr>
            </w:pPr>
          </w:p>
        </w:tc>
      </w:tr>
      <w:tr w14:paraId="6E5A398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5C54B214">
            <w:pPr>
              <w:autoSpaceDE w:val="0"/>
              <w:autoSpaceDN w:val="0"/>
              <w:adjustRightInd w:val="0"/>
              <w:snapToGrid w:val="0"/>
              <w:jc w:val="left"/>
              <w:rPr>
                <w:rFonts w:ascii="宋体" w:hAnsi="宋体"/>
                <w:kern w:val="0"/>
                <w:sz w:val="24"/>
              </w:rPr>
            </w:pPr>
          </w:p>
        </w:tc>
        <w:tc>
          <w:tcPr>
            <w:tcW w:w="1219" w:type="dxa"/>
          </w:tcPr>
          <w:p w14:paraId="02C12FDB">
            <w:pPr>
              <w:autoSpaceDE w:val="0"/>
              <w:autoSpaceDN w:val="0"/>
              <w:adjustRightInd w:val="0"/>
              <w:snapToGrid w:val="0"/>
              <w:jc w:val="left"/>
              <w:rPr>
                <w:rFonts w:ascii="宋体" w:hAnsi="宋体"/>
                <w:kern w:val="0"/>
                <w:sz w:val="24"/>
              </w:rPr>
            </w:pPr>
          </w:p>
        </w:tc>
        <w:tc>
          <w:tcPr>
            <w:tcW w:w="852" w:type="dxa"/>
          </w:tcPr>
          <w:p w14:paraId="31A26B84">
            <w:pPr>
              <w:autoSpaceDE w:val="0"/>
              <w:autoSpaceDN w:val="0"/>
              <w:adjustRightInd w:val="0"/>
              <w:snapToGrid w:val="0"/>
              <w:jc w:val="left"/>
              <w:rPr>
                <w:rFonts w:ascii="宋体" w:hAnsi="宋体"/>
                <w:kern w:val="0"/>
                <w:sz w:val="24"/>
              </w:rPr>
            </w:pPr>
          </w:p>
        </w:tc>
        <w:tc>
          <w:tcPr>
            <w:tcW w:w="1111" w:type="dxa"/>
          </w:tcPr>
          <w:p w14:paraId="67253567">
            <w:pPr>
              <w:autoSpaceDE w:val="0"/>
              <w:autoSpaceDN w:val="0"/>
              <w:adjustRightInd w:val="0"/>
              <w:snapToGrid w:val="0"/>
              <w:jc w:val="left"/>
              <w:rPr>
                <w:rFonts w:ascii="宋体" w:hAnsi="宋体"/>
                <w:kern w:val="0"/>
                <w:sz w:val="24"/>
              </w:rPr>
            </w:pPr>
          </w:p>
        </w:tc>
        <w:tc>
          <w:tcPr>
            <w:tcW w:w="754" w:type="dxa"/>
          </w:tcPr>
          <w:p w14:paraId="74F6AF64">
            <w:pPr>
              <w:autoSpaceDE w:val="0"/>
              <w:autoSpaceDN w:val="0"/>
              <w:adjustRightInd w:val="0"/>
              <w:snapToGrid w:val="0"/>
              <w:jc w:val="left"/>
              <w:rPr>
                <w:rFonts w:ascii="宋体" w:hAnsi="宋体"/>
                <w:kern w:val="0"/>
                <w:sz w:val="24"/>
              </w:rPr>
            </w:pPr>
          </w:p>
        </w:tc>
        <w:tc>
          <w:tcPr>
            <w:tcW w:w="827" w:type="dxa"/>
          </w:tcPr>
          <w:p w14:paraId="242D77B9">
            <w:pPr>
              <w:autoSpaceDE w:val="0"/>
              <w:autoSpaceDN w:val="0"/>
              <w:adjustRightInd w:val="0"/>
              <w:snapToGrid w:val="0"/>
              <w:jc w:val="left"/>
              <w:rPr>
                <w:rFonts w:ascii="宋体" w:hAnsi="宋体"/>
                <w:kern w:val="0"/>
                <w:sz w:val="24"/>
              </w:rPr>
            </w:pPr>
          </w:p>
        </w:tc>
        <w:tc>
          <w:tcPr>
            <w:tcW w:w="1359" w:type="dxa"/>
          </w:tcPr>
          <w:p w14:paraId="7D64A4F7">
            <w:pPr>
              <w:autoSpaceDE w:val="0"/>
              <w:autoSpaceDN w:val="0"/>
              <w:adjustRightInd w:val="0"/>
              <w:snapToGrid w:val="0"/>
              <w:jc w:val="left"/>
              <w:rPr>
                <w:rFonts w:ascii="宋体" w:hAnsi="宋体"/>
                <w:kern w:val="0"/>
                <w:sz w:val="24"/>
              </w:rPr>
            </w:pPr>
          </w:p>
        </w:tc>
        <w:tc>
          <w:tcPr>
            <w:tcW w:w="1855" w:type="dxa"/>
          </w:tcPr>
          <w:p w14:paraId="79470E29">
            <w:pPr>
              <w:autoSpaceDE w:val="0"/>
              <w:autoSpaceDN w:val="0"/>
              <w:adjustRightInd w:val="0"/>
              <w:snapToGrid w:val="0"/>
              <w:jc w:val="left"/>
              <w:rPr>
                <w:rFonts w:ascii="宋体" w:hAnsi="宋体"/>
                <w:kern w:val="0"/>
                <w:sz w:val="24"/>
              </w:rPr>
            </w:pPr>
          </w:p>
        </w:tc>
        <w:tc>
          <w:tcPr>
            <w:tcW w:w="770" w:type="dxa"/>
          </w:tcPr>
          <w:p w14:paraId="37BE636F">
            <w:pPr>
              <w:autoSpaceDE w:val="0"/>
              <w:autoSpaceDN w:val="0"/>
              <w:adjustRightInd w:val="0"/>
              <w:snapToGrid w:val="0"/>
              <w:jc w:val="left"/>
              <w:rPr>
                <w:rFonts w:ascii="宋体" w:hAnsi="宋体"/>
                <w:kern w:val="0"/>
                <w:sz w:val="24"/>
              </w:rPr>
            </w:pPr>
          </w:p>
        </w:tc>
      </w:tr>
      <w:tr w14:paraId="21AA81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4217DCD5">
            <w:pPr>
              <w:autoSpaceDE w:val="0"/>
              <w:autoSpaceDN w:val="0"/>
              <w:adjustRightInd w:val="0"/>
              <w:snapToGrid w:val="0"/>
              <w:jc w:val="left"/>
              <w:rPr>
                <w:rFonts w:ascii="宋体" w:hAnsi="宋体"/>
                <w:kern w:val="0"/>
                <w:sz w:val="24"/>
              </w:rPr>
            </w:pPr>
          </w:p>
        </w:tc>
        <w:tc>
          <w:tcPr>
            <w:tcW w:w="1219" w:type="dxa"/>
          </w:tcPr>
          <w:p w14:paraId="56E3AF7E">
            <w:pPr>
              <w:autoSpaceDE w:val="0"/>
              <w:autoSpaceDN w:val="0"/>
              <w:adjustRightInd w:val="0"/>
              <w:snapToGrid w:val="0"/>
              <w:jc w:val="left"/>
              <w:rPr>
                <w:rFonts w:ascii="宋体" w:hAnsi="宋体"/>
                <w:kern w:val="0"/>
                <w:sz w:val="24"/>
              </w:rPr>
            </w:pPr>
          </w:p>
        </w:tc>
        <w:tc>
          <w:tcPr>
            <w:tcW w:w="852" w:type="dxa"/>
          </w:tcPr>
          <w:p w14:paraId="117666AE">
            <w:pPr>
              <w:autoSpaceDE w:val="0"/>
              <w:autoSpaceDN w:val="0"/>
              <w:adjustRightInd w:val="0"/>
              <w:snapToGrid w:val="0"/>
              <w:jc w:val="left"/>
              <w:rPr>
                <w:rFonts w:ascii="宋体" w:hAnsi="宋体"/>
                <w:kern w:val="0"/>
                <w:sz w:val="24"/>
              </w:rPr>
            </w:pPr>
          </w:p>
        </w:tc>
        <w:tc>
          <w:tcPr>
            <w:tcW w:w="1111" w:type="dxa"/>
          </w:tcPr>
          <w:p w14:paraId="0C3C23F8">
            <w:pPr>
              <w:autoSpaceDE w:val="0"/>
              <w:autoSpaceDN w:val="0"/>
              <w:adjustRightInd w:val="0"/>
              <w:snapToGrid w:val="0"/>
              <w:jc w:val="left"/>
              <w:rPr>
                <w:rFonts w:ascii="宋体" w:hAnsi="宋体"/>
                <w:kern w:val="0"/>
                <w:sz w:val="24"/>
              </w:rPr>
            </w:pPr>
          </w:p>
        </w:tc>
        <w:tc>
          <w:tcPr>
            <w:tcW w:w="754" w:type="dxa"/>
          </w:tcPr>
          <w:p w14:paraId="7F710579">
            <w:pPr>
              <w:autoSpaceDE w:val="0"/>
              <w:autoSpaceDN w:val="0"/>
              <w:adjustRightInd w:val="0"/>
              <w:snapToGrid w:val="0"/>
              <w:jc w:val="left"/>
              <w:rPr>
                <w:rFonts w:ascii="宋体" w:hAnsi="宋体"/>
                <w:kern w:val="0"/>
                <w:sz w:val="24"/>
              </w:rPr>
            </w:pPr>
          </w:p>
        </w:tc>
        <w:tc>
          <w:tcPr>
            <w:tcW w:w="827" w:type="dxa"/>
          </w:tcPr>
          <w:p w14:paraId="71E3F8DA">
            <w:pPr>
              <w:autoSpaceDE w:val="0"/>
              <w:autoSpaceDN w:val="0"/>
              <w:adjustRightInd w:val="0"/>
              <w:snapToGrid w:val="0"/>
              <w:jc w:val="left"/>
              <w:rPr>
                <w:rFonts w:ascii="宋体" w:hAnsi="宋体"/>
                <w:kern w:val="0"/>
                <w:sz w:val="24"/>
              </w:rPr>
            </w:pPr>
          </w:p>
        </w:tc>
        <w:tc>
          <w:tcPr>
            <w:tcW w:w="1359" w:type="dxa"/>
          </w:tcPr>
          <w:p w14:paraId="1DAD6C70">
            <w:pPr>
              <w:autoSpaceDE w:val="0"/>
              <w:autoSpaceDN w:val="0"/>
              <w:adjustRightInd w:val="0"/>
              <w:snapToGrid w:val="0"/>
              <w:jc w:val="left"/>
              <w:rPr>
                <w:rFonts w:ascii="宋体" w:hAnsi="宋体"/>
                <w:kern w:val="0"/>
                <w:sz w:val="24"/>
              </w:rPr>
            </w:pPr>
          </w:p>
        </w:tc>
        <w:tc>
          <w:tcPr>
            <w:tcW w:w="1855" w:type="dxa"/>
          </w:tcPr>
          <w:p w14:paraId="63F75999">
            <w:pPr>
              <w:autoSpaceDE w:val="0"/>
              <w:autoSpaceDN w:val="0"/>
              <w:adjustRightInd w:val="0"/>
              <w:snapToGrid w:val="0"/>
              <w:jc w:val="left"/>
              <w:rPr>
                <w:rFonts w:ascii="宋体" w:hAnsi="宋体"/>
                <w:kern w:val="0"/>
                <w:sz w:val="24"/>
              </w:rPr>
            </w:pPr>
          </w:p>
        </w:tc>
        <w:tc>
          <w:tcPr>
            <w:tcW w:w="770" w:type="dxa"/>
          </w:tcPr>
          <w:p w14:paraId="27D15921">
            <w:pPr>
              <w:autoSpaceDE w:val="0"/>
              <w:autoSpaceDN w:val="0"/>
              <w:adjustRightInd w:val="0"/>
              <w:snapToGrid w:val="0"/>
              <w:jc w:val="left"/>
              <w:rPr>
                <w:rFonts w:ascii="宋体" w:hAnsi="宋体"/>
                <w:kern w:val="0"/>
                <w:sz w:val="24"/>
              </w:rPr>
            </w:pPr>
          </w:p>
        </w:tc>
      </w:tr>
      <w:tr w14:paraId="5047092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7C0901C8">
            <w:pPr>
              <w:autoSpaceDE w:val="0"/>
              <w:autoSpaceDN w:val="0"/>
              <w:adjustRightInd w:val="0"/>
              <w:snapToGrid w:val="0"/>
              <w:jc w:val="left"/>
              <w:rPr>
                <w:rFonts w:ascii="宋体" w:hAnsi="宋体"/>
                <w:kern w:val="0"/>
                <w:sz w:val="24"/>
              </w:rPr>
            </w:pPr>
          </w:p>
        </w:tc>
        <w:tc>
          <w:tcPr>
            <w:tcW w:w="1219" w:type="dxa"/>
          </w:tcPr>
          <w:p w14:paraId="51DF8B0A">
            <w:pPr>
              <w:autoSpaceDE w:val="0"/>
              <w:autoSpaceDN w:val="0"/>
              <w:adjustRightInd w:val="0"/>
              <w:snapToGrid w:val="0"/>
              <w:jc w:val="left"/>
              <w:rPr>
                <w:rFonts w:ascii="宋体" w:hAnsi="宋体"/>
                <w:kern w:val="0"/>
                <w:sz w:val="24"/>
              </w:rPr>
            </w:pPr>
          </w:p>
        </w:tc>
        <w:tc>
          <w:tcPr>
            <w:tcW w:w="852" w:type="dxa"/>
          </w:tcPr>
          <w:p w14:paraId="3D188D74">
            <w:pPr>
              <w:autoSpaceDE w:val="0"/>
              <w:autoSpaceDN w:val="0"/>
              <w:adjustRightInd w:val="0"/>
              <w:snapToGrid w:val="0"/>
              <w:jc w:val="left"/>
              <w:rPr>
                <w:rFonts w:ascii="宋体" w:hAnsi="宋体"/>
                <w:kern w:val="0"/>
                <w:sz w:val="24"/>
              </w:rPr>
            </w:pPr>
          </w:p>
        </w:tc>
        <w:tc>
          <w:tcPr>
            <w:tcW w:w="1111" w:type="dxa"/>
          </w:tcPr>
          <w:p w14:paraId="3497BF2B">
            <w:pPr>
              <w:autoSpaceDE w:val="0"/>
              <w:autoSpaceDN w:val="0"/>
              <w:adjustRightInd w:val="0"/>
              <w:snapToGrid w:val="0"/>
              <w:jc w:val="left"/>
              <w:rPr>
                <w:rFonts w:ascii="宋体" w:hAnsi="宋体"/>
                <w:kern w:val="0"/>
                <w:sz w:val="24"/>
              </w:rPr>
            </w:pPr>
          </w:p>
        </w:tc>
        <w:tc>
          <w:tcPr>
            <w:tcW w:w="754" w:type="dxa"/>
          </w:tcPr>
          <w:p w14:paraId="551DF330">
            <w:pPr>
              <w:autoSpaceDE w:val="0"/>
              <w:autoSpaceDN w:val="0"/>
              <w:adjustRightInd w:val="0"/>
              <w:snapToGrid w:val="0"/>
              <w:jc w:val="left"/>
              <w:rPr>
                <w:rFonts w:ascii="宋体" w:hAnsi="宋体"/>
                <w:kern w:val="0"/>
                <w:sz w:val="24"/>
              </w:rPr>
            </w:pPr>
          </w:p>
        </w:tc>
        <w:tc>
          <w:tcPr>
            <w:tcW w:w="827" w:type="dxa"/>
          </w:tcPr>
          <w:p w14:paraId="510C3860">
            <w:pPr>
              <w:autoSpaceDE w:val="0"/>
              <w:autoSpaceDN w:val="0"/>
              <w:adjustRightInd w:val="0"/>
              <w:snapToGrid w:val="0"/>
              <w:jc w:val="left"/>
              <w:rPr>
                <w:rFonts w:ascii="宋体" w:hAnsi="宋体"/>
                <w:kern w:val="0"/>
                <w:sz w:val="24"/>
              </w:rPr>
            </w:pPr>
          </w:p>
        </w:tc>
        <w:tc>
          <w:tcPr>
            <w:tcW w:w="1359" w:type="dxa"/>
          </w:tcPr>
          <w:p w14:paraId="417E7191">
            <w:pPr>
              <w:autoSpaceDE w:val="0"/>
              <w:autoSpaceDN w:val="0"/>
              <w:adjustRightInd w:val="0"/>
              <w:snapToGrid w:val="0"/>
              <w:jc w:val="left"/>
              <w:rPr>
                <w:rFonts w:ascii="宋体" w:hAnsi="宋体"/>
                <w:kern w:val="0"/>
                <w:sz w:val="24"/>
              </w:rPr>
            </w:pPr>
          </w:p>
        </w:tc>
        <w:tc>
          <w:tcPr>
            <w:tcW w:w="1855" w:type="dxa"/>
          </w:tcPr>
          <w:p w14:paraId="42215282">
            <w:pPr>
              <w:autoSpaceDE w:val="0"/>
              <w:autoSpaceDN w:val="0"/>
              <w:adjustRightInd w:val="0"/>
              <w:snapToGrid w:val="0"/>
              <w:jc w:val="left"/>
              <w:rPr>
                <w:rFonts w:ascii="宋体" w:hAnsi="宋体"/>
                <w:kern w:val="0"/>
                <w:sz w:val="24"/>
              </w:rPr>
            </w:pPr>
          </w:p>
        </w:tc>
        <w:tc>
          <w:tcPr>
            <w:tcW w:w="770" w:type="dxa"/>
          </w:tcPr>
          <w:p w14:paraId="0C2A9A2A">
            <w:pPr>
              <w:autoSpaceDE w:val="0"/>
              <w:autoSpaceDN w:val="0"/>
              <w:adjustRightInd w:val="0"/>
              <w:snapToGrid w:val="0"/>
              <w:jc w:val="left"/>
              <w:rPr>
                <w:rFonts w:ascii="宋体" w:hAnsi="宋体"/>
                <w:kern w:val="0"/>
                <w:sz w:val="24"/>
              </w:rPr>
            </w:pPr>
          </w:p>
        </w:tc>
      </w:tr>
    </w:tbl>
    <w:p w14:paraId="65ED9514">
      <w:pPr>
        <w:spacing w:line="20" w:lineRule="exact"/>
        <w:rPr>
          <w:rFonts w:ascii="宋体" w:hAnsi="宋体"/>
        </w:rPr>
      </w:pPr>
    </w:p>
    <w:p w14:paraId="4C9D44B4">
      <w:pPr>
        <w:jc w:val="center"/>
        <w:rPr>
          <w:rFonts w:ascii="宋体" w:hAnsi="宋体"/>
          <w:b/>
        </w:rPr>
      </w:pPr>
      <w:bookmarkStart w:id="1551" w:name="_Toc224103506"/>
      <w:bookmarkStart w:id="1552" w:name="_Toc277082652"/>
      <w:bookmarkStart w:id="1553" w:name="_Toc287620825"/>
      <w:bookmarkStart w:id="1554" w:name="_Toc287607878"/>
      <w:bookmarkStart w:id="1555" w:name="_Toc430530541"/>
      <w:r>
        <w:rPr>
          <w:rFonts w:ascii="宋体" w:hAnsi="宋体"/>
          <w:sz w:val="28"/>
        </w:rPr>
        <w:br w:type="page"/>
      </w:r>
      <w:bookmarkStart w:id="1556" w:name="_Toc509218859"/>
      <w:bookmarkStart w:id="1557" w:name="_Toc534185836"/>
      <w:r>
        <w:rPr>
          <w:sz w:val="32"/>
          <w:szCs w:val="32"/>
        </w:rPr>
        <w:t>附表三：劳动力计划表</w:t>
      </w:r>
      <w:bookmarkEnd w:id="1551"/>
      <w:bookmarkEnd w:id="1552"/>
      <w:bookmarkEnd w:id="1553"/>
      <w:bookmarkEnd w:id="1554"/>
      <w:bookmarkEnd w:id="1555"/>
      <w:bookmarkEnd w:id="1556"/>
      <w:bookmarkEnd w:id="1557"/>
    </w:p>
    <w:p w14:paraId="6254E6A0">
      <w:pPr>
        <w:autoSpaceDE w:val="0"/>
        <w:autoSpaceDN w:val="0"/>
        <w:adjustRightInd w:val="0"/>
        <w:snapToGrid w:val="0"/>
        <w:spacing w:line="360" w:lineRule="auto"/>
        <w:ind w:right="210"/>
        <w:jc w:val="right"/>
        <w:rPr>
          <w:rFonts w:ascii="宋体" w:hAnsi="宋体"/>
          <w:kern w:val="0"/>
          <w:szCs w:val="21"/>
        </w:rPr>
      </w:pPr>
      <w:r>
        <w:rPr>
          <w:rFonts w:ascii="宋体" w:hAnsi="宋体"/>
          <w:kern w:val="0"/>
          <w:szCs w:val="21"/>
        </w:rPr>
        <w:t>单位：人</w:t>
      </w:r>
    </w:p>
    <w:tbl>
      <w:tblPr>
        <w:tblStyle w:val="45"/>
        <w:tblW w:w="9498"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924"/>
        <w:gridCol w:w="1453"/>
        <w:gridCol w:w="1186"/>
        <w:gridCol w:w="1188"/>
        <w:gridCol w:w="1186"/>
        <w:gridCol w:w="1188"/>
        <w:gridCol w:w="1186"/>
        <w:gridCol w:w="1187"/>
      </w:tblGrid>
      <w:tr w14:paraId="2B1DCE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vMerge w:val="restart"/>
            <w:vAlign w:val="center"/>
          </w:tcPr>
          <w:p w14:paraId="6ACC6B1B">
            <w:pPr>
              <w:autoSpaceDE w:val="0"/>
              <w:autoSpaceDN w:val="0"/>
              <w:adjustRightInd w:val="0"/>
              <w:snapToGrid w:val="0"/>
              <w:jc w:val="center"/>
              <w:rPr>
                <w:rFonts w:ascii="宋体" w:hAnsi="宋体"/>
                <w:kern w:val="0"/>
                <w:sz w:val="24"/>
              </w:rPr>
            </w:pPr>
            <w:r>
              <w:rPr>
                <w:rFonts w:ascii="宋体" w:hAnsi="宋体"/>
                <w:kern w:val="0"/>
                <w:szCs w:val="21"/>
              </w:rPr>
              <w:t>工种</w:t>
            </w:r>
          </w:p>
        </w:tc>
        <w:tc>
          <w:tcPr>
            <w:tcW w:w="8574" w:type="dxa"/>
            <w:gridSpan w:val="7"/>
            <w:vAlign w:val="center"/>
          </w:tcPr>
          <w:p w14:paraId="3B4D51BD">
            <w:pPr>
              <w:autoSpaceDE w:val="0"/>
              <w:autoSpaceDN w:val="0"/>
              <w:adjustRightInd w:val="0"/>
              <w:snapToGrid w:val="0"/>
              <w:jc w:val="center"/>
              <w:rPr>
                <w:rFonts w:ascii="宋体" w:hAnsi="宋体"/>
                <w:kern w:val="0"/>
                <w:sz w:val="24"/>
              </w:rPr>
            </w:pPr>
            <w:r>
              <w:rPr>
                <w:rFonts w:ascii="宋体" w:hAnsi="宋体"/>
                <w:kern w:val="0"/>
                <w:szCs w:val="21"/>
              </w:rPr>
              <w:t>按工程施工阶段投入劳动力情况</w:t>
            </w:r>
          </w:p>
        </w:tc>
      </w:tr>
      <w:tr w14:paraId="191009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vMerge w:val="continue"/>
          </w:tcPr>
          <w:p w14:paraId="0775065F">
            <w:pPr>
              <w:autoSpaceDE w:val="0"/>
              <w:autoSpaceDN w:val="0"/>
              <w:adjustRightInd w:val="0"/>
              <w:snapToGrid w:val="0"/>
              <w:jc w:val="left"/>
              <w:rPr>
                <w:rFonts w:ascii="宋体" w:hAnsi="宋体"/>
                <w:kern w:val="0"/>
                <w:sz w:val="24"/>
              </w:rPr>
            </w:pPr>
          </w:p>
        </w:tc>
        <w:tc>
          <w:tcPr>
            <w:tcW w:w="1453" w:type="dxa"/>
          </w:tcPr>
          <w:p w14:paraId="1E79D756">
            <w:pPr>
              <w:autoSpaceDE w:val="0"/>
              <w:autoSpaceDN w:val="0"/>
              <w:adjustRightInd w:val="0"/>
              <w:snapToGrid w:val="0"/>
              <w:jc w:val="left"/>
              <w:rPr>
                <w:rFonts w:ascii="宋体" w:hAnsi="宋体"/>
                <w:kern w:val="0"/>
                <w:sz w:val="24"/>
              </w:rPr>
            </w:pPr>
          </w:p>
        </w:tc>
        <w:tc>
          <w:tcPr>
            <w:tcW w:w="1186" w:type="dxa"/>
          </w:tcPr>
          <w:p w14:paraId="6364A659">
            <w:pPr>
              <w:autoSpaceDE w:val="0"/>
              <w:autoSpaceDN w:val="0"/>
              <w:adjustRightInd w:val="0"/>
              <w:snapToGrid w:val="0"/>
              <w:jc w:val="left"/>
              <w:rPr>
                <w:rFonts w:ascii="宋体" w:hAnsi="宋体"/>
                <w:kern w:val="0"/>
                <w:sz w:val="24"/>
              </w:rPr>
            </w:pPr>
          </w:p>
        </w:tc>
        <w:tc>
          <w:tcPr>
            <w:tcW w:w="1188" w:type="dxa"/>
          </w:tcPr>
          <w:p w14:paraId="6149CC75">
            <w:pPr>
              <w:autoSpaceDE w:val="0"/>
              <w:autoSpaceDN w:val="0"/>
              <w:adjustRightInd w:val="0"/>
              <w:snapToGrid w:val="0"/>
              <w:jc w:val="left"/>
              <w:rPr>
                <w:rFonts w:ascii="宋体" w:hAnsi="宋体"/>
                <w:kern w:val="0"/>
                <w:sz w:val="24"/>
              </w:rPr>
            </w:pPr>
          </w:p>
        </w:tc>
        <w:tc>
          <w:tcPr>
            <w:tcW w:w="1186" w:type="dxa"/>
          </w:tcPr>
          <w:p w14:paraId="0E8085C7">
            <w:pPr>
              <w:autoSpaceDE w:val="0"/>
              <w:autoSpaceDN w:val="0"/>
              <w:adjustRightInd w:val="0"/>
              <w:snapToGrid w:val="0"/>
              <w:jc w:val="left"/>
              <w:rPr>
                <w:rFonts w:ascii="宋体" w:hAnsi="宋体"/>
                <w:kern w:val="0"/>
                <w:sz w:val="24"/>
              </w:rPr>
            </w:pPr>
          </w:p>
        </w:tc>
        <w:tc>
          <w:tcPr>
            <w:tcW w:w="1188" w:type="dxa"/>
          </w:tcPr>
          <w:p w14:paraId="47586665">
            <w:pPr>
              <w:autoSpaceDE w:val="0"/>
              <w:autoSpaceDN w:val="0"/>
              <w:adjustRightInd w:val="0"/>
              <w:snapToGrid w:val="0"/>
              <w:jc w:val="left"/>
              <w:rPr>
                <w:rFonts w:ascii="宋体" w:hAnsi="宋体"/>
                <w:kern w:val="0"/>
                <w:sz w:val="24"/>
              </w:rPr>
            </w:pPr>
          </w:p>
        </w:tc>
        <w:tc>
          <w:tcPr>
            <w:tcW w:w="1186" w:type="dxa"/>
          </w:tcPr>
          <w:p w14:paraId="4C8D69F0">
            <w:pPr>
              <w:autoSpaceDE w:val="0"/>
              <w:autoSpaceDN w:val="0"/>
              <w:adjustRightInd w:val="0"/>
              <w:snapToGrid w:val="0"/>
              <w:jc w:val="left"/>
              <w:rPr>
                <w:rFonts w:ascii="宋体" w:hAnsi="宋体"/>
                <w:kern w:val="0"/>
                <w:sz w:val="24"/>
              </w:rPr>
            </w:pPr>
          </w:p>
        </w:tc>
        <w:tc>
          <w:tcPr>
            <w:tcW w:w="1187" w:type="dxa"/>
          </w:tcPr>
          <w:p w14:paraId="3AFF1C96">
            <w:pPr>
              <w:autoSpaceDE w:val="0"/>
              <w:autoSpaceDN w:val="0"/>
              <w:adjustRightInd w:val="0"/>
              <w:snapToGrid w:val="0"/>
              <w:jc w:val="left"/>
              <w:rPr>
                <w:rFonts w:ascii="宋体" w:hAnsi="宋体"/>
                <w:kern w:val="0"/>
                <w:sz w:val="24"/>
              </w:rPr>
            </w:pPr>
          </w:p>
        </w:tc>
      </w:tr>
      <w:tr w14:paraId="28EB1C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20308522">
            <w:pPr>
              <w:autoSpaceDE w:val="0"/>
              <w:autoSpaceDN w:val="0"/>
              <w:adjustRightInd w:val="0"/>
              <w:snapToGrid w:val="0"/>
              <w:jc w:val="left"/>
              <w:rPr>
                <w:rFonts w:ascii="宋体" w:hAnsi="宋体"/>
                <w:kern w:val="0"/>
                <w:sz w:val="24"/>
              </w:rPr>
            </w:pPr>
          </w:p>
        </w:tc>
        <w:tc>
          <w:tcPr>
            <w:tcW w:w="1453" w:type="dxa"/>
          </w:tcPr>
          <w:p w14:paraId="3C1EB4AF">
            <w:pPr>
              <w:autoSpaceDE w:val="0"/>
              <w:autoSpaceDN w:val="0"/>
              <w:adjustRightInd w:val="0"/>
              <w:snapToGrid w:val="0"/>
              <w:jc w:val="left"/>
              <w:rPr>
                <w:rFonts w:ascii="宋体" w:hAnsi="宋体"/>
                <w:kern w:val="0"/>
                <w:sz w:val="24"/>
              </w:rPr>
            </w:pPr>
          </w:p>
        </w:tc>
        <w:tc>
          <w:tcPr>
            <w:tcW w:w="1186" w:type="dxa"/>
          </w:tcPr>
          <w:p w14:paraId="3C213DDA">
            <w:pPr>
              <w:autoSpaceDE w:val="0"/>
              <w:autoSpaceDN w:val="0"/>
              <w:adjustRightInd w:val="0"/>
              <w:snapToGrid w:val="0"/>
              <w:jc w:val="left"/>
              <w:rPr>
                <w:rFonts w:ascii="宋体" w:hAnsi="宋体"/>
                <w:kern w:val="0"/>
                <w:sz w:val="24"/>
              </w:rPr>
            </w:pPr>
          </w:p>
        </w:tc>
        <w:tc>
          <w:tcPr>
            <w:tcW w:w="1188" w:type="dxa"/>
          </w:tcPr>
          <w:p w14:paraId="728AA774">
            <w:pPr>
              <w:autoSpaceDE w:val="0"/>
              <w:autoSpaceDN w:val="0"/>
              <w:adjustRightInd w:val="0"/>
              <w:snapToGrid w:val="0"/>
              <w:jc w:val="left"/>
              <w:rPr>
                <w:rFonts w:ascii="宋体" w:hAnsi="宋体"/>
                <w:kern w:val="0"/>
                <w:sz w:val="24"/>
              </w:rPr>
            </w:pPr>
          </w:p>
        </w:tc>
        <w:tc>
          <w:tcPr>
            <w:tcW w:w="1186" w:type="dxa"/>
          </w:tcPr>
          <w:p w14:paraId="5E700F7A">
            <w:pPr>
              <w:autoSpaceDE w:val="0"/>
              <w:autoSpaceDN w:val="0"/>
              <w:adjustRightInd w:val="0"/>
              <w:snapToGrid w:val="0"/>
              <w:jc w:val="left"/>
              <w:rPr>
                <w:rFonts w:ascii="宋体" w:hAnsi="宋体"/>
                <w:kern w:val="0"/>
                <w:sz w:val="24"/>
              </w:rPr>
            </w:pPr>
          </w:p>
        </w:tc>
        <w:tc>
          <w:tcPr>
            <w:tcW w:w="1188" w:type="dxa"/>
          </w:tcPr>
          <w:p w14:paraId="01A59AAE">
            <w:pPr>
              <w:autoSpaceDE w:val="0"/>
              <w:autoSpaceDN w:val="0"/>
              <w:adjustRightInd w:val="0"/>
              <w:snapToGrid w:val="0"/>
              <w:jc w:val="left"/>
              <w:rPr>
                <w:rFonts w:ascii="宋体" w:hAnsi="宋体"/>
                <w:kern w:val="0"/>
                <w:sz w:val="24"/>
              </w:rPr>
            </w:pPr>
          </w:p>
        </w:tc>
        <w:tc>
          <w:tcPr>
            <w:tcW w:w="1186" w:type="dxa"/>
          </w:tcPr>
          <w:p w14:paraId="07057D2C">
            <w:pPr>
              <w:autoSpaceDE w:val="0"/>
              <w:autoSpaceDN w:val="0"/>
              <w:adjustRightInd w:val="0"/>
              <w:snapToGrid w:val="0"/>
              <w:jc w:val="left"/>
              <w:rPr>
                <w:rFonts w:ascii="宋体" w:hAnsi="宋体"/>
                <w:kern w:val="0"/>
                <w:sz w:val="24"/>
              </w:rPr>
            </w:pPr>
          </w:p>
        </w:tc>
        <w:tc>
          <w:tcPr>
            <w:tcW w:w="1187" w:type="dxa"/>
          </w:tcPr>
          <w:p w14:paraId="6129C56B">
            <w:pPr>
              <w:autoSpaceDE w:val="0"/>
              <w:autoSpaceDN w:val="0"/>
              <w:adjustRightInd w:val="0"/>
              <w:snapToGrid w:val="0"/>
              <w:jc w:val="left"/>
              <w:rPr>
                <w:rFonts w:ascii="宋体" w:hAnsi="宋体"/>
                <w:kern w:val="0"/>
                <w:sz w:val="24"/>
              </w:rPr>
            </w:pPr>
          </w:p>
        </w:tc>
      </w:tr>
      <w:tr w14:paraId="1F09E3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575C1ACC">
            <w:pPr>
              <w:autoSpaceDE w:val="0"/>
              <w:autoSpaceDN w:val="0"/>
              <w:adjustRightInd w:val="0"/>
              <w:snapToGrid w:val="0"/>
              <w:jc w:val="left"/>
              <w:rPr>
                <w:rFonts w:ascii="宋体" w:hAnsi="宋体"/>
                <w:kern w:val="0"/>
                <w:sz w:val="24"/>
              </w:rPr>
            </w:pPr>
          </w:p>
        </w:tc>
        <w:tc>
          <w:tcPr>
            <w:tcW w:w="1453" w:type="dxa"/>
          </w:tcPr>
          <w:p w14:paraId="2040A0F8">
            <w:pPr>
              <w:autoSpaceDE w:val="0"/>
              <w:autoSpaceDN w:val="0"/>
              <w:adjustRightInd w:val="0"/>
              <w:snapToGrid w:val="0"/>
              <w:jc w:val="left"/>
              <w:rPr>
                <w:rFonts w:ascii="宋体" w:hAnsi="宋体"/>
                <w:kern w:val="0"/>
                <w:sz w:val="24"/>
              </w:rPr>
            </w:pPr>
          </w:p>
        </w:tc>
        <w:tc>
          <w:tcPr>
            <w:tcW w:w="1186" w:type="dxa"/>
          </w:tcPr>
          <w:p w14:paraId="446614DF">
            <w:pPr>
              <w:autoSpaceDE w:val="0"/>
              <w:autoSpaceDN w:val="0"/>
              <w:adjustRightInd w:val="0"/>
              <w:snapToGrid w:val="0"/>
              <w:jc w:val="left"/>
              <w:rPr>
                <w:rFonts w:ascii="宋体" w:hAnsi="宋体"/>
                <w:kern w:val="0"/>
                <w:sz w:val="24"/>
              </w:rPr>
            </w:pPr>
          </w:p>
        </w:tc>
        <w:tc>
          <w:tcPr>
            <w:tcW w:w="1188" w:type="dxa"/>
          </w:tcPr>
          <w:p w14:paraId="3902F212">
            <w:pPr>
              <w:autoSpaceDE w:val="0"/>
              <w:autoSpaceDN w:val="0"/>
              <w:adjustRightInd w:val="0"/>
              <w:snapToGrid w:val="0"/>
              <w:jc w:val="left"/>
              <w:rPr>
                <w:rFonts w:ascii="宋体" w:hAnsi="宋体"/>
                <w:kern w:val="0"/>
                <w:sz w:val="24"/>
              </w:rPr>
            </w:pPr>
          </w:p>
        </w:tc>
        <w:tc>
          <w:tcPr>
            <w:tcW w:w="1186" w:type="dxa"/>
          </w:tcPr>
          <w:p w14:paraId="5299F16A">
            <w:pPr>
              <w:autoSpaceDE w:val="0"/>
              <w:autoSpaceDN w:val="0"/>
              <w:adjustRightInd w:val="0"/>
              <w:snapToGrid w:val="0"/>
              <w:jc w:val="left"/>
              <w:rPr>
                <w:rFonts w:ascii="宋体" w:hAnsi="宋体"/>
                <w:kern w:val="0"/>
                <w:sz w:val="24"/>
              </w:rPr>
            </w:pPr>
          </w:p>
        </w:tc>
        <w:tc>
          <w:tcPr>
            <w:tcW w:w="1188" w:type="dxa"/>
          </w:tcPr>
          <w:p w14:paraId="589E4E5E">
            <w:pPr>
              <w:autoSpaceDE w:val="0"/>
              <w:autoSpaceDN w:val="0"/>
              <w:adjustRightInd w:val="0"/>
              <w:snapToGrid w:val="0"/>
              <w:jc w:val="left"/>
              <w:rPr>
                <w:rFonts w:ascii="宋体" w:hAnsi="宋体"/>
                <w:kern w:val="0"/>
                <w:sz w:val="24"/>
              </w:rPr>
            </w:pPr>
          </w:p>
        </w:tc>
        <w:tc>
          <w:tcPr>
            <w:tcW w:w="1186" w:type="dxa"/>
          </w:tcPr>
          <w:p w14:paraId="0B60E31D">
            <w:pPr>
              <w:autoSpaceDE w:val="0"/>
              <w:autoSpaceDN w:val="0"/>
              <w:adjustRightInd w:val="0"/>
              <w:snapToGrid w:val="0"/>
              <w:jc w:val="left"/>
              <w:rPr>
                <w:rFonts w:ascii="宋体" w:hAnsi="宋体"/>
                <w:kern w:val="0"/>
                <w:sz w:val="24"/>
              </w:rPr>
            </w:pPr>
          </w:p>
        </w:tc>
        <w:tc>
          <w:tcPr>
            <w:tcW w:w="1187" w:type="dxa"/>
          </w:tcPr>
          <w:p w14:paraId="752E7202">
            <w:pPr>
              <w:autoSpaceDE w:val="0"/>
              <w:autoSpaceDN w:val="0"/>
              <w:adjustRightInd w:val="0"/>
              <w:snapToGrid w:val="0"/>
              <w:jc w:val="left"/>
              <w:rPr>
                <w:rFonts w:ascii="宋体" w:hAnsi="宋体"/>
                <w:kern w:val="0"/>
                <w:sz w:val="24"/>
              </w:rPr>
            </w:pPr>
          </w:p>
        </w:tc>
      </w:tr>
      <w:tr w14:paraId="1D4052E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60B7A695">
            <w:pPr>
              <w:autoSpaceDE w:val="0"/>
              <w:autoSpaceDN w:val="0"/>
              <w:adjustRightInd w:val="0"/>
              <w:snapToGrid w:val="0"/>
              <w:jc w:val="left"/>
              <w:rPr>
                <w:rFonts w:ascii="宋体" w:hAnsi="宋体"/>
                <w:kern w:val="0"/>
                <w:sz w:val="24"/>
              </w:rPr>
            </w:pPr>
          </w:p>
        </w:tc>
        <w:tc>
          <w:tcPr>
            <w:tcW w:w="1453" w:type="dxa"/>
          </w:tcPr>
          <w:p w14:paraId="1F39E1D8">
            <w:pPr>
              <w:autoSpaceDE w:val="0"/>
              <w:autoSpaceDN w:val="0"/>
              <w:adjustRightInd w:val="0"/>
              <w:snapToGrid w:val="0"/>
              <w:jc w:val="left"/>
              <w:rPr>
                <w:rFonts w:ascii="宋体" w:hAnsi="宋体"/>
                <w:kern w:val="0"/>
                <w:sz w:val="24"/>
              </w:rPr>
            </w:pPr>
          </w:p>
        </w:tc>
        <w:tc>
          <w:tcPr>
            <w:tcW w:w="1186" w:type="dxa"/>
          </w:tcPr>
          <w:p w14:paraId="78BA52F7">
            <w:pPr>
              <w:autoSpaceDE w:val="0"/>
              <w:autoSpaceDN w:val="0"/>
              <w:adjustRightInd w:val="0"/>
              <w:snapToGrid w:val="0"/>
              <w:jc w:val="left"/>
              <w:rPr>
                <w:rFonts w:ascii="宋体" w:hAnsi="宋体"/>
                <w:kern w:val="0"/>
                <w:sz w:val="24"/>
              </w:rPr>
            </w:pPr>
          </w:p>
        </w:tc>
        <w:tc>
          <w:tcPr>
            <w:tcW w:w="1188" w:type="dxa"/>
          </w:tcPr>
          <w:p w14:paraId="22B77943">
            <w:pPr>
              <w:autoSpaceDE w:val="0"/>
              <w:autoSpaceDN w:val="0"/>
              <w:adjustRightInd w:val="0"/>
              <w:snapToGrid w:val="0"/>
              <w:jc w:val="left"/>
              <w:rPr>
                <w:rFonts w:ascii="宋体" w:hAnsi="宋体"/>
                <w:kern w:val="0"/>
                <w:sz w:val="24"/>
              </w:rPr>
            </w:pPr>
          </w:p>
        </w:tc>
        <w:tc>
          <w:tcPr>
            <w:tcW w:w="1186" w:type="dxa"/>
          </w:tcPr>
          <w:p w14:paraId="1E4894B0">
            <w:pPr>
              <w:autoSpaceDE w:val="0"/>
              <w:autoSpaceDN w:val="0"/>
              <w:adjustRightInd w:val="0"/>
              <w:snapToGrid w:val="0"/>
              <w:jc w:val="left"/>
              <w:rPr>
                <w:rFonts w:ascii="宋体" w:hAnsi="宋体"/>
                <w:kern w:val="0"/>
                <w:sz w:val="24"/>
              </w:rPr>
            </w:pPr>
          </w:p>
        </w:tc>
        <w:tc>
          <w:tcPr>
            <w:tcW w:w="1188" w:type="dxa"/>
          </w:tcPr>
          <w:p w14:paraId="0538A85F">
            <w:pPr>
              <w:autoSpaceDE w:val="0"/>
              <w:autoSpaceDN w:val="0"/>
              <w:adjustRightInd w:val="0"/>
              <w:snapToGrid w:val="0"/>
              <w:jc w:val="left"/>
              <w:rPr>
                <w:rFonts w:ascii="宋体" w:hAnsi="宋体"/>
                <w:kern w:val="0"/>
                <w:sz w:val="24"/>
              </w:rPr>
            </w:pPr>
          </w:p>
        </w:tc>
        <w:tc>
          <w:tcPr>
            <w:tcW w:w="1186" w:type="dxa"/>
          </w:tcPr>
          <w:p w14:paraId="090530DE">
            <w:pPr>
              <w:autoSpaceDE w:val="0"/>
              <w:autoSpaceDN w:val="0"/>
              <w:adjustRightInd w:val="0"/>
              <w:snapToGrid w:val="0"/>
              <w:jc w:val="left"/>
              <w:rPr>
                <w:rFonts w:ascii="宋体" w:hAnsi="宋体"/>
                <w:kern w:val="0"/>
                <w:sz w:val="24"/>
              </w:rPr>
            </w:pPr>
          </w:p>
        </w:tc>
        <w:tc>
          <w:tcPr>
            <w:tcW w:w="1187" w:type="dxa"/>
          </w:tcPr>
          <w:p w14:paraId="2AAD4AEF">
            <w:pPr>
              <w:autoSpaceDE w:val="0"/>
              <w:autoSpaceDN w:val="0"/>
              <w:adjustRightInd w:val="0"/>
              <w:snapToGrid w:val="0"/>
              <w:jc w:val="left"/>
              <w:rPr>
                <w:rFonts w:ascii="宋体" w:hAnsi="宋体"/>
                <w:kern w:val="0"/>
                <w:sz w:val="24"/>
              </w:rPr>
            </w:pPr>
          </w:p>
        </w:tc>
      </w:tr>
      <w:tr w14:paraId="37A51C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567A78C7">
            <w:pPr>
              <w:autoSpaceDE w:val="0"/>
              <w:autoSpaceDN w:val="0"/>
              <w:adjustRightInd w:val="0"/>
              <w:snapToGrid w:val="0"/>
              <w:jc w:val="left"/>
              <w:rPr>
                <w:rFonts w:ascii="宋体" w:hAnsi="宋体"/>
                <w:kern w:val="0"/>
                <w:sz w:val="24"/>
              </w:rPr>
            </w:pPr>
          </w:p>
        </w:tc>
        <w:tc>
          <w:tcPr>
            <w:tcW w:w="1453" w:type="dxa"/>
          </w:tcPr>
          <w:p w14:paraId="70BC6BB6">
            <w:pPr>
              <w:autoSpaceDE w:val="0"/>
              <w:autoSpaceDN w:val="0"/>
              <w:adjustRightInd w:val="0"/>
              <w:snapToGrid w:val="0"/>
              <w:jc w:val="left"/>
              <w:rPr>
                <w:rFonts w:ascii="宋体" w:hAnsi="宋体"/>
                <w:kern w:val="0"/>
                <w:sz w:val="24"/>
              </w:rPr>
            </w:pPr>
          </w:p>
        </w:tc>
        <w:tc>
          <w:tcPr>
            <w:tcW w:w="1186" w:type="dxa"/>
          </w:tcPr>
          <w:p w14:paraId="5767D4FF">
            <w:pPr>
              <w:autoSpaceDE w:val="0"/>
              <w:autoSpaceDN w:val="0"/>
              <w:adjustRightInd w:val="0"/>
              <w:snapToGrid w:val="0"/>
              <w:jc w:val="left"/>
              <w:rPr>
                <w:rFonts w:ascii="宋体" w:hAnsi="宋体"/>
                <w:kern w:val="0"/>
                <w:sz w:val="24"/>
              </w:rPr>
            </w:pPr>
          </w:p>
        </w:tc>
        <w:tc>
          <w:tcPr>
            <w:tcW w:w="1188" w:type="dxa"/>
          </w:tcPr>
          <w:p w14:paraId="6335F8F3">
            <w:pPr>
              <w:autoSpaceDE w:val="0"/>
              <w:autoSpaceDN w:val="0"/>
              <w:adjustRightInd w:val="0"/>
              <w:snapToGrid w:val="0"/>
              <w:jc w:val="left"/>
              <w:rPr>
                <w:rFonts w:ascii="宋体" w:hAnsi="宋体"/>
                <w:kern w:val="0"/>
                <w:sz w:val="24"/>
              </w:rPr>
            </w:pPr>
          </w:p>
        </w:tc>
        <w:tc>
          <w:tcPr>
            <w:tcW w:w="1186" w:type="dxa"/>
          </w:tcPr>
          <w:p w14:paraId="436EE508">
            <w:pPr>
              <w:autoSpaceDE w:val="0"/>
              <w:autoSpaceDN w:val="0"/>
              <w:adjustRightInd w:val="0"/>
              <w:snapToGrid w:val="0"/>
              <w:jc w:val="left"/>
              <w:rPr>
                <w:rFonts w:ascii="宋体" w:hAnsi="宋体"/>
                <w:kern w:val="0"/>
                <w:sz w:val="24"/>
              </w:rPr>
            </w:pPr>
          </w:p>
        </w:tc>
        <w:tc>
          <w:tcPr>
            <w:tcW w:w="1188" w:type="dxa"/>
          </w:tcPr>
          <w:p w14:paraId="6338FE23">
            <w:pPr>
              <w:autoSpaceDE w:val="0"/>
              <w:autoSpaceDN w:val="0"/>
              <w:adjustRightInd w:val="0"/>
              <w:snapToGrid w:val="0"/>
              <w:jc w:val="left"/>
              <w:rPr>
                <w:rFonts w:ascii="宋体" w:hAnsi="宋体"/>
                <w:kern w:val="0"/>
                <w:sz w:val="24"/>
              </w:rPr>
            </w:pPr>
          </w:p>
        </w:tc>
        <w:tc>
          <w:tcPr>
            <w:tcW w:w="1186" w:type="dxa"/>
          </w:tcPr>
          <w:p w14:paraId="7504D11B">
            <w:pPr>
              <w:autoSpaceDE w:val="0"/>
              <w:autoSpaceDN w:val="0"/>
              <w:adjustRightInd w:val="0"/>
              <w:snapToGrid w:val="0"/>
              <w:jc w:val="left"/>
              <w:rPr>
                <w:rFonts w:ascii="宋体" w:hAnsi="宋体"/>
                <w:kern w:val="0"/>
                <w:sz w:val="24"/>
              </w:rPr>
            </w:pPr>
          </w:p>
        </w:tc>
        <w:tc>
          <w:tcPr>
            <w:tcW w:w="1187" w:type="dxa"/>
          </w:tcPr>
          <w:p w14:paraId="7EF73760">
            <w:pPr>
              <w:autoSpaceDE w:val="0"/>
              <w:autoSpaceDN w:val="0"/>
              <w:adjustRightInd w:val="0"/>
              <w:snapToGrid w:val="0"/>
              <w:jc w:val="left"/>
              <w:rPr>
                <w:rFonts w:ascii="宋体" w:hAnsi="宋体"/>
                <w:kern w:val="0"/>
                <w:sz w:val="24"/>
              </w:rPr>
            </w:pPr>
          </w:p>
        </w:tc>
      </w:tr>
      <w:tr w14:paraId="6A51D9C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01C6140D">
            <w:pPr>
              <w:autoSpaceDE w:val="0"/>
              <w:autoSpaceDN w:val="0"/>
              <w:adjustRightInd w:val="0"/>
              <w:snapToGrid w:val="0"/>
              <w:jc w:val="left"/>
              <w:rPr>
                <w:rFonts w:ascii="宋体" w:hAnsi="宋体"/>
                <w:kern w:val="0"/>
                <w:sz w:val="24"/>
              </w:rPr>
            </w:pPr>
          </w:p>
        </w:tc>
        <w:tc>
          <w:tcPr>
            <w:tcW w:w="1453" w:type="dxa"/>
          </w:tcPr>
          <w:p w14:paraId="3B9AE2A0">
            <w:pPr>
              <w:autoSpaceDE w:val="0"/>
              <w:autoSpaceDN w:val="0"/>
              <w:adjustRightInd w:val="0"/>
              <w:snapToGrid w:val="0"/>
              <w:jc w:val="left"/>
              <w:rPr>
                <w:rFonts w:ascii="宋体" w:hAnsi="宋体"/>
                <w:kern w:val="0"/>
                <w:sz w:val="24"/>
              </w:rPr>
            </w:pPr>
          </w:p>
        </w:tc>
        <w:tc>
          <w:tcPr>
            <w:tcW w:w="1186" w:type="dxa"/>
          </w:tcPr>
          <w:p w14:paraId="5DA7F3B2">
            <w:pPr>
              <w:autoSpaceDE w:val="0"/>
              <w:autoSpaceDN w:val="0"/>
              <w:adjustRightInd w:val="0"/>
              <w:snapToGrid w:val="0"/>
              <w:jc w:val="left"/>
              <w:rPr>
                <w:rFonts w:ascii="宋体" w:hAnsi="宋体"/>
                <w:kern w:val="0"/>
                <w:sz w:val="24"/>
              </w:rPr>
            </w:pPr>
          </w:p>
        </w:tc>
        <w:tc>
          <w:tcPr>
            <w:tcW w:w="1188" w:type="dxa"/>
          </w:tcPr>
          <w:p w14:paraId="29590064">
            <w:pPr>
              <w:autoSpaceDE w:val="0"/>
              <w:autoSpaceDN w:val="0"/>
              <w:adjustRightInd w:val="0"/>
              <w:snapToGrid w:val="0"/>
              <w:jc w:val="left"/>
              <w:rPr>
                <w:rFonts w:ascii="宋体" w:hAnsi="宋体"/>
                <w:kern w:val="0"/>
                <w:sz w:val="24"/>
              </w:rPr>
            </w:pPr>
          </w:p>
        </w:tc>
        <w:tc>
          <w:tcPr>
            <w:tcW w:w="1186" w:type="dxa"/>
          </w:tcPr>
          <w:p w14:paraId="72A40E2A">
            <w:pPr>
              <w:autoSpaceDE w:val="0"/>
              <w:autoSpaceDN w:val="0"/>
              <w:adjustRightInd w:val="0"/>
              <w:snapToGrid w:val="0"/>
              <w:jc w:val="left"/>
              <w:rPr>
                <w:rFonts w:ascii="宋体" w:hAnsi="宋体"/>
                <w:kern w:val="0"/>
                <w:sz w:val="24"/>
              </w:rPr>
            </w:pPr>
          </w:p>
        </w:tc>
        <w:tc>
          <w:tcPr>
            <w:tcW w:w="1188" w:type="dxa"/>
          </w:tcPr>
          <w:p w14:paraId="531F2B94">
            <w:pPr>
              <w:autoSpaceDE w:val="0"/>
              <w:autoSpaceDN w:val="0"/>
              <w:adjustRightInd w:val="0"/>
              <w:snapToGrid w:val="0"/>
              <w:jc w:val="left"/>
              <w:rPr>
                <w:rFonts w:ascii="宋体" w:hAnsi="宋体"/>
                <w:kern w:val="0"/>
                <w:sz w:val="24"/>
              </w:rPr>
            </w:pPr>
          </w:p>
        </w:tc>
        <w:tc>
          <w:tcPr>
            <w:tcW w:w="1186" w:type="dxa"/>
          </w:tcPr>
          <w:p w14:paraId="16CA198D">
            <w:pPr>
              <w:autoSpaceDE w:val="0"/>
              <w:autoSpaceDN w:val="0"/>
              <w:adjustRightInd w:val="0"/>
              <w:snapToGrid w:val="0"/>
              <w:jc w:val="left"/>
              <w:rPr>
                <w:rFonts w:ascii="宋体" w:hAnsi="宋体"/>
                <w:kern w:val="0"/>
                <w:sz w:val="24"/>
              </w:rPr>
            </w:pPr>
          </w:p>
        </w:tc>
        <w:tc>
          <w:tcPr>
            <w:tcW w:w="1187" w:type="dxa"/>
          </w:tcPr>
          <w:p w14:paraId="350AB56B">
            <w:pPr>
              <w:autoSpaceDE w:val="0"/>
              <w:autoSpaceDN w:val="0"/>
              <w:adjustRightInd w:val="0"/>
              <w:snapToGrid w:val="0"/>
              <w:jc w:val="left"/>
              <w:rPr>
                <w:rFonts w:ascii="宋体" w:hAnsi="宋体"/>
                <w:kern w:val="0"/>
                <w:sz w:val="24"/>
              </w:rPr>
            </w:pPr>
          </w:p>
        </w:tc>
      </w:tr>
      <w:tr w14:paraId="268598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3619EE0E">
            <w:pPr>
              <w:autoSpaceDE w:val="0"/>
              <w:autoSpaceDN w:val="0"/>
              <w:adjustRightInd w:val="0"/>
              <w:snapToGrid w:val="0"/>
              <w:jc w:val="left"/>
              <w:rPr>
                <w:rFonts w:ascii="宋体" w:hAnsi="宋体"/>
                <w:kern w:val="0"/>
                <w:sz w:val="24"/>
              </w:rPr>
            </w:pPr>
          </w:p>
        </w:tc>
        <w:tc>
          <w:tcPr>
            <w:tcW w:w="1453" w:type="dxa"/>
          </w:tcPr>
          <w:p w14:paraId="1A618E8B">
            <w:pPr>
              <w:autoSpaceDE w:val="0"/>
              <w:autoSpaceDN w:val="0"/>
              <w:adjustRightInd w:val="0"/>
              <w:snapToGrid w:val="0"/>
              <w:jc w:val="left"/>
              <w:rPr>
                <w:rFonts w:ascii="宋体" w:hAnsi="宋体"/>
                <w:kern w:val="0"/>
                <w:sz w:val="24"/>
              </w:rPr>
            </w:pPr>
          </w:p>
        </w:tc>
        <w:tc>
          <w:tcPr>
            <w:tcW w:w="1186" w:type="dxa"/>
          </w:tcPr>
          <w:p w14:paraId="7CCDFDAC">
            <w:pPr>
              <w:autoSpaceDE w:val="0"/>
              <w:autoSpaceDN w:val="0"/>
              <w:adjustRightInd w:val="0"/>
              <w:snapToGrid w:val="0"/>
              <w:jc w:val="left"/>
              <w:rPr>
                <w:rFonts w:ascii="宋体" w:hAnsi="宋体"/>
                <w:kern w:val="0"/>
                <w:sz w:val="24"/>
              </w:rPr>
            </w:pPr>
          </w:p>
        </w:tc>
        <w:tc>
          <w:tcPr>
            <w:tcW w:w="1188" w:type="dxa"/>
          </w:tcPr>
          <w:p w14:paraId="22A51016">
            <w:pPr>
              <w:autoSpaceDE w:val="0"/>
              <w:autoSpaceDN w:val="0"/>
              <w:adjustRightInd w:val="0"/>
              <w:snapToGrid w:val="0"/>
              <w:jc w:val="left"/>
              <w:rPr>
                <w:rFonts w:ascii="宋体" w:hAnsi="宋体"/>
                <w:kern w:val="0"/>
                <w:sz w:val="24"/>
              </w:rPr>
            </w:pPr>
          </w:p>
        </w:tc>
        <w:tc>
          <w:tcPr>
            <w:tcW w:w="1186" w:type="dxa"/>
          </w:tcPr>
          <w:p w14:paraId="5C3050DC">
            <w:pPr>
              <w:autoSpaceDE w:val="0"/>
              <w:autoSpaceDN w:val="0"/>
              <w:adjustRightInd w:val="0"/>
              <w:snapToGrid w:val="0"/>
              <w:jc w:val="left"/>
              <w:rPr>
                <w:rFonts w:ascii="宋体" w:hAnsi="宋体"/>
                <w:kern w:val="0"/>
                <w:sz w:val="24"/>
              </w:rPr>
            </w:pPr>
          </w:p>
        </w:tc>
        <w:tc>
          <w:tcPr>
            <w:tcW w:w="1188" w:type="dxa"/>
          </w:tcPr>
          <w:p w14:paraId="17BAEDB6">
            <w:pPr>
              <w:autoSpaceDE w:val="0"/>
              <w:autoSpaceDN w:val="0"/>
              <w:adjustRightInd w:val="0"/>
              <w:snapToGrid w:val="0"/>
              <w:jc w:val="left"/>
              <w:rPr>
                <w:rFonts w:ascii="宋体" w:hAnsi="宋体"/>
                <w:kern w:val="0"/>
                <w:sz w:val="24"/>
              </w:rPr>
            </w:pPr>
          </w:p>
        </w:tc>
        <w:tc>
          <w:tcPr>
            <w:tcW w:w="1186" w:type="dxa"/>
          </w:tcPr>
          <w:p w14:paraId="2DBF0FF3">
            <w:pPr>
              <w:autoSpaceDE w:val="0"/>
              <w:autoSpaceDN w:val="0"/>
              <w:adjustRightInd w:val="0"/>
              <w:snapToGrid w:val="0"/>
              <w:jc w:val="left"/>
              <w:rPr>
                <w:rFonts w:ascii="宋体" w:hAnsi="宋体"/>
                <w:kern w:val="0"/>
                <w:sz w:val="24"/>
              </w:rPr>
            </w:pPr>
          </w:p>
        </w:tc>
        <w:tc>
          <w:tcPr>
            <w:tcW w:w="1187" w:type="dxa"/>
          </w:tcPr>
          <w:p w14:paraId="15F2B2D7">
            <w:pPr>
              <w:autoSpaceDE w:val="0"/>
              <w:autoSpaceDN w:val="0"/>
              <w:adjustRightInd w:val="0"/>
              <w:snapToGrid w:val="0"/>
              <w:jc w:val="left"/>
              <w:rPr>
                <w:rFonts w:ascii="宋体" w:hAnsi="宋体"/>
                <w:kern w:val="0"/>
                <w:sz w:val="24"/>
              </w:rPr>
            </w:pPr>
          </w:p>
        </w:tc>
      </w:tr>
      <w:tr w14:paraId="04BE88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0753D47A">
            <w:pPr>
              <w:autoSpaceDE w:val="0"/>
              <w:autoSpaceDN w:val="0"/>
              <w:adjustRightInd w:val="0"/>
              <w:snapToGrid w:val="0"/>
              <w:jc w:val="left"/>
              <w:rPr>
                <w:rFonts w:ascii="宋体" w:hAnsi="宋体"/>
                <w:kern w:val="0"/>
                <w:sz w:val="24"/>
              </w:rPr>
            </w:pPr>
          </w:p>
        </w:tc>
        <w:tc>
          <w:tcPr>
            <w:tcW w:w="1453" w:type="dxa"/>
          </w:tcPr>
          <w:p w14:paraId="04D596C9">
            <w:pPr>
              <w:autoSpaceDE w:val="0"/>
              <w:autoSpaceDN w:val="0"/>
              <w:adjustRightInd w:val="0"/>
              <w:snapToGrid w:val="0"/>
              <w:jc w:val="left"/>
              <w:rPr>
                <w:rFonts w:ascii="宋体" w:hAnsi="宋体"/>
                <w:kern w:val="0"/>
                <w:sz w:val="24"/>
              </w:rPr>
            </w:pPr>
          </w:p>
        </w:tc>
        <w:tc>
          <w:tcPr>
            <w:tcW w:w="1186" w:type="dxa"/>
          </w:tcPr>
          <w:p w14:paraId="62C36E02">
            <w:pPr>
              <w:autoSpaceDE w:val="0"/>
              <w:autoSpaceDN w:val="0"/>
              <w:adjustRightInd w:val="0"/>
              <w:snapToGrid w:val="0"/>
              <w:jc w:val="left"/>
              <w:rPr>
                <w:rFonts w:ascii="宋体" w:hAnsi="宋体"/>
                <w:kern w:val="0"/>
                <w:sz w:val="24"/>
              </w:rPr>
            </w:pPr>
          </w:p>
        </w:tc>
        <w:tc>
          <w:tcPr>
            <w:tcW w:w="1188" w:type="dxa"/>
          </w:tcPr>
          <w:p w14:paraId="3785EC9E">
            <w:pPr>
              <w:autoSpaceDE w:val="0"/>
              <w:autoSpaceDN w:val="0"/>
              <w:adjustRightInd w:val="0"/>
              <w:snapToGrid w:val="0"/>
              <w:jc w:val="left"/>
              <w:rPr>
                <w:rFonts w:ascii="宋体" w:hAnsi="宋体"/>
                <w:kern w:val="0"/>
                <w:sz w:val="24"/>
              </w:rPr>
            </w:pPr>
          </w:p>
        </w:tc>
        <w:tc>
          <w:tcPr>
            <w:tcW w:w="1186" w:type="dxa"/>
          </w:tcPr>
          <w:p w14:paraId="090CB409">
            <w:pPr>
              <w:autoSpaceDE w:val="0"/>
              <w:autoSpaceDN w:val="0"/>
              <w:adjustRightInd w:val="0"/>
              <w:snapToGrid w:val="0"/>
              <w:jc w:val="left"/>
              <w:rPr>
                <w:rFonts w:ascii="宋体" w:hAnsi="宋体"/>
                <w:kern w:val="0"/>
                <w:sz w:val="24"/>
              </w:rPr>
            </w:pPr>
          </w:p>
        </w:tc>
        <w:tc>
          <w:tcPr>
            <w:tcW w:w="1188" w:type="dxa"/>
          </w:tcPr>
          <w:p w14:paraId="3F47B2DC">
            <w:pPr>
              <w:autoSpaceDE w:val="0"/>
              <w:autoSpaceDN w:val="0"/>
              <w:adjustRightInd w:val="0"/>
              <w:snapToGrid w:val="0"/>
              <w:jc w:val="left"/>
              <w:rPr>
                <w:rFonts w:ascii="宋体" w:hAnsi="宋体"/>
                <w:kern w:val="0"/>
                <w:sz w:val="24"/>
              </w:rPr>
            </w:pPr>
          </w:p>
        </w:tc>
        <w:tc>
          <w:tcPr>
            <w:tcW w:w="1186" w:type="dxa"/>
          </w:tcPr>
          <w:p w14:paraId="6F657571">
            <w:pPr>
              <w:autoSpaceDE w:val="0"/>
              <w:autoSpaceDN w:val="0"/>
              <w:adjustRightInd w:val="0"/>
              <w:snapToGrid w:val="0"/>
              <w:jc w:val="left"/>
              <w:rPr>
                <w:rFonts w:ascii="宋体" w:hAnsi="宋体"/>
                <w:kern w:val="0"/>
                <w:sz w:val="24"/>
              </w:rPr>
            </w:pPr>
          </w:p>
        </w:tc>
        <w:tc>
          <w:tcPr>
            <w:tcW w:w="1187" w:type="dxa"/>
          </w:tcPr>
          <w:p w14:paraId="6FCBEA5B">
            <w:pPr>
              <w:autoSpaceDE w:val="0"/>
              <w:autoSpaceDN w:val="0"/>
              <w:adjustRightInd w:val="0"/>
              <w:snapToGrid w:val="0"/>
              <w:jc w:val="left"/>
              <w:rPr>
                <w:rFonts w:ascii="宋体" w:hAnsi="宋体"/>
                <w:kern w:val="0"/>
                <w:sz w:val="24"/>
              </w:rPr>
            </w:pPr>
          </w:p>
        </w:tc>
      </w:tr>
      <w:tr w14:paraId="3AD8B8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0CF6A2B1">
            <w:pPr>
              <w:autoSpaceDE w:val="0"/>
              <w:autoSpaceDN w:val="0"/>
              <w:adjustRightInd w:val="0"/>
              <w:snapToGrid w:val="0"/>
              <w:jc w:val="left"/>
              <w:rPr>
                <w:rFonts w:ascii="宋体" w:hAnsi="宋体"/>
                <w:kern w:val="0"/>
                <w:sz w:val="24"/>
              </w:rPr>
            </w:pPr>
          </w:p>
        </w:tc>
        <w:tc>
          <w:tcPr>
            <w:tcW w:w="1453" w:type="dxa"/>
          </w:tcPr>
          <w:p w14:paraId="3AEB07B3">
            <w:pPr>
              <w:autoSpaceDE w:val="0"/>
              <w:autoSpaceDN w:val="0"/>
              <w:adjustRightInd w:val="0"/>
              <w:snapToGrid w:val="0"/>
              <w:jc w:val="left"/>
              <w:rPr>
                <w:rFonts w:ascii="宋体" w:hAnsi="宋体"/>
                <w:kern w:val="0"/>
                <w:sz w:val="24"/>
              </w:rPr>
            </w:pPr>
          </w:p>
        </w:tc>
        <w:tc>
          <w:tcPr>
            <w:tcW w:w="1186" w:type="dxa"/>
          </w:tcPr>
          <w:p w14:paraId="50FA470A">
            <w:pPr>
              <w:autoSpaceDE w:val="0"/>
              <w:autoSpaceDN w:val="0"/>
              <w:adjustRightInd w:val="0"/>
              <w:snapToGrid w:val="0"/>
              <w:jc w:val="left"/>
              <w:rPr>
                <w:rFonts w:ascii="宋体" w:hAnsi="宋体"/>
                <w:kern w:val="0"/>
                <w:sz w:val="24"/>
              </w:rPr>
            </w:pPr>
          </w:p>
        </w:tc>
        <w:tc>
          <w:tcPr>
            <w:tcW w:w="1188" w:type="dxa"/>
          </w:tcPr>
          <w:p w14:paraId="3C409E4B">
            <w:pPr>
              <w:autoSpaceDE w:val="0"/>
              <w:autoSpaceDN w:val="0"/>
              <w:adjustRightInd w:val="0"/>
              <w:snapToGrid w:val="0"/>
              <w:jc w:val="left"/>
              <w:rPr>
                <w:rFonts w:ascii="宋体" w:hAnsi="宋体"/>
                <w:kern w:val="0"/>
                <w:sz w:val="24"/>
              </w:rPr>
            </w:pPr>
          </w:p>
        </w:tc>
        <w:tc>
          <w:tcPr>
            <w:tcW w:w="1186" w:type="dxa"/>
          </w:tcPr>
          <w:p w14:paraId="1681885C">
            <w:pPr>
              <w:autoSpaceDE w:val="0"/>
              <w:autoSpaceDN w:val="0"/>
              <w:adjustRightInd w:val="0"/>
              <w:snapToGrid w:val="0"/>
              <w:jc w:val="left"/>
              <w:rPr>
                <w:rFonts w:ascii="宋体" w:hAnsi="宋体"/>
                <w:kern w:val="0"/>
                <w:sz w:val="24"/>
              </w:rPr>
            </w:pPr>
          </w:p>
        </w:tc>
        <w:tc>
          <w:tcPr>
            <w:tcW w:w="1188" w:type="dxa"/>
          </w:tcPr>
          <w:p w14:paraId="626FCB66">
            <w:pPr>
              <w:autoSpaceDE w:val="0"/>
              <w:autoSpaceDN w:val="0"/>
              <w:adjustRightInd w:val="0"/>
              <w:snapToGrid w:val="0"/>
              <w:jc w:val="left"/>
              <w:rPr>
                <w:rFonts w:ascii="宋体" w:hAnsi="宋体"/>
                <w:kern w:val="0"/>
                <w:sz w:val="24"/>
              </w:rPr>
            </w:pPr>
          </w:p>
        </w:tc>
        <w:tc>
          <w:tcPr>
            <w:tcW w:w="1186" w:type="dxa"/>
          </w:tcPr>
          <w:p w14:paraId="234A2DB4">
            <w:pPr>
              <w:autoSpaceDE w:val="0"/>
              <w:autoSpaceDN w:val="0"/>
              <w:adjustRightInd w:val="0"/>
              <w:snapToGrid w:val="0"/>
              <w:jc w:val="left"/>
              <w:rPr>
                <w:rFonts w:ascii="宋体" w:hAnsi="宋体"/>
                <w:kern w:val="0"/>
                <w:sz w:val="24"/>
              </w:rPr>
            </w:pPr>
          </w:p>
        </w:tc>
        <w:tc>
          <w:tcPr>
            <w:tcW w:w="1187" w:type="dxa"/>
          </w:tcPr>
          <w:p w14:paraId="154815B8">
            <w:pPr>
              <w:autoSpaceDE w:val="0"/>
              <w:autoSpaceDN w:val="0"/>
              <w:adjustRightInd w:val="0"/>
              <w:snapToGrid w:val="0"/>
              <w:jc w:val="left"/>
              <w:rPr>
                <w:rFonts w:ascii="宋体" w:hAnsi="宋体"/>
                <w:kern w:val="0"/>
                <w:sz w:val="24"/>
              </w:rPr>
            </w:pPr>
          </w:p>
        </w:tc>
      </w:tr>
      <w:tr w14:paraId="621DEDC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7C15CEC9">
            <w:pPr>
              <w:autoSpaceDE w:val="0"/>
              <w:autoSpaceDN w:val="0"/>
              <w:adjustRightInd w:val="0"/>
              <w:snapToGrid w:val="0"/>
              <w:jc w:val="left"/>
              <w:rPr>
                <w:rFonts w:ascii="宋体" w:hAnsi="宋体"/>
                <w:kern w:val="0"/>
                <w:sz w:val="24"/>
              </w:rPr>
            </w:pPr>
          </w:p>
        </w:tc>
        <w:tc>
          <w:tcPr>
            <w:tcW w:w="1453" w:type="dxa"/>
          </w:tcPr>
          <w:p w14:paraId="73BED56E">
            <w:pPr>
              <w:autoSpaceDE w:val="0"/>
              <w:autoSpaceDN w:val="0"/>
              <w:adjustRightInd w:val="0"/>
              <w:snapToGrid w:val="0"/>
              <w:jc w:val="left"/>
              <w:rPr>
                <w:rFonts w:ascii="宋体" w:hAnsi="宋体"/>
                <w:kern w:val="0"/>
                <w:sz w:val="24"/>
              </w:rPr>
            </w:pPr>
          </w:p>
        </w:tc>
        <w:tc>
          <w:tcPr>
            <w:tcW w:w="1186" w:type="dxa"/>
          </w:tcPr>
          <w:p w14:paraId="10FFDCC1">
            <w:pPr>
              <w:autoSpaceDE w:val="0"/>
              <w:autoSpaceDN w:val="0"/>
              <w:adjustRightInd w:val="0"/>
              <w:snapToGrid w:val="0"/>
              <w:jc w:val="left"/>
              <w:rPr>
                <w:rFonts w:ascii="宋体" w:hAnsi="宋体"/>
                <w:kern w:val="0"/>
                <w:sz w:val="24"/>
              </w:rPr>
            </w:pPr>
          </w:p>
        </w:tc>
        <w:tc>
          <w:tcPr>
            <w:tcW w:w="1188" w:type="dxa"/>
          </w:tcPr>
          <w:p w14:paraId="59842DA9">
            <w:pPr>
              <w:autoSpaceDE w:val="0"/>
              <w:autoSpaceDN w:val="0"/>
              <w:adjustRightInd w:val="0"/>
              <w:snapToGrid w:val="0"/>
              <w:jc w:val="left"/>
              <w:rPr>
                <w:rFonts w:ascii="宋体" w:hAnsi="宋体"/>
                <w:kern w:val="0"/>
                <w:sz w:val="24"/>
              </w:rPr>
            </w:pPr>
          </w:p>
        </w:tc>
        <w:tc>
          <w:tcPr>
            <w:tcW w:w="1186" w:type="dxa"/>
          </w:tcPr>
          <w:p w14:paraId="645B4953">
            <w:pPr>
              <w:autoSpaceDE w:val="0"/>
              <w:autoSpaceDN w:val="0"/>
              <w:adjustRightInd w:val="0"/>
              <w:snapToGrid w:val="0"/>
              <w:jc w:val="left"/>
              <w:rPr>
                <w:rFonts w:ascii="宋体" w:hAnsi="宋体"/>
                <w:kern w:val="0"/>
                <w:sz w:val="24"/>
              </w:rPr>
            </w:pPr>
          </w:p>
        </w:tc>
        <w:tc>
          <w:tcPr>
            <w:tcW w:w="1188" w:type="dxa"/>
          </w:tcPr>
          <w:p w14:paraId="12B61ADE">
            <w:pPr>
              <w:autoSpaceDE w:val="0"/>
              <w:autoSpaceDN w:val="0"/>
              <w:adjustRightInd w:val="0"/>
              <w:snapToGrid w:val="0"/>
              <w:jc w:val="left"/>
              <w:rPr>
                <w:rFonts w:ascii="宋体" w:hAnsi="宋体"/>
                <w:kern w:val="0"/>
                <w:sz w:val="24"/>
              </w:rPr>
            </w:pPr>
          </w:p>
        </w:tc>
        <w:tc>
          <w:tcPr>
            <w:tcW w:w="1186" w:type="dxa"/>
          </w:tcPr>
          <w:p w14:paraId="35FE0755">
            <w:pPr>
              <w:autoSpaceDE w:val="0"/>
              <w:autoSpaceDN w:val="0"/>
              <w:adjustRightInd w:val="0"/>
              <w:snapToGrid w:val="0"/>
              <w:jc w:val="left"/>
              <w:rPr>
                <w:rFonts w:ascii="宋体" w:hAnsi="宋体"/>
                <w:kern w:val="0"/>
                <w:sz w:val="24"/>
              </w:rPr>
            </w:pPr>
          </w:p>
        </w:tc>
        <w:tc>
          <w:tcPr>
            <w:tcW w:w="1187" w:type="dxa"/>
          </w:tcPr>
          <w:p w14:paraId="49A5629B">
            <w:pPr>
              <w:autoSpaceDE w:val="0"/>
              <w:autoSpaceDN w:val="0"/>
              <w:adjustRightInd w:val="0"/>
              <w:snapToGrid w:val="0"/>
              <w:jc w:val="left"/>
              <w:rPr>
                <w:rFonts w:ascii="宋体" w:hAnsi="宋体"/>
                <w:kern w:val="0"/>
                <w:sz w:val="24"/>
              </w:rPr>
            </w:pPr>
          </w:p>
        </w:tc>
      </w:tr>
      <w:tr w14:paraId="465FA7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13DAF9EC">
            <w:pPr>
              <w:autoSpaceDE w:val="0"/>
              <w:autoSpaceDN w:val="0"/>
              <w:adjustRightInd w:val="0"/>
              <w:snapToGrid w:val="0"/>
              <w:jc w:val="left"/>
              <w:rPr>
                <w:rFonts w:ascii="宋体" w:hAnsi="宋体"/>
                <w:kern w:val="0"/>
                <w:sz w:val="24"/>
              </w:rPr>
            </w:pPr>
          </w:p>
        </w:tc>
        <w:tc>
          <w:tcPr>
            <w:tcW w:w="1453" w:type="dxa"/>
          </w:tcPr>
          <w:p w14:paraId="6284F5A6">
            <w:pPr>
              <w:autoSpaceDE w:val="0"/>
              <w:autoSpaceDN w:val="0"/>
              <w:adjustRightInd w:val="0"/>
              <w:snapToGrid w:val="0"/>
              <w:jc w:val="left"/>
              <w:rPr>
                <w:rFonts w:ascii="宋体" w:hAnsi="宋体"/>
                <w:kern w:val="0"/>
                <w:sz w:val="24"/>
              </w:rPr>
            </w:pPr>
          </w:p>
        </w:tc>
        <w:tc>
          <w:tcPr>
            <w:tcW w:w="1186" w:type="dxa"/>
          </w:tcPr>
          <w:p w14:paraId="029CD7FC">
            <w:pPr>
              <w:autoSpaceDE w:val="0"/>
              <w:autoSpaceDN w:val="0"/>
              <w:adjustRightInd w:val="0"/>
              <w:snapToGrid w:val="0"/>
              <w:jc w:val="left"/>
              <w:rPr>
                <w:rFonts w:ascii="宋体" w:hAnsi="宋体"/>
                <w:kern w:val="0"/>
                <w:sz w:val="24"/>
              </w:rPr>
            </w:pPr>
          </w:p>
        </w:tc>
        <w:tc>
          <w:tcPr>
            <w:tcW w:w="1188" w:type="dxa"/>
          </w:tcPr>
          <w:p w14:paraId="75F0E485">
            <w:pPr>
              <w:autoSpaceDE w:val="0"/>
              <w:autoSpaceDN w:val="0"/>
              <w:adjustRightInd w:val="0"/>
              <w:snapToGrid w:val="0"/>
              <w:jc w:val="left"/>
              <w:rPr>
                <w:rFonts w:ascii="宋体" w:hAnsi="宋体"/>
                <w:kern w:val="0"/>
                <w:sz w:val="24"/>
              </w:rPr>
            </w:pPr>
          </w:p>
        </w:tc>
        <w:tc>
          <w:tcPr>
            <w:tcW w:w="1186" w:type="dxa"/>
          </w:tcPr>
          <w:p w14:paraId="40CD39F2">
            <w:pPr>
              <w:autoSpaceDE w:val="0"/>
              <w:autoSpaceDN w:val="0"/>
              <w:adjustRightInd w:val="0"/>
              <w:snapToGrid w:val="0"/>
              <w:jc w:val="left"/>
              <w:rPr>
                <w:rFonts w:ascii="宋体" w:hAnsi="宋体"/>
                <w:kern w:val="0"/>
                <w:sz w:val="24"/>
              </w:rPr>
            </w:pPr>
          </w:p>
        </w:tc>
        <w:tc>
          <w:tcPr>
            <w:tcW w:w="1188" w:type="dxa"/>
          </w:tcPr>
          <w:p w14:paraId="17034BFF">
            <w:pPr>
              <w:autoSpaceDE w:val="0"/>
              <w:autoSpaceDN w:val="0"/>
              <w:adjustRightInd w:val="0"/>
              <w:snapToGrid w:val="0"/>
              <w:jc w:val="left"/>
              <w:rPr>
                <w:rFonts w:ascii="宋体" w:hAnsi="宋体"/>
                <w:kern w:val="0"/>
                <w:sz w:val="24"/>
              </w:rPr>
            </w:pPr>
          </w:p>
        </w:tc>
        <w:tc>
          <w:tcPr>
            <w:tcW w:w="1186" w:type="dxa"/>
          </w:tcPr>
          <w:p w14:paraId="21E8A44D">
            <w:pPr>
              <w:autoSpaceDE w:val="0"/>
              <w:autoSpaceDN w:val="0"/>
              <w:adjustRightInd w:val="0"/>
              <w:snapToGrid w:val="0"/>
              <w:jc w:val="left"/>
              <w:rPr>
                <w:rFonts w:ascii="宋体" w:hAnsi="宋体"/>
                <w:kern w:val="0"/>
                <w:sz w:val="24"/>
              </w:rPr>
            </w:pPr>
          </w:p>
        </w:tc>
        <w:tc>
          <w:tcPr>
            <w:tcW w:w="1187" w:type="dxa"/>
          </w:tcPr>
          <w:p w14:paraId="0ED44074">
            <w:pPr>
              <w:autoSpaceDE w:val="0"/>
              <w:autoSpaceDN w:val="0"/>
              <w:adjustRightInd w:val="0"/>
              <w:snapToGrid w:val="0"/>
              <w:jc w:val="left"/>
              <w:rPr>
                <w:rFonts w:ascii="宋体" w:hAnsi="宋体"/>
                <w:kern w:val="0"/>
                <w:sz w:val="24"/>
              </w:rPr>
            </w:pPr>
          </w:p>
        </w:tc>
      </w:tr>
      <w:tr w14:paraId="43FF35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72F419D2">
            <w:pPr>
              <w:autoSpaceDE w:val="0"/>
              <w:autoSpaceDN w:val="0"/>
              <w:adjustRightInd w:val="0"/>
              <w:snapToGrid w:val="0"/>
              <w:jc w:val="left"/>
              <w:rPr>
                <w:rFonts w:ascii="宋体" w:hAnsi="宋体"/>
                <w:kern w:val="0"/>
                <w:sz w:val="24"/>
              </w:rPr>
            </w:pPr>
          </w:p>
        </w:tc>
        <w:tc>
          <w:tcPr>
            <w:tcW w:w="1453" w:type="dxa"/>
          </w:tcPr>
          <w:p w14:paraId="60FBDB52">
            <w:pPr>
              <w:autoSpaceDE w:val="0"/>
              <w:autoSpaceDN w:val="0"/>
              <w:adjustRightInd w:val="0"/>
              <w:snapToGrid w:val="0"/>
              <w:jc w:val="left"/>
              <w:rPr>
                <w:rFonts w:ascii="宋体" w:hAnsi="宋体"/>
                <w:kern w:val="0"/>
                <w:sz w:val="24"/>
              </w:rPr>
            </w:pPr>
          </w:p>
        </w:tc>
        <w:tc>
          <w:tcPr>
            <w:tcW w:w="1186" w:type="dxa"/>
          </w:tcPr>
          <w:p w14:paraId="23E27402">
            <w:pPr>
              <w:autoSpaceDE w:val="0"/>
              <w:autoSpaceDN w:val="0"/>
              <w:adjustRightInd w:val="0"/>
              <w:snapToGrid w:val="0"/>
              <w:jc w:val="left"/>
              <w:rPr>
                <w:rFonts w:ascii="宋体" w:hAnsi="宋体"/>
                <w:kern w:val="0"/>
                <w:sz w:val="24"/>
              </w:rPr>
            </w:pPr>
          </w:p>
        </w:tc>
        <w:tc>
          <w:tcPr>
            <w:tcW w:w="1188" w:type="dxa"/>
          </w:tcPr>
          <w:p w14:paraId="07173A4A">
            <w:pPr>
              <w:autoSpaceDE w:val="0"/>
              <w:autoSpaceDN w:val="0"/>
              <w:adjustRightInd w:val="0"/>
              <w:snapToGrid w:val="0"/>
              <w:jc w:val="left"/>
              <w:rPr>
                <w:rFonts w:ascii="宋体" w:hAnsi="宋体"/>
                <w:kern w:val="0"/>
                <w:sz w:val="24"/>
              </w:rPr>
            </w:pPr>
          </w:p>
        </w:tc>
        <w:tc>
          <w:tcPr>
            <w:tcW w:w="1186" w:type="dxa"/>
          </w:tcPr>
          <w:p w14:paraId="56FD16A1">
            <w:pPr>
              <w:autoSpaceDE w:val="0"/>
              <w:autoSpaceDN w:val="0"/>
              <w:adjustRightInd w:val="0"/>
              <w:snapToGrid w:val="0"/>
              <w:jc w:val="left"/>
              <w:rPr>
                <w:rFonts w:ascii="宋体" w:hAnsi="宋体"/>
                <w:kern w:val="0"/>
                <w:sz w:val="24"/>
              </w:rPr>
            </w:pPr>
          </w:p>
        </w:tc>
        <w:tc>
          <w:tcPr>
            <w:tcW w:w="1188" w:type="dxa"/>
          </w:tcPr>
          <w:p w14:paraId="4BEB1E80">
            <w:pPr>
              <w:autoSpaceDE w:val="0"/>
              <w:autoSpaceDN w:val="0"/>
              <w:adjustRightInd w:val="0"/>
              <w:snapToGrid w:val="0"/>
              <w:jc w:val="left"/>
              <w:rPr>
                <w:rFonts w:ascii="宋体" w:hAnsi="宋体"/>
                <w:kern w:val="0"/>
                <w:sz w:val="24"/>
              </w:rPr>
            </w:pPr>
          </w:p>
        </w:tc>
        <w:tc>
          <w:tcPr>
            <w:tcW w:w="1186" w:type="dxa"/>
          </w:tcPr>
          <w:p w14:paraId="59A20922">
            <w:pPr>
              <w:autoSpaceDE w:val="0"/>
              <w:autoSpaceDN w:val="0"/>
              <w:adjustRightInd w:val="0"/>
              <w:snapToGrid w:val="0"/>
              <w:jc w:val="left"/>
              <w:rPr>
                <w:rFonts w:ascii="宋体" w:hAnsi="宋体"/>
                <w:kern w:val="0"/>
                <w:sz w:val="24"/>
              </w:rPr>
            </w:pPr>
          </w:p>
        </w:tc>
        <w:tc>
          <w:tcPr>
            <w:tcW w:w="1187" w:type="dxa"/>
          </w:tcPr>
          <w:p w14:paraId="1D44279C">
            <w:pPr>
              <w:autoSpaceDE w:val="0"/>
              <w:autoSpaceDN w:val="0"/>
              <w:adjustRightInd w:val="0"/>
              <w:snapToGrid w:val="0"/>
              <w:jc w:val="left"/>
              <w:rPr>
                <w:rFonts w:ascii="宋体" w:hAnsi="宋体"/>
                <w:kern w:val="0"/>
                <w:sz w:val="24"/>
              </w:rPr>
            </w:pPr>
          </w:p>
        </w:tc>
      </w:tr>
      <w:tr w14:paraId="41F8EB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29E56BF9">
            <w:pPr>
              <w:autoSpaceDE w:val="0"/>
              <w:autoSpaceDN w:val="0"/>
              <w:adjustRightInd w:val="0"/>
              <w:snapToGrid w:val="0"/>
              <w:jc w:val="left"/>
              <w:rPr>
                <w:rFonts w:ascii="宋体" w:hAnsi="宋体"/>
                <w:kern w:val="0"/>
                <w:sz w:val="24"/>
              </w:rPr>
            </w:pPr>
          </w:p>
        </w:tc>
        <w:tc>
          <w:tcPr>
            <w:tcW w:w="1453" w:type="dxa"/>
          </w:tcPr>
          <w:p w14:paraId="1153BC18">
            <w:pPr>
              <w:autoSpaceDE w:val="0"/>
              <w:autoSpaceDN w:val="0"/>
              <w:adjustRightInd w:val="0"/>
              <w:snapToGrid w:val="0"/>
              <w:jc w:val="left"/>
              <w:rPr>
                <w:rFonts w:ascii="宋体" w:hAnsi="宋体"/>
                <w:kern w:val="0"/>
                <w:sz w:val="24"/>
              </w:rPr>
            </w:pPr>
          </w:p>
        </w:tc>
        <w:tc>
          <w:tcPr>
            <w:tcW w:w="1186" w:type="dxa"/>
          </w:tcPr>
          <w:p w14:paraId="695C34E1">
            <w:pPr>
              <w:autoSpaceDE w:val="0"/>
              <w:autoSpaceDN w:val="0"/>
              <w:adjustRightInd w:val="0"/>
              <w:snapToGrid w:val="0"/>
              <w:jc w:val="left"/>
              <w:rPr>
                <w:rFonts w:ascii="宋体" w:hAnsi="宋体"/>
                <w:kern w:val="0"/>
                <w:sz w:val="24"/>
              </w:rPr>
            </w:pPr>
          </w:p>
        </w:tc>
        <w:tc>
          <w:tcPr>
            <w:tcW w:w="1188" w:type="dxa"/>
          </w:tcPr>
          <w:p w14:paraId="4092BCE5">
            <w:pPr>
              <w:autoSpaceDE w:val="0"/>
              <w:autoSpaceDN w:val="0"/>
              <w:adjustRightInd w:val="0"/>
              <w:snapToGrid w:val="0"/>
              <w:jc w:val="left"/>
              <w:rPr>
                <w:rFonts w:ascii="宋体" w:hAnsi="宋体"/>
                <w:kern w:val="0"/>
                <w:sz w:val="24"/>
              </w:rPr>
            </w:pPr>
          </w:p>
        </w:tc>
        <w:tc>
          <w:tcPr>
            <w:tcW w:w="1186" w:type="dxa"/>
          </w:tcPr>
          <w:p w14:paraId="3188B4BC">
            <w:pPr>
              <w:autoSpaceDE w:val="0"/>
              <w:autoSpaceDN w:val="0"/>
              <w:adjustRightInd w:val="0"/>
              <w:snapToGrid w:val="0"/>
              <w:jc w:val="left"/>
              <w:rPr>
                <w:rFonts w:ascii="宋体" w:hAnsi="宋体"/>
                <w:kern w:val="0"/>
                <w:sz w:val="24"/>
              </w:rPr>
            </w:pPr>
          </w:p>
        </w:tc>
        <w:tc>
          <w:tcPr>
            <w:tcW w:w="1188" w:type="dxa"/>
          </w:tcPr>
          <w:p w14:paraId="08EC0948">
            <w:pPr>
              <w:autoSpaceDE w:val="0"/>
              <w:autoSpaceDN w:val="0"/>
              <w:adjustRightInd w:val="0"/>
              <w:snapToGrid w:val="0"/>
              <w:jc w:val="left"/>
              <w:rPr>
                <w:rFonts w:ascii="宋体" w:hAnsi="宋体"/>
                <w:kern w:val="0"/>
                <w:sz w:val="24"/>
              </w:rPr>
            </w:pPr>
          </w:p>
        </w:tc>
        <w:tc>
          <w:tcPr>
            <w:tcW w:w="1186" w:type="dxa"/>
          </w:tcPr>
          <w:p w14:paraId="433CCE92">
            <w:pPr>
              <w:autoSpaceDE w:val="0"/>
              <w:autoSpaceDN w:val="0"/>
              <w:adjustRightInd w:val="0"/>
              <w:snapToGrid w:val="0"/>
              <w:jc w:val="left"/>
              <w:rPr>
                <w:rFonts w:ascii="宋体" w:hAnsi="宋体"/>
                <w:kern w:val="0"/>
                <w:sz w:val="24"/>
              </w:rPr>
            </w:pPr>
          </w:p>
        </w:tc>
        <w:tc>
          <w:tcPr>
            <w:tcW w:w="1187" w:type="dxa"/>
          </w:tcPr>
          <w:p w14:paraId="197240F9">
            <w:pPr>
              <w:autoSpaceDE w:val="0"/>
              <w:autoSpaceDN w:val="0"/>
              <w:adjustRightInd w:val="0"/>
              <w:snapToGrid w:val="0"/>
              <w:jc w:val="left"/>
              <w:rPr>
                <w:rFonts w:ascii="宋体" w:hAnsi="宋体"/>
                <w:kern w:val="0"/>
                <w:sz w:val="24"/>
              </w:rPr>
            </w:pPr>
          </w:p>
        </w:tc>
      </w:tr>
      <w:tr w14:paraId="488680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33F8B557">
            <w:pPr>
              <w:autoSpaceDE w:val="0"/>
              <w:autoSpaceDN w:val="0"/>
              <w:adjustRightInd w:val="0"/>
              <w:snapToGrid w:val="0"/>
              <w:jc w:val="left"/>
              <w:rPr>
                <w:rFonts w:ascii="宋体" w:hAnsi="宋体"/>
                <w:kern w:val="0"/>
                <w:sz w:val="24"/>
              </w:rPr>
            </w:pPr>
          </w:p>
        </w:tc>
        <w:tc>
          <w:tcPr>
            <w:tcW w:w="1453" w:type="dxa"/>
          </w:tcPr>
          <w:p w14:paraId="52F05D32">
            <w:pPr>
              <w:autoSpaceDE w:val="0"/>
              <w:autoSpaceDN w:val="0"/>
              <w:adjustRightInd w:val="0"/>
              <w:snapToGrid w:val="0"/>
              <w:jc w:val="left"/>
              <w:rPr>
                <w:rFonts w:ascii="宋体" w:hAnsi="宋体"/>
                <w:kern w:val="0"/>
                <w:sz w:val="24"/>
              </w:rPr>
            </w:pPr>
          </w:p>
        </w:tc>
        <w:tc>
          <w:tcPr>
            <w:tcW w:w="1186" w:type="dxa"/>
          </w:tcPr>
          <w:p w14:paraId="28B9338A">
            <w:pPr>
              <w:autoSpaceDE w:val="0"/>
              <w:autoSpaceDN w:val="0"/>
              <w:adjustRightInd w:val="0"/>
              <w:snapToGrid w:val="0"/>
              <w:jc w:val="left"/>
              <w:rPr>
                <w:rFonts w:ascii="宋体" w:hAnsi="宋体"/>
                <w:kern w:val="0"/>
                <w:sz w:val="24"/>
              </w:rPr>
            </w:pPr>
          </w:p>
        </w:tc>
        <w:tc>
          <w:tcPr>
            <w:tcW w:w="1188" w:type="dxa"/>
          </w:tcPr>
          <w:p w14:paraId="6FAEAFB8">
            <w:pPr>
              <w:autoSpaceDE w:val="0"/>
              <w:autoSpaceDN w:val="0"/>
              <w:adjustRightInd w:val="0"/>
              <w:snapToGrid w:val="0"/>
              <w:jc w:val="left"/>
              <w:rPr>
                <w:rFonts w:ascii="宋体" w:hAnsi="宋体"/>
                <w:kern w:val="0"/>
                <w:sz w:val="24"/>
              </w:rPr>
            </w:pPr>
          </w:p>
        </w:tc>
        <w:tc>
          <w:tcPr>
            <w:tcW w:w="1186" w:type="dxa"/>
          </w:tcPr>
          <w:p w14:paraId="242778CF">
            <w:pPr>
              <w:autoSpaceDE w:val="0"/>
              <w:autoSpaceDN w:val="0"/>
              <w:adjustRightInd w:val="0"/>
              <w:snapToGrid w:val="0"/>
              <w:jc w:val="left"/>
              <w:rPr>
                <w:rFonts w:ascii="宋体" w:hAnsi="宋体"/>
                <w:kern w:val="0"/>
                <w:sz w:val="24"/>
              </w:rPr>
            </w:pPr>
          </w:p>
        </w:tc>
        <w:tc>
          <w:tcPr>
            <w:tcW w:w="1188" w:type="dxa"/>
          </w:tcPr>
          <w:p w14:paraId="0C9BC48F">
            <w:pPr>
              <w:autoSpaceDE w:val="0"/>
              <w:autoSpaceDN w:val="0"/>
              <w:adjustRightInd w:val="0"/>
              <w:snapToGrid w:val="0"/>
              <w:jc w:val="left"/>
              <w:rPr>
                <w:rFonts w:ascii="宋体" w:hAnsi="宋体"/>
                <w:kern w:val="0"/>
                <w:sz w:val="24"/>
              </w:rPr>
            </w:pPr>
          </w:p>
        </w:tc>
        <w:tc>
          <w:tcPr>
            <w:tcW w:w="1186" w:type="dxa"/>
          </w:tcPr>
          <w:p w14:paraId="4A2C01C7">
            <w:pPr>
              <w:autoSpaceDE w:val="0"/>
              <w:autoSpaceDN w:val="0"/>
              <w:adjustRightInd w:val="0"/>
              <w:snapToGrid w:val="0"/>
              <w:jc w:val="left"/>
              <w:rPr>
                <w:rFonts w:ascii="宋体" w:hAnsi="宋体"/>
                <w:kern w:val="0"/>
                <w:sz w:val="24"/>
              </w:rPr>
            </w:pPr>
          </w:p>
        </w:tc>
        <w:tc>
          <w:tcPr>
            <w:tcW w:w="1187" w:type="dxa"/>
          </w:tcPr>
          <w:p w14:paraId="4E6AFAB2">
            <w:pPr>
              <w:autoSpaceDE w:val="0"/>
              <w:autoSpaceDN w:val="0"/>
              <w:adjustRightInd w:val="0"/>
              <w:snapToGrid w:val="0"/>
              <w:jc w:val="left"/>
              <w:rPr>
                <w:rFonts w:ascii="宋体" w:hAnsi="宋体"/>
                <w:kern w:val="0"/>
                <w:sz w:val="24"/>
              </w:rPr>
            </w:pPr>
          </w:p>
        </w:tc>
      </w:tr>
      <w:tr w14:paraId="2C3149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4D41A894">
            <w:pPr>
              <w:autoSpaceDE w:val="0"/>
              <w:autoSpaceDN w:val="0"/>
              <w:adjustRightInd w:val="0"/>
              <w:snapToGrid w:val="0"/>
              <w:jc w:val="left"/>
              <w:rPr>
                <w:rFonts w:ascii="宋体" w:hAnsi="宋体"/>
                <w:kern w:val="0"/>
                <w:sz w:val="24"/>
              </w:rPr>
            </w:pPr>
          </w:p>
        </w:tc>
        <w:tc>
          <w:tcPr>
            <w:tcW w:w="1453" w:type="dxa"/>
          </w:tcPr>
          <w:p w14:paraId="0B57FC93">
            <w:pPr>
              <w:autoSpaceDE w:val="0"/>
              <w:autoSpaceDN w:val="0"/>
              <w:adjustRightInd w:val="0"/>
              <w:snapToGrid w:val="0"/>
              <w:jc w:val="left"/>
              <w:rPr>
                <w:rFonts w:ascii="宋体" w:hAnsi="宋体"/>
                <w:kern w:val="0"/>
                <w:sz w:val="24"/>
              </w:rPr>
            </w:pPr>
          </w:p>
        </w:tc>
        <w:tc>
          <w:tcPr>
            <w:tcW w:w="1186" w:type="dxa"/>
          </w:tcPr>
          <w:p w14:paraId="6116753E">
            <w:pPr>
              <w:autoSpaceDE w:val="0"/>
              <w:autoSpaceDN w:val="0"/>
              <w:adjustRightInd w:val="0"/>
              <w:snapToGrid w:val="0"/>
              <w:jc w:val="left"/>
              <w:rPr>
                <w:rFonts w:ascii="宋体" w:hAnsi="宋体"/>
                <w:kern w:val="0"/>
                <w:sz w:val="24"/>
              </w:rPr>
            </w:pPr>
          </w:p>
        </w:tc>
        <w:tc>
          <w:tcPr>
            <w:tcW w:w="1188" w:type="dxa"/>
          </w:tcPr>
          <w:p w14:paraId="36A6C6B4">
            <w:pPr>
              <w:autoSpaceDE w:val="0"/>
              <w:autoSpaceDN w:val="0"/>
              <w:adjustRightInd w:val="0"/>
              <w:snapToGrid w:val="0"/>
              <w:jc w:val="left"/>
              <w:rPr>
                <w:rFonts w:ascii="宋体" w:hAnsi="宋体"/>
                <w:kern w:val="0"/>
                <w:sz w:val="24"/>
              </w:rPr>
            </w:pPr>
          </w:p>
        </w:tc>
        <w:tc>
          <w:tcPr>
            <w:tcW w:w="1186" w:type="dxa"/>
          </w:tcPr>
          <w:p w14:paraId="677846D3">
            <w:pPr>
              <w:autoSpaceDE w:val="0"/>
              <w:autoSpaceDN w:val="0"/>
              <w:adjustRightInd w:val="0"/>
              <w:snapToGrid w:val="0"/>
              <w:jc w:val="left"/>
              <w:rPr>
                <w:rFonts w:ascii="宋体" w:hAnsi="宋体"/>
                <w:kern w:val="0"/>
                <w:sz w:val="24"/>
              </w:rPr>
            </w:pPr>
          </w:p>
        </w:tc>
        <w:tc>
          <w:tcPr>
            <w:tcW w:w="1188" w:type="dxa"/>
          </w:tcPr>
          <w:p w14:paraId="31C8287C">
            <w:pPr>
              <w:autoSpaceDE w:val="0"/>
              <w:autoSpaceDN w:val="0"/>
              <w:adjustRightInd w:val="0"/>
              <w:snapToGrid w:val="0"/>
              <w:jc w:val="left"/>
              <w:rPr>
                <w:rFonts w:ascii="宋体" w:hAnsi="宋体"/>
                <w:kern w:val="0"/>
                <w:sz w:val="24"/>
              </w:rPr>
            </w:pPr>
          </w:p>
        </w:tc>
        <w:tc>
          <w:tcPr>
            <w:tcW w:w="1186" w:type="dxa"/>
          </w:tcPr>
          <w:p w14:paraId="7FC2048D">
            <w:pPr>
              <w:autoSpaceDE w:val="0"/>
              <w:autoSpaceDN w:val="0"/>
              <w:adjustRightInd w:val="0"/>
              <w:snapToGrid w:val="0"/>
              <w:jc w:val="left"/>
              <w:rPr>
                <w:rFonts w:ascii="宋体" w:hAnsi="宋体"/>
                <w:kern w:val="0"/>
                <w:sz w:val="24"/>
              </w:rPr>
            </w:pPr>
          </w:p>
        </w:tc>
        <w:tc>
          <w:tcPr>
            <w:tcW w:w="1187" w:type="dxa"/>
          </w:tcPr>
          <w:p w14:paraId="04280AF4">
            <w:pPr>
              <w:autoSpaceDE w:val="0"/>
              <w:autoSpaceDN w:val="0"/>
              <w:adjustRightInd w:val="0"/>
              <w:snapToGrid w:val="0"/>
              <w:jc w:val="left"/>
              <w:rPr>
                <w:rFonts w:ascii="宋体" w:hAnsi="宋体"/>
                <w:kern w:val="0"/>
                <w:sz w:val="24"/>
              </w:rPr>
            </w:pPr>
          </w:p>
        </w:tc>
      </w:tr>
      <w:tr w14:paraId="07E787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7257C330">
            <w:pPr>
              <w:autoSpaceDE w:val="0"/>
              <w:autoSpaceDN w:val="0"/>
              <w:adjustRightInd w:val="0"/>
              <w:snapToGrid w:val="0"/>
              <w:jc w:val="left"/>
              <w:rPr>
                <w:rFonts w:ascii="宋体" w:hAnsi="宋体"/>
                <w:kern w:val="0"/>
                <w:sz w:val="24"/>
              </w:rPr>
            </w:pPr>
          </w:p>
        </w:tc>
        <w:tc>
          <w:tcPr>
            <w:tcW w:w="1453" w:type="dxa"/>
          </w:tcPr>
          <w:p w14:paraId="0E728A7C">
            <w:pPr>
              <w:autoSpaceDE w:val="0"/>
              <w:autoSpaceDN w:val="0"/>
              <w:adjustRightInd w:val="0"/>
              <w:snapToGrid w:val="0"/>
              <w:jc w:val="left"/>
              <w:rPr>
                <w:rFonts w:ascii="宋体" w:hAnsi="宋体"/>
                <w:kern w:val="0"/>
                <w:sz w:val="24"/>
              </w:rPr>
            </w:pPr>
          </w:p>
        </w:tc>
        <w:tc>
          <w:tcPr>
            <w:tcW w:w="1186" w:type="dxa"/>
          </w:tcPr>
          <w:p w14:paraId="5AF43AF9">
            <w:pPr>
              <w:autoSpaceDE w:val="0"/>
              <w:autoSpaceDN w:val="0"/>
              <w:adjustRightInd w:val="0"/>
              <w:snapToGrid w:val="0"/>
              <w:jc w:val="left"/>
              <w:rPr>
                <w:rFonts w:ascii="宋体" w:hAnsi="宋体"/>
                <w:kern w:val="0"/>
                <w:sz w:val="24"/>
              </w:rPr>
            </w:pPr>
          </w:p>
        </w:tc>
        <w:tc>
          <w:tcPr>
            <w:tcW w:w="1188" w:type="dxa"/>
          </w:tcPr>
          <w:p w14:paraId="07554A0F">
            <w:pPr>
              <w:autoSpaceDE w:val="0"/>
              <w:autoSpaceDN w:val="0"/>
              <w:adjustRightInd w:val="0"/>
              <w:snapToGrid w:val="0"/>
              <w:jc w:val="left"/>
              <w:rPr>
                <w:rFonts w:ascii="宋体" w:hAnsi="宋体"/>
                <w:kern w:val="0"/>
                <w:sz w:val="24"/>
              </w:rPr>
            </w:pPr>
          </w:p>
        </w:tc>
        <w:tc>
          <w:tcPr>
            <w:tcW w:w="1186" w:type="dxa"/>
          </w:tcPr>
          <w:p w14:paraId="46A76932">
            <w:pPr>
              <w:autoSpaceDE w:val="0"/>
              <w:autoSpaceDN w:val="0"/>
              <w:adjustRightInd w:val="0"/>
              <w:snapToGrid w:val="0"/>
              <w:jc w:val="left"/>
              <w:rPr>
                <w:rFonts w:ascii="宋体" w:hAnsi="宋体"/>
                <w:kern w:val="0"/>
                <w:sz w:val="24"/>
              </w:rPr>
            </w:pPr>
          </w:p>
        </w:tc>
        <w:tc>
          <w:tcPr>
            <w:tcW w:w="1188" w:type="dxa"/>
          </w:tcPr>
          <w:p w14:paraId="1BC752AA">
            <w:pPr>
              <w:autoSpaceDE w:val="0"/>
              <w:autoSpaceDN w:val="0"/>
              <w:adjustRightInd w:val="0"/>
              <w:snapToGrid w:val="0"/>
              <w:jc w:val="left"/>
              <w:rPr>
                <w:rFonts w:ascii="宋体" w:hAnsi="宋体"/>
                <w:kern w:val="0"/>
                <w:sz w:val="24"/>
              </w:rPr>
            </w:pPr>
          </w:p>
        </w:tc>
        <w:tc>
          <w:tcPr>
            <w:tcW w:w="1186" w:type="dxa"/>
          </w:tcPr>
          <w:p w14:paraId="0C7E8765">
            <w:pPr>
              <w:autoSpaceDE w:val="0"/>
              <w:autoSpaceDN w:val="0"/>
              <w:adjustRightInd w:val="0"/>
              <w:snapToGrid w:val="0"/>
              <w:jc w:val="left"/>
              <w:rPr>
                <w:rFonts w:ascii="宋体" w:hAnsi="宋体"/>
                <w:kern w:val="0"/>
                <w:sz w:val="24"/>
              </w:rPr>
            </w:pPr>
          </w:p>
        </w:tc>
        <w:tc>
          <w:tcPr>
            <w:tcW w:w="1187" w:type="dxa"/>
          </w:tcPr>
          <w:p w14:paraId="0879A118">
            <w:pPr>
              <w:autoSpaceDE w:val="0"/>
              <w:autoSpaceDN w:val="0"/>
              <w:adjustRightInd w:val="0"/>
              <w:snapToGrid w:val="0"/>
              <w:jc w:val="left"/>
              <w:rPr>
                <w:rFonts w:ascii="宋体" w:hAnsi="宋体"/>
                <w:kern w:val="0"/>
                <w:sz w:val="24"/>
              </w:rPr>
            </w:pPr>
          </w:p>
        </w:tc>
      </w:tr>
      <w:tr w14:paraId="4E03D8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7725B0A0">
            <w:pPr>
              <w:autoSpaceDE w:val="0"/>
              <w:autoSpaceDN w:val="0"/>
              <w:adjustRightInd w:val="0"/>
              <w:snapToGrid w:val="0"/>
              <w:jc w:val="left"/>
              <w:rPr>
                <w:rFonts w:ascii="宋体" w:hAnsi="宋体"/>
                <w:kern w:val="0"/>
                <w:sz w:val="24"/>
              </w:rPr>
            </w:pPr>
          </w:p>
        </w:tc>
        <w:tc>
          <w:tcPr>
            <w:tcW w:w="1453" w:type="dxa"/>
          </w:tcPr>
          <w:p w14:paraId="03E7677E">
            <w:pPr>
              <w:autoSpaceDE w:val="0"/>
              <w:autoSpaceDN w:val="0"/>
              <w:adjustRightInd w:val="0"/>
              <w:snapToGrid w:val="0"/>
              <w:jc w:val="left"/>
              <w:rPr>
                <w:rFonts w:ascii="宋体" w:hAnsi="宋体"/>
                <w:kern w:val="0"/>
                <w:sz w:val="24"/>
              </w:rPr>
            </w:pPr>
          </w:p>
        </w:tc>
        <w:tc>
          <w:tcPr>
            <w:tcW w:w="1186" w:type="dxa"/>
          </w:tcPr>
          <w:p w14:paraId="4258B7E2">
            <w:pPr>
              <w:autoSpaceDE w:val="0"/>
              <w:autoSpaceDN w:val="0"/>
              <w:adjustRightInd w:val="0"/>
              <w:snapToGrid w:val="0"/>
              <w:jc w:val="left"/>
              <w:rPr>
                <w:rFonts w:ascii="宋体" w:hAnsi="宋体"/>
                <w:kern w:val="0"/>
                <w:sz w:val="24"/>
              </w:rPr>
            </w:pPr>
          </w:p>
        </w:tc>
        <w:tc>
          <w:tcPr>
            <w:tcW w:w="1188" w:type="dxa"/>
          </w:tcPr>
          <w:p w14:paraId="0FC9351A">
            <w:pPr>
              <w:autoSpaceDE w:val="0"/>
              <w:autoSpaceDN w:val="0"/>
              <w:adjustRightInd w:val="0"/>
              <w:snapToGrid w:val="0"/>
              <w:jc w:val="left"/>
              <w:rPr>
                <w:rFonts w:ascii="宋体" w:hAnsi="宋体"/>
                <w:kern w:val="0"/>
                <w:sz w:val="24"/>
              </w:rPr>
            </w:pPr>
          </w:p>
        </w:tc>
        <w:tc>
          <w:tcPr>
            <w:tcW w:w="1186" w:type="dxa"/>
          </w:tcPr>
          <w:p w14:paraId="645F5758">
            <w:pPr>
              <w:autoSpaceDE w:val="0"/>
              <w:autoSpaceDN w:val="0"/>
              <w:adjustRightInd w:val="0"/>
              <w:snapToGrid w:val="0"/>
              <w:jc w:val="left"/>
              <w:rPr>
                <w:rFonts w:ascii="宋体" w:hAnsi="宋体"/>
                <w:kern w:val="0"/>
                <w:sz w:val="24"/>
              </w:rPr>
            </w:pPr>
          </w:p>
        </w:tc>
        <w:tc>
          <w:tcPr>
            <w:tcW w:w="1188" w:type="dxa"/>
          </w:tcPr>
          <w:p w14:paraId="551E7347">
            <w:pPr>
              <w:autoSpaceDE w:val="0"/>
              <w:autoSpaceDN w:val="0"/>
              <w:adjustRightInd w:val="0"/>
              <w:snapToGrid w:val="0"/>
              <w:jc w:val="left"/>
              <w:rPr>
                <w:rFonts w:ascii="宋体" w:hAnsi="宋体"/>
                <w:kern w:val="0"/>
                <w:sz w:val="24"/>
              </w:rPr>
            </w:pPr>
          </w:p>
        </w:tc>
        <w:tc>
          <w:tcPr>
            <w:tcW w:w="1186" w:type="dxa"/>
          </w:tcPr>
          <w:p w14:paraId="5CF5835B">
            <w:pPr>
              <w:autoSpaceDE w:val="0"/>
              <w:autoSpaceDN w:val="0"/>
              <w:adjustRightInd w:val="0"/>
              <w:snapToGrid w:val="0"/>
              <w:jc w:val="left"/>
              <w:rPr>
                <w:rFonts w:ascii="宋体" w:hAnsi="宋体"/>
                <w:kern w:val="0"/>
                <w:sz w:val="24"/>
              </w:rPr>
            </w:pPr>
          </w:p>
        </w:tc>
        <w:tc>
          <w:tcPr>
            <w:tcW w:w="1187" w:type="dxa"/>
          </w:tcPr>
          <w:p w14:paraId="11D577B6">
            <w:pPr>
              <w:autoSpaceDE w:val="0"/>
              <w:autoSpaceDN w:val="0"/>
              <w:adjustRightInd w:val="0"/>
              <w:snapToGrid w:val="0"/>
              <w:jc w:val="left"/>
              <w:rPr>
                <w:rFonts w:ascii="宋体" w:hAnsi="宋体"/>
                <w:kern w:val="0"/>
                <w:sz w:val="24"/>
              </w:rPr>
            </w:pPr>
          </w:p>
        </w:tc>
      </w:tr>
      <w:tr w14:paraId="73FD93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5B37A293">
            <w:pPr>
              <w:autoSpaceDE w:val="0"/>
              <w:autoSpaceDN w:val="0"/>
              <w:adjustRightInd w:val="0"/>
              <w:snapToGrid w:val="0"/>
              <w:jc w:val="left"/>
              <w:rPr>
                <w:rFonts w:ascii="宋体" w:hAnsi="宋体"/>
                <w:kern w:val="0"/>
                <w:sz w:val="24"/>
              </w:rPr>
            </w:pPr>
          </w:p>
        </w:tc>
        <w:tc>
          <w:tcPr>
            <w:tcW w:w="1453" w:type="dxa"/>
          </w:tcPr>
          <w:p w14:paraId="31CFD823">
            <w:pPr>
              <w:autoSpaceDE w:val="0"/>
              <w:autoSpaceDN w:val="0"/>
              <w:adjustRightInd w:val="0"/>
              <w:snapToGrid w:val="0"/>
              <w:jc w:val="left"/>
              <w:rPr>
                <w:rFonts w:ascii="宋体" w:hAnsi="宋体"/>
                <w:kern w:val="0"/>
                <w:sz w:val="24"/>
              </w:rPr>
            </w:pPr>
          </w:p>
        </w:tc>
        <w:tc>
          <w:tcPr>
            <w:tcW w:w="1186" w:type="dxa"/>
          </w:tcPr>
          <w:p w14:paraId="1086FAFD">
            <w:pPr>
              <w:autoSpaceDE w:val="0"/>
              <w:autoSpaceDN w:val="0"/>
              <w:adjustRightInd w:val="0"/>
              <w:snapToGrid w:val="0"/>
              <w:jc w:val="left"/>
              <w:rPr>
                <w:rFonts w:ascii="宋体" w:hAnsi="宋体"/>
                <w:kern w:val="0"/>
                <w:sz w:val="24"/>
              </w:rPr>
            </w:pPr>
          </w:p>
        </w:tc>
        <w:tc>
          <w:tcPr>
            <w:tcW w:w="1188" w:type="dxa"/>
          </w:tcPr>
          <w:p w14:paraId="140FC533">
            <w:pPr>
              <w:autoSpaceDE w:val="0"/>
              <w:autoSpaceDN w:val="0"/>
              <w:adjustRightInd w:val="0"/>
              <w:snapToGrid w:val="0"/>
              <w:jc w:val="left"/>
              <w:rPr>
                <w:rFonts w:ascii="宋体" w:hAnsi="宋体"/>
                <w:kern w:val="0"/>
                <w:sz w:val="24"/>
              </w:rPr>
            </w:pPr>
          </w:p>
        </w:tc>
        <w:tc>
          <w:tcPr>
            <w:tcW w:w="1186" w:type="dxa"/>
          </w:tcPr>
          <w:p w14:paraId="067EDBD5">
            <w:pPr>
              <w:autoSpaceDE w:val="0"/>
              <w:autoSpaceDN w:val="0"/>
              <w:adjustRightInd w:val="0"/>
              <w:snapToGrid w:val="0"/>
              <w:jc w:val="left"/>
              <w:rPr>
                <w:rFonts w:ascii="宋体" w:hAnsi="宋体"/>
                <w:kern w:val="0"/>
                <w:sz w:val="24"/>
              </w:rPr>
            </w:pPr>
          </w:p>
        </w:tc>
        <w:tc>
          <w:tcPr>
            <w:tcW w:w="1188" w:type="dxa"/>
          </w:tcPr>
          <w:p w14:paraId="00FBEB14">
            <w:pPr>
              <w:autoSpaceDE w:val="0"/>
              <w:autoSpaceDN w:val="0"/>
              <w:adjustRightInd w:val="0"/>
              <w:snapToGrid w:val="0"/>
              <w:jc w:val="left"/>
              <w:rPr>
                <w:rFonts w:ascii="宋体" w:hAnsi="宋体"/>
                <w:kern w:val="0"/>
                <w:sz w:val="24"/>
              </w:rPr>
            </w:pPr>
          </w:p>
        </w:tc>
        <w:tc>
          <w:tcPr>
            <w:tcW w:w="1186" w:type="dxa"/>
          </w:tcPr>
          <w:p w14:paraId="10286B56">
            <w:pPr>
              <w:autoSpaceDE w:val="0"/>
              <w:autoSpaceDN w:val="0"/>
              <w:adjustRightInd w:val="0"/>
              <w:snapToGrid w:val="0"/>
              <w:jc w:val="left"/>
              <w:rPr>
                <w:rFonts w:ascii="宋体" w:hAnsi="宋体"/>
                <w:kern w:val="0"/>
                <w:sz w:val="24"/>
              </w:rPr>
            </w:pPr>
          </w:p>
        </w:tc>
        <w:tc>
          <w:tcPr>
            <w:tcW w:w="1187" w:type="dxa"/>
          </w:tcPr>
          <w:p w14:paraId="24132FFC">
            <w:pPr>
              <w:autoSpaceDE w:val="0"/>
              <w:autoSpaceDN w:val="0"/>
              <w:adjustRightInd w:val="0"/>
              <w:snapToGrid w:val="0"/>
              <w:jc w:val="left"/>
              <w:rPr>
                <w:rFonts w:ascii="宋体" w:hAnsi="宋体"/>
                <w:kern w:val="0"/>
                <w:sz w:val="24"/>
              </w:rPr>
            </w:pPr>
          </w:p>
        </w:tc>
      </w:tr>
      <w:tr w14:paraId="39EA4F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5BF2D52C">
            <w:pPr>
              <w:autoSpaceDE w:val="0"/>
              <w:autoSpaceDN w:val="0"/>
              <w:adjustRightInd w:val="0"/>
              <w:snapToGrid w:val="0"/>
              <w:jc w:val="left"/>
              <w:rPr>
                <w:rFonts w:ascii="宋体" w:hAnsi="宋体"/>
                <w:kern w:val="0"/>
                <w:sz w:val="24"/>
              </w:rPr>
            </w:pPr>
          </w:p>
        </w:tc>
        <w:tc>
          <w:tcPr>
            <w:tcW w:w="1453" w:type="dxa"/>
          </w:tcPr>
          <w:p w14:paraId="70D10B41">
            <w:pPr>
              <w:autoSpaceDE w:val="0"/>
              <w:autoSpaceDN w:val="0"/>
              <w:adjustRightInd w:val="0"/>
              <w:snapToGrid w:val="0"/>
              <w:jc w:val="left"/>
              <w:rPr>
                <w:rFonts w:ascii="宋体" w:hAnsi="宋体"/>
                <w:kern w:val="0"/>
                <w:sz w:val="24"/>
              </w:rPr>
            </w:pPr>
          </w:p>
        </w:tc>
        <w:tc>
          <w:tcPr>
            <w:tcW w:w="1186" w:type="dxa"/>
          </w:tcPr>
          <w:p w14:paraId="465A1A9C">
            <w:pPr>
              <w:autoSpaceDE w:val="0"/>
              <w:autoSpaceDN w:val="0"/>
              <w:adjustRightInd w:val="0"/>
              <w:snapToGrid w:val="0"/>
              <w:jc w:val="left"/>
              <w:rPr>
                <w:rFonts w:ascii="宋体" w:hAnsi="宋体"/>
                <w:kern w:val="0"/>
                <w:sz w:val="24"/>
              </w:rPr>
            </w:pPr>
          </w:p>
        </w:tc>
        <w:tc>
          <w:tcPr>
            <w:tcW w:w="1188" w:type="dxa"/>
          </w:tcPr>
          <w:p w14:paraId="5478DE7C">
            <w:pPr>
              <w:autoSpaceDE w:val="0"/>
              <w:autoSpaceDN w:val="0"/>
              <w:adjustRightInd w:val="0"/>
              <w:snapToGrid w:val="0"/>
              <w:jc w:val="left"/>
              <w:rPr>
                <w:rFonts w:ascii="宋体" w:hAnsi="宋体"/>
                <w:kern w:val="0"/>
                <w:sz w:val="24"/>
              </w:rPr>
            </w:pPr>
          </w:p>
        </w:tc>
        <w:tc>
          <w:tcPr>
            <w:tcW w:w="1186" w:type="dxa"/>
          </w:tcPr>
          <w:p w14:paraId="6C404978">
            <w:pPr>
              <w:autoSpaceDE w:val="0"/>
              <w:autoSpaceDN w:val="0"/>
              <w:adjustRightInd w:val="0"/>
              <w:snapToGrid w:val="0"/>
              <w:jc w:val="left"/>
              <w:rPr>
                <w:rFonts w:ascii="宋体" w:hAnsi="宋体"/>
                <w:kern w:val="0"/>
                <w:sz w:val="24"/>
              </w:rPr>
            </w:pPr>
          </w:p>
        </w:tc>
        <w:tc>
          <w:tcPr>
            <w:tcW w:w="1188" w:type="dxa"/>
          </w:tcPr>
          <w:p w14:paraId="333370FA">
            <w:pPr>
              <w:autoSpaceDE w:val="0"/>
              <w:autoSpaceDN w:val="0"/>
              <w:adjustRightInd w:val="0"/>
              <w:snapToGrid w:val="0"/>
              <w:jc w:val="left"/>
              <w:rPr>
                <w:rFonts w:ascii="宋体" w:hAnsi="宋体"/>
                <w:kern w:val="0"/>
                <w:sz w:val="24"/>
              </w:rPr>
            </w:pPr>
          </w:p>
        </w:tc>
        <w:tc>
          <w:tcPr>
            <w:tcW w:w="1186" w:type="dxa"/>
          </w:tcPr>
          <w:p w14:paraId="179595B1">
            <w:pPr>
              <w:autoSpaceDE w:val="0"/>
              <w:autoSpaceDN w:val="0"/>
              <w:adjustRightInd w:val="0"/>
              <w:snapToGrid w:val="0"/>
              <w:jc w:val="left"/>
              <w:rPr>
                <w:rFonts w:ascii="宋体" w:hAnsi="宋体"/>
                <w:kern w:val="0"/>
                <w:sz w:val="24"/>
              </w:rPr>
            </w:pPr>
          </w:p>
        </w:tc>
        <w:tc>
          <w:tcPr>
            <w:tcW w:w="1187" w:type="dxa"/>
          </w:tcPr>
          <w:p w14:paraId="1FDE2CD3">
            <w:pPr>
              <w:autoSpaceDE w:val="0"/>
              <w:autoSpaceDN w:val="0"/>
              <w:adjustRightInd w:val="0"/>
              <w:snapToGrid w:val="0"/>
              <w:jc w:val="left"/>
              <w:rPr>
                <w:rFonts w:ascii="宋体" w:hAnsi="宋体"/>
                <w:kern w:val="0"/>
                <w:sz w:val="24"/>
              </w:rPr>
            </w:pPr>
          </w:p>
        </w:tc>
      </w:tr>
      <w:tr w14:paraId="614204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525DA768">
            <w:pPr>
              <w:autoSpaceDE w:val="0"/>
              <w:autoSpaceDN w:val="0"/>
              <w:adjustRightInd w:val="0"/>
              <w:snapToGrid w:val="0"/>
              <w:jc w:val="left"/>
              <w:rPr>
                <w:rFonts w:ascii="宋体" w:hAnsi="宋体"/>
                <w:kern w:val="0"/>
                <w:sz w:val="24"/>
              </w:rPr>
            </w:pPr>
          </w:p>
        </w:tc>
        <w:tc>
          <w:tcPr>
            <w:tcW w:w="1453" w:type="dxa"/>
          </w:tcPr>
          <w:p w14:paraId="67E6D995">
            <w:pPr>
              <w:autoSpaceDE w:val="0"/>
              <w:autoSpaceDN w:val="0"/>
              <w:adjustRightInd w:val="0"/>
              <w:snapToGrid w:val="0"/>
              <w:jc w:val="left"/>
              <w:rPr>
                <w:rFonts w:ascii="宋体" w:hAnsi="宋体"/>
                <w:kern w:val="0"/>
                <w:sz w:val="24"/>
              </w:rPr>
            </w:pPr>
          </w:p>
        </w:tc>
        <w:tc>
          <w:tcPr>
            <w:tcW w:w="1186" w:type="dxa"/>
          </w:tcPr>
          <w:p w14:paraId="65DF80BD">
            <w:pPr>
              <w:autoSpaceDE w:val="0"/>
              <w:autoSpaceDN w:val="0"/>
              <w:adjustRightInd w:val="0"/>
              <w:snapToGrid w:val="0"/>
              <w:jc w:val="left"/>
              <w:rPr>
                <w:rFonts w:ascii="宋体" w:hAnsi="宋体"/>
                <w:kern w:val="0"/>
                <w:sz w:val="24"/>
              </w:rPr>
            </w:pPr>
          </w:p>
        </w:tc>
        <w:tc>
          <w:tcPr>
            <w:tcW w:w="1188" w:type="dxa"/>
          </w:tcPr>
          <w:p w14:paraId="3416D9E7">
            <w:pPr>
              <w:autoSpaceDE w:val="0"/>
              <w:autoSpaceDN w:val="0"/>
              <w:adjustRightInd w:val="0"/>
              <w:snapToGrid w:val="0"/>
              <w:jc w:val="left"/>
              <w:rPr>
                <w:rFonts w:ascii="宋体" w:hAnsi="宋体"/>
                <w:kern w:val="0"/>
                <w:sz w:val="24"/>
              </w:rPr>
            </w:pPr>
          </w:p>
        </w:tc>
        <w:tc>
          <w:tcPr>
            <w:tcW w:w="1186" w:type="dxa"/>
          </w:tcPr>
          <w:p w14:paraId="035D237F">
            <w:pPr>
              <w:autoSpaceDE w:val="0"/>
              <w:autoSpaceDN w:val="0"/>
              <w:adjustRightInd w:val="0"/>
              <w:snapToGrid w:val="0"/>
              <w:jc w:val="left"/>
              <w:rPr>
                <w:rFonts w:ascii="宋体" w:hAnsi="宋体"/>
                <w:kern w:val="0"/>
                <w:sz w:val="24"/>
              </w:rPr>
            </w:pPr>
          </w:p>
        </w:tc>
        <w:tc>
          <w:tcPr>
            <w:tcW w:w="1188" w:type="dxa"/>
          </w:tcPr>
          <w:p w14:paraId="2D293E0E">
            <w:pPr>
              <w:autoSpaceDE w:val="0"/>
              <w:autoSpaceDN w:val="0"/>
              <w:adjustRightInd w:val="0"/>
              <w:snapToGrid w:val="0"/>
              <w:jc w:val="left"/>
              <w:rPr>
                <w:rFonts w:ascii="宋体" w:hAnsi="宋体"/>
                <w:kern w:val="0"/>
                <w:sz w:val="24"/>
              </w:rPr>
            </w:pPr>
          </w:p>
        </w:tc>
        <w:tc>
          <w:tcPr>
            <w:tcW w:w="1186" w:type="dxa"/>
          </w:tcPr>
          <w:p w14:paraId="5F309113">
            <w:pPr>
              <w:autoSpaceDE w:val="0"/>
              <w:autoSpaceDN w:val="0"/>
              <w:adjustRightInd w:val="0"/>
              <w:snapToGrid w:val="0"/>
              <w:jc w:val="left"/>
              <w:rPr>
                <w:rFonts w:ascii="宋体" w:hAnsi="宋体"/>
                <w:kern w:val="0"/>
                <w:sz w:val="24"/>
              </w:rPr>
            </w:pPr>
          </w:p>
        </w:tc>
        <w:tc>
          <w:tcPr>
            <w:tcW w:w="1187" w:type="dxa"/>
          </w:tcPr>
          <w:p w14:paraId="75312C48">
            <w:pPr>
              <w:autoSpaceDE w:val="0"/>
              <w:autoSpaceDN w:val="0"/>
              <w:adjustRightInd w:val="0"/>
              <w:snapToGrid w:val="0"/>
              <w:jc w:val="left"/>
              <w:rPr>
                <w:rFonts w:ascii="宋体" w:hAnsi="宋体"/>
                <w:kern w:val="0"/>
                <w:sz w:val="24"/>
              </w:rPr>
            </w:pPr>
          </w:p>
        </w:tc>
      </w:tr>
      <w:tr w14:paraId="6E4C1C8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69CCF8E7">
            <w:pPr>
              <w:autoSpaceDE w:val="0"/>
              <w:autoSpaceDN w:val="0"/>
              <w:adjustRightInd w:val="0"/>
              <w:snapToGrid w:val="0"/>
              <w:jc w:val="left"/>
              <w:rPr>
                <w:rFonts w:ascii="宋体" w:hAnsi="宋体"/>
                <w:kern w:val="0"/>
                <w:sz w:val="24"/>
              </w:rPr>
            </w:pPr>
          </w:p>
        </w:tc>
        <w:tc>
          <w:tcPr>
            <w:tcW w:w="1453" w:type="dxa"/>
          </w:tcPr>
          <w:p w14:paraId="6ED36133">
            <w:pPr>
              <w:autoSpaceDE w:val="0"/>
              <w:autoSpaceDN w:val="0"/>
              <w:adjustRightInd w:val="0"/>
              <w:snapToGrid w:val="0"/>
              <w:jc w:val="left"/>
              <w:rPr>
                <w:rFonts w:ascii="宋体" w:hAnsi="宋体"/>
                <w:kern w:val="0"/>
                <w:sz w:val="24"/>
              </w:rPr>
            </w:pPr>
          </w:p>
        </w:tc>
        <w:tc>
          <w:tcPr>
            <w:tcW w:w="1186" w:type="dxa"/>
          </w:tcPr>
          <w:p w14:paraId="00196177">
            <w:pPr>
              <w:autoSpaceDE w:val="0"/>
              <w:autoSpaceDN w:val="0"/>
              <w:adjustRightInd w:val="0"/>
              <w:snapToGrid w:val="0"/>
              <w:jc w:val="left"/>
              <w:rPr>
                <w:rFonts w:ascii="宋体" w:hAnsi="宋体"/>
                <w:kern w:val="0"/>
                <w:sz w:val="24"/>
              </w:rPr>
            </w:pPr>
          </w:p>
        </w:tc>
        <w:tc>
          <w:tcPr>
            <w:tcW w:w="1188" w:type="dxa"/>
          </w:tcPr>
          <w:p w14:paraId="1DD9C1DE">
            <w:pPr>
              <w:autoSpaceDE w:val="0"/>
              <w:autoSpaceDN w:val="0"/>
              <w:adjustRightInd w:val="0"/>
              <w:snapToGrid w:val="0"/>
              <w:jc w:val="left"/>
              <w:rPr>
                <w:rFonts w:ascii="宋体" w:hAnsi="宋体"/>
                <w:kern w:val="0"/>
                <w:sz w:val="24"/>
              </w:rPr>
            </w:pPr>
          </w:p>
        </w:tc>
        <w:tc>
          <w:tcPr>
            <w:tcW w:w="1186" w:type="dxa"/>
          </w:tcPr>
          <w:p w14:paraId="6C086181">
            <w:pPr>
              <w:autoSpaceDE w:val="0"/>
              <w:autoSpaceDN w:val="0"/>
              <w:adjustRightInd w:val="0"/>
              <w:snapToGrid w:val="0"/>
              <w:jc w:val="left"/>
              <w:rPr>
                <w:rFonts w:ascii="宋体" w:hAnsi="宋体"/>
                <w:kern w:val="0"/>
                <w:sz w:val="24"/>
              </w:rPr>
            </w:pPr>
          </w:p>
        </w:tc>
        <w:tc>
          <w:tcPr>
            <w:tcW w:w="1188" w:type="dxa"/>
          </w:tcPr>
          <w:p w14:paraId="30EFF0D1">
            <w:pPr>
              <w:autoSpaceDE w:val="0"/>
              <w:autoSpaceDN w:val="0"/>
              <w:adjustRightInd w:val="0"/>
              <w:snapToGrid w:val="0"/>
              <w:jc w:val="left"/>
              <w:rPr>
                <w:rFonts w:ascii="宋体" w:hAnsi="宋体"/>
                <w:kern w:val="0"/>
                <w:sz w:val="24"/>
              </w:rPr>
            </w:pPr>
          </w:p>
        </w:tc>
        <w:tc>
          <w:tcPr>
            <w:tcW w:w="1186" w:type="dxa"/>
          </w:tcPr>
          <w:p w14:paraId="0C99B1AA">
            <w:pPr>
              <w:autoSpaceDE w:val="0"/>
              <w:autoSpaceDN w:val="0"/>
              <w:adjustRightInd w:val="0"/>
              <w:snapToGrid w:val="0"/>
              <w:jc w:val="left"/>
              <w:rPr>
                <w:rFonts w:ascii="宋体" w:hAnsi="宋体"/>
                <w:kern w:val="0"/>
                <w:sz w:val="24"/>
              </w:rPr>
            </w:pPr>
          </w:p>
        </w:tc>
        <w:tc>
          <w:tcPr>
            <w:tcW w:w="1187" w:type="dxa"/>
          </w:tcPr>
          <w:p w14:paraId="66F046CB">
            <w:pPr>
              <w:autoSpaceDE w:val="0"/>
              <w:autoSpaceDN w:val="0"/>
              <w:adjustRightInd w:val="0"/>
              <w:snapToGrid w:val="0"/>
              <w:jc w:val="left"/>
              <w:rPr>
                <w:rFonts w:ascii="宋体" w:hAnsi="宋体"/>
                <w:kern w:val="0"/>
                <w:sz w:val="24"/>
              </w:rPr>
            </w:pPr>
          </w:p>
        </w:tc>
      </w:tr>
      <w:tr w14:paraId="5AD8B6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1FC6363B">
            <w:pPr>
              <w:autoSpaceDE w:val="0"/>
              <w:autoSpaceDN w:val="0"/>
              <w:adjustRightInd w:val="0"/>
              <w:snapToGrid w:val="0"/>
              <w:jc w:val="left"/>
              <w:rPr>
                <w:rFonts w:ascii="宋体" w:hAnsi="宋体"/>
                <w:kern w:val="0"/>
                <w:sz w:val="24"/>
              </w:rPr>
            </w:pPr>
          </w:p>
        </w:tc>
        <w:tc>
          <w:tcPr>
            <w:tcW w:w="1453" w:type="dxa"/>
          </w:tcPr>
          <w:p w14:paraId="0F26CE0C">
            <w:pPr>
              <w:autoSpaceDE w:val="0"/>
              <w:autoSpaceDN w:val="0"/>
              <w:adjustRightInd w:val="0"/>
              <w:snapToGrid w:val="0"/>
              <w:jc w:val="left"/>
              <w:rPr>
                <w:rFonts w:ascii="宋体" w:hAnsi="宋体"/>
                <w:kern w:val="0"/>
                <w:sz w:val="24"/>
              </w:rPr>
            </w:pPr>
          </w:p>
        </w:tc>
        <w:tc>
          <w:tcPr>
            <w:tcW w:w="1186" w:type="dxa"/>
          </w:tcPr>
          <w:p w14:paraId="65D6AD1B">
            <w:pPr>
              <w:autoSpaceDE w:val="0"/>
              <w:autoSpaceDN w:val="0"/>
              <w:adjustRightInd w:val="0"/>
              <w:snapToGrid w:val="0"/>
              <w:jc w:val="left"/>
              <w:rPr>
                <w:rFonts w:ascii="宋体" w:hAnsi="宋体"/>
                <w:kern w:val="0"/>
                <w:sz w:val="24"/>
              </w:rPr>
            </w:pPr>
          </w:p>
        </w:tc>
        <w:tc>
          <w:tcPr>
            <w:tcW w:w="1188" w:type="dxa"/>
          </w:tcPr>
          <w:p w14:paraId="56857C53">
            <w:pPr>
              <w:autoSpaceDE w:val="0"/>
              <w:autoSpaceDN w:val="0"/>
              <w:adjustRightInd w:val="0"/>
              <w:snapToGrid w:val="0"/>
              <w:jc w:val="left"/>
              <w:rPr>
                <w:rFonts w:ascii="宋体" w:hAnsi="宋体"/>
                <w:kern w:val="0"/>
                <w:sz w:val="24"/>
              </w:rPr>
            </w:pPr>
          </w:p>
        </w:tc>
        <w:tc>
          <w:tcPr>
            <w:tcW w:w="1186" w:type="dxa"/>
          </w:tcPr>
          <w:p w14:paraId="35403546">
            <w:pPr>
              <w:autoSpaceDE w:val="0"/>
              <w:autoSpaceDN w:val="0"/>
              <w:adjustRightInd w:val="0"/>
              <w:snapToGrid w:val="0"/>
              <w:jc w:val="left"/>
              <w:rPr>
                <w:rFonts w:ascii="宋体" w:hAnsi="宋体"/>
                <w:kern w:val="0"/>
                <w:sz w:val="24"/>
              </w:rPr>
            </w:pPr>
          </w:p>
        </w:tc>
        <w:tc>
          <w:tcPr>
            <w:tcW w:w="1188" w:type="dxa"/>
          </w:tcPr>
          <w:p w14:paraId="536DF918">
            <w:pPr>
              <w:autoSpaceDE w:val="0"/>
              <w:autoSpaceDN w:val="0"/>
              <w:adjustRightInd w:val="0"/>
              <w:snapToGrid w:val="0"/>
              <w:jc w:val="left"/>
              <w:rPr>
                <w:rFonts w:ascii="宋体" w:hAnsi="宋体"/>
                <w:kern w:val="0"/>
                <w:sz w:val="24"/>
              </w:rPr>
            </w:pPr>
          </w:p>
        </w:tc>
        <w:tc>
          <w:tcPr>
            <w:tcW w:w="1186" w:type="dxa"/>
          </w:tcPr>
          <w:p w14:paraId="5215C830">
            <w:pPr>
              <w:autoSpaceDE w:val="0"/>
              <w:autoSpaceDN w:val="0"/>
              <w:adjustRightInd w:val="0"/>
              <w:snapToGrid w:val="0"/>
              <w:jc w:val="left"/>
              <w:rPr>
                <w:rFonts w:ascii="宋体" w:hAnsi="宋体"/>
                <w:kern w:val="0"/>
                <w:sz w:val="24"/>
              </w:rPr>
            </w:pPr>
          </w:p>
        </w:tc>
        <w:tc>
          <w:tcPr>
            <w:tcW w:w="1187" w:type="dxa"/>
          </w:tcPr>
          <w:p w14:paraId="51A249DC">
            <w:pPr>
              <w:autoSpaceDE w:val="0"/>
              <w:autoSpaceDN w:val="0"/>
              <w:adjustRightInd w:val="0"/>
              <w:snapToGrid w:val="0"/>
              <w:jc w:val="left"/>
              <w:rPr>
                <w:rFonts w:ascii="宋体" w:hAnsi="宋体"/>
                <w:kern w:val="0"/>
                <w:sz w:val="24"/>
              </w:rPr>
            </w:pPr>
          </w:p>
        </w:tc>
      </w:tr>
      <w:tr w14:paraId="599E7E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5EAB232B">
            <w:pPr>
              <w:autoSpaceDE w:val="0"/>
              <w:autoSpaceDN w:val="0"/>
              <w:adjustRightInd w:val="0"/>
              <w:snapToGrid w:val="0"/>
              <w:jc w:val="left"/>
              <w:rPr>
                <w:rFonts w:ascii="宋体" w:hAnsi="宋体"/>
                <w:kern w:val="0"/>
                <w:sz w:val="24"/>
              </w:rPr>
            </w:pPr>
          </w:p>
        </w:tc>
        <w:tc>
          <w:tcPr>
            <w:tcW w:w="1453" w:type="dxa"/>
          </w:tcPr>
          <w:p w14:paraId="28275B7F">
            <w:pPr>
              <w:autoSpaceDE w:val="0"/>
              <w:autoSpaceDN w:val="0"/>
              <w:adjustRightInd w:val="0"/>
              <w:snapToGrid w:val="0"/>
              <w:jc w:val="left"/>
              <w:rPr>
                <w:rFonts w:ascii="宋体" w:hAnsi="宋体"/>
                <w:kern w:val="0"/>
                <w:sz w:val="24"/>
              </w:rPr>
            </w:pPr>
          </w:p>
        </w:tc>
        <w:tc>
          <w:tcPr>
            <w:tcW w:w="1186" w:type="dxa"/>
          </w:tcPr>
          <w:p w14:paraId="00C71DBA">
            <w:pPr>
              <w:autoSpaceDE w:val="0"/>
              <w:autoSpaceDN w:val="0"/>
              <w:adjustRightInd w:val="0"/>
              <w:snapToGrid w:val="0"/>
              <w:jc w:val="left"/>
              <w:rPr>
                <w:rFonts w:ascii="宋体" w:hAnsi="宋体"/>
                <w:kern w:val="0"/>
                <w:sz w:val="24"/>
              </w:rPr>
            </w:pPr>
          </w:p>
        </w:tc>
        <w:tc>
          <w:tcPr>
            <w:tcW w:w="1188" w:type="dxa"/>
          </w:tcPr>
          <w:p w14:paraId="0A2B9D94">
            <w:pPr>
              <w:autoSpaceDE w:val="0"/>
              <w:autoSpaceDN w:val="0"/>
              <w:adjustRightInd w:val="0"/>
              <w:snapToGrid w:val="0"/>
              <w:jc w:val="left"/>
              <w:rPr>
                <w:rFonts w:ascii="宋体" w:hAnsi="宋体"/>
                <w:kern w:val="0"/>
                <w:sz w:val="24"/>
              </w:rPr>
            </w:pPr>
          </w:p>
        </w:tc>
        <w:tc>
          <w:tcPr>
            <w:tcW w:w="1186" w:type="dxa"/>
          </w:tcPr>
          <w:p w14:paraId="00371DF5">
            <w:pPr>
              <w:autoSpaceDE w:val="0"/>
              <w:autoSpaceDN w:val="0"/>
              <w:adjustRightInd w:val="0"/>
              <w:snapToGrid w:val="0"/>
              <w:jc w:val="left"/>
              <w:rPr>
                <w:rFonts w:ascii="宋体" w:hAnsi="宋体"/>
                <w:kern w:val="0"/>
                <w:sz w:val="24"/>
              </w:rPr>
            </w:pPr>
          </w:p>
        </w:tc>
        <w:tc>
          <w:tcPr>
            <w:tcW w:w="1188" w:type="dxa"/>
          </w:tcPr>
          <w:p w14:paraId="3442DECE">
            <w:pPr>
              <w:autoSpaceDE w:val="0"/>
              <w:autoSpaceDN w:val="0"/>
              <w:adjustRightInd w:val="0"/>
              <w:snapToGrid w:val="0"/>
              <w:jc w:val="left"/>
              <w:rPr>
                <w:rFonts w:ascii="宋体" w:hAnsi="宋体"/>
                <w:kern w:val="0"/>
                <w:sz w:val="24"/>
              </w:rPr>
            </w:pPr>
          </w:p>
        </w:tc>
        <w:tc>
          <w:tcPr>
            <w:tcW w:w="1186" w:type="dxa"/>
          </w:tcPr>
          <w:p w14:paraId="62E32F82">
            <w:pPr>
              <w:autoSpaceDE w:val="0"/>
              <w:autoSpaceDN w:val="0"/>
              <w:adjustRightInd w:val="0"/>
              <w:snapToGrid w:val="0"/>
              <w:jc w:val="left"/>
              <w:rPr>
                <w:rFonts w:ascii="宋体" w:hAnsi="宋体"/>
                <w:kern w:val="0"/>
                <w:sz w:val="24"/>
              </w:rPr>
            </w:pPr>
          </w:p>
        </w:tc>
        <w:tc>
          <w:tcPr>
            <w:tcW w:w="1187" w:type="dxa"/>
          </w:tcPr>
          <w:p w14:paraId="0DEF102E">
            <w:pPr>
              <w:autoSpaceDE w:val="0"/>
              <w:autoSpaceDN w:val="0"/>
              <w:adjustRightInd w:val="0"/>
              <w:snapToGrid w:val="0"/>
              <w:jc w:val="left"/>
              <w:rPr>
                <w:rFonts w:ascii="宋体" w:hAnsi="宋体"/>
                <w:kern w:val="0"/>
                <w:sz w:val="24"/>
              </w:rPr>
            </w:pPr>
          </w:p>
        </w:tc>
      </w:tr>
      <w:tr w14:paraId="2D043B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18BA5033">
            <w:pPr>
              <w:autoSpaceDE w:val="0"/>
              <w:autoSpaceDN w:val="0"/>
              <w:adjustRightInd w:val="0"/>
              <w:snapToGrid w:val="0"/>
              <w:jc w:val="left"/>
              <w:rPr>
                <w:rFonts w:ascii="宋体" w:hAnsi="宋体"/>
                <w:kern w:val="0"/>
                <w:sz w:val="24"/>
              </w:rPr>
            </w:pPr>
          </w:p>
        </w:tc>
        <w:tc>
          <w:tcPr>
            <w:tcW w:w="1453" w:type="dxa"/>
          </w:tcPr>
          <w:p w14:paraId="3DA7A924">
            <w:pPr>
              <w:autoSpaceDE w:val="0"/>
              <w:autoSpaceDN w:val="0"/>
              <w:adjustRightInd w:val="0"/>
              <w:snapToGrid w:val="0"/>
              <w:jc w:val="left"/>
              <w:rPr>
                <w:rFonts w:ascii="宋体" w:hAnsi="宋体"/>
                <w:kern w:val="0"/>
                <w:sz w:val="24"/>
              </w:rPr>
            </w:pPr>
          </w:p>
        </w:tc>
        <w:tc>
          <w:tcPr>
            <w:tcW w:w="1186" w:type="dxa"/>
          </w:tcPr>
          <w:p w14:paraId="0ADADE63">
            <w:pPr>
              <w:autoSpaceDE w:val="0"/>
              <w:autoSpaceDN w:val="0"/>
              <w:adjustRightInd w:val="0"/>
              <w:snapToGrid w:val="0"/>
              <w:jc w:val="left"/>
              <w:rPr>
                <w:rFonts w:ascii="宋体" w:hAnsi="宋体"/>
                <w:kern w:val="0"/>
                <w:sz w:val="24"/>
              </w:rPr>
            </w:pPr>
          </w:p>
        </w:tc>
        <w:tc>
          <w:tcPr>
            <w:tcW w:w="1188" w:type="dxa"/>
          </w:tcPr>
          <w:p w14:paraId="584DB254">
            <w:pPr>
              <w:autoSpaceDE w:val="0"/>
              <w:autoSpaceDN w:val="0"/>
              <w:adjustRightInd w:val="0"/>
              <w:snapToGrid w:val="0"/>
              <w:jc w:val="left"/>
              <w:rPr>
                <w:rFonts w:ascii="宋体" w:hAnsi="宋体"/>
                <w:kern w:val="0"/>
                <w:sz w:val="24"/>
              </w:rPr>
            </w:pPr>
          </w:p>
        </w:tc>
        <w:tc>
          <w:tcPr>
            <w:tcW w:w="1186" w:type="dxa"/>
          </w:tcPr>
          <w:p w14:paraId="3B87FCBD">
            <w:pPr>
              <w:autoSpaceDE w:val="0"/>
              <w:autoSpaceDN w:val="0"/>
              <w:adjustRightInd w:val="0"/>
              <w:snapToGrid w:val="0"/>
              <w:jc w:val="left"/>
              <w:rPr>
                <w:rFonts w:ascii="宋体" w:hAnsi="宋体"/>
                <w:kern w:val="0"/>
                <w:sz w:val="24"/>
              </w:rPr>
            </w:pPr>
          </w:p>
        </w:tc>
        <w:tc>
          <w:tcPr>
            <w:tcW w:w="1188" w:type="dxa"/>
          </w:tcPr>
          <w:p w14:paraId="1CF208C9">
            <w:pPr>
              <w:autoSpaceDE w:val="0"/>
              <w:autoSpaceDN w:val="0"/>
              <w:adjustRightInd w:val="0"/>
              <w:snapToGrid w:val="0"/>
              <w:jc w:val="left"/>
              <w:rPr>
                <w:rFonts w:ascii="宋体" w:hAnsi="宋体"/>
                <w:kern w:val="0"/>
                <w:sz w:val="24"/>
              </w:rPr>
            </w:pPr>
          </w:p>
        </w:tc>
        <w:tc>
          <w:tcPr>
            <w:tcW w:w="1186" w:type="dxa"/>
          </w:tcPr>
          <w:p w14:paraId="0B1FBF5E">
            <w:pPr>
              <w:autoSpaceDE w:val="0"/>
              <w:autoSpaceDN w:val="0"/>
              <w:adjustRightInd w:val="0"/>
              <w:snapToGrid w:val="0"/>
              <w:jc w:val="left"/>
              <w:rPr>
                <w:rFonts w:ascii="宋体" w:hAnsi="宋体"/>
                <w:kern w:val="0"/>
                <w:sz w:val="24"/>
              </w:rPr>
            </w:pPr>
          </w:p>
        </w:tc>
        <w:tc>
          <w:tcPr>
            <w:tcW w:w="1187" w:type="dxa"/>
          </w:tcPr>
          <w:p w14:paraId="295D1518">
            <w:pPr>
              <w:autoSpaceDE w:val="0"/>
              <w:autoSpaceDN w:val="0"/>
              <w:adjustRightInd w:val="0"/>
              <w:snapToGrid w:val="0"/>
              <w:jc w:val="left"/>
              <w:rPr>
                <w:rFonts w:ascii="宋体" w:hAnsi="宋体"/>
                <w:kern w:val="0"/>
                <w:sz w:val="24"/>
              </w:rPr>
            </w:pPr>
          </w:p>
        </w:tc>
      </w:tr>
      <w:tr w14:paraId="198F8A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3E5E5E41">
            <w:pPr>
              <w:autoSpaceDE w:val="0"/>
              <w:autoSpaceDN w:val="0"/>
              <w:adjustRightInd w:val="0"/>
              <w:snapToGrid w:val="0"/>
              <w:jc w:val="left"/>
              <w:rPr>
                <w:rFonts w:ascii="宋体" w:hAnsi="宋体"/>
                <w:kern w:val="0"/>
                <w:sz w:val="24"/>
              </w:rPr>
            </w:pPr>
          </w:p>
        </w:tc>
        <w:tc>
          <w:tcPr>
            <w:tcW w:w="1453" w:type="dxa"/>
          </w:tcPr>
          <w:p w14:paraId="6F767019">
            <w:pPr>
              <w:autoSpaceDE w:val="0"/>
              <w:autoSpaceDN w:val="0"/>
              <w:adjustRightInd w:val="0"/>
              <w:snapToGrid w:val="0"/>
              <w:jc w:val="left"/>
              <w:rPr>
                <w:rFonts w:ascii="宋体" w:hAnsi="宋体"/>
                <w:kern w:val="0"/>
                <w:sz w:val="24"/>
              </w:rPr>
            </w:pPr>
          </w:p>
        </w:tc>
        <w:tc>
          <w:tcPr>
            <w:tcW w:w="1186" w:type="dxa"/>
          </w:tcPr>
          <w:p w14:paraId="275C3B9C">
            <w:pPr>
              <w:autoSpaceDE w:val="0"/>
              <w:autoSpaceDN w:val="0"/>
              <w:adjustRightInd w:val="0"/>
              <w:snapToGrid w:val="0"/>
              <w:jc w:val="left"/>
              <w:rPr>
                <w:rFonts w:ascii="宋体" w:hAnsi="宋体"/>
                <w:kern w:val="0"/>
                <w:sz w:val="24"/>
              </w:rPr>
            </w:pPr>
          </w:p>
        </w:tc>
        <w:tc>
          <w:tcPr>
            <w:tcW w:w="1188" w:type="dxa"/>
          </w:tcPr>
          <w:p w14:paraId="3BE7F85D">
            <w:pPr>
              <w:autoSpaceDE w:val="0"/>
              <w:autoSpaceDN w:val="0"/>
              <w:adjustRightInd w:val="0"/>
              <w:snapToGrid w:val="0"/>
              <w:jc w:val="left"/>
              <w:rPr>
                <w:rFonts w:ascii="宋体" w:hAnsi="宋体"/>
                <w:kern w:val="0"/>
                <w:sz w:val="24"/>
              </w:rPr>
            </w:pPr>
          </w:p>
        </w:tc>
        <w:tc>
          <w:tcPr>
            <w:tcW w:w="1186" w:type="dxa"/>
          </w:tcPr>
          <w:p w14:paraId="7FB4CED2">
            <w:pPr>
              <w:autoSpaceDE w:val="0"/>
              <w:autoSpaceDN w:val="0"/>
              <w:adjustRightInd w:val="0"/>
              <w:snapToGrid w:val="0"/>
              <w:jc w:val="left"/>
              <w:rPr>
                <w:rFonts w:ascii="宋体" w:hAnsi="宋体"/>
                <w:kern w:val="0"/>
                <w:sz w:val="24"/>
              </w:rPr>
            </w:pPr>
          </w:p>
        </w:tc>
        <w:tc>
          <w:tcPr>
            <w:tcW w:w="1188" w:type="dxa"/>
          </w:tcPr>
          <w:p w14:paraId="5F356468">
            <w:pPr>
              <w:autoSpaceDE w:val="0"/>
              <w:autoSpaceDN w:val="0"/>
              <w:adjustRightInd w:val="0"/>
              <w:snapToGrid w:val="0"/>
              <w:jc w:val="left"/>
              <w:rPr>
                <w:rFonts w:ascii="宋体" w:hAnsi="宋体"/>
                <w:kern w:val="0"/>
                <w:sz w:val="24"/>
              </w:rPr>
            </w:pPr>
          </w:p>
        </w:tc>
        <w:tc>
          <w:tcPr>
            <w:tcW w:w="1186" w:type="dxa"/>
          </w:tcPr>
          <w:p w14:paraId="41C5A69D">
            <w:pPr>
              <w:autoSpaceDE w:val="0"/>
              <w:autoSpaceDN w:val="0"/>
              <w:adjustRightInd w:val="0"/>
              <w:snapToGrid w:val="0"/>
              <w:jc w:val="left"/>
              <w:rPr>
                <w:rFonts w:ascii="宋体" w:hAnsi="宋体"/>
                <w:kern w:val="0"/>
                <w:sz w:val="24"/>
              </w:rPr>
            </w:pPr>
          </w:p>
        </w:tc>
        <w:tc>
          <w:tcPr>
            <w:tcW w:w="1187" w:type="dxa"/>
          </w:tcPr>
          <w:p w14:paraId="563B70E1">
            <w:pPr>
              <w:autoSpaceDE w:val="0"/>
              <w:autoSpaceDN w:val="0"/>
              <w:adjustRightInd w:val="0"/>
              <w:snapToGrid w:val="0"/>
              <w:jc w:val="left"/>
              <w:rPr>
                <w:rFonts w:ascii="宋体" w:hAnsi="宋体"/>
                <w:kern w:val="0"/>
                <w:sz w:val="24"/>
              </w:rPr>
            </w:pPr>
          </w:p>
        </w:tc>
      </w:tr>
    </w:tbl>
    <w:p w14:paraId="14517685">
      <w:pPr>
        <w:autoSpaceDE w:val="0"/>
        <w:autoSpaceDN w:val="0"/>
        <w:adjustRightInd w:val="0"/>
        <w:snapToGrid w:val="0"/>
        <w:spacing w:line="20" w:lineRule="exact"/>
        <w:jc w:val="left"/>
        <w:rPr>
          <w:rFonts w:ascii="宋体" w:hAnsi="宋体"/>
          <w:kern w:val="0"/>
        </w:rPr>
      </w:pPr>
    </w:p>
    <w:p w14:paraId="0C3B2341">
      <w:pPr>
        <w:jc w:val="center"/>
        <w:rPr>
          <w:rFonts w:ascii="宋体" w:hAnsi="宋体"/>
          <w:b/>
        </w:rPr>
      </w:pPr>
      <w:bookmarkStart w:id="1558" w:name="_Toc430530542"/>
      <w:r>
        <w:rPr>
          <w:rFonts w:ascii="宋体" w:hAnsi="宋体"/>
          <w:sz w:val="28"/>
        </w:rPr>
        <w:br w:type="page"/>
      </w:r>
      <w:bookmarkStart w:id="1559" w:name="_Toc534185837"/>
      <w:bookmarkStart w:id="1560" w:name="_Toc509218860"/>
      <w:r>
        <w:rPr>
          <w:sz w:val="32"/>
          <w:szCs w:val="32"/>
        </w:rPr>
        <w:t>附表四：计划开、竣工日期和施工进度网络图</w:t>
      </w:r>
      <w:bookmarkEnd w:id="1538"/>
      <w:bookmarkEnd w:id="1539"/>
      <w:bookmarkEnd w:id="1540"/>
      <w:bookmarkEnd w:id="1541"/>
      <w:bookmarkEnd w:id="1558"/>
      <w:bookmarkEnd w:id="1559"/>
      <w:bookmarkEnd w:id="1560"/>
    </w:p>
    <w:p w14:paraId="4ABB039E">
      <w:pPr>
        <w:autoSpaceDE w:val="0"/>
        <w:autoSpaceDN w:val="0"/>
        <w:adjustRightInd w:val="0"/>
        <w:snapToGrid w:val="0"/>
        <w:spacing w:line="360" w:lineRule="auto"/>
        <w:jc w:val="left"/>
        <w:rPr>
          <w:rFonts w:ascii="宋体" w:hAnsi="宋体"/>
          <w:kern w:val="0"/>
          <w:sz w:val="20"/>
          <w:szCs w:val="20"/>
        </w:rPr>
      </w:pPr>
    </w:p>
    <w:p w14:paraId="6D7201C8">
      <w:pPr>
        <w:autoSpaceDE w:val="0"/>
        <w:autoSpaceDN w:val="0"/>
        <w:adjustRightInd w:val="0"/>
        <w:snapToGrid w:val="0"/>
        <w:spacing w:line="360" w:lineRule="auto"/>
        <w:ind w:firstLine="420"/>
        <w:jc w:val="left"/>
        <w:rPr>
          <w:rFonts w:ascii="宋体" w:hAnsi="宋体"/>
          <w:kern w:val="0"/>
          <w:szCs w:val="21"/>
        </w:rPr>
      </w:pPr>
      <w:r>
        <w:rPr>
          <w:rFonts w:ascii="宋体" w:hAnsi="宋体"/>
          <w:kern w:val="0"/>
          <w:szCs w:val="21"/>
        </w:rPr>
        <w:t xml:space="preserve">1. </w:t>
      </w:r>
      <w:r>
        <w:rPr>
          <w:rFonts w:hint="eastAsia" w:ascii="宋体" w:hAnsi="宋体"/>
          <w:spacing w:val="1"/>
          <w:kern w:val="0"/>
          <w:szCs w:val="21"/>
        </w:rPr>
        <w:t>投标人</w:t>
      </w:r>
      <w:r>
        <w:rPr>
          <w:rFonts w:ascii="宋体" w:hAnsi="宋体"/>
          <w:spacing w:val="2"/>
          <w:kern w:val="0"/>
          <w:szCs w:val="21"/>
        </w:rPr>
        <w:t>应</w:t>
      </w:r>
      <w:r>
        <w:rPr>
          <w:rFonts w:ascii="宋体" w:hAnsi="宋体"/>
          <w:spacing w:val="1"/>
          <w:kern w:val="0"/>
          <w:szCs w:val="21"/>
        </w:rPr>
        <w:t>递交</w:t>
      </w:r>
      <w:r>
        <w:rPr>
          <w:rFonts w:ascii="宋体" w:hAnsi="宋体"/>
          <w:spacing w:val="2"/>
          <w:kern w:val="0"/>
          <w:szCs w:val="21"/>
        </w:rPr>
        <w:t>施</w:t>
      </w:r>
      <w:r>
        <w:rPr>
          <w:rFonts w:ascii="宋体" w:hAnsi="宋体"/>
          <w:spacing w:val="1"/>
          <w:kern w:val="0"/>
          <w:szCs w:val="21"/>
        </w:rPr>
        <w:t>工</w:t>
      </w:r>
      <w:r>
        <w:rPr>
          <w:rFonts w:ascii="宋体" w:hAnsi="宋体"/>
          <w:spacing w:val="2"/>
          <w:kern w:val="0"/>
          <w:szCs w:val="21"/>
        </w:rPr>
        <w:t>进</w:t>
      </w:r>
      <w:r>
        <w:rPr>
          <w:rFonts w:ascii="宋体" w:hAnsi="宋体"/>
          <w:spacing w:val="1"/>
          <w:kern w:val="0"/>
          <w:szCs w:val="21"/>
        </w:rPr>
        <w:t>度网</w:t>
      </w:r>
      <w:r>
        <w:rPr>
          <w:rFonts w:ascii="宋体" w:hAnsi="宋体"/>
          <w:spacing w:val="2"/>
          <w:kern w:val="0"/>
          <w:szCs w:val="21"/>
        </w:rPr>
        <w:t>络</w:t>
      </w:r>
      <w:r>
        <w:rPr>
          <w:rFonts w:ascii="宋体" w:hAnsi="宋体"/>
          <w:spacing w:val="1"/>
          <w:kern w:val="0"/>
          <w:szCs w:val="21"/>
        </w:rPr>
        <w:t>图</w:t>
      </w:r>
      <w:r>
        <w:rPr>
          <w:rFonts w:ascii="宋体" w:hAnsi="宋体"/>
          <w:spacing w:val="2"/>
          <w:kern w:val="0"/>
          <w:szCs w:val="21"/>
        </w:rPr>
        <w:t>或</w:t>
      </w:r>
      <w:r>
        <w:rPr>
          <w:rFonts w:ascii="宋体" w:hAnsi="宋体"/>
          <w:spacing w:val="1"/>
          <w:kern w:val="0"/>
          <w:szCs w:val="21"/>
        </w:rPr>
        <w:t>施工</w:t>
      </w:r>
      <w:r>
        <w:rPr>
          <w:rFonts w:ascii="宋体" w:hAnsi="宋体"/>
          <w:spacing w:val="2"/>
          <w:kern w:val="0"/>
          <w:szCs w:val="21"/>
        </w:rPr>
        <w:t>进</w:t>
      </w:r>
      <w:r>
        <w:rPr>
          <w:rFonts w:ascii="宋体" w:hAnsi="宋体"/>
          <w:spacing w:val="1"/>
          <w:kern w:val="0"/>
          <w:szCs w:val="21"/>
        </w:rPr>
        <w:t>度</w:t>
      </w:r>
      <w:r>
        <w:rPr>
          <w:rFonts w:ascii="宋体" w:hAnsi="宋体"/>
          <w:spacing w:val="2"/>
          <w:kern w:val="0"/>
          <w:szCs w:val="21"/>
        </w:rPr>
        <w:t>表</w:t>
      </w:r>
      <w:r>
        <w:rPr>
          <w:rFonts w:ascii="宋体" w:hAnsi="宋体"/>
          <w:spacing w:val="1"/>
          <w:kern w:val="0"/>
          <w:szCs w:val="21"/>
        </w:rPr>
        <w:t>，说</w:t>
      </w:r>
      <w:r>
        <w:rPr>
          <w:rFonts w:ascii="宋体" w:hAnsi="宋体"/>
          <w:spacing w:val="2"/>
          <w:kern w:val="0"/>
          <w:szCs w:val="21"/>
        </w:rPr>
        <w:t>明</w:t>
      </w:r>
      <w:r>
        <w:rPr>
          <w:rFonts w:ascii="宋体" w:hAnsi="宋体"/>
          <w:spacing w:val="1"/>
          <w:kern w:val="0"/>
          <w:szCs w:val="21"/>
        </w:rPr>
        <w:t>按</w:t>
      </w:r>
      <w:r>
        <w:rPr>
          <w:rFonts w:ascii="宋体" w:hAnsi="宋体"/>
          <w:spacing w:val="2"/>
          <w:kern w:val="0"/>
          <w:szCs w:val="21"/>
        </w:rPr>
        <w:t>招</w:t>
      </w:r>
      <w:r>
        <w:rPr>
          <w:rFonts w:ascii="宋体" w:hAnsi="宋体"/>
          <w:spacing w:val="1"/>
          <w:kern w:val="0"/>
          <w:szCs w:val="21"/>
        </w:rPr>
        <w:t>标文</w:t>
      </w:r>
      <w:r>
        <w:rPr>
          <w:rFonts w:ascii="宋体" w:hAnsi="宋体"/>
          <w:spacing w:val="2"/>
          <w:kern w:val="0"/>
          <w:szCs w:val="21"/>
        </w:rPr>
        <w:t>件</w:t>
      </w:r>
      <w:r>
        <w:rPr>
          <w:rFonts w:ascii="宋体" w:hAnsi="宋体"/>
          <w:spacing w:val="1"/>
          <w:kern w:val="0"/>
          <w:szCs w:val="21"/>
        </w:rPr>
        <w:t>要</w:t>
      </w:r>
      <w:r>
        <w:rPr>
          <w:rFonts w:ascii="宋体" w:hAnsi="宋体"/>
          <w:spacing w:val="2"/>
          <w:kern w:val="0"/>
          <w:szCs w:val="21"/>
        </w:rPr>
        <w:t>求</w:t>
      </w:r>
      <w:r>
        <w:rPr>
          <w:rFonts w:ascii="宋体" w:hAnsi="宋体"/>
          <w:spacing w:val="1"/>
          <w:kern w:val="0"/>
          <w:szCs w:val="21"/>
        </w:rPr>
        <w:t>的计</w:t>
      </w:r>
      <w:r>
        <w:rPr>
          <w:rFonts w:ascii="宋体" w:hAnsi="宋体"/>
          <w:spacing w:val="2"/>
          <w:kern w:val="0"/>
          <w:szCs w:val="21"/>
        </w:rPr>
        <w:t>划</w:t>
      </w:r>
      <w:r>
        <w:rPr>
          <w:rFonts w:ascii="宋体" w:hAnsi="宋体"/>
          <w:spacing w:val="1"/>
          <w:kern w:val="0"/>
          <w:szCs w:val="21"/>
        </w:rPr>
        <w:t>工</w:t>
      </w:r>
      <w:r>
        <w:rPr>
          <w:rFonts w:ascii="宋体" w:hAnsi="宋体"/>
          <w:spacing w:val="4"/>
          <w:kern w:val="0"/>
          <w:szCs w:val="21"/>
        </w:rPr>
        <w:t>期</w:t>
      </w:r>
      <w:r>
        <w:rPr>
          <w:rFonts w:ascii="宋体" w:hAnsi="宋体"/>
          <w:spacing w:val="2"/>
          <w:kern w:val="0"/>
          <w:szCs w:val="21"/>
        </w:rPr>
        <w:t>进</w:t>
      </w:r>
      <w:r>
        <w:rPr>
          <w:rFonts w:ascii="宋体" w:hAnsi="宋体"/>
          <w:spacing w:val="1"/>
          <w:kern w:val="0"/>
          <w:szCs w:val="21"/>
        </w:rPr>
        <w:t>行</w:t>
      </w:r>
      <w:r>
        <w:rPr>
          <w:rFonts w:ascii="宋体" w:hAnsi="宋体"/>
          <w:kern w:val="0"/>
          <w:szCs w:val="21"/>
        </w:rPr>
        <w:t>施工的各个关键日期。</w:t>
      </w:r>
    </w:p>
    <w:p w14:paraId="76951BC2">
      <w:pPr>
        <w:autoSpaceDE w:val="0"/>
        <w:autoSpaceDN w:val="0"/>
        <w:adjustRightInd w:val="0"/>
        <w:snapToGrid w:val="0"/>
        <w:spacing w:line="360" w:lineRule="auto"/>
        <w:ind w:firstLine="424" w:firstLineChars="202"/>
        <w:jc w:val="left"/>
        <w:rPr>
          <w:rFonts w:ascii="宋体" w:hAnsi="宋体"/>
          <w:kern w:val="0"/>
          <w:szCs w:val="21"/>
        </w:rPr>
      </w:pPr>
      <w:r>
        <w:rPr>
          <w:rFonts w:ascii="宋体" w:hAnsi="宋体"/>
          <w:kern w:val="0"/>
          <w:szCs w:val="21"/>
        </w:rPr>
        <w:t>2.施工进</w:t>
      </w:r>
      <w:r>
        <w:rPr>
          <w:rFonts w:ascii="宋体" w:hAnsi="宋体"/>
          <w:spacing w:val="-1"/>
          <w:kern w:val="0"/>
          <w:szCs w:val="21"/>
        </w:rPr>
        <w:t>度</w:t>
      </w:r>
      <w:r>
        <w:rPr>
          <w:rFonts w:ascii="宋体" w:hAnsi="宋体"/>
          <w:kern w:val="0"/>
          <w:szCs w:val="21"/>
        </w:rPr>
        <w:t>表可采用网络图（或横道图）表示。</w:t>
      </w:r>
    </w:p>
    <w:p w14:paraId="2C46002D">
      <w:pPr>
        <w:autoSpaceDE w:val="0"/>
        <w:autoSpaceDN w:val="0"/>
        <w:adjustRightInd w:val="0"/>
        <w:snapToGrid w:val="0"/>
        <w:spacing w:line="360" w:lineRule="auto"/>
        <w:jc w:val="left"/>
        <w:rPr>
          <w:rFonts w:ascii="宋体" w:hAnsi="宋体"/>
          <w:kern w:val="0"/>
          <w:sz w:val="24"/>
        </w:rPr>
      </w:pPr>
    </w:p>
    <w:p w14:paraId="57DE313E">
      <w:pPr>
        <w:jc w:val="center"/>
        <w:rPr>
          <w:rFonts w:ascii="宋体" w:hAnsi="宋体"/>
          <w:sz w:val="28"/>
        </w:rPr>
      </w:pPr>
      <w:bookmarkStart w:id="1561" w:name="_Toc287620827"/>
      <w:bookmarkStart w:id="1562" w:name="_Toc224103508"/>
      <w:bookmarkStart w:id="1563" w:name="_Toc430530543"/>
      <w:bookmarkStart w:id="1564" w:name="_Toc277082654"/>
      <w:bookmarkStart w:id="1565" w:name="_Toc287607880"/>
      <w:r>
        <w:rPr>
          <w:rFonts w:ascii="宋体" w:hAnsi="宋体"/>
          <w:sz w:val="28"/>
        </w:rPr>
        <w:br w:type="page"/>
      </w:r>
      <w:bookmarkStart w:id="1566" w:name="_Toc509218861"/>
      <w:bookmarkStart w:id="1567" w:name="_Toc534185838"/>
      <w:r>
        <w:rPr>
          <w:sz w:val="32"/>
          <w:szCs w:val="32"/>
        </w:rPr>
        <w:t>附表五：施工总平面图</w:t>
      </w:r>
      <w:bookmarkEnd w:id="1561"/>
      <w:bookmarkEnd w:id="1562"/>
      <w:bookmarkEnd w:id="1563"/>
      <w:bookmarkEnd w:id="1564"/>
      <w:bookmarkEnd w:id="1565"/>
      <w:bookmarkEnd w:id="1566"/>
      <w:bookmarkEnd w:id="1567"/>
    </w:p>
    <w:p w14:paraId="70C71ACF">
      <w:pPr>
        <w:autoSpaceDE w:val="0"/>
        <w:autoSpaceDN w:val="0"/>
        <w:adjustRightInd w:val="0"/>
        <w:snapToGrid w:val="0"/>
        <w:spacing w:line="360" w:lineRule="auto"/>
        <w:jc w:val="left"/>
        <w:rPr>
          <w:rFonts w:ascii="宋体" w:hAnsi="宋体"/>
          <w:kern w:val="0"/>
          <w:sz w:val="20"/>
          <w:szCs w:val="20"/>
        </w:rPr>
      </w:pPr>
    </w:p>
    <w:p w14:paraId="545B0ABD">
      <w:pPr>
        <w:autoSpaceDE w:val="0"/>
        <w:autoSpaceDN w:val="0"/>
        <w:adjustRightInd w:val="0"/>
        <w:snapToGrid w:val="0"/>
        <w:spacing w:line="360" w:lineRule="auto"/>
        <w:ind w:firstLine="424" w:firstLineChars="202"/>
        <w:jc w:val="left"/>
        <w:rPr>
          <w:rFonts w:ascii="宋体" w:hAnsi="宋体"/>
          <w:kern w:val="0"/>
          <w:szCs w:val="21"/>
        </w:rPr>
      </w:pPr>
      <w:r>
        <w:rPr>
          <w:rFonts w:hint="eastAsia" w:ascii="宋体" w:hAnsi="宋体"/>
          <w:kern w:val="0"/>
          <w:szCs w:val="21"/>
        </w:rPr>
        <w:t>投标人</w:t>
      </w:r>
      <w:r>
        <w:rPr>
          <w:rFonts w:ascii="宋体" w:hAnsi="宋体"/>
          <w:kern w:val="0"/>
          <w:szCs w:val="21"/>
        </w:rPr>
        <w:t>应递交一份施工总平面图</w:t>
      </w:r>
      <w:r>
        <w:rPr>
          <w:rFonts w:ascii="宋体" w:hAnsi="宋体"/>
          <w:spacing w:val="-47"/>
          <w:kern w:val="0"/>
          <w:szCs w:val="21"/>
        </w:rPr>
        <w:t>，</w:t>
      </w:r>
      <w:r>
        <w:rPr>
          <w:rFonts w:ascii="宋体" w:hAnsi="宋体"/>
          <w:kern w:val="0"/>
          <w:szCs w:val="21"/>
        </w:rPr>
        <w:t>绘出现场临时设施布置图表并附文字说明</w:t>
      </w:r>
      <w:r>
        <w:rPr>
          <w:rFonts w:ascii="宋体" w:hAnsi="宋体"/>
          <w:spacing w:val="-47"/>
          <w:kern w:val="0"/>
          <w:szCs w:val="21"/>
        </w:rPr>
        <w:t>，</w:t>
      </w:r>
      <w:r>
        <w:rPr>
          <w:rFonts w:ascii="宋体" w:hAnsi="宋体"/>
          <w:kern w:val="0"/>
          <w:szCs w:val="21"/>
        </w:rPr>
        <w:t>说明临时 设施</w:t>
      </w:r>
      <w:r>
        <w:rPr>
          <w:rFonts w:ascii="宋体" w:hAnsi="宋体"/>
          <w:spacing w:val="-11"/>
          <w:kern w:val="0"/>
          <w:szCs w:val="21"/>
        </w:rPr>
        <w:t>、</w:t>
      </w:r>
      <w:r>
        <w:rPr>
          <w:rFonts w:ascii="宋体" w:hAnsi="宋体"/>
          <w:kern w:val="0"/>
          <w:szCs w:val="21"/>
        </w:rPr>
        <w:t>加工车间</w:t>
      </w:r>
      <w:r>
        <w:rPr>
          <w:rFonts w:ascii="宋体" w:hAnsi="宋体"/>
          <w:spacing w:val="-11"/>
          <w:kern w:val="0"/>
          <w:szCs w:val="21"/>
        </w:rPr>
        <w:t>、</w:t>
      </w:r>
      <w:r>
        <w:rPr>
          <w:rFonts w:ascii="宋体" w:hAnsi="宋体"/>
          <w:kern w:val="0"/>
          <w:szCs w:val="21"/>
        </w:rPr>
        <w:t>现场办公</w:t>
      </w:r>
      <w:r>
        <w:rPr>
          <w:rFonts w:ascii="宋体" w:hAnsi="宋体"/>
          <w:spacing w:val="-11"/>
          <w:kern w:val="0"/>
          <w:szCs w:val="21"/>
        </w:rPr>
        <w:t>、</w:t>
      </w:r>
      <w:r>
        <w:rPr>
          <w:rFonts w:ascii="宋体" w:hAnsi="宋体"/>
          <w:kern w:val="0"/>
          <w:szCs w:val="21"/>
        </w:rPr>
        <w:t>设备及仓储</w:t>
      </w:r>
      <w:r>
        <w:rPr>
          <w:rFonts w:ascii="宋体" w:hAnsi="宋体"/>
          <w:spacing w:val="-11"/>
          <w:kern w:val="0"/>
          <w:szCs w:val="21"/>
        </w:rPr>
        <w:t>、</w:t>
      </w:r>
      <w:r>
        <w:rPr>
          <w:rFonts w:ascii="宋体" w:hAnsi="宋体"/>
          <w:kern w:val="0"/>
          <w:szCs w:val="21"/>
        </w:rPr>
        <w:t>供电</w:t>
      </w:r>
      <w:r>
        <w:rPr>
          <w:rFonts w:ascii="宋体" w:hAnsi="宋体"/>
          <w:spacing w:val="-11"/>
          <w:kern w:val="0"/>
          <w:szCs w:val="21"/>
        </w:rPr>
        <w:t>、</w:t>
      </w:r>
      <w:r>
        <w:rPr>
          <w:rFonts w:ascii="宋体" w:hAnsi="宋体"/>
          <w:kern w:val="0"/>
          <w:szCs w:val="21"/>
        </w:rPr>
        <w:t>供水</w:t>
      </w:r>
      <w:r>
        <w:rPr>
          <w:rFonts w:ascii="宋体" w:hAnsi="宋体"/>
          <w:spacing w:val="-10"/>
          <w:kern w:val="0"/>
          <w:szCs w:val="21"/>
        </w:rPr>
        <w:t>、</w:t>
      </w:r>
      <w:r>
        <w:rPr>
          <w:rFonts w:ascii="宋体" w:hAnsi="宋体"/>
          <w:kern w:val="0"/>
          <w:szCs w:val="21"/>
        </w:rPr>
        <w:t>卫生</w:t>
      </w:r>
      <w:r>
        <w:rPr>
          <w:rFonts w:ascii="宋体" w:hAnsi="宋体"/>
          <w:spacing w:val="-11"/>
          <w:kern w:val="0"/>
          <w:szCs w:val="21"/>
        </w:rPr>
        <w:t>、</w:t>
      </w:r>
      <w:r>
        <w:rPr>
          <w:rFonts w:ascii="宋体" w:hAnsi="宋体"/>
          <w:kern w:val="0"/>
          <w:szCs w:val="21"/>
        </w:rPr>
        <w:t>生活</w:t>
      </w:r>
      <w:r>
        <w:rPr>
          <w:rFonts w:ascii="宋体" w:hAnsi="宋体"/>
          <w:spacing w:val="-11"/>
          <w:kern w:val="0"/>
          <w:szCs w:val="21"/>
        </w:rPr>
        <w:t>、</w:t>
      </w:r>
      <w:r>
        <w:rPr>
          <w:rFonts w:ascii="宋体" w:hAnsi="宋体"/>
          <w:kern w:val="0"/>
          <w:szCs w:val="21"/>
        </w:rPr>
        <w:t>道路</w:t>
      </w:r>
      <w:r>
        <w:rPr>
          <w:rFonts w:ascii="宋体" w:hAnsi="宋体"/>
          <w:spacing w:val="-11"/>
          <w:kern w:val="0"/>
          <w:szCs w:val="21"/>
        </w:rPr>
        <w:t>、</w:t>
      </w:r>
      <w:r>
        <w:rPr>
          <w:rFonts w:ascii="宋体" w:hAnsi="宋体"/>
          <w:spacing w:val="1"/>
          <w:kern w:val="0"/>
          <w:szCs w:val="21"/>
        </w:rPr>
        <w:t>消</w:t>
      </w:r>
      <w:r>
        <w:rPr>
          <w:rFonts w:ascii="宋体" w:hAnsi="宋体"/>
          <w:kern w:val="0"/>
          <w:szCs w:val="21"/>
        </w:rPr>
        <w:t>防等设施的情况和布置。</w:t>
      </w:r>
    </w:p>
    <w:p w14:paraId="3E9DF3F5">
      <w:pPr>
        <w:autoSpaceDE w:val="0"/>
        <w:autoSpaceDN w:val="0"/>
        <w:adjustRightInd w:val="0"/>
        <w:snapToGrid w:val="0"/>
        <w:spacing w:line="360" w:lineRule="auto"/>
        <w:jc w:val="left"/>
        <w:rPr>
          <w:rFonts w:ascii="宋体" w:hAnsi="宋体"/>
          <w:kern w:val="0"/>
          <w:szCs w:val="21"/>
        </w:rPr>
      </w:pPr>
      <w:r>
        <w:rPr>
          <w:rFonts w:ascii="宋体" w:hAnsi="宋体"/>
          <w:kern w:val="0"/>
          <w:szCs w:val="21"/>
        </w:rPr>
        <w:br w:type="page"/>
      </w:r>
    </w:p>
    <w:p w14:paraId="51827DD0">
      <w:pPr>
        <w:jc w:val="center"/>
        <w:rPr>
          <w:sz w:val="32"/>
          <w:szCs w:val="32"/>
        </w:rPr>
      </w:pPr>
      <w:bookmarkStart w:id="1568" w:name="_Toc509218862"/>
      <w:bookmarkStart w:id="1569" w:name="_Toc287607881"/>
      <w:bookmarkStart w:id="1570" w:name="_Toc277082655"/>
      <w:bookmarkStart w:id="1571" w:name="_Toc430530544"/>
      <w:bookmarkStart w:id="1572" w:name="_Toc224103509"/>
      <w:bookmarkStart w:id="1573" w:name="_Toc287620828"/>
      <w:bookmarkStart w:id="1574" w:name="_Toc534185839"/>
      <w:r>
        <w:rPr>
          <w:rFonts w:hint="eastAsia"/>
          <w:sz w:val="32"/>
          <w:szCs w:val="32"/>
        </w:rPr>
        <w:t>附表六：临时用地表</w:t>
      </w:r>
      <w:bookmarkEnd w:id="1568"/>
      <w:bookmarkEnd w:id="1569"/>
      <w:bookmarkEnd w:id="1570"/>
      <w:bookmarkEnd w:id="1571"/>
      <w:bookmarkEnd w:id="1572"/>
      <w:bookmarkEnd w:id="1573"/>
      <w:bookmarkEnd w:id="1574"/>
    </w:p>
    <w:tbl>
      <w:tblPr>
        <w:tblStyle w:val="45"/>
        <w:tblW w:w="952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2381"/>
        <w:gridCol w:w="2381"/>
        <w:gridCol w:w="2383"/>
        <w:gridCol w:w="2384"/>
      </w:tblGrid>
      <w:tr w14:paraId="2C6937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vAlign w:val="center"/>
          </w:tcPr>
          <w:p w14:paraId="48A9DBF7">
            <w:pPr>
              <w:autoSpaceDE w:val="0"/>
              <w:autoSpaceDN w:val="0"/>
              <w:adjustRightInd w:val="0"/>
              <w:snapToGrid w:val="0"/>
              <w:jc w:val="center"/>
              <w:rPr>
                <w:rFonts w:ascii="宋体" w:hAnsi="宋体"/>
                <w:kern w:val="0"/>
                <w:sz w:val="24"/>
              </w:rPr>
            </w:pPr>
            <w:r>
              <w:rPr>
                <w:rFonts w:ascii="宋体" w:hAnsi="宋体"/>
                <w:kern w:val="0"/>
                <w:szCs w:val="21"/>
              </w:rPr>
              <w:t>用 途</w:t>
            </w:r>
          </w:p>
        </w:tc>
        <w:tc>
          <w:tcPr>
            <w:tcW w:w="2381" w:type="dxa"/>
            <w:vAlign w:val="center"/>
          </w:tcPr>
          <w:p w14:paraId="726F2CB2">
            <w:pPr>
              <w:autoSpaceDE w:val="0"/>
              <w:autoSpaceDN w:val="0"/>
              <w:adjustRightInd w:val="0"/>
              <w:snapToGrid w:val="0"/>
              <w:jc w:val="center"/>
              <w:rPr>
                <w:rFonts w:ascii="宋体" w:hAnsi="宋体"/>
                <w:kern w:val="0"/>
                <w:sz w:val="24"/>
              </w:rPr>
            </w:pPr>
            <w:r>
              <w:rPr>
                <w:rFonts w:ascii="宋体" w:hAnsi="宋体"/>
                <w:kern w:val="0"/>
                <w:szCs w:val="21"/>
              </w:rPr>
              <w:t>面 积（平</w:t>
            </w:r>
            <w:r>
              <w:rPr>
                <w:rFonts w:ascii="宋体" w:hAnsi="宋体"/>
                <w:spacing w:val="-1"/>
                <w:kern w:val="0"/>
                <w:szCs w:val="21"/>
              </w:rPr>
              <w:t>方</w:t>
            </w:r>
            <w:r>
              <w:rPr>
                <w:rFonts w:ascii="宋体" w:hAnsi="宋体"/>
                <w:kern w:val="0"/>
                <w:szCs w:val="21"/>
              </w:rPr>
              <w:t>米）</w:t>
            </w:r>
          </w:p>
        </w:tc>
        <w:tc>
          <w:tcPr>
            <w:tcW w:w="2383" w:type="dxa"/>
            <w:vAlign w:val="center"/>
          </w:tcPr>
          <w:p w14:paraId="4437E03D">
            <w:pPr>
              <w:autoSpaceDE w:val="0"/>
              <w:autoSpaceDN w:val="0"/>
              <w:adjustRightInd w:val="0"/>
              <w:snapToGrid w:val="0"/>
              <w:jc w:val="center"/>
              <w:rPr>
                <w:rFonts w:ascii="宋体" w:hAnsi="宋体"/>
                <w:kern w:val="0"/>
                <w:sz w:val="24"/>
              </w:rPr>
            </w:pPr>
            <w:r>
              <w:rPr>
                <w:rFonts w:ascii="宋体" w:hAnsi="宋体"/>
                <w:kern w:val="0"/>
                <w:szCs w:val="21"/>
              </w:rPr>
              <w:t>位 置</w:t>
            </w:r>
          </w:p>
        </w:tc>
        <w:tc>
          <w:tcPr>
            <w:tcW w:w="2384" w:type="dxa"/>
            <w:vAlign w:val="center"/>
          </w:tcPr>
          <w:p w14:paraId="1D697CBF">
            <w:pPr>
              <w:autoSpaceDE w:val="0"/>
              <w:autoSpaceDN w:val="0"/>
              <w:adjustRightInd w:val="0"/>
              <w:snapToGrid w:val="0"/>
              <w:jc w:val="center"/>
              <w:rPr>
                <w:rFonts w:ascii="宋体" w:hAnsi="宋体"/>
                <w:kern w:val="0"/>
                <w:sz w:val="24"/>
              </w:rPr>
            </w:pPr>
            <w:r>
              <w:rPr>
                <w:rFonts w:ascii="宋体" w:hAnsi="宋体"/>
                <w:kern w:val="0"/>
                <w:szCs w:val="21"/>
              </w:rPr>
              <w:t>需用时间</w:t>
            </w:r>
          </w:p>
        </w:tc>
      </w:tr>
      <w:tr w14:paraId="593347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298A5E26">
            <w:pPr>
              <w:autoSpaceDE w:val="0"/>
              <w:autoSpaceDN w:val="0"/>
              <w:adjustRightInd w:val="0"/>
              <w:snapToGrid w:val="0"/>
              <w:jc w:val="left"/>
              <w:rPr>
                <w:rFonts w:ascii="宋体" w:hAnsi="宋体"/>
                <w:kern w:val="0"/>
                <w:sz w:val="24"/>
              </w:rPr>
            </w:pPr>
          </w:p>
        </w:tc>
        <w:tc>
          <w:tcPr>
            <w:tcW w:w="2381" w:type="dxa"/>
          </w:tcPr>
          <w:p w14:paraId="4098F231">
            <w:pPr>
              <w:autoSpaceDE w:val="0"/>
              <w:autoSpaceDN w:val="0"/>
              <w:adjustRightInd w:val="0"/>
              <w:snapToGrid w:val="0"/>
              <w:jc w:val="left"/>
              <w:rPr>
                <w:rFonts w:ascii="宋体" w:hAnsi="宋体"/>
                <w:kern w:val="0"/>
                <w:sz w:val="24"/>
              </w:rPr>
            </w:pPr>
          </w:p>
        </w:tc>
        <w:tc>
          <w:tcPr>
            <w:tcW w:w="2383" w:type="dxa"/>
          </w:tcPr>
          <w:p w14:paraId="0EEC4FB6">
            <w:pPr>
              <w:autoSpaceDE w:val="0"/>
              <w:autoSpaceDN w:val="0"/>
              <w:adjustRightInd w:val="0"/>
              <w:snapToGrid w:val="0"/>
              <w:jc w:val="left"/>
              <w:rPr>
                <w:rFonts w:ascii="宋体" w:hAnsi="宋体"/>
                <w:kern w:val="0"/>
                <w:sz w:val="24"/>
              </w:rPr>
            </w:pPr>
          </w:p>
        </w:tc>
        <w:tc>
          <w:tcPr>
            <w:tcW w:w="2384" w:type="dxa"/>
          </w:tcPr>
          <w:p w14:paraId="38E75A40">
            <w:pPr>
              <w:autoSpaceDE w:val="0"/>
              <w:autoSpaceDN w:val="0"/>
              <w:adjustRightInd w:val="0"/>
              <w:snapToGrid w:val="0"/>
              <w:jc w:val="left"/>
              <w:rPr>
                <w:rFonts w:ascii="宋体" w:hAnsi="宋体"/>
                <w:kern w:val="0"/>
                <w:sz w:val="24"/>
              </w:rPr>
            </w:pPr>
          </w:p>
        </w:tc>
      </w:tr>
      <w:tr w14:paraId="541AC9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3CB4C4CC">
            <w:pPr>
              <w:autoSpaceDE w:val="0"/>
              <w:autoSpaceDN w:val="0"/>
              <w:adjustRightInd w:val="0"/>
              <w:snapToGrid w:val="0"/>
              <w:jc w:val="left"/>
              <w:rPr>
                <w:rFonts w:ascii="宋体" w:hAnsi="宋体"/>
                <w:kern w:val="0"/>
                <w:sz w:val="24"/>
              </w:rPr>
            </w:pPr>
          </w:p>
        </w:tc>
        <w:tc>
          <w:tcPr>
            <w:tcW w:w="2381" w:type="dxa"/>
          </w:tcPr>
          <w:p w14:paraId="122BB1B0">
            <w:pPr>
              <w:autoSpaceDE w:val="0"/>
              <w:autoSpaceDN w:val="0"/>
              <w:adjustRightInd w:val="0"/>
              <w:snapToGrid w:val="0"/>
              <w:jc w:val="left"/>
              <w:rPr>
                <w:rFonts w:ascii="宋体" w:hAnsi="宋体"/>
                <w:kern w:val="0"/>
                <w:sz w:val="24"/>
              </w:rPr>
            </w:pPr>
          </w:p>
        </w:tc>
        <w:tc>
          <w:tcPr>
            <w:tcW w:w="2383" w:type="dxa"/>
          </w:tcPr>
          <w:p w14:paraId="47657000">
            <w:pPr>
              <w:autoSpaceDE w:val="0"/>
              <w:autoSpaceDN w:val="0"/>
              <w:adjustRightInd w:val="0"/>
              <w:snapToGrid w:val="0"/>
              <w:jc w:val="left"/>
              <w:rPr>
                <w:rFonts w:ascii="宋体" w:hAnsi="宋体"/>
                <w:kern w:val="0"/>
                <w:sz w:val="24"/>
              </w:rPr>
            </w:pPr>
          </w:p>
        </w:tc>
        <w:tc>
          <w:tcPr>
            <w:tcW w:w="2384" w:type="dxa"/>
          </w:tcPr>
          <w:p w14:paraId="1E358AA0">
            <w:pPr>
              <w:autoSpaceDE w:val="0"/>
              <w:autoSpaceDN w:val="0"/>
              <w:adjustRightInd w:val="0"/>
              <w:snapToGrid w:val="0"/>
              <w:jc w:val="left"/>
              <w:rPr>
                <w:rFonts w:ascii="宋体" w:hAnsi="宋体"/>
                <w:kern w:val="0"/>
                <w:sz w:val="24"/>
              </w:rPr>
            </w:pPr>
          </w:p>
        </w:tc>
      </w:tr>
      <w:tr w14:paraId="5891DD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1AA4E486">
            <w:pPr>
              <w:autoSpaceDE w:val="0"/>
              <w:autoSpaceDN w:val="0"/>
              <w:adjustRightInd w:val="0"/>
              <w:snapToGrid w:val="0"/>
              <w:jc w:val="left"/>
              <w:rPr>
                <w:rFonts w:ascii="宋体" w:hAnsi="宋体"/>
                <w:kern w:val="0"/>
                <w:sz w:val="24"/>
              </w:rPr>
            </w:pPr>
          </w:p>
        </w:tc>
        <w:tc>
          <w:tcPr>
            <w:tcW w:w="2381" w:type="dxa"/>
          </w:tcPr>
          <w:p w14:paraId="3E5F4BA0">
            <w:pPr>
              <w:autoSpaceDE w:val="0"/>
              <w:autoSpaceDN w:val="0"/>
              <w:adjustRightInd w:val="0"/>
              <w:snapToGrid w:val="0"/>
              <w:jc w:val="left"/>
              <w:rPr>
                <w:rFonts w:ascii="宋体" w:hAnsi="宋体"/>
                <w:kern w:val="0"/>
                <w:sz w:val="24"/>
              </w:rPr>
            </w:pPr>
          </w:p>
        </w:tc>
        <w:tc>
          <w:tcPr>
            <w:tcW w:w="2383" w:type="dxa"/>
          </w:tcPr>
          <w:p w14:paraId="676014D6">
            <w:pPr>
              <w:autoSpaceDE w:val="0"/>
              <w:autoSpaceDN w:val="0"/>
              <w:adjustRightInd w:val="0"/>
              <w:snapToGrid w:val="0"/>
              <w:jc w:val="left"/>
              <w:rPr>
                <w:rFonts w:ascii="宋体" w:hAnsi="宋体"/>
                <w:kern w:val="0"/>
                <w:sz w:val="24"/>
              </w:rPr>
            </w:pPr>
          </w:p>
        </w:tc>
        <w:tc>
          <w:tcPr>
            <w:tcW w:w="2384" w:type="dxa"/>
          </w:tcPr>
          <w:p w14:paraId="30AA45E0">
            <w:pPr>
              <w:autoSpaceDE w:val="0"/>
              <w:autoSpaceDN w:val="0"/>
              <w:adjustRightInd w:val="0"/>
              <w:snapToGrid w:val="0"/>
              <w:jc w:val="left"/>
              <w:rPr>
                <w:rFonts w:ascii="宋体" w:hAnsi="宋体"/>
                <w:kern w:val="0"/>
                <w:sz w:val="24"/>
              </w:rPr>
            </w:pPr>
          </w:p>
        </w:tc>
      </w:tr>
      <w:tr w14:paraId="420F5C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7C66AB61">
            <w:pPr>
              <w:autoSpaceDE w:val="0"/>
              <w:autoSpaceDN w:val="0"/>
              <w:adjustRightInd w:val="0"/>
              <w:snapToGrid w:val="0"/>
              <w:jc w:val="left"/>
              <w:rPr>
                <w:rFonts w:ascii="宋体" w:hAnsi="宋体"/>
                <w:kern w:val="0"/>
                <w:sz w:val="24"/>
              </w:rPr>
            </w:pPr>
          </w:p>
        </w:tc>
        <w:tc>
          <w:tcPr>
            <w:tcW w:w="2381" w:type="dxa"/>
          </w:tcPr>
          <w:p w14:paraId="0FED7491">
            <w:pPr>
              <w:autoSpaceDE w:val="0"/>
              <w:autoSpaceDN w:val="0"/>
              <w:adjustRightInd w:val="0"/>
              <w:snapToGrid w:val="0"/>
              <w:jc w:val="left"/>
              <w:rPr>
                <w:rFonts w:ascii="宋体" w:hAnsi="宋体"/>
                <w:kern w:val="0"/>
                <w:sz w:val="24"/>
              </w:rPr>
            </w:pPr>
          </w:p>
        </w:tc>
        <w:tc>
          <w:tcPr>
            <w:tcW w:w="2383" w:type="dxa"/>
          </w:tcPr>
          <w:p w14:paraId="74A64C09">
            <w:pPr>
              <w:autoSpaceDE w:val="0"/>
              <w:autoSpaceDN w:val="0"/>
              <w:adjustRightInd w:val="0"/>
              <w:snapToGrid w:val="0"/>
              <w:jc w:val="left"/>
              <w:rPr>
                <w:rFonts w:ascii="宋体" w:hAnsi="宋体"/>
                <w:kern w:val="0"/>
                <w:sz w:val="24"/>
              </w:rPr>
            </w:pPr>
          </w:p>
        </w:tc>
        <w:tc>
          <w:tcPr>
            <w:tcW w:w="2384" w:type="dxa"/>
          </w:tcPr>
          <w:p w14:paraId="0A8AE02D">
            <w:pPr>
              <w:autoSpaceDE w:val="0"/>
              <w:autoSpaceDN w:val="0"/>
              <w:adjustRightInd w:val="0"/>
              <w:snapToGrid w:val="0"/>
              <w:jc w:val="left"/>
              <w:rPr>
                <w:rFonts w:ascii="宋体" w:hAnsi="宋体"/>
                <w:kern w:val="0"/>
                <w:sz w:val="24"/>
              </w:rPr>
            </w:pPr>
          </w:p>
        </w:tc>
      </w:tr>
      <w:tr w14:paraId="04030C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717CBCF3">
            <w:pPr>
              <w:autoSpaceDE w:val="0"/>
              <w:autoSpaceDN w:val="0"/>
              <w:adjustRightInd w:val="0"/>
              <w:snapToGrid w:val="0"/>
              <w:jc w:val="left"/>
              <w:rPr>
                <w:rFonts w:ascii="宋体" w:hAnsi="宋体"/>
                <w:kern w:val="0"/>
                <w:sz w:val="24"/>
              </w:rPr>
            </w:pPr>
          </w:p>
        </w:tc>
        <w:tc>
          <w:tcPr>
            <w:tcW w:w="2381" w:type="dxa"/>
          </w:tcPr>
          <w:p w14:paraId="012DECD0">
            <w:pPr>
              <w:autoSpaceDE w:val="0"/>
              <w:autoSpaceDN w:val="0"/>
              <w:adjustRightInd w:val="0"/>
              <w:snapToGrid w:val="0"/>
              <w:jc w:val="left"/>
              <w:rPr>
                <w:rFonts w:ascii="宋体" w:hAnsi="宋体"/>
                <w:kern w:val="0"/>
                <w:sz w:val="24"/>
              </w:rPr>
            </w:pPr>
          </w:p>
        </w:tc>
        <w:tc>
          <w:tcPr>
            <w:tcW w:w="2383" w:type="dxa"/>
          </w:tcPr>
          <w:p w14:paraId="0B1E7871">
            <w:pPr>
              <w:autoSpaceDE w:val="0"/>
              <w:autoSpaceDN w:val="0"/>
              <w:adjustRightInd w:val="0"/>
              <w:snapToGrid w:val="0"/>
              <w:jc w:val="left"/>
              <w:rPr>
                <w:rFonts w:ascii="宋体" w:hAnsi="宋体"/>
                <w:kern w:val="0"/>
                <w:sz w:val="24"/>
              </w:rPr>
            </w:pPr>
          </w:p>
        </w:tc>
        <w:tc>
          <w:tcPr>
            <w:tcW w:w="2384" w:type="dxa"/>
          </w:tcPr>
          <w:p w14:paraId="534F234F">
            <w:pPr>
              <w:autoSpaceDE w:val="0"/>
              <w:autoSpaceDN w:val="0"/>
              <w:adjustRightInd w:val="0"/>
              <w:snapToGrid w:val="0"/>
              <w:jc w:val="left"/>
              <w:rPr>
                <w:rFonts w:ascii="宋体" w:hAnsi="宋体"/>
                <w:kern w:val="0"/>
                <w:sz w:val="24"/>
              </w:rPr>
            </w:pPr>
          </w:p>
        </w:tc>
      </w:tr>
      <w:tr w14:paraId="05E40D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5E953C6E">
            <w:pPr>
              <w:autoSpaceDE w:val="0"/>
              <w:autoSpaceDN w:val="0"/>
              <w:adjustRightInd w:val="0"/>
              <w:snapToGrid w:val="0"/>
              <w:jc w:val="left"/>
              <w:rPr>
                <w:rFonts w:ascii="宋体" w:hAnsi="宋体"/>
                <w:kern w:val="0"/>
                <w:sz w:val="24"/>
              </w:rPr>
            </w:pPr>
          </w:p>
        </w:tc>
        <w:tc>
          <w:tcPr>
            <w:tcW w:w="2381" w:type="dxa"/>
          </w:tcPr>
          <w:p w14:paraId="53812E84">
            <w:pPr>
              <w:autoSpaceDE w:val="0"/>
              <w:autoSpaceDN w:val="0"/>
              <w:adjustRightInd w:val="0"/>
              <w:snapToGrid w:val="0"/>
              <w:jc w:val="left"/>
              <w:rPr>
                <w:rFonts w:ascii="宋体" w:hAnsi="宋体"/>
                <w:kern w:val="0"/>
                <w:sz w:val="24"/>
              </w:rPr>
            </w:pPr>
          </w:p>
        </w:tc>
        <w:tc>
          <w:tcPr>
            <w:tcW w:w="2383" w:type="dxa"/>
          </w:tcPr>
          <w:p w14:paraId="25D9CF22">
            <w:pPr>
              <w:autoSpaceDE w:val="0"/>
              <w:autoSpaceDN w:val="0"/>
              <w:adjustRightInd w:val="0"/>
              <w:snapToGrid w:val="0"/>
              <w:jc w:val="left"/>
              <w:rPr>
                <w:rFonts w:ascii="宋体" w:hAnsi="宋体"/>
                <w:kern w:val="0"/>
                <w:sz w:val="24"/>
              </w:rPr>
            </w:pPr>
          </w:p>
        </w:tc>
        <w:tc>
          <w:tcPr>
            <w:tcW w:w="2384" w:type="dxa"/>
          </w:tcPr>
          <w:p w14:paraId="0B8C026A">
            <w:pPr>
              <w:autoSpaceDE w:val="0"/>
              <w:autoSpaceDN w:val="0"/>
              <w:adjustRightInd w:val="0"/>
              <w:snapToGrid w:val="0"/>
              <w:jc w:val="left"/>
              <w:rPr>
                <w:rFonts w:ascii="宋体" w:hAnsi="宋体"/>
                <w:kern w:val="0"/>
                <w:sz w:val="24"/>
              </w:rPr>
            </w:pPr>
          </w:p>
        </w:tc>
      </w:tr>
      <w:tr w14:paraId="3F74A4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543091A9">
            <w:pPr>
              <w:autoSpaceDE w:val="0"/>
              <w:autoSpaceDN w:val="0"/>
              <w:adjustRightInd w:val="0"/>
              <w:snapToGrid w:val="0"/>
              <w:jc w:val="left"/>
              <w:rPr>
                <w:rFonts w:ascii="宋体" w:hAnsi="宋体"/>
                <w:kern w:val="0"/>
                <w:sz w:val="24"/>
              </w:rPr>
            </w:pPr>
          </w:p>
        </w:tc>
        <w:tc>
          <w:tcPr>
            <w:tcW w:w="2381" w:type="dxa"/>
          </w:tcPr>
          <w:p w14:paraId="77933602">
            <w:pPr>
              <w:autoSpaceDE w:val="0"/>
              <w:autoSpaceDN w:val="0"/>
              <w:adjustRightInd w:val="0"/>
              <w:snapToGrid w:val="0"/>
              <w:jc w:val="left"/>
              <w:rPr>
                <w:rFonts w:ascii="宋体" w:hAnsi="宋体"/>
                <w:kern w:val="0"/>
                <w:sz w:val="24"/>
              </w:rPr>
            </w:pPr>
          </w:p>
        </w:tc>
        <w:tc>
          <w:tcPr>
            <w:tcW w:w="2383" w:type="dxa"/>
          </w:tcPr>
          <w:p w14:paraId="26D03352">
            <w:pPr>
              <w:autoSpaceDE w:val="0"/>
              <w:autoSpaceDN w:val="0"/>
              <w:adjustRightInd w:val="0"/>
              <w:snapToGrid w:val="0"/>
              <w:jc w:val="left"/>
              <w:rPr>
                <w:rFonts w:ascii="宋体" w:hAnsi="宋体"/>
                <w:kern w:val="0"/>
                <w:sz w:val="24"/>
              </w:rPr>
            </w:pPr>
          </w:p>
        </w:tc>
        <w:tc>
          <w:tcPr>
            <w:tcW w:w="2384" w:type="dxa"/>
          </w:tcPr>
          <w:p w14:paraId="1FFAE0BF">
            <w:pPr>
              <w:autoSpaceDE w:val="0"/>
              <w:autoSpaceDN w:val="0"/>
              <w:adjustRightInd w:val="0"/>
              <w:snapToGrid w:val="0"/>
              <w:jc w:val="left"/>
              <w:rPr>
                <w:rFonts w:ascii="宋体" w:hAnsi="宋体"/>
                <w:kern w:val="0"/>
                <w:sz w:val="24"/>
              </w:rPr>
            </w:pPr>
          </w:p>
        </w:tc>
      </w:tr>
      <w:tr w14:paraId="08E036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67824B3B">
            <w:pPr>
              <w:autoSpaceDE w:val="0"/>
              <w:autoSpaceDN w:val="0"/>
              <w:adjustRightInd w:val="0"/>
              <w:snapToGrid w:val="0"/>
              <w:jc w:val="left"/>
              <w:rPr>
                <w:rFonts w:ascii="宋体" w:hAnsi="宋体"/>
                <w:kern w:val="0"/>
                <w:sz w:val="24"/>
              </w:rPr>
            </w:pPr>
          </w:p>
        </w:tc>
        <w:tc>
          <w:tcPr>
            <w:tcW w:w="2381" w:type="dxa"/>
          </w:tcPr>
          <w:p w14:paraId="18261A0E">
            <w:pPr>
              <w:autoSpaceDE w:val="0"/>
              <w:autoSpaceDN w:val="0"/>
              <w:adjustRightInd w:val="0"/>
              <w:snapToGrid w:val="0"/>
              <w:jc w:val="left"/>
              <w:rPr>
                <w:rFonts w:ascii="宋体" w:hAnsi="宋体"/>
                <w:kern w:val="0"/>
                <w:sz w:val="24"/>
              </w:rPr>
            </w:pPr>
          </w:p>
        </w:tc>
        <w:tc>
          <w:tcPr>
            <w:tcW w:w="2383" w:type="dxa"/>
          </w:tcPr>
          <w:p w14:paraId="249AF703">
            <w:pPr>
              <w:autoSpaceDE w:val="0"/>
              <w:autoSpaceDN w:val="0"/>
              <w:adjustRightInd w:val="0"/>
              <w:snapToGrid w:val="0"/>
              <w:jc w:val="left"/>
              <w:rPr>
                <w:rFonts w:ascii="宋体" w:hAnsi="宋体"/>
                <w:kern w:val="0"/>
                <w:sz w:val="24"/>
              </w:rPr>
            </w:pPr>
          </w:p>
        </w:tc>
        <w:tc>
          <w:tcPr>
            <w:tcW w:w="2384" w:type="dxa"/>
          </w:tcPr>
          <w:p w14:paraId="7ED5D181">
            <w:pPr>
              <w:autoSpaceDE w:val="0"/>
              <w:autoSpaceDN w:val="0"/>
              <w:adjustRightInd w:val="0"/>
              <w:snapToGrid w:val="0"/>
              <w:jc w:val="left"/>
              <w:rPr>
                <w:rFonts w:ascii="宋体" w:hAnsi="宋体"/>
                <w:kern w:val="0"/>
                <w:sz w:val="24"/>
              </w:rPr>
            </w:pPr>
          </w:p>
        </w:tc>
      </w:tr>
      <w:tr w14:paraId="499AF8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0C6FEF98">
            <w:pPr>
              <w:autoSpaceDE w:val="0"/>
              <w:autoSpaceDN w:val="0"/>
              <w:adjustRightInd w:val="0"/>
              <w:snapToGrid w:val="0"/>
              <w:jc w:val="left"/>
              <w:rPr>
                <w:rFonts w:ascii="宋体" w:hAnsi="宋体"/>
                <w:kern w:val="0"/>
                <w:sz w:val="24"/>
              </w:rPr>
            </w:pPr>
          </w:p>
        </w:tc>
        <w:tc>
          <w:tcPr>
            <w:tcW w:w="2381" w:type="dxa"/>
          </w:tcPr>
          <w:p w14:paraId="342B8E6C">
            <w:pPr>
              <w:autoSpaceDE w:val="0"/>
              <w:autoSpaceDN w:val="0"/>
              <w:adjustRightInd w:val="0"/>
              <w:snapToGrid w:val="0"/>
              <w:jc w:val="left"/>
              <w:rPr>
                <w:rFonts w:ascii="宋体" w:hAnsi="宋体"/>
                <w:kern w:val="0"/>
                <w:sz w:val="24"/>
              </w:rPr>
            </w:pPr>
          </w:p>
        </w:tc>
        <w:tc>
          <w:tcPr>
            <w:tcW w:w="2383" w:type="dxa"/>
          </w:tcPr>
          <w:p w14:paraId="49FE9E57">
            <w:pPr>
              <w:autoSpaceDE w:val="0"/>
              <w:autoSpaceDN w:val="0"/>
              <w:adjustRightInd w:val="0"/>
              <w:snapToGrid w:val="0"/>
              <w:jc w:val="left"/>
              <w:rPr>
                <w:rFonts w:ascii="宋体" w:hAnsi="宋体"/>
                <w:kern w:val="0"/>
                <w:sz w:val="24"/>
              </w:rPr>
            </w:pPr>
          </w:p>
        </w:tc>
        <w:tc>
          <w:tcPr>
            <w:tcW w:w="2384" w:type="dxa"/>
          </w:tcPr>
          <w:p w14:paraId="0C96F906">
            <w:pPr>
              <w:autoSpaceDE w:val="0"/>
              <w:autoSpaceDN w:val="0"/>
              <w:adjustRightInd w:val="0"/>
              <w:snapToGrid w:val="0"/>
              <w:jc w:val="left"/>
              <w:rPr>
                <w:rFonts w:ascii="宋体" w:hAnsi="宋体"/>
                <w:kern w:val="0"/>
                <w:sz w:val="24"/>
              </w:rPr>
            </w:pPr>
          </w:p>
        </w:tc>
      </w:tr>
      <w:tr w14:paraId="3416CDB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41D3D9AE">
            <w:pPr>
              <w:autoSpaceDE w:val="0"/>
              <w:autoSpaceDN w:val="0"/>
              <w:adjustRightInd w:val="0"/>
              <w:snapToGrid w:val="0"/>
              <w:jc w:val="left"/>
              <w:rPr>
                <w:rFonts w:ascii="宋体" w:hAnsi="宋体"/>
                <w:kern w:val="0"/>
                <w:sz w:val="24"/>
              </w:rPr>
            </w:pPr>
          </w:p>
        </w:tc>
        <w:tc>
          <w:tcPr>
            <w:tcW w:w="2381" w:type="dxa"/>
          </w:tcPr>
          <w:p w14:paraId="1FB27BF6">
            <w:pPr>
              <w:autoSpaceDE w:val="0"/>
              <w:autoSpaceDN w:val="0"/>
              <w:adjustRightInd w:val="0"/>
              <w:snapToGrid w:val="0"/>
              <w:jc w:val="left"/>
              <w:rPr>
                <w:rFonts w:ascii="宋体" w:hAnsi="宋体"/>
                <w:kern w:val="0"/>
                <w:sz w:val="24"/>
              </w:rPr>
            </w:pPr>
          </w:p>
        </w:tc>
        <w:tc>
          <w:tcPr>
            <w:tcW w:w="2383" w:type="dxa"/>
          </w:tcPr>
          <w:p w14:paraId="717445CB">
            <w:pPr>
              <w:autoSpaceDE w:val="0"/>
              <w:autoSpaceDN w:val="0"/>
              <w:adjustRightInd w:val="0"/>
              <w:snapToGrid w:val="0"/>
              <w:jc w:val="left"/>
              <w:rPr>
                <w:rFonts w:ascii="宋体" w:hAnsi="宋体"/>
                <w:kern w:val="0"/>
                <w:sz w:val="24"/>
              </w:rPr>
            </w:pPr>
          </w:p>
        </w:tc>
        <w:tc>
          <w:tcPr>
            <w:tcW w:w="2384" w:type="dxa"/>
          </w:tcPr>
          <w:p w14:paraId="3FEA5AD1">
            <w:pPr>
              <w:autoSpaceDE w:val="0"/>
              <w:autoSpaceDN w:val="0"/>
              <w:adjustRightInd w:val="0"/>
              <w:snapToGrid w:val="0"/>
              <w:jc w:val="left"/>
              <w:rPr>
                <w:rFonts w:ascii="宋体" w:hAnsi="宋体"/>
                <w:kern w:val="0"/>
                <w:sz w:val="24"/>
              </w:rPr>
            </w:pPr>
          </w:p>
        </w:tc>
      </w:tr>
      <w:tr w14:paraId="68A3D2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46CA00F7">
            <w:pPr>
              <w:autoSpaceDE w:val="0"/>
              <w:autoSpaceDN w:val="0"/>
              <w:adjustRightInd w:val="0"/>
              <w:snapToGrid w:val="0"/>
              <w:jc w:val="left"/>
              <w:rPr>
                <w:rFonts w:ascii="宋体" w:hAnsi="宋体"/>
                <w:kern w:val="0"/>
                <w:sz w:val="24"/>
              </w:rPr>
            </w:pPr>
          </w:p>
        </w:tc>
        <w:tc>
          <w:tcPr>
            <w:tcW w:w="2381" w:type="dxa"/>
          </w:tcPr>
          <w:p w14:paraId="259F800F">
            <w:pPr>
              <w:autoSpaceDE w:val="0"/>
              <w:autoSpaceDN w:val="0"/>
              <w:adjustRightInd w:val="0"/>
              <w:snapToGrid w:val="0"/>
              <w:jc w:val="left"/>
              <w:rPr>
                <w:rFonts w:ascii="宋体" w:hAnsi="宋体"/>
                <w:kern w:val="0"/>
                <w:sz w:val="24"/>
              </w:rPr>
            </w:pPr>
          </w:p>
        </w:tc>
        <w:tc>
          <w:tcPr>
            <w:tcW w:w="2383" w:type="dxa"/>
          </w:tcPr>
          <w:p w14:paraId="7F5E0F2A">
            <w:pPr>
              <w:autoSpaceDE w:val="0"/>
              <w:autoSpaceDN w:val="0"/>
              <w:adjustRightInd w:val="0"/>
              <w:snapToGrid w:val="0"/>
              <w:jc w:val="left"/>
              <w:rPr>
                <w:rFonts w:ascii="宋体" w:hAnsi="宋体"/>
                <w:kern w:val="0"/>
                <w:sz w:val="24"/>
              </w:rPr>
            </w:pPr>
          </w:p>
        </w:tc>
        <w:tc>
          <w:tcPr>
            <w:tcW w:w="2384" w:type="dxa"/>
          </w:tcPr>
          <w:p w14:paraId="731C3769">
            <w:pPr>
              <w:autoSpaceDE w:val="0"/>
              <w:autoSpaceDN w:val="0"/>
              <w:adjustRightInd w:val="0"/>
              <w:snapToGrid w:val="0"/>
              <w:jc w:val="left"/>
              <w:rPr>
                <w:rFonts w:ascii="宋体" w:hAnsi="宋体"/>
                <w:kern w:val="0"/>
                <w:sz w:val="24"/>
              </w:rPr>
            </w:pPr>
          </w:p>
        </w:tc>
      </w:tr>
      <w:tr w14:paraId="59DD87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0B7FD1EE">
            <w:pPr>
              <w:autoSpaceDE w:val="0"/>
              <w:autoSpaceDN w:val="0"/>
              <w:adjustRightInd w:val="0"/>
              <w:snapToGrid w:val="0"/>
              <w:jc w:val="left"/>
              <w:rPr>
                <w:rFonts w:ascii="宋体" w:hAnsi="宋体"/>
                <w:kern w:val="0"/>
                <w:sz w:val="24"/>
              </w:rPr>
            </w:pPr>
          </w:p>
        </w:tc>
        <w:tc>
          <w:tcPr>
            <w:tcW w:w="2381" w:type="dxa"/>
          </w:tcPr>
          <w:p w14:paraId="52C43ABB">
            <w:pPr>
              <w:autoSpaceDE w:val="0"/>
              <w:autoSpaceDN w:val="0"/>
              <w:adjustRightInd w:val="0"/>
              <w:snapToGrid w:val="0"/>
              <w:jc w:val="left"/>
              <w:rPr>
                <w:rFonts w:ascii="宋体" w:hAnsi="宋体"/>
                <w:kern w:val="0"/>
                <w:sz w:val="24"/>
              </w:rPr>
            </w:pPr>
          </w:p>
        </w:tc>
        <w:tc>
          <w:tcPr>
            <w:tcW w:w="2383" w:type="dxa"/>
          </w:tcPr>
          <w:p w14:paraId="61D8EA4E">
            <w:pPr>
              <w:autoSpaceDE w:val="0"/>
              <w:autoSpaceDN w:val="0"/>
              <w:adjustRightInd w:val="0"/>
              <w:snapToGrid w:val="0"/>
              <w:jc w:val="left"/>
              <w:rPr>
                <w:rFonts w:ascii="宋体" w:hAnsi="宋体"/>
                <w:kern w:val="0"/>
                <w:sz w:val="24"/>
              </w:rPr>
            </w:pPr>
          </w:p>
        </w:tc>
        <w:tc>
          <w:tcPr>
            <w:tcW w:w="2384" w:type="dxa"/>
          </w:tcPr>
          <w:p w14:paraId="32B9647D">
            <w:pPr>
              <w:autoSpaceDE w:val="0"/>
              <w:autoSpaceDN w:val="0"/>
              <w:adjustRightInd w:val="0"/>
              <w:snapToGrid w:val="0"/>
              <w:jc w:val="left"/>
              <w:rPr>
                <w:rFonts w:ascii="宋体" w:hAnsi="宋体"/>
                <w:kern w:val="0"/>
                <w:sz w:val="24"/>
              </w:rPr>
            </w:pPr>
          </w:p>
        </w:tc>
      </w:tr>
      <w:tr w14:paraId="794121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55C9E83A">
            <w:pPr>
              <w:autoSpaceDE w:val="0"/>
              <w:autoSpaceDN w:val="0"/>
              <w:adjustRightInd w:val="0"/>
              <w:snapToGrid w:val="0"/>
              <w:jc w:val="left"/>
              <w:rPr>
                <w:rFonts w:ascii="宋体" w:hAnsi="宋体"/>
                <w:kern w:val="0"/>
                <w:sz w:val="24"/>
              </w:rPr>
            </w:pPr>
          </w:p>
        </w:tc>
        <w:tc>
          <w:tcPr>
            <w:tcW w:w="2381" w:type="dxa"/>
          </w:tcPr>
          <w:p w14:paraId="46F002C3">
            <w:pPr>
              <w:autoSpaceDE w:val="0"/>
              <w:autoSpaceDN w:val="0"/>
              <w:adjustRightInd w:val="0"/>
              <w:snapToGrid w:val="0"/>
              <w:jc w:val="left"/>
              <w:rPr>
                <w:rFonts w:ascii="宋体" w:hAnsi="宋体"/>
                <w:kern w:val="0"/>
                <w:sz w:val="24"/>
              </w:rPr>
            </w:pPr>
          </w:p>
        </w:tc>
        <w:tc>
          <w:tcPr>
            <w:tcW w:w="2383" w:type="dxa"/>
          </w:tcPr>
          <w:p w14:paraId="7EDFA22B">
            <w:pPr>
              <w:autoSpaceDE w:val="0"/>
              <w:autoSpaceDN w:val="0"/>
              <w:adjustRightInd w:val="0"/>
              <w:snapToGrid w:val="0"/>
              <w:jc w:val="left"/>
              <w:rPr>
                <w:rFonts w:ascii="宋体" w:hAnsi="宋体"/>
                <w:kern w:val="0"/>
                <w:sz w:val="24"/>
              </w:rPr>
            </w:pPr>
          </w:p>
        </w:tc>
        <w:tc>
          <w:tcPr>
            <w:tcW w:w="2384" w:type="dxa"/>
          </w:tcPr>
          <w:p w14:paraId="6D48E36A">
            <w:pPr>
              <w:autoSpaceDE w:val="0"/>
              <w:autoSpaceDN w:val="0"/>
              <w:adjustRightInd w:val="0"/>
              <w:snapToGrid w:val="0"/>
              <w:jc w:val="left"/>
              <w:rPr>
                <w:rFonts w:ascii="宋体" w:hAnsi="宋体"/>
                <w:kern w:val="0"/>
                <w:sz w:val="24"/>
              </w:rPr>
            </w:pPr>
          </w:p>
        </w:tc>
      </w:tr>
      <w:tr w14:paraId="2A1039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194D595D">
            <w:pPr>
              <w:autoSpaceDE w:val="0"/>
              <w:autoSpaceDN w:val="0"/>
              <w:adjustRightInd w:val="0"/>
              <w:snapToGrid w:val="0"/>
              <w:jc w:val="left"/>
              <w:rPr>
                <w:rFonts w:ascii="宋体" w:hAnsi="宋体"/>
                <w:kern w:val="0"/>
                <w:sz w:val="24"/>
              </w:rPr>
            </w:pPr>
          </w:p>
        </w:tc>
        <w:tc>
          <w:tcPr>
            <w:tcW w:w="2381" w:type="dxa"/>
          </w:tcPr>
          <w:p w14:paraId="644A4B62">
            <w:pPr>
              <w:autoSpaceDE w:val="0"/>
              <w:autoSpaceDN w:val="0"/>
              <w:adjustRightInd w:val="0"/>
              <w:snapToGrid w:val="0"/>
              <w:jc w:val="left"/>
              <w:rPr>
                <w:rFonts w:ascii="宋体" w:hAnsi="宋体"/>
                <w:kern w:val="0"/>
                <w:sz w:val="24"/>
              </w:rPr>
            </w:pPr>
          </w:p>
        </w:tc>
        <w:tc>
          <w:tcPr>
            <w:tcW w:w="2383" w:type="dxa"/>
          </w:tcPr>
          <w:p w14:paraId="13D8EB4D">
            <w:pPr>
              <w:autoSpaceDE w:val="0"/>
              <w:autoSpaceDN w:val="0"/>
              <w:adjustRightInd w:val="0"/>
              <w:snapToGrid w:val="0"/>
              <w:jc w:val="left"/>
              <w:rPr>
                <w:rFonts w:ascii="宋体" w:hAnsi="宋体"/>
                <w:kern w:val="0"/>
                <w:sz w:val="24"/>
              </w:rPr>
            </w:pPr>
          </w:p>
        </w:tc>
        <w:tc>
          <w:tcPr>
            <w:tcW w:w="2384" w:type="dxa"/>
          </w:tcPr>
          <w:p w14:paraId="799ED1BA">
            <w:pPr>
              <w:autoSpaceDE w:val="0"/>
              <w:autoSpaceDN w:val="0"/>
              <w:adjustRightInd w:val="0"/>
              <w:snapToGrid w:val="0"/>
              <w:jc w:val="left"/>
              <w:rPr>
                <w:rFonts w:ascii="宋体" w:hAnsi="宋体"/>
                <w:kern w:val="0"/>
                <w:sz w:val="24"/>
              </w:rPr>
            </w:pPr>
          </w:p>
        </w:tc>
      </w:tr>
      <w:tr w14:paraId="4F6F42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72F44A9B">
            <w:pPr>
              <w:autoSpaceDE w:val="0"/>
              <w:autoSpaceDN w:val="0"/>
              <w:adjustRightInd w:val="0"/>
              <w:snapToGrid w:val="0"/>
              <w:jc w:val="left"/>
              <w:rPr>
                <w:rFonts w:ascii="宋体" w:hAnsi="宋体"/>
                <w:kern w:val="0"/>
                <w:sz w:val="24"/>
              </w:rPr>
            </w:pPr>
          </w:p>
        </w:tc>
        <w:tc>
          <w:tcPr>
            <w:tcW w:w="2381" w:type="dxa"/>
          </w:tcPr>
          <w:p w14:paraId="5A2FFA7F">
            <w:pPr>
              <w:autoSpaceDE w:val="0"/>
              <w:autoSpaceDN w:val="0"/>
              <w:adjustRightInd w:val="0"/>
              <w:snapToGrid w:val="0"/>
              <w:jc w:val="left"/>
              <w:rPr>
                <w:rFonts w:ascii="宋体" w:hAnsi="宋体"/>
                <w:kern w:val="0"/>
                <w:sz w:val="24"/>
              </w:rPr>
            </w:pPr>
          </w:p>
        </w:tc>
        <w:tc>
          <w:tcPr>
            <w:tcW w:w="2383" w:type="dxa"/>
          </w:tcPr>
          <w:p w14:paraId="4C8E7329">
            <w:pPr>
              <w:autoSpaceDE w:val="0"/>
              <w:autoSpaceDN w:val="0"/>
              <w:adjustRightInd w:val="0"/>
              <w:snapToGrid w:val="0"/>
              <w:jc w:val="left"/>
              <w:rPr>
                <w:rFonts w:ascii="宋体" w:hAnsi="宋体"/>
                <w:kern w:val="0"/>
                <w:sz w:val="24"/>
              </w:rPr>
            </w:pPr>
          </w:p>
        </w:tc>
        <w:tc>
          <w:tcPr>
            <w:tcW w:w="2384" w:type="dxa"/>
          </w:tcPr>
          <w:p w14:paraId="21C1F97E">
            <w:pPr>
              <w:autoSpaceDE w:val="0"/>
              <w:autoSpaceDN w:val="0"/>
              <w:adjustRightInd w:val="0"/>
              <w:snapToGrid w:val="0"/>
              <w:jc w:val="left"/>
              <w:rPr>
                <w:rFonts w:ascii="宋体" w:hAnsi="宋体"/>
                <w:kern w:val="0"/>
                <w:sz w:val="24"/>
              </w:rPr>
            </w:pPr>
          </w:p>
        </w:tc>
      </w:tr>
      <w:tr w14:paraId="1C31AA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484D109C">
            <w:pPr>
              <w:autoSpaceDE w:val="0"/>
              <w:autoSpaceDN w:val="0"/>
              <w:adjustRightInd w:val="0"/>
              <w:snapToGrid w:val="0"/>
              <w:jc w:val="left"/>
              <w:rPr>
                <w:rFonts w:ascii="宋体" w:hAnsi="宋体"/>
                <w:kern w:val="0"/>
                <w:sz w:val="24"/>
              </w:rPr>
            </w:pPr>
          </w:p>
        </w:tc>
        <w:tc>
          <w:tcPr>
            <w:tcW w:w="2381" w:type="dxa"/>
          </w:tcPr>
          <w:p w14:paraId="4D17B827">
            <w:pPr>
              <w:autoSpaceDE w:val="0"/>
              <w:autoSpaceDN w:val="0"/>
              <w:adjustRightInd w:val="0"/>
              <w:snapToGrid w:val="0"/>
              <w:jc w:val="left"/>
              <w:rPr>
                <w:rFonts w:ascii="宋体" w:hAnsi="宋体"/>
                <w:kern w:val="0"/>
                <w:sz w:val="24"/>
              </w:rPr>
            </w:pPr>
          </w:p>
        </w:tc>
        <w:tc>
          <w:tcPr>
            <w:tcW w:w="2383" w:type="dxa"/>
          </w:tcPr>
          <w:p w14:paraId="026E79D7">
            <w:pPr>
              <w:autoSpaceDE w:val="0"/>
              <w:autoSpaceDN w:val="0"/>
              <w:adjustRightInd w:val="0"/>
              <w:snapToGrid w:val="0"/>
              <w:jc w:val="left"/>
              <w:rPr>
                <w:rFonts w:ascii="宋体" w:hAnsi="宋体"/>
                <w:kern w:val="0"/>
                <w:sz w:val="24"/>
              </w:rPr>
            </w:pPr>
          </w:p>
        </w:tc>
        <w:tc>
          <w:tcPr>
            <w:tcW w:w="2384" w:type="dxa"/>
          </w:tcPr>
          <w:p w14:paraId="20D089EB">
            <w:pPr>
              <w:autoSpaceDE w:val="0"/>
              <w:autoSpaceDN w:val="0"/>
              <w:adjustRightInd w:val="0"/>
              <w:snapToGrid w:val="0"/>
              <w:jc w:val="left"/>
              <w:rPr>
                <w:rFonts w:ascii="宋体" w:hAnsi="宋体"/>
                <w:kern w:val="0"/>
                <w:sz w:val="24"/>
              </w:rPr>
            </w:pPr>
          </w:p>
        </w:tc>
      </w:tr>
      <w:tr w14:paraId="22FB15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75F46CEB">
            <w:pPr>
              <w:autoSpaceDE w:val="0"/>
              <w:autoSpaceDN w:val="0"/>
              <w:adjustRightInd w:val="0"/>
              <w:snapToGrid w:val="0"/>
              <w:jc w:val="left"/>
              <w:rPr>
                <w:rFonts w:ascii="宋体" w:hAnsi="宋体"/>
                <w:kern w:val="0"/>
                <w:sz w:val="24"/>
              </w:rPr>
            </w:pPr>
          </w:p>
        </w:tc>
        <w:tc>
          <w:tcPr>
            <w:tcW w:w="2381" w:type="dxa"/>
          </w:tcPr>
          <w:p w14:paraId="624ADA36">
            <w:pPr>
              <w:autoSpaceDE w:val="0"/>
              <w:autoSpaceDN w:val="0"/>
              <w:adjustRightInd w:val="0"/>
              <w:snapToGrid w:val="0"/>
              <w:jc w:val="left"/>
              <w:rPr>
                <w:rFonts w:ascii="宋体" w:hAnsi="宋体"/>
                <w:kern w:val="0"/>
                <w:sz w:val="24"/>
              </w:rPr>
            </w:pPr>
          </w:p>
        </w:tc>
        <w:tc>
          <w:tcPr>
            <w:tcW w:w="2383" w:type="dxa"/>
          </w:tcPr>
          <w:p w14:paraId="77547256">
            <w:pPr>
              <w:autoSpaceDE w:val="0"/>
              <w:autoSpaceDN w:val="0"/>
              <w:adjustRightInd w:val="0"/>
              <w:snapToGrid w:val="0"/>
              <w:jc w:val="left"/>
              <w:rPr>
                <w:rFonts w:ascii="宋体" w:hAnsi="宋体"/>
                <w:kern w:val="0"/>
                <w:sz w:val="24"/>
              </w:rPr>
            </w:pPr>
          </w:p>
        </w:tc>
        <w:tc>
          <w:tcPr>
            <w:tcW w:w="2384" w:type="dxa"/>
          </w:tcPr>
          <w:p w14:paraId="3996011B">
            <w:pPr>
              <w:autoSpaceDE w:val="0"/>
              <w:autoSpaceDN w:val="0"/>
              <w:adjustRightInd w:val="0"/>
              <w:snapToGrid w:val="0"/>
              <w:jc w:val="left"/>
              <w:rPr>
                <w:rFonts w:ascii="宋体" w:hAnsi="宋体"/>
                <w:kern w:val="0"/>
                <w:sz w:val="24"/>
              </w:rPr>
            </w:pPr>
          </w:p>
        </w:tc>
      </w:tr>
      <w:tr w14:paraId="6D0A88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4816B165">
            <w:pPr>
              <w:autoSpaceDE w:val="0"/>
              <w:autoSpaceDN w:val="0"/>
              <w:adjustRightInd w:val="0"/>
              <w:snapToGrid w:val="0"/>
              <w:jc w:val="left"/>
              <w:rPr>
                <w:rFonts w:ascii="宋体" w:hAnsi="宋体"/>
                <w:kern w:val="0"/>
                <w:sz w:val="24"/>
              </w:rPr>
            </w:pPr>
          </w:p>
        </w:tc>
        <w:tc>
          <w:tcPr>
            <w:tcW w:w="2381" w:type="dxa"/>
          </w:tcPr>
          <w:p w14:paraId="208D92FA">
            <w:pPr>
              <w:autoSpaceDE w:val="0"/>
              <w:autoSpaceDN w:val="0"/>
              <w:adjustRightInd w:val="0"/>
              <w:snapToGrid w:val="0"/>
              <w:jc w:val="left"/>
              <w:rPr>
                <w:rFonts w:ascii="宋体" w:hAnsi="宋体"/>
                <w:kern w:val="0"/>
                <w:sz w:val="24"/>
              </w:rPr>
            </w:pPr>
          </w:p>
        </w:tc>
        <w:tc>
          <w:tcPr>
            <w:tcW w:w="2383" w:type="dxa"/>
          </w:tcPr>
          <w:p w14:paraId="165F5DA9">
            <w:pPr>
              <w:autoSpaceDE w:val="0"/>
              <w:autoSpaceDN w:val="0"/>
              <w:adjustRightInd w:val="0"/>
              <w:snapToGrid w:val="0"/>
              <w:jc w:val="left"/>
              <w:rPr>
                <w:rFonts w:ascii="宋体" w:hAnsi="宋体"/>
                <w:kern w:val="0"/>
                <w:sz w:val="24"/>
              </w:rPr>
            </w:pPr>
          </w:p>
        </w:tc>
        <w:tc>
          <w:tcPr>
            <w:tcW w:w="2384" w:type="dxa"/>
          </w:tcPr>
          <w:p w14:paraId="41FD423D">
            <w:pPr>
              <w:autoSpaceDE w:val="0"/>
              <w:autoSpaceDN w:val="0"/>
              <w:adjustRightInd w:val="0"/>
              <w:snapToGrid w:val="0"/>
              <w:jc w:val="left"/>
              <w:rPr>
                <w:rFonts w:ascii="宋体" w:hAnsi="宋体"/>
                <w:kern w:val="0"/>
                <w:sz w:val="24"/>
              </w:rPr>
            </w:pPr>
          </w:p>
        </w:tc>
      </w:tr>
      <w:tr w14:paraId="07CFB2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7107FACD">
            <w:pPr>
              <w:autoSpaceDE w:val="0"/>
              <w:autoSpaceDN w:val="0"/>
              <w:adjustRightInd w:val="0"/>
              <w:snapToGrid w:val="0"/>
              <w:jc w:val="left"/>
              <w:rPr>
                <w:rFonts w:ascii="宋体" w:hAnsi="宋体"/>
                <w:kern w:val="0"/>
                <w:sz w:val="24"/>
              </w:rPr>
            </w:pPr>
          </w:p>
        </w:tc>
        <w:tc>
          <w:tcPr>
            <w:tcW w:w="2381" w:type="dxa"/>
          </w:tcPr>
          <w:p w14:paraId="7F672C54">
            <w:pPr>
              <w:autoSpaceDE w:val="0"/>
              <w:autoSpaceDN w:val="0"/>
              <w:adjustRightInd w:val="0"/>
              <w:snapToGrid w:val="0"/>
              <w:jc w:val="left"/>
              <w:rPr>
                <w:rFonts w:ascii="宋体" w:hAnsi="宋体"/>
                <w:kern w:val="0"/>
                <w:sz w:val="24"/>
              </w:rPr>
            </w:pPr>
          </w:p>
        </w:tc>
        <w:tc>
          <w:tcPr>
            <w:tcW w:w="2383" w:type="dxa"/>
          </w:tcPr>
          <w:p w14:paraId="00BD4DD4">
            <w:pPr>
              <w:autoSpaceDE w:val="0"/>
              <w:autoSpaceDN w:val="0"/>
              <w:adjustRightInd w:val="0"/>
              <w:snapToGrid w:val="0"/>
              <w:jc w:val="left"/>
              <w:rPr>
                <w:rFonts w:ascii="宋体" w:hAnsi="宋体"/>
                <w:kern w:val="0"/>
                <w:sz w:val="24"/>
              </w:rPr>
            </w:pPr>
          </w:p>
        </w:tc>
        <w:tc>
          <w:tcPr>
            <w:tcW w:w="2384" w:type="dxa"/>
          </w:tcPr>
          <w:p w14:paraId="5C1B3071">
            <w:pPr>
              <w:autoSpaceDE w:val="0"/>
              <w:autoSpaceDN w:val="0"/>
              <w:adjustRightInd w:val="0"/>
              <w:snapToGrid w:val="0"/>
              <w:jc w:val="left"/>
              <w:rPr>
                <w:rFonts w:ascii="宋体" w:hAnsi="宋体"/>
                <w:kern w:val="0"/>
                <w:sz w:val="24"/>
              </w:rPr>
            </w:pPr>
          </w:p>
        </w:tc>
      </w:tr>
      <w:tr w14:paraId="51F564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0B14C88F">
            <w:pPr>
              <w:autoSpaceDE w:val="0"/>
              <w:autoSpaceDN w:val="0"/>
              <w:adjustRightInd w:val="0"/>
              <w:snapToGrid w:val="0"/>
              <w:jc w:val="left"/>
              <w:rPr>
                <w:rFonts w:ascii="宋体" w:hAnsi="宋体"/>
                <w:kern w:val="0"/>
                <w:sz w:val="24"/>
              </w:rPr>
            </w:pPr>
          </w:p>
        </w:tc>
        <w:tc>
          <w:tcPr>
            <w:tcW w:w="2381" w:type="dxa"/>
          </w:tcPr>
          <w:p w14:paraId="1747DA00">
            <w:pPr>
              <w:autoSpaceDE w:val="0"/>
              <w:autoSpaceDN w:val="0"/>
              <w:adjustRightInd w:val="0"/>
              <w:snapToGrid w:val="0"/>
              <w:jc w:val="left"/>
              <w:rPr>
                <w:rFonts w:ascii="宋体" w:hAnsi="宋体"/>
                <w:kern w:val="0"/>
                <w:sz w:val="24"/>
              </w:rPr>
            </w:pPr>
          </w:p>
        </w:tc>
        <w:tc>
          <w:tcPr>
            <w:tcW w:w="2383" w:type="dxa"/>
          </w:tcPr>
          <w:p w14:paraId="44ACEBCF">
            <w:pPr>
              <w:autoSpaceDE w:val="0"/>
              <w:autoSpaceDN w:val="0"/>
              <w:adjustRightInd w:val="0"/>
              <w:snapToGrid w:val="0"/>
              <w:jc w:val="left"/>
              <w:rPr>
                <w:rFonts w:ascii="宋体" w:hAnsi="宋体"/>
                <w:kern w:val="0"/>
                <w:sz w:val="24"/>
              </w:rPr>
            </w:pPr>
          </w:p>
        </w:tc>
        <w:tc>
          <w:tcPr>
            <w:tcW w:w="2384" w:type="dxa"/>
          </w:tcPr>
          <w:p w14:paraId="38F681CE">
            <w:pPr>
              <w:autoSpaceDE w:val="0"/>
              <w:autoSpaceDN w:val="0"/>
              <w:adjustRightInd w:val="0"/>
              <w:snapToGrid w:val="0"/>
              <w:jc w:val="left"/>
              <w:rPr>
                <w:rFonts w:ascii="宋体" w:hAnsi="宋体"/>
                <w:kern w:val="0"/>
                <w:sz w:val="24"/>
              </w:rPr>
            </w:pPr>
          </w:p>
        </w:tc>
      </w:tr>
      <w:tr w14:paraId="257D6D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4B27BDEB">
            <w:pPr>
              <w:autoSpaceDE w:val="0"/>
              <w:autoSpaceDN w:val="0"/>
              <w:adjustRightInd w:val="0"/>
              <w:snapToGrid w:val="0"/>
              <w:jc w:val="left"/>
              <w:rPr>
                <w:rFonts w:ascii="宋体" w:hAnsi="宋体"/>
                <w:kern w:val="0"/>
                <w:sz w:val="24"/>
              </w:rPr>
            </w:pPr>
          </w:p>
        </w:tc>
        <w:tc>
          <w:tcPr>
            <w:tcW w:w="2381" w:type="dxa"/>
          </w:tcPr>
          <w:p w14:paraId="611ECD2C">
            <w:pPr>
              <w:autoSpaceDE w:val="0"/>
              <w:autoSpaceDN w:val="0"/>
              <w:adjustRightInd w:val="0"/>
              <w:snapToGrid w:val="0"/>
              <w:jc w:val="left"/>
              <w:rPr>
                <w:rFonts w:ascii="宋体" w:hAnsi="宋体"/>
                <w:kern w:val="0"/>
                <w:sz w:val="24"/>
              </w:rPr>
            </w:pPr>
          </w:p>
        </w:tc>
        <w:tc>
          <w:tcPr>
            <w:tcW w:w="2383" w:type="dxa"/>
          </w:tcPr>
          <w:p w14:paraId="7518CF68">
            <w:pPr>
              <w:autoSpaceDE w:val="0"/>
              <w:autoSpaceDN w:val="0"/>
              <w:adjustRightInd w:val="0"/>
              <w:snapToGrid w:val="0"/>
              <w:jc w:val="left"/>
              <w:rPr>
                <w:rFonts w:ascii="宋体" w:hAnsi="宋体"/>
                <w:kern w:val="0"/>
                <w:sz w:val="24"/>
              </w:rPr>
            </w:pPr>
          </w:p>
        </w:tc>
        <w:tc>
          <w:tcPr>
            <w:tcW w:w="2384" w:type="dxa"/>
          </w:tcPr>
          <w:p w14:paraId="5EA0ADB9">
            <w:pPr>
              <w:autoSpaceDE w:val="0"/>
              <w:autoSpaceDN w:val="0"/>
              <w:adjustRightInd w:val="0"/>
              <w:snapToGrid w:val="0"/>
              <w:jc w:val="left"/>
              <w:rPr>
                <w:rFonts w:ascii="宋体" w:hAnsi="宋体"/>
                <w:kern w:val="0"/>
                <w:sz w:val="24"/>
              </w:rPr>
            </w:pPr>
          </w:p>
        </w:tc>
      </w:tr>
      <w:tr w14:paraId="656AF2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4787F43B">
            <w:pPr>
              <w:autoSpaceDE w:val="0"/>
              <w:autoSpaceDN w:val="0"/>
              <w:adjustRightInd w:val="0"/>
              <w:snapToGrid w:val="0"/>
              <w:jc w:val="left"/>
              <w:rPr>
                <w:rFonts w:ascii="宋体" w:hAnsi="宋体"/>
                <w:kern w:val="0"/>
                <w:sz w:val="24"/>
              </w:rPr>
            </w:pPr>
          </w:p>
        </w:tc>
        <w:tc>
          <w:tcPr>
            <w:tcW w:w="2381" w:type="dxa"/>
          </w:tcPr>
          <w:p w14:paraId="68C1472A">
            <w:pPr>
              <w:autoSpaceDE w:val="0"/>
              <w:autoSpaceDN w:val="0"/>
              <w:adjustRightInd w:val="0"/>
              <w:snapToGrid w:val="0"/>
              <w:jc w:val="left"/>
              <w:rPr>
                <w:rFonts w:ascii="宋体" w:hAnsi="宋体"/>
                <w:kern w:val="0"/>
                <w:sz w:val="24"/>
              </w:rPr>
            </w:pPr>
          </w:p>
        </w:tc>
        <w:tc>
          <w:tcPr>
            <w:tcW w:w="2383" w:type="dxa"/>
          </w:tcPr>
          <w:p w14:paraId="1E3CEB16">
            <w:pPr>
              <w:autoSpaceDE w:val="0"/>
              <w:autoSpaceDN w:val="0"/>
              <w:adjustRightInd w:val="0"/>
              <w:snapToGrid w:val="0"/>
              <w:jc w:val="left"/>
              <w:rPr>
                <w:rFonts w:ascii="宋体" w:hAnsi="宋体"/>
                <w:kern w:val="0"/>
                <w:sz w:val="24"/>
              </w:rPr>
            </w:pPr>
          </w:p>
        </w:tc>
        <w:tc>
          <w:tcPr>
            <w:tcW w:w="2384" w:type="dxa"/>
          </w:tcPr>
          <w:p w14:paraId="635B05C7">
            <w:pPr>
              <w:autoSpaceDE w:val="0"/>
              <w:autoSpaceDN w:val="0"/>
              <w:adjustRightInd w:val="0"/>
              <w:snapToGrid w:val="0"/>
              <w:jc w:val="left"/>
              <w:rPr>
                <w:rFonts w:ascii="宋体" w:hAnsi="宋体"/>
                <w:kern w:val="0"/>
                <w:sz w:val="24"/>
              </w:rPr>
            </w:pPr>
          </w:p>
        </w:tc>
      </w:tr>
    </w:tbl>
    <w:p w14:paraId="6BAD179D">
      <w:pPr>
        <w:autoSpaceDE w:val="0"/>
        <w:autoSpaceDN w:val="0"/>
        <w:adjustRightInd w:val="0"/>
        <w:snapToGrid w:val="0"/>
        <w:spacing w:line="20" w:lineRule="exact"/>
        <w:jc w:val="left"/>
        <w:rPr>
          <w:rFonts w:ascii="宋体" w:hAnsi="宋体"/>
          <w:kern w:val="0"/>
        </w:rPr>
      </w:pPr>
    </w:p>
    <w:p w14:paraId="058B201C">
      <w:pPr>
        <w:autoSpaceDE w:val="0"/>
        <w:autoSpaceDN w:val="0"/>
        <w:adjustRightInd w:val="0"/>
        <w:snapToGrid w:val="0"/>
        <w:spacing w:line="360" w:lineRule="auto"/>
        <w:jc w:val="center"/>
        <w:rPr>
          <w:rFonts w:ascii="宋体" w:hAnsi="宋体"/>
          <w:sz w:val="36"/>
          <w:szCs w:val="36"/>
        </w:rPr>
      </w:pPr>
      <w:r>
        <w:rPr>
          <w:rFonts w:ascii="宋体" w:hAnsi="宋体"/>
          <w:sz w:val="36"/>
          <w:szCs w:val="36"/>
        </w:rPr>
        <w:br w:type="page"/>
      </w:r>
    </w:p>
    <w:p w14:paraId="6E0BB162">
      <w:pPr>
        <w:pStyle w:val="4"/>
        <w:spacing w:line="360" w:lineRule="auto"/>
        <w:jc w:val="center"/>
        <w:rPr>
          <w:rFonts w:ascii="宋体" w:hAnsi="宋体"/>
          <w:b w:val="0"/>
          <w:bCs w:val="0"/>
          <w:sz w:val="44"/>
          <w:szCs w:val="44"/>
        </w:rPr>
      </w:pPr>
      <w:bookmarkStart w:id="1575" w:name="_Toc277082656"/>
      <w:bookmarkStart w:id="1576" w:name="_Toc430530545"/>
      <w:bookmarkStart w:id="1577" w:name="_Toc287607882"/>
      <w:bookmarkStart w:id="1578" w:name="_Toc287620829"/>
      <w:bookmarkStart w:id="1579" w:name="_Toc224103510"/>
      <w:bookmarkStart w:id="1580" w:name="_Toc27141"/>
      <w:bookmarkStart w:id="1581" w:name="_Toc216768235"/>
      <w:r>
        <w:rPr>
          <w:rFonts w:hint="eastAsia" w:ascii="宋体" w:hAnsi="宋体"/>
          <w:b w:val="0"/>
          <w:bCs w:val="0"/>
          <w:sz w:val="44"/>
          <w:szCs w:val="44"/>
        </w:rPr>
        <w:t>四、</w:t>
      </w:r>
      <w:bookmarkEnd w:id="1575"/>
      <w:bookmarkEnd w:id="1576"/>
      <w:bookmarkEnd w:id="1577"/>
      <w:bookmarkEnd w:id="1578"/>
      <w:bookmarkEnd w:id="1579"/>
      <w:r>
        <w:rPr>
          <w:rFonts w:hint="eastAsia" w:ascii="宋体" w:hAnsi="宋体"/>
          <w:b w:val="0"/>
          <w:bCs w:val="0"/>
          <w:sz w:val="44"/>
          <w:szCs w:val="44"/>
        </w:rPr>
        <w:t>资格审查部分</w:t>
      </w:r>
      <w:bookmarkEnd w:id="1580"/>
      <w:bookmarkEnd w:id="1581"/>
    </w:p>
    <w:p w14:paraId="5C14E42F">
      <w:pPr>
        <w:spacing w:line="360" w:lineRule="auto"/>
        <w:rPr>
          <w:rFonts w:ascii="宋体" w:hAnsi="宋体"/>
          <w:sz w:val="32"/>
          <w:szCs w:val="32"/>
        </w:rPr>
      </w:pPr>
    </w:p>
    <w:p w14:paraId="60D273D0">
      <w:pPr>
        <w:spacing w:line="360" w:lineRule="auto"/>
        <w:rPr>
          <w:rFonts w:ascii="宋体" w:hAnsi="宋体"/>
          <w:sz w:val="32"/>
          <w:szCs w:val="32"/>
        </w:rPr>
      </w:pPr>
      <w:r>
        <w:rPr>
          <w:rFonts w:ascii="宋体" w:hAnsi="宋体"/>
          <w:sz w:val="32"/>
          <w:szCs w:val="32"/>
        </w:rPr>
        <w:br w:type="page"/>
      </w:r>
    </w:p>
    <w:p w14:paraId="5E6BD12E">
      <w:pPr>
        <w:spacing w:line="360" w:lineRule="auto"/>
        <w:jc w:val="center"/>
        <w:rPr>
          <w:rFonts w:ascii="宋体" w:hAnsi="宋体"/>
          <w:kern w:val="0"/>
          <w:sz w:val="32"/>
          <w:szCs w:val="32"/>
        </w:rPr>
      </w:pPr>
      <w:r>
        <w:rPr>
          <w:rFonts w:hint="eastAsia" w:ascii="宋体" w:hAnsi="宋体"/>
          <w:kern w:val="0"/>
          <w:sz w:val="32"/>
          <w:szCs w:val="32"/>
          <w:u w:val="single"/>
        </w:rPr>
        <w:t xml:space="preserve">                   （项目名称）</w:t>
      </w:r>
    </w:p>
    <w:p w14:paraId="1C0076D3">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47385CE2">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4994857F">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3B018070">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rPr>
        <w:t>投 标 文 件</w:t>
      </w:r>
    </w:p>
    <w:p w14:paraId="593C9DB6">
      <w:pPr>
        <w:autoSpaceDE w:val="0"/>
        <w:autoSpaceDN w:val="0"/>
        <w:adjustRightInd w:val="0"/>
        <w:snapToGrid w:val="0"/>
        <w:spacing w:line="360" w:lineRule="auto"/>
        <w:jc w:val="left"/>
        <w:rPr>
          <w:rFonts w:ascii="宋体" w:hAnsi="宋体"/>
          <w:kern w:val="0"/>
          <w:sz w:val="16"/>
          <w:szCs w:val="16"/>
        </w:rPr>
      </w:pPr>
    </w:p>
    <w:p w14:paraId="703477E8">
      <w:pPr>
        <w:autoSpaceDE w:val="0"/>
        <w:autoSpaceDN w:val="0"/>
        <w:adjustRightInd w:val="0"/>
        <w:snapToGrid w:val="0"/>
        <w:spacing w:line="360" w:lineRule="auto"/>
        <w:jc w:val="center"/>
        <w:rPr>
          <w:rFonts w:ascii="宋体" w:hAnsi="宋体"/>
          <w:kern w:val="0"/>
          <w:sz w:val="36"/>
          <w:szCs w:val="36"/>
        </w:rPr>
      </w:pPr>
      <w:r>
        <w:rPr>
          <w:rFonts w:hint="eastAsia" w:ascii="宋体" w:hAnsi="宋体"/>
          <w:kern w:val="0"/>
          <w:sz w:val="36"/>
          <w:szCs w:val="36"/>
        </w:rPr>
        <w:t>资格审查部分</w:t>
      </w:r>
    </w:p>
    <w:p w14:paraId="38B0D111">
      <w:pPr>
        <w:autoSpaceDE w:val="0"/>
        <w:autoSpaceDN w:val="0"/>
        <w:adjustRightInd w:val="0"/>
        <w:snapToGrid w:val="0"/>
        <w:spacing w:line="360" w:lineRule="auto"/>
        <w:jc w:val="left"/>
        <w:rPr>
          <w:rFonts w:ascii="宋体" w:hAnsi="宋体" w:cs="MingLiU"/>
          <w:kern w:val="0"/>
          <w:sz w:val="20"/>
          <w:szCs w:val="20"/>
        </w:rPr>
      </w:pPr>
    </w:p>
    <w:p w14:paraId="532C138D">
      <w:pPr>
        <w:adjustRightInd w:val="0"/>
        <w:snapToGrid w:val="0"/>
        <w:spacing w:line="264" w:lineRule="auto"/>
        <w:rPr>
          <w:rFonts w:ascii="宋体" w:hAnsi="宋体"/>
          <w:szCs w:val="21"/>
        </w:rPr>
      </w:pPr>
    </w:p>
    <w:p w14:paraId="1B6D417D">
      <w:pPr>
        <w:autoSpaceDE w:val="0"/>
        <w:autoSpaceDN w:val="0"/>
        <w:adjustRightInd w:val="0"/>
        <w:snapToGrid w:val="0"/>
        <w:spacing w:line="360" w:lineRule="auto"/>
        <w:jc w:val="left"/>
        <w:rPr>
          <w:rFonts w:ascii="宋体" w:hAnsi="宋体" w:cs="MingLiU"/>
          <w:kern w:val="0"/>
          <w:sz w:val="20"/>
          <w:szCs w:val="20"/>
        </w:rPr>
      </w:pPr>
    </w:p>
    <w:p w14:paraId="6198B9A3">
      <w:pPr>
        <w:autoSpaceDE w:val="0"/>
        <w:autoSpaceDN w:val="0"/>
        <w:adjustRightInd w:val="0"/>
        <w:snapToGrid w:val="0"/>
        <w:spacing w:line="360" w:lineRule="auto"/>
        <w:jc w:val="left"/>
        <w:rPr>
          <w:rFonts w:ascii="宋体" w:hAnsi="宋体" w:cs="MingLiU"/>
          <w:kern w:val="0"/>
          <w:sz w:val="20"/>
          <w:szCs w:val="20"/>
        </w:rPr>
      </w:pPr>
    </w:p>
    <w:p w14:paraId="588DD5BD">
      <w:pPr>
        <w:autoSpaceDE w:val="0"/>
        <w:autoSpaceDN w:val="0"/>
        <w:adjustRightInd w:val="0"/>
        <w:snapToGrid w:val="0"/>
        <w:spacing w:line="360" w:lineRule="auto"/>
        <w:jc w:val="left"/>
        <w:rPr>
          <w:rFonts w:ascii="宋体" w:hAnsi="宋体" w:cs="MingLiU"/>
          <w:kern w:val="0"/>
          <w:sz w:val="20"/>
          <w:szCs w:val="20"/>
        </w:rPr>
      </w:pPr>
    </w:p>
    <w:p w14:paraId="5818C3E7">
      <w:pPr>
        <w:autoSpaceDE w:val="0"/>
        <w:autoSpaceDN w:val="0"/>
        <w:adjustRightInd w:val="0"/>
        <w:snapToGrid w:val="0"/>
        <w:spacing w:line="360" w:lineRule="auto"/>
        <w:jc w:val="left"/>
        <w:rPr>
          <w:rFonts w:ascii="宋体" w:hAnsi="宋体" w:cs="MingLiU"/>
          <w:kern w:val="0"/>
          <w:sz w:val="20"/>
          <w:szCs w:val="20"/>
        </w:rPr>
      </w:pPr>
    </w:p>
    <w:p w14:paraId="032852F2">
      <w:pPr>
        <w:autoSpaceDE w:val="0"/>
        <w:autoSpaceDN w:val="0"/>
        <w:adjustRightInd w:val="0"/>
        <w:snapToGrid w:val="0"/>
        <w:spacing w:line="360" w:lineRule="auto"/>
        <w:jc w:val="left"/>
        <w:rPr>
          <w:rFonts w:ascii="宋体" w:hAnsi="宋体" w:cs="MingLiU"/>
          <w:kern w:val="0"/>
          <w:sz w:val="20"/>
          <w:szCs w:val="20"/>
        </w:rPr>
      </w:pPr>
    </w:p>
    <w:p w14:paraId="232CEF4A">
      <w:pPr>
        <w:autoSpaceDE w:val="0"/>
        <w:autoSpaceDN w:val="0"/>
        <w:adjustRightInd w:val="0"/>
        <w:snapToGrid w:val="0"/>
        <w:spacing w:line="360" w:lineRule="auto"/>
        <w:jc w:val="left"/>
        <w:rPr>
          <w:rFonts w:ascii="宋体" w:hAnsi="宋体" w:cs="MingLiU"/>
          <w:kern w:val="0"/>
          <w:sz w:val="20"/>
          <w:szCs w:val="20"/>
        </w:rPr>
      </w:pPr>
    </w:p>
    <w:p w14:paraId="66AA556A">
      <w:pPr>
        <w:autoSpaceDE w:val="0"/>
        <w:autoSpaceDN w:val="0"/>
        <w:adjustRightInd w:val="0"/>
        <w:snapToGrid w:val="0"/>
        <w:spacing w:line="360" w:lineRule="auto"/>
        <w:jc w:val="left"/>
        <w:rPr>
          <w:rFonts w:ascii="宋体" w:hAnsi="宋体" w:cs="MingLiU"/>
          <w:kern w:val="0"/>
          <w:sz w:val="20"/>
          <w:szCs w:val="20"/>
        </w:rPr>
      </w:pPr>
    </w:p>
    <w:p w14:paraId="416BCC5F">
      <w:pPr>
        <w:autoSpaceDE w:val="0"/>
        <w:autoSpaceDN w:val="0"/>
        <w:adjustRightInd w:val="0"/>
        <w:snapToGrid w:val="0"/>
        <w:spacing w:line="360" w:lineRule="auto"/>
        <w:jc w:val="left"/>
        <w:rPr>
          <w:rFonts w:ascii="宋体" w:hAnsi="宋体" w:cs="MingLiU"/>
          <w:kern w:val="0"/>
          <w:sz w:val="20"/>
          <w:szCs w:val="20"/>
        </w:rPr>
      </w:pPr>
    </w:p>
    <w:p w14:paraId="0D6E923F">
      <w:pPr>
        <w:autoSpaceDE w:val="0"/>
        <w:autoSpaceDN w:val="0"/>
        <w:adjustRightInd w:val="0"/>
        <w:snapToGrid w:val="0"/>
        <w:spacing w:line="360" w:lineRule="auto"/>
        <w:jc w:val="left"/>
        <w:rPr>
          <w:rFonts w:ascii="宋体" w:hAnsi="宋体" w:cs="MingLiU"/>
          <w:kern w:val="0"/>
          <w:sz w:val="20"/>
          <w:szCs w:val="20"/>
        </w:rPr>
      </w:pPr>
    </w:p>
    <w:p w14:paraId="6C64C0A3">
      <w:pPr>
        <w:autoSpaceDE w:val="0"/>
        <w:autoSpaceDN w:val="0"/>
        <w:adjustRightInd w:val="0"/>
        <w:snapToGrid w:val="0"/>
        <w:spacing w:line="360" w:lineRule="auto"/>
        <w:jc w:val="left"/>
        <w:rPr>
          <w:rFonts w:ascii="宋体" w:hAnsi="宋体" w:cs="MingLiU"/>
          <w:kern w:val="0"/>
          <w:sz w:val="20"/>
          <w:szCs w:val="20"/>
        </w:rPr>
      </w:pPr>
    </w:p>
    <w:p w14:paraId="245CC057">
      <w:pPr>
        <w:autoSpaceDE w:val="0"/>
        <w:autoSpaceDN w:val="0"/>
        <w:adjustRightInd w:val="0"/>
        <w:snapToGrid w:val="0"/>
        <w:spacing w:line="360" w:lineRule="auto"/>
        <w:jc w:val="left"/>
        <w:rPr>
          <w:rFonts w:ascii="宋体" w:hAnsi="宋体" w:cs="MingLiU"/>
          <w:kern w:val="0"/>
          <w:sz w:val="20"/>
          <w:szCs w:val="20"/>
        </w:rPr>
      </w:pPr>
    </w:p>
    <w:p w14:paraId="03FE73F2">
      <w:pPr>
        <w:autoSpaceDE w:val="0"/>
        <w:autoSpaceDN w:val="0"/>
        <w:adjustRightInd w:val="0"/>
        <w:snapToGrid w:val="0"/>
        <w:spacing w:line="360" w:lineRule="auto"/>
        <w:jc w:val="left"/>
        <w:rPr>
          <w:rFonts w:ascii="宋体" w:hAnsi="宋体" w:cs="MingLiU"/>
          <w:kern w:val="0"/>
          <w:sz w:val="20"/>
          <w:szCs w:val="20"/>
        </w:rPr>
      </w:pPr>
    </w:p>
    <w:p w14:paraId="29A030AA">
      <w:pPr>
        <w:autoSpaceDE w:val="0"/>
        <w:autoSpaceDN w:val="0"/>
        <w:adjustRightInd w:val="0"/>
        <w:snapToGrid w:val="0"/>
        <w:spacing w:line="360" w:lineRule="auto"/>
        <w:jc w:val="left"/>
        <w:rPr>
          <w:rFonts w:ascii="宋体" w:hAnsi="宋体" w:cs="MingLiU"/>
          <w:kern w:val="0"/>
          <w:sz w:val="20"/>
          <w:szCs w:val="20"/>
        </w:rPr>
      </w:pPr>
    </w:p>
    <w:p w14:paraId="699D113F">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hint="eastAsia" w:ascii="宋体" w:hAnsi="宋体"/>
          <w:w w:val="99"/>
          <w:kern w:val="0"/>
          <w:sz w:val="28"/>
          <w:szCs w:val="28"/>
        </w:rPr>
        <w:t xml:space="preserve">   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w:t>
      </w:r>
      <w:r>
        <w:rPr>
          <w:rFonts w:hint="eastAsia" w:ascii="宋体" w:hAnsi="宋体"/>
          <w:w w:val="99"/>
          <w:kern w:val="0"/>
          <w:sz w:val="28"/>
          <w:szCs w:val="28"/>
        </w:rPr>
        <w:t>公</w:t>
      </w:r>
      <w:r>
        <w:rPr>
          <w:rFonts w:ascii="宋体" w:hAnsi="宋体"/>
          <w:w w:val="99"/>
          <w:kern w:val="0"/>
          <w:sz w:val="28"/>
          <w:szCs w:val="28"/>
        </w:rPr>
        <w:t>章）</w:t>
      </w:r>
    </w:p>
    <w:p w14:paraId="3A8FE0A0">
      <w:pPr>
        <w:tabs>
          <w:tab w:val="left" w:pos="6080"/>
          <w:tab w:val="left" w:pos="6640"/>
        </w:tabs>
        <w:autoSpaceDE w:val="0"/>
        <w:autoSpaceDN w:val="0"/>
        <w:adjustRightInd w:val="0"/>
        <w:snapToGrid w:val="0"/>
        <w:spacing w:line="48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14:paraId="39386306">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rPr>
      </w:pP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198"/>
          <w:kern w:val="0"/>
          <w:sz w:val="28"/>
          <w:szCs w:val="28"/>
          <w:u w:val="single"/>
        </w:rPr>
        <w:t xml:space="preserve"> </w:t>
      </w:r>
      <w:r>
        <w:rPr>
          <w:rFonts w:hint="eastAsia" w:ascii="宋体" w:hAnsi="宋体"/>
          <w:w w:val="198"/>
          <w:kern w:val="0"/>
          <w:sz w:val="28"/>
          <w:szCs w:val="28"/>
          <w:u w:val="single"/>
        </w:rPr>
        <w:t xml:space="preserve"> </w:t>
      </w:r>
      <w:r>
        <w:rPr>
          <w:rFonts w:ascii="宋体" w:hAnsi="宋体"/>
          <w:w w:val="99"/>
          <w:kern w:val="0"/>
          <w:sz w:val="28"/>
          <w:szCs w:val="28"/>
        </w:rPr>
        <w:t>日</w:t>
      </w:r>
    </w:p>
    <w:p w14:paraId="79BD418F">
      <w:pPr>
        <w:autoSpaceDE w:val="0"/>
        <w:autoSpaceDN w:val="0"/>
        <w:adjustRightInd w:val="0"/>
        <w:snapToGrid w:val="0"/>
        <w:jc w:val="center"/>
        <w:rPr>
          <w:rFonts w:ascii="宋体" w:hAnsi="宋体"/>
          <w:kern w:val="0"/>
          <w:sz w:val="36"/>
          <w:szCs w:val="36"/>
        </w:rPr>
      </w:pPr>
    </w:p>
    <w:p w14:paraId="1CA1DECF">
      <w:pPr>
        <w:autoSpaceDE w:val="0"/>
        <w:autoSpaceDN w:val="0"/>
        <w:adjustRightInd w:val="0"/>
        <w:snapToGrid w:val="0"/>
        <w:jc w:val="center"/>
        <w:rPr>
          <w:rFonts w:ascii="宋体" w:hAnsi="宋体"/>
          <w:kern w:val="0"/>
          <w:sz w:val="36"/>
          <w:szCs w:val="36"/>
        </w:rPr>
      </w:pPr>
      <w:r>
        <w:rPr>
          <w:rFonts w:hint="eastAsia" w:ascii="宋体" w:hAnsi="宋体"/>
          <w:kern w:val="0"/>
          <w:sz w:val="36"/>
          <w:szCs w:val="36"/>
        </w:rPr>
        <w:t>目  录</w:t>
      </w:r>
    </w:p>
    <w:p w14:paraId="7023DFEB">
      <w:pPr>
        <w:spacing w:line="360" w:lineRule="auto"/>
        <w:jc w:val="center"/>
        <w:rPr>
          <w:rFonts w:ascii="宋体" w:hAnsi="宋体"/>
          <w:b/>
          <w:kern w:val="0"/>
          <w:sz w:val="32"/>
          <w:szCs w:val="32"/>
        </w:rPr>
      </w:pPr>
    </w:p>
    <w:p w14:paraId="69A9CBCA">
      <w:pPr>
        <w:spacing w:line="360" w:lineRule="auto"/>
        <w:ind w:firstLine="420" w:firstLineChars="200"/>
        <w:rPr>
          <w:rFonts w:ascii="宋体" w:hAnsi="宋体"/>
        </w:rPr>
      </w:pPr>
      <w:r>
        <w:rPr>
          <w:rFonts w:ascii="宋体" w:hAnsi="宋体"/>
        </w:rPr>
        <w:t>（一）</w:t>
      </w:r>
      <w:r>
        <w:rPr>
          <w:rFonts w:hint="eastAsia" w:ascii="宋体" w:hAnsi="宋体"/>
        </w:rPr>
        <w:t>法定代表人身份证明或附有法定代表人身份证明的授权委托书</w:t>
      </w:r>
    </w:p>
    <w:p w14:paraId="71C757E1">
      <w:pPr>
        <w:spacing w:line="360" w:lineRule="auto"/>
        <w:ind w:firstLine="420" w:firstLineChars="200"/>
        <w:rPr>
          <w:rFonts w:ascii="宋体" w:hAnsi="宋体"/>
        </w:rPr>
      </w:pPr>
      <w:r>
        <w:rPr>
          <w:rFonts w:ascii="宋体" w:hAnsi="宋体"/>
        </w:rPr>
        <w:t>（二）</w:t>
      </w:r>
      <w:r>
        <w:rPr>
          <w:rFonts w:hint="eastAsia" w:ascii="宋体" w:hAnsi="宋体"/>
        </w:rPr>
        <w:t>投标人</w:t>
      </w:r>
      <w:r>
        <w:rPr>
          <w:rFonts w:ascii="宋体" w:hAnsi="宋体"/>
        </w:rPr>
        <w:t>基本情况表</w:t>
      </w:r>
    </w:p>
    <w:p w14:paraId="3E5F81FF">
      <w:pPr>
        <w:spacing w:line="360" w:lineRule="auto"/>
        <w:ind w:firstLine="420" w:firstLineChars="200"/>
        <w:rPr>
          <w:rFonts w:ascii="宋体" w:hAnsi="宋体"/>
        </w:rPr>
      </w:pPr>
      <w:r>
        <w:rPr>
          <w:rFonts w:ascii="宋体" w:hAnsi="宋体"/>
        </w:rPr>
        <w:t>（</w:t>
      </w:r>
      <w:r>
        <w:rPr>
          <w:rFonts w:hint="eastAsia" w:ascii="宋体" w:hAnsi="宋体"/>
        </w:rPr>
        <w:t>三</w:t>
      </w:r>
      <w:r>
        <w:rPr>
          <w:rFonts w:ascii="宋体" w:hAnsi="宋体"/>
        </w:rPr>
        <w:t>）项目管理机构</w:t>
      </w:r>
    </w:p>
    <w:p w14:paraId="626A1DF8">
      <w:pPr>
        <w:spacing w:line="360" w:lineRule="auto"/>
        <w:ind w:firstLine="420" w:firstLineChars="200"/>
        <w:rPr>
          <w:rFonts w:ascii="宋体" w:hAnsi="宋体"/>
        </w:rPr>
      </w:pPr>
      <w:r>
        <w:rPr>
          <w:rFonts w:ascii="宋体" w:hAnsi="宋体"/>
        </w:rPr>
        <w:t>（</w:t>
      </w:r>
      <w:r>
        <w:rPr>
          <w:rFonts w:hint="eastAsia" w:ascii="宋体" w:hAnsi="宋体"/>
        </w:rPr>
        <w:t>四</w:t>
      </w:r>
      <w:r>
        <w:rPr>
          <w:rFonts w:ascii="宋体" w:hAnsi="宋体"/>
        </w:rPr>
        <w:t>）近年财务状况表</w:t>
      </w:r>
    </w:p>
    <w:p w14:paraId="3321802E">
      <w:pPr>
        <w:spacing w:line="360" w:lineRule="auto"/>
        <w:ind w:firstLine="420" w:firstLineChars="200"/>
        <w:rPr>
          <w:rFonts w:ascii="宋体" w:hAnsi="宋体"/>
        </w:rPr>
      </w:pPr>
      <w:r>
        <w:rPr>
          <w:rFonts w:ascii="宋体" w:hAnsi="宋体"/>
        </w:rPr>
        <w:t>（</w:t>
      </w:r>
      <w:r>
        <w:rPr>
          <w:rFonts w:hint="eastAsia" w:ascii="宋体" w:hAnsi="宋体"/>
        </w:rPr>
        <w:t>五</w:t>
      </w:r>
      <w:r>
        <w:rPr>
          <w:rFonts w:ascii="宋体" w:hAnsi="宋体"/>
        </w:rPr>
        <w:t>）类似项目情况表</w:t>
      </w:r>
    </w:p>
    <w:p w14:paraId="0D6464EB">
      <w:pPr>
        <w:spacing w:line="360" w:lineRule="auto"/>
        <w:ind w:firstLine="420" w:firstLineChars="200"/>
        <w:rPr>
          <w:rFonts w:ascii="宋体" w:hAnsi="宋体"/>
        </w:rPr>
      </w:pPr>
      <w:r>
        <w:rPr>
          <w:rFonts w:ascii="宋体" w:hAnsi="宋体"/>
        </w:rPr>
        <w:t>（</w:t>
      </w:r>
      <w:r>
        <w:rPr>
          <w:rFonts w:hint="eastAsia" w:ascii="宋体" w:hAnsi="宋体"/>
        </w:rPr>
        <w:t>六</w:t>
      </w:r>
      <w:r>
        <w:rPr>
          <w:rFonts w:ascii="宋体" w:hAnsi="宋体"/>
        </w:rPr>
        <w:t>）</w:t>
      </w:r>
      <w:r>
        <w:rPr>
          <w:rFonts w:hint="eastAsia" w:ascii="宋体" w:hAnsi="宋体"/>
        </w:rPr>
        <w:t>承诺</w:t>
      </w:r>
    </w:p>
    <w:p w14:paraId="597431DE">
      <w:pPr>
        <w:spacing w:line="360" w:lineRule="auto"/>
        <w:ind w:firstLine="420" w:firstLineChars="200"/>
        <w:rPr>
          <w:rFonts w:ascii="宋体" w:hAnsi="宋体"/>
        </w:rPr>
      </w:pPr>
      <w:r>
        <w:rPr>
          <w:rFonts w:ascii="宋体" w:hAnsi="宋体"/>
        </w:rPr>
        <w:t>（</w:t>
      </w:r>
      <w:r>
        <w:rPr>
          <w:rFonts w:hint="eastAsia" w:ascii="宋体" w:hAnsi="宋体"/>
        </w:rPr>
        <w:t>七</w:t>
      </w:r>
      <w:r>
        <w:rPr>
          <w:rFonts w:ascii="宋体" w:hAnsi="宋体"/>
        </w:rPr>
        <w:t>）其他资料</w:t>
      </w:r>
    </w:p>
    <w:p w14:paraId="65997C6C">
      <w:pPr>
        <w:spacing w:line="360" w:lineRule="auto"/>
        <w:jc w:val="center"/>
        <w:rPr>
          <w:rFonts w:ascii="宋体" w:hAnsi="宋体"/>
          <w:b/>
          <w:kern w:val="0"/>
          <w:sz w:val="32"/>
          <w:szCs w:val="32"/>
        </w:rPr>
      </w:pPr>
    </w:p>
    <w:p w14:paraId="03DF49F8">
      <w:pPr>
        <w:spacing w:line="360" w:lineRule="auto"/>
        <w:jc w:val="center"/>
        <w:rPr>
          <w:rFonts w:ascii="宋体" w:hAnsi="宋体"/>
          <w:b/>
          <w:kern w:val="0"/>
          <w:sz w:val="32"/>
          <w:szCs w:val="32"/>
        </w:rPr>
      </w:pPr>
    </w:p>
    <w:p w14:paraId="4F09D172">
      <w:pPr>
        <w:pStyle w:val="5"/>
        <w:jc w:val="center"/>
        <w:rPr>
          <w:rFonts w:ascii="宋体" w:hAnsi="宋体"/>
          <w:snapToGrid w:val="0"/>
          <w:kern w:val="0"/>
          <w:sz w:val="30"/>
          <w:szCs w:val="30"/>
        </w:rPr>
      </w:pPr>
      <w:r>
        <w:rPr>
          <w:rFonts w:ascii="宋体" w:hAnsi="宋体"/>
        </w:rPr>
        <w:br w:type="page"/>
      </w:r>
      <w:bookmarkStart w:id="1582" w:name="_Toc216768236"/>
      <w:bookmarkStart w:id="1583" w:name="_Toc26444"/>
      <w:bookmarkStart w:id="1584" w:name="_Toc5633"/>
      <w:bookmarkStart w:id="1585" w:name="_Toc277082657"/>
      <w:bookmarkStart w:id="1586" w:name="_Toc287620830"/>
      <w:bookmarkStart w:id="1587" w:name="_Toc430530546"/>
      <w:bookmarkStart w:id="1588" w:name="_Toc287607883"/>
      <w:bookmarkStart w:id="1589" w:name="_Toc224103511"/>
      <w:r>
        <w:rPr>
          <w:sz w:val="30"/>
          <w:szCs w:val="30"/>
        </w:rPr>
        <w:t>（一）</w:t>
      </w:r>
      <w:r>
        <w:rPr>
          <w:rFonts w:hint="eastAsia"/>
          <w:sz w:val="30"/>
          <w:szCs w:val="30"/>
        </w:rPr>
        <w:t>法定代表人身份证明或附有法定代表人身份证明的授权委托书</w:t>
      </w:r>
      <w:bookmarkEnd w:id="1582"/>
      <w:bookmarkEnd w:id="1583"/>
      <w:bookmarkEnd w:id="1584"/>
    </w:p>
    <w:p w14:paraId="7EAFBCA8">
      <w:pPr>
        <w:spacing w:line="480" w:lineRule="auto"/>
        <w:jc w:val="center"/>
        <w:rPr>
          <w:rFonts w:ascii="宋体" w:hAnsi="宋体"/>
          <w:sz w:val="28"/>
        </w:rPr>
      </w:pPr>
      <w:r>
        <w:rPr>
          <w:rFonts w:hint="eastAsia" w:ascii="宋体" w:hAnsi="宋体"/>
          <w:sz w:val="28"/>
        </w:rPr>
        <w:t>法定代表人身份证明</w:t>
      </w:r>
    </w:p>
    <w:p w14:paraId="1575C946">
      <w:pPr>
        <w:spacing w:line="480" w:lineRule="auto"/>
        <w:jc w:val="center"/>
        <w:rPr>
          <w:rFonts w:ascii="宋体" w:hAnsi="宋体"/>
        </w:rPr>
      </w:pPr>
    </w:p>
    <w:p w14:paraId="0481313B">
      <w:pPr>
        <w:tabs>
          <w:tab w:val="left" w:pos="5565"/>
        </w:tabs>
        <w:autoSpaceDE w:val="0"/>
        <w:autoSpaceDN w:val="0"/>
        <w:adjustRightInd w:val="0"/>
        <w:snapToGrid w:val="0"/>
        <w:spacing w:line="480" w:lineRule="auto"/>
        <w:ind w:firstLine="390" w:firstLineChars="186"/>
        <w:jc w:val="left"/>
        <w:rPr>
          <w:rFonts w:ascii="宋体" w:hAnsi="宋体"/>
          <w:kern w:val="0"/>
          <w:szCs w:val="21"/>
        </w:rPr>
      </w:pPr>
      <w:r>
        <w:rPr>
          <w:rFonts w:hint="eastAsia" w:ascii="宋体" w:hAnsi="宋体"/>
          <w:kern w:val="0"/>
          <w:szCs w:val="21"/>
        </w:rPr>
        <w:t>投标人</w:t>
      </w:r>
      <w:r>
        <w:rPr>
          <w:rFonts w:ascii="宋体" w:hAnsi="宋体"/>
          <w:kern w:val="0"/>
          <w:szCs w:val="21"/>
        </w:rPr>
        <w:t>名称：</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45FA9516">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67F9A3E9">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17A43A85">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5C39E672">
      <w:pPr>
        <w:tabs>
          <w:tab w:val="left" w:pos="5475"/>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331BA806">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14:paraId="09D054C9">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u w:val="single"/>
        </w:rPr>
        <w:t>投标人</w:t>
      </w:r>
      <w:r>
        <w:rPr>
          <w:rFonts w:ascii="宋体" w:hAnsi="宋体"/>
          <w:kern w:val="0"/>
          <w:szCs w:val="21"/>
          <w:u w:val="single"/>
        </w:rPr>
        <w:t>名称）</w:t>
      </w:r>
      <w:r>
        <w:rPr>
          <w:rFonts w:ascii="宋体" w:hAnsi="宋体"/>
          <w:kern w:val="0"/>
          <w:szCs w:val="21"/>
        </w:rPr>
        <w:t>的法定代表人。</w:t>
      </w:r>
    </w:p>
    <w:p w14:paraId="1D18E754">
      <w:pPr>
        <w:tabs>
          <w:tab w:val="left" w:pos="3360"/>
        </w:tabs>
        <w:autoSpaceDE w:val="0"/>
        <w:autoSpaceDN w:val="0"/>
        <w:adjustRightInd w:val="0"/>
        <w:snapToGrid w:val="0"/>
        <w:spacing w:line="480" w:lineRule="auto"/>
        <w:ind w:firstLine="390" w:firstLineChars="186"/>
        <w:jc w:val="left"/>
        <w:rPr>
          <w:rFonts w:ascii="宋体" w:hAnsi="宋体"/>
          <w:kern w:val="0"/>
          <w:szCs w:val="21"/>
        </w:rPr>
      </w:pPr>
      <w:r>
        <w:rPr>
          <w:rFonts w:ascii="宋体" w:hAnsi="宋体"/>
          <w:kern w:val="0"/>
          <w:szCs w:val="21"/>
        </w:rPr>
        <w:t>特此证明。</w:t>
      </w:r>
    </w:p>
    <w:p w14:paraId="10ABBD4D">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附：法定代表人身份证复印件（双面）</w:t>
      </w:r>
    </w:p>
    <w:p w14:paraId="07AEFD80">
      <w:pPr>
        <w:autoSpaceDE w:val="0"/>
        <w:autoSpaceDN w:val="0"/>
        <w:adjustRightInd w:val="0"/>
        <w:snapToGrid w:val="0"/>
        <w:spacing w:line="360" w:lineRule="auto"/>
        <w:jc w:val="left"/>
        <w:rPr>
          <w:rFonts w:ascii="宋体" w:hAnsi="宋体"/>
          <w:szCs w:val="21"/>
        </w:rPr>
      </w:pPr>
    </w:p>
    <w:p w14:paraId="71B7858D">
      <w:pPr>
        <w:pStyle w:val="2"/>
        <w:spacing w:after="0" w:line="360" w:lineRule="auto"/>
        <w:rPr>
          <w:rFonts w:ascii="宋体" w:hAnsi="宋体"/>
          <w:szCs w:val="21"/>
        </w:rPr>
      </w:pPr>
    </w:p>
    <w:p w14:paraId="0B96114D">
      <w:pPr>
        <w:pStyle w:val="2"/>
        <w:spacing w:after="0" w:line="360" w:lineRule="auto"/>
        <w:rPr>
          <w:rFonts w:ascii="宋体" w:hAnsi="宋体"/>
          <w:szCs w:val="21"/>
        </w:rPr>
      </w:pPr>
    </w:p>
    <w:p w14:paraId="61B463E6">
      <w:pPr>
        <w:pStyle w:val="2"/>
        <w:spacing w:after="0" w:line="360" w:lineRule="auto"/>
        <w:rPr>
          <w:rFonts w:ascii="宋体" w:hAnsi="宋体"/>
          <w:szCs w:val="21"/>
        </w:rPr>
      </w:pPr>
    </w:p>
    <w:p w14:paraId="02402157">
      <w:pPr>
        <w:pStyle w:val="2"/>
        <w:spacing w:after="0" w:line="360" w:lineRule="auto"/>
        <w:rPr>
          <w:rFonts w:ascii="宋体" w:hAnsi="宋体"/>
          <w:szCs w:val="21"/>
        </w:rPr>
      </w:pPr>
    </w:p>
    <w:p w14:paraId="2B11B520">
      <w:pPr>
        <w:pStyle w:val="2"/>
        <w:spacing w:after="0" w:line="360" w:lineRule="auto"/>
        <w:rPr>
          <w:rFonts w:ascii="宋体" w:hAnsi="宋体"/>
          <w:szCs w:val="21"/>
        </w:rPr>
      </w:pPr>
    </w:p>
    <w:p w14:paraId="2C5B35CA">
      <w:pPr>
        <w:autoSpaceDE w:val="0"/>
        <w:autoSpaceDN w:val="0"/>
        <w:adjustRightInd w:val="0"/>
        <w:snapToGrid w:val="0"/>
        <w:spacing w:line="480" w:lineRule="auto"/>
        <w:ind w:firstLine="810" w:firstLineChars="386"/>
        <w:jc w:val="right"/>
        <w:rPr>
          <w:rFonts w:ascii="宋体" w:hAnsi="宋体"/>
          <w:kern w:val="0"/>
          <w:szCs w:val="21"/>
        </w:rPr>
      </w:pPr>
      <w:r>
        <w:rPr>
          <w:rFonts w:hint="eastAsia" w:ascii="宋体" w:hAnsi="宋体"/>
          <w:kern w:val="0"/>
          <w:szCs w:val="21"/>
        </w:rPr>
        <w:t>投标人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w:t>
      </w:r>
      <w:r>
        <w:rPr>
          <w:rFonts w:hint="eastAsia" w:ascii="宋体" w:hAnsi="宋体"/>
          <w:kern w:val="0"/>
          <w:szCs w:val="21"/>
        </w:rPr>
        <w:t>公</w:t>
      </w:r>
      <w:r>
        <w:rPr>
          <w:rFonts w:ascii="宋体" w:hAnsi="宋体"/>
          <w:kern w:val="0"/>
          <w:szCs w:val="21"/>
        </w:rPr>
        <w:t>章）</w:t>
      </w:r>
    </w:p>
    <w:p w14:paraId="4642A62F">
      <w:pPr>
        <w:autoSpaceDE w:val="0"/>
        <w:autoSpaceDN w:val="0"/>
        <w:adjustRightInd w:val="0"/>
        <w:snapToGrid w:val="0"/>
        <w:spacing w:line="480" w:lineRule="auto"/>
        <w:jc w:val="left"/>
        <w:rPr>
          <w:rFonts w:ascii="宋体" w:hAnsi="宋体"/>
          <w:kern w:val="0"/>
          <w:sz w:val="20"/>
          <w:szCs w:val="20"/>
        </w:rPr>
      </w:pPr>
    </w:p>
    <w:p w14:paraId="425767DE">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73BDDD5F">
      <w:pPr>
        <w:autoSpaceDE w:val="0"/>
        <w:autoSpaceDN w:val="0"/>
        <w:adjustRightInd w:val="0"/>
        <w:snapToGrid w:val="0"/>
        <w:spacing w:line="360" w:lineRule="auto"/>
        <w:jc w:val="left"/>
        <w:rPr>
          <w:rFonts w:ascii="宋体" w:hAnsi="宋体"/>
          <w:kern w:val="0"/>
        </w:rPr>
      </w:pPr>
    </w:p>
    <w:p w14:paraId="30CB39FE">
      <w:pPr>
        <w:autoSpaceDE w:val="0"/>
        <w:autoSpaceDN w:val="0"/>
        <w:adjustRightInd w:val="0"/>
        <w:snapToGrid w:val="0"/>
        <w:spacing w:line="360" w:lineRule="auto"/>
        <w:jc w:val="left"/>
        <w:rPr>
          <w:rFonts w:ascii="宋体" w:hAnsi="宋体"/>
          <w:kern w:val="0"/>
        </w:rPr>
      </w:pPr>
    </w:p>
    <w:p w14:paraId="3CE361B7">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rPr>
      </w:pPr>
      <w:r>
        <w:t>注：法定代表人身份证明需按上述格式填写完整，不可缺少内容。在此基础上增加内容的不影响其有效性</w:t>
      </w:r>
      <w:bookmarkEnd w:id="1585"/>
      <w:bookmarkEnd w:id="1586"/>
      <w:bookmarkEnd w:id="1587"/>
      <w:bookmarkEnd w:id="1588"/>
      <w:bookmarkEnd w:id="1589"/>
      <w:r>
        <w:rPr>
          <w:rFonts w:hint="eastAsia" w:ascii="宋体" w:hAnsi="宋体"/>
          <w:kern w:val="0"/>
          <w:szCs w:val="21"/>
        </w:rPr>
        <w:t>。</w:t>
      </w:r>
    </w:p>
    <w:p w14:paraId="0D0F1757">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rPr>
      </w:pPr>
      <w:r>
        <w:rPr>
          <w:rFonts w:ascii="宋体" w:hAnsi="宋体"/>
          <w:b/>
          <w:kern w:val="0"/>
          <w:sz w:val="28"/>
          <w:szCs w:val="28"/>
        </w:rPr>
        <w:br w:type="page"/>
      </w:r>
      <w:r>
        <w:rPr>
          <w:rFonts w:ascii="宋体" w:hAnsi="宋体"/>
          <w:snapToGrid w:val="0"/>
          <w:kern w:val="0"/>
          <w:sz w:val="32"/>
          <w:szCs w:val="32"/>
        </w:rPr>
        <w:t>授权委托书</w:t>
      </w:r>
    </w:p>
    <w:p w14:paraId="6C3A414C">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hint="eastAsia" w:ascii="宋体" w:hAnsi="宋体"/>
          <w:spacing w:val="-1"/>
          <w:kern w:val="0"/>
          <w:szCs w:val="21"/>
          <w:u w:val="single"/>
        </w:rPr>
        <w:t>投标人</w:t>
      </w:r>
      <w:r>
        <w:rPr>
          <w:rFonts w:ascii="宋体" w:hAnsi="宋体"/>
          <w:kern w:val="0"/>
          <w:szCs w:val="21"/>
          <w:u w:val="single"/>
        </w:rPr>
        <w:t>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hint="eastAsia" w:ascii="宋体" w:hAnsi="宋体"/>
          <w:kern w:val="0"/>
          <w:szCs w:val="21"/>
        </w:rPr>
        <w:t>投标文件</w:t>
      </w:r>
      <w:r>
        <w:rPr>
          <w:rFonts w:ascii="宋体" w:hAnsi="宋体"/>
          <w:kern w:val="0"/>
          <w:szCs w:val="21"/>
        </w:rPr>
        <w:t>、签订合同和处理有关事宜， 其法律后果由我方承担。</w:t>
      </w:r>
    </w:p>
    <w:p w14:paraId="6A754DB3">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14:paraId="260002B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14:paraId="6402A3E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14:paraId="61831FE7">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hint="eastAsia" w:ascii="宋体" w:hAnsi="宋体"/>
          <w:kern w:val="0"/>
          <w:szCs w:val="21"/>
        </w:rPr>
        <w:t>投标人</w:t>
      </w:r>
      <w:r>
        <w:rPr>
          <w:rFonts w:ascii="宋体" w:hAnsi="宋体"/>
          <w:kern w:val="0"/>
          <w:szCs w:val="21"/>
        </w:rPr>
        <w:t>：</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w:t>
      </w:r>
      <w:r>
        <w:rPr>
          <w:rFonts w:hint="eastAsia" w:ascii="宋体" w:hAnsi="宋体"/>
          <w:spacing w:val="-1"/>
          <w:kern w:val="0"/>
          <w:szCs w:val="21"/>
        </w:rPr>
        <w:t>公</w:t>
      </w:r>
      <w:r>
        <w:rPr>
          <w:rFonts w:ascii="宋体" w:hAnsi="宋体"/>
          <w:spacing w:val="-1"/>
          <w:kern w:val="0"/>
          <w:szCs w:val="21"/>
        </w:rPr>
        <w:t>章</w:t>
      </w:r>
      <w:r>
        <w:rPr>
          <w:rFonts w:ascii="宋体" w:hAnsi="宋体"/>
          <w:kern w:val="0"/>
          <w:szCs w:val="21"/>
        </w:rPr>
        <w:t>）</w:t>
      </w:r>
    </w:p>
    <w:p w14:paraId="39BD3D6A">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34705408">
      <w:pPr>
        <w:tabs>
          <w:tab w:val="left" w:pos="5260"/>
        </w:tabs>
        <w:autoSpaceDE w:val="0"/>
        <w:autoSpaceDN w:val="0"/>
        <w:adjustRightInd w:val="0"/>
        <w:snapToGrid w:val="0"/>
        <w:spacing w:line="480" w:lineRule="auto"/>
        <w:ind w:firstLine="420" w:firstLineChars="20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77CA2335">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w:t>
      </w:r>
    </w:p>
    <w:p w14:paraId="06E9FDEC">
      <w:pPr>
        <w:tabs>
          <w:tab w:val="left" w:pos="6825"/>
        </w:tabs>
        <w:autoSpaceDE w:val="0"/>
        <w:autoSpaceDN w:val="0"/>
        <w:adjustRightInd w:val="0"/>
        <w:snapToGrid w:val="0"/>
        <w:spacing w:line="480" w:lineRule="auto"/>
        <w:ind w:firstLine="420" w:firstLineChars="20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3BCE5073">
      <w:pPr>
        <w:tabs>
          <w:tab w:val="left" w:pos="6825"/>
        </w:tabs>
        <w:autoSpaceDE w:val="0"/>
        <w:autoSpaceDN w:val="0"/>
        <w:adjustRightInd w:val="0"/>
        <w:snapToGrid w:val="0"/>
        <w:spacing w:line="480" w:lineRule="auto"/>
        <w:ind w:firstLine="420" w:firstLineChars="200"/>
        <w:jc w:val="left"/>
        <w:rPr>
          <w:rFonts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14:paraId="56468555">
      <w:pPr>
        <w:tabs>
          <w:tab w:val="left" w:pos="5260"/>
        </w:tabs>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rPr>
        <w:t xml:space="preserve">委托代理人电话（手机）：                                          </w:t>
      </w:r>
    </w:p>
    <w:p w14:paraId="476FE0A1">
      <w:pPr>
        <w:autoSpaceDE w:val="0"/>
        <w:autoSpaceDN w:val="0"/>
        <w:adjustRightInd w:val="0"/>
        <w:snapToGrid w:val="0"/>
        <w:spacing w:line="480" w:lineRule="auto"/>
        <w:ind w:firstLine="810" w:firstLineChars="386"/>
        <w:jc w:val="left"/>
        <w:rPr>
          <w:rFonts w:ascii="宋体" w:hAnsi="宋体"/>
          <w:kern w:val="0"/>
          <w:szCs w:val="21"/>
        </w:rPr>
      </w:pPr>
      <w:r>
        <w:rPr>
          <w:rFonts w:hint="eastAsia" w:ascii="宋体" w:hAnsi="宋体"/>
          <w:kern w:val="0"/>
          <w:szCs w:val="21"/>
        </w:rPr>
        <w:t>附：法定代表人和委托代理人身份证复印件（双面）</w:t>
      </w:r>
    </w:p>
    <w:p w14:paraId="60BC9FF0">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14:paraId="428A392F">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3A3ED684">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67B185DF">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759497C8">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4AB30CFF">
      <w:pPr>
        <w:tabs>
          <w:tab w:val="left" w:pos="6825"/>
        </w:tabs>
        <w:autoSpaceDE w:val="0"/>
        <w:autoSpaceDN w:val="0"/>
        <w:adjustRightInd w:val="0"/>
        <w:snapToGrid w:val="0"/>
        <w:spacing w:line="480" w:lineRule="auto"/>
        <w:ind w:firstLine="420" w:firstLineChars="200"/>
        <w:jc w:val="left"/>
        <w:rPr>
          <w:rFonts w:ascii="宋体" w:hAnsi="宋体"/>
          <w:kern w:val="0"/>
          <w:szCs w:val="21"/>
        </w:rPr>
      </w:pPr>
    </w:p>
    <w:p w14:paraId="5FB0EE30">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35CDF00B">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14:paraId="4568BB90">
      <w:pPr>
        <w:tabs>
          <w:tab w:val="left" w:pos="5760"/>
        </w:tabs>
        <w:autoSpaceDE w:val="0"/>
        <w:autoSpaceDN w:val="0"/>
        <w:adjustRightInd w:val="0"/>
        <w:spacing w:line="360" w:lineRule="auto"/>
        <w:ind w:firstLine="420" w:firstLineChars="20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798D6CB5">
      <w:pPr>
        <w:tabs>
          <w:tab w:val="left" w:pos="5760"/>
        </w:tabs>
        <w:autoSpaceDE w:val="0"/>
        <w:autoSpaceDN w:val="0"/>
        <w:adjustRightInd w:val="0"/>
        <w:spacing w:line="360" w:lineRule="auto"/>
        <w:ind w:firstLine="420" w:firstLineChars="200"/>
        <w:rPr>
          <w:rFonts w:ascii="宋体" w:hAnsi="宋体"/>
          <w:kern w:val="0"/>
          <w:szCs w:val="21"/>
        </w:rPr>
      </w:pPr>
      <w:r>
        <w:rPr>
          <w:rFonts w:ascii="宋体" w:hAnsi="宋体"/>
          <w:kern w:val="0"/>
          <w:szCs w:val="21"/>
        </w:rPr>
        <w:t>2、法定代表人身份证明及授权委托书原件装入</w:t>
      </w:r>
      <w:r>
        <w:rPr>
          <w:rFonts w:hint="eastAsia" w:ascii="宋体" w:hAnsi="宋体"/>
          <w:kern w:val="0"/>
          <w:szCs w:val="21"/>
        </w:rPr>
        <w:t>投标文件</w:t>
      </w:r>
      <w:r>
        <w:rPr>
          <w:rFonts w:ascii="宋体" w:hAnsi="宋体"/>
          <w:kern w:val="0"/>
          <w:szCs w:val="21"/>
        </w:rPr>
        <w:t>一并递交。另外须准备一份授权委托书原件在开标现场出具。</w:t>
      </w:r>
    </w:p>
    <w:p w14:paraId="4E205848">
      <w:pPr>
        <w:spacing w:line="360" w:lineRule="auto"/>
        <w:ind w:firstLine="420" w:firstLineChars="200"/>
        <w:rPr>
          <w:rFonts w:ascii="宋体" w:hAnsi="宋体"/>
        </w:rPr>
      </w:pPr>
      <w:r>
        <w:rPr>
          <w:rFonts w:hint="eastAsia" w:ascii="宋体" w:hAnsi="宋体"/>
          <w:kern w:val="0"/>
          <w:szCs w:val="21"/>
        </w:rPr>
        <w:t>3.</w:t>
      </w:r>
      <w:r>
        <w:rPr>
          <w:rFonts w:hint="eastAsia" w:ascii="宋体" w:hAnsi="宋体"/>
        </w:rPr>
        <w:t>授权委托书</w:t>
      </w:r>
      <w:r>
        <w:rPr>
          <w:rFonts w:ascii="宋体" w:hAnsi="宋体"/>
        </w:rPr>
        <w:t>需按上述格式填写完整，不可缺少内容。在此基础上增加内容的不影响其有效性。</w:t>
      </w:r>
    </w:p>
    <w:p w14:paraId="7A779698">
      <w:pPr>
        <w:pStyle w:val="5"/>
        <w:spacing w:before="0" w:after="0" w:line="240" w:lineRule="auto"/>
        <w:jc w:val="center"/>
        <w:rPr>
          <w:rFonts w:ascii="宋体" w:hAnsi="宋体"/>
        </w:rPr>
      </w:pPr>
      <w:bookmarkStart w:id="1590" w:name="_Toc430530547"/>
      <w:bookmarkStart w:id="1591" w:name="_Toc277082658"/>
      <w:bookmarkStart w:id="1592" w:name="_Toc287607884"/>
      <w:bookmarkStart w:id="1593" w:name="_Toc224103512"/>
      <w:bookmarkStart w:id="1594" w:name="_Toc287620831"/>
      <w:bookmarkStart w:id="1595" w:name="_Toc2153"/>
      <w:bookmarkStart w:id="1596" w:name="_Toc216768237"/>
      <w:r>
        <w:t>（二）</w:t>
      </w:r>
      <w:bookmarkEnd w:id="1590"/>
      <w:bookmarkEnd w:id="1591"/>
      <w:bookmarkEnd w:id="1592"/>
      <w:bookmarkEnd w:id="1593"/>
      <w:bookmarkEnd w:id="1594"/>
      <w:bookmarkStart w:id="1597" w:name="_Toc287607887"/>
      <w:bookmarkStart w:id="1598" w:name="_Toc277082659"/>
      <w:r>
        <w:rPr>
          <w:rFonts w:hint="eastAsia" w:ascii="宋体" w:hAnsi="宋体"/>
          <w:b w:val="0"/>
          <w:bCs w:val="0"/>
        </w:rPr>
        <w:t>投标人基本情况表</w:t>
      </w:r>
      <w:bookmarkEnd w:id="1595"/>
      <w:bookmarkEnd w:id="1596"/>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7F1E98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5D99F42">
            <w:pPr>
              <w:autoSpaceDE w:val="0"/>
              <w:autoSpaceDN w:val="0"/>
              <w:adjustRightInd w:val="0"/>
              <w:snapToGrid w:val="0"/>
              <w:jc w:val="center"/>
              <w:rPr>
                <w:rFonts w:ascii="宋体" w:hAnsi="宋体"/>
                <w:kern w:val="0"/>
                <w:szCs w:val="21"/>
              </w:rPr>
            </w:pPr>
            <w:r>
              <w:rPr>
                <w:rFonts w:hint="eastAsia" w:ascii="宋体" w:hAnsi="宋体" w:cs="MingLiU"/>
                <w:kern w:val="0"/>
                <w:szCs w:val="21"/>
              </w:rPr>
              <w:t>投标人名称</w:t>
            </w:r>
          </w:p>
        </w:tc>
        <w:tc>
          <w:tcPr>
            <w:tcW w:w="7607" w:type="dxa"/>
            <w:gridSpan w:val="9"/>
            <w:vAlign w:val="center"/>
          </w:tcPr>
          <w:p w14:paraId="253B3216">
            <w:pPr>
              <w:autoSpaceDE w:val="0"/>
              <w:autoSpaceDN w:val="0"/>
              <w:adjustRightInd w:val="0"/>
              <w:snapToGrid w:val="0"/>
              <w:jc w:val="center"/>
              <w:rPr>
                <w:rFonts w:ascii="宋体" w:hAnsi="宋体"/>
                <w:kern w:val="0"/>
                <w:szCs w:val="21"/>
              </w:rPr>
            </w:pPr>
          </w:p>
        </w:tc>
      </w:tr>
      <w:tr w14:paraId="618179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E76B5E2">
            <w:pPr>
              <w:autoSpaceDE w:val="0"/>
              <w:autoSpaceDN w:val="0"/>
              <w:adjustRightInd w:val="0"/>
              <w:snapToGrid w:val="0"/>
              <w:jc w:val="center"/>
              <w:rPr>
                <w:rFonts w:ascii="宋体" w:hAnsi="宋体"/>
                <w:kern w:val="0"/>
                <w:szCs w:val="21"/>
              </w:rPr>
            </w:pPr>
            <w:r>
              <w:rPr>
                <w:rFonts w:hint="eastAsia" w:ascii="宋体" w:hAnsi="宋体" w:cs="MingLiU"/>
                <w:kern w:val="0"/>
                <w:szCs w:val="21"/>
              </w:rPr>
              <w:t>注册地址</w:t>
            </w:r>
          </w:p>
        </w:tc>
        <w:tc>
          <w:tcPr>
            <w:tcW w:w="3450" w:type="dxa"/>
            <w:gridSpan w:val="5"/>
            <w:vAlign w:val="center"/>
          </w:tcPr>
          <w:p w14:paraId="754CD14A">
            <w:pPr>
              <w:autoSpaceDE w:val="0"/>
              <w:autoSpaceDN w:val="0"/>
              <w:adjustRightInd w:val="0"/>
              <w:snapToGrid w:val="0"/>
              <w:jc w:val="center"/>
              <w:rPr>
                <w:rFonts w:ascii="宋体" w:hAnsi="宋体"/>
                <w:kern w:val="0"/>
                <w:szCs w:val="21"/>
              </w:rPr>
            </w:pPr>
          </w:p>
        </w:tc>
        <w:tc>
          <w:tcPr>
            <w:tcW w:w="1392" w:type="dxa"/>
            <w:vAlign w:val="center"/>
          </w:tcPr>
          <w:p w14:paraId="14F451ED">
            <w:pPr>
              <w:autoSpaceDE w:val="0"/>
              <w:autoSpaceDN w:val="0"/>
              <w:adjustRightInd w:val="0"/>
              <w:snapToGrid w:val="0"/>
              <w:jc w:val="center"/>
              <w:rPr>
                <w:rFonts w:ascii="宋体" w:hAnsi="宋体"/>
                <w:kern w:val="0"/>
                <w:szCs w:val="21"/>
              </w:rPr>
            </w:pPr>
            <w:r>
              <w:rPr>
                <w:rFonts w:hint="eastAsia" w:ascii="宋体" w:hAnsi="宋体" w:cs="MingLiU"/>
                <w:kern w:val="0"/>
                <w:szCs w:val="21"/>
              </w:rPr>
              <w:t>邮政编码</w:t>
            </w:r>
          </w:p>
        </w:tc>
        <w:tc>
          <w:tcPr>
            <w:tcW w:w="2765" w:type="dxa"/>
            <w:gridSpan w:val="3"/>
            <w:vAlign w:val="center"/>
          </w:tcPr>
          <w:p w14:paraId="43DF6EE7">
            <w:pPr>
              <w:autoSpaceDE w:val="0"/>
              <w:autoSpaceDN w:val="0"/>
              <w:adjustRightInd w:val="0"/>
              <w:snapToGrid w:val="0"/>
              <w:jc w:val="center"/>
              <w:rPr>
                <w:rFonts w:ascii="宋体" w:hAnsi="宋体"/>
                <w:kern w:val="0"/>
                <w:szCs w:val="21"/>
              </w:rPr>
            </w:pPr>
          </w:p>
        </w:tc>
      </w:tr>
      <w:tr w14:paraId="11B815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365DCB8A">
            <w:pPr>
              <w:autoSpaceDE w:val="0"/>
              <w:autoSpaceDN w:val="0"/>
              <w:adjustRightInd w:val="0"/>
              <w:snapToGrid w:val="0"/>
              <w:jc w:val="center"/>
              <w:rPr>
                <w:rFonts w:ascii="宋体" w:hAnsi="宋体"/>
                <w:kern w:val="0"/>
                <w:szCs w:val="21"/>
              </w:rPr>
            </w:pPr>
            <w:r>
              <w:rPr>
                <w:rFonts w:hint="eastAsia" w:ascii="宋体" w:hAnsi="宋体" w:cs="MingLiU"/>
                <w:kern w:val="0"/>
                <w:szCs w:val="21"/>
              </w:rPr>
              <w:t>联系方式</w:t>
            </w:r>
          </w:p>
        </w:tc>
        <w:tc>
          <w:tcPr>
            <w:tcW w:w="967" w:type="dxa"/>
            <w:vAlign w:val="center"/>
          </w:tcPr>
          <w:p w14:paraId="3F1377AD">
            <w:pPr>
              <w:autoSpaceDE w:val="0"/>
              <w:autoSpaceDN w:val="0"/>
              <w:adjustRightInd w:val="0"/>
              <w:snapToGrid w:val="0"/>
              <w:jc w:val="center"/>
              <w:rPr>
                <w:rFonts w:ascii="宋体" w:hAnsi="宋体"/>
                <w:kern w:val="0"/>
                <w:szCs w:val="21"/>
              </w:rPr>
            </w:pPr>
            <w:r>
              <w:rPr>
                <w:rFonts w:hint="eastAsia" w:ascii="宋体" w:hAnsi="宋体" w:cs="MingLiU"/>
                <w:kern w:val="0"/>
                <w:szCs w:val="21"/>
              </w:rPr>
              <w:t>联系人</w:t>
            </w:r>
          </w:p>
        </w:tc>
        <w:tc>
          <w:tcPr>
            <w:tcW w:w="2483" w:type="dxa"/>
            <w:gridSpan w:val="4"/>
            <w:vAlign w:val="center"/>
          </w:tcPr>
          <w:p w14:paraId="2D3C7015">
            <w:pPr>
              <w:autoSpaceDE w:val="0"/>
              <w:autoSpaceDN w:val="0"/>
              <w:adjustRightInd w:val="0"/>
              <w:snapToGrid w:val="0"/>
              <w:jc w:val="center"/>
              <w:rPr>
                <w:rFonts w:ascii="宋体" w:hAnsi="宋体"/>
                <w:kern w:val="0"/>
                <w:szCs w:val="21"/>
              </w:rPr>
            </w:pPr>
          </w:p>
        </w:tc>
        <w:tc>
          <w:tcPr>
            <w:tcW w:w="1392" w:type="dxa"/>
            <w:vAlign w:val="center"/>
          </w:tcPr>
          <w:p w14:paraId="680C3595">
            <w:pPr>
              <w:autoSpaceDE w:val="0"/>
              <w:autoSpaceDN w:val="0"/>
              <w:adjustRightInd w:val="0"/>
              <w:snapToGrid w:val="0"/>
              <w:jc w:val="center"/>
              <w:rPr>
                <w:rFonts w:ascii="宋体" w:hAnsi="宋体"/>
                <w:kern w:val="0"/>
                <w:szCs w:val="21"/>
              </w:rPr>
            </w:pPr>
            <w:r>
              <w:rPr>
                <w:rFonts w:hint="eastAsia" w:ascii="宋体" w:hAnsi="宋体" w:cs="MingLiU"/>
                <w:kern w:val="0"/>
                <w:szCs w:val="21"/>
              </w:rPr>
              <w:t>电话</w:t>
            </w:r>
          </w:p>
        </w:tc>
        <w:tc>
          <w:tcPr>
            <w:tcW w:w="2765" w:type="dxa"/>
            <w:gridSpan w:val="3"/>
            <w:vAlign w:val="center"/>
          </w:tcPr>
          <w:p w14:paraId="778D7F8C">
            <w:pPr>
              <w:autoSpaceDE w:val="0"/>
              <w:autoSpaceDN w:val="0"/>
              <w:adjustRightInd w:val="0"/>
              <w:snapToGrid w:val="0"/>
              <w:jc w:val="center"/>
              <w:rPr>
                <w:rFonts w:ascii="宋体" w:hAnsi="宋体"/>
                <w:kern w:val="0"/>
                <w:szCs w:val="21"/>
              </w:rPr>
            </w:pPr>
          </w:p>
        </w:tc>
      </w:tr>
      <w:tr w14:paraId="333C62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2C1FBB44">
            <w:pPr>
              <w:autoSpaceDE w:val="0"/>
              <w:autoSpaceDN w:val="0"/>
              <w:adjustRightInd w:val="0"/>
              <w:snapToGrid w:val="0"/>
              <w:jc w:val="center"/>
              <w:rPr>
                <w:rFonts w:ascii="宋体" w:hAnsi="宋体"/>
                <w:kern w:val="0"/>
                <w:szCs w:val="21"/>
              </w:rPr>
            </w:pPr>
          </w:p>
        </w:tc>
        <w:tc>
          <w:tcPr>
            <w:tcW w:w="967" w:type="dxa"/>
            <w:vAlign w:val="center"/>
          </w:tcPr>
          <w:p w14:paraId="3477CC74">
            <w:pPr>
              <w:tabs>
                <w:tab w:val="left" w:pos="540"/>
              </w:tabs>
              <w:autoSpaceDE w:val="0"/>
              <w:autoSpaceDN w:val="0"/>
              <w:adjustRightInd w:val="0"/>
              <w:snapToGrid w:val="0"/>
              <w:jc w:val="center"/>
              <w:rPr>
                <w:rFonts w:ascii="宋体" w:hAnsi="宋体"/>
                <w:kern w:val="0"/>
                <w:szCs w:val="21"/>
              </w:rPr>
            </w:pPr>
            <w:r>
              <w:rPr>
                <w:rFonts w:hint="eastAsia" w:ascii="宋体" w:hAnsi="宋体" w:cs="MingLiU"/>
                <w:kern w:val="0"/>
                <w:szCs w:val="21"/>
              </w:rPr>
              <w:t>传  真</w:t>
            </w:r>
          </w:p>
        </w:tc>
        <w:tc>
          <w:tcPr>
            <w:tcW w:w="2483" w:type="dxa"/>
            <w:gridSpan w:val="4"/>
            <w:vAlign w:val="center"/>
          </w:tcPr>
          <w:p w14:paraId="4B979A9C">
            <w:pPr>
              <w:autoSpaceDE w:val="0"/>
              <w:autoSpaceDN w:val="0"/>
              <w:adjustRightInd w:val="0"/>
              <w:snapToGrid w:val="0"/>
              <w:jc w:val="center"/>
              <w:rPr>
                <w:rFonts w:ascii="宋体" w:hAnsi="宋体"/>
                <w:kern w:val="0"/>
                <w:szCs w:val="21"/>
              </w:rPr>
            </w:pPr>
          </w:p>
        </w:tc>
        <w:tc>
          <w:tcPr>
            <w:tcW w:w="1392" w:type="dxa"/>
            <w:vAlign w:val="center"/>
          </w:tcPr>
          <w:p w14:paraId="4BE15438">
            <w:pPr>
              <w:autoSpaceDE w:val="0"/>
              <w:autoSpaceDN w:val="0"/>
              <w:adjustRightInd w:val="0"/>
              <w:snapToGrid w:val="0"/>
              <w:jc w:val="center"/>
              <w:rPr>
                <w:rFonts w:ascii="宋体" w:hAnsi="宋体"/>
                <w:kern w:val="0"/>
                <w:szCs w:val="21"/>
              </w:rPr>
            </w:pPr>
            <w:r>
              <w:rPr>
                <w:rFonts w:hint="eastAsia" w:ascii="宋体" w:hAnsi="宋体" w:cs="MingLiU"/>
                <w:kern w:val="0"/>
                <w:szCs w:val="21"/>
              </w:rPr>
              <w:t>网址</w:t>
            </w:r>
          </w:p>
        </w:tc>
        <w:tc>
          <w:tcPr>
            <w:tcW w:w="2765" w:type="dxa"/>
            <w:gridSpan w:val="3"/>
            <w:vAlign w:val="center"/>
          </w:tcPr>
          <w:p w14:paraId="05CDE339">
            <w:pPr>
              <w:autoSpaceDE w:val="0"/>
              <w:autoSpaceDN w:val="0"/>
              <w:adjustRightInd w:val="0"/>
              <w:snapToGrid w:val="0"/>
              <w:jc w:val="center"/>
              <w:rPr>
                <w:rFonts w:ascii="宋体" w:hAnsi="宋体"/>
                <w:kern w:val="0"/>
                <w:szCs w:val="21"/>
              </w:rPr>
            </w:pPr>
          </w:p>
        </w:tc>
      </w:tr>
      <w:tr w14:paraId="4349BB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8D636B1">
            <w:pPr>
              <w:autoSpaceDE w:val="0"/>
              <w:autoSpaceDN w:val="0"/>
              <w:adjustRightInd w:val="0"/>
              <w:snapToGrid w:val="0"/>
              <w:jc w:val="center"/>
              <w:rPr>
                <w:rFonts w:ascii="宋体" w:hAnsi="宋体"/>
                <w:kern w:val="0"/>
                <w:szCs w:val="21"/>
              </w:rPr>
            </w:pPr>
            <w:r>
              <w:rPr>
                <w:rFonts w:hint="eastAsia" w:ascii="宋体" w:hAnsi="宋体" w:cs="MingLiU"/>
                <w:kern w:val="0"/>
                <w:szCs w:val="21"/>
              </w:rPr>
              <w:t>组织结构</w:t>
            </w:r>
          </w:p>
        </w:tc>
        <w:tc>
          <w:tcPr>
            <w:tcW w:w="7607" w:type="dxa"/>
            <w:gridSpan w:val="9"/>
            <w:vAlign w:val="center"/>
          </w:tcPr>
          <w:p w14:paraId="24966DE5">
            <w:pPr>
              <w:autoSpaceDE w:val="0"/>
              <w:autoSpaceDN w:val="0"/>
              <w:adjustRightInd w:val="0"/>
              <w:snapToGrid w:val="0"/>
              <w:jc w:val="center"/>
              <w:rPr>
                <w:rFonts w:ascii="宋体" w:hAnsi="宋体"/>
                <w:kern w:val="0"/>
                <w:szCs w:val="21"/>
              </w:rPr>
            </w:pPr>
          </w:p>
        </w:tc>
      </w:tr>
      <w:tr w14:paraId="59ED2E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90AC052">
            <w:pPr>
              <w:autoSpaceDE w:val="0"/>
              <w:autoSpaceDN w:val="0"/>
              <w:adjustRightInd w:val="0"/>
              <w:snapToGrid w:val="0"/>
              <w:jc w:val="center"/>
              <w:rPr>
                <w:rFonts w:ascii="宋体" w:hAnsi="宋体"/>
                <w:kern w:val="0"/>
                <w:szCs w:val="21"/>
              </w:rPr>
            </w:pPr>
            <w:r>
              <w:rPr>
                <w:rFonts w:hint="eastAsia" w:ascii="宋体" w:hAnsi="宋体" w:cs="MingLiU"/>
                <w:kern w:val="0"/>
                <w:szCs w:val="21"/>
              </w:rPr>
              <w:t>法定代表人</w:t>
            </w:r>
          </w:p>
        </w:tc>
        <w:tc>
          <w:tcPr>
            <w:tcW w:w="967" w:type="dxa"/>
            <w:vAlign w:val="center"/>
          </w:tcPr>
          <w:p w14:paraId="1F3C3B86">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1024" w:type="dxa"/>
            <w:vAlign w:val="center"/>
          </w:tcPr>
          <w:p w14:paraId="0077D8DC">
            <w:pPr>
              <w:autoSpaceDE w:val="0"/>
              <w:autoSpaceDN w:val="0"/>
              <w:adjustRightInd w:val="0"/>
              <w:snapToGrid w:val="0"/>
              <w:jc w:val="center"/>
              <w:rPr>
                <w:rFonts w:ascii="宋体" w:hAnsi="宋体"/>
                <w:kern w:val="0"/>
                <w:szCs w:val="21"/>
              </w:rPr>
            </w:pPr>
          </w:p>
        </w:tc>
        <w:tc>
          <w:tcPr>
            <w:tcW w:w="1356" w:type="dxa"/>
            <w:gridSpan w:val="2"/>
            <w:vAlign w:val="center"/>
          </w:tcPr>
          <w:p w14:paraId="0CE67331">
            <w:pPr>
              <w:autoSpaceDE w:val="0"/>
              <w:autoSpaceDN w:val="0"/>
              <w:adjustRightInd w:val="0"/>
              <w:snapToGrid w:val="0"/>
              <w:jc w:val="center"/>
              <w:rPr>
                <w:rFonts w:ascii="宋体" w:hAnsi="宋体"/>
                <w:kern w:val="0"/>
                <w:szCs w:val="21"/>
              </w:rPr>
            </w:pPr>
            <w:r>
              <w:rPr>
                <w:rFonts w:hint="eastAsia" w:ascii="宋体" w:hAnsi="宋体" w:cs="MingLiU"/>
                <w:kern w:val="0"/>
                <w:szCs w:val="21"/>
              </w:rPr>
              <w:t>技术职称</w:t>
            </w:r>
          </w:p>
        </w:tc>
        <w:tc>
          <w:tcPr>
            <w:tcW w:w="2024" w:type="dxa"/>
            <w:gridSpan w:val="3"/>
            <w:vAlign w:val="center"/>
          </w:tcPr>
          <w:p w14:paraId="105F6327">
            <w:pPr>
              <w:autoSpaceDE w:val="0"/>
              <w:autoSpaceDN w:val="0"/>
              <w:adjustRightInd w:val="0"/>
              <w:snapToGrid w:val="0"/>
              <w:jc w:val="center"/>
              <w:rPr>
                <w:rFonts w:ascii="宋体" w:hAnsi="宋体"/>
                <w:kern w:val="0"/>
                <w:szCs w:val="21"/>
              </w:rPr>
            </w:pPr>
          </w:p>
        </w:tc>
        <w:tc>
          <w:tcPr>
            <w:tcW w:w="925" w:type="dxa"/>
            <w:vAlign w:val="center"/>
          </w:tcPr>
          <w:p w14:paraId="5F74E6FC">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1311" w:type="dxa"/>
            <w:vAlign w:val="center"/>
          </w:tcPr>
          <w:p w14:paraId="525B3A88">
            <w:pPr>
              <w:autoSpaceDE w:val="0"/>
              <w:autoSpaceDN w:val="0"/>
              <w:adjustRightInd w:val="0"/>
              <w:snapToGrid w:val="0"/>
              <w:jc w:val="center"/>
              <w:rPr>
                <w:rFonts w:ascii="宋体" w:hAnsi="宋体"/>
                <w:kern w:val="0"/>
                <w:szCs w:val="21"/>
              </w:rPr>
            </w:pPr>
          </w:p>
        </w:tc>
      </w:tr>
      <w:tr w14:paraId="43DEB7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492B718">
            <w:pPr>
              <w:autoSpaceDE w:val="0"/>
              <w:autoSpaceDN w:val="0"/>
              <w:adjustRightInd w:val="0"/>
              <w:snapToGrid w:val="0"/>
              <w:jc w:val="center"/>
              <w:rPr>
                <w:rFonts w:ascii="宋体" w:hAnsi="宋体"/>
                <w:kern w:val="0"/>
                <w:szCs w:val="21"/>
              </w:rPr>
            </w:pPr>
            <w:r>
              <w:rPr>
                <w:rFonts w:hint="eastAsia" w:ascii="宋体" w:hAnsi="宋体" w:cs="MingLiU"/>
                <w:kern w:val="0"/>
                <w:szCs w:val="21"/>
              </w:rPr>
              <w:t>技术负责人</w:t>
            </w:r>
          </w:p>
        </w:tc>
        <w:tc>
          <w:tcPr>
            <w:tcW w:w="967" w:type="dxa"/>
            <w:vAlign w:val="center"/>
          </w:tcPr>
          <w:p w14:paraId="2323C8E4">
            <w:pPr>
              <w:autoSpaceDE w:val="0"/>
              <w:autoSpaceDN w:val="0"/>
              <w:adjustRightInd w:val="0"/>
              <w:snapToGrid w:val="0"/>
              <w:jc w:val="center"/>
              <w:rPr>
                <w:rFonts w:ascii="宋体" w:hAnsi="宋体"/>
                <w:kern w:val="0"/>
                <w:szCs w:val="21"/>
              </w:rPr>
            </w:pPr>
            <w:r>
              <w:rPr>
                <w:rFonts w:hint="eastAsia" w:ascii="宋体" w:hAnsi="宋体" w:cs="MingLiU"/>
                <w:kern w:val="0"/>
                <w:szCs w:val="21"/>
              </w:rPr>
              <w:t>姓  名</w:t>
            </w:r>
          </w:p>
        </w:tc>
        <w:tc>
          <w:tcPr>
            <w:tcW w:w="1024" w:type="dxa"/>
            <w:vAlign w:val="center"/>
          </w:tcPr>
          <w:p w14:paraId="2511D754">
            <w:pPr>
              <w:autoSpaceDE w:val="0"/>
              <w:autoSpaceDN w:val="0"/>
              <w:adjustRightInd w:val="0"/>
              <w:snapToGrid w:val="0"/>
              <w:jc w:val="center"/>
              <w:rPr>
                <w:rFonts w:ascii="宋体" w:hAnsi="宋体"/>
                <w:kern w:val="0"/>
                <w:szCs w:val="21"/>
              </w:rPr>
            </w:pPr>
          </w:p>
        </w:tc>
        <w:tc>
          <w:tcPr>
            <w:tcW w:w="1356" w:type="dxa"/>
            <w:gridSpan w:val="2"/>
            <w:vAlign w:val="center"/>
          </w:tcPr>
          <w:p w14:paraId="56F5B52A">
            <w:pPr>
              <w:autoSpaceDE w:val="0"/>
              <w:autoSpaceDN w:val="0"/>
              <w:adjustRightInd w:val="0"/>
              <w:snapToGrid w:val="0"/>
              <w:jc w:val="center"/>
              <w:rPr>
                <w:rFonts w:ascii="宋体" w:hAnsi="宋体"/>
                <w:kern w:val="0"/>
                <w:szCs w:val="21"/>
              </w:rPr>
            </w:pPr>
            <w:r>
              <w:rPr>
                <w:rFonts w:hint="eastAsia" w:ascii="宋体" w:hAnsi="宋体" w:cs="MingLiU"/>
                <w:kern w:val="0"/>
                <w:szCs w:val="21"/>
              </w:rPr>
              <w:t>技术职称</w:t>
            </w:r>
          </w:p>
        </w:tc>
        <w:tc>
          <w:tcPr>
            <w:tcW w:w="2024" w:type="dxa"/>
            <w:gridSpan w:val="3"/>
            <w:vAlign w:val="center"/>
          </w:tcPr>
          <w:p w14:paraId="529C581A">
            <w:pPr>
              <w:autoSpaceDE w:val="0"/>
              <w:autoSpaceDN w:val="0"/>
              <w:adjustRightInd w:val="0"/>
              <w:snapToGrid w:val="0"/>
              <w:jc w:val="center"/>
              <w:rPr>
                <w:rFonts w:ascii="宋体" w:hAnsi="宋体"/>
                <w:kern w:val="0"/>
                <w:szCs w:val="21"/>
              </w:rPr>
            </w:pPr>
          </w:p>
        </w:tc>
        <w:tc>
          <w:tcPr>
            <w:tcW w:w="925" w:type="dxa"/>
            <w:vAlign w:val="center"/>
          </w:tcPr>
          <w:p w14:paraId="16D540C5">
            <w:pPr>
              <w:autoSpaceDE w:val="0"/>
              <w:autoSpaceDN w:val="0"/>
              <w:adjustRightInd w:val="0"/>
              <w:snapToGrid w:val="0"/>
              <w:jc w:val="center"/>
              <w:rPr>
                <w:rFonts w:ascii="宋体" w:hAnsi="宋体"/>
                <w:kern w:val="0"/>
                <w:szCs w:val="21"/>
              </w:rPr>
            </w:pPr>
            <w:r>
              <w:rPr>
                <w:rFonts w:hint="eastAsia" w:ascii="宋体" w:hAnsi="宋体" w:cs="MingLiU"/>
                <w:kern w:val="0"/>
                <w:szCs w:val="21"/>
              </w:rPr>
              <w:t>电  话</w:t>
            </w:r>
          </w:p>
        </w:tc>
        <w:tc>
          <w:tcPr>
            <w:tcW w:w="1311" w:type="dxa"/>
            <w:vAlign w:val="center"/>
          </w:tcPr>
          <w:p w14:paraId="6675B9D4">
            <w:pPr>
              <w:autoSpaceDE w:val="0"/>
              <w:autoSpaceDN w:val="0"/>
              <w:adjustRightInd w:val="0"/>
              <w:snapToGrid w:val="0"/>
              <w:jc w:val="center"/>
              <w:rPr>
                <w:rFonts w:ascii="宋体" w:hAnsi="宋体"/>
                <w:kern w:val="0"/>
                <w:szCs w:val="21"/>
              </w:rPr>
            </w:pPr>
          </w:p>
        </w:tc>
      </w:tr>
      <w:tr w14:paraId="21F978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E29475F">
            <w:pPr>
              <w:autoSpaceDE w:val="0"/>
              <w:autoSpaceDN w:val="0"/>
              <w:adjustRightInd w:val="0"/>
              <w:snapToGrid w:val="0"/>
              <w:jc w:val="center"/>
              <w:rPr>
                <w:rFonts w:ascii="宋体" w:hAnsi="宋体"/>
                <w:kern w:val="0"/>
                <w:szCs w:val="21"/>
              </w:rPr>
            </w:pPr>
            <w:r>
              <w:rPr>
                <w:rFonts w:hint="eastAsia" w:ascii="宋体" w:hAnsi="宋体" w:cs="MingLiU"/>
                <w:kern w:val="0"/>
                <w:szCs w:val="21"/>
              </w:rPr>
              <w:t>成立时间</w:t>
            </w:r>
          </w:p>
        </w:tc>
        <w:tc>
          <w:tcPr>
            <w:tcW w:w="1991" w:type="dxa"/>
            <w:gridSpan w:val="2"/>
            <w:vAlign w:val="center"/>
          </w:tcPr>
          <w:p w14:paraId="00471A96">
            <w:pPr>
              <w:autoSpaceDE w:val="0"/>
              <w:autoSpaceDN w:val="0"/>
              <w:adjustRightInd w:val="0"/>
              <w:snapToGrid w:val="0"/>
              <w:jc w:val="center"/>
              <w:rPr>
                <w:rFonts w:ascii="宋体" w:hAnsi="宋体"/>
                <w:kern w:val="0"/>
                <w:szCs w:val="21"/>
              </w:rPr>
            </w:pPr>
          </w:p>
        </w:tc>
        <w:tc>
          <w:tcPr>
            <w:tcW w:w="5616" w:type="dxa"/>
            <w:gridSpan w:val="7"/>
            <w:vAlign w:val="center"/>
          </w:tcPr>
          <w:p w14:paraId="146BD15F">
            <w:pPr>
              <w:autoSpaceDE w:val="0"/>
              <w:autoSpaceDN w:val="0"/>
              <w:adjustRightInd w:val="0"/>
              <w:snapToGrid w:val="0"/>
              <w:jc w:val="center"/>
              <w:rPr>
                <w:rFonts w:ascii="宋体" w:hAnsi="宋体"/>
                <w:kern w:val="0"/>
                <w:szCs w:val="21"/>
              </w:rPr>
            </w:pPr>
            <w:r>
              <w:rPr>
                <w:rFonts w:hint="eastAsia" w:ascii="宋体" w:hAnsi="宋体" w:cs="MingLiU"/>
                <w:kern w:val="0"/>
                <w:szCs w:val="21"/>
              </w:rPr>
              <w:t>员工总人数：</w:t>
            </w:r>
          </w:p>
        </w:tc>
      </w:tr>
      <w:tr w14:paraId="41F26A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65224E6">
            <w:pPr>
              <w:autoSpaceDE w:val="0"/>
              <w:autoSpaceDN w:val="0"/>
              <w:adjustRightInd w:val="0"/>
              <w:snapToGrid w:val="0"/>
              <w:jc w:val="center"/>
              <w:rPr>
                <w:rFonts w:ascii="宋体" w:hAnsi="宋体"/>
                <w:kern w:val="0"/>
                <w:szCs w:val="21"/>
              </w:rPr>
            </w:pPr>
            <w:r>
              <w:rPr>
                <w:rFonts w:hint="eastAsia" w:ascii="宋体" w:hAnsi="宋体" w:cs="MingLiU"/>
                <w:kern w:val="0"/>
                <w:szCs w:val="21"/>
              </w:rPr>
              <w:t>企业资质等级</w:t>
            </w:r>
          </w:p>
        </w:tc>
        <w:tc>
          <w:tcPr>
            <w:tcW w:w="1991" w:type="dxa"/>
            <w:gridSpan w:val="2"/>
            <w:vAlign w:val="center"/>
          </w:tcPr>
          <w:p w14:paraId="4CECF8FE">
            <w:pPr>
              <w:autoSpaceDE w:val="0"/>
              <w:autoSpaceDN w:val="0"/>
              <w:adjustRightInd w:val="0"/>
              <w:snapToGrid w:val="0"/>
              <w:jc w:val="center"/>
              <w:rPr>
                <w:rFonts w:ascii="宋体" w:hAnsi="宋体"/>
                <w:kern w:val="0"/>
                <w:szCs w:val="21"/>
              </w:rPr>
            </w:pPr>
          </w:p>
        </w:tc>
        <w:tc>
          <w:tcPr>
            <w:tcW w:w="904" w:type="dxa"/>
            <w:vMerge w:val="restart"/>
            <w:vAlign w:val="center"/>
          </w:tcPr>
          <w:p w14:paraId="0E05677B">
            <w:pPr>
              <w:autoSpaceDE w:val="0"/>
              <w:autoSpaceDN w:val="0"/>
              <w:adjustRightInd w:val="0"/>
              <w:snapToGrid w:val="0"/>
              <w:jc w:val="center"/>
              <w:rPr>
                <w:rFonts w:ascii="宋体" w:hAnsi="宋体"/>
                <w:kern w:val="0"/>
                <w:szCs w:val="21"/>
              </w:rPr>
            </w:pPr>
            <w:r>
              <w:rPr>
                <w:rFonts w:hint="eastAsia" w:ascii="宋体" w:hAnsi="宋体" w:cs="MingLiU"/>
                <w:kern w:val="0"/>
                <w:szCs w:val="21"/>
              </w:rPr>
              <w:t>其中</w:t>
            </w:r>
          </w:p>
        </w:tc>
        <w:tc>
          <w:tcPr>
            <w:tcW w:w="2476" w:type="dxa"/>
            <w:gridSpan w:val="4"/>
            <w:vAlign w:val="center"/>
          </w:tcPr>
          <w:p w14:paraId="358B90C2">
            <w:pPr>
              <w:autoSpaceDE w:val="0"/>
              <w:autoSpaceDN w:val="0"/>
              <w:adjustRightInd w:val="0"/>
              <w:snapToGrid w:val="0"/>
              <w:jc w:val="center"/>
              <w:rPr>
                <w:rFonts w:ascii="宋体" w:hAnsi="宋体"/>
                <w:kern w:val="0"/>
                <w:szCs w:val="21"/>
              </w:rPr>
            </w:pPr>
            <w:r>
              <w:rPr>
                <w:rFonts w:hint="eastAsia" w:ascii="宋体" w:hAnsi="宋体" w:cs="MingLiU"/>
                <w:kern w:val="0"/>
                <w:szCs w:val="21"/>
              </w:rPr>
              <w:t>项目经理</w:t>
            </w:r>
          </w:p>
        </w:tc>
        <w:tc>
          <w:tcPr>
            <w:tcW w:w="2236" w:type="dxa"/>
            <w:gridSpan w:val="2"/>
            <w:vAlign w:val="center"/>
          </w:tcPr>
          <w:p w14:paraId="023AFCF7">
            <w:pPr>
              <w:autoSpaceDE w:val="0"/>
              <w:autoSpaceDN w:val="0"/>
              <w:adjustRightInd w:val="0"/>
              <w:snapToGrid w:val="0"/>
              <w:jc w:val="center"/>
              <w:rPr>
                <w:rFonts w:ascii="宋体" w:hAnsi="宋体"/>
                <w:kern w:val="0"/>
                <w:szCs w:val="21"/>
              </w:rPr>
            </w:pPr>
          </w:p>
        </w:tc>
      </w:tr>
      <w:tr w14:paraId="1A7BB5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0927B6C">
            <w:pPr>
              <w:autoSpaceDE w:val="0"/>
              <w:autoSpaceDN w:val="0"/>
              <w:adjustRightInd w:val="0"/>
              <w:snapToGrid w:val="0"/>
              <w:jc w:val="center"/>
              <w:rPr>
                <w:rFonts w:ascii="宋体" w:hAnsi="宋体"/>
                <w:kern w:val="0"/>
                <w:szCs w:val="21"/>
              </w:rPr>
            </w:pPr>
            <w:r>
              <w:rPr>
                <w:rFonts w:hint="eastAsia" w:ascii="宋体" w:hAnsi="宋体" w:cs="MingLiU"/>
                <w:kern w:val="0"/>
                <w:szCs w:val="21"/>
              </w:rPr>
              <w:t>统一社会信用代码</w:t>
            </w:r>
          </w:p>
        </w:tc>
        <w:tc>
          <w:tcPr>
            <w:tcW w:w="1991" w:type="dxa"/>
            <w:gridSpan w:val="2"/>
            <w:vAlign w:val="center"/>
          </w:tcPr>
          <w:p w14:paraId="73D1898B">
            <w:pPr>
              <w:autoSpaceDE w:val="0"/>
              <w:autoSpaceDN w:val="0"/>
              <w:adjustRightInd w:val="0"/>
              <w:snapToGrid w:val="0"/>
              <w:jc w:val="center"/>
              <w:rPr>
                <w:rFonts w:ascii="宋体" w:hAnsi="宋体"/>
                <w:kern w:val="0"/>
                <w:szCs w:val="21"/>
              </w:rPr>
            </w:pPr>
          </w:p>
        </w:tc>
        <w:tc>
          <w:tcPr>
            <w:tcW w:w="904" w:type="dxa"/>
            <w:vMerge w:val="continue"/>
            <w:vAlign w:val="center"/>
          </w:tcPr>
          <w:p w14:paraId="6CA9F6D1">
            <w:pPr>
              <w:autoSpaceDE w:val="0"/>
              <w:autoSpaceDN w:val="0"/>
              <w:adjustRightInd w:val="0"/>
              <w:snapToGrid w:val="0"/>
              <w:jc w:val="center"/>
              <w:rPr>
                <w:rFonts w:ascii="宋体" w:hAnsi="宋体"/>
                <w:kern w:val="0"/>
                <w:szCs w:val="21"/>
              </w:rPr>
            </w:pPr>
          </w:p>
        </w:tc>
        <w:tc>
          <w:tcPr>
            <w:tcW w:w="2476" w:type="dxa"/>
            <w:gridSpan w:val="4"/>
            <w:vAlign w:val="center"/>
          </w:tcPr>
          <w:p w14:paraId="56666BED">
            <w:pPr>
              <w:autoSpaceDE w:val="0"/>
              <w:autoSpaceDN w:val="0"/>
              <w:adjustRightInd w:val="0"/>
              <w:snapToGrid w:val="0"/>
              <w:jc w:val="center"/>
              <w:rPr>
                <w:rFonts w:ascii="宋体" w:hAnsi="宋体"/>
                <w:kern w:val="0"/>
                <w:szCs w:val="21"/>
              </w:rPr>
            </w:pPr>
            <w:r>
              <w:rPr>
                <w:rFonts w:hint="eastAsia" w:ascii="宋体" w:hAnsi="宋体" w:cs="MingLiU"/>
                <w:kern w:val="0"/>
                <w:szCs w:val="21"/>
              </w:rPr>
              <w:t>高级职称人员</w:t>
            </w:r>
          </w:p>
        </w:tc>
        <w:tc>
          <w:tcPr>
            <w:tcW w:w="2236" w:type="dxa"/>
            <w:gridSpan w:val="2"/>
            <w:vAlign w:val="center"/>
          </w:tcPr>
          <w:p w14:paraId="69F649B9">
            <w:pPr>
              <w:autoSpaceDE w:val="0"/>
              <w:autoSpaceDN w:val="0"/>
              <w:adjustRightInd w:val="0"/>
              <w:snapToGrid w:val="0"/>
              <w:jc w:val="center"/>
              <w:rPr>
                <w:rFonts w:ascii="宋体" w:hAnsi="宋体"/>
                <w:kern w:val="0"/>
                <w:szCs w:val="21"/>
              </w:rPr>
            </w:pPr>
          </w:p>
        </w:tc>
      </w:tr>
      <w:tr w14:paraId="067097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76A5ED3">
            <w:pPr>
              <w:autoSpaceDE w:val="0"/>
              <w:autoSpaceDN w:val="0"/>
              <w:adjustRightInd w:val="0"/>
              <w:snapToGrid w:val="0"/>
              <w:jc w:val="center"/>
              <w:rPr>
                <w:rFonts w:ascii="宋体" w:hAnsi="宋体"/>
                <w:kern w:val="0"/>
                <w:szCs w:val="21"/>
              </w:rPr>
            </w:pPr>
            <w:r>
              <w:rPr>
                <w:rFonts w:hint="eastAsia" w:ascii="宋体" w:hAnsi="宋体" w:cs="MingLiU"/>
                <w:kern w:val="0"/>
                <w:szCs w:val="21"/>
              </w:rPr>
              <w:t>注册资金</w:t>
            </w:r>
          </w:p>
        </w:tc>
        <w:tc>
          <w:tcPr>
            <w:tcW w:w="1991" w:type="dxa"/>
            <w:gridSpan w:val="2"/>
            <w:vAlign w:val="center"/>
          </w:tcPr>
          <w:p w14:paraId="78B9CA5A">
            <w:pPr>
              <w:autoSpaceDE w:val="0"/>
              <w:autoSpaceDN w:val="0"/>
              <w:adjustRightInd w:val="0"/>
              <w:snapToGrid w:val="0"/>
              <w:jc w:val="center"/>
              <w:rPr>
                <w:rFonts w:ascii="宋体" w:hAnsi="宋体"/>
                <w:kern w:val="0"/>
                <w:szCs w:val="21"/>
              </w:rPr>
            </w:pPr>
          </w:p>
        </w:tc>
        <w:tc>
          <w:tcPr>
            <w:tcW w:w="904" w:type="dxa"/>
            <w:vMerge w:val="continue"/>
            <w:vAlign w:val="center"/>
          </w:tcPr>
          <w:p w14:paraId="4F9984A8">
            <w:pPr>
              <w:autoSpaceDE w:val="0"/>
              <w:autoSpaceDN w:val="0"/>
              <w:adjustRightInd w:val="0"/>
              <w:snapToGrid w:val="0"/>
              <w:jc w:val="center"/>
              <w:rPr>
                <w:rFonts w:ascii="宋体" w:hAnsi="宋体"/>
                <w:kern w:val="0"/>
                <w:szCs w:val="21"/>
              </w:rPr>
            </w:pPr>
          </w:p>
        </w:tc>
        <w:tc>
          <w:tcPr>
            <w:tcW w:w="2476" w:type="dxa"/>
            <w:gridSpan w:val="4"/>
            <w:vAlign w:val="center"/>
          </w:tcPr>
          <w:p w14:paraId="733237A2">
            <w:pPr>
              <w:autoSpaceDE w:val="0"/>
              <w:autoSpaceDN w:val="0"/>
              <w:adjustRightInd w:val="0"/>
              <w:snapToGrid w:val="0"/>
              <w:jc w:val="center"/>
              <w:rPr>
                <w:rFonts w:ascii="宋体" w:hAnsi="宋体"/>
                <w:kern w:val="0"/>
                <w:szCs w:val="21"/>
              </w:rPr>
            </w:pPr>
            <w:r>
              <w:rPr>
                <w:rFonts w:hint="eastAsia" w:ascii="宋体" w:hAnsi="宋体" w:cs="MingLiU"/>
                <w:kern w:val="0"/>
                <w:szCs w:val="21"/>
              </w:rPr>
              <w:t>中级职称人员</w:t>
            </w:r>
          </w:p>
        </w:tc>
        <w:tc>
          <w:tcPr>
            <w:tcW w:w="2236" w:type="dxa"/>
            <w:gridSpan w:val="2"/>
            <w:vAlign w:val="center"/>
          </w:tcPr>
          <w:p w14:paraId="67BD936F">
            <w:pPr>
              <w:autoSpaceDE w:val="0"/>
              <w:autoSpaceDN w:val="0"/>
              <w:adjustRightInd w:val="0"/>
              <w:snapToGrid w:val="0"/>
              <w:jc w:val="center"/>
              <w:rPr>
                <w:rFonts w:ascii="宋体" w:hAnsi="宋体"/>
                <w:kern w:val="0"/>
                <w:szCs w:val="21"/>
              </w:rPr>
            </w:pPr>
          </w:p>
        </w:tc>
      </w:tr>
      <w:tr w14:paraId="6FFF10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F4200A3">
            <w:pPr>
              <w:autoSpaceDE w:val="0"/>
              <w:autoSpaceDN w:val="0"/>
              <w:adjustRightInd w:val="0"/>
              <w:snapToGrid w:val="0"/>
              <w:jc w:val="center"/>
              <w:rPr>
                <w:rFonts w:ascii="宋体" w:hAnsi="宋体"/>
                <w:kern w:val="0"/>
                <w:szCs w:val="21"/>
              </w:rPr>
            </w:pPr>
            <w:r>
              <w:rPr>
                <w:rFonts w:hint="eastAsia" w:ascii="宋体" w:hAnsi="宋体" w:cs="MingLiU"/>
                <w:kern w:val="0"/>
                <w:szCs w:val="21"/>
              </w:rPr>
              <w:t>开户银行</w:t>
            </w:r>
          </w:p>
        </w:tc>
        <w:tc>
          <w:tcPr>
            <w:tcW w:w="1991" w:type="dxa"/>
            <w:gridSpan w:val="2"/>
            <w:vAlign w:val="center"/>
          </w:tcPr>
          <w:p w14:paraId="4185D2D4">
            <w:pPr>
              <w:autoSpaceDE w:val="0"/>
              <w:autoSpaceDN w:val="0"/>
              <w:adjustRightInd w:val="0"/>
              <w:snapToGrid w:val="0"/>
              <w:jc w:val="center"/>
              <w:rPr>
                <w:rFonts w:ascii="宋体" w:hAnsi="宋体"/>
                <w:kern w:val="0"/>
                <w:szCs w:val="21"/>
              </w:rPr>
            </w:pPr>
          </w:p>
        </w:tc>
        <w:tc>
          <w:tcPr>
            <w:tcW w:w="904" w:type="dxa"/>
            <w:vMerge w:val="continue"/>
            <w:vAlign w:val="center"/>
          </w:tcPr>
          <w:p w14:paraId="08562E8D">
            <w:pPr>
              <w:autoSpaceDE w:val="0"/>
              <w:autoSpaceDN w:val="0"/>
              <w:adjustRightInd w:val="0"/>
              <w:snapToGrid w:val="0"/>
              <w:jc w:val="center"/>
              <w:rPr>
                <w:rFonts w:ascii="宋体" w:hAnsi="宋体"/>
                <w:kern w:val="0"/>
                <w:szCs w:val="21"/>
              </w:rPr>
            </w:pPr>
          </w:p>
        </w:tc>
        <w:tc>
          <w:tcPr>
            <w:tcW w:w="2476" w:type="dxa"/>
            <w:gridSpan w:val="4"/>
            <w:vAlign w:val="center"/>
          </w:tcPr>
          <w:p w14:paraId="1485E2C1">
            <w:pPr>
              <w:autoSpaceDE w:val="0"/>
              <w:autoSpaceDN w:val="0"/>
              <w:adjustRightInd w:val="0"/>
              <w:snapToGrid w:val="0"/>
              <w:jc w:val="center"/>
              <w:rPr>
                <w:rFonts w:ascii="宋体" w:hAnsi="宋体"/>
                <w:kern w:val="0"/>
                <w:szCs w:val="21"/>
              </w:rPr>
            </w:pPr>
            <w:r>
              <w:rPr>
                <w:rFonts w:hint="eastAsia" w:ascii="宋体" w:hAnsi="宋体" w:cs="MingLiU"/>
                <w:kern w:val="0"/>
                <w:szCs w:val="21"/>
              </w:rPr>
              <w:t>初级职称人员</w:t>
            </w:r>
          </w:p>
        </w:tc>
        <w:tc>
          <w:tcPr>
            <w:tcW w:w="2236" w:type="dxa"/>
            <w:gridSpan w:val="2"/>
            <w:vAlign w:val="center"/>
          </w:tcPr>
          <w:p w14:paraId="03D15198">
            <w:pPr>
              <w:autoSpaceDE w:val="0"/>
              <w:autoSpaceDN w:val="0"/>
              <w:adjustRightInd w:val="0"/>
              <w:snapToGrid w:val="0"/>
              <w:jc w:val="center"/>
              <w:rPr>
                <w:rFonts w:ascii="宋体" w:hAnsi="宋体"/>
                <w:kern w:val="0"/>
                <w:szCs w:val="21"/>
              </w:rPr>
            </w:pPr>
          </w:p>
        </w:tc>
      </w:tr>
      <w:tr w14:paraId="647D7A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3AFE96F">
            <w:pPr>
              <w:autoSpaceDE w:val="0"/>
              <w:autoSpaceDN w:val="0"/>
              <w:adjustRightInd w:val="0"/>
              <w:snapToGrid w:val="0"/>
              <w:jc w:val="center"/>
              <w:rPr>
                <w:rFonts w:ascii="宋体" w:hAnsi="宋体"/>
                <w:kern w:val="0"/>
                <w:szCs w:val="21"/>
              </w:rPr>
            </w:pPr>
            <w:r>
              <w:rPr>
                <w:rFonts w:hint="eastAsia" w:ascii="宋体" w:hAnsi="宋体"/>
                <w:kern w:val="0"/>
                <w:szCs w:val="21"/>
              </w:rPr>
              <w:t>账号</w:t>
            </w:r>
          </w:p>
        </w:tc>
        <w:tc>
          <w:tcPr>
            <w:tcW w:w="1991" w:type="dxa"/>
            <w:gridSpan w:val="2"/>
            <w:vAlign w:val="center"/>
          </w:tcPr>
          <w:p w14:paraId="0FB4FAC2">
            <w:pPr>
              <w:autoSpaceDE w:val="0"/>
              <w:autoSpaceDN w:val="0"/>
              <w:adjustRightInd w:val="0"/>
              <w:snapToGrid w:val="0"/>
              <w:jc w:val="center"/>
              <w:rPr>
                <w:rFonts w:ascii="宋体" w:hAnsi="宋体"/>
                <w:kern w:val="0"/>
                <w:szCs w:val="21"/>
              </w:rPr>
            </w:pPr>
          </w:p>
        </w:tc>
        <w:tc>
          <w:tcPr>
            <w:tcW w:w="904" w:type="dxa"/>
            <w:vMerge w:val="continue"/>
            <w:vAlign w:val="center"/>
          </w:tcPr>
          <w:p w14:paraId="33F4461E">
            <w:pPr>
              <w:autoSpaceDE w:val="0"/>
              <w:autoSpaceDN w:val="0"/>
              <w:adjustRightInd w:val="0"/>
              <w:snapToGrid w:val="0"/>
              <w:jc w:val="center"/>
              <w:rPr>
                <w:rFonts w:ascii="宋体" w:hAnsi="宋体"/>
                <w:kern w:val="0"/>
                <w:szCs w:val="21"/>
              </w:rPr>
            </w:pPr>
          </w:p>
        </w:tc>
        <w:tc>
          <w:tcPr>
            <w:tcW w:w="2476" w:type="dxa"/>
            <w:gridSpan w:val="4"/>
            <w:vAlign w:val="center"/>
          </w:tcPr>
          <w:p w14:paraId="04941F4C">
            <w:pPr>
              <w:tabs>
                <w:tab w:val="left" w:pos="1240"/>
              </w:tabs>
              <w:autoSpaceDE w:val="0"/>
              <w:autoSpaceDN w:val="0"/>
              <w:adjustRightInd w:val="0"/>
              <w:snapToGrid w:val="0"/>
              <w:jc w:val="center"/>
              <w:rPr>
                <w:rFonts w:ascii="宋体" w:hAnsi="宋体"/>
                <w:kern w:val="0"/>
                <w:szCs w:val="21"/>
              </w:rPr>
            </w:pPr>
            <w:r>
              <w:rPr>
                <w:rFonts w:hint="eastAsia" w:ascii="宋体" w:hAnsi="宋体" w:cs="MingLiU"/>
                <w:kern w:val="0"/>
                <w:szCs w:val="21"/>
              </w:rPr>
              <w:t>技</w:t>
            </w:r>
            <w:r>
              <w:rPr>
                <w:rFonts w:ascii="宋体" w:hAnsi="宋体"/>
                <w:kern w:val="0"/>
                <w:szCs w:val="21"/>
              </w:rPr>
              <w:tab/>
            </w:r>
            <w:r>
              <w:rPr>
                <w:rFonts w:hint="eastAsia" w:ascii="宋体" w:hAnsi="宋体" w:cs="MingLiU"/>
                <w:kern w:val="0"/>
                <w:szCs w:val="21"/>
              </w:rPr>
              <w:t>工</w:t>
            </w:r>
          </w:p>
        </w:tc>
        <w:tc>
          <w:tcPr>
            <w:tcW w:w="2236" w:type="dxa"/>
            <w:gridSpan w:val="2"/>
            <w:vAlign w:val="center"/>
          </w:tcPr>
          <w:p w14:paraId="46C86E68">
            <w:pPr>
              <w:autoSpaceDE w:val="0"/>
              <w:autoSpaceDN w:val="0"/>
              <w:adjustRightInd w:val="0"/>
              <w:snapToGrid w:val="0"/>
              <w:jc w:val="center"/>
              <w:rPr>
                <w:rFonts w:ascii="宋体" w:hAnsi="宋体"/>
                <w:kern w:val="0"/>
                <w:szCs w:val="21"/>
              </w:rPr>
            </w:pPr>
          </w:p>
        </w:tc>
      </w:tr>
      <w:tr w14:paraId="55EE8E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153E787">
            <w:pPr>
              <w:autoSpaceDE w:val="0"/>
              <w:autoSpaceDN w:val="0"/>
              <w:adjustRightInd w:val="0"/>
              <w:snapToGrid w:val="0"/>
              <w:jc w:val="center"/>
              <w:rPr>
                <w:rFonts w:ascii="宋体" w:hAnsi="宋体"/>
                <w:kern w:val="0"/>
                <w:szCs w:val="21"/>
              </w:rPr>
            </w:pPr>
            <w:r>
              <w:rPr>
                <w:rFonts w:hint="eastAsia" w:ascii="宋体" w:hAnsi="宋体" w:cs="MingLiU"/>
                <w:kern w:val="0"/>
                <w:szCs w:val="21"/>
              </w:rPr>
              <w:t>经营范围</w:t>
            </w:r>
          </w:p>
        </w:tc>
        <w:tc>
          <w:tcPr>
            <w:tcW w:w="7607" w:type="dxa"/>
            <w:gridSpan w:val="9"/>
            <w:vAlign w:val="center"/>
          </w:tcPr>
          <w:p w14:paraId="1C811790">
            <w:pPr>
              <w:autoSpaceDE w:val="0"/>
              <w:autoSpaceDN w:val="0"/>
              <w:adjustRightInd w:val="0"/>
              <w:snapToGrid w:val="0"/>
              <w:jc w:val="center"/>
              <w:rPr>
                <w:rFonts w:ascii="宋体" w:hAnsi="宋体"/>
                <w:kern w:val="0"/>
                <w:szCs w:val="21"/>
              </w:rPr>
            </w:pPr>
          </w:p>
        </w:tc>
      </w:tr>
      <w:tr w14:paraId="044BAB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0F7BCBC">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c>
          <w:tcPr>
            <w:tcW w:w="7607" w:type="dxa"/>
            <w:gridSpan w:val="9"/>
            <w:vAlign w:val="center"/>
          </w:tcPr>
          <w:p w14:paraId="639BC30A">
            <w:pPr>
              <w:autoSpaceDE w:val="0"/>
              <w:autoSpaceDN w:val="0"/>
              <w:adjustRightInd w:val="0"/>
              <w:snapToGrid w:val="0"/>
              <w:jc w:val="center"/>
              <w:rPr>
                <w:rFonts w:ascii="宋体" w:hAnsi="宋体"/>
                <w:kern w:val="0"/>
                <w:szCs w:val="21"/>
              </w:rPr>
            </w:pPr>
          </w:p>
        </w:tc>
      </w:tr>
    </w:tbl>
    <w:p w14:paraId="6DE85D6C">
      <w:pPr>
        <w:spacing w:line="360" w:lineRule="auto"/>
        <w:jc w:val="center"/>
        <w:rPr>
          <w:rFonts w:ascii="宋体" w:hAnsi="宋体"/>
          <w:szCs w:val="21"/>
        </w:rPr>
      </w:pPr>
    </w:p>
    <w:p w14:paraId="450FADAD">
      <w:pPr>
        <w:pStyle w:val="5"/>
        <w:spacing w:before="0" w:after="0" w:line="240" w:lineRule="auto"/>
        <w:jc w:val="center"/>
        <w:rPr>
          <w:rFonts w:ascii="宋体" w:hAnsi="宋体"/>
          <w:b w:val="0"/>
          <w:bCs w:val="0"/>
        </w:rPr>
      </w:pPr>
      <w:r>
        <w:rPr>
          <w:rFonts w:ascii="宋体" w:hAnsi="宋体"/>
          <w:szCs w:val="21"/>
        </w:rPr>
        <w:br w:type="page"/>
      </w:r>
      <w:bookmarkEnd w:id="1597"/>
      <w:bookmarkEnd w:id="1598"/>
      <w:bookmarkStart w:id="1599" w:name="_Toc31370"/>
      <w:bookmarkStart w:id="1600" w:name="_Toc534185840"/>
      <w:bookmarkStart w:id="1601" w:name="_Toc509218863"/>
      <w:bookmarkStart w:id="1602" w:name="_Toc216768238"/>
      <w:bookmarkStart w:id="1603" w:name="_Toc277082663"/>
      <w:bookmarkStart w:id="1604" w:name="_Toc430530552"/>
      <w:bookmarkStart w:id="1605" w:name="_Toc224103520"/>
      <w:bookmarkStart w:id="1606" w:name="_Toc287620839"/>
      <w:bookmarkStart w:id="1607" w:name="_Toc287607893"/>
      <w:bookmarkStart w:id="1608" w:name="_Toc534185843"/>
      <w:bookmarkStart w:id="1609" w:name="_Toc509218866"/>
      <w:r>
        <w:rPr>
          <w:rFonts w:hint="eastAsia" w:ascii="宋体" w:hAnsi="宋体"/>
          <w:b w:val="0"/>
          <w:bCs w:val="0"/>
        </w:rPr>
        <w:t>（三）项目管理机构</w:t>
      </w:r>
      <w:bookmarkEnd w:id="1599"/>
      <w:bookmarkEnd w:id="1600"/>
      <w:bookmarkEnd w:id="1601"/>
      <w:bookmarkEnd w:id="1602"/>
    </w:p>
    <w:p w14:paraId="16AD3E44">
      <w:pPr>
        <w:spacing w:line="360" w:lineRule="auto"/>
        <w:rPr>
          <w:rFonts w:ascii="宋体" w:hAnsi="宋体"/>
        </w:rPr>
      </w:pPr>
    </w:p>
    <w:p w14:paraId="03F8F08A">
      <w:pPr>
        <w:autoSpaceDE w:val="0"/>
        <w:autoSpaceDN w:val="0"/>
        <w:adjustRightInd w:val="0"/>
        <w:snapToGrid w:val="0"/>
        <w:spacing w:line="360" w:lineRule="auto"/>
        <w:jc w:val="center"/>
        <w:rPr>
          <w:rFonts w:ascii="宋体" w:hAnsi="宋体" w:cs="MingLiU"/>
          <w:kern w:val="0"/>
          <w:sz w:val="28"/>
          <w:szCs w:val="28"/>
        </w:rPr>
      </w:pPr>
      <w:r>
        <w:rPr>
          <w:rFonts w:hint="eastAsia" w:ascii="宋体" w:hAnsi="宋体" w:cs="MingLiU"/>
          <w:kern w:val="0"/>
          <w:sz w:val="28"/>
          <w:szCs w:val="28"/>
        </w:rPr>
        <w:t>项目管理机构组成表</w:t>
      </w:r>
    </w:p>
    <w:tbl>
      <w:tblPr>
        <w:tblStyle w:val="45"/>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14:paraId="72AF5F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14:paraId="449709FD">
            <w:pPr>
              <w:autoSpaceDE w:val="0"/>
              <w:autoSpaceDN w:val="0"/>
              <w:adjustRightInd w:val="0"/>
              <w:snapToGrid w:val="0"/>
              <w:jc w:val="center"/>
              <w:rPr>
                <w:rFonts w:ascii="宋体" w:hAnsi="宋体"/>
                <w:kern w:val="0"/>
                <w:szCs w:val="21"/>
              </w:rPr>
            </w:pPr>
            <w:r>
              <w:rPr>
                <w:rFonts w:hint="eastAsia" w:ascii="宋体" w:hAnsi="宋体" w:cs="MingLiU"/>
                <w:kern w:val="0"/>
                <w:szCs w:val="21"/>
              </w:rPr>
              <w:t>职务</w:t>
            </w:r>
          </w:p>
        </w:tc>
        <w:tc>
          <w:tcPr>
            <w:tcW w:w="734" w:type="dxa"/>
            <w:vMerge w:val="restart"/>
            <w:vAlign w:val="center"/>
          </w:tcPr>
          <w:p w14:paraId="2AB9E8FA">
            <w:pPr>
              <w:autoSpaceDE w:val="0"/>
              <w:autoSpaceDN w:val="0"/>
              <w:adjustRightInd w:val="0"/>
              <w:snapToGrid w:val="0"/>
              <w:jc w:val="center"/>
              <w:rPr>
                <w:rFonts w:ascii="宋体" w:hAnsi="宋体"/>
                <w:kern w:val="0"/>
                <w:szCs w:val="21"/>
              </w:rPr>
            </w:pPr>
            <w:r>
              <w:rPr>
                <w:rFonts w:hint="eastAsia" w:ascii="宋体" w:hAnsi="宋体" w:cs="MingLiU"/>
                <w:kern w:val="0"/>
                <w:szCs w:val="21"/>
              </w:rPr>
              <w:t>姓名</w:t>
            </w:r>
          </w:p>
        </w:tc>
        <w:tc>
          <w:tcPr>
            <w:tcW w:w="776" w:type="dxa"/>
            <w:vMerge w:val="restart"/>
            <w:vAlign w:val="center"/>
          </w:tcPr>
          <w:p w14:paraId="03E17E97">
            <w:pPr>
              <w:autoSpaceDE w:val="0"/>
              <w:autoSpaceDN w:val="0"/>
              <w:adjustRightInd w:val="0"/>
              <w:snapToGrid w:val="0"/>
              <w:jc w:val="center"/>
              <w:rPr>
                <w:rFonts w:ascii="宋体" w:hAnsi="宋体"/>
                <w:kern w:val="0"/>
                <w:szCs w:val="21"/>
              </w:rPr>
            </w:pPr>
            <w:r>
              <w:rPr>
                <w:rFonts w:hint="eastAsia" w:ascii="宋体" w:hAnsi="宋体" w:cs="MingLiU"/>
                <w:kern w:val="0"/>
                <w:szCs w:val="21"/>
              </w:rPr>
              <w:t>职称</w:t>
            </w:r>
          </w:p>
        </w:tc>
        <w:tc>
          <w:tcPr>
            <w:tcW w:w="6220" w:type="dxa"/>
            <w:gridSpan w:val="5"/>
            <w:vAlign w:val="center"/>
          </w:tcPr>
          <w:p w14:paraId="38D30D72">
            <w:pPr>
              <w:autoSpaceDE w:val="0"/>
              <w:autoSpaceDN w:val="0"/>
              <w:adjustRightInd w:val="0"/>
              <w:snapToGrid w:val="0"/>
              <w:jc w:val="center"/>
              <w:rPr>
                <w:rFonts w:ascii="宋体" w:hAnsi="宋体"/>
                <w:kern w:val="0"/>
                <w:szCs w:val="21"/>
              </w:rPr>
            </w:pPr>
            <w:r>
              <w:rPr>
                <w:rFonts w:hint="eastAsia" w:ascii="宋体" w:hAnsi="宋体" w:cs="MingLiU"/>
                <w:kern w:val="0"/>
                <w:szCs w:val="21"/>
              </w:rPr>
              <w:t>执业或职业资格证明</w:t>
            </w:r>
          </w:p>
        </w:tc>
        <w:tc>
          <w:tcPr>
            <w:tcW w:w="896" w:type="dxa"/>
            <w:vAlign w:val="center"/>
          </w:tcPr>
          <w:p w14:paraId="6B38F394">
            <w:pPr>
              <w:autoSpaceDE w:val="0"/>
              <w:autoSpaceDN w:val="0"/>
              <w:adjustRightInd w:val="0"/>
              <w:snapToGrid w:val="0"/>
              <w:jc w:val="center"/>
              <w:rPr>
                <w:rFonts w:ascii="宋体" w:hAnsi="宋体"/>
                <w:kern w:val="0"/>
                <w:szCs w:val="21"/>
              </w:rPr>
            </w:pPr>
            <w:r>
              <w:rPr>
                <w:rFonts w:hint="eastAsia" w:ascii="宋体" w:hAnsi="宋体" w:cs="MingLiU"/>
                <w:kern w:val="0"/>
                <w:szCs w:val="21"/>
              </w:rPr>
              <w:t>备注</w:t>
            </w:r>
          </w:p>
        </w:tc>
      </w:tr>
      <w:tr w14:paraId="114140B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14:paraId="39770BC0">
            <w:pPr>
              <w:autoSpaceDE w:val="0"/>
              <w:autoSpaceDN w:val="0"/>
              <w:adjustRightInd w:val="0"/>
              <w:snapToGrid w:val="0"/>
              <w:jc w:val="left"/>
              <w:rPr>
                <w:rFonts w:ascii="宋体" w:hAnsi="宋体"/>
                <w:kern w:val="0"/>
                <w:szCs w:val="21"/>
              </w:rPr>
            </w:pPr>
          </w:p>
        </w:tc>
        <w:tc>
          <w:tcPr>
            <w:tcW w:w="734" w:type="dxa"/>
            <w:vMerge w:val="continue"/>
          </w:tcPr>
          <w:p w14:paraId="09144409">
            <w:pPr>
              <w:autoSpaceDE w:val="0"/>
              <w:autoSpaceDN w:val="0"/>
              <w:adjustRightInd w:val="0"/>
              <w:snapToGrid w:val="0"/>
              <w:jc w:val="left"/>
              <w:rPr>
                <w:rFonts w:ascii="宋体" w:hAnsi="宋体"/>
                <w:kern w:val="0"/>
                <w:szCs w:val="21"/>
              </w:rPr>
            </w:pPr>
          </w:p>
        </w:tc>
        <w:tc>
          <w:tcPr>
            <w:tcW w:w="776" w:type="dxa"/>
            <w:vMerge w:val="continue"/>
          </w:tcPr>
          <w:p w14:paraId="707C9953">
            <w:pPr>
              <w:autoSpaceDE w:val="0"/>
              <w:autoSpaceDN w:val="0"/>
              <w:adjustRightInd w:val="0"/>
              <w:snapToGrid w:val="0"/>
              <w:jc w:val="left"/>
              <w:rPr>
                <w:rFonts w:ascii="宋体" w:hAnsi="宋体"/>
                <w:kern w:val="0"/>
                <w:szCs w:val="21"/>
              </w:rPr>
            </w:pPr>
          </w:p>
        </w:tc>
        <w:tc>
          <w:tcPr>
            <w:tcW w:w="1167" w:type="dxa"/>
            <w:vAlign w:val="center"/>
          </w:tcPr>
          <w:p w14:paraId="588C7F0A">
            <w:pPr>
              <w:autoSpaceDE w:val="0"/>
              <w:autoSpaceDN w:val="0"/>
              <w:adjustRightInd w:val="0"/>
              <w:snapToGrid w:val="0"/>
              <w:jc w:val="center"/>
              <w:rPr>
                <w:rFonts w:ascii="宋体" w:hAnsi="宋体"/>
                <w:kern w:val="0"/>
                <w:szCs w:val="21"/>
              </w:rPr>
            </w:pPr>
            <w:r>
              <w:rPr>
                <w:rFonts w:hint="eastAsia" w:ascii="宋体" w:hAnsi="宋体" w:cs="MingLiU"/>
                <w:kern w:val="0"/>
                <w:szCs w:val="21"/>
              </w:rPr>
              <w:t>证书名称</w:t>
            </w:r>
          </w:p>
        </w:tc>
        <w:tc>
          <w:tcPr>
            <w:tcW w:w="776" w:type="dxa"/>
            <w:vAlign w:val="center"/>
          </w:tcPr>
          <w:p w14:paraId="16E4E0E2">
            <w:pPr>
              <w:autoSpaceDE w:val="0"/>
              <w:autoSpaceDN w:val="0"/>
              <w:adjustRightInd w:val="0"/>
              <w:snapToGrid w:val="0"/>
              <w:jc w:val="center"/>
              <w:rPr>
                <w:rFonts w:ascii="宋体" w:hAnsi="宋体"/>
                <w:kern w:val="0"/>
                <w:szCs w:val="21"/>
              </w:rPr>
            </w:pPr>
            <w:r>
              <w:rPr>
                <w:rFonts w:hint="eastAsia" w:ascii="宋体" w:hAnsi="宋体" w:cs="MingLiU"/>
                <w:kern w:val="0"/>
                <w:szCs w:val="21"/>
              </w:rPr>
              <w:t>级别</w:t>
            </w:r>
          </w:p>
        </w:tc>
        <w:tc>
          <w:tcPr>
            <w:tcW w:w="778" w:type="dxa"/>
            <w:vAlign w:val="center"/>
          </w:tcPr>
          <w:p w14:paraId="25B7D06E">
            <w:pPr>
              <w:autoSpaceDE w:val="0"/>
              <w:autoSpaceDN w:val="0"/>
              <w:adjustRightInd w:val="0"/>
              <w:snapToGrid w:val="0"/>
              <w:jc w:val="center"/>
              <w:rPr>
                <w:rFonts w:ascii="宋体" w:hAnsi="宋体"/>
                <w:kern w:val="0"/>
                <w:szCs w:val="21"/>
              </w:rPr>
            </w:pPr>
            <w:r>
              <w:rPr>
                <w:rFonts w:hint="eastAsia" w:ascii="宋体" w:hAnsi="宋体" w:cs="MingLiU"/>
                <w:kern w:val="0"/>
                <w:szCs w:val="21"/>
              </w:rPr>
              <w:t>证号</w:t>
            </w:r>
          </w:p>
        </w:tc>
        <w:tc>
          <w:tcPr>
            <w:tcW w:w="776" w:type="dxa"/>
            <w:vAlign w:val="center"/>
          </w:tcPr>
          <w:p w14:paraId="08F8351C">
            <w:pPr>
              <w:autoSpaceDE w:val="0"/>
              <w:autoSpaceDN w:val="0"/>
              <w:adjustRightInd w:val="0"/>
              <w:snapToGrid w:val="0"/>
              <w:jc w:val="center"/>
              <w:rPr>
                <w:rFonts w:ascii="宋体" w:hAnsi="宋体"/>
                <w:kern w:val="0"/>
                <w:szCs w:val="21"/>
              </w:rPr>
            </w:pPr>
            <w:r>
              <w:rPr>
                <w:rFonts w:hint="eastAsia" w:ascii="宋体" w:hAnsi="宋体" w:cs="MingLiU"/>
                <w:kern w:val="0"/>
                <w:szCs w:val="21"/>
              </w:rPr>
              <w:t>专业</w:t>
            </w:r>
          </w:p>
        </w:tc>
        <w:tc>
          <w:tcPr>
            <w:tcW w:w="2723" w:type="dxa"/>
            <w:vAlign w:val="center"/>
          </w:tcPr>
          <w:p w14:paraId="119E4D9E">
            <w:pPr>
              <w:autoSpaceDE w:val="0"/>
              <w:autoSpaceDN w:val="0"/>
              <w:adjustRightInd w:val="0"/>
              <w:snapToGrid w:val="0"/>
              <w:jc w:val="center"/>
              <w:rPr>
                <w:rFonts w:ascii="宋体" w:hAnsi="宋体"/>
                <w:kern w:val="0"/>
                <w:szCs w:val="21"/>
              </w:rPr>
            </w:pPr>
            <w:r>
              <w:rPr>
                <w:rFonts w:hint="eastAsia" w:ascii="宋体" w:hAnsi="宋体" w:cs="MingLiU"/>
                <w:kern w:val="0"/>
                <w:szCs w:val="21"/>
              </w:rPr>
              <w:t>养老保险</w:t>
            </w:r>
          </w:p>
        </w:tc>
        <w:tc>
          <w:tcPr>
            <w:tcW w:w="896" w:type="dxa"/>
          </w:tcPr>
          <w:p w14:paraId="430A886A">
            <w:pPr>
              <w:autoSpaceDE w:val="0"/>
              <w:autoSpaceDN w:val="0"/>
              <w:adjustRightInd w:val="0"/>
              <w:snapToGrid w:val="0"/>
              <w:jc w:val="left"/>
              <w:rPr>
                <w:rFonts w:ascii="宋体" w:hAnsi="宋体"/>
                <w:kern w:val="0"/>
                <w:szCs w:val="21"/>
              </w:rPr>
            </w:pPr>
          </w:p>
        </w:tc>
      </w:tr>
      <w:tr w14:paraId="495DE6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14:paraId="1374F740">
            <w:pPr>
              <w:autoSpaceDE w:val="0"/>
              <w:autoSpaceDN w:val="0"/>
              <w:adjustRightInd w:val="0"/>
              <w:snapToGrid w:val="0"/>
              <w:jc w:val="center"/>
              <w:rPr>
                <w:rFonts w:ascii="宋体" w:hAnsi="宋体"/>
                <w:kern w:val="0"/>
                <w:szCs w:val="21"/>
              </w:rPr>
            </w:pPr>
            <w:r>
              <w:rPr>
                <w:rFonts w:hint="eastAsia" w:ascii="宋体" w:hAnsi="宋体"/>
                <w:kern w:val="0"/>
                <w:szCs w:val="21"/>
              </w:rPr>
              <w:t>项目经理</w:t>
            </w:r>
          </w:p>
        </w:tc>
        <w:tc>
          <w:tcPr>
            <w:tcW w:w="734" w:type="dxa"/>
          </w:tcPr>
          <w:p w14:paraId="63D22500">
            <w:pPr>
              <w:autoSpaceDE w:val="0"/>
              <w:autoSpaceDN w:val="0"/>
              <w:adjustRightInd w:val="0"/>
              <w:snapToGrid w:val="0"/>
              <w:jc w:val="left"/>
              <w:rPr>
                <w:rFonts w:ascii="宋体" w:hAnsi="宋体"/>
                <w:kern w:val="0"/>
                <w:szCs w:val="21"/>
              </w:rPr>
            </w:pPr>
          </w:p>
        </w:tc>
        <w:tc>
          <w:tcPr>
            <w:tcW w:w="776" w:type="dxa"/>
          </w:tcPr>
          <w:p w14:paraId="0523C96A">
            <w:pPr>
              <w:autoSpaceDE w:val="0"/>
              <w:autoSpaceDN w:val="0"/>
              <w:adjustRightInd w:val="0"/>
              <w:snapToGrid w:val="0"/>
              <w:jc w:val="left"/>
              <w:rPr>
                <w:rFonts w:ascii="宋体" w:hAnsi="宋体"/>
                <w:kern w:val="0"/>
                <w:szCs w:val="21"/>
              </w:rPr>
            </w:pPr>
          </w:p>
        </w:tc>
        <w:tc>
          <w:tcPr>
            <w:tcW w:w="1167" w:type="dxa"/>
          </w:tcPr>
          <w:p w14:paraId="7B090E5C">
            <w:pPr>
              <w:autoSpaceDE w:val="0"/>
              <w:autoSpaceDN w:val="0"/>
              <w:adjustRightInd w:val="0"/>
              <w:snapToGrid w:val="0"/>
              <w:jc w:val="left"/>
              <w:rPr>
                <w:rFonts w:ascii="宋体" w:hAnsi="宋体"/>
                <w:kern w:val="0"/>
                <w:szCs w:val="21"/>
              </w:rPr>
            </w:pPr>
          </w:p>
        </w:tc>
        <w:tc>
          <w:tcPr>
            <w:tcW w:w="776" w:type="dxa"/>
          </w:tcPr>
          <w:p w14:paraId="1EE0696E">
            <w:pPr>
              <w:autoSpaceDE w:val="0"/>
              <w:autoSpaceDN w:val="0"/>
              <w:adjustRightInd w:val="0"/>
              <w:snapToGrid w:val="0"/>
              <w:jc w:val="left"/>
              <w:rPr>
                <w:rFonts w:ascii="宋体" w:hAnsi="宋体"/>
                <w:kern w:val="0"/>
                <w:szCs w:val="21"/>
              </w:rPr>
            </w:pPr>
          </w:p>
        </w:tc>
        <w:tc>
          <w:tcPr>
            <w:tcW w:w="778" w:type="dxa"/>
          </w:tcPr>
          <w:p w14:paraId="42660574">
            <w:pPr>
              <w:autoSpaceDE w:val="0"/>
              <w:autoSpaceDN w:val="0"/>
              <w:adjustRightInd w:val="0"/>
              <w:snapToGrid w:val="0"/>
              <w:jc w:val="left"/>
              <w:rPr>
                <w:rFonts w:ascii="宋体" w:hAnsi="宋体"/>
                <w:kern w:val="0"/>
                <w:szCs w:val="21"/>
              </w:rPr>
            </w:pPr>
          </w:p>
        </w:tc>
        <w:tc>
          <w:tcPr>
            <w:tcW w:w="776" w:type="dxa"/>
          </w:tcPr>
          <w:p w14:paraId="51977C28">
            <w:pPr>
              <w:autoSpaceDE w:val="0"/>
              <w:autoSpaceDN w:val="0"/>
              <w:adjustRightInd w:val="0"/>
              <w:snapToGrid w:val="0"/>
              <w:jc w:val="left"/>
              <w:rPr>
                <w:rFonts w:ascii="宋体" w:hAnsi="宋体"/>
                <w:kern w:val="0"/>
                <w:szCs w:val="21"/>
              </w:rPr>
            </w:pPr>
          </w:p>
        </w:tc>
        <w:tc>
          <w:tcPr>
            <w:tcW w:w="2723" w:type="dxa"/>
          </w:tcPr>
          <w:p w14:paraId="2CCBD53F">
            <w:pPr>
              <w:autoSpaceDE w:val="0"/>
              <w:autoSpaceDN w:val="0"/>
              <w:adjustRightInd w:val="0"/>
              <w:snapToGrid w:val="0"/>
              <w:jc w:val="left"/>
              <w:rPr>
                <w:rFonts w:ascii="宋体" w:hAnsi="宋体"/>
                <w:kern w:val="0"/>
                <w:szCs w:val="21"/>
              </w:rPr>
            </w:pPr>
          </w:p>
        </w:tc>
        <w:tc>
          <w:tcPr>
            <w:tcW w:w="896" w:type="dxa"/>
          </w:tcPr>
          <w:p w14:paraId="7BD0E829">
            <w:pPr>
              <w:autoSpaceDE w:val="0"/>
              <w:autoSpaceDN w:val="0"/>
              <w:adjustRightInd w:val="0"/>
              <w:snapToGrid w:val="0"/>
              <w:jc w:val="left"/>
              <w:rPr>
                <w:rFonts w:ascii="宋体" w:hAnsi="宋体"/>
                <w:kern w:val="0"/>
                <w:szCs w:val="21"/>
              </w:rPr>
            </w:pPr>
          </w:p>
        </w:tc>
      </w:tr>
      <w:tr w14:paraId="75E692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14:paraId="6E1B7774">
            <w:pPr>
              <w:autoSpaceDE w:val="0"/>
              <w:autoSpaceDN w:val="0"/>
              <w:adjustRightInd w:val="0"/>
              <w:snapToGrid w:val="0"/>
              <w:jc w:val="center"/>
              <w:rPr>
                <w:rFonts w:ascii="宋体" w:hAnsi="宋体"/>
                <w:kern w:val="0"/>
                <w:szCs w:val="21"/>
              </w:rPr>
            </w:pPr>
            <w:r>
              <w:rPr>
                <w:rFonts w:hint="eastAsia" w:ascii="宋体" w:hAnsi="宋体"/>
                <w:kern w:val="0"/>
                <w:szCs w:val="21"/>
              </w:rPr>
              <w:t>项目技术负责人</w:t>
            </w:r>
          </w:p>
        </w:tc>
        <w:tc>
          <w:tcPr>
            <w:tcW w:w="734" w:type="dxa"/>
          </w:tcPr>
          <w:p w14:paraId="6048323C">
            <w:pPr>
              <w:autoSpaceDE w:val="0"/>
              <w:autoSpaceDN w:val="0"/>
              <w:adjustRightInd w:val="0"/>
              <w:snapToGrid w:val="0"/>
              <w:jc w:val="left"/>
              <w:rPr>
                <w:rFonts w:ascii="宋体" w:hAnsi="宋体"/>
                <w:kern w:val="0"/>
                <w:szCs w:val="21"/>
              </w:rPr>
            </w:pPr>
          </w:p>
        </w:tc>
        <w:tc>
          <w:tcPr>
            <w:tcW w:w="776" w:type="dxa"/>
          </w:tcPr>
          <w:p w14:paraId="7BA6D1C2">
            <w:pPr>
              <w:autoSpaceDE w:val="0"/>
              <w:autoSpaceDN w:val="0"/>
              <w:adjustRightInd w:val="0"/>
              <w:snapToGrid w:val="0"/>
              <w:jc w:val="left"/>
              <w:rPr>
                <w:rFonts w:ascii="宋体" w:hAnsi="宋体"/>
                <w:kern w:val="0"/>
                <w:szCs w:val="21"/>
              </w:rPr>
            </w:pPr>
          </w:p>
        </w:tc>
        <w:tc>
          <w:tcPr>
            <w:tcW w:w="1167" w:type="dxa"/>
          </w:tcPr>
          <w:p w14:paraId="5504B67B">
            <w:pPr>
              <w:autoSpaceDE w:val="0"/>
              <w:autoSpaceDN w:val="0"/>
              <w:adjustRightInd w:val="0"/>
              <w:snapToGrid w:val="0"/>
              <w:jc w:val="left"/>
              <w:rPr>
                <w:rFonts w:ascii="宋体" w:hAnsi="宋体"/>
                <w:kern w:val="0"/>
                <w:szCs w:val="21"/>
              </w:rPr>
            </w:pPr>
          </w:p>
        </w:tc>
        <w:tc>
          <w:tcPr>
            <w:tcW w:w="776" w:type="dxa"/>
          </w:tcPr>
          <w:p w14:paraId="65540ACC">
            <w:pPr>
              <w:autoSpaceDE w:val="0"/>
              <w:autoSpaceDN w:val="0"/>
              <w:adjustRightInd w:val="0"/>
              <w:snapToGrid w:val="0"/>
              <w:jc w:val="left"/>
              <w:rPr>
                <w:rFonts w:ascii="宋体" w:hAnsi="宋体"/>
                <w:kern w:val="0"/>
                <w:szCs w:val="21"/>
              </w:rPr>
            </w:pPr>
          </w:p>
        </w:tc>
        <w:tc>
          <w:tcPr>
            <w:tcW w:w="778" w:type="dxa"/>
          </w:tcPr>
          <w:p w14:paraId="440233B8">
            <w:pPr>
              <w:autoSpaceDE w:val="0"/>
              <w:autoSpaceDN w:val="0"/>
              <w:adjustRightInd w:val="0"/>
              <w:snapToGrid w:val="0"/>
              <w:jc w:val="left"/>
              <w:rPr>
                <w:rFonts w:ascii="宋体" w:hAnsi="宋体"/>
                <w:kern w:val="0"/>
                <w:szCs w:val="21"/>
              </w:rPr>
            </w:pPr>
          </w:p>
        </w:tc>
        <w:tc>
          <w:tcPr>
            <w:tcW w:w="776" w:type="dxa"/>
          </w:tcPr>
          <w:p w14:paraId="1710EAD9">
            <w:pPr>
              <w:autoSpaceDE w:val="0"/>
              <w:autoSpaceDN w:val="0"/>
              <w:adjustRightInd w:val="0"/>
              <w:snapToGrid w:val="0"/>
              <w:jc w:val="left"/>
              <w:rPr>
                <w:rFonts w:ascii="宋体" w:hAnsi="宋体"/>
                <w:kern w:val="0"/>
                <w:szCs w:val="21"/>
              </w:rPr>
            </w:pPr>
          </w:p>
        </w:tc>
        <w:tc>
          <w:tcPr>
            <w:tcW w:w="2723" w:type="dxa"/>
          </w:tcPr>
          <w:p w14:paraId="6F9259FE">
            <w:pPr>
              <w:autoSpaceDE w:val="0"/>
              <w:autoSpaceDN w:val="0"/>
              <w:adjustRightInd w:val="0"/>
              <w:snapToGrid w:val="0"/>
              <w:jc w:val="left"/>
              <w:rPr>
                <w:rFonts w:ascii="宋体" w:hAnsi="宋体"/>
                <w:kern w:val="0"/>
                <w:szCs w:val="21"/>
              </w:rPr>
            </w:pPr>
          </w:p>
        </w:tc>
        <w:tc>
          <w:tcPr>
            <w:tcW w:w="896" w:type="dxa"/>
          </w:tcPr>
          <w:p w14:paraId="6552E790">
            <w:pPr>
              <w:autoSpaceDE w:val="0"/>
              <w:autoSpaceDN w:val="0"/>
              <w:adjustRightInd w:val="0"/>
              <w:snapToGrid w:val="0"/>
              <w:jc w:val="left"/>
              <w:rPr>
                <w:rFonts w:ascii="宋体" w:hAnsi="宋体"/>
                <w:kern w:val="0"/>
                <w:szCs w:val="21"/>
              </w:rPr>
            </w:pPr>
          </w:p>
        </w:tc>
      </w:tr>
      <w:tr w14:paraId="124F1F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6DA34E8">
            <w:pPr>
              <w:autoSpaceDE w:val="0"/>
              <w:autoSpaceDN w:val="0"/>
              <w:adjustRightInd w:val="0"/>
              <w:snapToGrid w:val="0"/>
              <w:jc w:val="left"/>
              <w:rPr>
                <w:rFonts w:ascii="宋体" w:hAnsi="宋体"/>
                <w:kern w:val="0"/>
                <w:szCs w:val="21"/>
              </w:rPr>
            </w:pPr>
          </w:p>
        </w:tc>
        <w:tc>
          <w:tcPr>
            <w:tcW w:w="734" w:type="dxa"/>
          </w:tcPr>
          <w:p w14:paraId="2182F2C4">
            <w:pPr>
              <w:autoSpaceDE w:val="0"/>
              <w:autoSpaceDN w:val="0"/>
              <w:adjustRightInd w:val="0"/>
              <w:snapToGrid w:val="0"/>
              <w:jc w:val="left"/>
              <w:rPr>
                <w:rFonts w:ascii="宋体" w:hAnsi="宋体"/>
                <w:kern w:val="0"/>
                <w:szCs w:val="21"/>
              </w:rPr>
            </w:pPr>
          </w:p>
        </w:tc>
        <w:tc>
          <w:tcPr>
            <w:tcW w:w="776" w:type="dxa"/>
          </w:tcPr>
          <w:p w14:paraId="39507126">
            <w:pPr>
              <w:autoSpaceDE w:val="0"/>
              <w:autoSpaceDN w:val="0"/>
              <w:adjustRightInd w:val="0"/>
              <w:snapToGrid w:val="0"/>
              <w:jc w:val="left"/>
              <w:rPr>
                <w:rFonts w:ascii="宋体" w:hAnsi="宋体"/>
                <w:kern w:val="0"/>
                <w:szCs w:val="21"/>
              </w:rPr>
            </w:pPr>
          </w:p>
        </w:tc>
        <w:tc>
          <w:tcPr>
            <w:tcW w:w="1167" w:type="dxa"/>
          </w:tcPr>
          <w:p w14:paraId="02FEA2A6">
            <w:pPr>
              <w:autoSpaceDE w:val="0"/>
              <w:autoSpaceDN w:val="0"/>
              <w:adjustRightInd w:val="0"/>
              <w:snapToGrid w:val="0"/>
              <w:jc w:val="left"/>
              <w:rPr>
                <w:rFonts w:ascii="宋体" w:hAnsi="宋体"/>
                <w:kern w:val="0"/>
                <w:szCs w:val="21"/>
              </w:rPr>
            </w:pPr>
          </w:p>
        </w:tc>
        <w:tc>
          <w:tcPr>
            <w:tcW w:w="776" w:type="dxa"/>
          </w:tcPr>
          <w:p w14:paraId="5A84D139">
            <w:pPr>
              <w:autoSpaceDE w:val="0"/>
              <w:autoSpaceDN w:val="0"/>
              <w:adjustRightInd w:val="0"/>
              <w:snapToGrid w:val="0"/>
              <w:jc w:val="left"/>
              <w:rPr>
                <w:rFonts w:ascii="宋体" w:hAnsi="宋体"/>
                <w:kern w:val="0"/>
                <w:szCs w:val="21"/>
              </w:rPr>
            </w:pPr>
          </w:p>
        </w:tc>
        <w:tc>
          <w:tcPr>
            <w:tcW w:w="778" w:type="dxa"/>
          </w:tcPr>
          <w:p w14:paraId="6C973E0F">
            <w:pPr>
              <w:autoSpaceDE w:val="0"/>
              <w:autoSpaceDN w:val="0"/>
              <w:adjustRightInd w:val="0"/>
              <w:snapToGrid w:val="0"/>
              <w:jc w:val="left"/>
              <w:rPr>
                <w:rFonts w:ascii="宋体" w:hAnsi="宋体"/>
                <w:kern w:val="0"/>
                <w:szCs w:val="21"/>
              </w:rPr>
            </w:pPr>
          </w:p>
        </w:tc>
        <w:tc>
          <w:tcPr>
            <w:tcW w:w="776" w:type="dxa"/>
          </w:tcPr>
          <w:p w14:paraId="76A0FFF3">
            <w:pPr>
              <w:autoSpaceDE w:val="0"/>
              <w:autoSpaceDN w:val="0"/>
              <w:adjustRightInd w:val="0"/>
              <w:snapToGrid w:val="0"/>
              <w:jc w:val="left"/>
              <w:rPr>
                <w:rFonts w:ascii="宋体" w:hAnsi="宋体"/>
                <w:kern w:val="0"/>
                <w:szCs w:val="21"/>
              </w:rPr>
            </w:pPr>
          </w:p>
        </w:tc>
        <w:tc>
          <w:tcPr>
            <w:tcW w:w="2723" w:type="dxa"/>
          </w:tcPr>
          <w:p w14:paraId="3A7C00D3">
            <w:pPr>
              <w:autoSpaceDE w:val="0"/>
              <w:autoSpaceDN w:val="0"/>
              <w:adjustRightInd w:val="0"/>
              <w:snapToGrid w:val="0"/>
              <w:jc w:val="left"/>
              <w:rPr>
                <w:rFonts w:ascii="宋体" w:hAnsi="宋体"/>
                <w:kern w:val="0"/>
                <w:szCs w:val="21"/>
              </w:rPr>
            </w:pPr>
          </w:p>
        </w:tc>
        <w:tc>
          <w:tcPr>
            <w:tcW w:w="896" w:type="dxa"/>
          </w:tcPr>
          <w:p w14:paraId="09FE7214">
            <w:pPr>
              <w:autoSpaceDE w:val="0"/>
              <w:autoSpaceDN w:val="0"/>
              <w:adjustRightInd w:val="0"/>
              <w:snapToGrid w:val="0"/>
              <w:jc w:val="left"/>
              <w:rPr>
                <w:rFonts w:ascii="宋体" w:hAnsi="宋体"/>
                <w:kern w:val="0"/>
                <w:szCs w:val="21"/>
              </w:rPr>
            </w:pPr>
          </w:p>
        </w:tc>
      </w:tr>
      <w:tr w14:paraId="4CA66E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D939FF5">
            <w:pPr>
              <w:autoSpaceDE w:val="0"/>
              <w:autoSpaceDN w:val="0"/>
              <w:adjustRightInd w:val="0"/>
              <w:snapToGrid w:val="0"/>
              <w:jc w:val="left"/>
              <w:rPr>
                <w:rFonts w:ascii="宋体" w:hAnsi="宋体"/>
                <w:kern w:val="0"/>
                <w:szCs w:val="21"/>
              </w:rPr>
            </w:pPr>
          </w:p>
        </w:tc>
        <w:tc>
          <w:tcPr>
            <w:tcW w:w="734" w:type="dxa"/>
          </w:tcPr>
          <w:p w14:paraId="1767C649">
            <w:pPr>
              <w:autoSpaceDE w:val="0"/>
              <w:autoSpaceDN w:val="0"/>
              <w:adjustRightInd w:val="0"/>
              <w:snapToGrid w:val="0"/>
              <w:jc w:val="left"/>
              <w:rPr>
                <w:rFonts w:ascii="宋体" w:hAnsi="宋体"/>
                <w:kern w:val="0"/>
                <w:szCs w:val="21"/>
              </w:rPr>
            </w:pPr>
          </w:p>
        </w:tc>
        <w:tc>
          <w:tcPr>
            <w:tcW w:w="776" w:type="dxa"/>
          </w:tcPr>
          <w:p w14:paraId="21AE6592">
            <w:pPr>
              <w:autoSpaceDE w:val="0"/>
              <w:autoSpaceDN w:val="0"/>
              <w:adjustRightInd w:val="0"/>
              <w:snapToGrid w:val="0"/>
              <w:jc w:val="left"/>
              <w:rPr>
                <w:rFonts w:ascii="宋体" w:hAnsi="宋体"/>
                <w:kern w:val="0"/>
                <w:szCs w:val="21"/>
              </w:rPr>
            </w:pPr>
          </w:p>
        </w:tc>
        <w:tc>
          <w:tcPr>
            <w:tcW w:w="1167" w:type="dxa"/>
          </w:tcPr>
          <w:p w14:paraId="644F0FAC">
            <w:pPr>
              <w:autoSpaceDE w:val="0"/>
              <w:autoSpaceDN w:val="0"/>
              <w:adjustRightInd w:val="0"/>
              <w:snapToGrid w:val="0"/>
              <w:jc w:val="left"/>
              <w:rPr>
                <w:rFonts w:ascii="宋体" w:hAnsi="宋体"/>
                <w:kern w:val="0"/>
                <w:szCs w:val="21"/>
              </w:rPr>
            </w:pPr>
          </w:p>
        </w:tc>
        <w:tc>
          <w:tcPr>
            <w:tcW w:w="776" w:type="dxa"/>
          </w:tcPr>
          <w:p w14:paraId="658D35F5">
            <w:pPr>
              <w:autoSpaceDE w:val="0"/>
              <w:autoSpaceDN w:val="0"/>
              <w:adjustRightInd w:val="0"/>
              <w:snapToGrid w:val="0"/>
              <w:jc w:val="left"/>
              <w:rPr>
                <w:rFonts w:ascii="宋体" w:hAnsi="宋体"/>
                <w:kern w:val="0"/>
                <w:szCs w:val="21"/>
              </w:rPr>
            </w:pPr>
          </w:p>
        </w:tc>
        <w:tc>
          <w:tcPr>
            <w:tcW w:w="778" w:type="dxa"/>
          </w:tcPr>
          <w:p w14:paraId="49B5464D">
            <w:pPr>
              <w:autoSpaceDE w:val="0"/>
              <w:autoSpaceDN w:val="0"/>
              <w:adjustRightInd w:val="0"/>
              <w:snapToGrid w:val="0"/>
              <w:jc w:val="left"/>
              <w:rPr>
                <w:rFonts w:ascii="宋体" w:hAnsi="宋体"/>
                <w:kern w:val="0"/>
                <w:szCs w:val="21"/>
              </w:rPr>
            </w:pPr>
          </w:p>
        </w:tc>
        <w:tc>
          <w:tcPr>
            <w:tcW w:w="776" w:type="dxa"/>
          </w:tcPr>
          <w:p w14:paraId="2F22704B">
            <w:pPr>
              <w:autoSpaceDE w:val="0"/>
              <w:autoSpaceDN w:val="0"/>
              <w:adjustRightInd w:val="0"/>
              <w:snapToGrid w:val="0"/>
              <w:jc w:val="left"/>
              <w:rPr>
                <w:rFonts w:ascii="宋体" w:hAnsi="宋体"/>
                <w:kern w:val="0"/>
                <w:szCs w:val="21"/>
              </w:rPr>
            </w:pPr>
          </w:p>
        </w:tc>
        <w:tc>
          <w:tcPr>
            <w:tcW w:w="2723" w:type="dxa"/>
          </w:tcPr>
          <w:p w14:paraId="035EEFB1">
            <w:pPr>
              <w:autoSpaceDE w:val="0"/>
              <w:autoSpaceDN w:val="0"/>
              <w:adjustRightInd w:val="0"/>
              <w:snapToGrid w:val="0"/>
              <w:jc w:val="left"/>
              <w:rPr>
                <w:rFonts w:ascii="宋体" w:hAnsi="宋体"/>
                <w:kern w:val="0"/>
                <w:szCs w:val="21"/>
              </w:rPr>
            </w:pPr>
          </w:p>
        </w:tc>
        <w:tc>
          <w:tcPr>
            <w:tcW w:w="896" w:type="dxa"/>
          </w:tcPr>
          <w:p w14:paraId="5B69E6E4">
            <w:pPr>
              <w:autoSpaceDE w:val="0"/>
              <w:autoSpaceDN w:val="0"/>
              <w:adjustRightInd w:val="0"/>
              <w:snapToGrid w:val="0"/>
              <w:jc w:val="left"/>
              <w:rPr>
                <w:rFonts w:ascii="宋体" w:hAnsi="宋体"/>
                <w:kern w:val="0"/>
                <w:szCs w:val="21"/>
              </w:rPr>
            </w:pPr>
          </w:p>
        </w:tc>
      </w:tr>
      <w:tr w14:paraId="6625C4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D7CC11D">
            <w:pPr>
              <w:autoSpaceDE w:val="0"/>
              <w:autoSpaceDN w:val="0"/>
              <w:adjustRightInd w:val="0"/>
              <w:snapToGrid w:val="0"/>
              <w:jc w:val="left"/>
              <w:rPr>
                <w:rFonts w:ascii="宋体" w:hAnsi="宋体"/>
                <w:kern w:val="0"/>
                <w:szCs w:val="21"/>
              </w:rPr>
            </w:pPr>
          </w:p>
        </w:tc>
        <w:tc>
          <w:tcPr>
            <w:tcW w:w="734" w:type="dxa"/>
          </w:tcPr>
          <w:p w14:paraId="06EF061E">
            <w:pPr>
              <w:autoSpaceDE w:val="0"/>
              <w:autoSpaceDN w:val="0"/>
              <w:adjustRightInd w:val="0"/>
              <w:snapToGrid w:val="0"/>
              <w:jc w:val="left"/>
              <w:rPr>
                <w:rFonts w:ascii="宋体" w:hAnsi="宋体"/>
                <w:kern w:val="0"/>
                <w:szCs w:val="21"/>
              </w:rPr>
            </w:pPr>
          </w:p>
        </w:tc>
        <w:tc>
          <w:tcPr>
            <w:tcW w:w="776" w:type="dxa"/>
          </w:tcPr>
          <w:p w14:paraId="5B3C9A43">
            <w:pPr>
              <w:autoSpaceDE w:val="0"/>
              <w:autoSpaceDN w:val="0"/>
              <w:adjustRightInd w:val="0"/>
              <w:snapToGrid w:val="0"/>
              <w:jc w:val="left"/>
              <w:rPr>
                <w:rFonts w:ascii="宋体" w:hAnsi="宋体"/>
                <w:kern w:val="0"/>
                <w:szCs w:val="21"/>
              </w:rPr>
            </w:pPr>
          </w:p>
        </w:tc>
        <w:tc>
          <w:tcPr>
            <w:tcW w:w="1167" w:type="dxa"/>
          </w:tcPr>
          <w:p w14:paraId="7AEA742A">
            <w:pPr>
              <w:autoSpaceDE w:val="0"/>
              <w:autoSpaceDN w:val="0"/>
              <w:adjustRightInd w:val="0"/>
              <w:snapToGrid w:val="0"/>
              <w:jc w:val="left"/>
              <w:rPr>
                <w:rFonts w:ascii="宋体" w:hAnsi="宋体"/>
                <w:kern w:val="0"/>
                <w:szCs w:val="21"/>
              </w:rPr>
            </w:pPr>
          </w:p>
        </w:tc>
        <w:tc>
          <w:tcPr>
            <w:tcW w:w="776" w:type="dxa"/>
          </w:tcPr>
          <w:p w14:paraId="6695D123">
            <w:pPr>
              <w:autoSpaceDE w:val="0"/>
              <w:autoSpaceDN w:val="0"/>
              <w:adjustRightInd w:val="0"/>
              <w:snapToGrid w:val="0"/>
              <w:jc w:val="left"/>
              <w:rPr>
                <w:rFonts w:ascii="宋体" w:hAnsi="宋体"/>
                <w:kern w:val="0"/>
                <w:szCs w:val="21"/>
              </w:rPr>
            </w:pPr>
          </w:p>
        </w:tc>
        <w:tc>
          <w:tcPr>
            <w:tcW w:w="778" w:type="dxa"/>
          </w:tcPr>
          <w:p w14:paraId="71D60D47">
            <w:pPr>
              <w:autoSpaceDE w:val="0"/>
              <w:autoSpaceDN w:val="0"/>
              <w:adjustRightInd w:val="0"/>
              <w:snapToGrid w:val="0"/>
              <w:jc w:val="left"/>
              <w:rPr>
                <w:rFonts w:ascii="宋体" w:hAnsi="宋体"/>
                <w:kern w:val="0"/>
                <w:szCs w:val="21"/>
              </w:rPr>
            </w:pPr>
          </w:p>
        </w:tc>
        <w:tc>
          <w:tcPr>
            <w:tcW w:w="776" w:type="dxa"/>
          </w:tcPr>
          <w:p w14:paraId="7E980D1E">
            <w:pPr>
              <w:autoSpaceDE w:val="0"/>
              <w:autoSpaceDN w:val="0"/>
              <w:adjustRightInd w:val="0"/>
              <w:snapToGrid w:val="0"/>
              <w:jc w:val="left"/>
              <w:rPr>
                <w:rFonts w:ascii="宋体" w:hAnsi="宋体"/>
                <w:kern w:val="0"/>
                <w:szCs w:val="21"/>
              </w:rPr>
            </w:pPr>
          </w:p>
        </w:tc>
        <w:tc>
          <w:tcPr>
            <w:tcW w:w="2723" w:type="dxa"/>
          </w:tcPr>
          <w:p w14:paraId="2FDF0259">
            <w:pPr>
              <w:autoSpaceDE w:val="0"/>
              <w:autoSpaceDN w:val="0"/>
              <w:adjustRightInd w:val="0"/>
              <w:snapToGrid w:val="0"/>
              <w:jc w:val="left"/>
              <w:rPr>
                <w:rFonts w:ascii="宋体" w:hAnsi="宋体"/>
                <w:kern w:val="0"/>
                <w:szCs w:val="21"/>
              </w:rPr>
            </w:pPr>
          </w:p>
        </w:tc>
        <w:tc>
          <w:tcPr>
            <w:tcW w:w="896" w:type="dxa"/>
          </w:tcPr>
          <w:p w14:paraId="262ABC20">
            <w:pPr>
              <w:autoSpaceDE w:val="0"/>
              <w:autoSpaceDN w:val="0"/>
              <w:adjustRightInd w:val="0"/>
              <w:snapToGrid w:val="0"/>
              <w:jc w:val="left"/>
              <w:rPr>
                <w:rFonts w:ascii="宋体" w:hAnsi="宋体"/>
                <w:kern w:val="0"/>
                <w:szCs w:val="21"/>
              </w:rPr>
            </w:pPr>
          </w:p>
        </w:tc>
      </w:tr>
      <w:tr w14:paraId="349BE6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121FDCE">
            <w:pPr>
              <w:autoSpaceDE w:val="0"/>
              <w:autoSpaceDN w:val="0"/>
              <w:adjustRightInd w:val="0"/>
              <w:snapToGrid w:val="0"/>
              <w:jc w:val="left"/>
              <w:rPr>
                <w:rFonts w:ascii="宋体" w:hAnsi="宋体"/>
                <w:kern w:val="0"/>
                <w:szCs w:val="21"/>
              </w:rPr>
            </w:pPr>
          </w:p>
        </w:tc>
        <w:tc>
          <w:tcPr>
            <w:tcW w:w="734" w:type="dxa"/>
          </w:tcPr>
          <w:p w14:paraId="4F704070">
            <w:pPr>
              <w:autoSpaceDE w:val="0"/>
              <w:autoSpaceDN w:val="0"/>
              <w:adjustRightInd w:val="0"/>
              <w:snapToGrid w:val="0"/>
              <w:jc w:val="left"/>
              <w:rPr>
                <w:rFonts w:ascii="宋体" w:hAnsi="宋体"/>
                <w:kern w:val="0"/>
                <w:szCs w:val="21"/>
              </w:rPr>
            </w:pPr>
          </w:p>
        </w:tc>
        <w:tc>
          <w:tcPr>
            <w:tcW w:w="776" w:type="dxa"/>
          </w:tcPr>
          <w:p w14:paraId="46A331D1">
            <w:pPr>
              <w:autoSpaceDE w:val="0"/>
              <w:autoSpaceDN w:val="0"/>
              <w:adjustRightInd w:val="0"/>
              <w:snapToGrid w:val="0"/>
              <w:jc w:val="left"/>
              <w:rPr>
                <w:rFonts w:ascii="宋体" w:hAnsi="宋体"/>
                <w:kern w:val="0"/>
                <w:szCs w:val="21"/>
              </w:rPr>
            </w:pPr>
          </w:p>
        </w:tc>
        <w:tc>
          <w:tcPr>
            <w:tcW w:w="1167" w:type="dxa"/>
          </w:tcPr>
          <w:p w14:paraId="07D58CD9">
            <w:pPr>
              <w:autoSpaceDE w:val="0"/>
              <w:autoSpaceDN w:val="0"/>
              <w:adjustRightInd w:val="0"/>
              <w:snapToGrid w:val="0"/>
              <w:jc w:val="left"/>
              <w:rPr>
                <w:rFonts w:ascii="宋体" w:hAnsi="宋体"/>
                <w:kern w:val="0"/>
                <w:szCs w:val="21"/>
              </w:rPr>
            </w:pPr>
          </w:p>
        </w:tc>
        <w:tc>
          <w:tcPr>
            <w:tcW w:w="776" w:type="dxa"/>
          </w:tcPr>
          <w:p w14:paraId="4488E073">
            <w:pPr>
              <w:autoSpaceDE w:val="0"/>
              <w:autoSpaceDN w:val="0"/>
              <w:adjustRightInd w:val="0"/>
              <w:snapToGrid w:val="0"/>
              <w:jc w:val="left"/>
              <w:rPr>
                <w:rFonts w:ascii="宋体" w:hAnsi="宋体"/>
                <w:kern w:val="0"/>
                <w:szCs w:val="21"/>
              </w:rPr>
            </w:pPr>
          </w:p>
        </w:tc>
        <w:tc>
          <w:tcPr>
            <w:tcW w:w="778" w:type="dxa"/>
          </w:tcPr>
          <w:p w14:paraId="252CEDCA">
            <w:pPr>
              <w:autoSpaceDE w:val="0"/>
              <w:autoSpaceDN w:val="0"/>
              <w:adjustRightInd w:val="0"/>
              <w:snapToGrid w:val="0"/>
              <w:jc w:val="left"/>
              <w:rPr>
                <w:rFonts w:ascii="宋体" w:hAnsi="宋体"/>
                <w:kern w:val="0"/>
                <w:szCs w:val="21"/>
              </w:rPr>
            </w:pPr>
          </w:p>
        </w:tc>
        <w:tc>
          <w:tcPr>
            <w:tcW w:w="776" w:type="dxa"/>
          </w:tcPr>
          <w:p w14:paraId="7D48DFCF">
            <w:pPr>
              <w:autoSpaceDE w:val="0"/>
              <w:autoSpaceDN w:val="0"/>
              <w:adjustRightInd w:val="0"/>
              <w:snapToGrid w:val="0"/>
              <w:jc w:val="left"/>
              <w:rPr>
                <w:rFonts w:ascii="宋体" w:hAnsi="宋体"/>
                <w:kern w:val="0"/>
                <w:szCs w:val="21"/>
              </w:rPr>
            </w:pPr>
          </w:p>
        </w:tc>
        <w:tc>
          <w:tcPr>
            <w:tcW w:w="2723" w:type="dxa"/>
          </w:tcPr>
          <w:p w14:paraId="3F72EC06">
            <w:pPr>
              <w:autoSpaceDE w:val="0"/>
              <w:autoSpaceDN w:val="0"/>
              <w:adjustRightInd w:val="0"/>
              <w:snapToGrid w:val="0"/>
              <w:jc w:val="left"/>
              <w:rPr>
                <w:rFonts w:ascii="宋体" w:hAnsi="宋体"/>
                <w:kern w:val="0"/>
                <w:szCs w:val="21"/>
              </w:rPr>
            </w:pPr>
          </w:p>
        </w:tc>
        <w:tc>
          <w:tcPr>
            <w:tcW w:w="896" w:type="dxa"/>
          </w:tcPr>
          <w:p w14:paraId="3B5AAD14">
            <w:pPr>
              <w:autoSpaceDE w:val="0"/>
              <w:autoSpaceDN w:val="0"/>
              <w:adjustRightInd w:val="0"/>
              <w:snapToGrid w:val="0"/>
              <w:jc w:val="left"/>
              <w:rPr>
                <w:rFonts w:ascii="宋体" w:hAnsi="宋体"/>
                <w:kern w:val="0"/>
                <w:szCs w:val="21"/>
              </w:rPr>
            </w:pPr>
          </w:p>
        </w:tc>
      </w:tr>
      <w:tr w14:paraId="6FAFE6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84CBC14">
            <w:pPr>
              <w:autoSpaceDE w:val="0"/>
              <w:autoSpaceDN w:val="0"/>
              <w:adjustRightInd w:val="0"/>
              <w:snapToGrid w:val="0"/>
              <w:jc w:val="left"/>
              <w:rPr>
                <w:rFonts w:ascii="宋体" w:hAnsi="宋体"/>
                <w:kern w:val="0"/>
                <w:szCs w:val="21"/>
              </w:rPr>
            </w:pPr>
          </w:p>
        </w:tc>
        <w:tc>
          <w:tcPr>
            <w:tcW w:w="734" w:type="dxa"/>
          </w:tcPr>
          <w:p w14:paraId="5B3A56F0">
            <w:pPr>
              <w:autoSpaceDE w:val="0"/>
              <w:autoSpaceDN w:val="0"/>
              <w:adjustRightInd w:val="0"/>
              <w:snapToGrid w:val="0"/>
              <w:jc w:val="left"/>
              <w:rPr>
                <w:rFonts w:ascii="宋体" w:hAnsi="宋体"/>
                <w:kern w:val="0"/>
                <w:szCs w:val="21"/>
              </w:rPr>
            </w:pPr>
          </w:p>
        </w:tc>
        <w:tc>
          <w:tcPr>
            <w:tcW w:w="776" w:type="dxa"/>
          </w:tcPr>
          <w:p w14:paraId="3DF7456C">
            <w:pPr>
              <w:autoSpaceDE w:val="0"/>
              <w:autoSpaceDN w:val="0"/>
              <w:adjustRightInd w:val="0"/>
              <w:snapToGrid w:val="0"/>
              <w:jc w:val="left"/>
              <w:rPr>
                <w:rFonts w:ascii="宋体" w:hAnsi="宋体"/>
                <w:kern w:val="0"/>
                <w:szCs w:val="21"/>
              </w:rPr>
            </w:pPr>
          </w:p>
        </w:tc>
        <w:tc>
          <w:tcPr>
            <w:tcW w:w="1167" w:type="dxa"/>
          </w:tcPr>
          <w:p w14:paraId="1EB9F357">
            <w:pPr>
              <w:autoSpaceDE w:val="0"/>
              <w:autoSpaceDN w:val="0"/>
              <w:adjustRightInd w:val="0"/>
              <w:snapToGrid w:val="0"/>
              <w:jc w:val="left"/>
              <w:rPr>
                <w:rFonts w:ascii="宋体" w:hAnsi="宋体"/>
                <w:kern w:val="0"/>
                <w:szCs w:val="21"/>
              </w:rPr>
            </w:pPr>
          </w:p>
        </w:tc>
        <w:tc>
          <w:tcPr>
            <w:tcW w:w="776" w:type="dxa"/>
          </w:tcPr>
          <w:p w14:paraId="68EF65C4">
            <w:pPr>
              <w:autoSpaceDE w:val="0"/>
              <w:autoSpaceDN w:val="0"/>
              <w:adjustRightInd w:val="0"/>
              <w:snapToGrid w:val="0"/>
              <w:jc w:val="left"/>
              <w:rPr>
                <w:rFonts w:ascii="宋体" w:hAnsi="宋体"/>
                <w:kern w:val="0"/>
                <w:szCs w:val="21"/>
              </w:rPr>
            </w:pPr>
          </w:p>
        </w:tc>
        <w:tc>
          <w:tcPr>
            <w:tcW w:w="778" w:type="dxa"/>
          </w:tcPr>
          <w:p w14:paraId="4001839D">
            <w:pPr>
              <w:autoSpaceDE w:val="0"/>
              <w:autoSpaceDN w:val="0"/>
              <w:adjustRightInd w:val="0"/>
              <w:snapToGrid w:val="0"/>
              <w:jc w:val="left"/>
              <w:rPr>
                <w:rFonts w:ascii="宋体" w:hAnsi="宋体"/>
                <w:kern w:val="0"/>
                <w:szCs w:val="21"/>
              </w:rPr>
            </w:pPr>
          </w:p>
        </w:tc>
        <w:tc>
          <w:tcPr>
            <w:tcW w:w="776" w:type="dxa"/>
          </w:tcPr>
          <w:p w14:paraId="42B2C3F9">
            <w:pPr>
              <w:autoSpaceDE w:val="0"/>
              <w:autoSpaceDN w:val="0"/>
              <w:adjustRightInd w:val="0"/>
              <w:snapToGrid w:val="0"/>
              <w:jc w:val="left"/>
              <w:rPr>
                <w:rFonts w:ascii="宋体" w:hAnsi="宋体"/>
                <w:kern w:val="0"/>
                <w:szCs w:val="21"/>
              </w:rPr>
            </w:pPr>
          </w:p>
        </w:tc>
        <w:tc>
          <w:tcPr>
            <w:tcW w:w="2723" w:type="dxa"/>
          </w:tcPr>
          <w:p w14:paraId="1B49A12C">
            <w:pPr>
              <w:autoSpaceDE w:val="0"/>
              <w:autoSpaceDN w:val="0"/>
              <w:adjustRightInd w:val="0"/>
              <w:snapToGrid w:val="0"/>
              <w:jc w:val="left"/>
              <w:rPr>
                <w:rFonts w:ascii="宋体" w:hAnsi="宋体"/>
                <w:kern w:val="0"/>
                <w:szCs w:val="21"/>
              </w:rPr>
            </w:pPr>
          </w:p>
        </w:tc>
        <w:tc>
          <w:tcPr>
            <w:tcW w:w="896" w:type="dxa"/>
          </w:tcPr>
          <w:p w14:paraId="38DA352E">
            <w:pPr>
              <w:autoSpaceDE w:val="0"/>
              <w:autoSpaceDN w:val="0"/>
              <w:adjustRightInd w:val="0"/>
              <w:snapToGrid w:val="0"/>
              <w:jc w:val="left"/>
              <w:rPr>
                <w:rFonts w:ascii="宋体" w:hAnsi="宋体"/>
                <w:kern w:val="0"/>
                <w:szCs w:val="21"/>
              </w:rPr>
            </w:pPr>
          </w:p>
        </w:tc>
      </w:tr>
      <w:tr w14:paraId="53A828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2582574">
            <w:pPr>
              <w:autoSpaceDE w:val="0"/>
              <w:autoSpaceDN w:val="0"/>
              <w:adjustRightInd w:val="0"/>
              <w:snapToGrid w:val="0"/>
              <w:jc w:val="left"/>
              <w:rPr>
                <w:rFonts w:ascii="宋体" w:hAnsi="宋体"/>
                <w:kern w:val="0"/>
                <w:szCs w:val="21"/>
              </w:rPr>
            </w:pPr>
          </w:p>
        </w:tc>
        <w:tc>
          <w:tcPr>
            <w:tcW w:w="734" w:type="dxa"/>
          </w:tcPr>
          <w:p w14:paraId="4ABA919B">
            <w:pPr>
              <w:autoSpaceDE w:val="0"/>
              <w:autoSpaceDN w:val="0"/>
              <w:adjustRightInd w:val="0"/>
              <w:snapToGrid w:val="0"/>
              <w:jc w:val="left"/>
              <w:rPr>
                <w:rFonts w:ascii="宋体" w:hAnsi="宋体"/>
                <w:kern w:val="0"/>
                <w:szCs w:val="21"/>
              </w:rPr>
            </w:pPr>
          </w:p>
        </w:tc>
        <w:tc>
          <w:tcPr>
            <w:tcW w:w="776" w:type="dxa"/>
          </w:tcPr>
          <w:p w14:paraId="691C605A">
            <w:pPr>
              <w:autoSpaceDE w:val="0"/>
              <w:autoSpaceDN w:val="0"/>
              <w:adjustRightInd w:val="0"/>
              <w:snapToGrid w:val="0"/>
              <w:jc w:val="left"/>
              <w:rPr>
                <w:rFonts w:ascii="宋体" w:hAnsi="宋体"/>
                <w:kern w:val="0"/>
                <w:szCs w:val="21"/>
              </w:rPr>
            </w:pPr>
          </w:p>
        </w:tc>
        <w:tc>
          <w:tcPr>
            <w:tcW w:w="1167" w:type="dxa"/>
          </w:tcPr>
          <w:p w14:paraId="616BAD20">
            <w:pPr>
              <w:autoSpaceDE w:val="0"/>
              <w:autoSpaceDN w:val="0"/>
              <w:adjustRightInd w:val="0"/>
              <w:snapToGrid w:val="0"/>
              <w:jc w:val="left"/>
              <w:rPr>
                <w:rFonts w:ascii="宋体" w:hAnsi="宋体"/>
                <w:kern w:val="0"/>
                <w:szCs w:val="21"/>
              </w:rPr>
            </w:pPr>
          </w:p>
        </w:tc>
        <w:tc>
          <w:tcPr>
            <w:tcW w:w="776" w:type="dxa"/>
          </w:tcPr>
          <w:p w14:paraId="712CF6DA">
            <w:pPr>
              <w:autoSpaceDE w:val="0"/>
              <w:autoSpaceDN w:val="0"/>
              <w:adjustRightInd w:val="0"/>
              <w:snapToGrid w:val="0"/>
              <w:jc w:val="left"/>
              <w:rPr>
                <w:rFonts w:ascii="宋体" w:hAnsi="宋体"/>
                <w:kern w:val="0"/>
                <w:szCs w:val="21"/>
              </w:rPr>
            </w:pPr>
          </w:p>
        </w:tc>
        <w:tc>
          <w:tcPr>
            <w:tcW w:w="778" w:type="dxa"/>
          </w:tcPr>
          <w:p w14:paraId="04B2C762">
            <w:pPr>
              <w:autoSpaceDE w:val="0"/>
              <w:autoSpaceDN w:val="0"/>
              <w:adjustRightInd w:val="0"/>
              <w:snapToGrid w:val="0"/>
              <w:jc w:val="left"/>
              <w:rPr>
                <w:rFonts w:ascii="宋体" w:hAnsi="宋体"/>
                <w:kern w:val="0"/>
                <w:szCs w:val="21"/>
              </w:rPr>
            </w:pPr>
          </w:p>
        </w:tc>
        <w:tc>
          <w:tcPr>
            <w:tcW w:w="776" w:type="dxa"/>
          </w:tcPr>
          <w:p w14:paraId="51801C42">
            <w:pPr>
              <w:autoSpaceDE w:val="0"/>
              <w:autoSpaceDN w:val="0"/>
              <w:adjustRightInd w:val="0"/>
              <w:snapToGrid w:val="0"/>
              <w:jc w:val="left"/>
              <w:rPr>
                <w:rFonts w:ascii="宋体" w:hAnsi="宋体"/>
                <w:kern w:val="0"/>
                <w:szCs w:val="21"/>
              </w:rPr>
            </w:pPr>
          </w:p>
        </w:tc>
        <w:tc>
          <w:tcPr>
            <w:tcW w:w="2723" w:type="dxa"/>
          </w:tcPr>
          <w:p w14:paraId="022EE1B5">
            <w:pPr>
              <w:autoSpaceDE w:val="0"/>
              <w:autoSpaceDN w:val="0"/>
              <w:adjustRightInd w:val="0"/>
              <w:snapToGrid w:val="0"/>
              <w:jc w:val="left"/>
              <w:rPr>
                <w:rFonts w:ascii="宋体" w:hAnsi="宋体"/>
                <w:kern w:val="0"/>
                <w:szCs w:val="21"/>
              </w:rPr>
            </w:pPr>
          </w:p>
        </w:tc>
        <w:tc>
          <w:tcPr>
            <w:tcW w:w="896" w:type="dxa"/>
          </w:tcPr>
          <w:p w14:paraId="5DE7933A">
            <w:pPr>
              <w:autoSpaceDE w:val="0"/>
              <w:autoSpaceDN w:val="0"/>
              <w:adjustRightInd w:val="0"/>
              <w:snapToGrid w:val="0"/>
              <w:jc w:val="left"/>
              <w:rPr>
                <w:rFonts w:ascii="宋体" w:hAnsi="宋体"/>
                <w:kern w:val="0"/>
                <w:szCs w:val="21"/>
              </w:rPr>
            </w:pPr>
          </w:p>
        </w:tc>
      </w:tr>
      <w:tr w14:paraId="24AFFF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1418F96">
            <w:pPr>
              <w:autoSpaceDE w:val="0"/>
              <w:autoSpaceDN w:val="0"/>
              <w:adjustRightInd w:val="0"/>
              <w:snapToGrid w:val="0"/>
              <w:jc w:val="left"/>
              <w:rPr>
                <w:rFonts w:ascii="宋体" w:hAnsi="宋体"/>
                <w:kern w:val="0"/>
                <w:szCs w:val="21"/>
              </w:rPr>
            </w:pPr>
          </w:p>
        </w:tc>
        <w:tc>
          <w:tcPr>
            <w:tcW w:w="734" w:type="dxa"/>
          </w:tcPr>
          <w:p w14:paraId="14ACFB48">
            <w:pPr>
              <w:autoSpaceDE w:val="0"/>
              <w:autoSpaceDN w:val="0"/>
              <w:adjustRightInd w:val="0"/>
              <w:snapToGrid w:val="0"/>
              <w:jc w:val="left"/>
              <w:rPr>
                <w:rFonts w:ascii="宋体" w:hAnsi="宋体"/>
                <w:kern w:val="0"/>
                <w:szCs w:val="21"/>
              </w:rPr>
            </w:pPr>
          </w:p>
        </w:tc>
        <w:tc>
          <w:tcPr>
            <w:tcW w:w="776" w:type="dxa"/>
          </w:tcPr>
          <w:p w14:paraId="41CBB4FD">
            <w:pPr>
              <w:autoSpaceDE w:val="0"/>
              <w:autoSpaceDN w:val="0"/>
              <w:adjustRightInd w:val="0"/>
              <w:snapToGrid w:val="0"/>
              <w:jc w:val="left"/>
              <w:rPr>
                <w:rFonts w:ascii="宋体" w:hAnsi="宋体"/>
                <w:kern w:val="0"/>
                <w:szCs w:val="21"/>
              </w:rPr>
            </w:pPr>
          </w:p>
        </w:tc>
        <w:tc>
          <w:tcPr>
            <w:tcW w:w="1167" w:type="dxa"/>
          </w:tcPr>
          <w:p w14:paraId="47D457C4">
            <w:pPr>
              <w:autoSpaceDE w:val="0"/>
              <w:autoSpaceDN w:val="0"/>
              <w:adjustRightInd w:val="0"/>
              <w:snapToGrid w:val="0"/>
              <w:jc w:val="left"/>
              <w:rPr>
                <w:rFonts w:ascii="宋体" w:hAnsi="宋体"/>
                <w:kern w:val="0"/>
                <w:szCs w:val="21"/>
              </w:rPr>
            </w:pPr>
          </w:p>
        </w:tc>
        <w:tc>
          <w:tcPr>
            <w:tcW w:w="776" w:type="dxa"/>
          </w:tcPr>
          <w:p w14:paraId="30F1F0A7">
            <w:pPr>
              <w:autoSpaceDE w:val="0"/>
              <w:autoSpaceDN w:val="0"/>
              <w:adjustRightInd w:val="0"/>
              <w:snapToGrid w:val="0"/>
              <w:jc w:val="left"/>
              <w:rPr>
                <w:rFonts w:ascii="宋体" w:hAnsi="宋体"/>
                <w:kern w:val="0"/>
                <w:szCs w:val="21"/>
              </w:rPr>
            </w:pPr>
          </w:p>
        </w:tc>
        <w:tc>
          <w:tcPr>
            <w:tcW w:w="778" w:type="dxa"/>
          </w:tcPr>
          <w:p w14:paraId="2AC2C990">
            <w:pPr>
              <w:autoSpaceDE w:val="0"/>
              <w:autoSpaceDN w:val="0"/>
              <w:adjustRightInd w:val="0"/>
              <w:snapToGrid w:val="0"/>
              <w:jc w:val="left"/>
              <w:rPr>
                <w:rFonts w:ascii="宋体" w:hAnsi="宋体"/>
                <w:kern w:val="0"/>
                <w:szCs w:val="21"/>
              </w:rPr>
            </w:pPr>
          </w:p>
        </w:tc>
        <w:tc>
          <w:tcPr>
            <w:tcW w:w="776" w:type="dxa"/>
          </w:tcPr>
          <w:p w14:paraId="2FCF00F0">
            <w:pPr>
              <w:autoSpaceDE w:val="0"/>
              <w:autoSpaceDN w:val="0"/>
              <w:adjustRightInd w:val="0"/>
              <w:snapToGrid w:val="0"/>
              <w:jc w:val="left"/>
              <w:rPr>
                <w:rFonts w:ascii="宋体" w:hAnsi="宋体"/>
                <w:kern w:val="0"/>
                <w:szCs w:val="21"/>
              </w:rPr>
            </w:pPr>
          </w:p>
        </w:tc>
        <w:tc>
          <w:tcPr>
            <w:tcW w:w="2723" w:type="dxa"/>
          </w:tcPr>
          <w:p w14:paraId="0F7D4A8A">
            <w:pPr>
              <w:autoSpaceDE w:val="0"/>
              <w:autoSpaceDN w:val="0"/>
              <w:adjustRightInd w:val="0"/>
              <w:snapToGrid w:val="0"/>
              <w:jc w:val="left"/>
              <w:rPr>
                <w:rFonts w:ascii="宋体" w:hAnsi="宋体"/>
                <w:kern w:val="0"/>
                <w:szCs w:val="21"/>
              </w:rPr>
            </w:pPr>
          </w:p>
        </w:tc>
        <w:tc>
          <w:tcPr>
            <w:tcW w:w="896" w:type="dxa"/>
          </w:tcPr>
          <w:p w14:paraId="43B31CE0">
            <w:pPr>
              <w:autoSpaceDE w:val="0"/>
              <w:autoSpaceDN w:val="0"/>
              <w:adjustRightInd w:val="0"/>
              <w:snapToGrid w:val="0"/>
              <w:jc w:val="left"/>
              <w:rPr>
                <w:rFonts w:ascii="宋体" w:hAnsi="宋体"/>
                <w:kern w:val="0"/>
                <w:szCs w:val="21"/>
              </w:rPr>
            </w:pPr>
          </w:p>
        </w:tc>
      </w:tr>
      <w:tr w14:paraId="3C2644F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99ADB31">
            <w:pPr>
              <w:autoSpaceDE w:val="0"/>
              <w:autoSpaceDN w:val="0"/>
              <w:adjustRightInd w:val="0"/>
              <w:snapToGrid w:val="0"/>
              <w:jc w:val="left"/>
              <w:rPr>
                <w:rFonts w:ascii="宋体" w:hAnsi="宋体"/>
                <w:kern w:val="0"/>
                <w:szCs w:val="21"/>
              </w:rPr>
            </w:pPr>
          </w:p>
        </w:tc>
        <w:tc>
          <w:tcPr>
            <w:tcW w:w="734" w:type="dxa"/>
          </w:tcPr>
          <w:p w14:paraId="344FD1DC">
            <w:pPr>
              <w:autoSpaceDE w:val="0"/>
              <w:autoSpaceDN w:val="0"/>
              <w:adjustRightInd w:val="0"/>
              <w:snapToGrid w:val="0"/>
              <w:jc w:val="left"/>
              <w:rPr>
                <w:rFonts w:ascii="宋体" w:hAnsi="宋体"/>
                <w:kern w:val="0"/>
                <w:szCs w:val="21"/>
              </w:rPr>
            </w:pPr>
          </w:p>
        </w:tc>
        <w:tc>
          <w:tcPr>
            <w:tcW w:w="776" w:type="dxa"/>
          </w:tcPr>
          <w:p w14:paraId="72E06050">
            <w:pPr>
              <w:autoSpaceDE w:val="0"/>
              <w:autoSpaceDN w:val="0"/>
              <w:adjustRightInd w:val="0"/>
              <w:snapToGrid w:val="0"/>
              <w:jc w:val="left"/>
              <w:rPr>
                <w:rFonts w:ascii="宋体" w:hAnsi="宋体"/>
                <w:kern w:val="0"/>
                <w:szCs w:val="21"/>
              </w:rPr>
            </w:pPr>
          </w:p>
        </w:tc>
        <w:tc>
          <w:tcPr>
            <w:tcW w:w="1167" w:type="dxa"/>
          </w:tcPr>
          <w:p w14:paraId="0B57303D">
            <w:pPr>
              <w:autoSpaceDE w:val="0"/>
              <w:autoSpaceDN w:val="0"/>
              <w:adjustRightInd w:val="0"/>
              <w:snapToGrid w:val="0"/>
              <w:jc w:val="left"/>
              <w:rPr>
                <w:rFonts w:ascii="宋体" w:hAnsi="宋体"/>
                <w:kern w:val="0"/>
                <w:szCs w:val="21"/>
              </w:rPr>
            </w:pPr>
          </w:p>
        </w:tc>
        <w:tc>
          <w:tcPr>
            <w:tcW w:w="776" w:type="dxa"/>
          </w:tcPr>
          <w:p w14:paraId="20BC544A">
            <w:pPr>
              <w:autoSpaceDE w:val="0"/>
              <w:autoSpaceDN w:val="0"/>
              <w:adjustRightInd w:val="0"/>
              <w:snapToGrid w:val="0"/>
              <w:jc w:val="left"/>
              <w:rPr>
                <w:rFonts w:ascii="宋体" w:hAnsi="宋体"/>
                <w:kern w:val="0"/>
                <w:szCs w:val="21"/>
              </w:rPr>
            </w:pPr>
          </w:p>
        </w:tc>
        <w:tc>
          <w:tcPr>
            <w:tcW w:w="778" w:type="dxa"/>
          </w:tcPr>
          <w:p w14:paraId="57541A29">
            <w:pPr>
              <w:autoSpaceDE w:val="0"/>
              <w:autoSpaceDN w:val="0"/>
              <w:adjustRightInd w:val="0"/>
              <w:snapToGrid w:val="0"/>
              <w:jc w:val="left"/>
              <w:rPr>
                <w:rFonts w:ascii="宋体" w:hAnsi="宋体"/>
                <w:kern w:val="0"/>
                <w:szCs w:val="21"/>
              </w:rPr>
            </w:pPr>
          </w:p>
        </w:tc>
        <w:tc>
          <w:tcPr>
            <w:tcW w:w="776" w:type="dxa"/>
          </w:tcPr>
          <w:p w14:paraId="1930D3A5">
            <w:pPr>
              <w:autoSpaceDE w:val="0"/>
              <w:autoSpaceDN w:val="0"/>
              <w:adjustRightInd w:val="0"/>
              <w:snapToGrid w:val="0"/>
              <w:jc w:val="left"/>
              <w:rPr>
                <w:rFonts w:ascii="宋体" w:hAnsi="宋体"/>
                <w:kern w:val="0"/>
                <w:szCs w:val="21"/>
              </w:rPr>
            </w:pPr>
          </w:p>
        </w:tc>
        <w:tc>
          <w:tcPr>
            <w:tcW w:w="2723" w:type="dxa"/>
          </w:tcPr>
          <w:p w14:paraId="4ABFF445">
            <w:pPr>
              <w:autoSpaceDE w:val="0"/>
              <w:autoSpaceDN w:val="0"/>
              <w:adjustRightInd w:val="0"/>
              <w:snapToGrid w:val="0"/>
              <w:jc w:val="left"/>
              <w:rPr>
                <w:rFonts w:ascii="宋体" w:hAnsi="宋体"/>
                <w:kern w:val="0"/>
                <w:szCs w:val="21"/>
              </w:rPr>
            </w:pPr>
          </w:p>
        </w:tc>
        <w:tc>
          <w:tcPr>
            <w:tcW w:w="896" w:type="dxa"/>
          </w:tcPr>
          <w:p w14:paraId="025A1BC6">
            <w:pPr>
              <w:autoSpaceDE w:val="0"/>
              <w:autoSpaceDN w:val="0"/>
              <w:adjustRightInd w:val="0"/>
              <w:snapToGrid w:val="0"/>
              <w:jc w:val="left"/>
              <w:rPr>
                <w:rFonts w:ascii="宋体" w:hAnsi="宋体"/>
                <w:kern w:val="0"/>
                <w:szCs w:val="21"/>
              </w:rPr>
            </w:pPr>
          </w:p>
        </w:tc>
      </w:tr>
      <w:tr w14:paraId="0EE9B5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333E15E">
            <w:pPr>
              <w:autoSpaceDE w:val="0"/>
              <w:autoSpaceDN w:val="0"/>
              <w:adjustRightInd w:val="0"/>
              <w:snapToGrid w:val="0"/>
              <w:jc w:val="left"/>
              <w:rPr>
                <w:rFonts w:ascii="宋体" w:hAnsi="宋体"/>
                <w:kern w:val="0"/>
                <w:szCs w:val="21"/>
              </w:rPr>
            </w:pPr>
          </w:p>
        </w:tc>
        <w:tc>
          <w:tcPr>
            <w:tcW w:w="734" w:type="dxa"/>
          </w:tcPr>
          <w:p w14:paraId="1B881E3E">
            <w:pPr>
              <w:autoSpaceDE w:val="0"/>
              <w:autoSpaceDN w:val="0"/>
              <w:adjustRightInd w:val="0"/>
              <w:snapToGrid w:val="0"/>
              <w:jc w:val="left"/>
              <w:rPr>
                <w:rFonts w:ascii="宋体" w:hAnsi="宋体"/>
                <w:kern w:val="0"/>
                <w:szCs w:val="21"/>
              </w:rPr>
            </w:pPr>
          </w:p>
        </w:tc>
        <w:tc>
          <w:tcPr>
            <w:tcW w:w="776" w:type="dxa"/>
          </w:tcPr>
          <w:p w14:paraId="0CE439E4">
            <w:pPr>
              <w:autoSpaceDE w:val="0"/>
              <w:autoSpaceDN w:val="0"/>
              <w:adjustRightInd w:val="0"/>
              <w:snapToGrid w:val="0"/>
              <w:jc w:val="left"/>
              <w:rPr>
                <w:rFonts w:ascii="宋体" w:hAnsi="宋体"/>
                <w:kern w:val="0"/>
                <w:szCs w:val="21"/>
              </w:rPr>
            </w:pPr>
          </w:p>
        </w:tc>
        <w:tc>
          <w:tcPr>
            <w:tcW w:w="1167" w:type="dxa"/>
          </w:tcPr>
          <w:p w14:paraId="178A5F06">
            <w:pPr>
              <w:autoSpaceDE w:val="0"/>
              <w:autoSpaceDN w:val="0"/>
              <w:adjustRightInd w:val="0"/>
              <w:snapToGrid w:val="0"/>
              <w:jc w:val="left"/>
              <w:rPr>
                <w:rFonts w:ascii="宋体" w:hAnsi="宋体"/>
                <w:kern w:val="0"/>
                <w:szCs w:val="21"/>
              </w:rPr>
            </w:pPr>
          </w:p>
        </w:tc>
        <w:tc>
          <w:tcPr>
            <w:tcW w:w="776" w:type="dxa"/>
          </w:tcPr>
          <w:p w14:paraId="1CF14791">
            <w:pPr>
              <w:autoSpaceDE w:val="0"/>
              <w:autoSpaceDN w:val="0"/>
              <w:adjustRightInd w:val="0"/>
              <w:snapToGrid w:val="0"/>
              <w:jc w:val="left"/>
              <w:rPr>
                <w:rFonts w:ascii="宋体" w:hAnsi="宋体"/>
                <w:kern w:val="0"/>
                <w:szCs w:val="21"/>
              </w:rPr>
            </w:pPr>
          </w:p>
        </w:tc>
        <w:tc>
          <w:tcPr>
            <w:tcW w:w="778" w:type="dxa"/>
          </w:tcPr>
          <w:p w14:paraId="739FF4AE">
            <w:pPr>
              <w:autoSpaceDE w:val="0"/>
              <w:autoSpaceDN w:val="0"/>
              <w:adjustRightInd w:val="0"/>
              <w:snapToGrid w:val="0"/>
              <w:jc w:val="left"/>
              <w:rPr>
                <w:rFonts w:ascii="宋体" w:hAnsi="宋体"/>
                <w:kern w:val="0"/>
                <w:szCs w:val="21"/>
              </w:rPr>
            </w:pPr>
          </w:p>
        </w:tc>
        <w:tc>
          <w:tcPr>
            <w:tcW w:w="776" w:type="dxa"/>
          </w:tcPr>
          <w:p w14:paraId="7B1A028D">
            <w:pPr>
              <w:autoSpaceDE w:val="0"/>
              <w:autoSpaceDN w:val="0"/>
              <w:adjustRightInd w:val="0"/>
              <w:snapToGrid w:val="0"/>
              <w:jc w:val="left"/>
              <w:rPr>
                <w:rFonts w:ascii="宋体" w:hAnsi="宋体"/>
                <w:kern w:val="0"/>
                <w:szCs w:val="21"/>
              </w:rPr>
            </w:pPr>
          </w:p>
        </w:tc>
        <w:tc>
          <w:tcPr>
            <w:tcW w:w="2723" w:type="dxa"/>
          </w:tcPr>
          <w:p w14:paraId="4395FFC2">
            <w:pPr>
              <w:autoSpaceDE w:val="0"/>
              <w:autoSpaceDN w:val="0"/>
              <w:adjustRightInd w:val="0"/>
              <w:snapToGrid w:val="0"/>
              <w:jc w:val="left"/>
              <w:rPr>
                <w:rFonts w:ascii="宋体" w:hAnsi="宋体"/>
                <w:kern w:val="0"/>
                <w:szCs w:val="21"/>
              </w:rPr>
            </w:pPr>
          </w:p>
        </w:tc>
        <w:tc>
          <w:tcPr>
            <w:tcW w:w="896" w:type="dxa"/>
          </w:tcPr>
          <w:p w14:paraId="361651C9">
            <w:pPr>
              <w:autoSpaceDE w:val="0"/>
              <w:autoSpaceDN w:val="0"/>
              <w:adjustRightInd w:val="0"/>
              <w:snapToGrid w:val="0"/>
              <w:jc w:val="left"/>
              <w:rPr>
                <w:rFonts w:ascii="宋体" w:hAnsi="宋体"/>
                <w:kern w:val="0"/>
                <w:szCs w:val="21"/>
              </w:rPr>
            </w:pPr>
          </w:p>
        </w:tc>
      </w:tr>
      <w:tr w14:paraId="7EA57E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FB09A60">
            <w:pPr>
              <w:autoSpaceDE w:val="0"/>
              <w:autoSpaceDN w:val="0"/>
              <w:adjustRightInd w:val="0"/>
              <w:snapToGrid w:val="0"/>
              <w:jc w:val="left"/>
              <w:rPr>
                <w:rFonts w:ascii="宋体" w:hAnsi="宋体"/>
                <w:kern w:val="0"/>
                <w:szCs w:val="21"/>
              </w:rPr>
            </w:pPr>
          </w:p>
        </w:tc>
        <w:tc>
          <w:tcPr>
            <w:tcW w:w="734" w:type="dxa"/>
          </w:tcPr>
          <w:p w14:paraId="363C4C22">
            <w:pPr>
              <w:autoSpaceDE w:val="0"/>
              <w:autoSpaceDN w:val="0"/>
              <w:adjustRightInd w:val="0"/>
              <w:snapToGrid w:val="0"/>
              <w:jc w:val="left"/>
              <w:rPr>
                <w:rFonts w:ascii="宋体" w:hAnsi="宋体"/>
                <w:kern w:val="0"/>
                <w:szCs w:val="21"/>
              </w:rPr>
            </w:pPr>
          </w:p>
        </w:tc>
        <w:tc>
          <w:tcPr>
            <w:tcW w:w="776" w:type="dxa"/>
          </w:tcPr>
          <w:p w14:paraId="5F13FF12">
            <w:pPr>
              <w:autoSpaceDE w:val="0"/>
              <w:autoSpaceDN w:val="0"/>
              <w:adjustRightInd w:val="0"/>
              <w:snapToGrid w:val="0"/>
              <w:jc w:val="left"/>
              <w:rPr>
                <w:rFonts w:ascii="宋体" w:hAnsi="宋体"/>
                <w:kern w:val="0"/>
                <w:szCs w:val="21"/>
              </w:rPr>
            </w:pPr>
          </w:p>
        </w:tc>
        <w:tc>
          <w:tcPr>
            <w:tcW w:w="1167" w:type="dxa"/>
          </w:tcPr>
          <w:p w14:paraId="504D9441">
            <w:pPr>
              <w:autoSpaceDE w:val="0"/>
              <w:autoSpaceDN w:val="0"/>
              <w:adjustRightInd w:val="0"/>
              <w:snapToGrid w:val="0"/>
              <w:jc w:val="left"/>
              <w:rPr>
                <w:rFonts w:ascii="宋体" w:hAnsi="宋体"/>
                <w:kern w:val="0"/>
                <w:szCs w:val="21"/>
              </w:rPr>
            </w:pPr>
          </w:p>
        </w:tc>
        <w:tc>
          <w:tcPr>
            <w:tcW w:w="776" w:type="dxa"/>
          </w:tcPr>
          <w:p w14:paraId="13126D68">
            <w:pPr>
              <w:autoSpaceDE w:val="0"/>
              <w:autoSpaceDN w:val="0"/>
              <w:adjustRightInd w:val="0"/>
              <w:snapToGrid w:val="0"/>
              <w:jc w:val="left"/>
              <w:rPr>
                <w:rFonts w:ascii="宋体" w:hAnsi="宋体"/>
                <w:kern w:val="0"/>
                <w:szCs w:val="21"/>
              </w:rPr>
            </w:pPr>
          </w:p>
        </w:tc>
        <w:tc>
          <w:tcPr>
            <w:tcW w:w="778" w:type="dxa"/>
          </w:tcPr>
          <w:p w14:paraId="1B7682BB">
            <w:pPr>
              <w:autoSpaceDE w:val="0"/>
              <w:autoSpaceDN w:val="0"/>
              <w:adjustRightInd w:val="0"/>
              <w:snapToGrid w:val="0"/>
              <w:jc w:val="left"/>
              <w:rPr>
                <w:rFonts w:ascii="宋体" w:hAnsi="宋体"/>
                <w:kern w:val="0"/>
                <w:szCs w:val="21"/>
              </w:rPr>
            </w:pPr>
          </w:p>
        </w:tc>
        <w:tc>
          <w:tcPr>
            <w:tcW w:w="776" w:type="dxa"/>
          </w:tcPr>
          <w:p w14:paraId="4E12731A">
            <w:pPr>
              <w:autoSpaceDE w:val="0"/>
              <w:autoSpaceDN w:val="0"/>
              <w:adjustRightInd w:val="0"/>
              <w:snapToGrid w:val="0"/>
              <w:jc w:val="left"/>
              <w:rPr>
                <w:rFonts w:ascii="宋体" w:hAnsi="宋体"/>
                <w:kern w:val="0"/>
                <w:szCs w:val="21"/>
              </w:rPr>
            </w:pPr>
          </w:p>
        </w:tc>
        <w:tc>
          <w:tcPr>
            <w:tcW w:w="2723" w:type="dxa"/>
          </w:tcPr>
          <w:p w14:paraId="727A7BE3">
            <w:pPr>
              <w:autoSpaceDE w:val="0"/>
              <w:autoSpaceDN w:val="0"/>
              <w:adjustRightInd w:val="0"/>
              <w:snapToGrid w:val="0"/>
              <w:jc w:val="left"/>
              <w:rPr>
                <w:rFonts w:ascii="宋体" w:hAnsi="宋体"/>
                <w:kern w:val="0"/>
                <w:szCs w:val="21"/>
              </w:rPr>
            </w:pPr>
          </w:p>
        </w:tc>
        <w:tc>
          <w:tcPr>
            <w:tcW w:w="896" w:type="dxa"/>
          </w:tcPr>
          <w:p w14:paraId="19097C7E">
            <w:pPr>
              <w:autoSpaceDE w:val="0"/>
              <w:autoSpaceDN w:val="0"/>
              <w:adjustRightInd w:val="0"/>
              <w:snapToGrid w:val="0"/>
              <w:jc w:val="left"/>
              <w:rPr>
                <w:rFonts w:ascii="宋体" w:hAnsi="宋体"/>
                <w:kern w:val="0"/>
                <w:szCs w:val="21"/>
              </w:rPr>
            </w:pPr>
          </w:p>
        </w:tc>
      </w:tr>
      <w:tr w14:paraId="5A9F39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475B8F6">
            <w:pPr>
              <w:autoSpaceDE w:val="0"/>
              <w:autoSpaceDN w:val="0"/>
              <w:adjustRightInd w:val="0"/>
              <w:snapToGrid w:val="0"/>
              <w:jc w:val="left"/>
              <w:rPr>
                <w:rFonts w:ascii="宋体" w:hAnsi="宋体"/>
                <w:kern w:val="0"/>
                <w:szCs w:val="21"/>
              </w:rPr>
            </w:pPr>
          </w:p>
        </w:tc>
        <w:tc>
          <w:tcPr>
            <w:tcW w:w="734" w:type="dxa"/>
          </w:tcPr>
          <w:p w14:paraId="117AE389">
            <w:pPr>
              <w:autoSpaceDE w:val="0"/>
              <w:autoSpaceDN w:val="0"/>
              <w:adjustRightInd w:val="0"/>
              <w:snapToGrid w:val="0"/>
              <w:jc w:val="left"/>
              <w:rPr>
                <w:rFonts w:ascii="宋体" w:hAnsi="宋体"/>
                <w:kern w:val="0"/>
                <w:szCs w:val="21"/>
              </w:rPr>
            </w:pPr>
          </w:p>
        </w:tc>
        <w:tc>
          <w:tcPr>
            <w:tcW w:w="776" w:type="dxa"/>
          </w:tcPr>
          <w:p w14:paraId="6A2FBDAA">
            <w:pPr>
              <w:autoSpaceDE w:val="0"/>
              <w:autoSpaceDN w:val="0"/>
              <w:adjustRightInd w:val="0"/>
              <w:snapToGrid w:val="0"/>
              <w:jc w:val="left"/>
              <w:rPr>
                <w:rFonts w:ascii="宋体" w:hAnsi="宋体"/>
                <w:kern w:val="0"/>
                <w:szCs w:val="21"/>
              </w:rPr>
            </w:pPr>
          </w:p>
        </w:tc>
        <w:tc>
          <w:tcPr>
            <w:tcW w:w="1167" w:type="dxa"/>
          </w:tcPr>
          <w:p w14:paraId="3E3CB34A">
            <w:pPr>
              <w:autoSpaceDE w:val="0"/>
              <w:autoSpaceDN w:val="0"/>
              <w:adjustRightInd w:val="0"/>
              <w:snapToGrid w:val="0"/>
              <w:jc w:val="left"/>
              <w:rPr>
                <w:rFonts w:ascii="宋体" w:hAnsi="宋体"/>
                <w:kern w:val="0"/>
                <w:szCs w:val="21"/>
              </w:rPr>
            </w:pPr>
          </w:p>
        </w:tc>
        <w:tc>
          <w:tcPr>
            <w:tcW w:w="776" w:type="dxa"/>
          </w:tcPr>
          <w:p w14:paraId="1BE881FD">
            <w:pPr>
              <w:autoSpaceDE w:val="0"/>
              <w:autoSpaceDN w:val="0"/>
              <w:adjustRightInd w:val="0"/>
              <w:snapToGrid w:val="0"/>
              <w:jc w:val="left"/>
              <w:rPr>
                <w:rFonts w:ascii="宋体" w:hAnsi="宋体"/>
                <w:kern w:val="0"/>
                <w:szCs w:val="21"/>
              </w:rPr>
            </w:pPr>
          </w:p>
        </w:tc>
        <w:tc>
          <w:tcPr>
            <w:tcW w:w="778" w:type="dxa"/>
          </w:tcPr>
          <w:p w14:paraId="6D798183">
            <w:pPr>
              <w:autoSpaceDE w:val="0"/>
              <w:autoSpaceDN w:val="0"/>
              <w:adjustRightInd w:val="0"/>
              <w:snapToGrid w:val="0"/>
              <w:jc w:val="left"/>
              <w:rPr>
                <w:rFonts w:ascii="宋体" w:hAnsi="宋体"/>
                <w:kern w:val="0"/>
                <w:szCs w:val="21"/>
              </w:rPr>
            </w:pPr>
          </w:p>
        </w:tc>
        <w:tc>
          <w:tcPr>
            <w:tcW w:w="776" w:type="dxa"/>
          </w:tcPr>
          <w:p w14:paraId="5A2350F3">
            <w:pPr>
              <w:autoSpaceDE w:val="0"/>
              <w:autoSpaceDN w:val="0"/>
              <w:adjustRightInd w:val="0"/>
              <w:snapToGrid w:val="0"/>
              <w:jc w:val="left"/>
              <w:rPr>
                <w:rFonts w:ascii="宋体" w:hAnsi="宋体"/>
                <w:kern w:val="0"/>
                <w:szCs w:val="21"/>
              </w:rPr>
            </w:pPr>
          </w:p>
        </w:tc>
        <w:tc>
          <w:tcPr>
            <w:tcW w:w="2723" w:type="dxa"/>
          </w:tcPr>
          <w:p w14:paraId="34633754">
            <w:pPr>
              <w:autoSpaceDE w:val="0"/>
              <w:autoSpaceDN w:val="0"/>
              <w:adjustRightInd w:val="0"/>
              <w:snapToGrid w:val="0"/>
              <w:jc w:val="left"/>
              <w:rPr>
                <w:rFonts w:ascii="宋体" w:hAnsi="宋体"/>
                <w:kern w:val="0"/>
                <w:szCs w:val="21"/>
              </w:rPr>
            </w:pPr>
          </w:p>
        </w:tc>
        <w:tc>
          <w:tcPr>
            <w:tcW w:w="896" w:type="dxa"/>
          </w:tcPr>
          <w:p w14:paraId="203B1BCD">
            <w:pPr>
              <w:autoSpaceDE w:val="0"/>
              <w:autoSpaceDN w:val="0"/>
              <w:adjustRightInd w:val="0"/>
              <w:snapToGrid w:val="0"/>
              <w:jc w:val="left"/>
              <w:rPr>
                <w:rFonts w:ascii="宋体" w:hAnsi="宋体"/>
                <w:kern w:val="0"/>
                <w:szCs w:val="21"/>
              </w:rPr>
            </w:pPr>
          </w:p>
        </w:tc>
      </w:tr>
      <w:tr w14:paraId="3D1814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CD2E1CC">
            <w:pPr>
              <w:autoSpaceDE w:val="0"/>
              <w:autoSpaceDN w:val="0"/>
              <w:adjustRightInd w:val="0"/>
              <w:snapToGrid w:val="0"/>
              <w:jc w:val="left"/>
              <w:rPr>
                <w:rFonts w:ascii="宋体" w:hAnsi="宋体"/>
                <w:kern w:val="0"/>
                <w:szCs w:val="21"/>
              </w:rPr>
            </w:pPr>
          </w:p>
        </w:tc>
        <w:tc>
          <w:tcPr>
            <w:tcW w:w="734" w:type="dxa"/>
          </w:tcPr>
          <w:p w14:paraId="28580B48">
            <w:pPr>
              <w:autoSpaceDE w:val="0"/>
              <w:autoSpaceDN w:val="0"/>
              <w:adjustRightInd w:val="0"/>
              <w:snapToGrid w:val="0"/>
              <w:jc w:val="left"/>
              <w:rPr>
                <w:rFonts w:ascii="宋体" w:hAnsi="宋体"/>
                <w:kern w:val="0"/>
                <w:szCs w:val="21"/>
              </w:rPr>
            </w:pPr>
          </w:p>
        </w:tc>
        <w:tc>
          <w:tcPr>
            <w:tcW w:w="776" w:type="dxa"/>
          </w:tcPr>
          <w:p w14:paraId="74E23189">
            <w:pPr>
              <w:autoSpaceDE w:val="0"/>
              <w:autoSpaceDN w:val="0"/>
              <w:adjustRightInd w:val="0"/>
              <w:snapToGrid w:val="0"/>
              <w:jc w:val="left"/>
              <w:rPr>
                <w:rFonts w:ascii="宋体" w:hAnsi="宋体"/>
                <w:kern w:val="0"/>
                <w:szCs w:val="21"/>
              </w:rPr>
            </w:pPr>
          </w:p>
        </w:tc>
        <w:tc>
          <w:tcPr>
            <w:tcW w:w="1167" w:type="dxa"/>
          </w:tcPr>
          <w:p w14:paraId="372708CF">
            <w:pPr>
              <w:autoSpaceDE w:val="0"/>
              <w:autoSpaceDN w:val="0"/>
              <w:adjustRightInd w:val="0"/>
              <w:snapToGrid w:val="0"/>
              <w:jc w:val="left"/>
              <w:rPr>
                <w:rFonts w:ascii="宋体" w:hAnsi="宋体"/>
                <w:kern w:val="0"/>
                <w:szCs w:val="21"/>
              </w:rPr>
            </w:pPr>
          </w:p>
        </w:tc>
        <w:tc>
          <w:tcPr>
            <w:tcW w:w="776" w:type="dxa"/>
          </w:tcPr>
          <w:p w14:paraId="1ED48502">
            <w:pPr>
              <w:autoSpaceDE w:val="0"/>
              <w:autoSpaceDN w:val="0"/>
              <w:adjustRightInd w:val="0"/>
              <w:snapToGrid w:val="0"/>
              <w:jc w:val="left"/>
              <w:rPr>
                <w:rFonts w:ascii="宋体" w:hAnsi="宋体"/>
                <w:kern w:val="0"/>
                <w:szCs w:val="21"/>
              </w:rPr>
            </w:pPr>
          </w:p>
        </w:tc>
        <w:tc>
          <w:tcPr>
            <w:tcW w:w="778" w:type="dxa"/>
          </w:tcPr>
          <w:p w14:paraId="1DD21E7D">
            <w:pPr>
              <w:autoSpaceDE w:val="0"/>
              <w:autoSpaceDN w:val="0"/>
              <w:adjustRightInd w:val="0"/>
              <w:snapToGrid w:val="0"/>
              <w:jc w:val="left"/>
              <w:rPr>
                <w:rFonts w:ascii="宋体" w:hAnsi="宋体"/>
                <w:kern w:val="0"/>
                <w:szCs w:val="21"/>
              </w:rPr>
            </w:pPr>
          </w:p>
        </w:tc>
        <w:tc>
          <w:tcPr>
            <w:tcW w:w="776" w:type="dxa"/>
          </w:tcPr>
          <w:p w14:paraId="2F09855B">
            <w:pPr>
              <w:autoSpaceDE w:val="0"/>
              <w:autoSpaceDN w:val="0"/>
              <w:adjustRightInd w:val="0"/>
              <w:snapToGrid w:val="0"/>
              <w:jc w:val="left"/>
              <w:rPr>
                <w:rFonts w:ascii="宋体" w:hAnsi="宋体"/>
                <w:kern w:val="0"/>
                <w:szCs w:val="21"/>
              </w:rPr>
            </w:pPr>
          </w:p>
        </w:tc>
        <w:tc>
          <w:tcPr>
            <w:tcW w:w="2723" w:type="dxa"/>
          </w:tcPr>
          <w:p w14:paraId="50B83C90">
            <w:pPr>
              <w:autoSpaceDE w:val="0"/>
              <w:autoSpaceDN w:val="0"/>
              <w:adjustRightInd w:val="0"/>
              <w:snapToGrid w:val="0"/>
              <w:jc w:val="left"/>
              <w:rPr>
                <w:rFonts w:ascii="宋体" w:hAnsi="宋体"/>
                <w:kern w:val="0"/>
                <w:szCs w:val="21"/>
              </w:rPr>
            </w:pPr>
          </w:p>
        </w:tc>
        <w:tc>
          <w:tcPr>
            <w:tcW w:w="896" w:type="dxa"/>
          </w:tcPr>
          <w:p w14:paraId="651B97E4">
            <w:pPr>
              <w:autoSpaceDE w:val="0"/>
              <w:autoSpaceDN w:val="0"/>
              <w:adjustRightInd w:val="0"/>
              <w:snapToGrid w:val="0"/>
              <w:jc w:val="left"/>
              <w:rPr>
                <w:rFonts w:ascii="宋体" w:hAnsi="宋体"/>
                <w:kern w:val="0"/>
                <w:szCs w:val="21"/>
              </w:rPr>
            </w:pPr>
          </w:p>
        </w:tc>
      </w:tr>
      <w:tr w14:paraId="7DF1E7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669B5E4">
            <w:pPr>
              <w:autoSpaceDE w:val="0"/>
              <w:autoSpaceDN w:val="0"/>
              <w:adjustRightInd w:val="0"/>
              <w:snapToGrid w:val="0"/>
              <w:jc w:val="left"/>
              <w:rPr>
                <w:rFonts w:ascii="宋体" w:hAnsi="宋体"/>
                <w:kern w:val="0"/>
                <w:szCs w:val="21"/>
              </w:rPr>
            </w:pPr>
          </w:p>
        </w:tc>
        <w:tc>
          <w:tcPr>
            <w:tcW w:w="734" w:type="dxa"/>
          </w:tcPr>
          <w:p w14:paraId="33D25BBD">
            <w:pPr>
              <w:autoSpaceDE w:val="0"/>
              <w:autoSpaceDN w:val="0"/>
              <w:adjustRightInd w:val="0"/>
              <w:snapToGrid w:val="0"/>
              <w:jc w:val="left"/>
              <w:rPr>
                <w:rFonts w:ascii="宋体" w:hAnsi="宋体"/>
                <w:kern w:val="0"/>
                <w:szCs w:val="21"/>
              </w:rPr>
            </w:pPr>
          </w:p>
        </w:tc>
        <w:tc>
          <w:tcPr>
            <w:tcW w:w="776" w:type="dxa"/>
          </w:tcPr>
          <w:p w14:paraId="62730E23">
            <w:pPr>
              <w:autoSpaceDE w:val="0"/>
              <w:autoSpaceDN w:val="0"/>
              <w:adjustRightInd w:val="0"/>
              <w:snapToGrid w:val="0"/>
              <w:jc w:val="left"/>
              <w:rPr>
                <w:rFonts w:ascii="宋体" w:hAnsi="宋体"/>
                <w:kern w:val="0"/>
                <w:szCs w:val="21"/>
              </w:rPr>
            </w:pPr>
          </w:p>
        </w:tc>
        <w:tc>
          <w:tcPr>
            <w:tcW w:w="1167" w:type="dxa"/>
          </w:tcPr>
          <w:p w14:paraId="578D2966">
            <w:pPr>
              <w:autoSpaceDE w:val="0"/>
              <w:autoSpaceDN w:val="0"/>
              <w:adjustRightInd w:val="0"/>
              <w:snapToGrid w:val="0"/>
              <w:jc w:val="left"/>
              <w:rPr>
                <w:rFonts w:ascii="宋体" w:hAnsi="宋体"/>
                <w:kern w:val="0"/>
                <w:szCs w:val="21"/>
              </w:rPr>
            </w:pPr>
          </w:p>
        </w:tc>
        <w:tc>
          <w:tcPr>
            <w:tcW w:w="776" w:type="dxa"/>
          </w:tcPr>
          <w:p w14:paraId="01D08759">
            <w:pPr>
              <w:autoSpaceDE w:val="0"/>
              <w:autoSpaceDN w:val="0"/>
              <w:adjustRightInd w:val="0"/>
              <w:snapToGrid w:val="0"/>
              <w:jc w:val="left"/>
              <w:rPr>
                <w:rFonts w:ascii="宋体" w:hAnsi="宋体"/>
                <w:kern w:val="0"/>
                <w:szCs w:val="21"/>
              </w:rPr>
            </w:pPr>
          </w:p>
        </w:tc>
        <w:tc>
          <w:tcPr>
            <w:tcW w:w="778" w:type="dxa"/>
          </w:tcPr>
          <w:p w14:paraId="7F4BF6D1">
            <w:pPr>
              <w:autoSpaceDE w:val="0"/>
              <w:autoSpaceDN w:val="0"/>
              <w:adjustRightInd w:val="0"/>
              <w:snapToGrid w:val="0"/>
              <w:jc w:val="left"/>
              <w:rPr>
                <w:rFonts w:ascii="宋体" w:hAnsi="宋体"/>
                <w:kern w:val="0"/>
                <w:szCs w:val="21"/>
              </w:rPr>
            </w:pPr>
          </w:p>
        </w:tc>
        <w:tc>
          <w:tcPr>
            <w:tcW w:w="776" w:type="dxa"/>
          </w:tcPr>
          <w:p w14:paraId="22F191FF">
            <w:pPr>
              <w:autoSpaceDE w:val="0"/>
              <w:autoSpaceDN w:val="0"/>
              <w:adjustRightInd w:val="0"/>
              <w:snapToGrid w:val="0"/>
              <w:jc w:val="left"/>
              <w:rPr>
                <w:rFonts w:ascii="宋体" w:hAnsi="宋体"/>
                <w:kern w:val="0"/>
                <w:szCs w:val="21"/>
              </w:rPr>
            </w:pPr>
          </w:p>
        </w:tc>
        <w:tc>
          <w:tcPr>
            <w:tcW w:w="2723" w:type="dxa"/>
          </w:tcPr>
          <w:p w14:paraId="38E04AC7">
            <w:pPr>
              <w:autoSpaceDE w:val="0"/>
              <w:autoSpaceDN w:val="0"/>
              <w:adjustRightInd w:val="0"/>
              <w:snapToGrid w:val="0"/>
              <w:jc w:val="left"/>
              <w:rPr>
                <w:rFonts w:ascii="宋体" w:hAnsi="宋体"/>
                <w:kern w:val="0"/>
                <w:szCs w:val="21"/>
              </w:rPr>
            </w:pPr>
          </w:p>
        </w:tc>
        <w:tc>
          <w:tcPr>
            <w:tcW w:w="896" w:type="dxa"/>
          </w:tcPr>
          <w:p w14:paraId="68F240E4">
            <w:pPr>
              <w:autoSpaceDE w:val="0"/>
              <w:autoSpaceDN w:val="0"/>
              <w:adjustRightInd w:val="0"/>
              <w:snapToGrid w:val="0"/>
              <w:jc w:val="left"/>
              <w:rPr>
                <w:rFonts w:ascii="宋体" w:hAnsi="宋体"/>
                <w:kern w:val="0"/>
                <w:szCs w:val="21"/>
              </w:rPr>
            </w:pPr>
          </w:p>
        </w:tc>
      </w:tr>
      <w:tr w14:paraId="378D24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09C5940">
            <w:pPr>
              <w:autoSpaceDE w:val="0"/>
              <w:autoSpaceDN w:val="0"/>
              <w:adjustRightInd w:val="0"/>
              <w:snapToGrid w:val="0"/>
              <w:jc w:val="left"/>
              <w:rPr>
                <w:rFonts w:ascii="宋体" w:hAnsi="宋体"/>
                <w:kern w:val="0"/>
                <w:szCs w:val="21"/>
              </w:rPr>
            </w:pPr>
          </w:p>
        </w:tc>
        <w:tc>
          <w:tcPr>
            <w:tcW w:w="734" w:type="dxa"/>
          </w:tcPr>
          <w:p w14:paraId="25EE8CD7">
            <w:pPr>
              <w:autoSpaceDE w:val="0"/>
              <w:autoSpaceDN w:val="0"/>
              <w:adjustRightInd w:val="0"/>
              <w:snapToGrid w:val="0"/>
              <w:jc w:val="left"/>
              <w:rPr>
                <w:rFonts w:ascii="宋体" w:hAnsi="宋体"/>
                <w:kern w:val="0"/>
                <w:szCs w:val="21"/>
              </w:rPr>
            </w:pPr>
          </w:p>
        </w:tc>
        <w:tc>
          <w:tcPr>
            <w:tcW w:w="776" w:type="dxa"/>
          </w:tcPr>
          <w:p w14:paraId="50032E22">
            <w:pPr>
              <w:autoSpaceDE w:val="0"/>
              <w:autoSpaceDN w:val="0"/>
              <w:adjustRightInd w:val="0"/>
              <w:snapToGrid w:val="0"/>
              <w:jc w:val="left"/>
              <w:rPr>
                <w:rFonts w:ascii="宋体" w:hAnsi="宋体"/>
                <w:kern w:val="0"/>
                <w:szCs w:val="21"/>
              </w:rPr>
            </w:pPr>
          </w:p>
        </w:tc>
        <w:tc>
          <w:tcPr>
            <w:tcW w:w="1167" w:type="dxa"/>
          </w:tcPr>
          <w:p w14:paraId="2C4BC17F">
            <w:pPr>
              <w:autoSpaceDE w:val="0"/>
              <w:autoSpaceDN w:val="0"/>
              <w:adjustRightInd w:val="0"/>
              <w:snapToGrid w:val="0"/>
              <w:jc w:val="left"/>
              <w:rPr>
                <w:rFonts w:ascii="宋体" w:hAnsi="宋体"/>
                <w:kern w:val="0"/>
                <w:szCs w:val="21"/>
              </w:rPr>
            </w:pPr>
          </w:p>
        </w:tc>
        <w:tc>
          <w:tcPr>
            <w:tcW w:w="776" w:type="dxa"/>
          </w:tcPr>
          <w:p w14:paraId="4F9E1788">
            <w:pPr>
              <w:autoSpaceDE w:val="0"/>
              <w:autoSpaceDN w:val="0"/>
              <w:adjustRightInd w:val="0"/>
              <w:snapToGrid w:val="0"/>
              <w:jc w:val="left"/>
              <w:rPr>
                <w:rFonts w:ascii="宋体" w:hAnsi="宋体"/>
                <w:kern w:val="0"/>
                <w:szCs w:val="21"/>
              </w:rPr>
            </w:pPr>
          </w:p>
        </w:tc>
        <w:tc>
          <w:tcPr>
            <w:tcW w:w="778" w:type="dxa"/>
          </w:tcPr>
          <w:p w14:paraId="5C092544">
            <w:pPr>
              <w:autoSpaceDE w:val="0"/>
              <w:autoSpaceDN w:val="0"/>
              <w:adjustRightInd w:val="0"/>
              <w:snapToGrid w:val="0"/>
              <w:jc w:val="left"/>
              <w:rPr>
                <w:rFonts w:ascii="宋体" w:hAnsi="宋体"/>
                <w:kern w:val="0"/>
                <w:szCs w:val="21"/>
              </w:rPr>
            </w:pPr>
          </w:p>
        </w:tc>
        <w:tc>
          <w:tcPr>
            <w:tcW w:w="776" w:type="dxa"/>
          </w:tcPr>
          <w:p w14:paraId="65D9F1B0">
            <w:pPr>
              <w:autoSpaceDE w:val="0"/>
              <w:autoSpaceDN w:val="0"/>
              <w:adjustRightInd w:val="0"/>
              <w:snapToGrid w:val="0"/>
              <w:jc w:val="left"/>
              <w:rPr>
                <w:rFonts w:ascii="宋体" w:hAnsi="宋体"/>
                <w:kern w:val="0"/>
                <w:szCs w:val="21"/>
              </w:rPr>
            </w:pPr>
          </w:p>
        </w:tc>
        <w:tc>
          <w:tcPr>
            <w:tcW w:w="2723" w:type="dxa"/>
          </w:tcPr>
          <w:p w14:paraId="68A35CC7">
            <w:pPr>
              <w:autoSpaceDE w:val="0"/>
              <w:autoSpaceDN w:val="0"/>
              <w:adjustRightInd w:val="0"/>
              <w:snapToGrid w:val="0"/>
              <w:jc w:val="left"/>
              <w:rPr>
                <w:rFonts w:ascii="宋体" w:hAnsi="宋体"/>
                <w:kern w:val="0"/>
                <w:szCs w:val="21"/>
              </w:rPr>
            </w:pPr>
          </w:p>
        </w:tc>
        <w:tc>
          <w:tcPr>
            <w:tcW w:w="896" w:type="dxa"/>
          </w:tcPr>
          <w:p w14:paraId="49E65E66">
            <w:pPr>
              <w:autoSpaceDE w:val="0"/>
              <w:autoSpaceDN w:val="0"/>
              <w:adjustRightInd w:val="0"/>
              <w:snapToGrid w:val="0"/>
              <w:jc w:val="left"/>
              <w:rPr>
                <w:rFonts w:ascii="宋体" w:hAnsi="宋体"/>
                <w:kern w:val="0"/>
                <w:szCs w:val="21"/>
              </w:rPr>
            </w:pPr>
          </w:p>
        </w:tc>
      </w:tr>
      <w:tr w14:paraId="2629FF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73BA3D3">
            <w:pPr>
              <w:autoSpaceDE w:val="0"/>
              <w:autoSpaceDN w:val="0"/>
              <w:adjustRightInd w:val="0"/>
              <w:snapToGrid w:val="0"/>
              <w:jc w:val="left"/>
              <w:rPr>
                <w:rFonts w:ascii="宋体" w:hAnsi="宋体"/>
                <w:kern w:val="0"/>
                <w:szCs w:val="21"/>
              </w:rPr>
            </w:pPr>
          </w:p>
        </w:tc>
        <w:tc>
          <w:tcPr>
            <w:tcW w:w="734" w:type="dxa"/>
          </w:tcPr>
          <w:p w14:paraId="5B3C67BE">
            <w:pPr>
              <w:autoSpaceDE w:val="0"/>
              <w:autoSpaceDN w:val="0"/>
              <w:adjustRightInd w:val="0"/>
              <w:snapToGrid w:val="0"/>
              <w:jc w:val="left"/>
              <w:rPr>
                <w:rFonts w:ascii="宋体" w:hAnsi="宋体"/>
                <w:kern w:val="0"/>
                <w:szCs w:val="21"/>
              </w:rPr>
            </w:pPr>
          </w:p>
        </w:tc>
        <w:tc>
          <w:tcPr>
            <w:tcW w:w="776" w:type="dxa"/>
          </w:tcPr>
          <w:p w14:paraId="555A729C">
            <w:pPr>
              <w:autoSpaceDE w:val="0"/>
              <w:autoSpaceDN w:val="0"/>
              <w:adjustRightInd w:val="0"/>
              <w:snapToGrid w:val="0"/>
              <w:jc w:val="left"/>
              <w:rPr>
                <w:rFonts w:ascii="宋体" w:hAnsi="宋体"/>
                <w:kern w:val="0"/>
                <w:szCs w:val="21"/>
              </w:rPr>
            </w:pPr>
          </w:p>
        </w:tc>
        <w:tc>
          <w:tcPr>
            <w:tcW w:w="1167" w:type="dxa"/>
          </w:tcPr>
          <w:p w14:paraId="2E87D681">
            <w:pPr>
              <w:autoSpaceDE w:val="0"/>
              <w:autoSpaceDN w:val="0"/>
              <w:adjustRightInd w:val="0"/>
              <w:snapToGrid w:val="0"/>
              <w:jc w:val="left"/>
              <w:rPr>
                <w:rFonts w:ascii="宋体" w:hAnsi="宋体"/>
                <w:kern w:val="0"/>
                <w:szCs w:val="21"/>
              </w:rPr>
            </w:pPr>
          </w:p>
        </w:tc>
        <w:tc>
          <w:tcPr>
            <w:tcW w:w="776" w:type="dxa"/>
          </w:tcPr>
          <w:p w14:paraId="5ECF489E">
            <w:pPr>
              <w:autoSpaceDE w:val="0"/>
              <w:autoSpaceDN w:val="0"/>
              <w:adjustRightInd w:val="0"/>
              <w:snapToGrid w:val="0"/>
              <w:jc w:val="left"/>
              <w:rPr>
                <w:rFonts w:ascii="宋体" w:hAnsi="宋体"/>
                <w:kern w:val="0"/>
                <w:szCs w:val="21"/>
              </w:rPr>
            </w:pPr>
          </w:p>
        </w:tc>
        <w:tc>
          <w:tcPr>
            <w:tcW w:w="778" w:type="dxa"/>
          </w:tcPr>
          <w:p w14:paraId="2C9A3529">
            <w:pPr>
              <w:autoSpaceDE w:val="0"/>
              <w:autoSpaceDN w:val="0"/>
              <w:adjustRightInd w:val="0"/>
              <w:snapToGrid w:val="0"/>
              <w:jc w:val="left"/>
              <w:rPr>
                <w:rFonts w:ascii="宋体" w:hAnsi="宋体"/>
                <w:kern w:val="0"/>
                <w:szCs w:val="21"/>
              </w:rPr>
            </w:pPr>
          </w:p>
        </w:tc>
        <w:tc>
          <w:tcPr>
            <w:tcW w:w="776" w:type="dxa"/>
          </w:tcPr>
          <w:p w14:paraId="7780C613">
            <w:pPr>
              <w:autoSpaceDE w:val="0"/>
              <w:autoSpaceDN w:val="0"/>
              <w:adjustRightInd w:val="0"/>
              <w:snapToGrid w:val="0"/>
              <w:jc w:val="left"/>
              <w:rPr>
                <w:rFonts w:ascii="宋体" w:hAnsi="宋体"/>
                <w:kern w:val="0"/>
                <w:szCs w:val="21"/>
              </w:rPr>
            </w:pPr>
          </w:p>
        </w:tc>
        <w:tc>
          <w:tcPr>
            <w:tcW w:w="2723" w:type="dxa"/>
          </w:tcPr>
          <w:p w14:paraId="5C9BA6CD">
            <w:pPr>
              <w:autoSpaceDE w:val="0"/>
              <w:autoSpaceDN w:val="0"/>
              <w:adjustRightInd w:val="0"/>
              <w:snapToGrid w:val="0"/>
              <w:jc w:val="left"/>
              <w:rPr>
                <w:rFonts w:ascii="宋体" w:hAnsi="宋体"/>
                <w:kern w:val="0"/>
                <w:szCs w:val="21"/>
              </w:rPr>
            </w:pPr>
          </w:p>
        </w:tc>
        <w:tc>
          <w:tcPr>
            <w:tcW w:w="896" w:type="dxa"/>
          </w:tcPr>
          <w:p w14:paraId="5154F712">
            <w:pPr>
              <w:autoSpaceDE w:val="0"/>
              <w:autoSpaceDN w:val="0"/>
              <w:adjustRightInd w:val="0"/>
              <w:snapToGrid w:val="0"/>
              <w:jc w:val="left"/>
              <w:rPr>
                <w:rFonts w:ascii="宋体" w:hAnsi="宋体"/>
                <w:kern w:val="0"/>
                <w:szCs w:val="21"/>
              </w:rPr>
            </w:pPr>
          </w:p>
        </w:tc>
      </w:tr>
      <w:tr w14:paraId="22843E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6C78378">
            <w:pPr>
              <w:autoSpaceDE w:val="0"/>
              <w:autoSpaceDN w:val="0"/>
              <w:adjustRightInd w:val="0"/>
              <w:snapToGrid w:val="0"/>
              <w:jc w:val="left"/>
              <w:rPr>
                <w:rFonts w:ascii="宋体" w:hAnsi="宋体"/>
                <w:kern w:val="0"/>
                <w:szCs w:val="21"/>
              </w:rPr>
            </w:pPr>
          </w:p>
        </w:tc>
        <w:tc>
          <w:tcPr>
            <w:tcW w:w="734" w:type="dxa"/>
          </w:tcPr>
          <w:p w14:paraId="15ADB09B">
            <w:pPr>
              <w:autoSpaceDE w:val="0"/>
              <w:autoSpaceDN w:val="0"/>
              <w:adjustRightInd w:val="0"/>
              <w:snapToGrid w:val="0"/>
              <w:jc w:val="left"/>
              <w:rPr>
                <w:rFonts w:ascii="宋体" w:hAnsi="宋体"/>
                <w:kern w:val="0"/>
                <w:szCs w:val="21"/>
              </w:rPr>
            </w:pPr>
          </w:p>
        </w:tc>
        <w:tc>
          <w:tcPr>
            <w:tcW w:w="776" w:type="dxa"/>
          </w:tcPr>
          <w:p w14:paraId="38564B95">
            <w:pPr>
              <w:autoSpaceDE w:val="0"/>
              <w:autoSpaceDN w:val="0"/>
              <w:adjustRightInd w:val="0"/>
              <w:snapToGrid w:val="0"/>
              <w:jc w:val="left"/>
              <w:rPr>
                <w:rFonts w:ascii="宋体" w:hAnsi="宋体"/>
                <w:kern w:val="0"/>
                <w:szCs w:val="21"/>
              </w:rPr>
            </w:pPr>
          </w:p>
        </w:tc>
        <w:tc>
          <w:tcPr>
            <w:tcW w:w="1167" w:type="dxa"/>
          </w:tcPr>
          <w:p w14:paraId="3BCA6D6B">
            <w:pPr>
              <w:autoSpaceDE w:val="0"/>
              <w:autoSpaceDN w:val="0"/>
              <w:adjustRightInd w:val="0"/>
              <w:snapToGrid w:val="0"/>
              <w:jc w:val="left"/>
              <w:rPr>
                <w:rFonts w:ascii="宋体" w:hAnsi="宋体"/>
                <w:kern w:val="0"/>
                <w:szCs w:val="21"/>
              </w:rPr>
            </w:pPr>
          </w:p>
        </w:tc>
        <w:tc>
          <w:tcPr>
            <w:tcW w:w="776" w:type="dxa"/>
          </w:tcPr>
          <w:p w14:paraId="6ACD8F33">
            <w:pPr>
              <w:autoSpaceDE w:val="0"/>
              <w:autoSpaceDN w:val="0"/>
              <w:adjustRightInd w:val="0"/>
              <w:snapToGrid w:val="0"/>
              <w:jc w:val="left"/>
              <w:rPr>
                <w:rFonts w:ascii="宋体" w:hAnsi="宋体"/>
                <w:kern w:val="0"/>
                <w:szCs w:val="21"/>
              </w:rPr>
            </w:pPr>
          </w:p>
        </w:tc>
        <w:tc>
          <w:tcPr>
            <w:tcW w:w="778" w:type="dxa"/>
          </w:tcPr>
          <w:p w14:paraId="714AA5A0">
            <w:pPr>
              <w:autoSpaceDE w:val="0"/>
              <w:autoSpaceDN w:val="0"/>
              <w:adjustRightInd w:val="0"/>
              <w:snapToGrid w:val="0"/>
              <w:jc w:val="left"/>
              <w:rPr>
                <w:rFonts w:ascii="宋体" w:hAnsi="宋体"/>
                <w:kern w:val="0"/>
                <w:szCs w:val="21"/>
              </w:rPr>
            </w:pPr>
          </w:p>
        </w:tc>
        <w:tc>
          <w:tcPr>
            <w:tcW w:w="776" w:type="dxa"/>
          </w:tcPr>
          <w:p w14:paraId="039914A7">
            <w:pPr>
              <w:autoSpaceDE w:val="0"/>
              <w:autoSpaceDN w:val="0"/>
              <w:adjustRightInd w:val="0"/>
              <w:snapToGrid w:val="0"/>
              <w:jc w:val="left"/>
              <w:rPr>
                <w:rFonts w:ascii="宋体" w:hAnsi="宋体"/>
                <w:kern w:val="0"/>
                <w:szCs w:val="21"/>
              </w:rPr>
            </w:pPr>
          </w:p>
        </w:tc>
        <w:tc>
          <w:tcPr>
            <w:tcW w:w="2723" w:type="dxa"/>
          </w:tcPr>
          <w:p w14:paraId="5F383A98">
            <w:pPr>
              <w:autoSpaceDE w:val="0"/>
              <w:autoSpaceDN w:val="0"/>
              <w:adjustRightInd w:val="0"/>
              <w:snapToGrid w:val="0"/>
              <w:jc w:val="left"/>
              <w:rPr>
                <w:rFonts w:ascii="宋体" w:hAnsi="宋体"/>
                <w:kern w:val="0"/>
                <w:szCs w:val="21"/>
              </w:rPr>
            </w:pPr>
          </w:p>
        </w:tc>
        <w:tc>
          <w:tcPr>
            <w:tcW w:w="896" w:type="dxa"/>
          </w:tcPr>
          <w:p w14:paraId="6EF0A610">
            <w:pPr>
              <w:autoSpaceDE w:val="0"/>
              <w:autoSpaceDN w:val="0"/>
              <w:adjustRightInd w:val="0"/>
              <w:snapToGrid w:val="0"/>
              <w:jc w:val="left"/>
              <w:rPr>
                <w:rFonts w:ascii="宋体" w:hAnsi="宋体"/>
                <w:kern w:val="0"/>
                <w:szCs w:val="21"/>
              </w:rPr>
            </w:pPr>
          </w:p>
        </w:tc>
      </w:tr>
    </w:tbl>
    <w:p w14:paraId="3BF664CE">
      <w:pPr>
        <w:spacing w:line="20" w:lineRule="exact"/>
        <w:jc w:val="center"/>
        <w:rPr>
          <w:rFonts w:ascii="宋体" w:hAnsi="宋体"/>
          <w:szCs w:val="21"/>
        </w:rPr>
      </w:pPr>
    </w:p>
    <w:p w14:paraId="19DE08F9">
      <w:pPr>
        <w:spacing w:line="360" w:lineRule="auto"/>
        <w:ind w:firstLine="420" w:firstLineChars="200"/>
        <w:jc w:val="center"/>
        <w:rPr>
          <w:rFonts w:ascii="宋体" w:hAnsi="宋体"/>
          <w:sz w:val="32"/>
          <w:szCs w:val="32"/>
        </w:rPr>
      </w:pPr>
      <w:r>
        <w:rPr>
          <w:rFonts w:hint="eastAsia" w:ascii="宋体" w:hAnsi="宋体"/>
          <w:szCs w:val="21"/>
        </w:rPr>
        <w:t>备注：本表仅填项目经理、项目技术负责人相关信息</w:t>
      </w:r>
      <w:r>
        <w:rPr>
          <w:rFonts w:ascii="宋体" w:hAnsi="宋体"/>
          <w:sz w:val="32"/>
          <w:szCs w:val="32"/>
        </w:rPr>
        <w:br w:type="page"/>
      </w:r>
      <w:r>
        <w:rPr>
          <w:rFonts w:hint="eastAsia" w:ascii="宋体" w:hAnsi="宋体"/>
          <w:sz w:val="32"/>
          <w:szCs w:val="32"/>
        </w:rPr>
        <w:t>项目经理及项目技术负责人简历表</w:t>
      </w:r>
    </w:p>
    <w:tbl>
      <w:tblPr>
        <w:tblStyle w:val="45"/>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08E1E2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2FCE53C7">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姓名</w:t>
            </w:r>
          </w:p>
        </w:tc>
        <w:tc>
          <w:tcPr>
            <w:tcW w:w="1190" w:type="dxa"/>
            <w:gridSpan w:val="2"/>
            <w:vAlign w:val="center"/>
          </w:tcPr>
          <w:p w14:paraId="1EAECEF4">
            <w:pPr>
              <w:autoSpaceDE w:val="0"/>
              <w:autoSpaceDN w:val="0"/>
              <w:adjustRightInd w:val="0"/>
              <w:snapToGrid w:val="0"/>
              <w:jc w:val="center"/>
              <w:rPr>
                <w:rFonts w:ascii="宋体" w:hAnsi="宋体"/>
                <w:kern w:val="0"/>
                <w:szCs w:val="21"/>
              </w:rPr>
            </w:pPr>
          </w:p>
        </w:tc>
        <w:tc>
          <w:tcPr>
            <w:tcW w:w="1020" w:type="dxa"/>
            <w:vAlign w:val="center"/>
          </w:tcPr>
          <w:p w14:paraId="14B4FA6A">
            <w:pPr>
              <w:autoSpaceDE w:val="0"/>
              <w:autoSpaceDN w:val="0"/>
              <w:adjustRightInd w:val="0"/>
              <w:snapToGrid w:val="0"/>
              <w:jc w:val="center"/>
              <w:rPr>
                <w:rFonts w:ascii="宋体" w:hAnsi="宋体"/>
                <w:kern w:val="0"/>
                <w:szCs w:val="21"/>
              </w:rPr>
            </w:pPr>
            <w:r>
              <w:rPr>
                <w:rFonts w:ascii="宋体" w:hAnsi="宋体"/>
                <w:kern w:val="0"/>
                <w:szCs w:val="21"/>
              </w:rPr>
              <w:t>年龄</w:t>
            </w:r>
          </w:p>
        </w:tc>
        <w:tc>
          <w:tcPr>
            <w:tcW w:w="1175" w:type="dxa"/>
            <w:vAlign w:val="center"/>
          </w:tcPr>
          <w:p w14:paraId="2AAB7678">
            <w:pPr>
              <w:autoSpaceDE w:val="0"/>
              <w:autoSpaceDN w:val="0"/>
              <w:adjustRightInd w:val="0"/>
              <w:snapToGrid w:val="0"/>
              <w:jc w:val="center"/>
              <w:rPr>
                <w:rFonts w:ascii="宋体" w:hAnsi="宋体"/>
                <w:kern w:val="0"/>
                <w:szCs w:val="21"/>
              </w:rPr>
            </w:pPr>
          </w:p>
        </w:tc>
        <w:tc>
          <w:tcPr>
            <w:tcW w:w="2346" w:type="dxa"/>
            <w:gridSpan w:val="3"/>
            <w:vAlign w:val="center"/>
          </w:tcPr>
          <w:p w14:paraId="14EE3B9C">
            <w:pPr>
              <w:autoSpaceDE w:val="0"/>
              <w:autoSpaceDN w:val="0"/>
              <w:adjustRightInd w:val="0"/>
              <w:snapToGrid w:val="0"/>
              <w:jc w:val="center"/>
              <w:rPr>
                <w:rFonts w:ascii="宋体" w:hAnsi="宋体"/>
                <w:kern w:val="0"/>
                <w:szCs w:val="21"/>
              </w:rPr>
            </w:pPr>
            <w:r>
              <w:rPr>
                <w:rFonts w:ascii="宋体" w:hAnsi="宋体"/>
                <w:kern w:val="0"/>
                <w:szCs w:val="21"/>
              </w:rPr>
              <w:t>学历</w:t>
            </w:r>
          </w:p>
        </w:tc>
        <w:tc>
          <w:tcPr>
            <w:tcW w:w="2528" w:type="dxa"/>
            <w:vAlign w:val="center"/>
          </w:tcPr>
          <w:p w14:paraId="23BF293B">
            <w:pPr>
              <w:autoSpaceDE w:val="0"/>
              <w:autoSpaceDN w:val="0"/>
              <w:adjustRightInd w:val="0"/>
              <w:snapToGrid w:val="0"/>
              <w:jc w:val="center"/>
              <w:rPr>
                <w:rFonts w:ascii="宋体" w:hAnsi="宋体"/>
                <w:kern w:val="0"/>
                <w:szCs w:val="21"/>
              </w:rPr>
            </w:pPr>
          </w:p>
        </w:tc>
      </w:tr>
      <w:tr w14:paraId="163494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3E64A044">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职称</w:t>
            </w:r>
          </w:p>
        </w:tc>
        <w:tc>
          <w:tcPr>
            <w:tcW w:w="1190" w:type="dxa"/>
            <w:gridSpan w:val="2"/>
            <w:vAlign w:val="center"/>
          </w:tcPr>
          <w:p w14:paraId="2AFF442C">
            <w:pPr>
              <w:autoSpaceDE w:val="0"/>
              <w:autoSpaceDN w:val="0"/>
              <w:adjustRightInd w:val="0"/>
              <w:snapToGrid w:val="0"/>
              <w:jc w:val="center"/>
              <w:rPr>
                <w:rFonts w:ascii="宋体" w:hAnsi="宋体"/>
                <w:kern w:val="0"/>
                <w:szCs w:val="21"/>
              </w:rPr>
            </w:pPr>
          </w:p>
        </w:tc>
        <w:tc>
          <w:tcPr>
            <w:tcW w:w="1020" w:type="dxa"/>
            <w:vAlign w:val="center"/>
          </w:tcPr>
          <w:p w14:paraId="4F0DA975">
            <w:pPr>
              <w:autoSpaceDE w:val="0"/>
              <w:autoSpaceDN w:val="0"/>
              <w:adjustRightInd w:val="0"/>
              <w:snapToGrid w:val="0"/>
              <w:jc w:val="center"/>
              <w:rPr>
                <w:rFonts w:ascii="宋体" w:hAnsi="宋体"/>
                <w:kern w:val="0"/>
                <w:szCs w:val="21"/>
              </w:rPr>
            </w:pPr>
            <w:r>
              <w:rPr>
                <w:rFonts w:ascii="宋体" w:hAnsi="宋体"/>
                <w:kern w:val="0"/>
                <w:szCs w:val="21"/>
              </w:rPr>
              <w:t>职务</w:t>
            </w:r>
          </w:p>
        </w:tc>
        <w:tc>
          <w:tcPr>
            <w:tcW w:w="1175" w:type="dxa"/>
            <w:vAlign w:val="center"/>
          </w:tcPr>
          <w:p w14:paraId="3DA59EED">
            <w:pPr>
              <w:autoSpaceDE w:val="0"/>
              <w:autoSpaceDN w:val="0"/>
              <w:adjustRightInd w:val="0"/>
              <w:snapToGrid w:val="0"/>
              <w:jc w:val="center"/>
              <w:rPr>
                <w:rFonts w:ascii="宋体" w:hAnsi="宋体"/>
                <w:kern w:val="0"/>
                <w:szCs w:val="21"/>
              </w:rPr>
            </w:pPr>
          </w:p>
        </w:tc>
        <w:tc>
          <w:tcPr>
            <w:tcW w:w="2346" w:type="dxa"/>
            <w:gridSpan w:val="3"/>
            <w:vAlign w:val="center"/>
          </w:tcPr>
          <w:p w14:paraId="2D9E576E">
            <w:pPr>
              <w:autoSpaceDE w:val="0"/>
              <w:autoSpaceDN w:val="0"/>
              <w:adjustRightInd w:val="0"/>
              <w:snapToGrid w:val="0"/>
              <w:jc w:val="center"/>
              <w:rPr>
                <w:rFonts w:ascii="宋体" w:hAnsi="宋体"/>
                <w:kern w:val="0"/>
                <w:szCs w:val="21"/>
              </w:rPr>
            </w:pPr>
            <w:r>
              <w:rPr>
                <w:rFonts w:ascii="宋体" w:hAnsi="宋体"/>
                <w:kern w:val="0"/>
                <w:szCs w:val="21"/>
              </w:rPr>
              <w:t>拟在本合同任职</w:t>
            </w:r>
          </w:p>
        </w:tc>
        <w:tc>
          <w:tcPr>
            <w:tcW w:w="2528" w:type="dxa"/>
            <w:vAlign w:val="center"/>
          </w:tcPr>
          <w:p w14:paraId="166B03A2">
            <w:pPr>
              <w:autoSpaceDE w:val="0"/>
              <w:autoSpaceDN w:val="0"/>
              <w:adjustRightInd w:val="0"/>
              <w:snapToGrid w:val="0"/>
              <w:jc w:val="center"/>
              <w:rPr>
                <w:rFonts w:ascii="宋体" w:hAnsi="宋体"/>
                <w:kern w:val="0"/>
                <w:szCs w:val="21"/>
              </w:rPr>
            </w:pPr>
          </w:p>
        </w:tc>
      </w:tr>
      <w:tr w14:paraId="792D54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4B146278">
            <w:pPr>
              <w:autoSpaceDE w:val="0"/>
              <w:autoSpaceDN w:val="0"/>
              <w:adjustRightInd w:val="0"/>
              <w:snapToGrid w:val="0"/>
              <w:jc w:val="center"/>
              <w:rPr>
                <w:rFonts w:ascii="宋体" w:hAnsi="宋体"/>
                <w:kern w:val="0"/>
                <w:szCs w:val="21"/>
              </w:rPr>
            </w:pPr>
            <w:r>
              <w:rPr>
                <w:rFonts w:ascii="宋体" w:hAnsi="宋体"/>
                <w:kern w:val="0"/>
                <w:szCs w:val="21"/>
              </w:rPr>
              <w:t>毕业学校</w:t>
            </w:r>
          </w:p>
        </w:tc>
        <w:tc>
          <w:tcPr>
            <w:tcW w:w="8259" w:type="dxa"/>
            <w:gridSpan w:val="8"/>
            <w:vAlign w:val="center"/>
          </w:tcPr>
          <w:p w14:paraId="7E7D7560">
            <w:pPr>
              <w:tabs>
                <w:tab w:val="left" w:pos="2820"/>
                <w:tab w:val="left" w:pos="4080"/>
              </w:tabs>
              <w:autoSpaceDE w:val="0"/>
              <w:autoSpaceDN w:val="0"/>
              <w:adjustRightInd w:val="0"/>
              <w:snapToGrid w:val="0"/>
              <w:jc w:val="center"/>
              <w:rPr>
                <w:rFonts w:ascii="宋体" w:hAnsi="宋体"/>
                <w:kern w:val="0"/>
                <w:szCs w:val="21"/>
              </w:rPr>
            </w:pPr>
            <w:r>
              <w:rPr>
                <w:rFonts w:ascii="宋体" w:hAnsi="宋体"/>
                <w:kern w:val="0"/>
                <w:szCs w:val="21"/>
              </w:rPr>
              <w:t>年</w:t>
            </w:r>
            <w:r>
              <w:rPr>
                <w:rFonts w:ascii="宋体" w:hAnsi="宋体"/>
                <w:spacing w:val="-1"/>
                <w:kern w:val="0"/>
                <w:szCs w:val="21"/>
              </w:rPr>
              <w:t>毕</w:t>
            </w:r>
            <w:r>
              <w:rPr>
                <w:rFonts w:ascii="宋体" w:hAnsi="宋体"/>
                <w:kern w:val="0"/>
                <w:szCs w:val="21"/>
              </w:rPr>
              <w:t>业于</w:t>
            </w:r>
            <w:r>
              <w:rPr>
                <w:rFonts w:ascii="宋体" w:hAnsi="宋体"/>
                <w:kern w:val="0"/>
                <w:szCs w:val="21"/>
              </w:rPr>
              <w:tab/>
            </w:r>
            <w:r>
              <w:rPr>
                <w:rFonts w:ascii="宋体" w:hAnsi="宋体"/>
                <w:kern w:val="0"/>
                <w:szCs w:val="21"/>
              </w:rPr>
              <w:t>学校</w:t>
            </w:r>
            <w:r>
              <w:rPr>
                <w:rFonts w:ascii="宋体" w:hAnsi="宋体"/>
                <w:kern w:val="0"/>
                <w:szCs w:val="21"/>
              </w:rPr>
              <w:tab/>
            </w:r>
            <w:r>
              <w:rPr>
                <w:rFonts w:ascii="宋体" w:hAnsi="宋体"/>
                <w:kern w:val="0"/>
                <w:szCs w:val="21"/>
              </w:rPr>
              <w:t>专业</w:t>
            </w:r>
          </w:p>
        </w:tc>
      </w:tr>
      <w:tr w14:paraId="6A6B758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14:paraId="074D7588">
            <w:pPr>
              <w:autoSpaceDE w:val="0"/>
              <w:autoSpaceDN w:val="0"/>
              <w:adjustRightInd w:val="0"/>
              <w:snapToGrid w:val="0"/>
              <w:jc w:val="center"/>
              <w:rPr>
                <w:rFonts w:ascii="宋体" w:hAnsi="宋体"/>
                <w:kern w:val="0"/>
                <w:szCs w:val="21"/>
              </w:rPr>
            </w:pPr>
            <w:r>
              <w:rPr>
                <w:rFonts w:ascii="宋体" w:hAnsi="宋体"/>
                <w:kern w:val="0"/>
                <w:szCs w:val="21"/>
              </w:rPr>
              <w:t>主要工作经历</w:t>
            </w:r>
          </w:p>
        </w:tc>
      </w:tr>
      <w:tr w14:paraId="368B3D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3F75735">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时间</w:t>
            </w:r>
          </w:p>
        </w:tc>
        <w:tc>
          <w:tcPr>
            <w:tcW w:w="3768" w:type="dxa"/>
            <w:gridSpan w:val="4"/>
            <w:vAlign w:val="center"/>
          </w:tcPr>
          <w:p w14:paraId="6D74FB09">
            <w:pPr>
              <w:autoSpaceDE w:val="0"/>
              <w:autoSpaceDN w:val="0"/>
              <w:adjustRightInd w:val="0"/>
              <w:snapToGrid w:val="0"/>
              <w:jc w:val="center"/>
              <w:rPr>
                <w:rFonts w:ascii="宋体" w:hAnsi="宋体"/>
                <w:kern w:val="0"/>
                <w:szCs w:val="21"/>
              </w:rPr>
            </w:pPr>
            <w:r>
              <w:rPr>
                <w:rFonts w:ascii="宋体" w:hAnsi="宋体"/>
                <w:kern w:val="0"/>
                <w:szCs w:val="21"/>
              </w:rPr>
              <w:t>参加过的类似项目</w:t>
            </w:r>
          </w:p>
        </w:tc>
        <w:tc>
          <w:tcPr>
            <w:tcW w:w="1388" w:type="dxa"/>
            <w:vAlign w:val="center"/>
          </w:tcPr>
          <w:p w14:paraId="3D4BCE05">
            <w:pPr>
              <w:autoSpaceDE w:val="0"/>
              <w:autoSpaceDN w:val="0"/>
              <w:adjustRightInd w:val="0"/>
              <w:snapToGrid w:val="0"/>
              <w:jc w:val="center"/>
              <w:rPr>
                <w:rFonts w:ascii="宋体" w:hAnsi="宋体"/>
                <w:kern w:val="0"/>
                <w:szCs w:val="21"/>
              </w:rPr>
            </w:pPr>
            <w:r>
              <w:rPr>
                <w:rFonts w:ascii="宋体" w:hAnsi="宋体"/>
                <w:kern w:val="0"/>
                <w:szCs w:val="21"/>
              </w:rPr>
              <w:t>担任职务</w:t>
            </w:r>
          </w:p>
        </w:tc>
        <w:tc>
          <w:tcPr>
            <w:tcW w:w="2706" w:type="dxa"/>
            <w:gridSpan w:val="2"/>
            <w:vAlign w:val="center"/>
          </w:tcPr>
          <w:p w14:paraId="2DCEB801">
            <w:pPr>
              <w:autoSpaceDE w:val="0"/>
              <w:autoSpaceDN w:val="0"/>
              <w:adjustRightInd w:val="0"/>
              <w:snapToGrid w:val="0"/>
              <w:jc w:val="center"/>
              <w:rPr>
                <w:rFonts w:ascii="宋体" w:hAnsi="宋体"/>
                <w:kern w:val="0"/>
                <w:szCs w:val="21"/>
              </w:rPr>
            </w:pPr>
            <w:r>
              <w:rPr>
                <w:rFonts w:ascii="宋体" w:hAnsi="宋体"/>
                <w:kern w:val="0"/>
                <w:szCs w:val="21"/>
              </w:rPr>
              <w:t>发包人及联系电话</w:t>
            </w:r>
          </w:p>
        </w:tc>
      </w:tr>
      <w:tr w14:paraId="3128ED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F695E3D">
            <w:pPr>
              <w:autoSpaceDE w:val="0"/>
              <w:autoSpaceDN w:val="0"/>
              <w:adjustRightInd w:val="0"/>
              <w:snapToGrid w:val="0"/>
              <w:jc w:val="center"/>
              <w:rPr>
                <w:rFonts w:ascii="宋体" w:hAnsi="宋体"/>
                <w:kern w:val="0"/>
                <w:szCs w:val="21"/>
              </w:rPr>
            </w:pPr>
          </w:p>
        </w:tc>
        <w:tc>
          <w:tcPr>
            <w:tcW w:w="3768" w:type="dxa"/>
            <w:gridSpan w:val="4"/>
            <w:vAlign w:val="center"/>
          </w:tcPr>
          <w:p w14:paraId="4338045E">
            <w:pPr>
              <w:autoSpaceDE w:val="0"/>
              <w:autoSpaceDN w:val="0"/>
              <w:adjustRightInd w:val="0"/>
              <w:snapToGrid w:val="0"/>
              <w:jc w:val="center"/>
              <w:rPr>
                <w:rFonts w:ascii="宋体" w:hAnsi="宋体"/>
                <w:kern w:val="0"/>
                <w:szCs w:val="21"/>
              </w:rPr>
            </w:pPr>
          </w:p>
        </w:tc>
        <w:tc>
          <w:tcPr>
            <w:tcW w:w="1388" w:type="dxa"/>
            <w:vAlign w:val="center"/>
          </w:tcPr>
          <w:p w14:paraId="1C579BE6">
            <w:pPr>
              <w:autoSpaceDE w:val="0"/>
              <w:autoSpaceDN w:val="0"/>
              <w:adjustRightInd w:val="0"/>
              <w:snapToGrid w:val="0"/>
              <w:jc w:val="center"/>
              <w:rPr>
                <w:rFonts w:ascii="宋体" w:hAnsi="宋体"/>
                <w:kern w:val="0"/>
                <w:szCs w:val="21"/>
              </w:rPr>
            </w:pPr>
          </w:p>
        </w:tc>
        <w:tc>
          <w:tcPr>
            <w:tcW w:w="2706" w:type="dxa"/>
            <w:gridSpan w:val="2"/>
            <w:vAlign w:val="center"/>
          </w:tcPr>
          <w:p w14:paraId="3EAD0709">
            <w:pPr>
              <w:autoSpaceDE w:val="0"/>
              <w:autoSpaceDN w:val="0"/>
              <w:adjustRightInd w:val="0"/>
              <w:snapToGrid w:val="0"/>
              <w:jc w:val="center"/>
              <w:rPr>
                <w:rFonts w:ascii="宋体" w:hAnsi="宋体"/>
                <w:kern w:val="0"/>
                <w:szCs w:val="21"/>
              </w:rPr>
            </w:pPr>
          </w:p>
        </w:tc>
      </w:tr>
      <w:tr w14:paraId="462370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D6B7AF6">
            <w:pPr>
              <w:autoSpaceDE w:val="0"/>
              <w:autoSpaceDN w:val="0"/>
              <w:adjustRightInd w:val="0"/>
              <w:snapToGrid w:val="0"/>
              <w:jc w:val="center"/>
              <w:rPr>
                <w:rFonts w:ascii="宋体" w:hAnsi="宋体"/>
                <w:kern w:val="0"/>
                <w:szCs w:val="21"/>
              </w:rPr>
            </w:pPr>
          </w:p>
        </w:tc>
        <w:tc>
          <w:tcPr>
            <w:tcW w:w="3768" w:type="dxa"/>
            <w:gridSpan w:val="4"/>
            <w:vAlign w:val="center"/>
          </w:tcPr>
          <w:p w14:paraId="0E707146">
            <w:pPr>
              <w:autoSpaceDE w:val="0"/>
              <w:autoSpaceDN w:val="0"/>
              <w:adjustRightInd w:val="0"/>
              <w:snapToGrid w:val="0"/>
              <w:jc w:val="center"/>
              <w:rPr>
                <w:rFonts w:ascii="宋体" w:hAnsi="宋体"/>
                <w:kern w:val="0"/>
                <w:szCs w:val="21"/>
              </w:rPr>
            </w:pPr>
          </w:p>
        </w:tc>
        <w:tc>
          <w:tcPr>
            <w:tcW w:w="1388" w:type="dxa"/>
            <w:vAlign w:val="center"/>
          </w:tcPr>
          <w:p w14:paraId="4D48780E">
            <w:pPr>
              <w:autoSpaceDE w:val="0"/>
              <w:autoSpaceDN w:val="0"/>
              <w:adjustRightInd w:val="0"/>
              <w:snapToGrid w:val="0"/>
              <w:jc w:val="center"/>
              <w:rPr>
                <w:rFonts w:ascii="宋体" w:hAnsi="宋体"/>
                <w:kern w:val="0"/>
                <w:szCs w:val="21"/>
              </w:rPr>
            </w:pPr>
          </w:p>
        </w:tc>
        <w:tc>
          <w:tcPr>
            <w:tcW w:w="2706" w:type="dxa"/>
            <w:gridSpan w:val="2"/>
            <w:vAlign w:val="center"/>
          </w:tcPr>
          <w:p w14:paraId="1FB83AF2">
            <w:pPr>
              <w:autoSpaceDE w:val="0"/>
              <w:autoSpaceDN w:val="0"/>
              <w:adjustRightInd w:val="0"/>
              <w:snapToGrid w:val="0"/>
              <w:jc w:val="center"/>
              <w:rPr>
                <w:rFonts w:ascii="宋体" w:hAnsi="宋体"/>
                <w:kern w:val="0"/>
                <w:szCs w:val="21"/>
              </w:rPr>
            </w:pPr>
          </w:p>
        </w:tc>
      </w:tr>
      <w:tr w14:paraId="46F271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A344AE7">
            <w:pPr>
              <w:autoSpaceDE w:val="0"/>
              <w:autoSpaceDN w:val="0"/>
              <w:adjustRightInd w:val="0"/>
              <w:snapToGrid w:val="0"/>
              <w:jc w:val="center"/>
              <w:rPr>
                <w:rFonts w:ascii="宋体" w:hAnsi="宋体"/>
                <w:kern w:val="0"/>
                <w:szCs w:val="21"/>
              </w:rPr>
            </w:pPr>
          </w:p>
        </w:tc>
        <w:tc>
          <w:tcPr>
            <w:tcW w:w="3768" w:type="dxa"/>
            <w:gridSpan w:val="4"/>
            <w:vAlign w:val="center"/>
          </w:tcPr>
          <w:p w14:paraId="052F2FA5">
            <w:pPr>
              <w:autoSpaceDE w:val="0"/>
              <w:autoSpaceDN w:val="0"/>
              <w:adjustRightInd w:val="0"/>
              <w:snapToGrid w:val="0"/>
              <w:jc w:val="center"/>
              <w:rPr>
                <w:rFonts w:ascii="宋体" w:hAnsi="宋体"/>
                <w:kern w:val="0"/>
                <w:szCs w:val="21"/>
              </w:rPr>
            </w:pPr>
          </w:p>
        </w:tc>
        <w:tc>
          <w:tcPr>
            <w:tcW w:w="1388" w:type="dxa"/>
            <w:vAlign w:val="center"/>
          </w:tcPr>
          <w:p w14:paraId="464B61AD">
            <w:pPr>
              <w:autoSpaceDE w:val="0"/>
              <w:autoSpaceDN w:val="0"/>
              <w:adjustRightInd w:val="0"/>
              <w:snapToGrid w:val="0"/>
              <w:jc w:val="center"/>
              <w:rPr>
                <w:rFonts w:ascii="宋体" w:hAnsi="宋体"/>
                <w:kern w:val="0"/>
                <w:szCs w:val="21"/>
              </w:rPr>
            </w:pPr>
          </w:p>
        </w:tc>
        <w:tc>
          <w:tcPr>
            <w:tcW w:w="2706" w:type="dxa"/>
            <w:gridSpan w:val="2"/>
            <w:vAlign w:val="center"/>
          </w:tcPr>
          <w:p w14:paraId="1F1EEA67">
            <w:pPr>
              <w:autoSpaceDE w:val="0"/>
              <w:autoSpaceDN w:val="0"/>
              <w:adjustRightInd w:val="0"/>
              <w:snapToGrid w:val="0"/>
              <w:jc w:val="center"/>
              <w:rPr>
                <w:rFonts w:ascii="宋体" w:hAnsi="宋体"/>
                <w:kern w:val="0"/>
                <w:szCs w:val="21"/>
              </w:rPr>
            </w:pPr>
          </w:p>
        </w:tc>
      </w:tr>
      <w:tr w14:paraId="072ECA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02C9885">
            <w:pPr>
              <w:autoSpaceDE w:val="0"/>
              <w:autoSpaceDN w:val="0"/>
              <w:adjustRightInd w:val="0"/>
              <w:snapToGrid w:val="0"/>
              <w:jc w:val="center"/>
              <w:rPr>
                <w:rFonts w:ascii="宋体" w:hAnsi="宋体"/>
                <w:kern w:val="0"/>
                <w:szCs w:val="21"/>
              </w:rPr>
            </w:pPr>
          </w:p>
        </w:tc>
        <w:tc>
          <w:tcPr>
            <w:tcW w:w="3768" w:type="dxa"/>
            <w:gridSpan w:val="4"/>
            <w:vAlign w:val="center"/>
          </w:tcPr>
          <w:p w14:paraId="7AD285C2">
            <w:pPr>
              <w:autoSpaceDE w:val="0"/>
              <w:autoSpaceDN w:val="0"/>
              <w:adjustRightInd w:val="0"/>
              <w:snapToGrid w:val="0"/>
              <w:jc w:val="center"/>
              <w:rPr>
                <w:rFonts w:ascii="宋体" w:hAnsi="宋体"/>
                <w:kern w:val="0"/>
                <w:szCs w:val="21"/>
              </w:rPr>
            </w:pPr>
          </w:p>
        </w:tc>
        <w:tc>
          <w:tcPr>
            <w:tcW w:w="1388" w:type="dxa"/>
            <w:vAlign w:val="center"/>
          </w:tcPr>
          <w:p w14:paraId="756A0CCA">
            <w:pPr>
              <w:autoSpaceDE w:val="0"/>
              <w:autoSpaceDN w:val="0"/>
              <w:adjustRightInd w:val="0"/>
              <w:snapToGrid w:val="0"/>
              <w:jc w:val="center"/>
              <w:rPr>
                <w:rFonts w:ascii="宋体" w:hAnsi="宋体"/>
                <w:kern w:val="0"/>
                <w:szCs w:val="21"/>
              </w:rPr>
            </w:pPr>
          </w:p>
        </w:tc>
        <w:tc>
          <w:tcPr>
            <w:tcW w:w="2706" w:type="dxa"/>
            <w:gridSpan w:val="2"/>
            <w:vAlign w:val="center"/>
          </w:tcPr>
          <w:p w14:paraId="51483532">
            <w:pPr>
              <w:autoSpaceDE w:val="0"/>
              <w:autoSpaceDN w:val="0"/>
              <w:adjustRightInd w:val="0"/>
              <w:snapToGrid w:val="0"/>
              <w:jc w:val="center"/>
              <w:rPr>
                <w:rFonts w:ascii="宋体" w:hAnsi="宋体"/>
                <w:kern w:val="0"/>
                <w:szCs w:val="21"/>
              </w:rPr>
            </w:pPr>
          </w:p>
        </w:tc>
      </w:tr>
      <w:tr w14:paraId="5E4ABC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189EF72">
            <w:pPr>
              <w:autoSpaceDE w:val="0"/>
              <w:autoSpaceDN w:val="0"/>
              <w:adjustRightInd w:val="0"/>
              <w:snapToGrid w:val="0"/>
              <w:jc w:val="center"/>
              <w:rPr>
                <w:rFonts w:ascii="宋体" w:hAnsi="宋体"/>
                <w:kern w:val="0"/>
                <w:szCs w:val="21"/>
              </w:rPr>
            </w:pPr>
          </w:p>
        </w:tc>
        <w:tc>
          <w:tcPr>
            <w:tcW w:w="3768" w:type="dxa"/>
            <w:gridSpan w:val="4"/>
            <w:vAlign w:val="center"/>
          </w:tcPr>
          <w:p w14:paraId="2D3C2C9C">
            <w:pPr>
              <w:autoSpaceDE w:val="0"/>
              <w:autoSpaceDN w:val="0"/>
              <w:adjustRightInd w:val="0"/>
              <w:snapToGrid w:val="0"/>
              <w:jc w:val="center"/>
              <w:rPr>
                <w:rFonts w:ascii="宋体" w:hAnsi="宋体"/>
                <w:kern w:val="0"/>
                <w:szCs w:val="21"/>
              </w:rPr>
            </w:pPr>
          </w:p>
        </w:tc>
        <w:tc>
          <w:tcPr>
            <w:tcW w:w="1388" w:type="dxa"/>
            <w:vAlign w:val="center"/>
          </w:tcPr>
          <w:p w14:paraId="124FDAA0">
            <w:pPr>
              <w:autoSpaceDE w:val="0"/>
              <w:autoSpaceDN w:val="0"/>
              <w:adjustRightInd w:val="0"/>
              <w:snapToGrid w:val="0"/>
              <w:jc w:val="center"/>
              <w:rPr>
                <w:rFonts w:ascii="宋体" w:hAnsi="宋体"/>
                <w:kern w:val="0"/>
                <w:szCs w:val="21"/>
              </w:rPr>
            </w:pPr>
          </w:p>
        </w:tc>
        <w:tc>
          <w:tcPr>
            <w:tcW w:w="2706" w:type="dxa"/>
            <w:gridSpan w:val="2"/>
            <w:vAlign w:val="center"/>
          </w:tcPr>
          <w:p w14:paraId="2D10CD50">
            <w:pPr>
              <w:autoSpaceDE w:val="0"/>
              <w:autoSpaceDN w:val="0"/>
              <w:adjustRightInd w:val="0"/>
              <w:snapToGrid w:val="0"/>
              <w:jc w:val="center"/>
              <w:rPr>
                <w:rFonts w:ascii="宋体" w:hAnsi="宋体"/>
                <w:kern w:val="0"/>
                <w:szCs w:val="21"/>
              </w:rPr>
            </w:pPr>
          </w:p>
        </w:tc>
      </w:tr>
      <w:tr w14:paraId="7F4C7D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C609189">
            <w:pPr>
              <w:autoSpaceDE w:val="0"/>
              <w:autoSpaceDN w:val="0"/>
              <w:adjustRightInd w:val="0"/>
              <w:snapToGrid w:val="0"/>
              <w:jc w:val="center"/>
              <w:rPr>
                <w:rFonts w:ascii="宋体" w:hAnsi="宋体"/>
                <w:kern w:val="0"/>
                <w:szCs w:val="21"/>
              </w:rPr>
            </w:pPr>
          </w:p>
        </w:tc>
        <w:tc>
          <w:tcPr>
            <w:tcW w:w="3768" w:type="dxa"/>
            <w:gridSpan w:val="4"/>
            <w:vAlign w:val="center"/>
          </w:tcPr>
          <w:p w14:paraId="416740E7">
            <w:pPr>
              <w:autoSpaceDE w:val="0"/>
              <w:autoSpaceDN w:val="0"/>
              <w:adjustRightInd w:val="0"/>
              <w:snapToGrid w:val="0"/>
              <w:jc w:val="center"/>
              <w:rPr>
                <w:rFonts w:ascii="宋体" w:hAnsi="宋体"/>
                <w:kern w:val="0"/>
                <w:szCs w:val="21"/>
              </w:rPr>
            </w:pPr>
          </w:p>
        </w:tc>
        <w:tc>
          <w:tcPr>
            <w:tcW w:w="1388" w:type="dxa"/>
            <w:vAlign w:val="center"/>
          </w:tcPr>
          <w:p w14:paraId="2FC7A688">
            <w:pPr>
              <w:autoSpaceDE w:val="0"/>
              <w:autoSpaceDN w:val="0"/>
              <w:adjustRightInd w:val="0"/>
              <w:snapToGrid w:val="0"/>
              <w:jc w:val="center"/>
              <w:rPr>
                <w:rFonts w:ascii="宋体" w:hAnsi="宋体"/>
                <w:kern w:val="0"/>
                <w:szCs w:val="21"/>
              </w:rPr>
            </w:pPr>
          </w:p>
        </w:tc>
        <w:tc>
          <w:tcPr>
            <w:tcW w:w="2706" w:type="dxa"/>
            <w:gridSpan w:val="2"/>
            <w:vAlign w:val="center"/>
          </w:tcPr>
          <w:p w14:paraId="46158223">
            <w:pPr>
              <w:autoSpaceDE w:val="0"/>
              <w:autoSpaceDN w:val="0"/>
              <w:adjustRightInd w:val="0"/>
              <w:snapToGrid w:val="0"/>
              <w:jc w:val="center"/>
              <w:rPr>
                <w:rFonts w:ascii="宋体" w:hAnsi="宋体"/>
                <w:kern w:val="0"/>
                <w:szCs w:val="21"/>
              </w:rPr>
            </w:pPr>
          </w:p>
        </w:tc>
      </w:tr>
      <w:tr w14:paraId="4CD33F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BD7C78D">
            <w:pPr>
              <w:autoSpaceDE w:val="0"/>
              <w:autoSpaceDN w:val="0"/>
              <w:adjustRightInd w:val="0"/>
              <w:snapToGrid w:val="0"/>
              <w:jc w:val="center"/>
              <w:rPr>
                <w:rFonts w:ascii="宋体" w:hAnsi="宋体"/>
                <w:kern w:val="0"/>
                <w:szCs w:val="21"/>
              </w:rPr>
            </w:pPr>
          </w:p>
        </w:tc>
        <w:tc>
          <w:tcPr>
            <w:tcW w:w="3768" w:type="dxa"/>
            <w:gridSpan w:val="4"/>
            <w:vAlign w:val="center"/>
          </w:tcPr>
          <w:p w14:paraId="5A87D3B0">
            <w:pPr>
              <w:autoSpaceDE w:val="0"/>
              <w:autoSpaceDN w:val="0"/>
              <w:adjustRightInd w:val="0"/>
              <w:snapToGrid w:val="0"/>
              <w:jc w:val="center"/>
              <w:rPr>
                <w:rFonts w:ascii="宋体" w:hAnsi="宋体"/>
                <w:kern w:val="0"/>
                <w:szCs w:val="21"/>
              </w:rPr>
            </w:pPr>
          </w:p>
        </w:tc>
        <w:tc>
          <w:tcPr>
            <w:tcW w:w="1388" w:type="dxa"/>
            <w:vAlign w:val="center"/>
          </w:tcPr>
          <w:p w14:paraId="3BB2CBB3">
            <w:pPr>
              <w:autoSpaceDE w:val="0"/>
              <w:autoSpaceDN w:val="0"/>
              <w:adjustRightInd w:val="0"/>
              <w:snapToGrid w:val="0"/>
              <w:jc w:val="center"/>
              <w:rPr>
                <w:rFonts w:ascii="宋体" w:hAnsi="宋体"/>
                <w:kern w:val="0"/>
                <w:szCs w:val="21"/>
              </w:rPr>
            </w:pPr>
          </w:p>
        </w:tc>
        <w:tc>
          <w:tcPr>
            <w:tcW w:w="2706" w:type="dxa"/>
            <w:gridSpan w:val="2"/>
            <w:vAlign w:val="center"/>
          </w:tcPr>
          <w:p w14:paraId="71664F89">
            <w:pPr>
              <w:autoSpaceDE w:val="0"/>
              <w:autoSpaceDN w:val="0"/>
              <w:adjustRightInd w:val="0"/>
              <w:snapToGrid w:val="0"/>
              <w:jc w:val="center"/>
              <w:rPr>
                <w:rFonts w:ascii="宋体" w:hAnsi="宋体"/>
                <w:kern w:val="0"/>
                <w:szCs w:val="21"/>
              </w:rPr>
            </w:pPr>
          </w:p>
        </w:tc>
      </w:tr>
      <w:tr w14:paraId="429A86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2EDC639">
            <w:pPr>
              <w:autoSpaceDE w:val="0"/>
              <w:autoSpaceDN w:val="0"/>
              <w:adjustRightInd w:val="0"/>
              <w:snapToGrid w:val="0"/>
              <w:jc w:val="center"/>
              <w:rPr>
                <w:rFonts w:ascii="宋体" w:hAnsi="宋体"/>
                <w:kern w:val="0"/>
                <w:szCs w:val="21"/>
              </w:rPr>
            </w:pPr>
          </w:p>
        </w:tc>
        <w:tc>
          <w:tcPr>
            <w:tcW w:w="3768" w:type="dxa"/>
            <w:gridSpan w:val="4"/>
            <w:vAlign w:val="center"/>
          </w:tcPr>
          <w:p w14:paraId="271D502B">
            <w:pPr>
              <w:autoSpaceDE w:val="0"/>
              <w:autoSpaceDN w:val="0"/>
              <w:adjustRightInd w:val="0"/>
              <w:snapToGrid w:val="0"/>
              <w:jc w:val="center"/>
              <w:rPr>
                <w:rFonts w:ascii="宋体" w:hAnsi="宋体"/>
                <w:kern w:val="0"/>
                <w:szCs w:val="21"/>
              </w:rPr>
            </w:pPr>
          </w:p>
        </w:tc>
        <w:tc>
          <w:tcPr>
            <w:tcW w:w="1388" w:type="dxa"/>
            <w:vAlign w:val="center"/>
          </w:tcPr>
          <w:p w14:paraId="7DCACD31">
            <w:pPr>
              <w:autoSpaceDE w:val="0"/>
              <w:autoSpaceDN w:val="0"/>
              <w:adjustRightInd w:val="0"/>
              <w:snapToGrid w:val="0"/>
              <w:jc w:val="center"/>
              <w:rPr>
                <w:rFonts w:ascii="宋体" w:hAnsi="宋体"/>
                <w:kern w:val="0"/>
                <w:szCs w:val="21"/>
              </w:rPr>
            </w:pPr>
          </w:p>
        </w:tc>
        <w:tc>
          <w:tcPr>
            <w:tcW w:w="2706" w:type="dxa"/>
            <w:gridSpan w:val="2"/>
            <w:vAlign w:val="center"/>
          </w:tcPr>
          <w:p w14:paraId="68CCA7D7">
            <w:pPr>
              <w:autoSpaceDE w:val="0"/>
              <w:autoSpaceDN w:val="0"/>
              <w:adjustRightInd w:val="0"/>
              <w:snapToGrid w:val="0"/>
              <w:jc w:val="center"/>
              <w:rPr>
                <w:rFonts w:ascii="宋体" w:hAnsi="宋体"/>
                <w:kern w:val="0"/>
                <w:szCs w:val="21"/>
              </w:rPr>
            </w:pPr>
          </w:p>
        </w:tc>
      </w:tr>
      <w:tr w14:paraId="2783AD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6A9EC39">
            <w:pPr>
              <w:autoSpaceDE w:val="0"/>
              <w:autoSpaceDN w:val="0"/>
              <w:adjustRightInd w:val="0"/>
              <w:snapToGrid w:val="0"/>
              <w:jc w:val="center"/>
              <w:rPr>
                <w:rFonts w:ascii="宋体" w:hAnsi="宋体"/>
                <w:kern w:val="0"/>
                <w:szCs w:val="21"/>
              </w:rPr>
            </w:pPr>
          </w:p>
        </w:tc>
        <w:tc>
          <w:tcPr>
            <w:tcW w:w="3768" w:type="dxa"/>
            <w:gridSpan w:val="4"/>
            <w:vAlign w:val="center"/>
          </w:tcPr>
          <w:p w14:paraId="6F2F0C8A">
            <w:pPr>
              <w:autoSpaceDE w:val="0"/>
              <w:autoSpaceDN w:val="0"/>
              <w:adjustRightInd w:val="0"/>
              <w:snapToGrid w:val="0"/>
              <w:jc w:val="center"/>
              <w:rPr>
                <w:rFonts w:ascii="宋体" w:hAnsi="宋体"/>
                <w:kern w:val="0"/>
                <w:szCs w:val="21"/>
              </w:rPr>
            </w:pPr>
          </w:p>
        </w:tc>
        <w:tc>
          <w:tcPr>
            <w:tcW w:w="1388" w:type="dxa"/>
            <w:vAlign w:val="center"/>
          </w:tcPr>
          <w:p w14:paraId="356FA6BA">
            <w:pPr>
              <w:autoSpaceDE w:val="0"/>
              <w:autoSpaceDN w:val="0"/>
              <w:adjustRightInd w:val="0"/>
              <w:snapToGrid w:val="0"/>
              <w:jc w:val="center"/>
              <w:rPr>
                <w:rFonts w:ascii="宋体" w:hAnsi="宋体"/>
                <w:kern w:val="0"/>
                <w:szCs w:val="21"/>
              </w:rPr>
            </w:pPr>
          </w:p>
        </w:tc>
        <w:tc>
          <w:tcPr>
            <w:tcW w:w="2706" w:type="dxa"/>
            <w:gridSpan w:val="2"/>
            <w:vAlign w:val="center"/>
          </w:tcPr>
          <w:p w14:paraId="0114DB18">
            <w:pPr>
              <w:autoSpaceDE w:val="0"/>
              <w:autoSpaceDN w:val="0"/>
              <w:adjustRightInd w:val="0"/>
              <w:snapToGrid w:val="0"/>
              <w:jc w:val="center"/>
              <w:rPr>
                <w:rFonts w:ascii="宋体" w:hAnsi="宋体"/>
                <w:kern w:val="0"/>
                <w:szCs w:val="21"/>
              </w:rPr>
            </w:pPr>
          </w:p>
        </w:tc>
      </w:tr>
      <w:tr w14:paraId="367079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458E7D3">
            <w:pPr>
              <w:autoSpaceDE w:val="0"/>
              <w:autoSpaceDN w:val="0"/>
              <w:adjustRightInd w:val="0"/>
              <w:snapToGrid w:val="0"/>
              <w:jc w:val="center"/>
              <w:rPr>
                <w:rFonts w:ascii="宋体" w:hAnsi="宋体"/>
                <w:kern w:val="0"/>
                <w:szCs w:val="21"/>
              </w:rPr>
            </w:pPr>
          </w:p>
        </w:tc>
        <w:tc>
          <w:tcPr>
            <w:tcW w:w="3768" w:type="dxa"/>
            <w:gridSpan w:val="4"/>
            <w:vAlign w:val="center"/>
          </w:tcPr>
          <w:p w14:paraId="01100F56">
            <w:pPr>
              <w:autoSpaceDE w:val="0"/>
              <w:autoSpaceDN w:val="0"/>
              <w:adjustRightInd w:val="0"/>
              <w:snapToGrid w:val="0"/>
              <w:jc w:val="center"/>
              <w:rPr>
                <w:rFonts w:ascii="宋体" w:hAnsi="宋体"/>
                <w:kern w:val="0"/>
                <w:szCs w:val="21"/>
              </w:rPr>
            </w:pPr>
          </w:p>
        </w:tc>
        <w:tc>
          <w:tcPr>
            <w:tcW w:w="1388" w:type="dxa"/>
            <w:vAlign w:val="center"/>
          </w:tcPr>
          <w:p w14:paraId="29583D1F">
            <w:pPr>
              <w:autoSpaceDE w:val="0"/>
              <w:autoSpaceDN w:val="0"/>
              <w:adjustRightInd w:val="0"/>
              <w:snapToGrid w:val="0"/>
              <w:jc w:val="center"/>
              <w:rPr>
                <w:rFonts w:ascii="宋体" w:hAnsi="宋体"/>
                <w:kern w:val="0"/>
                <w:szCs w:val="21"/>
              </w:rPr>
            </w:pPr>
          </w:p>
        </w:tc>
        <w:tc>
          <w:tcPr>
            <w:tcW w:w="2706" w:type="dxa"/>
            <w:gridSpan w:val="2"/>
            <w:vAlign w:val="center"/>
          </w:tcPr>
          <w:p w14:paraId="6107A532">
            <w:pPr>
              <w:autoSpaceDE w:val="0"/>
              <w:autoSpaceDN w:val="0"/>
              <w:adjustRightInd w:val="0"/>
              <w:snapToGrid w:val="0"/>
              <w:jc w:val="center"/>
              <w:rPr>
                <w:rFonts w:ascii="宋体" w:hAnsi="宋体"/>
                <w:kern w:val="0"/>
                <w:szCs w:val="21"/>
              </w:rPr>
            </w:pPr>
          </w:p>
        </w:tc>
      </w:tr>
      <w:tr w14:paraId="039DDA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34681D9">
            <w:pPr>
              <w:autoSpaceDE w:val="0"/>
              <w:autoSpaceDN w:val="0"/>
              <w:adjustRightInd w:val="0"/>
              <w:snapToGrid w:val="0"/>
              <w:jc w:val="center"/>
              <w:rPr>
                <w:rFonts w:ascii="宋体" w:hAnsi="宋体"/>
                <w:kern w:val="0"/>
                <w:szCs w:val="21"/>
              </w:rPr>
            </w:pPr>
          </w:p>
        </w:tc>
        <w:tc>
          <w:tcPr>
            <w:tcW w:w="3768" w:type="dxa"/>
            <w:gridSpan w:val="4"/>
            <w:vAlign w:val="center"/>
          </w:tcPr>
          <w:p w14:paraId="26D2B980">
            <w:pPr>
              <w:autoSpaceDE w:val="0"/>
              <w:autoSpaceDN w:val="0"/>
              <w:adjustRightInd w:val="0"/>
              <w:snapToGrid w:val="0"/>
              <w:jc w:val="center"/>
              <w:rPr>
                <w:rFonts w:ascii="宋体" w:hAnsi="宋体"/>
                <w:kern w:val="0"/>
                <w:szCs w:val="21"/>
              </w:rPr>
            </w:pPr>
          </w:p>
        </w:tc>
        <w:tc>
          <w:tcPr>
            <w:tcW w:w="1388" w:type="dxa"/>
            <w:vAlign w:val="center"/>
          </w:tcPr>
          <w:p w14:paraId="0671E572">
            <w:pPr>
              <w:autoSpaceDE w:val="0"/>
              <w:autoSpaceDN w:val="0"/>
              <w:adjustRightInd w:val="0"/>
              <w:snapToGrid w:val="0"/>
              <w:jc w:val="center"/>
              <w:rPr>
                <w:rFonts w:ascii="宋体" w:hAnsi="宋体"/>
                <w:kern w:val="0"/>
                <w:szCs w:val="21"/>
              </w:rPr>
            </w:pPr>
          </w:p>
        </w:tc>
        <w:tc>
          <w:tcPr>
            <w:tcW w:w="2706" w:type="dxa"/>
            <w:gridSpan w:val="2"/>
            <w:vAlign w:val="center"/>
          </w:tcPr>
          <w:p w14:paraId="18A46075">
            <w:pPr>
              <w:autoSpaceDE w:val="0"/>
              <w:autoSpaceDN w:val="0"/>
              <w:adjustRightInd w:val="0"/>
              <w:snapToGrid w:val="0"/>
              <w:jc w:val="center"/>
              <w:rPr>
                <w:rFonts w:ascii="宋体" w:hAnsi="宋体"/>
                <w:kern w:val="0"/>
                <w:szCs w:val="21"/>
              </w:rPr>
            </w:pPr>
          </w:p>
        </w:tc>
      </w:tr>
      <w:tr w14:paraId="44B23D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DDF3DF3">
            <w:pPr>
              <w:autoSpaceDE w:val="0"/>
              <w:autoSpaceDN w:val="0"/>
              <w:adjustRightInd w:val="0"/>
              <w:snapToGrid w:val="0"/>
              <w:jc w:val="center"/>
              <w:rPr>
                <w:rFonts w:ascii="宋体" w:hAnsi="宋体"/>
                <w:kern w:val="0"/>
                <w:szCs w:val="21"/>
              </w:rPr>
            </w:pPr>
          </w:p>
        </w:tc>
        <w:tc>
          <w:tcPr>
            <w:tcW w:w="3768" w:type="dxa"/>
            <w:gridSpan w:val="4"/>
            <w:vAlign w:val="center"/>
          </w:tcPr>
          <w:p w14:paraId="2A2ADE3D">
            <w:pPr>
              <w:autoSpaceDE w:val="0"/>
              <w:autoSpaceDN w:val="0"/>
              <w:adjustRightInd w:val="0"/>
              <w:snapToGrid w:val="0"/>
              <w:jc w:val="center"/>
              <w:rPr>
                <w:rFonts w:ascii="宋体" w:hAnsi="宋体"/>
                <w:kern w:val="0"/>
                <w:szCs w:val="21"/>
              </w:rPr>
            </w:pPr>
          </w:p>
        </w:tc>
        <w:tc>
          <w:tcPr>
            <w:tcW w:w="1388" w:type="dxa"/>
            <w:vAlign w:val="center"/>
          </w:tcPr>
          <w:p w14:paraId="3381BBE8">
            <w:pPr>
              <w:autoSpaceDE w:val="0"/>
              <w:autoSpaceDN w:val="0"/>
              <w:adjustRightInd w:val="0"/>
              <w:snapToGrid w:val="0"/>
              <w:jc w:val="center"/>
              <w:rPr>
                <w:rFonts w:ascii="宋体" w:hAnsi="宋体"/>
                <w:kern w:val="0"/>
                <w:szCs w:val="21"/>
              </w:rPr>
            </w:pPr>
          </w:p>
        </w:tc>
        <w:tc>
          <w:tcPr>
            <w:tcW w:w="2706" w:type="dxa"/>
            <w:gridSpan w:val="2"/>
            <w:vAlign w:val="center"/>
          </w:tcPr>
          <w:p w14:paraId="513E9FA7">
            <w:pPr>
              <w:autoSpaceDE w:val="0"/>
              <w:autoSpaceDN w:val="0"/>
              <w:adjustRightInd w:val="0"/>
              <w:snapToGrid w:val="0"/>
              <w:jc w:val="center"/>
              <w:rPr>
                <w:rFonts w:ascii="宋体" w:hAnsi="宋体"/>
                <w:kern w:val="0"/>
                <w:szCs w:val="21"/>
              </w:rPr>
            </w:pPr>
          </w:p>
        </w:tc>
      </w:tr>
      <w:tr w14:paraId="66185B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1D6BAD8">
            <w:pPr>
              <w:autoSpaceDE w:val="0"/>
              <w:autoSpaceDN w:val="0"/>
              <w:adjustRightInd w:val="0"/>
              <w:snapToGrid w:val="0"/>
              <w:jc w:val="center"/>
              <w:rPr>
                <w:rFonts w:ascii="宋体" w:hAnsi="宋体"/>
                <w:kern w:val="0"/>
                <w:szCs w:val="21"/>
              </w:rPr>
            </w:pPr>
          </w:p>
        </w:tc>
        <w:tc>
          <w:tcPr>
            <w:tcW w:w="3768" w:type="dxa"/>
            <w:gridSpan w:val="4"/>
            <w:vAlign w:val="center"/>
          </w:tcPr>
          <w:p w14:paraId="60235D1B">
            <w:pPr>
              <w:autoSpaceDE w:val="0"/>
              <w:autoSpaceDN w:val="0"/>
              <w:adjustRightInd w:val="0"/>
              <w:snapToGrid w:val="0"/>
              <w:jc w:val="center"/>
              <w:rPr>
                <w:rFonts w:ascii="宋体" w:hAnsi="宋体"/>
                <w:kern w:val="0"/>
                <w:szCs w:val="21"/>
              </w:rPr>
            </w:pPr>
          </w:p>
        </w:tc>
        <w:tc>
          <w:tcPr>
            <w:tcW w:w="1388" w:type="dxa"/>
            <w:vAlign w:val="center"/>
          </w:tcPr>
          <w:p w14:paraId="19D84D57">
            <w:pPr>
              <w:autoSpaceDE w:val="0"/>
              <w:autoSpaceDN w:val="0"/>
              <w:adjustRightInd w:val="0"/>
              <w:snapToGrid w:val="0"/>
              <w:jc w:val="center"/>
              <w:rPr>
                <w:rFonts w:ascii="宋体" w:hAnsi="宋体"/>
                <w:kern w:val="0"/>
                <w:szCs w:val="21"/>
              </w:rPr>
            </w:pPr>
          </w:p>
        </w:tc>
        <w:tc>
          <w:tcPr>
            <w:tcW w:w="2706" w:type="dxa"/>
            <w:gridSpan w:val="2"/>
            <w:vAlign w:val="center"/>
          </w:tcPr>
          <w:p w14:paraId="595E2F48">
            <w:pPr>
              <w:autoSpaceDE w:val="0"/>
              <w:autoSpaceDN w:val="0"/>
              <w:adjustRightInd w:val="0"/>
              <w:snapToGrid w:val="0"/>
              <w:jc w:val="center"/>
              <w:rPr>
                <w:rFonts w:ascii="宋体" w:hAnsi="宋体"/>
                <w:kern w:val="0"/>
                <w:szCs w:val="21"/>
              </w:rPr>
            </w:pPr>
          </w:p>
        </w:tc>
      </w:tr>
    </w:tbl>
    <w:p w14:paraId="5C8CD735">
      <w:pPr>
        <w:spacing w:line="360" w:lineRule="auto"/>
        <w:rPr>
          <w:rFonts w:ascii="宋体" w:hAnsi="宋体"/>
        </w:rPr>
      </w:pPr>
      <w:bookmarkStart w:id="1610" w:name="_Toc224103515"/>
    </w:p>
    <w:p w14:paraId="7FF8DAC8">
      <w:pPr>
        <w:pStyle w:val="5"/>
        <w:spacing w:before="0" w:line="240" w:lineRule="auto"/>
        <w:jc w:val="center"/>
        <w:rPr>
          <w:rFonts w:ascii="宋体" w:hAnsi="宋体"/>
          <w:b w:val="0"/>
        </w:rPr>
      </w:pPr>
      <w:bookmarkStart w:id="1611" w:name="_Toc20337"/>
      <w:bookmarkStart w:id="1612" w:name="_Toc287620834"/>
      <w:bookmarkStart w:id="1613" w:name="_Toc534185841"/>
      <w:bookmarkStart w:id="1614" w:name="_Toc287607888"/>
      <w:bookmarkStart w:id="1615" w:name="_Toc509218864"/>
      <w:bookmarkStart w:id="1616" w:name="_Toc277082660"/>
      <w:bookmarkStart w:id="1617" w:name="_Toc430530550"/>
      <w:bookmarkStart w:id="1618" w:name="_Toc216768239"/>
      <w:r>
        <w:rPr>
          <w:rFonts w:hint="eastAsia" w:ascii="宋体" w:hAnsi="宋体"/>
          <w:b w:val="0"/>
        </w:rPr>
        <w:t>（四）近年财务状况表</w:t>
      </w:r>
      <w:bookmarkEnd w:id="1610"/>
      <w:bookmarkEnd w:id="1611"/>
      <w:bookmarkEnd w:id="1612"/>
      <w:bookmarkEnd w:id="1613"/>
      <w:bookmarkEnd w:id="1614"/>
      <w:bookmarkEnd w:id="1615"/>
      <w:bookmarkEnd w:id="1616"/>
      <w:bookmarkEnd w:id="1617"/>
      <w:bookmarkEnd w:id="1618"/>
    </w:p>
    <w:p w14:paraId="0EBE941C">
      <w:pPr>
        <w:adjustRightInd w:val="0"/>
        <w:snapToGrid w:val="0"/>
        <w:spacing w:line="360" w:lineRule="auto"/>
        <w:rPr>
          <w:rFonts w:ascii="宋体" w:hAnsi="宋体"/>
        </w:rPr>
      </w:pPr>
    </w:p>
    <w:p w14:paraId="0890A29E">
      <w:pPr>
        <w:rPr>
          <w:rFonts w:ascii="宋体" w:hAnsi="宋体"/>
        </w:rPr>
      </w:pPr>
    </w:p>
    <w:p w14:paraId="1B6C8D7B">
      <w:pPr>
        <w:pStyle w:val="2"/>
        <w:rPr>
          <w:rFonts w:ascii="宋体" w:hAnsi="宋体"/>
        </w:rPr>
      </w:pPr>
    </w:p>
    <w:p w14:paraId="0F15BCE8">
      <w:pPr>
        <w:rPr>
          <w:rFonts w:ascii="宋体" w:hAnsi="宋体"/>
        </w:rPr>
      </w:pPr>
    </w:p>
    <w:p w14:paraId="2CF60908">
      <w:pPr>
        <w:pStyle w:val="2"/>
        <w:rPr>
          <w:rFonts w:ascii="宋体" w:hAnsi="宋体"/>
        </w:rPr>
      </w:pPr>
    </w:p>
    <w:p w14:paraId="6C1156C7">
      <w:pPr>
        <w:rPr>
          <w:rFonts w:ascii="宋体" w:hAnsi="宋体"/>
        </w:rPr>
      </w:pPr>
    </w:p>
    <w:p w14:paraId="700E4F75">
      <w:pPr>
        <w:pStyle w:val="2"/>
        <w:rPr>
          <w:rFonts w:ascii="宋体" w:hAnsi="宋体"/>
        </w:rPr>
      </w:pPr>
    </w:p>
    <w:p w14:paraId="66CACB8B">
      <w:pPr>
        <w:rPr>
          <w:rFonts w:ascii="宋体" w:hAnsi="宋体"/>
        </w:rPr>
      </w:pPr>
    </w:p>
    <w:p w14:paraId="4A15838C">
      <w:pPr>
        <w:pStyle w:val="2"/>
        <w:rPr>
          <w:rFonts w:ascii="宋体" w:hAnsi="宋体"/>
        </w:rPr>
      </w:pPr>
    </w:p>
    <w:p w14:paraId="2CAB8226">
      <w:pPr>
        <w:rPr>
          <w:rFonts w:ascii="宋体" w:hAnsi="宋体"/>
        </w:rPr>
      </w:pPr>
    </w:p>
    <w:p w14:paraId="47BD8380">
      <w:pPr>
        <w:pStyle w:val="2"/>
        <w:rPr>
          <w:rFonts w:ascii="宋体" w:hAnsi="宋体"/>
        </w:rPr>
      </w:pPr>
    </w:p>
    <w:p w14:paraId="6D27EB2D">
      <w:pPr>
        <w:rPr>
          <w:rFonts w:ascii="宋体" w:hAnsi="宋体"/>
        </w:rPr>
      </w:pPr>
    </w:p>
    <w:p w14:paraId="03F8750E">
      <w:pPr>
        <w:pStyle w:val="2"/>
        <w:rPr>
          <w:rFonts w:ascii="宋体" w:hAnsi="宋体"/>
        </w:rPr>
      </w:pPr>
    </w:p>
    <w:p w14:paraId="0BEE7080">
      <w:pPr>
        <w:rPr>
          <w:rFonts w:ascii="宋体" w:hAnsi="宋体"/>
        </w:rPr>
      </w:pPr>
    </w:p>
    <w:p w14:paraId="75126886">
      <w:pPr>
        <w:pStyle w:val="2"/>
        <w:rPr>
          <w:rFonts w:ascii="宋体" w:hAnsi="宋体"/>
        </w:rPr>
      </w:pPr>
    </w:p>
    <w:p w14:paraId="398C8435">
      <w:pPr>
        <w:rPr>
          <w:rFonts w:ascii="宋体" w:hAnsi="宋体"/>
        </w:rPr>
      </w:pPr>
    </w:p>
    <w:p w14:paraId="649850B2">
      <w:pPr>
        <w:pStyle w:val="2"/>
        <w:rPr>
          <w:rFonts w:ascii="宋体" w:hAnsi="宋体"/>
        </w:rPr>
      </w:pPr>
    </w:p>
    <w:p w14:paraId="3EE92C02">
      <w:pPr>
        <w:rPr>
          <w:rFonts w:ascii="宋体" w:hAnsi="宋体"/>
        </w:rPr>
      </w:pPr>
    </w:p>
    <w:p w14:paraId="2DFA26D3">
      <w:pPr>
        <w:pStyle w:val="2"/>
        <w:rPr>
          <w:rFonts w:ascii="宋体" w:hAnsi="宋体"/>
        </w:rPr>
      </w:pPr>
    </w:p>
    <w:p w14:paraId="71FC3465">
      <w:pPr>
        <w:rPr>
          <w:rFonts w:ascii="宋体" w:hAnsi="宋体"/>
        </w:rPr>
      </w:pPr>
    </w:p>
    <w:p w14:paraId="0C92BBA7">
      <w:pPr>
        <w:pStyle w:val="2"/>
        <w:rPr>
          <w:rFonts w:ascii="宋体" w:hAnsi="宋体"/>
        </w:rPr>
      </w:pPr>
    </w:p>
    <w:p w14:paraId="0AE447AE">
      <w:pPr>
        <w:rPr>
          <w:rFonts w:ascii="宋体" w:hAnsi="宋体"/>
        </w:rPr>
      </w:pPr>
    </w:p>
    <w:p w14:paraId="6988F946">
      <w:pPr>
        <w:pStyle w:val="2"/>
        <w:rPr>
          <w:rFonts w:ascii="宋体" w:hAnsi="宋体"/>
        </w:rPr>
      </w:pPr>
    </w:p>
    <w:p w14:paraId="2BF2D1F5">
      <w:pPr>
        <w:rPr>
          <w:rFonts w:ascii="宋体" w:hAnsi="宋体"/>
        </w:rPr>
      </w:pPr>
    </w:p>
    <w:p w14:paraId="7E40431E">
      <w:pPr>
        <w:pStyle w:val="2"/>
        <w:rPr>
          <w:rFonts w:ascii="宋体" w:hAnsi="宋体"/>
        </w:rPr>
      </w:pPr>
    </w:p>
    <w:p w14:paraId="0B9BD7C8">
      <w:pPr>
        <w:rPr>
          <w:rFonts w:ascii="宋体" w:hAnsi="宋体"/>
        </w:rPr>
      </w:pPr>
    </w:p>
    <w:p w14:paraId="566041A1">
      <w:pPr>
        <w:pStyle w:val="2"/>
        <w:rPr>
          <w:rFonts w:ascii="宋体" w:hAnsi="宋体"/>
        </w:rPr>
      </w:pPr>
    </w:p>
    <w:p w14:paraId="6BE8ED7D">
      <w:pPr>
        <w:rPr>
          <w:rFonts w:ascii="宋体" w:hAnsi="宋体"/>
        </w:rPr>
      </w:pPr>
    </w:p>
    <w:p w14:paraId="79E2FF13">
      <w:pPr>
        <w:pStyle w:val="2"/>
        <w:rPr>
          <w:rFonts w:ascii="宋体" w:hAnsi="宋体"/>
        </w:rPr>
      </w:pPr>
    </w:p>
    <w:p w14:paraId="6288580E">
      <w:pPr>
        <w:rPr>
          <w:rFonts w:ascii="宋体" w:hAnsi="宋体"/>
        </w:rPr>
      </w:pPr>
    </w:p>
    <w:p w14:paraId="42E044D1">
      <w:pPr>
        <w:pStyle w:val="2"/>
        <w:rPr>
          <w:rFonts w:ascii="宋体" w:hAnsi="宋体"/>
        </w:rPr>
      </w:pPr>
    </w:p>
    <w:p w14:paraId="00796506">
      <w:pPr>
        <w:rPr>
          <w:rFonts w:ascii="宋体" w:hAnsi="宋体"/>
        </w:rPr>
      </w:pPr>
    </w:p>
    <w:p w14:paraId="0CCE1FA7">
      <w:pPr>
        <w:pStyle w:val="2"/>
        <w:rPr>
          <w:rFonts w:ascii="宋体" w:hAnsi="宋体"/>
        </w:rPr>
      </w:pPr>
    </w:p>
    <w:p w14:paraId="20A54990"/>
    <w:bookmarkEnd w:id="1603"/>
    <w:bookmarkEnd w:id="1604"/>
    <w:bookmarkEnd w:id="1605"/>
    <w:bookmarkEnd w:id="1606"/>
    <w:bookmarkEnd w:id="1607"/>
    <w:p w14:paraId="79F69D71">
      <w:pPr>
        <w:pStyle w:val="5"/>
        <w:spacing w:before="0" w:line="240" w:lineRule="auto"/>
        <w:jc w:val="center"/>
        <w:rPr>
          <w:rFonts w:ascii="宋体" w:hAnsi="宋体"/>
          <w:b w:val="0"/>
        </w:rPr>
      </w:pPr>
      <w:bookmarkStart w:id="1619" w:name="_Toc3019"/>
      <w:bookmarkStart w:id="1620" w:name="_Toc216768240"/>
      <w:bookmarkStart w:id="1621" w:name="_Toc509218865"/>
      <w:bookmarkStart w:id="1622" w:name="_Toc534185842"/>
      <w:r>
        <w:rPr>
          <w:rFonts w:ascii="宋体" w:hAnsi="宋体"/>
          <w:b w:val="0"/>
        </w:rPr>
        <w:t>（</w:t>
      </w:r>
      <w:r>
        <w:rPr>
          <w:rFonts w:hint="eastAsia" w:ascii="宋体" w:hAnsi="宋体"/>
          <w:b w:val="0"/>
        </w:rPr>
        <w:t>五</w:t>
      </w:r>
      <w:r>
        <w:rPr>
          <w:rFonts w:ascii="宋体" w:hAnsi="宋体"/>
          <w:b w:val="0"/>
        </w:rPr>
        <w:t>）类似项目情况表</w:t>
      </w:r>
      <w:bookmarkEnd w:id="1619"/>
      <w:bookmarkEnd w:id="1620"/>
      <w:bookmarkEnd w:id="1621"/>
      <w:bookmarkEnd w:id="1622"/>
    </w:p>
    <w:tbl>
      <w:tblPr>
        <w:tblStyle w:val="45"/>
        <w:tblW w:w="948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456"/>
        <w:gridCol w:w="8027"/>
      </w:tblGrid>
      <w:tr w14:paraId="0AA035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43" w:hRule="exact"/>
          <w:jc w:val="center"/>
        </w:trPr>
        <w:tc>
          <w:tcPr>
            <w:tcW w:w="1456" w:type="dxa"/>
            <w:vAlign w:val="center"/>
          </w:tcPr>
          <w:p w14:paraId="3D8F71EB">
            <w:pPr>
              <w:autoSpaceDE w:val="0"/>
              <w:autoSpaceDN w:val="0"/>
              <w:adjustRightInd w:val="0"/>
              <w:snapToGrid w:val="0"/>
              <w:jc w:val="center"/>
              <w:rPr>
                <w:rFonts w:ascii="宋体" w:hAnsi="宋体"/>
                <w:kern w:val="0"/>
                <w:szCs w:val="21"/>
              </w:rPr>
            </w:pPr>
            <w:r>
              <w:rPr>
                <w:rFonts w:ascii="宋体" w:hAnsi="宋体"/>
                <w:kern w:val="0"/>
                <w:szCs w:val="21"/>
              </w:rPr>
              <w:t>项目名称</w:t>
            </w:r>
          </w:p>
        </w:tc>
        <w:tc>
          <w:tcPr>
            <w:tcW w:w="8027" w:type="dxa"/>
            <w:vAlign w:val="center"/>
          </w:tcPr>
          <w:p w14:paraId="1EA9850C">
            <w:pPr>
              <w:autoSpaceDE w:val="0"/>
              <w:autoSpaceDN w:val="0"/>
              <w:adjustRightInd w:val="0"/>
              <w:snapToGrid w:val="0"/>
              <w:jc w:val="center"/>
              <w:rPr>
                <w:rFonts w:ascii="宋体" w:hAnsi="宋体"/>
                <w:kern w:val="0"/>
                <w:szCs w:val="21"/>
              </w:rPr>
            </w:pPr>
          </w:p>
        </w:tc>
      </w:tr>
      <w:tr w14:paraId="7857C8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4EA6D1C6">
            <w:pPr>
              <w:autoSpaceDE w:val="0"/>
              <w:autoSpaceDN w:val="0"/>
              <w:adjustRightInd w:val="0"/>
              <w:snapToGrid w:val="0"/>
              <w:jc w:val="center"/>
              <w:rPr>
                <w:rFonts w:ascii="宋体" w:hAnsi="宋体"/>
                <w:kern w:val="0"/>
                <w:szCs w:val="21"/>
              </w:rPr>
            </w:pPr>
            <w:r>
              <w:rPr>
                <w:rFonts w:ascii="宋体" w:hAnsi="宋体"/>
                <w:kern w:val="0"/>
                <w:szCs w:val="21"/>
              </w:rPr>
              <w:t>项目所在地</w:t>
            </w:r>
          </w:p>
        </w:tc>
        <w:tc>
          <w:tcPr>
            <w:tcW w:w="8027" w:type="dxa"/>
            <w:vAlign w:val="center"/>
          </w:tcPr>
          <w:p w14:paraId="79996AA6">
            <w:pPr>
              <w:autoSpaceDE w:val="0"/>
              <w:autoSpaceDN w:val="0"/>
              <w:adjustRightInd w:val="0"/>
              <w:snapToGrid w:val="0"/>
              <w:jc w:val="center"/>
              <w:rPr>
                <w:rFonts w:ascii="宋体" w:hAnsi="宋体"/>
                <w:kern w:val="0"/>
                <w:szCs w:val="21"/>
              </w:rPr>
            </w:pPr>
          </w:p>
        </w:tc>
      </w:tr>
      <w:tr w14:paraId="34D982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6" w:hRule="exact"/>
          <w:jc w:val="center"/>
        </w:trPr>
        <w:tc>
          <w:tcPr>
            <w:tcW w:w="1456" w:type="dxa"/>
            <w:vAlign w:val="center"/>
          </w:tcPr>
          <w:p w14:paraId="599BF221">
            <w:pPr>
              <w:autoSpaceDE w:val="0"/>
              <w:autoSpaceDN w:val="0"/>
              <w:adjustRightInd w:val="0"/>
              <w:snapToGrid w:val="0"/>
              <w:jc w:val="center"/>
              <w:rPr>
                <w:rFonts w:ascii="宋体" w:hAnsi="宋体"/>
                <w:kern w:val="0"/>
                <w:szCs w:val="21"/>
              </w:rPr>
            </w:pPr>
            <w:r>
              <w:rPr>
                <w:rFonts w:ascii="宋体" w:hAnsi="宋体"/>
                <w:kern w:val="0"/>
                <w:szCs w:val="21"/>
              </w:rPr>
              <w:t>发包人名称</w:t>
            </w:r>
          </w:p>
        </w:tc>
        <w:tc>
          <w:tcPr>
            <w:tcW w:w="8027" w:type="dxa"/>
            <w:vAlign w:val="center"/>
          </w:tcPr>
          <w:p w14:paraId="5FE3CC5A">
            <w:pPr>
              <w:autoSpaceDE w:val="0"/>
              <w:autoSpaceDN w:val="0"/>
              <w:adjustRightInd w:val="0"/>
              <w:snapToGrid w:val="0"/>
              <w:jc w:val="center"/>
              <w:rPr>
                <w:rFonts w:ascii="宋体" w:hAnsi="宋体"/>
                <w:kern w:val="0"/>
                <w:szCs w:val="21"/>
              </w:rPr>
            </w:pPr>
          </w:p>
        </w:tc>
      </w:tr>
      <w:tr w14:paraId="086FFF2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14:paraId="723AE7F8">
            <w:pPr>
              <w:autoSpaceDE w:val="0"/>
              <w:autoSpaceDN w:val="0"/>
              <w:adjustRightInd w:val="0"/>
              <w:snapToGrid w:val="0"/>
              <w:jc w:val="center"/>
              <w:rPr>
                <w:rFonts w:ascii="宋体" w:hAnsi="宋体"/>
                <w:kern w:val="0"/>
                <w:szCs w:val="21"/>
              </w:rPr>
            </w:pPr>
            <w:r>
              <w:rPr>
                <w:rFonts w:ascii="宋体" w:hAnsi="宋体"/>
                <w:kern w:val="0"/>
                <w:szCs w:val="21"/>
              </w:rPr>
              <w:t>发包人地址</w:t>
            </w:r>
          </w:p>
        </w:tc>
        <w:tc>
          <w:tcPr>
            <w:tcW w:w="8027" w:type="dxa"/>
            <w:vAlign w:val="center"/>
          </w:tcPr>
          <w:p w14:paraId="232C7E48">
            <w:pPr>
              <w:autoSpaceDE w:val="0"/>
              <w:autoSpaceDN w:val="0"/>
              <w:adjustRightInd w:val="0"/>
              <w:snapToGrid w:val="0"/>
              <w:jc w:val="center"/>
              <w:rPr>
                <w:rFonts w:ascii="宋体" w:hAnsi="宋体"/>
                <w:kern w:val="0"/>
                <w:szCs w:val="21"/>
              </w:rPr>
            </w:pPr>
          </w:p>
        </w:tc>
      </w:tr>
      <w:tr w14:paraId="0CD2F8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14:paraId="519E9053">
            <w:pPr>
              <w:autoSpaceDE w:val="0"/>
              <w:autoSpaceDN w:val="0"/>
              <w:adjustRightInd w:val="0"/>
              <w:snapToGrid w:val="0"/>
              <w:jc w:val="center"/>
              <w:rPr>
                <w:rFonts w:ascii="宋体" w:hAnsi="宋体"/>
                <w:kern w:val="0"/>
                <w:szCs w:val="21"/>
              </w:rPr>
            </w:pPr>
            <w:r>
              <w:rPr>
                <w:rFonts w:ascii="宋体" w:hAnsi="宋体"/>
                <w:kern w:val="0"/>
                <w:szCs w:val="21"/>
              </w:rPr>
              <w:t>发包人电话</w:t>
            </w:r>
          </w:p>
        </w:tc>
        <w:tc>
          <w:tcPr>
            <w:tcW w:w="8027" w:type="dxa"/>
            <w:vAlign w:val="center"/>
          </w:tcPr>
          <w:p w14:paraId="32EC9B8B">
            <w:pPr>
              <w:autoSpaceDE w:val="0"/>
              <w:autoSpaceDN w:val="0"/>
              <w:adjustRightInd w:val="0"/>
              <w:snapToGrid w:val="0"/>
              <w:jc w:val="center"/>
              <w:rPr>
                <w:rFonts w:ascii="宋体" w:hAnsi="宋体"/>
                <w:kern w:val="0"/>
                <w:szCs w:val="21"/>
              </w:rPr>
            </w:pPr>
          </w:p>
        </w:tc>
      </w:tr>
      <w:tr w14:paraId="329BD8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1" w:hRule="exact"/>
          <w:jc w:val="center"/>
        </w:trPr>
        <w:tc>
          <w:tcPr>
            <w:tcW w:w="1456" w:type="dxa"/>
            <w:vAlign w:val="center"/>
          </w:tcPr>
          <w:p w14:paraId="16FE9942">
            <w:pPr>
              <w:autoSpaceDE w:val="0"/>
              <w:autoSpaceDN w:val="0"/>
              <w:adjustRightInd w:val="0"/>
              <w:snapToGrid w:val="0"/>
              <w:jc w:val="center"/>
              <w:rPr>
                <w:rFonts w:ascii="宋体" w:hAnsi="宋体"/>
                <w:kern w:val="0"/>
                <w:szCs w:val="21"/>
              </w:rPr>
            </w:pPr>
            <w:r>
              <w:rPr>
                <w:rFonts w:ascii="宋体" w:hAnsi="宋体"/>
                <w:kern w:val="0"/>
                <w:szCs w:val="21"/>
              </w:rPr>
              <w:t>合同价格</w:t>
            </w:r>
          </w:p>
        </w:tc>
        <w:tc>
          <w:tcPr>
            <w:tcW w:w="8027" w:type="dxa"/>
            <w:vAlign w:val="center"/>
          </w:tcPr>
          <w:p w14:paraId="73BC958B">
            <w:pPr>
              <w:autoSpaceDE w:val="0"/>
              <w:autoSpaceDN w:val="0"/>
              <w:adjustRightInd w:val="0"/>
              <w:snapToGrid w:val="0"/>
              <w:jc w:val="center"/>
              <w:rPr>
                <w:rFonts w:ascii="宋体" w:hAnsi="宋体"/>
                <w:kern w:val="0"/>
                <w:szCs w:val="21"/>
              </w:rPr>
            </w:pPr>
          </w:p>
        </w:tc>
      </w:tr>
      <w:tr w14:paraId="30B1A2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5" w:hRule="exact"/>
          <w:jc w:val="center"/>
        </w:trPr>
        <w:tc>
          <w:tcPr>
            <w:tcW w:w="1456" w:type="dxa"/>
            <w:vAlign w:val="center"/>
          </w:tcPr>
          <w:p w14:paraId="7B1ED6D8">
            <w:pPr>
              <w:autoSpaceDE w:val="0"/>
              <w:autoSpaceDN w:val="0"/>
              <w:adjustRightInd w:val="0"/>
              <w:snapToGrid w:val="0"/>
              <w:jc w:val="center"/>
              <w:rPr>
                <w:rFonts w:ascii="宋体" w:hAnsi="宋体"/>
                <w:kern w:val="0"/>
                <w:szCs w:val="21"/>
              </w:rPr>
            </w:pPr>
            <w:r>
              <w:rPr>
                <w:rFonts w:ascii="宋体" w:hAnsi="宋体"/>
                <w:kern w:val="0"/>
                <w:szCs w:val="21"/>
              </w:rPr>
              <w:t>开工日期</w:t>
            </w:r>
          </w:p>
        </w:tc>
        <w:tc>
          <w:tcPr>
            <w:tcW w:w="8027" w:type="dxa"/>
            <w:vAlign w:val="center"/>
          </w:tcPr>
          <w:p w14:paraId="364F2421">
            <w:pPr>
              <w:autoSpaceDE w:val="0"/>
              <w:autoSpaceDN w:val="0"/>
              <w:adjustRightInd w:val="0"/>
              <w:snapToGrid w:val="0"/>
              <w:jc w:val="center"/>
              <w:rPr>
                <w:rFonts w:ascii="宋体" w:hAnsi="宋体"/>
                <w:kern w:val="0"/>
                <w:szCs w:val="21"/>
              </w:rPr>
            </w:pPr>
          </w:p>
        </w:tc>
      </w:tr>
      <w:tr w14:paraId="1CA6EB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9" w:hRule="exact"/>
          <w:jc w:val="center"/>
        </w:trPr>
        <w:tc>
          <w:tcPr>
            <w:tcW w:w="1456" w:type="dxa"/>
            <w:vAlign w:val="center"/>
          </w:tcPr>
          <w:p w14:paraId="46620021">
            <w:pPr>
              <w:autoSpaceDE w:val="0"/>
              <w:autoSpaceDN w:val="0"/>
              <w:adjustRightInd w:val="0"/>
              <w:snapToGrid w:val="0"/>
              <w:jc w:val="center"/>
              <w:rPr>
                <w:rFonts w:ascii="宋体" w:hAnsi="宋体"/>
                <w:kern w:val="0"/>
                <w:szCs w:val="21"/>
              </w:rPr>
            </w:pPr>
            <w:r>
              <w:rPr>
                <w:rFonts w:ascii="宋体" w:hAnsi="宋体"/>
                <w:kern w:val="0"/>
                <w:szCs w:val="21"/>
              </w:rPr>
              <w:t>竣工日期</w:t>
            </w:r>
          </w:p>
        </w:tc>
        <w:tc>
          <w:tcPr>
            <w:tcW w:w="8027" w:type="dxa"/>
            <w:vAlign w:val="center"/>
          </w:tcPr>
          <w:p w14:paraId="156D1B4C">
            <w:pPr>
              <w:autoSpaceDE w:val="0"/>
              <w:autoSpaceDN w:val="0"/>
              <w:adjustRightInd w:val="0"/>
              <w:snapToGrid w:val="0"/>
              <w:jc w:val="center"/>
              <w:rPr>
                <w:rFonts w:ascii="宋体" w:hAnsi="宋体"/>
                <w:kern w:val="0"/>
                <w:szCs w:val="21"/>
              </w:rPr>
            </w:pPr>
          </w:p>
        </w:tc>
      </w:tr>
      <w:tr w14:paraId="343431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75EB2B5A">
            <w:pPr>
              <w:autoSpaceDE w:val="0"/>
              <w:autoSpaceDN w:val="0"/>
              <w:adjustRightInd w:val="0"/>
              <w:snapToGrid w:val="0"/>
              <w:jc w:val="center"/>
              <w:rPr>
                <w:rFonts w:ascii="宋体" w:hAnsi="宋体"/>
                <w:kern w:val="0"/>
                <w:szCs w:val="21"/>
              </w:rPr>
            </w:pPr>
            <w:r>
              <w:rPr>
                <w:rFonts w:ascii="宋体" w:hAnsi="宋体"/>
                <w:kern w:val="0"/>
                <w:szCs w:val="21"/>
              </w:rPr>
              <w:t>承担的工作</w:t>
            </w:r>
          </w:p>
        </w:tc>
        <w:tc>
          <w:tcPr>
            <w:tcW w:w="8027" w:type="dxa"/>
            <w:vAlign w:val="center"/>
          </w:tcPr>
          <w:p w14:paraId="24F746B2">
            <w:pPr>
              <w:autoSpaceDE w:val="0"/>
              <w:autoSpaceDN w:val="0"/>
              <w:adjustRightInd w:val="0"/>
              <w:snapToGrid w:val="0"/>
              <w:jc w:val="center"/>
              <w:rPr>
                <w:rFonts w:ascii="宋体" w:hAnsi="宋体"/>
                <w:kern w:val="0"/>
                <w:szCs w:val="21"/>
              </w:rPr>
            </w:pPr>
          </w:p>
        </w:tc>
      </w:tr>
      <w:tr w14:paraId="1F4436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14:paraId="705DFB5B">
            <w:pPr>
              <w:autoSpaceDE w:val="0"/>
              <w:autoSpaceDN w:val="0"/>
              <w:adjustRightInd w:val="0"/>
              <w:snapToGrid w:val="0"/>
              <w:jc w:val="center"/>
              <w:rPr>
                <w:rFonts w:ascii="宋体" w:hAnsi="宋体"/>
                <w:kern w:val="0"/>
                <w:szCs w:val="21"/>
              </w:rPr>
            </w:pPr>
            <w:r>
              <w:rPr>
                <w:rFonts w:ascii="宋体" w:hAnsi="宋体"/>
                <w:kern w:val="0"/>
                <w:szCs w:val="21"/>
              </w:rPr>
              <w:t>工程质量</w:t>
            </w:r>
          </w:p>
        </w:tc>
        <w:tc>
          <w:tcPr>
            <w:tcW w:w="8027" w:type="dxa"/>
            <w:vAlign w:val="center"/>
          </w:tcPr>
          <w:p w14:paraId="667AF38C">
            <w:pPr>
              <w:autoSpaceDE w:val="0"/>
              <w:autoSpaceDN w:val="0"/>
              <w:adjustRightInd w:val="0"/>
              <w:snapToGrid w:val="0"/>
              <w:jc w:val="center"/>
              <w:rPr>
                <w:rFonts w:ascii="宋体" w:hAnsi="宋体"/>
                <w:kern w:val="0"/>
                <w:szCs w:val="21"/>
              </w:rPr>
            </w:pPr>
          </w:p>
        </w:tc>
      </w:tr>
      <w:tr w14:paraId="473C99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14:paraId="59CBAE09">
            <w:pPr>
              <w:autoSpaceDE w:val="0"/>
              <w:autoSpaceDN w:val="0"/>
              <w:adjustRightInd w:val="0"/>
              <w:snapToGrid w:val="0"/>
              <w:jc w:val="center"/>
              <w:rPr>
                <w:rFonts w:ascii="宋体" w:hAnsi="宋体"/>
                <w:kern w:val="0"/>
                <w:szCs w:val="21"/>
              </w:rPr>
            </w:pPr>
            <w:r>
              <w:rPr>
                <w:rFonts w:ascii="宋体" w:hAnsi="宋体"/>
                <w:kern w:val="0"/>
                <w:szCs w:val="21"/>
              </w:rPr>
              <w:t>项目经理</w:t>
            </w:r>
          </w:p>
        </w:tc>
        <w:tc>
          <w:tcPr>
            <w:tcW w:w="8027" w:type="dxa"/>
            <w:vAlign w:val="center"/>
          </w:tcPr>
          <w:p w14:paraId="6575F033">
            <w:pPr>
              <w:autoSpaceDE w:val="0"/>
              <w:autoSpaceDN w:val="0"/>
              <w:adjustRightInd w:val="0"/>
              <w:snapToGrid w:val="0"/>
              <w:jc w:val="center"/>
              <w:rPr>
                <w:rFonts w:ascii="宋体" w:hAnsi="宋体"/>
                <w:kern w:val="0"/>
                <w:szCs w:val="21"/>
              </w:rPr>
            </w:pPr>
          </w:p>
        </w:tc>
      </w:tr>
      <w:tr w14:paraId="31D872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0" w:hRule="exact"/>
          <w:jc w:val="center"/>
        </w:trPr>
        <w:tc>
          <w:tcPr>
            <w:tcW w:w="1456" w:type="dxa"/>
            <w:vAlign w:val="center"/>
          </w:tcPr>
          <w:p w14:paraId="19F00683">
            <w:pPr>
              <w:autoSpaceDE w:val="0"/>
              <w:autoSpaceDN w:val="0"/>
              <w:adjustRightInd w:val="0"/>
              <w:snapToGrid w:val="0"/>
              <w:jc w:val="center"/>
              <w:rPr>
                <w:rFonts w:ascii="宋体" w:hAnsi="宋体"/>
                <w:kern w:val="0"/>
                <w:szCs w:val="21"/>
              </w:rPr>
            </w:pPr>
            <w:r>
              <w:rPr>
                <w:rFonts w:ascii="宋体" w:hAnsi="宋体"/>
                <w:kern w:val="0"/>
                <w:szCs w:val="21"/>
              </w:rPr>
              <w:t>技术负责人</w:t>
            </w:r>
          </w:p>
        </w:tc>
        <w:tc>
          <w:tcPr>
            <w:tcW w:w="8027" w:type="dxa"/>
            <w:vAlign w:val="center"/>
          </w:tcPr>
          <w:p w14:paraId="6C41DE9E">
            <w:pPr>
              <w:autoSpaceDE w:val="0"/>
              <w:autoSpaceDN w:val="0"/>
              <w:adjustRightInd w:val="0"/>
              <w:snapToGrid w:val="0"/>
              <w:jc w:val="center"/>
              <w:rPr>
                <w:rFonts w:ascii="宋体" w:hAnsi="宋体"/>
                <w:kern w:val="0"/>
                <w:szCs w:val="21"/>
              </w:rPr>
            </w:pPr>
          </w:p>
        </w:tc>
      </w:tr>
      <w:tr w14:paraId="661CA0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63" w:hRule="exact"/>
          <w:jc w:val="center"/>
        </w:trPr>
        <w:tc>
          <w:tcPr>
            <w:tcW w:w="1456" w:type="dxa"/>
            <w:vAlign w:val="center"/>
          </w:tcPr>
          <w:p w14:paraId="7399D594">
            <w:pPr>
              <w:autoSpaceDE w:val="0"/>
              <w:autoSpaceDN w:val="0"/>
              <w:adjustRightInd w:val="0"/>
              <w:snapToGrid w:val="0"/>
              <w:jc w:val="center"/>
              <w:rPr>
                <w:rFonts w:ascii="宋体" w:hAnsi="宋体"/>
                <w:kern w:val="0"/>
                <w:szCs w:val="21"/>
              </w:rPr>
            </w:pPr>
            <w:r>
              <w:rPr>
                <w:rFonts w:ascii="宋体" w:hAnsi="宋体"/>
                <w:kern w:val="0"/>
                <w:szCs w:val="21"/>
              </w:rPr>
              <w:t>总监理工程师及电话</w:t>
            </w:r>
          </w:p>
        </w:tc>
        <w:tc>
          <w:tcPr>
            <w:tcW w:w="8027" w:type="dxa"/>
            <w:vAlign w:val="center"/>
          </w:tcPr>
          <w:p w14:paraId="2DE28C79">
            <w:pPr>
              <w:autoSpaceDE w:val="0"/>
              <w:autoSpaceDN w:val="0"/>
              <w:adjustRightInd w:val="0"/>
              <w:snapToGrid w:val="0"/>
              <w:jc w:val="center"/>
              <w:rPr>
                <w:rFonts w:ascii="宋体" w:hAnsi="宋体"/>
                <w:kern w:val="0"/>
                <w:szCs w:val="21"/>
              </w:rPr>
            </w:pPr>
          </w:p>
        </w:tc>
      </w:tr>
      <w:tr w14:paraId="29189C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67" w:hRule="exact"/>
          <w:jc w:val="center"/>
        </w:trPr>
        <w:tc>
          <w:tcPr>
            <w:tcW w:w="1456" w:type="dxa"/>
            <w:vAlign w:val="center"/>
          </w:tcPr>
          <w:p w14:paraId="7E1704A9">
            <w:pPr>
              <w:autoSpaceDE w:val="0"/>
              <w:autoSpaceDN w:val="0"/>
              <w:adjustRightInd w:val="0"/>
              <w:snapToGrid w:val="0"/>
              <w:jc w:val="center"/>
              <w:rPr>
                <w:rFonts w:ascii="宋体" w:hAnsi="宋体"/>
                <w:kern w:val="0"/>
                <w:szCs w:val="21"/>
              </w:rPr>
            </w:pPr>
            <w:r>
              <w:rPr>
                <w:rFonts w:ascii="宋体" w:hAnsi="宋体"/>
                <w:kern w:val="0"/>
                <w:szCs w:val="21"/>
              </w:rPr>
              <w:t>项目描述</w:t>
            </w:r>
          </w:p>
        </w:tc>
        <w:tc>
          <w:tcPr>
            <w:tcW w:w="8027" w:type="dxa"/>
            <w:vAlign w:val="center"/>
          </w:tcPr>
          <w:p w14:paraId="39D22551">
            <w:pPr>
              <w:autoSpaceDE w:val="0"/>
              <w:autoSpaceDN w:val="0"/>
              <w:adjustRightInd w:val="0"/>
              <w:snapToGrid w:val="0"/>
              <w:jc w:val="center"/>
              <w:rPr>
                <w:rFonts w:ascii="宋体" w:hAnsi="宋体"/>
                <w:kern w:val="0"/>
                <w:szCs w:val="21"/>
              </w:rPr>
            </w:pPr>
          </w:p>
        </w:tc>
      </w:tr>
      <w:tr w14:paraId="4370DF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48" w:hRule="exact"/>
          <w:jc w:val="center"/>
        </w:trPr>
        <w:tc>
          <w:tcPr>
            <w:tcW w:w="1456" w:type="dxa"/>
            <w:vAlign w:val="center"/>
          </w:tcPr>
          <w:p w14:paraId="314CA196">
            <w:pPr>
              <w:autoSpaceDE w:val="0"/>
              <w:autoSpaceDN w:val="0"/>
              <w:adjustRightInd w:val="0"/>
              <w:snapToGrid w:val="0"/>
              <w:jc w:val="center"/>
              <w:rPr>
                <w:rFonts w:ascii="宋体" w:hAnsi="宋体"/>
                <w:kern w:val="0"/>
                <w:szCs w:val="21"/>
              </w:rPr>
            </w:pPr>
            <w:r>
              <w:rPr>
                <w:rFonts w:ascii="宋体" w:hAnsi="宋体"/>
                <w:kern w:val="0"/>
                <w:szCs w:val="21"/>
              </w:rPr>
              <w:t>备注</w:t>
            </w:r>
          </w:p>
        </w:tc>
        <w:tc>
          <w:tcPr>
            <w:tcW w:w="8027" w:type="dxa"/>
            <w:vAlign w:val="center"/>
          </w:tcPr>
          <w:p w14:paraId="302C0E9D">
            <w:pPr>
              <w:autoSpaceDE w:val="0"/>
              <w:autoSpaceDN w:val="0"/>
              <w:adjustRightInd w:val="0"/>
              <w:snapToGrid w:val="0"/>
              <w:jc w:val="center"/>
              <w:rPr>
                <w:rFonts w:ascii="宋体" w:hAnsi="宋体"/>
                <w:kern w:val="0"/>
                <w:szCs w:val="21"/>
              </w:rPr>
            </w:pPr>
          </w:p>
        </w:tc>
      </w:tr>
    </w:tbl>
    <w:p w14:paraId="73FB2032">
      <w:pPr>
        <w:rPr>
          <w:rFonts w:ascii="宋体" w:hAnsi="宋体"/>
        </w:rPr>
      </w:pPr>
      <w:r>
        <w:rPr>
          <w:rFonts w:ascii="宋体" w:hAnsi="宋体"/>
        </w:rPr>
        <w:br w:type="page"/>
      </w:r>
    </w:p>
    <w:p w14:paraId="62525CEC">
      <w:pPr>
        <w:pStyle w:val="5"/>
        <w:spacing w:before="0" w:after="0" w:line="360" w:lineRule="auto"/>
        <w:jc w:val="center"/>
        <w:rPr>
          <w:rFonts w:ascii="宋体" w:hAnsi="宋体"/>
          <w:b w:val="0"/>
        </w:rPr>
      </w:pPr>
      <w:bookmarkStart w:id="1623" w:name="_Toc11964"/>
      <w:bookmarkStart w:id="1624" w:name="_Toc216768241"/>
      <w:r>
        <w:rPr>
          <w:rFonts w:ascii="宋体" w:hAnsi="宋体"/>
          <w:b w:val="0"/>
        </w:rPr>
        <w:t>（</w:t>
      </w:r>
      <w:r>
        <w:rPr>
          <w:rFonts w:hint="eastAsia" w:ascii="宋体" w:hAnsi="宋体"/>
          <w:b w:val="0"/>
        </w:rPr>
        <w:t>六</w:t>
      </w:r>
      <w:r>
        <w:rPr>
          <w:rFonts w:ascii="宋体" w:hAnsi="宋体"/>
          <w:b w:val="0"/>
        </w:rPr>
        <w:t>）</w:t>
      </w:r>
      <w:r>
        <w:rPr>
          <w:rFonts w:hint="eastAsia" w:ascii="宋体" w:hAnsi="宋体"/>
          <w:b w:val="0"/>
        </w:rPr>
        <w:t>承诺</w:t>
      </w:r>
      <w:bookmarkEnd w:id="1623"/>
      <w:bookmarkEnd w:id="1624"/>
    </w:p>
    <w:p w14:paraId="3DE2E992">
      <w:pPr>
        <w:snapToGrid w:val="0"/>
        <w:spacing w:line="380" w:lineRule="exact"/>
        <w:rPr>
          <w:rFonts w:ascii="宋体" w:hAnsi="宋体"/>
          <w:szCs w:val="21"/>
          <w:u w:val="single"/>
        </w:rPr>
      </w:pPr>
      <w:r>
        <w:rPr>
          <w:rFonts w:hint="eastAsia" w:ascii="宋体" w:hAnsi="宋体"/>
          <w:szCs w:val="21"/>
          <w:u w:val="single"/>
        </w:rPr>
        <w:t xml:space="preserve">        （比选人名称）</w:t>
      </w:r>
      <w:r>
        <w:rPr>
          <w:rFonts w:hint="eastAsia" w:ascii="宋体" w:hAnsi="宋体"/>
          <w:szCs w:val="21"/>
        </w:rPr>
        <w:t>：</w:t>
      </w:r>
    </w:p>
    <w:p w14:paraId="5FA73E60">
      <w:pPr>
        <w:snapToGrid w:val="0"/>
        <w:spacing w:line="380" w:lineRule="exact"/>
        <w:ind w:firstLine="420" w:firstLineChars="200"/>
        <w:rPr>
          <w:rFonts w:ascii="宋体" w:hAnsi="宋体"/>
          <w:szCs w:val="21"/>
        </w:rPr>
      </w:pPr>
      <w:r>
        <w:rPr>
          <w:rFonts w:hint="eastAsia" w:ascii="宋体" w:hAnsi="宋体"/>
          <w:szCs w:val="21"/>
        </w:rPr>
        <w:t>我公司</w:t>
      </w:r>
      <w:r>
        <w:rPr>
          <w:rFonts w:hint="eastAsia" w:ascii="宋体" w:hAnsi="宋体"/>
          <w:szCs w:val="21"/>
          <w:u w:val="single"/>
        </w:rPr>
        <w:t xml:space="preserve">        （投标人名称）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的投标，自愿作出以下承诺：</w:t>
      </w:r>
    </w:p>
    <w:p w14:paraId="479EC665">
      <w:pPr>
        <w:snapToGrid w:val="0"/>
        <w:spacing w:line="380" w:lineRule="exact"/>
        <w:ind w:firstLine="420" w:firstLineChars="200"/>
        <w:rPr>
          <w:rFonts w:ascii="宋体" w:hAnsi="宋体"/>
          <w:szCs w:val="21"/>
        </w:rPr>
      </w:pPr>
      <w:r>
        <w:rPr>
          <w:rFonts w:hint="eastAsia" w:ascii="宋体" w:hAnsi="宋体"/>
          <w:szCs w:val="21"/>
        </w:rPr>
        <w:t>1、我公司投标截止日投标资格情况不存在下列情形之一：</w:t>
      </w:r>
    </w:p>
    <w:p w14:paraId="44B607BE">
      <w:pPr>
        <w:snapToGrid w:val="0"/>
        <w:spacing w:line="380" w:lineRule="exact"/>
        <w:ind w:firstLine="420" w:firstLineChars="200"/>
        <w:jc w:val="left"/>
        <w:rPr>
          <w:rFonts w:ascii="宋体" w:hAnsi="宋体"/>
          <w:szCs w:val="21"/>
        </w:rPr>
      </w:pPr>
      <w:r>
        <w:rPr>
          <w:rFonts w:hint="eastAsia" w:ascii="宋体" w:hAnsi="宋体"/>
          <w:szCs w:val="21"/>
        </w:rPr>
        <w:t>（1）被人民法院列入失信被执行人名单且在被执行期内；</w:t>
      </w:r>
    </w:p>
    <w:p w14:paraId="7F08515F">
      <w:pPr>
        <w:snapToGrid w:val="0"/>
        <w:spacing w:line="380" w:lineRule="exact"/>
        <w:ind w:firstLine="420" w:firstLineChars="200"/>
        <w:rPr>
          <w:rFonts w:ascii="宋体" w:hAnsi="宋体"/>
          <w:szCs w:val="21"/>
        </w:rPr>
      </w:pPr>
      <w:r>
        <w:rPr>
          <w:rFonts w:hint="eastAsia" w:ascii="宋体" w:hAnsi="宋体"/>
          <w:szCs w:val="21"/>
        </w:rPr>
        <w:t>（2）被列入《重庆市工程建设领域招标投标信用管理暂行办法》规定的重点关注名单且记分达到12分且在记分有效期内；</w:t>
      </w:r>
    </w:p>
    <w:p w14:paraId="2B2464E7">
      <w:pPr>
        <w:snapToGrid w:val="0"/>
        <w:spacing w:line="380" w:lineRule="exact"/>
        <w:ind w:firstLine="420" w:firstLineChars="200"/>
        <w:rPr>
          <w:rFonts w:ascii="宋体" w:hAnsi="宋体"/>
          <w:szCs w:val="21"/>
        </w:rPr>
      </w:pPr>
      <w:r>
        <w:rPr>
          <w:rFonts w:hint="eastAsia" w:ascii="宋体" w:hAnsi="宋体"/>
          <w:szCs w:val="21"/>
        </w:rPr>
        <w:t>（3）被列入《重庆市工程建设领域招标投标信用管理暂行办法》规定的黑名单且在记分有效期内；</w:t>
      </w:r>
    </w:p>
    <w:p w14:paraId="4861AC8B">
      <w:pPr>
        <w:snapToGrid w:val="0"/>
        <w:spacing w:line="380" w:lineRule="exact"/>
        <w:ind w:firstLine="420" w:firstLineChars="200"/>
        <w:rPr>
          <w:rFonts w:ascii="宋体" w:hAnsi="宋体"/>
          <w:szCs w:val="21"/>
        </w:rPr>
      </w:pPr>
      <w:r>
        <w:rPr>
          <w:rFonts w:hint="eastAsia" w:ascii="宋体" w:hAnsi="宋体"/>
          <w:szCs w:val="21"/>
        </w:rPr>
        <w:t>（4）被国家、重庆市（含市或任意区县）有关行政部门处以暂停投标资格行政处罚，且在处罚期限内；</w:t>
      </w:r>
    </w:p>
    <w:p w14:paraId="14739984">
      <w:pPr>
        <w:snapToGrid w:val="0"/>
        <w:spacing w:line="380" w:lineRule="exact"/>
        <w:ind w:firstLine="420" w:firstLineChars="200"/>
        <w:rPr>
          <w:rFonts w:ascii="宋体" w:hAnsi="宋体"/>
          <w:szCs w:val="21"/>
        </w:rPr>
      </w:pPr>
      <w:r>
        <w:rPr>
          <w:rFonts w:hint="eastAsia" w:ascii="宋体" w:hAnsi="宋体"/>
          <w:szCs w:val="21"/>
        </w:rPr>
        <w:t>（5）被重庆市市级有关行业主管部门暂停在渝承揽新业务且在暂停期内。</w:t>
      </w:r>
    </w:p>
    <w:p w14:paraId="1E91FE90">
      <w:pPr>
        <w:snapToGrid w:val="0"/>
        <w:spacing w:line="380" w:lineRule="exact"/>
        <w:ind w:firstLine="420" w:firstLineChars="200"/>
        <w:rPr>
          <w:rFonts w:ascii="宋体" w:hAnsi="宋体"/>
          <w:szCs w:val="21"/>
        </w:rPr>
      </w:pPr>
      <w:r>
        <w:rPr>
          <w:rFonts w:hint="eastAsia" w:ascii="宋体" w:hAnsi="宋体"/>
          <w:szCs w:val="21"/>
        </w:rPr>
        <w:t>2、我公司拟派的项目经理按注册建造师的相关规定到岗履职和未被禁止参与投标。</w:t>
      </w:r>
    </w:p>
    <w:p w14:paraId="60A3EA93">
      <w:pPr>
        <w:snapToGrid w:val="0"/>
        <w:spacing w:line="380" w:lineRule="exact"/>
        <w:ind w:firstLine="420" w:firstLineChars="200"/>
        <w:rPr>
          <w:rFonts w:ascii="宋体" w:hAnsi="宋体"/>
          <w:szCs w:val="21"/>
        </w:rPr>
      </w:pPr>
      <w:r>
        <w:rPr>
          <w:rFonts w:hint="eastAsia" w:ascii="宋体" w:hAnsi="宋体"/>
          <w:szCs w:val="21"/>
        </w:rPr>
        <w:t>2.1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14:paraId="5BA5648A">
      <w:pPr>
        <w:snapToGrid w:val="0"/>
        <w:spacing w:line="380" w:lineRule="exact"/>
        <w:ind w:firstLine="420" w:firstLineChars="200"/>
        <w:rPr>
          <w:rFonts w:ascii="宋体" w:hAnsi="宋体"/>
          <w:szCs w:val="21"/>
        </w:rPr>
      </w:pPr>
      <w:r>
        <w:rPr>
          <w:rFonts w:hint="eastAsia" w:ascii="宋体" w:hAnsi="宋体"/>
          <w:szCs w:val="21"/>
        </w:rPr>
        <w:t>2.2拟派的项目经理未被重庆市市级有关行业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14:paraId="5C67F73F">
      <w:pPr>
        <w:snapToGrid w:val="0"/>
        <w:spacing w:line="380" w:lineRule="exact"/>
        <w:ind w:firstLine="420" w:firstLineChars="200"/>
        <w:rPr>
          <w:rFonts w:ascii="宋体" w:hAnsi="宋体"/>
          <w:szCs w:val="21"/>
        </w:rPr>
      </w:pPr>
      <w:r>
        <w:rPr>
          <w:rFonts w:hint="eastAsia" w:ascii="宋体" w:hAnsi="宋体"/>
          <w:szCs w:val="21"/>
        </w:rPr>
        <w:t>2.3为保证我公司拟派的项目经理到本项目到岗履职，我公司还承诺：</w:t>
      </w:r>
    </w:p>
    <w:p w14:paraId="013EBB26">
      <w:pPr>
        <w:snapToGrid w:val="0"/>
        <w:spacing w:line="380" w:lineRule="exact"/>
        <w:ind w:firstLine="420" w:firstLineChars="200"/>
        <w:rPr>
          <w:rFonts w:ascii="宋体" w:hAnsi="宋体"/>
          <w:szCs w:val="21"/>
        </w:rPr>
      </w:pPr>
      <w:r>
        <w:rPr>
          <w:rFonts w:hint="eastAsia" w:ascii="宋体" w:hAnsi="宋体"/>
          <w:szCs w:val="21"/>
        </w:rPr>
        <w:t>若我公司拟派本项目的项目经理有在其他项目任职的情形的（或有在其他项目中标或拟中标的情形的），应在收到中</w:t>
      </w:r>
      <w:r>
        <w:rPr>
          <w:rFonts w:hint="eastAsia" w:ascii="宋体" w:hAnsi="宋体"/>
          <w:szCs w:val="21"/>
          <w:highlight w:val="none"/>
        </w:rPr>
        <w:t>标通知书后</w:t>
      </w:r>
      <w:r>
        <w:rPr>
          <w:rFonts w:hint="eastAsia" w:ascii="宋体" w:hAnsi="宋体"/>
          <w:szCs w:val="21"/>
          <w:highlight w:val="none"/>
          <w:u w:val="single"/>
        </w:rPr>
        <w:t xml:space="preserve"> 14 </w:t>
      </w:r>
      <w:r>
        <w:rPr>
          <w:rFonts w:hint="eastAsia" w:ascii="宋体" w:hAnsi="宋体"/>
          <w:szCs w:val="21"/>
          <w:highlight w:val="none"/>
        </w:rPr>
        <w:t>日（</w:t>
      </w:r>
      <w:r>
        <w:rPr>
          <w:rFonts w:hint="eastAsia" w:ascii="宋体" w:hAnsi="宋体"/>
          <w:szCs w:val="21"/>
        </w:rPr>
        <w:t>7～30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招标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14:paraId="6256D7D6">
      <w:pPr>
        <w:snapToGrid w:val="0"/>
        <w:spacing w:line="380" w:lineRule="exact"/>
        <w:ind w:firstLine="420" w:firstLineChars="200"/>
        <w:rPr>
          <w:rFonts w:ascii="宋体" w:hAnsi="宋体"/>
          <w:szCs w:val="21"/>
        </w:rPr>
      </w:pPr>
      <w:r>
        <w:rPr>
          <w:rFonts w:hint="eastAsia" w:ascii="宋体" w:hAnsi="宋体"/>
          <w:szCs w:val="21"/>
        </w:rPr>
        <w:t>若我公司拟派项目经理放弃在其他项目任职的将提供：①经业主或建设单位同意任职变更的文件；②负责项目监管的行业行政主管部门出具同意任职变更的证明材料。</w:t>
      </w:r>
    </w:p>
    <w:p w14:paraId="6796D90F">
      <w:pPr>
        <w:snapToGrid w:val="0"/>
        <w:spacing w:line="380" w:lineRule="exact"/>
        <w:ind w:firstLine="420" w:firstLineChars="200"/>
        <w:rPr>
          <w:rFonts w:ascii="宋体" w:hAnsi="宋体"/>
          <w:szCs w:val="21"/>
        </w:rPr>
      </w:pPr>
      <w:r>
        <w:rPr>
          <w:rFonts w:hint="eastAsia" w:ascii="宋体" w:hAnsi="宋体"/>
          <w:szCs w:val="21"/>
        </w:rPr>
        <w:t>若我公司拟派项目经理放弃在其他项目中标或拟中标的将提供：①经中标或拟中标的其他项目建设单位同意的放弃中标函。</w:t>
      </w:r>
    </w:p>
    <w:p w14:paraId="7DAA4727">
      <w:pPr>
        <w:numPr>
          <w:ilvl w:val="0"/>
          <w:numId w:val="2"/>
        </w:numPr>
        <w:snapToGrid w:val="0"/>
        <w:spacing w:line="380" w:lineRule="exact"/>
        <w:ind w:firstLine="420" w:firstLineChars="200"/>
        <w:rPr>
          <w:rFonts w:ascii="宋体" w:hAnsi="宋体"/>
          <w:szCs w:val="21"/>
        </w:rPr>
      </w:pPr>
      <w:r>
        <w:rPr>
          <w:rFonts w:hint="eastAsia" w:ascii="宋体" w:hAnsi="宋体"/>
          <w:szCs w:val="21"/>
        </w:rPr>
        <w:t>我公司若中标，在签订合同之前，将按照建设行政主管部门的要求组建施工项目部，配置项目管理班子，出具任命文件。任命文件应当明确施工项目部的职责、岗位设置、人员配备，并书面通知贵单位。相关岗位管理人员应持有建设行政主管部门要求的岗位证书，并提供我公司为其缴纳的养老保险证明材料。中标后不能满足该要求的，取消我公司中标资格，给贵单位造成损失的，我公司依法承担违约赔偿责任。</w:t>
      </w:r>
    </w:p>
    <w:p w14:paraId="03AFDA05">
      <w:pPr>
        <w:numPr>
          <w:ilvl w:val="0"/>
          <w:numId w:val="2"/>
        </w:numPr>
        <w:snapToGrid w:val="0"/>
        <w:spacing w:line="380" w:lineRule="exact"/>
        <w:ind w:firstLine="420" w:firstLineChars="200"/>
        <w:rPr>
          <w:rFonts w:ascii="宋体" w:hAnsi="宋体"/>
          <w:szCs w:val="21"/>
        </w:rPr>
      </w:pPr>
      <w:r>
        <w:rPr>
          <w:rFonts w:hint="eastAsia" w:ascii="宋体" w:hAnsi="宋体"/>
          <w:szCs w:val="21"/>
        </w:rPr>
        <w:t>我公司承诺：已标价工程量清单符合第五章“工程量清单”给出的范围及数量，招标文件中规定工程量清单不允许修改的内容不得修改，每项工程量清单综合单价报价不得高于对应工程量清单综合单价最高限价。贵单位可在合同签订前对我公司已标价工程量清单进行清标。若发现我公司的工程量清单综合单价报价超过招标时给出的工程量清单综合单价最高限价的，在工程结算时贵单位以发出的工程量清单综合单价最高限价为基础，按照我公司的中标总报价与本工程的总价最高限价的下浮比例进行同比例下调，我公司无条件接受，否则按我公司违约处理。</w:t>
      </w:r>
    </w:p>
    <w:p w14:paraId="3C98F2D3">
      <w:pPr>
        <w:snapToGrid w:val="0"/>
        <w:spacing w:line="380" w:lineRule="exact"/>
        <w:ind w:firstLine="420" w:firstLineChars="200"/>
        <w:rPr>
          <w:rFonts w:ascii="宋体" w:hAnsi="宋体"/>
          <w:szCs w:val="21"/>
        </w:rPr>
      </w:pPr>
      <w:r>
        <w:rPr>
          <w:rFonts w:hint="eastAsia" w:ascii="宋体" w:hAnsi="宋体"/>
          <w:szCs w:val="21"/>
        </w:rPr>
        <w:t>5、我公司在资格审查部分中提供的相关证明材料真实有效，不存在弄虚作假情形。</w:t>
      </w:r>
      <w:r>
        <w:rPr>
          <w:rFonts w:hint="eastAsia" w:ascii="宋体" w:hAnsi="宋体"/>
          <w:szCs w:val="21"/>
          <w:u w:val="single"/>
        </w:rPr>
        <w:t>贵单位在合同签订前均有权对我公司提供的资料进行核实，若发现弄虚作假，按相关规定取消我公司中标资格，并按相关法律法规报招标投标监督部门，投标保证金不予退还，我公司自愿承担因此造成的相关责任并赔偿相应损失</w:t>
      </w:r>
      <w:r>
        <w:rPr>
          <w:rFonts w:hint="eastAsia" w:ascii="宋体" w:hAnsi="宋体"/>
          <w:szCs w:val="21"/>
        </w:rPr>
        <w:t>。</w:t>
      </w:r>
    </w:p>
    <w:p w14:paraId="4DB9E085">
      <w:pPr>
        <w:snapToGrid w:val="0"/>
        <w:spacing w:line="380" w:lineRule="exact"/>
        <w:ind w:firstLine="420" w:firstLineChars="200"/>
        <w:rPr>
          <w:rFonts w:ascii="宋体" w:hAnsi="宋体"/>
          <w:szCs w:val="21"/>
        </w:rPr>
      </w:pPr>
      <w:r>
        <w:rPr>
          <w:rFonts w:hint="eastAsia" w:ascii="宋体" w:hAnsi="宋体"/>
          <w:szCs w:val="21"/>
        </w:rPr>
        <w:t>6、我公司不存在第二章 投标人须知第 1.4.3 项规定的任何一种情形。</w:t>
      </w:r>
    </w:p>
    <w:p w14:paraId="66E85F36">
      <w:pPr>
        <w:snapToGrid w:val="0"/>
        <w:spacing w:line="380" w:lineRule="exact"/>
        <w:ind w:firstLine="420" w:firstLineChars="200"/>
        <w:rPr>
          <w:rFonts w:ascii="宋体" w:hAnsi="宋体"/>
          <w:szCs w:val="21"/>
        </w:rPr>
      </w:pPr>
      <w:r>
        <w:rPr>
          <w:rFonts w:hint="eastAsia" w:ascii="宋体" w:hAnsi="宋体"/>
          <w:szCs w:val="21"/>
        </w:rPr>
        <w:t>7、我公司的投标文件符合第二章 投标人须知第 1.3.1 项的规定。</w:t>
      </w:r>
    </w:p>
    <w:p w14:paraId="5D5E0989">
      <w:pPr>
        <w:snapToGrid w:val="0"/>
        <w:spacing w:line="380" w:lineRule="exact"/>
        <w:ind w:firstLine="420" w:firstLineChars="200"/>
        <w:rPr>
          <w:rFonts w:ascii="宋体" w:hAnsi="宋体"/>
          <w:szCs w:val="21"/>
        </w:rPr>
      </w:pPr>
      <w:r>
        <w:rPr>
          <w:rFonts w:hint="eastAsia" w:ascii="宋体" w:hAnsi="宋体"/>
          <w:szCs w:val="21"/>
        </w:rPr>
        <w:t>8、我公司的投标文件符合第四章 合同条款及格式规定，投标文件中没有贵单位不能接受的条件。</w:t>
      </w:r>
    </w:p>
    <w:p w14:paraId="264AFE8D">
      <w:pPr>
        <w:snapToGrid w:val="0"/>
        <w:spacing w:line="380" w:lineRule="exact"/>
        <w:ind w:firstLine="420" w:firstLineChars="200"/>
        <w:rPr>
          <w:rFonts w:ascii="宋体" w:hAnsi="宋体"/>
          <w:szCs w:val="21"/>
        </w:rPr>
      </w:pPr>
      <w:r>
        <w:rPr>
          <w:rFonts w:hint="eastAsia" w:ascii="宋体" w:hAnsi="宋体"/>
          <w:szCs w:val="21"/>
        </w:rPr>
        <w:t>9、我公司的投标文件符合第七章 技术标准和要求（如有）。</w:t>
      </w:r>
    </w:p>
    <w:p w14:paraId="1E87A163">
      <w:pPr>
        <w:snapToGrid w:val="0"/>
        <w:spacing w:line="380" w:lineRule="exact"/>
        <w:ind w:firstLine="420" w:firstLineChars="200"/>
        <w:rPr>
          <w:rFonts w:ascii="宋体" w:hAnsi="宋体"/>
          <w:szCs w:val="21"/>
        </w:rPr>
      </w:pPr>
      <w:r>
        <w:rPr>
          <w:rFonts w:hint="eastAsia" w:ascii="宋体" w:hAnsi="宋体"/>
          <w:szCs w:val="21"/>
        </w:rPr>
        <w:t>10、我公司接受招标文件中关于“不平衡报价”的相关约定（如有）。</w:t>
      </w:r>
    </w:p>
    <w:p w14:paraId="29782059">
      <w:pPr>
        <w:snapToGrid w:val="0"/>
        <w:spacing w:line="380" w:lineRule="exact"/>
        <w:ind w:firstLine="420" w:firstLineChars="200"/>
        <w:rPr>
          <w:rFonts w:ascii="宋体" w:hAnsi="宋体"/>
          <w:szCs w:val="21"/>
        </w:rPr>
      </w:pPr>
      <w:r>
        <w:rPr>
          <w:rFonts w:hint="eastAsia" w:ascii="宋体" w:hAnsi="宋体"/>
          <w:szCs w:val="21"/>
        </w:rPr>
        <w:t>11、我公司接受招标文件中关于“不允许负数报价”的相关要求（如有）。</w:t>
      </w:r>
    </w:p>
    <w:p w14:paraId="4CE3D7AE">
      <w:pPr>
        <w:tabs>
          <w:tab w:val="left" w:pos="4200"/>
          <w:tab w:val="left" w:pos="4620"/>
        </w:tabs>
        <w:autoSpaceDE w:val="0"/>
        <w:autoSpaceDN w:val="0"/>
        <w:adjustRightInd w:val="0"/>
        <w:snapToGrid w:val="0"/>
        <w:spacing w:line="360" w:lineRule="auto"/>
        <w:jc w:val="left"/>
        <w:rPr>
          <w:rFonts w:ascii="宋体" w:hAnsi="宋体"/>
          <w:kern w:val="0"/>
          <w:szCs w:val="21"/>
        </w:rPr>
      </w:pPr>
    </w:p>
    <w:bookmarkEnd w:id="1608"/>
    <w:bookmarkEnd w:id="1609"/>
    <w:p w14:paraId="2C749D10">
      <w:pPr>
        <w:tabs>
          <w:tab w:val="left" w:pos="4200"/>
          <w:tab w:val="left" w:pos="4620"/>
        </w:tabs>
        <w:autoSpaceDE w:val="0"/>
        <w:autoSpaceDN w:val="0"/>
        <w:adjustRightInd w:val="0"/>
        <w:snapToGrid w:val="0"/>
        <w:spacing w:line="360" w:lineRule="auto"/>
        <w:ind w:firstLine="420" w:firstLineChars="200"/>
        <w:jc w:val="left"/>
        <w:rPr>
          <w:rFonts w:ascii="宋体" w:hAnsi="宋体"/>
          <w:kern w:val="0"/>
          <w:szCs w:val="21"/>
        </w:rPr>
      </w:pPr>
      <w:r>
        <w:rPr>
          <w:rFonts w:hint="eastAsia" w:ascii="宋体" w:hAnsi="宋体"/>
          <w:kern w:val="0"/>
          <w:szCs w:val="21"/>
        </w:rPr>
        <w:t>投  标</w:t>
      </w:r>
      <w:r>
        <w:rPr>
          <w:rFonts w:ascii="宋体" w:hAnsi="宋体"/>
          <w:kern w:val="0"/>
          <w:szCs w:val="21"/>
        </w:rPr>
        <w:t xml:space="preserve">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w:t>
      </w:r>
      <w:r>
        <w:rPr>
          <w:rFonts w:hint="eastAsia" w:ascii="宋体" w:hAnsi="宋体"/>
          <w:spacing w:val="-1"/>
          <w:kern w:val="0"/>
          <w:szCs w:val="21"/>
        </w:rPr>
        <w:t>公</w:t>
      </w:r>
      <w:r>
        <w:rPr>
          <w:rFonts w:ascii="宋体" w:hAnsi="宋体"/>
          <w:spacing w:val="-1"/>
          <w:kern w:val="0"/>
          <w:szCs w:val="21"/>
        </w:rPr>
        <w:t>章</w:t>
      </w:r>
      <w:r>
        <w:rPr>
          <w:rFonts w:ascii="宋体" w:hAnsi="宋体"/>
          <w:kern w:val="0"/>
          <w:szCs w:val="21"/>
        </w:rPr>
        <w:t>）</w:t>
      </w:r>
    </w:p>
    <w:p w14:paraId="30615122">
      <w:pPr>
        <w:tabs>
          <w:tab w:val="left" w:pos="6300"/>
        </w:tabs>
        <w:autoSpaceDE w:val="0"/>
        <w:autoSpaceDN w:val="0"/>
        <w:adjustRightInd w:val="0"/>
        <w:snapToGrid w:val="0"/>
        <w:spacing w:line="36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566BCA00">
      <w:pPr>
        <w:tabs>
          <w:tab w:val="left" w:pos="6300"/>
        </w:tabs>
        <w:autoSpaceDE w:val="0"/>
        <w:autoSpaceDN w:val="0"/>
        <w:adjustRightInd w:val="0"/>
        <w:snapToGrid w:val="0"/>
        <w:spacing w:line="360" w:lineRule="auto"/>
        <w:ind w:firstLine="420" w:firstLineChars="200"/>
        <w:jc w:val="left"/>
        <w:rPr>
          <w:rFonts w:ascii="宋体" w:hAnsi="宋体"/>
          <w:kern w:val="0"/>
          <w:szCs w:val="21"/>
        </w:rPr>
      </w:pPr>
    </w:p>
    <w:p w14:paraId="4BC5B5F5">
      <w:pPr>
        <w:tabs>
          <w:tab w:val="left" w:pos="6300"/>
        </w:tabs>
        <w:autoSpaceDE w:val="0"/>
        <w:autoSpaceDN w:val="0"/>
        <w:adjustRightInd w:val="0"/>
        <w:snapToGrid w:val="0"/>
        <w:ind w:firstLine="420" w:firstLineChars="200"/>
        <w:jc w:val="right"/>
        <w:rPr>
          <w:rFonts w:ascii="宋体" w:hAnsi="宋体"/>
          <w:b/>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日</w:t>
      </w:r>
    </w:p>
    <w:p w14:paraId="280DCE29">
      <w:r>
        <w:br w:type="page"/>
      </w:r>
    </w:p>
    <w:p w14:paraId="23427B34">
      <w:pPr>
        <w:pStyle w:val="5"/>
        <w:spacing w:before="0" w:line="360" w:lineRule="auto"/>
        <w:jc w:val="center"/>
        <w:rPr>
          <w:rFonts w:ascii="宋体" w:hAnsi="宋体"/>
          <w:b w:val="0"/>
        </w:rPr>
      </w:pPr>
      <w:bookmarkStart w:id="1625" w:name="_Toc25182"/>
      <w:bookmarkStart w:id="1626" w:name="_Toc216768242"/>
      <w:r>
        <w:rPr>
          <w:rFonts w:hint="eastAsia" w:ascii="宋体" w:hAnsi="宋体"/>
          <w:b w:val="0"/>
        </w:rPr>
        <w:t>（七）其他资料</w:t>
      </w:r>
      <w:bookmarkEnd w:id="1625"/>
      <w:bookmarkEnd w:id="1626"/>
    </w:p>
    <w:p w14:paraId="4315474B"/>
    <w:bookmarkEnd w:id="456"/>
    <w:bookmarkEnd w:id="457"/>
    <w:bookmarkEnd w:id="458"/>
    <w:p w14:paraId="571F4C6E">
      <w:pPr>
        <w:spacing w:line="360" w:lineRule="auto"/>
        <w:ind w:firstLine="420" w:firstLineChars="200"/>
        <w:rPr>
          <w:rFonts w:ascii="宋体" w:hAnsi="宋体"/>
          <w:szCs w:val="21"/>
        </w:rPr>
      </w:pPr>
      <w:r>
        <w:rPr>
          <w:rFonts w:hint="eastAsia" w:ascii="宋体" w:hAnsi="宋体"/>
          <w:szCs w:val="21"/>
        </w:rPr>
        <w:t>1. 投标保证金</w:t>
      </w:r>
    </w:p>
    <w:p w14:paraId="5BDC375F">
      <w:pPr>
        <w:spacing w:line="360" w:lineRule="auto"/>
        <w:ind w:firstLine="420" w:firstLineChars="200"/>
        <w:rPr>
          <w:rFonts w:ascii="宋体" w:hAnsi="宋体"/>
          <w:i/>
          <w:szCs w:val="21"/>
        </w:rPr>
      </w:pPr>
      <w:r>
        <w:rPr>
          <w:rFonts w:hint="eastAsia" w:ascii="宋体" w:hAnsi="宋体"/>
          <w:i/>
          <w:szCs w:val="21"/>
        </w:rPr>
        <w:t>[提示：以转账支票或电汇形式交纳投标保证金的提供以下资料]</w:t>
      </w:r>
    </w:p>
    <w:p w14:paraId="6A0C0E40">
      <w:pPr>
        <w:spacing w:line="360" w:lineRule="auto"/>
        <w:ind w:firstLine="420" w:firstLineChars="200"/>
        <w:rPr>
          <w:rFonts w:ascii="宋体" w:hAnsi="宋体"/>
          <w:szCs w:val="21"/>
        </w:rPr>
      </w:pPr>
      <w:r>
        <w:rPr>
          <w:rFonts w:hint="eastAsia" w:ascii="宋体" w:hAnsi="宋体"/>
          <w:szCs w:val="21"/>
        </w:rPr>
        <w:t>（1）企业基本账户开户证明文件。</w:t>
      </w:r>
    </w:p>
    <w:p w14:paraId="3397331E">
      <w:pPr>
        <w:rPr>
          <w:rFonts w:ascii="宋体" w:hAnsi="宋体"/>
          <w:i/>
          <w:szCs w:val="21"/>
        </w:rPr>
      </w:pPr>
      <w:r>
        <w:rPr>
          <w:rFonts w:hint="eastAsia" w:ascii="宋体" w:hAnsi="宋体"/>
          <w:i/>
          <w:szCs w:val="21"/>
        </w:rPr>
        <w:br w:type="page"/>
      </w:r>
    </w:p>
    <w:p w14:paraId="5FF85BF5">
      <w:pPr>
        <w:spacing w:line="360" w:lineRule="auto"/>
        <w:ind w:firstLine="420" w:firstLineChars="200"/>
        <w:rPr>
          <w:rFonts w:ascii="宋体" w:hAnsi="宋体"/>
          <w:i/>
          <w:szCs w:val="21"/>
        </w:rPr>
      </w:pPr>
      <w:r>
        <w:rPr>
          <w:rFonts w:hint="eastAsia" w:ascii="宋体" w:hAnsi="宋体"/>
          <w:i/>
          <w:szCs w:val="21"/>
        </w:rPr>
        <w:t>[提示：以纸质投标保函形式交纳投标保证金的提供以下资料]</w:t>
      </w:r>
    </w:p>
    <w:p w14:paraId="2BC9CB8E">
      <w:pPr>
        <w:spacing w:line="360" w:lineRule="auto"/>
        <w:ind w:firstLine="420" w:firstLineChars="200"/>
        <w:rPr>
          <w:rFonts w:ascii="宋体" w:hAnsi="宋体"/>
          <w:szCs w:val="21"/>
        </w:rPr>
      </w:pPr>
      <w:r>
        <w:rPr>
          <w:rFonts w:hint="eastAsia" w:ascii="宋体" w:hAnsi="宋体"/>
          <w:szCs w:val="21"/>
        </w:rPr>
        <w:t>（1）纸质投标保函（如有）</w:t>
      </w:r>
    </w:p>
    <w:p w14:paraId="7092C679">
      <w:pPr>
        <w:spacing w:line="360" w:lineRule="auto"/>
        <w:jc w:val="center"/>
        <w:rPr>
          <w:rFonts w:ascii="宋体" w:hAnsi="宋体" w:cs="宋体"/>
          <w:szCs w:val="21"/>
        </w:rPr>
      </w:pPr>
      <w:r>
        <w:rPr>
          <w:rFonts w:hint="eastAsia" w:ascii="宋体" w:hAnsi="宋体" w:cs="宋体"/>
          <w:szCs w:val="21"/>
        </w:rPr>
        <w:t>投标保函示范文本</w:t>
      </w:r>
    </w:p>
    <w:p w14:paraId="3A3F1B41">
      <w:pPr>
        <w:wordWrap w:val="0"/>
        <w:spacing w:line="360" w:lineRule="auto"/>
        <w:jc w:val="right"/>
        <w:rPr>
          <w:rFonts w:ascii="宋体" w:hAnsi="宋体" w:cs="宋体"/>
          <w:szCs w:val="21"/>
        </w:rPr>
      </w:pPr>
      <w:r>
        <w:rPr>
          <w:rFonts w:hint="eastAsia" w:ascii="宋体" w:hAnsi="宋体" w:cs="宋体"/>
          <w:szCs w:val="21"/>
        </w:rPr>
        <w:t xml:space="preserve">    </w:t>
      </w:r>
    </w:p>
    <w:p w14:paraId="4E42FB3E">
      <w:pPr>
        <w:overflowPunct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（受益人名称）：</w:t>
      </w:r>
    </w:p>
    <w:p w14:paraId="34ECA73E">
      <w:pPr>
        <w:overflowPunct w:val="0"/>
        <w:spacing w:line="360" w:lineRule="auto"/>
        <w:ind w:firstLine="396" w:firstLineChars="200"/>
        <w:rPr>
          <w:rFonts w:asciiTheme="minorEastAsia" w:hAnsiTheme="minorEastAsia" w:eastAsiaTheme="minorEastAsia" w:cstheme="minorEastAsia"/>
          <w:spacing w:val="-6"/>
          <w:kern w:val="0"/>
          <w:szCs w:val="21"/>
        </w:rPr>
      </w:pPr>
      <w:r>
        <w:rPr>
          <w:rFonts w:hint="eastAsia" w:asciiTheme="minorEastAsia" w:hAnsiTheme="minorEastAsia" w:eastAsiaTheme="minorEastAsia" w:cstheme="minorEastAsia"/>
          <w:spacing w:val="-6"/>
          <w:kern w:val="0"/>
          <w:szCs w:val="21"/>
        </w:rPr>
        <w:t>我方（即“开立人”）已获得通知，本保函申请人（即“投标人”）已响应贵方于</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w:t>
      </w:r>
      <w:r>
        <w:rPr>
          <w:rFonts w:hint="eastAsia" w:asciiTheme="minorEastAsia" w:hAnsiTheme="minorEastAsia" w:eastAsiaTheme="minorEastAsia" w:cstheme="minorEastAsia"/>
          <w:spacing w:val="-6"/>
          <w:kern w:val="0"/>
          <w:szCs w:val="21"/>
        </w:rPr>
        <w:t>就</w:t>
      </w:r>
      <w:r>
        <w:rPr>
          <w:rFonts w:hint="eastAsia" w:asciiTheme="minorEastAsia" w:hAnsiTheme="minorEastAsia" w:eastAsiaTheme="minorEastAsia" w:cstheme="minorEastAsia"/>
          <w:spacing w:val="-6"/>
          <w:kern w:val="0"/>
          <w:szCs w:val="21"/>
          <w:u w:val="single"/>
        </w:rPr>
        <w:t xml:space="preserve">                   </w:t>
      </w:r>
      <w:r>
        <w:rPr>
          <w:rFonts w:hint="eastAsia" w:asciiTheme="minorEastAsia" w:hAnsiTheme="minorEastAsia" w:eastAsiaTheme="minorEastAsia" w:cstheme="minorEastAsia"/>
          <w:spacing w:val="-6"/>
          <w:kern w:val="0"/>
          <w:szCs w:val="21"/>
        </w:rPr>
        <w:t>（以下简称“本工程”）发出的招标文件以及后续发布的答疑补遗文件，并拟向招标人（即“受益人”）提交投标文件（即“基础交易”）。</w:t>
      </w:r>
    </w:p>
    <w:p w14:paraId="266676E6">
      <w:pPr>
        <w:overflowPunct w:val="0"/>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rPr>
        <w:t>元（¥</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rPr>
        <w:t>）。</w:t>
      </w:r>
    </w:p>
    <w:p w14:paraId="248376C6">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二、我方在投标人发生以下情形时承担保证担保责任：</w:t>
      </w:r>
    </w:p>
    <w:p w14:paraId="75A2726D">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（1）投标人在开标后至投标有效期满之前撤销投标的； </w:t>
      </w:r>
    </w:p>
    <w:p w14:paraId="7E90D9F8">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（2）投标人在收到中标通知后，不能或拒绝在中标通知书规定的时间内与贵方签订合同； </w:t>
      </w:r>
    </w:p>
    <w:p w14:paraId="23FB1535">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（3）投标人在与贵方签订合同前，未在规定的时间内提交符合招标文件要求的履约担保；</w:t>
      </w:r>
    </w:p>
    <w:p w14:paraId="2DA64A8A">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（4）投标人违反招标文件规定的其他情形。</w:t>
      </w:r>
    </w:p>
    <w:p w14:paraId="7963ABD4">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三、本保函为不可撤销、不可转让的见索即付保函。本保函有效期自开立之日起至投标有效期届满之日后的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日止（提示：建议30日）。投标有效期延长的，本保函有效期相应顺延，最迟不超过</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日（提示：建议按保函有效期不超过270日考虑）。</w:t>
      </w:r>
    </w:p>
    <w:p w14:paraId="14B74115">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四、我方承诺，在收到受益人发来的书面索赔通知后的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个工作日（提示：建议10—15个工作日）内无条件支付，前述书面索赔通知即为付款要求之单据，且应满足以下要求：</w:t>
      </w:r>
    </w:p>
    <w:p w14:paraId="1021E5DD">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（1）索赔通知到达的日期在本保函的有效期内；</w:t>
      </w:r>
    </w:p>
    <w:p w14:paraId="6C1F168B">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（2）载明要求支付的金额；</w:t>
      </w:r>
    </w:p>
    <w:p w14:paraId="2937133B">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（3）载明申请人违反招投标文件规定的义务内容和具体条款；</w:t>
      </w:r>
    </w:p>
    <w:p w14:paraId="75DA8EE1">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（4）声明不存在招标文件规定免除申请人或我方支付责任的情形；</w:t>
      </w:r>
    </w:p>
    <w:p w14:paraId="4FAA47ED">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（5）索赔通知应在本保函有效期内到达的地址是：</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14:paraId="349B6584">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受益人发出的书面索赔通知应由其为鉴明受益人法定代表人或授权代理人签名并加盖公章。</w:t>
      </w:r>
    </w:p>
    <w:p w14:paraId="216931CD">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五、本保函项下的权利不得转让，不得设定担保。贵方未经我方书面同意转让本保函或其项下任何权利，对我方不发生法律效力。</w:t>
      </w:r>
    </w:p>
    <w:p w14:paraId="640E6418">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六、本保函项下的基础交易不成立、不生效、无效、被撤销、被解除，不影响本保函的独立有效。 </w:t>
      </w:r>
    </w:p>
    <w:p w14:paraId="56E216A7">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七、受益人应在本保函到期后的七个工作日内将本保函正本退回我方注销，但是不论受益人是否按此要求将本保函正本退回我方，我方在本保函项下的义务和责任均在保函有效期到期后自动消灭。</w:t>
      </w:r>
    </w:p>
    <w:p w14:paraId="31371136">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八、本保函的开具是我方真实意思表示，符合法律法规规定，我方同意遵守本保函约定并无条件承担担保责任。本保函与其他规定或条款不一致时，以本保函约定为准。</w:t>
      </w:r>
    </w:p>
    <w:p w14:paraId="048A8327">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九、本保函适用的法律为中华人民共和国法律，争议裁判管辖地为中华人民共和国</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14:paraId="264EB0B7">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十、本保函自我方法定代表人或授权代表签名并加盖公章之日起生效。</w:t>
      </w:r>
    </w:p>
    <w:p w14:paraId="69B99978">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十一、本保函在重庆市辖区范围内的核验地点：</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；核验方式：</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14:paraId="313B11B3">
      <w:pPr>
        <w:spacing w:line="360" w:lineRule="auto"/>
        <w:ind w:firstLine="420" w:firstLineChars="200"/>
        <w:rPr>
          <w:rFonts w:asciiTheme="minorEastAsia" w:hAnsiTheme="minorEastAsia" w:eastAsiaTheme="minorEastAsia" w:cstheme="minorEastAsia"/>
          <w:szCs w:val="21"/>
        </w:rPr>
      </w:pPr>
    </w:p>
    <w:p w14:paraId="0D22053F">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开 立 人：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（公章）</w:t>
      </w:r>
    </w:p>
    <w:p w14:paraId="06560F51">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法定代表人（或授权代表）：</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（签名）</w:t>
      </w:r>
    </w:p>
    <w:p w14:paraId="57FAD93F">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14:paraId="353B246D">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邮政编码：</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14:paraId="619854B8">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    话：</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14:paraId="4396BE80">
      <w:pPr>
        <w:overflowPunct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传    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14:paraId="76D5C495">
      <w:pPr>
        <w:jc w:val="left"/>
        <w:rPr>
          <w:rFonts w:hint="eastAsia" w:asciiTheme="minorEastAsia" w:hAnsiTheme="minorEastAsia" w:eastAsiaTheme="minorEastAsia" w:cstheme="minorEastAsia"/>
          <w:szCs w:val="21"/>
        </w:rPr>
        <w:sectPr>
          <w:pgSz w:w="11906" w:h="16838"/>
          <w:pgMar w:top="1304" w:right="1134" w:bottom="1304" w:left="1304" w:header="851" w:footer="992" w:gutter="0"/>
          <w:cols w:space="720" w:num="1"/>
          <w:docGrid w:type="lines" w:linePitch="312" w:charSpace="0"/>
        </w:sectPr>
      </w:pPr>
      <w:r>
        <w:rPr>
          <w:rFonts w:hint="eastAsia" w:asciiTheme="minorEastAsia" w:hAnsiTheme="minorEastAsia" w:eastAsiaTheme="minorEastAsia" w:cstheme="minorEastAsia"/>
          <w:szCs w:val="21"/>
        </w:rPr>
        <w:t>开立时间：    年    月    日</w:t>
      </w:r>
    </w:p>
    <w:p w14:paraId="303E7942">
      <w:pPr>
        <w:pStyle w:val="43"/>
        <w:jc w:val="both"/>
        <w:rPr>
          <w:rFonts w:hint="eastAsia" w:ascii="宋体" w:hAnsi="宋体" w:cs="宋体"/>
          <w:color w:val="auto"/>
          <w:highlight w:val="none"/>
          <w:lang w:eastAsia="zh-CN"/>
        </w:rPr>
      </w:pPr>
      <w:r>
        <w:rPr>
          <w:rFonts w:hint="eastAsia" w:ascii="宋体" w:hAnsi="宋体" w:cs="宋体"/>
          <w:color w:val="auto"/>
          <w:sz w:val="24"/>
          <w:szCs w:val="24"/>
          <w:highlight w:val="none"/>
          <w:lang w:eastAsia="zh-CN"/>
        </w:rPr>
        <w:t>附表— 《</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lang w:eastAsia="zh-CN"/>
        </w:rPr>
        <w:t>文件发售登记表》</w:t>
      </w:r>
    </w:p>
    <w:p w14:paraId="164B15FA">
      <w:pPr>
        <w:pStyle w:val="4"/>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文件发售登记表</w:t>
      </w:r>
    </w:p>
    <w:tbl>
      <w:tblPr>
        <w:tblStyle w:val="45"/>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2328"/>
        <w:gridCol w:w="1025"/>
        <w:gridCol w:w="3861"/>
      </w:tblGrid>
      <w:tr w14:paraId="4156D6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785" w:type="dxa"/>
            <w:vAlign w:val="center"/>
          </w:tcPr>
          <w:p w14:paraId="1C1E4D74">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项目编号</w:t>
            </w:r>
          </w:p>
        </w:tc>
        <w:tc>
          <w:tcPr>
            <w:tcW w:w="7214" w:type="dxa"/>
            <w:gridSpan w:val="3"/>
            <w:vAlign w:val="center"/>
          </w:tcPr>
          <w:p w14:paraId="67830290">
            <w:pPr>
              <w:jc w:val="center"/>
              <w:rPr>
                <w:rFonts w:hint="eastAsia" w:asciiTheme="minorEastAsia" w:hAnsiTheme="minorEastAsia" w:eastAsiaTheme="minorEastAsia" w:cstheme="minorEastAsia"/>
                <w:color w:val="auto"/>
                <w:sz w:val="24"/>
                <w:highlight w:val="none"/>
              </w:rPr>
            </w:pPr>
          </w:p>
        </w:tc>
      </w:tr>
      <w:tr w14:paraId="37049D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785" w:type="dxa"/>
            <w:vAlign w:val="center"/>
          </w:tcPr>
          <w:p w14:paraId="07762073">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p>
        </w:tc>
        <w:tc>
          <w:tcPr>
            <w:tcW w:w="7214" w:type="dxa"/>
            <w:gridSpan w:val="3"/>
            <w:vAlign w:val="center"/>
          </w:tcPr>
          <w:p w14:paraId="43843592">
            <w:pPr>
              <w:jc w:val="center"/>
              <w:rPr>
                <w:rFonts w:hint="eastAsia" w:asciiTheme="minorEastAsia" w:hAnsiTheme="minorEastAsia" w:eastAsiaTheme="minorEastAsia" w:cstheme="minorEastAsia"/>
                <w:color w:val="auto"/>
                <w:sz w:val="24"/>
                <w:highlight w:val="none"/>
              </w:rPr>
            </w:pPr>
          </w:p>
        </w:tc>
      </w:tr>
      <w:tr w14:paraId="65A42E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785" w:type="dxa"/>
            <w:vAlign w:val="center"/>
          </w:tcPr>
          <w:p w14:paraId="36CCD991">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供应商名称</w:t>
            </w:r>
          </w:p>
        </w:tc>
        <w:tc>
          <w:tcPr>
            <w:tcW w:w="7214" w:type="dxa"/>
            <w:gridSpan w:val="3"/>
            <w:vAlign w:val="center"/>
          </w:tcPr>
          <w:p w14:paraId="4C779EB2">
            <w:pPr>
              <w:ind w:firstLine="4320" w:firstLineChars="18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（供应商公章）</w:t>
            </w:r>
          </w:p>
        </w:tc>
      </w:tr>
      <w:tr w14:paraId="6F88C2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785" w:type="dxa"/>
            <w:vAlign w:val="center"/>
          </w:tcPr>
          <w:p w14:paraId="2FAE4267">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联系人</w:t>
            </w:r>
          </w:p>
        </w:tc>
        <w:tc>
          <w:tcPr>
            <w:tcW w:w="2328" w:type="dxa"/>
            <w:vAlign w:val="center"/>
          </w:tcPr>
          <w:p w14:paraId="65C6D761">
            <w:pPr>
              <w:jc w:val="left"/>
              <w:rPr>
                <w:rFonts w:hint="eastAsia" w:asciiTheme="minorEastAsia" w:hAnsiTheme="minorEastAsia" w:eastAsiaTheme="minorEastAsia" w:cstheme="minorEastAsia"/>
                <w:color w:val="auto"/>
                <w:sz w:val="24"/>
                <w:highlight w:val="none"/>
              </w:rPr>
            </w:pPr>
          </w:p>
        </w:tc>
        <w:tc>
          <w:tcPr>
            <w:tcW w:w="1025" w:type="dxa"/>
            <w:vAlign w:val="center"/>
          </w:tcPr>
          <w:p w14:paraId="7D9A253E">
            <w:pPr>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手机</w:t>
            </w:r>
          </w:p>
        </w:tc>
        <w:tc>
          <w:tcPr>
            <w:tcW w:w="3861" w:type="dxa"/>
            <w:vAlign w:val="center"/>
          </w:tcPr>
          <w:p w14:paraId="39C083C7">
            <w:pPr>
              <w:jc w:val="left"/>
              <w:rPr>
                <w:rFonts w:hint="eastAsia" w:asciiTheme="minorEastAsia" w:hAnsiTheme="minorEastAsia" w:eastAsiaTheme="minorEastAsia" w:cstheme="minorEastAsia"/>
                <w:color w:val="auto"/>
                <w:sz w:val="24"/>
                <w:highlight w:val="none"/>
              </w:rPr>
            </w:pPr>
          </w:p>
        </w:tc>
      </w:tr>
      <w:tr w14:paraId="4B366D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785" w:type="dxa"/>
            <w:vAlign w:val="center"/>
          </w:tcPr>
          <w:p w14:paraId="2CBF0109">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办公电话</w:t>
            </w:r>
          </w:p>
        </w:tc>
        <w:tc>
          <w:tcPr>
            <w:tcW w:w="2328" w:type="dxa"/>
            <w:vAlign w:val="center"/>
          </w:tcPr>
          <w:p w14:paraId="6F9911C1">
            <w:pPr>
              <w:jc w:val="left"/>
              <w:rPr>
                <w:rFonts w:hint="eastAsia" w:asciiTheme="minorEastAsia" w:hAnsiTheme="minorEastAsia" w:eastAsiaTheme="minorEastAsia" w:cstheme="minorEastAsia"/>
                <w:color w:val="auto"/>
                <w:sz w:val="24"/>
                <w:highlight w:val="none"/>
              </w:rPr>
            </w:pPr>
          </w:p>
        </w:tc>
        <w:tc>
          <w:tcPr>
            <w:tcW w:w="1025" w:type="dxa"/>
            <w:vAlign w:val="center"/>
          </w:tcPr>
          <w:p w14:paraId="6D15CA0A">
            <w:pPr>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传真</w:t>
            </w:r>
          </w:p>
        </w:tc>
        <w:tc>
          <w:tcPr>
            <w:tcW w:w="3861" w:type="dxa"/>
            <w:vAlign w:val="center"/>
          </w:tcPr>
          <w:p w14:paraId="2AAAD5BE">
            <w:pPr>
              <w:jc w:val="left"/>
              <w:rPr>
                <w:rFonts w:hint="eastAsia" w:asciiTheme="minorEastAsia" w:hAnsiTheme="minorEastAsia" w:eastAsiaTheme="minorEastAsia" w:cstheme="minorEastAsia"/>
                <w:color w:val="auto"/>
                <w:sz w:val="24"/>
                <w:highlight w:val="none"/>
              </w:rPr>
            </w:pPr>
          </w:p>
        </w:tc>
      </w:tr>
      <w:tr w14:paraId="478E5C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785" w:type="dxa"/>
            <w:vAlign w:val="center"/>
          </w:tcPr>
          <w:p w14:paraId="43808C8E">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E-mail</w:t>
            </w:r>
          </w:p>
        </w:tc>
        <w:tc>
          <w:tcPr>
            <w:tcW w:w="7214" w:type="dxa"/>
            <w:gridSpan w:val="3"/>
            <w:vAlign w:val="center"/>
          </w:tcPr>
          <w:p w14:paraId="5D4B757C">
            <w:pPr>
              <w:jc w:val="left"/>
              <w:rPr>
                <w:rFonts w:hint="eastAsia" w:asciiTheme="minorEastAsia" w:hAnsiTheme="minorEastAsia" w:eastAsiaTheme="minorEastAsia" w:cstheme="minorEastAsia"/>
                <w:color w:val="auto"/>
                <w:sz w:val="24"/>
                <w:highlight w:val="none"/>
              </w:rPr>
            </w:pPr>
          </w:p>
        </w:tc>
      </w:tr>
      <w:tr w14:paraId="0AFF0D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785" w:type="dxa"/>
            <w:vAlign w:val="center"/>
          </w:tcPr>
          <w:p w14:paraId="2E0FC0D4">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单位地址</w:t>
            </w:r>
          </w:p>
        </w:tc>
        <w:tc>
          <w:tcPr>
            <w:tcW w:w="7214" w:type="dxa"/>
            <w:gridSpan w:val="3"/>
            <w:vAlign w:val="center"/>
          </w:tcPr>
          <w:p w14:paraId="65DBCCA5">
            <w:pPr>
              <w:jc w:val="left"/>
              <w:rPr>
                <w:rFonts w:hint="eastAsia" w:asciiTheme="minorEastAsia" w:hAnsiTheme="minorEastAsia" w:eastAsiaTheme="minorEastAsia" w:cstheme="minorEastAsia"/>
                <w:color w:val="auto"/>
                <w:sz w:val="24"/>
                <w:highlight w:val="none"/>
              </w:rPr>
            </w:pPr>
          </w:p>
        </w:tc>
      </w:tr>
    </w:tbl>
    <w:p w14:paraId="0224A2F5">
      <w:pPr>
        <w:jc w:val="left"/>
        <w:rPr>
          <w:rFonts w:ascii="宋体" w:hAnsi="宋体"/>
          <w:b/>
        </w:rPr>
      </w:pPr>
    </w:p>
    <w:sectPr>
      <w:pgSz w:w="11906" w:h="16838"/>
      <w:pgMar w:top="1304" w:right="1134" w:bottom="1304" w:left="1304"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重庆天骄工程项目管理有限公司" w:date="2025-12-16T08:49:00Z" w:initials="M">
    <w:p w14:paraId="4480C565">
      <w:pPr>
        <w:pStyle w:val="16"/>
      </w:pPr>
      <w:r>
        <w:annotationRef/>
      </w:r>
    </w:p>
  </w:comment>
  <w:comment w:id="1" w:author="重庆天骄工程项目管理有限公司" w:date="2025-12-16T08:50:00Z" w:initials="M">
    <w:p w14:paraId="19E259D4">
      <w:pPr>
        <w:pStyle w:val="16"/>
      </w:pPr>
      <w:r>
        <w:t>建议调整为</w:t>
      </w:r>
      <w:r>
        <w:rPr>
          <w:rFonts w:hint="eastAsia"/>
        </w:rPr>
        <w:t>12时，如有质疑，答疑时间会不足</w:t>
      </w:r>
    </w:p>
  </w:comment>
  <w:comment w:id="2" w:author="重庆天骄工程项目管理有限公司" w:date="2025-12-16T08:51:00Z" w:initials="M">
    <w:p w14:paraId="65006BF8">
      <w:pPr>
        <w:pStyle w:val="16"/>
      </w:pPr>
      <w:r>
        <w:t>有技术部分，如果删除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480C565" w15:done="0"/>
  <w15:commentEx w15:paraId="19E259D4" w15:done="0"/>
  <w15:commentEx w15:paraId="65006BF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10" w:usb3="00000000" w:csb0="0004009F" w:csb1="00000000"/>
  </w:font>
  <w:font w:name="方正仿宋简体">
    <w:altName w:val="微软雅黑"/>
    <w:panose1 w:val="00000000000000000000"/>
    <w:charset w:val="86"/>
    <w:family w:val="auto"/>
    <w:pitch w:val="default"/>
    <w:sig w:usb0="00000000" w:usb1="00000000" w:usb2="00000012"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MingLiU">
    <w:altName w:val="PMingLiU-ExtB"/>
    <w:panose1 w:val="02010609000101010101"/>
    <w:charset w:val="88"/>
    <w:family w:val="modern"/>
    <w:pitch w:val="default"/>
    <w:sig w:usb0="00000000" w:usb1="00000000" w:usb2="00000010" w:usb3="00000000" w:csb0="00100000" w:csb1="00000000"/>
  </w:font>
  <w:font w:name="細明體">
    <w:altName w:val="GENISO"/>
    <w:panose1 w:val="00000000000000000000"/>
    <w:charset w:val="00"/>
    <w:family w:val="auto"/>
    <w:pitch w:val="default"/>
    <w:sig w:usb0="00000000" w:usb1="00000000" w:usb2="00000000" w:usb3="00000000" w:csb0="00000000" w:csb1="00000000"/>
  </w:font>
  <w:font w:name="Microsoft Sans Serif">
    <w:panose1 w:val="020B0604020202020204"/>
    <w:charset w:val="00"/>
    <w:family w:val="swiss"/>
    <w:pitch w:val="default"/>
    <w:sig w:usb0="E5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 w:name="GENISO">
    <w:panose1 w:val="02000400000000000000"/>
    <w:charset w:val="00"/>
    <w:family w:val="auto"/>
    <w:pitch w:val="default"/>
    <w:sig w:usb0="00000003" w:usb1="00000000" w:usb2="0000004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D4461">
    <w:pPr>
      <w:pStyle w:val="29"/>
      <w:framePr w:wrap="around" w:vAnchor="text" w:hAnchor="margin" w:xAlign="center" w:yAlign="top"/>
      <w:rPr>
        <w:rStyle w:val="50"/>
      </w:rPr>
    </w:pPr>
    <w:r>
      <w:fldChar w:fldCharType="begin"/>
    </w:r>
    <w:r>
      <w:rPr>
        <w:rStyle w:val="50"/>
      </w:rPr>
      <w:instrText xml:space="preserve">PAGE  </w:instrText>
    </w:r>
    <w:r>
      <w:fldChar w:fldCharType="end"/>
    </w:r>
  </w:p>
  <w:p w14:paraId="0432C9DF">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2AFCC">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- 3 -</w:t>
    </w:r>
    <w:r>
      <w:fldChar w:fldCharType="end"/>
    </w:r>
  </w:p>
  <w:p w14:paraId="261E89C5">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25898">
    <w:pPr>
      <w:pStyle w:val="29"/>
      <w:jc w:val="center"/>
    </w:pPr>
    <w:r>
      <w:fldChar w:fldCharType="begin"/>
    </w:r>
    <w:r>
      <w:instrText xml:space="preserve">PAGE   \* MERGEFORMAT</w:instrText>
    </w:r>
    <w:r>
      <w:fldChar w:fldCharType="separate"/>
    </w:r>
    <w:r>
      <w:rPr>
        <w:lang w:val="zh-CN"/>
      </w:rPr>
      <w:t>7</w:t>
    </w:r>
    <w:r>
      <w:fldChar w:fldCharType="end"/>
    </w:r>
  </w:p>
  <w:p w14:paraId="7B439A74">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7DF3A">
    <w:pPr>
      <w:pStyle w:val="29"/>
    </w:pPr>
  </w:p>
  <w:p w14:paraId="090D2A4D">
    <w:pPr>
      <w:pStyle w:val="29"/>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CEF37CF">
                          <w:pPr>
                            <w:pStyle w:val="29"/>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unM+tL0BAAB7AwAADgAAAAAAAAABACAAAAAfAQAAZHJzL2Uyb0RvYy54bWxQSwUGAAAA&#10;AAYABgBZAQAATgUAAAAA&#10;">
              <v:fill on="f" focussize="0,0"/>
              <v:stroke on="f"/>
              <v:imagedata o:title=""/>
              <o:lock v:ext="edit" aspectratio="f"/>
              <v:textbox inset="0mm,0mm,0mm,0mm" style="mso-fit-shape-to-text:t;">
                <w:txbxContent>
                  <w:p w14:paraId="0CEF37CF">
                    <w:pPr>
                      <w:pStyle w:val="29"/>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C2F69">
    <w:pPr>
      <w:pStyle w:val="29"/>
      <w:jc w:val="center"/>
    </w:pPr>
    <w:r>
      <w:t xml:space="preserve">- </w:t>
    </w:r>
    <w:r>
      <w:fldChar w:fldCharType="begin"/>
    </w:r>
    <w:r>
      <w:instrText xml:space="preserve"> PAGE </w:instrText>
    </w:r>
    <w:r>
      <w:fldChar w:fldCharType="separate"/>
    </w:r>
    <w:r>
      <w:t>52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76B49939">
      <w:pPr>
        <w:pStyle w:val="34"/>
        <w:ind w:firstLine="360" w:firstLineChars="200"/>
        <w:rPr>
          <w:rFonts w:ascii="Times New Roman" w:hAnsi="Times New Roman" w:cs="Times New Roman"/>
          <w:lang w:eastAsia="zh-CN"/>
        </w:rPr>
      </w:pPr>
      <w:r>
        <w:rPr>
          <w:rStyle w:val="55"/>
        </w:rPr>
        <w:footnoteRef/>
      </w:r>
      <w:r>
        <w:rPr>
          <w:rFonts w:ascii="Times New Roman" w:hAnsi="Times New Roman" w:cs="Times New Roman"/>
          <w:lang w:eastAsia="zh-CN"/>
        </w:rPr>
        <w:t>“</w:t>
      </w:r>
      <w:r>
        <w:rPr>
          <w:rFonts w:ascii="Times New Roman" w:cs="Times New Roman"/>
          <w:lang w:eastAsia="zh-CN"/>
        </w:rPr>
        <w:t>总价</w:t>
      </w:r>
      <w:r>
        <w:rPr>
          <w:rFonts w:ascii="Times New Roman" w:hAnsi="Times New Roman" w:cs="Times New Roman"/>
          <w:lang w:eastAsia="zh-CN"/>
        </w:rPr>
        <w:t>”</w:t>
      </w:r>
      <w:r>
        <w:rPr>
          <w:rFonts w:ascii="Times New Roman" w:cs="Times New Roman"/>
          <w:lang w:eastAsia="zh-CN"/>
        </w:rPr>
        <w:t>是指</w:t>
      </w:r>
      <w:r>
        <w:rPr>
          <w:rFonts w:ascii="Times New Roman" w:hAnsi="Times New Roman" w:cs="Times New Roman"/>
          <w:lang w:eastAsia="zh-CN"/>
        </w:rPr>
        <w:t>在工程量清单中以“项”或“总额”为计量单位、以总价计价的子目，一般用于不能按照约定的工程量计算规则确定数量的子目。总价子目一般按照分期、完成合同价的百分比或完成进度计划的形象进度节点等方式予以分解支付。总价子目的计量方法由发包人在专用合同条款12.3.1中明</w:t>
      </w:r>
      <w:r>
        <w:rPr>
          <w:rFonts w:ascii="Times New Roman" w:cs="Times New Roman"/>
          <w:lang w:eastAsia="zh-CN"/>
        </w:rPr>
        <w:t>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9DAF0">
    <w:pPr>
      <w:pStyle w:val="30"/>
      <w:pBdr>
        <w:bottom w:val="none" w:color="auto" w:sz="0" w:space="0"/>
      </w:pBdr>
      <w:jc w:val="both"/>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69981">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19D63">
    <w:pPr>
      <w:pStyle w:val="30"/>
      <w:pBdr>
        <w:bottom w:val="none" w:color="auto" w:sz="0" w:space="0"/>
      </w:pBdr>
      <w:ind w:firstLine="440" w:firstLineChars="200"/>
      <w:jc w:val="both"/>
      <w:rPr>
        <w:sz w:val="22"/>
        <w:szCs w:val="24"/>
      </w:rPr>
    </w:pPr>
    <w:r>
      <w:rPr>
        <w:rFonts w:hint="eastAsia"/>
        <w:sz w:val="22"/>
        <w:szCs w:val="24"/>
      </w:rPr>
      <w:t xml:space="preserve">                                     </w:t>
    </w:r>
  </w:p>
  <w:p w14:paraId="53DCEBA1">
    <w:pPr>
      <w:pStyle w:val="30"/>
      <w:pBdr>
        <w:bottom w:val="none" w:color="auto" w:sz="0" w:space="0"/>
      </w:pBdr>
      <w:rPr>
        <w:sz w:val="21"/>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8D5F1">
    <w:pPr>
      <w:pStyle w:val="30"/>
      <w:pBdr>
        <w:bottom w:val="none" w:color="auto" w:sz="0" w:space="0"/>
      </w:pBdr>
      <w:tabs>
        <w:tab w:val="left" w:pos="8690"/>
        <w:tab w:val="clear" w:pos="4153"/>
      </w:tabs>
      <w:jc w:val="both"/>
      <w:rPr>
        <w:rFonts w:hint="eastAsia" w:eastAsia="宋体"/>
        <w:sz w:val="24"/>
        <w:szCs w:val="24"/>
        <w:lang w:eastAsia="zh-CN"/>
      </w:rPr>
    </w:pPr>
    <w:r>
      <w:rPr>
        <w:rFonts w:hint="eastAsia"/>
        <w:sz w:val="24"/>
        <w:szCs w:val="24"/>
        <w:lang w:eastAsia="zh-CN"/>
      </w:rPr>
      <w:tab/>
    </w:r>
    <w:r>
      <w:rPr>
        <w:rFonts w:hint="eastAsia"/>
        <w:sz w:val="24"/>
        <w:szCs w:val="24"/>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AF262B"/>
    <w:multiLevelType w:val="singleLevel"/>
    <w:tmpl w:val="4FAF262B"/>
    <w:lvl w:ilvl="0" w:tentative="0">
      <w:start w:val="1"/>
      <w:numFmt w:val="decimal"/>
      <w:suff w:val="nothing"/>
      <w:lvlText w:val="（%1）"/>
      <w:lvlJc w:val="left"/>
    </w:lvl>
  </w:abstractNum>
  <w:abstractNum w:abstractNumId="1">
    <w:nsid w:val="5F471D00"/>
    <w:multiLevelType w:val="singleLevel"/>
    <w:tmpl w:val="5F471D00"/>
    <w:lvl w:ilvl="0" w:tentative="0">
      <w:start w:val="3"/>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重庆天骄工程项目管理有限公司">
    <w15:presenceInfo w15:providerId="None" w15:userId="重庆天骄工程项目管理有限公司"/>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Y2ZkNjRjZWYyM2UzOTYxYjFlMWMwMmJkYmVkYjcifQ=="/>
  </w:docVars>
  <w:rsids>
    <w:rsidRoot w:val="00E72D2D"/>
    <w:rsid w:val="00224C12"/>
    <w:rsid w:val="00316E86"/>
    <w:rsid w:val="003258E9"/>
    <w:rsid w:val="00557513"/>
    <w:rsid w:val="0061327B"/>
    <w:rsid w:val="00731235"/>
    <w:rsid w:val="008A5427"/>
    <w:rsid w:val="008C6B21"/>
    <w:rsid w:val="00927A3D"/>
    <w:rsid w:val="00A258BE"/>
    <w:rsid w:val="00A3623F"/>
    <w:rsid w:val="00B45C11"/>
    <w:rsid w:val="00C87E27"/>
    <w:rsid w:val="00E72D2D"/>
    <w:rsid w:val="00E758A4"/>
    <w:rsid w:val="01142863"/>
    <w:rsid w:val="01635C49"/>
    <w:rsid w:val="01750EDE"/>
    <w:rsid w:val="019F636B"/>
    <w:rsid w:val="02283B8A"/>
    <w:rsid w:val="02BC2CEF"/>
    <w:rsid w:val="02CB3070"/>
    <w:rsid w:val="0361440A"/>
    <w:rsid w:val="03712D21"/>
    <w:rsid w:val="043C1EA8"/>
    <w:rsid w:val="04892F2B"/>
    <w:rsid w:val="057364D8"/>
    <w:rsid w:val="05A64CE0"/>
    <w:rsid w:val="05FC6C80"/>
    <w:rsid w:val="061D286A"/>
    <w:rsid w:val="069D5E64"/>
    <w:rsid w:val="06BD0B7D"/>
    <w:rsid w:val="07146850"/>
    <w:rsid w:val="0ACA5794"/>
    <w:rsid w:val="0ACF3C35"/>
    <w:rsid w:val="0BED3778"/>
    <w:rsid w:val="0C3D48DB"/>
    <w:rsid w:val="0DB47C62"/>
    <w:rsid w:val="0E6A2D0C"/>
    <w:rsid w:val="0F0B78D7"/>
    <w:rsid w:val="0F3118B1"/>
    <w:rsid w:val="0FED2443"/>
    <w:rsid w:val="102C328E"/>
    <w:rsid w:val="103A58B2"/>
    <w:rsid w:val="10CB6225"/>
    <w:rsid w:val="11912BF1"/>
    <w:rsid w:val="13785584"/>
    <w:rsid w:val="13A26AA4"/>
    <w:rsid w:val="13CA799C"/>
    <w:rsid w:val="152B1B0C"/>
    <w:rsid w:val="155F0AA1"/>
    <w:rsid w:val="15EA4F64"/>
    <w:rsid w:val="1613309D"/>
    <w:rsid w:val="16A50D85"/>
    <w:rsid w:val="170D5530"/>
    <w:rsid w:val="1783099B"/>
    <w:rsid w:val="17CB1111"/>
    <w:rsid w:val="18245CDA"/>
    <w:rsid w:val="183C74C7"/>
    <w:rsid w:val="18600088"/>
    <w:rsid w:val="1A156C67"/>
    <w:rsid w:val="1A9E2B3B"/>
    <w:rsid w:val="1AFE6CB6"/>
    <w:rsid w:val="1B10663E"/>
    <w:rsid w:val="1B2552A9"/>
    <w:rsid w:val="1CDA2E0B"/>
    <w:rsid w:val="1D9E2B66"/>
    <w:rsid w:val="1EF821AF"/>
    <w:rsid w:val="1F5F7E15"/>
    <w:rsid w:val="1F686DF4"/>
    <w:rsid w:val="1FA647ED"/>
    <w:rsid w:val="1FCB2EDF"/>
    <w:rsid w:val="202820DF"/>
    <w:rsid w:val="20564E1C"/>
    <w:rsid w:val="210618F0"/>
    <w:rsid w:val="21270CC2"/>
    <w:rsid w:val="22DC32BC"/>
    <w:rsid w:val="23214B81"/>
    <w:rsid w:val="2337435F"/>
    <w:rsid w:val="23CA16C8"/>
    <w:rsid w:val="24266EC9"/>
    <w:rsid w:val="24F5112A"/>
    <w:rsid w:val="25162E4E"/>
    <w:rsid w:val="259E2151"/>
    <w:rsid w:val="25C15C3A"/>
    <w:rsid w:val="284C442A"/>
    <w:rsid w:val="28AA6040"/>
    <w:rsid w:val="28AF528E"/>
    <w:rsid w:val="28B73D61"/>
    <w:rsid w:val="291E49C7"/>
    <w:rsid w:val="29821419"/>
    <w:rsid w:val="29836A11"/>
    <w:rsid w:val="29B841AE"/>
    <w:rsid w:val="29D33359"/>
    <w:rsid w:val="2B404781"/>
    <w:rsid w:val="2B4E2615"/>
    <w:rsid w:val="2C795659"/>
    <w:rsid w:val="2CC80ED2"/>
    <w:rsid w:val="2CF63C91"/>
    <w:rsid w:val="2EEE2746"/>
    <w:rsid w:val="2EF266DA"/>
    <w:rsid w:val="2F103DE7"/>
    <w:rsid w:val="30BF31A0"/>
    <w:rsid w:val="30C4467E"/>
    <w:rsid w:val="30EE1DEE"/>
    <w:rsid w:val="316600C5"/>
    <w:rsid w:val="318A49A8"/>
    <w:rsid w:val="319D1C3B"/>
    <w:rsid w:val="3203475A"/>
    <w:rsid w:val="321939F9"/>
    <w:rsid w:val="3300448E"/>
    <w:rsid w:val="33366E7F"/>
    <w:rsid w:val="347528E2"/>
    <w:rsid w:val="34CC64BD"/>
    <w:rsid w:val="3506323B"/>
    <w:rsid w:val="35BB5F8A"/>
    <w:rsid w:val="362C0724"/>
    <w:rsid w:val="373650F3"/>
    <w:rsid w:val="37647C47"/>
    <w:rsid w:val="3A537178"/>
    <w:rsid w:val="3B201ED9"/>
    <w:rsid w:val="3CCB40C7"/>
    <w:rsid w:val="3D6034B1"/>
    <w:rsid w:val="3E023B2D"/>
    <w:rsid w:val="3E3A062B"/>
    <w:rsid w:val="3EF814B4"/>
    <w:rsid w:val="3F4F0EB9"/>
    <w:rsid w:val="3F91115E"/>
    <w:rsid w:val="409470BD"/>
    <w:rsid w:val="40D07EFD"/>
    <w:rsid w:val="41230EF6"/>
    <w:rsid w:val="43BE2B8A"/>
    <w:rsid w:val="44051238"/>
    <w:rsid w:val="44A70AB7"/>
    <w:rsid w:val="45FF7608"/>
    <w:rsid w:val="465D6B80"/>
    <w:rsid w:val="47EC214D"/>
    <w:rsid w:val="4995285F"/>
    <w:rsid w:val="49D767A1"/>
    <w:rsid w:val="4AAA5C63"/>
    <w:rsid w:val="4AEB451B"/>
    <w:rsid w:val="4B115A3A"/>
    <w:rsid w:val="4B1D01E3"/>
    <w:rsid w:val="4BA15E9C"/>
    <w:rsid w:val="4BE70A10"/>
    <w:rsid w:val="4D313B7D"/>
    <w:rsid w:val="4D907392"/>
    <w:rsid w:val="4DBC1F35"/>
    <w:rsid w:val="4DF661C0"/>
    <w:rsid w:val="4EAB5369"/>
    <w:rsid w:val="4F79447E"/>
    <w:rsid w:val="4FDD5E74"/>
    <w:rsid w:val="5012596F"/>
    <w:rsid w:val="507F05B9"/>
    <w:rsid w:val="50E517A3"/>
    <w:rsid w:val="50ED2406"/>
    <w:rsid w:val="51273B6A"/>
    <w:rsid w:val="515E0AC1"/>
    <w:rsid w:val="51C177E4"/>
    <w:rsid w:val="525379C9"/>
    <w:rsid w:val="5372373B"/>
    <w:rsid w:val="54214EF1"/>
    <w:rsid w:val="55DD68F0"/>
    <w:rsid w:val="566209E7"/>
    <w:rsid w:val="56881EF5"/>
    <w:rsid w:val="56CC3E96"/>
    <w:rsid w:val="56D976B4"/>
    <w:rsid w:val="581A3772"/>
    <w:rsid w:val="58C75E36"/>
    <w:rsid w:val="59952F94"/>
    <w:rsid w:val="59A62C9C"/>
    <w:rsid w:val="5B3C46B5"/>
    <w:rsid w:val="5D096819"/>
    <w:rsid w:val="5D3513BC"/>
    <w:rsid w:val="5F0279C4"/>
    <w:rsid w:val="5F230066"/>
    <w:rsid w:val="5F370970"/>
    <w:rsid w:val="5F887C87"/>
    <w:rsid w:val="5FA32F55"/>
    <w:rsid w:val="5FB05672"/>
    <w:rsid w:val="602F47E9"/>
    <w:rsid w:val="60361BA1"/>
    <w:rsid w:val="60863BD5"/>
    <w:rsid w:val="617923CB"/>
    <w:rsid w:val="625A4188"/>
    <w:rsid w:val="634470C6"/>
    <w:rsid w:val="637F5A87"/>
    <w:rsid w:val="63B76EED"/>
    <w:rsid w:val="6534707B"/>
    <w:rsid w:val="65EB2F60"/>
    <w:rsid w:val="671764AB"/>
    <w:rsid w:val="67256946"/>
    <w:rsid w:val="68233E92"/>
    <w:rsid w:val="68A03D01"/>
    <w:rsid w:val="68BB130F"/>
    <w:rsid w:val="6A301889"/>
    <w:rsid w:val="6A9C2F2D"/>
    <w:rsid w:val="6ABA17BC"/>
    <w:rsid w:val="6B9419A4"/>
    <w:rsid w:val="6D4E0963"/>
    <w:rsid w:val="6D6C1709"/>
    <w:rsid w:val="6F00293A"/>
    <w:rsid w:val="6F0D49D1"/>
    <w:rsid w:val="703D1676"/>
    <w:rsid w:val="72374A3F"/>
    <w:rsid w:val="73B33CF5"/>
    <w:rsid w:val="7433607B"/>
    <w:rsid w:val="749869A9"/>
    <w:rsid w:val="74C96B62"/>
    <w:rsid w:val="75184F78"/>
    <w:rsid w:val="75277BF9"/>
    <w:rsid w:val="75BD46DB"/>
    <w:rsid w:val="760A6969"/>
    <w:rsid w:val="7A4160FC"/>
    <w:rsid w:val="7AFE0EDA"/>
    <w:rsid w:val="7B1242D4"/>
    <w:rsid w:val="7B15484E"/>
    <w:rsid w:val="7C105077"/>
    <w:rsid w:val="7C3570AE"/>
    <w:rsid w:val="7C433CE1"/>
    <w:rsid w:val="7C9467C0"/>
    <w:rsid w:val="7CB4634A"/>
    <w:rsid w:val="7CBE2D25"/>
    <w:rsid w:val="7D073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4"/>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193"/>
    <w:qFormat/>
    <w:uiPriority w:val="0"/>
    <w:pPr>
      <w:keepNext/>
      <w:keepLines/>
      <w:spacing w:before="260" w:after="260" w:line="416" w:lineRule="auto"/>
      <w:outlineLvl w:val="2"/>
    </w:pPr>
    <w:rPr>
      <w:b/>
      <w:bCs/>
      <w:sz w:val="32"/>
      <w:szCs w:val="32"/>
    </w:rPr>
  </w:style>
  <w:style w:type="paragraph" w:styleId="6">
    <w:name w:val="heading 4"/>
    <w:basedOn w:val="1"/>
    <w:next w:val="1"/>
    <w:link w:val="179"/>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92"/>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195"/>
    <w:qFormat/>
    <w:uiPriority w:val="0"/>
    <w:pPr>
      <w:keepNext/>
      <w:keepLines/>
      <w:ind w:firstLine="200" w:firstLineChars="200"/>
      <w:outlineLvl w:val="5"/>
    </w:pPr>
    <w:rPr>
      <w:rFonts w:hAnsi="Arial"/>
    </w:rPr>
  </w:style>
  <w:style w:type="paragraph" w:styleId="10">
    <w:name w:val="heading 7"/>
    <w:basedOn w:val="1"/>
    <w:next w:val="1"/>
    <w:link w:val="272"/>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67"/>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198"/>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214"/>
    <w:qFormat/>
    <w:uiPriority w:val="0"/>
    <w:pPr>
      <w:spacing w:after="12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204"/>
    <w:qFormat/>
    <w:uiPriority w:val="0"/>
    <w:pPr>
      <w:shd w:val="clear" w:color="auto" w:fill="000080"/>
    </w:pPr>
  </w:style>
  <w:style w:type="paragraph" w:styleId="16">
    <w:name w:val="annotation text"/>
    <w:basedOn w:val="1"/>
    <w:link w:val="289"/>
    <w:qFormat/>
    <w:uiPriority w:val="99"/>
    <w:pPr>
      <w:jc w:val="left"/>
    </w:pPr>
  </w:style>
  <w:style w:type="paragraph" w:styleId="17">
    <w:name w:val="Body Text 3"/>
    <w:basedOn w:val="1"/>
    <w:link w:val="308"/>
    <w:qFormat/>
    <w:uiPriority w:val="0"/>
    <w:pPr>
      <w:spacing w:after="120"/>
    </w:pPr>
    <w:rPr>
      <w:sz w:val="16"/>
      <w:szCs w:val="16"/>
    </w:rPr>
  </w:style>
  <w:style w:type="paragraph" w:styleId="18">
    <w:name w:val="Body Text Indent"/>
    <w:basedOn w:val="1"/>
    <w:link w:val="269"/>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304"/>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57"/>
    <w:qFormat/>
    <w:uiPriority w:val="0"/>
    <w:pPr>
      <w:ind w:left="100" w:leftChars="2500"/>
    </w:pPr>
  </w:style>
  <w:style w:type="paragraph" w:styleId="26">
    <w:name w:val="Body Text Indent 2"/>
    <w:basedOn w:val="1"/>
    <w:link w:val="271"/>
    <w:qFormat/>
    <w:uiPriority w:val="0"/>
    <w:pPr>
      <w:widowControl/>
      <w:spacing w:line="480" w:lineRule="auto"/>
      <w:ind w:firstLine="560"/>
      <w:jc w:val="left"/>
    </w:pPr>
    <w:rPr>
      <w:kern w:val="0"/>
      <w:sz w:val="28"/>
    </w:rPr>
  </w:style>
  <w:style w:type="paragraph" w:styleId="27">
    <w:name w:val="endnote text"/>
    <w:basedOn w:val="1"/>
    <w:link w:val="181"/>
    <w:qFormat/>
    <w:uiPriority w:val="0"/>
    <w:pPr>
      <w:widowControl/>
      <w:snapToGrid w:val="0"/>
      <w:jc w:val="left"/>
    </w:pPr>
    <w:rPr>
      <w:rFonts w:ascii="Arial" w:hAnsi="Arial" w:cs="Arial"/>
      <w:kern w:val="0"/>
      <w:sz w:val="20"/>
      <w:lang w:eastAsia="en-US"/>
    </w:rPr>
  </w:style>
  <w:style w:type="paragraph" w:styleId="28">
    <w:name w:val="Balloon Text"/>
    <w:basedOn w:val="1"/>
    <w:link w:val="208"/>
    <w:qFormat/>
    <w:uiPriority w:val="0"/>
    <w:rPr>
      <w:sz w:val="18"/>
      <w:szCs w:val="18"/>
    </w:rPr>
  </w:style>
  <w:style w:type="paragraph" w:styleId="29">
    <w:name w:val="footer"/>
    <w:basedOn w:val="1"/>
    <w:link w:val="196"/>
    <w:qFormat/>
    <w:uiPriority w:val="0"/>
    <w:pPr>
      <w:tabs>
        <w:tab w:val="center" w:pos="4153"/>
        <w:tab w:val="right" w:pos="8306"/>
      </w:tabs>
      <w:snapToGrid w:val="0"/>
      <w:jc w:val="left"/>
    </w:pPr>
    <w:rPr>
      <w:sz w:val="18"/>
      <w:szCs w:val="18"/>
    </w:rPr>
  </w:style>
  <w:style w:type="paragraph" w:styleId="30">
    <w:name w:val="header"/>
    <w:basedOn w:val="1"/>
    <w:link w:val="236"/>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1"/>
    <w:qFormat/>
    <w:uiPriority w:val="0"/>
    <w:pPr>
      <w:widowControl/>
      <w:jc w:val="center"/>
    </w:pPr>
    <w:rPr>
      <w:kern w:val="0"/>
      <w:sz w:val="20"/>
      <w:u w:val="single"/>
      <w:lang w:eastAsia="en-US"/>
    </w:rPr>
  </w:style>
  <w:style w:type="paragraph" w:styleId="34">
    <w:name w:val="footnote text"/>
    <w:basedOn w:val="1"/>
    <w:link w:val="216"/>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68"/>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64"/>
    <w:qFormat/>
    <w:uiPriority w:val="0"/>
    <w:rPr>
      <w:i/>
      <w:iCs/>
      <w:sz w:val="26"/>
    </w:rPr>
  </w:style>
  <w:style w:type="paragraph" w:styleId="40">
    <w:name w:val="HTML Preformatted"/>
    <w:basedOn w:val="1"/>
    <w:link w:val="16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next w:val="1"/>
    <w:link w:val="211"/>
    <w:qFormat/>
    <w:uiPriority w:val="0"/>
    <w:pPr>
      <w:widowControl/>
      <w:jc w:val="center"/>
    </w:pPr>
    <w:rPr>
      <w:kern w:val="0"/>
      <w:sz w:val="20"/>
      <w:u w:val="single"/>
      <w:lang w:eastAsia="en-US"/>
    </w:rPr>
  </w:style>
  <w:style w:type="paragraph" w:styleId="44">
    <w:name w:val="annotation subject"/>
    <w:basedOn w:val="16"/>
    <w:next w:val="16"/>
    <w:link w:val="263"/>
    <w:qFormat/>
    <w:uiPriority w:val="0"/>
    <w:rPr>
      <w:b/>
      <w:bCs/>
    </w:rPr>
  </w:style>
  <w:style w:type="table" w:styleId="46">
    <w:name w:val="Table Grid"/>
    <w:basedOn w:val="4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basedOn w:val="47"/>
    <w:qFormat/>
    <w:uiPriority w:val="0"/>
  </w:style>
  <w:style w:type="character" w:styleId="51">
    <w:name w:val="FollowedHyperlink"/>
    <w:qFormat/>
    <w:uiPriority w:val="0"/>
    <w:rPr>
      <w:color w:val="800080"/>
      <w:u w:val="single"/>
    </w:rPr>
  </w:style>
  <w:style w:type="character" w:styleId="52">
    <w:name w:val="Emphasis"/>
    <w:qFormat/>
    <w:uiPriority w:val="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customStyle="1" w:styleId="56">
    <w:name w:val="目录 53"/>
    <w:next w:val="1"/>
    <w:qFormat/>
    <w:uiPriority w:val="99"/>
    <w:pPr>
      <w:wordWrap w:val="0"/>
      <w:ind w:left="1275"/>
      <w:jc w:val="both"/>
    </w:pPr>
    <w:rPr>
      <w:rFonts w:ascii="Calibri" w:hAnsi="Calibri" w:eastAsia="宋体" w:cs="Times New Roman"/>
      <w:sz w:val="21"/>
      <w:lang w:val="en-US" w:eastAsia="zh-CN" w:bidi="ar-SA"/>
    </w:rPr>
  </w:style>
  <w:style w:type="paragraph" w:customStyle="1" w:styleId="57">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58">
    <w:name w:val="_Style 101"/>
    <w:basedOn w:val="1"/>
    <w:qFormat/>
    <w:uiPriority w:val="99"/>
    <w:pPr>
      <w:ind w:firstLine="420" w:firstLineChars="200"/>
    </w:pPr>
    <w:rPr>
      <w:sz w:val="28"/>
      <w:szCs w:val="28"/>
    </w:rPr>
  </w:style>
  <w:style w:type="paragraph" w:customStyle="1" w:styleId="59">
    <w:name w:val="表格标题"/>
    <w:basedOn w:val="60"/>
    <w:qFormat/>
    <w:uiPriority w:val="0"/>
  </w:style>
  <w:style w:type="paragraph" w:customStyle="1" w:styleId="60">
    <w:name w:val="表格内容"/>
    <w:basedOn w:val="1"/>
    <w:qFormat/>
    <w:uiPriority w:val="0"/>
    <w:pPr>
      <w:suppressLineNumbers/>
      <w:suppressAutoHyphens/>
    </w:pPr>
  </w:style>
  <w:style w:type="paragraph" w:customStyle="1" w:styleId="61">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2">
    <w:name w:val="修订1"/>
    <w:qFormat/>
    <w:uiPriority w:val="0"/>
    <w:rPr>
      <w:rFonts w:ascii="Times New Roman" w:hAnsi="Times New Roman" w:eastAsia="宋体" w:cs="Times New Roman"/>
      <w:kern w:val="2"/>
      <w:sz w:val="21"/>
      <w:szCs w:val="24"/>
      <w:lang w:val="en-US" w:eastAsia="zh-CN" w:bidi="ar-SA"/>
    </w:rPr>
  </w:style>
  <w:style w:type="paragraph" w:customStyle="1" w:styleId="63">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64">
    <w:name w:val="标准样式1"/>
    <w:basedOn w:val="1"/>
    <w:qFormat/>
    <w:uiPriority w:val="0"/>
    <w:pPr>
      <w:spacing w:line="600" w:lineRule="exact"/>
      <w:ind w:firstLine="567"/>
    </w:pPr>
    <w:rPr>
      <w:rFonts w:ascii="Calibri" w:hAnsi="Calibri"/>
      <w:sz w:val="28"/>
    </w:rPr>
  </w:style>
  <w:style w:type="paragraph" w:customStyle="1" w:styleId="65">
    <w:name w:val="列出段落11"/>
    <w:basedOn w:val="1"/>
    <w:qFormat/>
    <w:uiPriority w:val="0"/>
    <w:pPr>
      <w:ind w:firstLine="420" w:firstLineChars="200"/>
    </w:pPr>
    <w:rPr>
      <w:sz w:val="28"/>
      <w:szCs w:val="28"/>
    </w:rPr>
  </w:style>
  <w:style w:type="paragraph" w:customStyle="1" w:styleId="66">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67">
    <w:name w:val="WW-表格标题"/>
    <w:basedOn w:val="68"/>
    <w:qFormat/>
    <w:uiPriority w:val="0"/>
  </w:style>
  <w:style w:type="paragraph" w:customStyle="1" w:styleId="68">
    <w:name w:val="WW-表格内容"/>
    <w:basedOn w:val="1"/>
    <w:qFormat/>
    <w:uiPriority w:val="0"/>
    <w:pPr>
      <w:suppressLineNumbers/>
      <w:suppressAutoHyphens/>
    </w:pPr>
  </w:style>
  <w:style w:type="paragraph" w:customStyle="1" w:styleId="69">
    <w:name w:val="引用2"/>
    <w:basedOn w:val="1"/>
    <w:next w:val="1"/>
    <w:link w:val="300"/>
    <w:qFormat/>
    <w:uiPriority w:val="0"/>
    <w:rPr>
      <w:i/>
      <w:iCs/>
      <w:color w:val="000000"/>
    </w:rPr>
  </w:style>
  <w:style w:type="paragraph" w:customStyle="1" w:styleId="70">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7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2">
    <w:name w:val="Char Char Char Char"/>
    <w:basedOn w:val="15"/>
    <w:qFormat/>
    <w:uiPriority w:val="0"/>
    <w:pPr>
      <w:spacing w:line="360" w:lineRule="auto"/>
      <w:ind w:firstLine="200" w:firstLineChars="200"/>
    </w:pPr>
    <w:rPr>
      <w:rFonts w:ascii="Tahoma" w:hAnsi="Tahoma"/>
      <w:sz w:val="24"/>
    </w:rPr>
  </w:style>
  <w:style w:type="paragraph" w:customStyle="1" w:styleId="73">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4">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5">
    <w:name w:val="p16"/>
    <w:basedOn w:val="1"/>
    <w:qFormat/>
    <w:uiPriority w:val="0"/>
    <w:pPr>
      <w:widowControl/>
    </w:pPr>
    <w:rPr>
      <w:rFonts w:ascii="Calibri" w:hAnsi="Calibri" w:cs="宋体"/>
      <w:kern w:val="0"/>
      <w:szCs w:val="21"/>
    </w:rPr>
  </w:style>
  <w:style w:type="paragraph" w:customStyle="1" w:styleId="76">
    <w:name w:val="列出段落1"/>
    <w:basedOn w:val="1"/>
    <w:qFormat/>
    <w:uiPriority w:val="0"/>
    <w:pPr>
      <w:ind w:firstLine="420" w:firstLineChars="200"/>
    </w:pPr>
    <w:rPr>
      <w:sz w:val="28"/>
      <w:szCs w:val="28"/>
    </w:rPr>
  </w:style>
  <w:style w:type="paragraph" w:customStyle="1" w:styleId="77">
    <w:name w:val="样式1"/>
    <w:basedOn w:val="1"/>
    <w:next w:val="6"/>
    <w:qFormat/>
    <w:uiPriority w:val="0"/>
    <w:pPr>
      <w:spacing w:line="360" w:lineRule="auto"/>
      <w:ind w:firstLine="420" w:firstLineChars="200"/>
    </w:pPr>
    <w:rPr>
      <w:rFonts w:ascii="宋体" w:hAnsi="宋体"/>
      <w:szCs w:val="21"/>
    </w:rPr>
  </w:style>
  <w:style w:type="paragraph" w:customStyle="1" w:styleId="78">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79">
    <w:name w:val="Char9 Char Char Char Char Char Char"/>
    <w:basedOn w:val="15"/>
    <w:qFormat/>
    <w:uiPriority w:val="0"/>
    <w:pPr>
      <w:spacing w:line="360" w:lineRule="auto"/>
      <w:ind w:firstLine="200" w:firstLineChars="200"/>
    </w:pPr>
    <w:rPr>
      <w:rFonts w:ascii="Tahoma" w:hAnsi="Tahoma"/>
      <w:sz w:val="24"/>
    </w:rPr>
  </w:style>
  <w:style w:type="paragraph" w:customStyle="1" w:styleId="80">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1">
    <w:name w:val="引用1"/>
    <w:basedOn w:val="1"/>
    <w:next w:val="1"/>
    <w:link w:val="150"/>
    <w:qFormat/>
    <w:uiPriority w:val="29"/>
    <w:rPr>
      <w:i/>
      <w:iCs/>
      <w:color w:val="000000"/>
      <w:szCs w:val="20"/>
    </w:rPr>
  </w:style>
  <w:style w:type="paragraph" w:customStyle="1" w:styleId="82">
    <w:name w:val="表格文字"/>
    <w:basedOn w:val="1"/>
    <w:qFormat/>
    <w:uiPriority w:val="0"/>
    <w:pPr>
      <w:adjustRightInd w:val="0"/>
      <w:spacing w:line="420" w:lineRule="atLeast"/>
      <w:jc w:val="left"/>
      <w:textAlignment w:val="baseline"/>
    </w:pPr>
    <w:rPr>
      <w:kern w:val="0"/>
      <w:szCs w:val="20"/>
    </w:rPr>
  </w:style>
  <w:style w:type="paragraph" w:customStyle="1" w:styleId="83">
    <w:name w:val="_Style 96"/>
    <w:qFormat/>
    <w:uiPriority w:val="99"/>
    <w:rPr>
      <w:rFonts w:ascii="Calibri" w:hAnsi="Calibri" w:eastAsia="宋体" w:cs="Times New Roman"/>
      <w:kern w:val="2"/>
      <w:sz w:val="21"/>
      <w:szCs w:val="24"/>
      <w:lang w:val="en-US" w:eastAsia="zh-CN" w:bidi="ar-SA"/>
    </w:rPr>
  </w:style>
  <w:style w:type="paragraph" w:customStyle="1" w:styleId="8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5">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6">
    <w:name w:val="正  文"/>
    <w:basedOn w:val="1"/>
    <w:qFormat/>
    <w:uiPriority w:val="0"/>
    <w:pPr>
      <w:spacing w:line="360" w:lineRule="auto"/>
      <w:ind w:firstLine="200" w:firstLineChars="200"/>
    </w:pPr>
    <w:rPr>
      <w:rFonts w:ascii="宋体" w:hAnsi="Calibri"/>
      <w:sz w:val="24"/>
    </w:rPr>
  </w:style>
  <w:style w:type="paragraph" w:customStyle="1" w:styleId="87">
    <w:name w:val="标题4"/>
    <w:basedOn w:val="4"/>
    <w:next w:val="20"/>
    <w:link w:val="243"/>
    <w:qFormat/>
    <w:uiPriority w:val="0"/>
    <w:pPr>
      <w:spacing w:line="413" w:lineRule="auto"/>
    </w:pPr>
    <w:rPr>
      <w:rFonts w:ascii="Arial" w:hAnsi="Arial"/>
      <w:kern w:val="0"/>
      <w:sz w:val="24"/>
    </w:rPr>
  </w:style>
  <w:style w:type="paragraph" w:customStyle="1" w:styleId="88">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8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90">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92">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3">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94">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95">
    <w:name w:val="1 Char"/>
    <w:basedOn w:val="1"/>
    <w:qFormat/>
    <w:uiPriority w:val="0"/>
    <w:pPr>
      <w:widowControl/>
      <w:spacing w:after="160" w:line="240" w:lineRule="exact"/>
      <w:jc w:val="left"/>
    </w:pPr>
    <w:rPr>
      <w:rFonts w:ascii="Calibri" w:hAnsi="Calibri"/>
      <w:szCs w:val="20"/>
    </w:rPr>
  </w:style>
  <w:style w:type="paragraph" w:customStyle="1" w:styleId="96">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7">
    <w:name w:val="pa-34"/>
    <w:basedOn w:val="1"/>
    <w:qFormat/>
    <w:uiPriority w:val="0"/>
    <w:pPr>
      <w:widowControl/>
      <w:spacing w:line="360" w:lineRule="atLeast"/>
      <w:ind w:firstLine="420"/>
      <w:jc w:val="left"/>
    </w:pPr>
    <w:rPr>
      <w:rFonts w:ascii="宋体" w:hAnsi="宋体" w:cs="宋体"/>
      <w:kern w:val="0"/>
      <w:sz w:val="24"/>
    </w:rPr>
  </w:style>
  <w:style w:type="paragraph" w:customStyle="1" w:styleId="98">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9">
    <w:name w:val="p15"/>
    <w:basedOn w:val="1"/>
    <w:qFormat/>
    <w:uiPriority w:val="0"/>
    <w:pPr>
      <w:widowControl/>
      <w:spacing w:after="120"/>
    </w:pPr>
    <w:rPr>
      <w:kern w:val="0"/>
      <w:szCs w:val="21"/>
    </w:rPr>
  </w:style>
  <w:style w:type="paragraph" w:customStyle="1" w:styleId="10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102">
    <w:name w:val="_Style 124"/>
    <w:basedOn w:val="1"/>
    <w:next w:val="1"/>
    <w:link w:val="197"/>
    <w:qFormat/>
    <w:uiPriority w:val="0"/>
    <w:rPr>
      <w:i/>
      <w:iCs/>
      <w:color w:val="000000"/>
      <w:szCs w:val="22"/>
    </w:rPr>
  </w:style>
  <w:style w:type="paragraph" w:customStyle="1" w:styleId="103">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04">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5">
    <w:name w:val="Char Char"/>
    <w:basedOn w:val="1"/>
    <w:qFormat/>
    <w:uiPriority w:val="0"/>
    <w:pPr>
      <w:widowControl/>
      <w:jc w:val="left"/>
    </w:pPr>
    <w:rPr>
      <w:rFonts w:ascii="Verdana" w:hAnsi="Verdana" w:eastAsia="Times New Roman"/>
      <w:kern w:val="0"/>
      <w:sz w:val="16"/>
      <w:szCs w:val="20"/>
      <w:lang w:eastAsia="en-US"/>
    </w:rPr>
  </w:style>
  <w:style w:type="paragraph" w:customStyle="1" w:styleId="106">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107">
    <w:name w:val="pa-27"/>
    <w:basedOn w:val="1"/>
    <w:qFormat/>
    <w:uiPriority w:val="0"/>
    <w:pPr>
      <w:widowControl/>
      <w:spacing w:line="360" w:lineRule="atLeast"/>
      <w:ind w:firstLine="420"/>
    </w:pPr>
    <w:rPr>
      <w:rFonts w:ascii="宋体" w:hAnsi="宋体" w:cs="宋体"/>
      <w:kern w:val="0"/>
      <w:sz w:val="24"/>
    </w:rPr>
  </w:style>
  <w:style w:type="paragraph" w:customStyle="1" w:styleId="108">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9">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0">
    <w:name w:val="表格"/>
    <w:basedOn w:val="1"/>
    <w:qFormat/>
    <w:uiPriority w:val="0"/>
    <w:pPr>
      <w:jc w:val="center"/>
      <w:textAlignment w:val="center"/>
    </w:pPr>
    <w:rPr>
      <w:rFonts w:ascii="华文细黑" w:hAnsi="华文细黑"/>
      <w:kern w:val="0"/>
      <w:szCs w:val="20"/>
    </w:rPr>
  </w:style>
  <w:style w:type="paragraph" w:customStyle="1" w:styleId="111">
    <w:name w:val="明显引用1"/>
    <w:basedOn w:val="1"/>
    <w:next w:val="1"/>
    <w:link w:val="298"/>
    <w:qFormat/>
    <w:uiPriority w:val="30"/>
    <w:pPr>
      <w:pBdr>
        <w:bottom w:val="single" w:color="4F81BD" w:sz="4" w:space="4"/>
      </w:pBdr>
      <w:spacing w:before="200" w:after="280"/>
      <w:ind w:left="936" w:right="936"/>
    </w:pPr>
    <w:rPr>
      <w:b/>
      <w:bCs/>
      <w:i/>
      <w:iCs/>
      <w:color w:val="4F81BD"/>
      <w:szCs w:val="20"/>
    </w:rPr>
  </w:style>
  <w:style w:type="paragraph" w:customStyle="1" w:styleId="112">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3">
    <w:name w:val="TOC 标题2"/>
    <w:basedOn w:val="3"/>
    <w:next w:val="1"/>
    <w:qFormat/>
    <w:uiPriority w:val="0"/>
    <w:pPr>
      <w:outlineLvl w:val="9"/>
    </w:pPr>
    <w:rPr>
      <w:rFonts w:ascii="Calibri" w:hAnsi="Calibri"/>
    </w:rPr>
  </w:style>
  <w:style w:type="paragraph" w:customStyle="1" w:styleId="114">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5">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标题5"/>
    <w:basedOn w:val="5"/>
    <w:link w:val="165"/>
    <w:qFormat/>
    <w:uiPriority w:val="0"/>
    <w:pPr>
      <w:spacing w:line="413" w:lineRule="auto"/>
    </w:pPr>
    <w:rPr>
      <w:rFonts w:ascii="Arial" w:hAnsi="Arial"/>
      <w:kern w:val="0"/>
      <w:sz w:val="24"/>
    </w:rPr>
  </w:style>
  <w:style w:type="paragraph" w:customStyle="1" w:styleId="117">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18">
    <w:name w:val="_Style 64"/>
    <w:basedOn w:val="1"/>
    <w:next w:val="1"/>
    <w:link w:val="297"/>
    <w:qFormat/>
    <w:uiPriority w:val="0"/>
    <w:pPr>
      <w:pBdr>
        <w:bottom w:val="single" w:color="4F81BD" w:sz="4" w:space="4"/>
      </w:pBdr>
      <w:spacing w:before="200" w:after="280"/>
      <w:ind w:left="936" w:right="936"/>
    </w:pPr>
    <w:rPr>
      <w:b/>
      <w:bCs/>
      <w:i/>
      <w:iCs/>
      <w:color w:val="4F81BD"/>
      <w:szCs w:val="22"/>
    </w:rPr>
  </w:style>
  <w:style w:type="paragraph" w:customStyle="1" w:styleId="119">
    <w:name w:val="_Style 128"/>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0">
    <w:name w:val="Char2"/>
    <w:basedOn w:val="1"/>
    <w:qFormat/>
    <w:uiPriority w:val="0"/>
    <w:rPr>
      <w:rFonts w:ascii="Calibri" w:hAnsi="Calibri"/>
    </w:rPr>
  </w:style>
  <w:style w:type="paragraph" w:customStyle="1" w:styleId="121">
    <w:name w:val="_Style 87"/>
    <w:basedOn w:val="1"/>
    <w:qFormat/>
    <w:uiPriority w:val="99"/>
    <w:pPr>
      <w:ind w:firstLine="420" w:firstLineChars="200"/>
    </w:pPr>
    <w:rPr>
      <w:rFonts w:ascii="Calibri" w:hAnsi="Calibri"/>
      <w:sz w:val="28"/>
      <w:szCs w:val="28"/>
    </w:rPr>
  </w:style>
  <w:style w:type="paragraph" w:customStyle="1" w:styleId="122">
    <w:name w:val="自定样式1"/>
    <w:basedOn w:val="1"/>
    <w:qFormat/>
    <w:uiPriority w:val="0"/>
    <w:pPr>
      <w:suppressAutoHyphens/>
      <w:jc w:val="center"/>
    </w:pPr>
    <w:rPr>
      <w:rFonts w:ascii="宋体" w:hAnsi="宋体"/>
      <w:color w:val="000000"/>
      <w:sz w:val="18"/>
    </w:rPr>
  </w:style>
  <w:style w:type="paragraph" w:customStyle="1" w:styleId="123">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Char"/>
    <w:basedOn w:val="1"/>
    <w:qFormat/>
    <w:uiPriority w:val="0"/>
  </w:style>
  <w:style w:type="paragraph" w:customStyle="1" w:styleId="125">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列表段落1"/>
    <w:basedOn w:val="1"/>
    <w:qFormat/>
    <w:uiPriority w:val="34"/>
    <w:pPr>
      <w:ind w:firstLine="420" w:firstLineChars="200"/>
    </w:pPr>
    <w:rPr>
      <w:rFonts w:ascii="Calibri" w:hAnsi="Calibri"/>
    </w:rPr>
  </w:style>
  <w:style w:type="paragraph" w:customStyle="1" w:styleId="127">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8">
    <w:name w:val="表体"/>
    <w:basedOn w:val="1"/>
    <w:next w:val="1"/>
    <w:qFormat/>
    <w:uiPriority w:val="0"/>
    <w:pPr>
      <w:spacing w:line="0" w:lineRule="atLeast"/>
    </w:pPr>
    <w:rPr>
      <w:rFonts w:ascii="Calibri" w:hAnsi="Calibri"/>
      <w:b/>
      <w:snapToGrid w:val="0"/>
      <w:szCs w:val="20"/>
    </w:rPr>
  </w:style>
  <w:style w:type="paragraph" w:customStyle="1" w:styleId="129">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0">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1">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2">
    <w:name w:val="Char11"/>
    <w:basedOn w:val="1"/>
    <w:qFormat/>
    <w:uiPriority w:val="0"/>
  </w:style>
  <w:style w:type="paragraph" w:customStyle="1" w:styleId="133">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34">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135">
    <w:name w:val="_Style 86"/>
    <w:qFormat/>
    <w:uiPriority w:val="0"/>
    <w:rPr>
      <w:rFonts w:ascii="Times New Roman" w:hAnsi="Times New Roman" w:eastAsia="宋体" w:cs="Times New Roman"/>
      <w:kern w:val="2"/>
      <w:sz w:val="21"/>
      <w:szCs w:val="24"/>
      <w:lang w:val="en-US" w:eastAsia="zh-CN" w:bidi="ar-SA"/>
    </w:rPr>
  </w:style>
  <w:style w:type="paragraph" w:customStyle="1" w:styleId="136">
    <w:name w:val="Char1"/>
    <w:basedOn w:val="1"/>
    <w:qFormat/>
    <w:uiPriority w:val="0"/>
  </w:style>
  <w:style w:type="paragraph" w:customStyle="1" w:styleId="137">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8">
    <w:name w:val="Default"/>
    <w:next w:val="1"/>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3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2">
    <w:name w:val="正文文本 Char2"/>
    <w:qFormat/>
    <w:uiPriority w:val="99"/>
    <w:rPr>
      <w:kern w:val="2"/>
      <w:sz w:val="21"/>
      <w:szCs w:val="24"/>
    </w:rPr>
  </w:style>
  <w:style w:type="character" w:customStyle="1" w:styleId="143">
    <w:name w:val="尾注文本 Char1"/>
    <w:qFormat/>
    <w:uiPriority w:val="0"/>
    <w:rPr>
      <w:rFonts w:ascii="Arial" w:hAnsi="Arial" w:cs="Arial"/>
      <w:szCs w:val="24"/>
      <w:lang w:eastAsia="en-US"/>
    </w:rPr>
  </w:style>
  <w:style w:type="character" w:customStyle="1" w:styleId="144">
    <w:name w:val="脚注文本 Char"/>
    <w:qFormat/>
    <w:uiPriority w:val="0"/>
    <w:rPr>
      <w:rFonts w:ascii="Arial" w:hAnsi="Arial" w:eastAsia="宋体" w:cs="Arial"/>
      <w:sz w:val="18"/>
      <w:szCs w:val="18"/>
      <w:lang w:eastAsia="en-US"/>
    </w:rPr>
  </w:style>
  <w:style w:type="character" w:customStyle="1" w:styleId="145">
    <w:name w:val="Char Char17"/>
    <w:qFormat/>
    <w:uiPriority w:val="0"/>
    <w:rPr>
      <w:kern w:val="2"/>
      <w:sz w:val="26"/>
      <w:szCs w:val="24"/>
    </w:rPr>
  </w:style>
  <w:style w:type="character" w:customStyle="1" w:styleId="146">
    <w:name w:val="副标题 Char1"/>
    <w:qFormat/>
    <w:uiPriority w:val="0"/>
    <w:rPr>
      <w:szCs w:val="24"/>
      <w:u w:val="single"/>
      <w:lang w:eastAsia="en-US"/>
    </w:rPr>
  </w:style>
  <w:style w:type="character" w:customStyle="1" w:styleId="147">
    <w:name w:val="标题 Char1"/>
    <w:qFormat/>
    <w:uiPriority w:val="10"/>
    <w:rPr>
      <w:szCs w:val="24"/>
      <w:u w:val="single"/>
      <w:lang w:eastAsia="en-US"/>
    </w:rPr>
  </w:style>
  <w:style w:type="character" w:customStyle="1" w:styleId="148">
    <w:name w:val="Char Char24"/>
    <w:qFormat/>
    <w:uiPriority w:val="0"/>
    <w:rPr>
      <w:b/>
      <w:bCs/>
      <w:kern w:val="44"/>
      <w:sz w:val="44"/>
      <w:szCs w:val="44"/>
    </w:rPr>
  </w:style>
  <w:style w:type="character" w:customStyle="1" w:styleId="149">
    <w:name w:val="批注主题 Char"/>
    <w:qFormat/>
    <w:uiPriority w:val="0"/>
    <w:rPr>
      <w:rFonts w:ascii="宋体" w:hAnsi="宋体" w:eastAsia="宋体"/>
      <w:kern w:val="2"/>
      <w:sz w:val="24"/>
      <w:szCs w:val="28"/>
      <w:lang w:val="en-US" w:eastAsia="zh-CN" w:bidi="ar-SA"/>
    </w:rPr>
  </w:style>
  <w:style w:type="character" w:customStyle="1" w:styleId="150">
    <w:name w:val="引用 Char1"/>
    <w:link w:val="81"/>
    <w:qFormat/>
    <w:uiPriority w:val="29"/>
    <w:rPr>
      <w:i/>
      <w:iCs/>
      <w:color w:val="000000"/>
      <w:kern w:val="2"/>
      <w:sz w:val="21"/>
    </w:rPr>
  </w:style>
  <w:style w:type="character" w:customStyle="1" w:styleId="151">
    <w:name w:val="Char Char23"/>
    <w:qFormat/>
    <w:uiPriority w:val="0"/>
    <w:rPr>
      <w:rFonts w:ascii="Cambria" w:hAnsi="Cambria" w:eastAsia="宋体" w:cs="Times New Roman"/>
      <w:b/>
      <w:bCs/>
      <w:kern w:val="2"/>
      <w:sz w:val="32"/>
      <w:szCs w:val="32"/>
    </w:rPr>
  </w:style>
  <w:style w:type="character" w:customStyle="1" w:styleId="152">
    <w:name w:val="ITTHEADER2 Char"/>
    <w:qFormat/>
    <w:uiPriority w:val="0"/>
    <w:rPr>
      <w:rFonts w:ascii="仿宋_GB2312" w:eastAsia="仿宋_GB2312" w:cs="MingLiU"/>
      <w:b/>
      <w:spacing w:val="1"/>
      <w:w w:val="99"/>
      <w:sz w:val="28"/>
      <w:szCs w:val="32"/>
      <w:lang w:val="en-US" w:eastAsia="zh-CN" w:bidi="ar-SA"/>
    </w:rPr>
  </w:style>
  <w:style w:type="character" w:customStyle="1" w:styleId="153">
    <w:name w:val="标题 9 Char1"/>
    <w:qFormat/>
    <w:uiPriority w:val="0"/>
    <w:rPr>
      <w:rFonts w:ascii="Times New Roman" w:hAnsi="Times New Roman" w:eastAsia="仿宋_GB2312" w:cs="Times New Roman"/>
      <w:sz w:val="30"/>
      <w:szCs w:val="20"/>
    </w:rPr>
  </w:style>
  <w:style w:type="character" w:customStyle="1" w:styleId="154">
    <w:name w:val="正文文本 Char1"/>
    <w:qFormat/>
    <w:uiPriority w:val="0"/>
    <w:rPr>
      <w:kern w:val="2"/>
      <w:sz w:val="21"/>
      <w:szCs w:val="22"/>
    </w:rPr>
  </w:style>
  <w:style w:type="character" w:customStyle="1" w:styleId="155">
    <w:name w:val="引用 Char2"/>
    <w:qFormat/>
    <w:uiPriority w:val="99"/>
    <w:rPr>
      <w:i/>
      <w:iCs/>
      <w:color w:val="000000"/>
      <w:kern w:val="2"/>
      <w:sz w:val="21"/>
      <w:szCs w:val="24"/>
    </w:rPr>
  </w:style>
  <w:style w:type="character" w:customStyle="1" w:styleId="156">
    <w:name w:val="正文文本 Char3"/>
    <w:qFormat/>
    <w:uiPriority w:val="99"/>
    <w:rPr>
      <w:rFonts w:ascii="Calibri" w:hAnsi="Calibri" w:eastAsia="宋体" w:cs="Times New Roman"/>
      <w:szCs w:val="24"/>
    </w:rPr>
  </w:style>
  <w:style w:type="character" w:customStyle="1" w:styleId="157">
    <w:name w:val="日期 Char4"/>
    <w:link w:val="25"/>
    <w:qFormat/>
    <w:uiPriority w:val="0"/>
    <w:rPr>
      <w:rFonts w:eastAsia="宋体"/>
      <w:kern w:val="2"/>
      <w:sz w:val="21"/>
      <w:szCs w:val="24"/>
      <w:lang w:val="en-US" w:eastAsia="zh-CN" w:bidi="ar-SA"/>
    </w:rPr>
  </w:style>
  <w:style w:type="character" w:customStyle="1" w:styleId="158">
    <w:name w:val="标题 2 Char"/>
    <w:qFormat/>
    <w:uiPriority w:val="0"/>
    <w:rPr>
      <w:rFonts w:ascii="仿宋_GB2312" w:hAnsi="Calibri" w:eastAsia="仿宋_GB2312" w:cs="Times New Roman"/>
      <w:b/>
      <w:spacing w:val="1"/>
      <w:w w:val="99"/>
      <w:kern w:val="0"/>
      <w:sz w:val="28"/>
      <w:szCs w:val="32"/>
    </w:rPr>
  </w:style>
  <w:style w:type="character" w:customStyle="1" w:styleId="159">
    <w:name w:val="标题 7 Char"/>
    <w:qFormat/>
    <w:uiPriority w:val="0"/>
    <w:rPr>
      <w:rFonts w:ascii="Calibri" w:hAnsi="Calibri" w:eastAsia="宋体" w:cs="Times New Roman"/>
      <w:b/>
      <w:bCs/>
      <w:sz w:val="24"/>
      <w:szCs w:val="24"/>
    </w:rPr>
  </w:style>
  <w:style w:type="character" w:customStyle="1" w:styleId="160">
    <w:name w:val="批注框文本 Char1"/>
    <w:qFormat/>
    <w:uiPriority w:val="0"/>
    <w:rPr>
      <w:kern w:val="2"/>
      <w:sz w:val="18"/>
      <w:szCs w:val="18"/>
    </w:rPr>
  </w:style>
  <w:style w:type="character" w:customStyle="1" w:styleId="161">
    <w:name w:val="日期 Char1"/>
    <w:qFormat/>
    <w:uiPriority w:val="0"/>
    <w:rPr>
      <w:kern w:val="2"/>
      <w:sz w:val="21"/>
      <w:szCs w:val="22"/>
    </w:rPr>
  </w:style>
  <w:style w:type="character" w:customStyle="1" w:styleId="162">
    <w:name w:val="_Style 171"/>
    <w:qFormat/>
    <w:uiPriority w:val="0"/>
    <w:rPr>
      <w:b/>
      <w:bCs/>
      <w:i/>
      <w:iCs/>
      <w:color w:val="4F81BD"/>
    </w:rPr>
  </w:style>
  <w:style w:type="character" w:customStyle="1" w:styleId="163">
    <w:name w:val="Char Char22"/>
    <w:qFormat/>
    <w:uiPriority w:val="0"/>
    <w:rPr>
      <w:b/>
      <w:bCs/>
      <w:kern w:val="2"/>
      <w:sz w:val="32"/>
      <w:szCs w:val="32"/>
    </w:rPr>
  </w:style>
  <w:style w:type="character" w:customStyle="1" w:styleId="164">
    <w:name w:val="标题 6 Char1"/>
    <w:qFormat/>
    <w:uiPriority w:val="0"/>
    <w:rPr>
      <w:rFonts w:ascii="Times New Roman" w:hAnsi="Arial" w:eastAsia="仿宋_GB2312" w:cs="Times New Roman"/>
      <w:sz w:val="30"/>
      <w:szCs w:val="20"/>
    </w:rPr>
  </w:style>
  <w:style w:type="character" w:customStyle="1" w:styleId="165">
    <w:name w:val="标题5 Char Char"/>
    <w:link w:val="116"/>
    <w:qFormat/>
    <w:uiPriority w:val="0"/>
    <w:rPr>
      <w:rFonts w:ascii="Arial" w:hAnsi="Arial"/>
      <w:b/>
      <w:bCs/>
      <w:sz w:val="24"/>
      <w:szCs w:val="32"/>
      <w:lang w:bidi="ar-SA"/>
    </w:rPr>
  </w:style>
  <w:style w:type="character" w:customStyle="1" w:styleId="166">
    <w:name w:val="正文文本缩进 Char1"/>
    <w:qFormat/>
    <w:uiPriority w:val="0"/>
    <w:rPr>
      <w:kern w:val="2"/>
      <w:sz w:val="21"/>
      <w:szCs w:val="24"/>
    </w:rPr>
  </w:style>
  <w:style w:type="character" w:customStyle="1" w:styleId="167">
    <w:name w:val="标题 4 Char1"/>
    <w:qFormat/>
    <w:uiPriority w:val="0"/>
    <w:rPr>
      <w:rFonts w:ascii="宋体" w:hAnsi="宋体" w:eastAsia="宋体" w:cs="宋体"/>
      <w:b/>
      <w:bCs/>
      <w:sz w:val="24"/>
      <w:szCs w:val="24"/>
    </w:rPr>
  </w:style>
  <w:style w:type="character" w:customStyle="1" w:styleId="168">
    <w:name w:val="尾注文本 Char"/>
    <w:qFormat/>
    <w:uiPriority w:val="0"/>
    <w:rPr>
      <w:kern w:val="2"/>
      <w:sz w:val="21"/>
      <w:szCs w:val="24"/>
    </w:rPr>
  </w:style>
  <w:style w:type="character" w:customStyle="1" w:styleId="169">
    <w:name w:val="HTML 预设格式 Char3"/>
    <w:link w:val="40"/>
    <w:qFormat/>
    <w:uiPriority w:val="0"/>
    <w:rPr>
      <w:rFonts w:ascii="宋体" w:hAnsi="宋体" w:eastAsia="宋体" w:cs="宋体"/>
      <w:color w:val="000000"/>
      <w:sz w:val="24"/>
      <w:szCs w:val="24"/>
      <w:lang w:val="en-US" w:eastAsia="zh-CN" w:bidi="ar-SA"/>
    </w:rPr>
  </w:style>
  <w:style w:type="character" w:customStyle="1" w:styleId="170">
    <w:name w:val="尾注文本 Char2"/>
    <w:qFormat/>
    <w:uiPriority w:val="99"/>
    <w:rPr>
      <w:rFonts w:ascii="Calibri" w:hAnsi="Calibri" w:eastAsia="宋体" w:cs="Times New Roman"/>
      <w:szCs w:val="24"/>
    </w:rPr>
  </w:style>
  <w:style w:type="character" w:customStyle="1" w:styleId="171">
    <w:name w:val="明显强调1"/>
    <w:qFormat/>
    <w:uiPriority w:val="0"/>
    <w:rPr>
      <w:b/>
      <w:bCs/>
      <w:i/>
      <w:iCs/>
      <w:color w:val="4F81BD"/>
    </w:rPr>
  </w:style>
  <w:style w:type="character" w:customStyle="1" w:styleId="172">
    <w:name w:val="正文文本 Char"/>
    <w:qFormat/>
    <w:uiPriority w:val="0"/>
    <w:rPr>
      <w:sz w:val="26"/>
      <w:szCs w:val="24"/>
    </w:rPr>
  </w:style>
  <w:style w:type="character" w:customStyle="1" w:styleId="173">
    <w:name w:val="脚注文本 Char2"/>
    <w:qFormat/>
    <w:uiPriority w:val="99"/>
    <w:rPr>
      <w:rFonts w:ascii="Calibri" w:hAnsi="Calibri" w:eastAsia="宋体" w:cs="Times New Roman"/>
      <w:sz w:val="18"/>
      <w:szCs w:val="18"/>
    </w:rPr>
  </w:style>
  <w:style w:type="character" w:customStyle="1" w:styleId="174">
    <w:name w:val="正文文本 2 Char1"/>
    <w:qFormat/>
    <w:uiPriority w:val="99"/>
    <w:rPr>
      <w:rFonts w:ascii="Calibri" w:hAnsi="Calibri" w:eastAsia="宋体" w:cs="Times New Roman"/>
      <w:szCs w:val="24"/>
    </w:rPr>
  </w:style>
  <w:style w:type="character" w:customStyle="1" w:styleId="175">
    <w:name w:val="_Style 248"/>
    <w:qFormat/>
    <w:uiPriority w:val="0"/>
    <w:rPr>
      <w:b/>
      <w:bCs/>
      <w:smallCaps/>
      <w:spacing w:val="5"/>
    </w:rPr>
  </w:style>
  <w:style w:type="character" w:customStyle="1" w:styleId="176">
    <w:name w:val="明显引用 Char3"/>
    <w:qFormat/>
    <w:uiPriority w:val="30"/>
    <w:rPr>
      <w:rFonts w:ascii="Calibri" w:hAnsi="Calibri" w:eastAsia="宋体" w:cs="Times New Roman"/>
      <w:b/>
      <w:bCs/>
      <w:i/>
      <w:iCs/>
      <w:color w:val="4F81BD"/>
      <w:szCs w:val="24"/>
    </w:rPr>
  </w:style>
  <w:style w:type="character" w:customStyle="1" w:styleId="177">
    <w:name w:val="_Style 254"/>
    <w:qFormat/>
    <w:uiPriority w:val="0"/>
    <w:rPr>
      <w:b/>
      <w:bCs/>
      <w:smallCaps/>
      <w:color w:val="C0504D"/>
      <w:spacing w:val="5"/>
      <w:u w:val="single"/>
    </w:rPr>
  </w:style>
  <w:style w:type="character" w:customStyle="1" w:styleId="178">
    <w:name w:val="正文文本缩进 Char2"/>
    <w:qFormat/>
    <w:uiPriority w:val="99"/>
    <w:rPr>
      <w:rFonts w:ascii="Calibri" w:hAnsi="Calibri" w:eastAsia="宋体" w:cs="Times New Roman"/>
      <w:szCs w:val="24"/>
    </w:rPr>
  </w:style>
  <w:style w:type="character" w:customStyle="1" w:styleId="179">
    <w:name w:val="标题 4 Char2"/>
    <w:link w:val="6"/>
    <w:qFormat/>
    <w:uiPriority w:val="0"/>
    <w:rPr>
      <w:rFonts w:ascii="宋体" w:hAnsi="宋体" w:eastAsia="宋体" w:cs="宋体"/>
      <w:b/>
      <w:bCs/>
      <w:sz w:val="24"/>
      <w:szCs w:val="24"/>
      <w:lang w:val="en-US" w:eastAsia="zh-CN" w:bidi="ar-SA"/>
    </w:rPr>
  </w:style>
  <w:style w:type="character" w:customStyle="1" w:styleId="180">
    <w:name w:val="正文文本缩进 3 Char"/>
    <w:qFormat/>
    <w:uiPriority w:val="0"/>
    <w:rPr>
      <w:kern w:val="2"/>
      <w:sz w:val="16"/>
      <w:szCs w:val="16"/>
    </w:rPr>
  </w:style>
  <w:style w:type="character" w:customStyle="1" w:styleId="181">
    <w:name w:val="尾注文本 Char3"/>
    <w:link w:val="27"/>
    <w:qFormat/>
    <w:uiPriority w:val="0"/>
    <w:rPr>
      <w:rFonts w:ascii="Arial" w:hAnsi="Arial" w:eastAsia="宋体" w:cs="Arial"/>
      <w:szCs w:val="24"/>
      <w:lang w:val="en-US" w:eastAsia="en-US" w:bidi="ar-SA"/>
    </w:rPr>
  </w:style>
  <w:style w:type="character" w:customStyle="1" w:styleId="182">
    <w:name w:val="引用 Char3"/>
    <w:qFormat/>
    <w:uiPriority w:val="29"/>
    <w:rPr>
      <w:rFonts w:ascii="Calibri" w:hAnsi="Calibri" w:eastAsia="宋体" w:cs="Times New Roman"/>
      <w:i/>
      <w:iCs/>
      <w:color w:val="000000"/>
      <w:szCs w:val="24"/>
    </w:rPr>
  </w:style>
  <w:style w:type="character" w:customStyle="1" w:styleId="183">
    <w:name w:val="Char Char32"/>
    <w:qFormat/>
    <w:uiPriority w:val="0"/>
    <w:rPr>
      <w:rFonts w:ascii="仿宋_GB2312" w:eastAsia="仿宋_GB2312" w:cs="MingLiU"/>
      <w:b/>
      <w:spacing w:val="1"/>
      <w:w w:val="99"/>
      <w:sz w:val="28"/>
      <w:szCs w:val="32"/>
    </w:rPr>
  </w:style>
  <w:style w:type="character" w:customStyle="1" w:styleId="184">
    <w:name w:val="日期 Char"/>
    <w:qFormat/>
    <w:uiPriority w:val="0"/>
    <w:rPr>
      <w:rFonts w:eastAsia="宋体"/>
      <w:szCs w:val="24"/>
    </w:rPr>
  </w:style>
  <w:style w:type="character" w:customStyle="1" w:styleId="185">
    <w:name w:val="页脚 Char"/>
    <w:qFormat/>
    <w:uiPriority w:val="0"/>
    <w:rPr>
      <w:sz w:val="18"/>
      <w:szCs w:val="18"/>
    </w:rPr>
  </w:style>
  <w:style w:type="character" w:customStyle="1" w:styleId="186">
    <w:name w:val="style121"/>
    <w:qFormat/>
    <w:uiPriority w:val="0"/>
    <w:rPr>
      <w:rFonts w:hint="eastAsia" w:ascii="宋体" w:hAnsi="宋体" w:eastAsia="宋体"/>
      <w:sz w:val="18"/>
      <w:szCs w:val="18"/>
    </w:rPr>
  </w:style>
  <w:style w:type="character" w:customStyle="1" w:styleId="187">
    <w:name w:val="ss16"/>
    <w:qFormat/>
    <w:uiPriority w:val="0"/>
    <w:rPr>
      <w:rFonts w:hint="eastAsia" w:ascii="宋体" w:hAnsi="宋体" w:eastAsia="宋体"/>
      <w:color w:val="000000"/>
      <w:sz w:val="9"/>
      <w:szCs w:val="9"/>
    </w:rPr>
  </w:style>
  <w:style w:type="character" w:customStyle="1" w:styleId="188">
    <w:name w:val="textcontents"/>
    <w:qFormat/>
    <w:uiPriority w:val="0"/>
    <w:rPr>
      <w:rFonts w:cs="Times New Roman"/>
    </w:rPr>
  </w:style>
  <w:style w:type="character" w:customStyle="1" w:styleId="189">
    <w:name w:val="14t1"/>
    <w:qFormat/>
    <w:uiPriority w:val="0"/>
    <w:rPr>
      <w:rFonts w:hint="eastAsia" w:ascii="宋体" w:hAnsi="宋体" w:eastAsia="宋体"/>
      <w:sz w:val="11"/>
      <w:szCs w:val="11"/>
    </w:rPr>
  </w:style>
  <w:style w:type="character" w:customStyle="1" w:styleId="190">
    <w:name w:val="不明显参考1"/>
    <w:qFormat/>
    <w:uiPriority w:val="0"/>
    <w:rPr>
      <w:smallCaps/>
      <w:color w:val="C0504D"/>
      <w:u w:val="single"/>
    </w:rPr>
  </w:style>
  <w:style w:type="character" w:customStyle="1" w:styleId="191">
    <w:name w:val="unnamed1"/>
    <w:basedOn w:val="47"/>
    <w:qFormat/>
    <w:uiPriority w:val="0"/>
  </w:style>
  <w:style w:type="character" w:customStyle="1" w:styleId="192">
    <w:name w:val="批注主题 Char3"/>
    <w:qFormat/>
    <w:uiPriority w:val="99"/>
    <w:rPr>
      <w:rFonts w:ascii="Calibri" w:hAnsi="Calibri" w:eastAsia="宋体" w:cs="Times New Roman"/>
      <w:b/>
      <w:bCs/>
      <w:szCs w:val="24"/>
    </w:rPr>
  </w:style>
  <w:style w:type="character" w:customStyle="1" w:styleId="193">
    <w:name w:val="标题 3 Char2"/>
    <w:link w:val="5"/>
    <w:qFormat/>
    <w:uiPriority w:val="0"/>
    <w:rPr>
      <w:rFonts w:eastAsia="宋体"/>
      <w:b/>
      <w:bCs/>
      <w:kern w:val="2"/>
      <w:sz w:val="32"/>
      <w:szCs w:val="32"/>
      <w:lang w:val="en-US" w:eastAsia="zh-CN" w:bidi="ar-SA"/>
    </w:rPr>
  </w:style>
  <w:style w:type="character" w:customStyle="1" w:styleId="194">
    <w:name w:val="标题 2 Char2"/>
    <w:link w:val="4"/>
    <w:qFormat/>
    <w:uiPriority w:val="0"/>
    <w:rPr>
      <w:rFonts w:ascii="Cambria" w:hAnsi="Cambria" w:eastAsia="宋体"/>
      <w:b/>
      <w:bCs/>
      <w:kern w:val="2"/>
      <w:sz w:val="32"/>
      <w:szCs w:val="32"/>
      <w:lang w:val="en-US" w:eastAsia="zh-CN" w:bidi="ar-SA"/>
    </w:rPr>
  </w:style>
  <w:style w:type="character" w:customStyle="1" w:styleId="195">
    <w:name w:val="标题 6 Char2"/>
    <w:link w:val="8"/>
    <w:qFormat/>
    <w:uiPriority w:val="0"/>
    <w:rPr>
      <w:rFonts w:hAnsi="Arial" w:eastAsia="仿宋_GB2312"/>
      <w:sz w:val="30"/>
      <w:lang w:val="en-US" w:eastAsia="zh-CN" w:bidi="ar-SA"/>
    </w:rPr>
  </w:style>
  <w:style w:type="character" w:customStyle="1" w:styleId="196">
    <w:name w:val="页脚 Char2"/>
    <w:link w:val="29"/>
    <w:qFormat/>
    <w:uiPriority w:val="0"/>
    <w:rPr>
      <w:rFonts w:eastAsia="宋体"/>
      <w:kern w:val="2"/>
      <w:sz w:val="18"/>
      <w:szCs w:val="18"/>
      <w:lang w:val="en-US" w:eastAsia="zh-CN" w:bidi="ar-SA"/>
    </w:rPr>
  </w:style>
  <w:style w:type="character" w:customStyle="1" w:styleId="197">
    <w:name w:val="引用 Char4"/>
    <w:link w:val="102"/>
    <w:qFormat/>
    <w:uiPriority w:val="0"/>
    <w:rPr>
      <w:i/>
      <w:iCs/>
      <w:color w:val="000000"/>
      <w:kern w:val="2"/>
      <w:sz w:val="21"/>
      <w:szCs w:val="22"/>
      <w:lang w:bidi="ar-SA"/>
    </w:rPr>
  </w:style>
  <w:style w:type="character" w:customStyle="1" w:styleId="198">
    <w:name w:val="标题 9 Char2"/>
    <w:link w:val="12"/>
    <w:qFormat/>
    <w:uiPriority w:val="0"/>
    <w:rPr>
      <w:rFonts w:eastAsia="仿宋_GB2312"/>
      <w:sz w:val="30"/>
      <w:lang w:val="en-US" w:eastAsia="zh-CN" w:bidi="ar-SA"/>
    </w:rPr>
  </w:style>
  <w:style w:type="character" w:customStyle="1" w:styleId="199">
    <w:name w:val="标题 3 Char"/>
    <w:qFormat/>
    <w:uiPriority w:val="0"/>
    <w:rPr>
      <w:rFonts w:ascii="仿宋_GB2312" w:hAnsi="Calibri" w:eastAsia="仿宋_GB2312" w:cs="Times New Roman"/>
      <w:b/>
      <w:kern w:val="0"/>
      <w:sz w:val="24"/>
      <w:szCs w:val="28"/>
    </w:rPr>
  </w:style>
  <w:style w:type="character" w:customStyle="1" w:styleId="200">
    <w:name w:val="批注文字 Char2"/>
    <w:qFormat/>
    <w:uiPriority w:val="0"/>
    <w:rPr>
      <w:rFonts w:ascii="Calibri" w:hAnsi="Calibri" w:eastAsia="宋体" w:cs="Times New Roman"/>
      <w:szCs w:val="24"/>
    </w:rPr>
  </w:style>
  <w:style w:type="character" w:customStyle="1" w:styleId="201">
    <w:name w:val="normaltext1"/>
    <w:qFormat/>
    <w:uiPriority w:val="0"/>
    <w:rPr>
      <w:rFonts w:hint="default" w:ascii="ˎ̥" w:hAnsi="ˎ̥"/>
      <w:sz w:val="9"/>
      <w:szCs w:val="9"/>
    </w:rPr>
  </w:style>
  <w:style w:type="character" w:customStyle="1" w:styleId="202">
    <w:name w:val="ca-141"/>
    <w:qFormat/>
    <w:uiPriority w:val="0"/>
    <w:rPr>
      <w:rFonts w:hint="eastAsia" w:ascii="仿宋_GB2312" w:eastAsia="仿宋_GB2312"/>
      <w:sz w:val="21"/>
      <w:szCs w:val="21"/>
    </w:rPr>
  </w:style>
  <w:style w:type="character" w:customStyle="1" w:styleId="203">
    <w:name w:val="main_tdbg_7601"/>
    <w:qFormat/>
    <w:uiPriority w:val="0"/>
    <w:rPr>
      <w:sz w:val="14"/>
      <w:szCs w:val="14"/>
    </w:rPr>
  </w:style>
  <w:style w:type="character" w:customStyle="1" w:styleId="204">
    <w:name w:val="文档结构图 Char4"/>
    <w:link w:val="15"/>
    <w:qFormat/>
    <w:uiPriority w:val="0"/>
    <w:rPr>
      <w:rFonts w:eastAsia="宋体"/>
      <w:kern w:val="2"/>
      <w:sz w:val="21"/>
      <w:szCs w:val="24"/>
      <w:lang w:val="en-US" w:eastAsia="zh-CN" w:bidi="ar-SA"/>
    </w:rPr>
  </w:style>
  <w:style w:type="character" w:customStyle="1" w:styleId="205">
    <w:name w:val="批注框文本 Char3"/>
    <w:qFormat/>
    <w:uiPriority w:val="99"/>
    <w:rPr>
      <w:rFonts w:ascii="Calibri" w:hAnsi="Calibri" w:eastAsia="宋体" w:cs="Times New Roman"/>
      <w:sz w:val="18"/>
      <w:szCs w:val="18"/>
    </w:rPr>
  </w:style>
  <w:style w:type="character" w:customStyle="1" w:styleId="206">
    <w:name w:val="Char Char9"/>
    <w:qFormat/>
    <w:uiPriority w:val="0"/>
    <w:rPr>
      <w:rFonts w:ascii="仿宋_GB2312" w:eastAsia="仿宋_GB2312" w:cs="MingLiU"/>
      <w:b/>
      <w:sz w:val="24"/>
      <w:szCs w:val="28"/>
      <w:lang w:val="en-US" w:eastAsia="zh-CN" w:bidi="ar-SA"/>
    </w:rPr>
  </w:style>
  <w:style w:type="character" w:customStyle="1" w:styleId="207">
    <w:name w:val="title11"/>
    <w:qFormat/>
    <w:uiPriority w:val="0"/>
    <w:rPr>
      <w:b/>
      <w:bCs/>
      <w:color w:val="FFFFFF"/>
      <w:sz w:val="11"/>
      <w:szCs w:val="11"/>
    </w:rPr>
  </w:style>
  <w:style w:type="character" w:customStyle="1" w:styleId="208">
    <w:name w:val="批注框文本 Char4"/>
    <w:link w:val="28"/>
    <w:qFormat/>
    <w:uiPriority w:val="0"/>
    <w:rPr>
      <w:rFonts w:eastAsia="宋体"/>
      <w:kern w:val="2"/>
      <w:sz w:val="18"/>
      <w:szCs w:val="18"/>
      <w:lang w:val="en-US" w:eastAsia="zh-CN" w:bidi="ar-SA"/>
    </w:rPr>
  </w:style>
  <w:style w:type="character" w:customStyle="1" w:styleId="209">
    <w:name w:val="标题 8 Char1"/>
    <w:qFormat/>
    <w:uiPriority w:val="0"/>
    <w:rPr>
      <w:rFonts w:ascii="Times New Roman" w:hAnsi="Arial" w:eastAsia="仿宋_GB2312" w:cs="Times New Roman"/>
      <w:sz w:val="30"/>
      <w:szCs w:val="20"/>
    </w:rPr>
  </w:style>
  <w:style w:type="character" w:customStyle="1" w:styleId="210">
    <w:name w:val="标题 Char2"/>
    <w:qFormat/>
    <w:uiPriority w:val="10"/>
    <w:rPr>
      <w:rFonts w:ascii="Cambria" w:hAnsi="Cambria" w:eastAsia="宋体" w:cs="Times New Roman"/>
      <w:b/>
      <w:bCs/>
      <w:sz w:val="32"/>
      <w:szCs w:val="32"/>
    </w:rPr>
  </w:style>
  <w:style w:type="character" w:customStyle="1" w:styleId="211">
    <w:name w:val="标题 Char3"/>
    <w:link w:val="43"/>
    <w:qFormat/>
    <w:uiPriority w:val="0"/>
    <w:rPr>
      <w:rFonts w:eastAsia="宋体"/>
      <w:szCs w:val="24"/>
      <w:u w:val="single"/>
      <w:lang w:val="en-US" w:eastAsia="en-US" w:bidi="ar-SA"/>
    </w:rPr>
  </w:style>
  <w:style w:type="character" w:customStyle="1" w:styleId="212">
    <w:name w:val="批注主题 Char1"/>
    <w:qFormat/>
    <w:uiPriority w:val="0"/>
    <w:rPr>
      <w:b/>
      <w:bCs/>
      <w:kern w:val="2"/>
      <w:sz w:val="21"/>
      <w:szCs w:val="22"/>
    </w:rPr>
  </w:style>
  <w:style w:type="character" w:customStyle="1" w:styleId="213">
    <w:name w:val="副标题 Char"/>
    <w:qFormat/>
    <w:uiPriority w:val="0"/>
    <w:rPr>
      <w:rFonts w:ascii="Cambria" w:hAnsi="Cambria" w:eastAsia="宋体" w:cs="Times New Roman"/>
      <w:b/>
      <w:bCs/>
      <w:kern w:val="28"/>
      <w:sz w:val="32"/>
      <w:szCs w:val="32"/>
    </w:rPr>
  </w:style>
  <w:style w:type="character" w:customStyle="1" w:styleId="214">
    <w:name w:val="正文文本 Char4"/>
    <w:link w:val="2"/>
    <w:qFormat/>
    <w:uiPriority w:val="0"/>
    <w:rPr>
      <w:rFonts w:eastAsia="宋体"/>
      <w:kern w:val="2"/>
      <w:sz w:val="21"/>
      <w:szCs w:val="24"/>
      <w:lang w:val="en-US" w:eastAsia="zh-CN" w:bidi="ar-SA"/>
    </w:rPr>
  </w:style>
  <w:style w:type="character" w:customStyle="1" w:styleId="215">
    <w:name w:val="纯文本 Char1"/>
    <w:qFormat/>
    <w:uiPriority w:val="0"/>
    <w:rPr>
      <w:rFonts w:ascii="宋体" w:hAnsi="Courier New" w:cs="Courier New"/>
      <w:kern w:val="2"/>
      <w:sz w:val="21"/>
      <w:szCs w:val="21"/>
    </w:rPr>
  </w:style>
  <w:style w:type="character" w:customStyle="1" w:styleId="216">
    <w:name w:val="脚注文本 Char3"/>
    <w:link w:val="34"/>
    <w:qFormat/>
    <w:uiPriority w:val="0"/>
    <w:rPr>
      <w:rFonts w:ascii="Arial" w:hAnsi="Arial" w:eastAsia="宋体" w:cs="Arial"/>
      <w:sz w:val="18"/>
      <w:szCs w:val="18"/>
      <w:lang w:val="en-US" w:eastAsia="en-US" w:bidi="ar-SA"/>
    </w:rPr>
  </w:style>
  <w:style w:type="character" w:customStyle="1" w:styleId="217">
    <w:name w:val="标题 2 Char1"/>
    <w:qFormat/>
    <w:uiPriority w:val="0"/>
    <w:rPr>
      <w:rFonts w:ascii="Cambria" w:hAnsi="Cambria" w:eastAsia="宋体" w:cs="Times New Roman"/>
      <w:b/>
      <w:bCs/>
      <w:kern w:val="2"/>
      <w:sz w:val="32"/>
      <w:szCs w:val="32"/>
    </w:rPr>
  </w:style>
  <w:style w:type="character" w:customStyle="1" w:styleId="218">
    <w:name w:val="脚注文本 Char1"/>
    <w:qFormat/>
    <w:uiPriority w:val="0"/>
    <w:rPr>
      <w:rFonts w:ascii="Arial" w:hAnsi="Arial" w:cs="Arial"/>
      <w:sz w:val="18"/>
      <w:szCs w:val="18"/>
      <w:lang w:eastAsia="en-US"/>
    </w:rPr>
  </w:style>
  <w:style w:type="character" w:customStyle="1" w:styleId="219">
    <w:name w:val="HTML 预设格式 Char2"/>
    <w:qFormat/>
    <w:uiPriority w:val="99"/>
    <w:rPr>
      <w:rFonts w:ascii="Courier New" w:hAnsi="Courier New" w:eastAsia="宋体" w:cs="Courier New"/>
      <w:sz w:val="20"/>
      <w:szCs w:val="20"/>
    </w:rPr>
  </w:style>
  <w:style w:type="character" w:customStyle="1" w:styleId="220">
    <w:name w:val="标题 8 Char"/>
    <w:qFormat/>
    <w:uiPriority w:val="0"/>
    <w:rPr>
      <w:rFonts w:ascii="Arial" w:hAnsi="Arial" w:eastAsia="黑体" w:cs="Times New Roman"/>
      <w:sz w:val="24"/>
      <w:szCs w:val="24"/>
    </w:rPr>
  </w:style>
  <w:style w:type="character" w:customStyle="1" w:styleId="221">
    <w:name w:val="s3"/>
    <w:qFormat/>
    <w:uiPriority w:val="0"/>
  </w:style>
  <w:style w:type="character" w:customStyle="1" w:styleId="222">
    <w:name w:val="标题 4 Char"/>
    <w:qFormat/>
    <w:uiPriority w:val="0"/>
    <w:rPr>
      <w:rFonts w:ascii="仿宋_GB2312" w:hAnsi="Calibri" w:eastAsia="仿宋_GB2312" w:cs="Times New Roman"/>
      <w:b/>
      <w:kern w:val="0"/>
      <w:sz w:val="24"/>
      <w:szCs w:val="28"/>
    </w:rPr>
  </w:style>
  <w:style w:type="character" w:customStyle="1" w:styleId="223">
    <w:name w:val="正文文本缩进 2 Char"/>
    <w:qFormat/>
    <w:uiPriority w:val="0"/>
    <w:rPr>
      <w:kern w:val="2"/>
      <w:sz w:val="21"/>
      <w:szCs w:val="24"/>
    </w:rPr>
  </w:style>
  <w:style w:type="character" w:customStyle="1" w:styleId="224">
    <w:name w:val="style21"/>
    <w:qFormat/>
    <w:uiPriority w:val="0"/>
    <w:rPr>
      <w:b/>
      <w:bCs/>
      <w:sz w:val="28"/>
      <w:szCs w:val="28"/>
    </w:rPr>
  </w:style>
  <w:style w:type="character" w:customStyle="1" w:styleId="225">
    <w:name w:val="正文文本缩进 2 Char2"/>
    <w:qFormat/>
    <w:uiPriority w:val="99"/>
    <w:rPr>
      <w:rFonts w:ascii="Calibri" w:hAnsi="Calibri" w:eastAsia="宋体" w:cs="Times New Roman"/>
      <w:szCs w:val="24"/>
    </w:rPr>
  </w:style>
  <w:style w:type="character" w:customStyle="1" w:styleId="226">
    <w:name w:val="ht1"/>
    <w:qFormat/>
    <w:uiPriority w:val="0"/>
    <w:rPr>
      <w:rFonts w:ascii="黑体" w:eastAsia="黑体"/>
      <w:b/>
      <w:bCs/>
    </w:rPr>
  </w:style>
  <w:style w:type="character" w:customStyle="1" w:styleId="227">
    <w:name w:val="文档结构图 Char3"/>
    <w:qFormat/>
    <w:uiPriority w:val="99"/>
    <w:rPr>
      <w:rFonts w:ascii="宋体" w:hAnsi="Calibri" w:eastAsia="宋体" w:cs="Times New Roman"/>
      <w:sz w:val="18"/>
      <w:szCs w:val="18"/>
    </w:rPr>
  </w:style>
  <w:style w:type="character" w:customStyle="1" w:styleId="228">
    <w:name w:val="书籍标题1"/>
    <w:qFormat/>
    <w:uiPriority w:val="0"/>
    <w:rPr>
      <w:b/>
      <w:bCs/>
      <w:smallCaps/>
      <w:spacing w:val="5"/>
    </w:rPr>
  </w:style>
  <w:style w:type="character" w:customStyle="1" w:styleId="229">
    <w:name w:val="标题 7 Char1"/>
    <w:qFormat/>
    <w:uiPriority w:val="0"/>
    <w:rPr>
      <w:rFonts w:ascii="Times New Roman" w:hAnsi="Times New Roman" w:eastAsia="仿宋_GB2312" w:cs="Times New Roman"/>
      <w:sz w:val="30"/>
      <w:szCs w:val="20"/>
    </w:rPr>
  </w:style>
  <w:style w:type="character" w:customStyle="1" w:styleId="230">
    <w:name w:val="明显引用 Char2"/>
    <w:qFormat/>
    <w:uiPriority w:val="99"/>
    <w:rPr>
      <w:b/>
      <w:bCs/>
      <w:i/>
      <w:iCs/>
      <w:color w:val="4F81BD"/>
      <w:kern w:val="2"/>
      <w:sz w:val="21"/>
      <w:szCs w:val="24"/>
    </w:rPr>
  </w:style>
  <w:style w:type="character" w:customStyle="1" w:styleId="231">
    <w:name w:val="不明显强调1"/>
    <w:qFormat/>
    <w:uiPriority w:val="0"/>
    <w:rPr>
      <w:i/>
      <w:iCs/>
      <w:color w:val="808080"/>
    </w:rPr>
  </w:style>
  <w:style w:type="character" w:customStyle="1" w:styleId="232">
    <w:name w:val="普通文字 Char Char2"/>
    <w:qFormat/>
    <w:uiPriority w:val="0"/>
    <w:rPr>
      <w:rFonts w:ascii="宋体" w:hAnsi="Courier New"/>
      <w:kern w:val="2"/>
      <w:sz w:val="28"/>
      <w:szCs w:val="28"/>
    </w:rPr>
  </w:style>
  <w:style w:type="character" w:customStyle="1" w:styleId="233">
    <w:name w:val="标题 6 Char"/>
    <w:qFormat/>
    <w:uiPriority w:val="0"/>
    <w:rPr>
      <w:rFonts w:ascii="Arial" w:hAnsi="Arial" w:eastAsia="黑体" w:cs="Times New Roman"/>
      <w:b/>
      <w:bCs/>
      <w:sz w:val="24"/>
      <w:szCs w:val="24"/>
    </w:rPr>
  </w:style>
  <w:style w:type="character" w:customStyle="1" w:styleId="234">
    <w:name w:val="l1"/>
    <w:basedOn w:val="47"/>
    <w:qFormat/>
    <w:uiPriority w:val="0"/>
  </w:style>
  <w:style w:type="character" w:customStyle="1" w:styleId="235">
    <w:name w:val="未处理的提及1"/>
    <w:qFormat/>
    <w:uiPriority w:val="99"/>
    <w:rPr>
      <w:color w:val="808080"/>
      <w:shd w:val="clear" w:color="auto" w:fill="E6E6E6"/>
    </w:rPr>
  </w:style>
  <w:style w:type="character" w:customStyle="1" w:styleId="236">
    <w:name w:val="页眉 Char2"/>
    <w:link w:val="30"/>
    <w:qFormat/>
    <w:uiPriority w:val="0"/>
    <w:rPr>
      <w:rFonts w:eastAsia="宋体"/>
      <w:kern w:val="2"/>
      <w:sz w:val="18"/>
      <w:szCs w:val="18"/>
      <w:lang w:val="en-US" w:eastAsia="zh-CN" w:bidi="ar-SA"/>
    </w:rPr>
  </w:style>
  <w:style w:type="character" w:customStyle="1" w:styleId="237">
    <w:name w:val="Char Char35"/>
    <w:qFormat/>
    <w:uiPriority w:val="0"/>
    <w:rPr>
      <w:rFonts w:ascii="仿宋_GB2312" w:eastAsia="仿宋_GB2312" w:cs="MingLiU"/>
      <w:b/>
      <w:sz w:val="24"/>
      <w:szCs w:val="28"/>
    </w:rPr>
  </w:style>
  <w:style w:type="character" w:customStyle="1" w:styleId="238">
    <w:name w:val="Char Char11"/>
    <w:qFormat/>
    <w:uiPriority w:val="0"/>
    <w:rPr>
      <w:rFonts w:eastAsia="黑体"/>
      <w:kern w:val="2"/>
      <w:sz w:val="44"/>
      <w:szCs w:val="44"/>
      <w:lang w:val="en-US" w:eastAsia="zh-CN" w:bidi="ar-SA"/>
    </w:rPr>
  </w:style>
  <w:style w:type="character" w:customStyle="1" w:styleId="239">
    <w:name w:val="style31"/>
    <w:qFormat/>
    <w:uiPriority w:val="0"/>
    <w:rPr>
      <w:sz w:val="10"/>
      <w:szCs w:val="10"/>
    </w:rPr>
  </w:style>
  <w:style w:type="character" w:customStyle="1" w:styleId="240">
    <w:name w:val="0d1471"/>
    <w:qFormat/>
    <w:uiPriority w:val="0"/>
    <w:rPr>
      <w:color w:val="000000"/>
      <w:sz w:val="11"/>
      <w:szCs w:val="11"/>
      <w:u w:val="none"/>
    </w:rPr>
  </w:style>
  <w:style w:type="character" w:customStyle="1" w:styleId="241">
    <w:name w:val="标题 9 Char"/>
    <w:qFormat/>
    <w:uiPriority w:val="0"/>
    <w:rPr>
      <w:rFonts w:ascii="Arial" w:hAnsi="Arial" w:eastAsia="黑体" w:cs="Times New Roman"/>
      <w:szCs w:val="21"/>
    </w:rPr>
  </w:style>
  <w:style w:type="character" w:customStyle="1" w:styleId="242">
    <w:name w:val="标题 3 Char1"/>
    <w:qFormat/>
    <w:uiPriority w:val="0"/>
    <w:rPr>
      <w:rFonts w:ascii="Times New Roman" w:hAnsi="Times New Roman" w:eastAsia="宋体" w:cs="Times New Roman"/>
      <w:b/>
      <w:bCs/>
      <w:kern w:val="2"/>
      <w:sz w:val="32"/>
      <w:szCs w:val="32"/>
    </w:rPr>
  </w:style>
  <w:style w:type="character" w:customStyle="1" w:styleId="243">
    <w:name w:val="标题4 Char Char"/>
    <w:link w:val="87"/>
    <w:qFormat/>
    <w:uiPriority w:val="0"/>
    <w:rPr>
      <w:rFonts w:ascii="Arial" w:hAnsi="Arial"/>
      <w:b/>
      <w:bCs/>
      <w:sz w:val="24"/>
      <w:szCs w:val="32"/>
      <w:lang w:bidi="ar-SA"/>
    </w:rPr>
  </w:style>
  <w:style w:type="character" w:customStyle="1" w:styleId="244">
    <w:name w:val="标题 5 Char1"/>
    <w:qFormat/>
    <w:uiPriority w:val="0"/>
    <w:rPr>
      <w:rFonts w:ascii="宋体" w:hAnsi="宋体" w:eastAsia="宋体" w:cs="宋体"/>
      <w:b/>
      <w:bCs/>
      <w:sz w:val="20"/>
      <w:szCs w:val="20"/>
    </w:rPr>
  </w:style>
  <w:style w:type="character" w:customStyle="1" w:styleId="245">
    <w:name w:val="正文文本缩进 3 Char1"/>
    <w:qFormat/>
    <w:uiPriority w:val="0"/>
    <w:rPr>
      <w:rFonts w:ascii="宋体" w:hAnsi="宋体"/>
      <w:kern w:val="2"/>
      <w:sz w:val="28"/>
      <w:szCs w:val="28"/>
    </w:rPr>
  </w:style>
  <w:style w:type="character" w:customStyle="1" w:styleId="246">
    <w:name w:val="Char Char33"/>
    <w:qFormat/>
    <w:uiPriority w:val="0"/>
    <w:rPr>
      <w:rFonts w:ascii="仿宋_GB2312" w:eastAsia="仿宋_GB2312" w:cs="MingLiU"/>
      <w:b/>
      <w:sz w:val="24"/>
      <w:szCs w:val="28"/>
    </w:rPr>
  </w:style>
  <w:style w:type="character" w:customStyle="1" w:styleId="247">
    <w:name w:val="批注文字 Char1"/>
    <w:qFormat/>
    <w:uiPriority w:val="99"/>
    <w:rPr>
      <w:rFonts w:ascii="Times New Roman" w:hAnsi="Times New Roman" w:eastAsia="宋体" w:cs="Times New Roman"/>
      <w:szCs w:val="24"/>
    </w:rPr>
  </w:style>
  <w:style w:type="character" w:customStyle="1" w:styleId="248">
    <w:name w:val="正文文本 3 Char1"/>
    <w:qFormat/>
    <w:uiPriority w:val="0"/>
    <w:rPr>
      <w:kern w:val="2"/>
      <w:sz w:val="16"/>
      <w:szCs w:val="16"/>
    </w:rPr>
  </w:style>
  <w:style w:type="character" w:customStyle="1" w:styleId="249">
    <w:name w:val="页眉 Char"/>
    <w:qFormat/>
    <w:uiPriority w:val="0"/>
    <w:rPr>
      <w:sz w:val="18"/>
      <w:szCs w:val="18"/>
    </w:rPr>
  </w:style>
  <w:style w:type="character" w:customStyle="1" w:styleId="250">
    <w:name w:val="明显引用 Char"/>
    <w:qFormat/>
    <w:uiPriority w:val="0"/>
    <w:rPr>
      <w:rFonts w:ascii="Times New Roman" w:hAnsi="Times New Roman" w:eastAsia="宋体" w:cs="Times New Roman"/>
      <w:b/>
      <w:bCs/>
      <w:i/>
      <w:iCs/>
      <w:color w:val="4F81BD"/>
      <w:kern w:val="2"/>
      <w:sz w:val="21"/>
      <w:szCs w:val="24"/>
    </w:rPr>
  </w:style>
  <w:style w:type="character" w:customStyle="1" w:styleId="251">
    <w:name w:val="color_red1"/>
    <w:qFormat/>
    <w:uiPriority w:val="0"/>
    <w:rPr>
      <w:color w:val="FA0004"/>
    </w:rPr>
  </w:style>
  <w:style w:type="character" w:customStyle="1" w:styleId="252">
    <w:name w:val="批注主题 Char2"/>
    <w:qFormat/>
    <w:uiPriority w:val="99"/>
    <w:rPr>
      <w:b/>
      <w:bCs/>
      <w:kern w:val="2"/>
      <w:sz w:val="21"/>
      <w:szCs w:val="24"/>
    </w:rPr>
  </w:style>
  <w:style w:type="character" w:customStyle="1" w:styleId="253">
    <w:name w:val="Char Char34"/>
    <w:qFormat/>
    <w:uiPriority w:val="0"/>
    <w:rPr>
      <w:rFonts w:ascii="仿宋_GB2312" w:eastAsia="仿宋_GB2312" w:cs="MingLiU"/>
      <w:b/>
      <w:spacing w:val="1"/>
      <w:w w:val="99"/>
      <w:sz w:val="28"/>
      <w:szCs w:val="32"/>
    </w:rPr>
  </w:style>
  <w:style w:type="character" w:customStyle="1" w:styleId="254">
    <w:name w:val="标题 1 Char"/>
    <w:qFormat/>
    <w:uiPriority w:val="0"/>
    <w:rPr>
      <w:rFonts w:ascii="Times New Roman" w:hAnsi="Times New Roman" w:eastAsia="宋体" w:cs="Times New Roman"/>
      <w:b/>
      <w:bCs/>
      <w:kern w:val="44"/>
      <w:sz w:val="44"/>
      <w:szCs w:val="44"/>
    </w:rPr>
  </w:style>
  <w:style w:type="character" w:customStyle="1" w:styleId="255">
    <w:name w:val="docpro"/>
    <w:basedOn w:val="47"/>
    <w:qFormat/>
    <w:uiPriority w:val="0"/>
  </w:style>
  <w:style w:type="character" w:customStyle="1" w:styleId="256">
    <w:name w:val="正文文本 3 Char"/>
    <w:qFormat/>
    <w:uiPriority w:val="0"/>
    <w:rPr>
      <w:kern w:val="2"/>
      <w:sz w:val="16"/>
      <w:szCs w:val="16"/>
    </w:rPr>
  </w:style>
  <w:style w:type="character" w:customStyle="1" w:styleId="257">
    <w:name w:val="标题 5 Char"/>
    <w:qFormat/>
    <w:uiPriority w:val="0"/>
    <w:rPr>
      <w:rFonts w:ascii="Calibri" w:hAnsi="Calibri" w:eastAsia="宋体" w:cs="Times New Roman"/>
      <w:b/>
      <w:bCs/>
      <w:sz w:val="28"/>
      <w:szCs w:val="28"/>
    </w:rPr>
  </w:style>
  <w:style w:type="character" w:customStyle="1" w:styleId="258">
    <w:name w:val="style161"/>
    <w:qFormat/>
    <w:uiPriority w:val="0"/>
    <w:rPr>
      <w:b/>
      <w:bCs/>
      <w:color w:val="333333"/>
    </w:rPr>
  </w:style>
  <w:style w:type="character" w:customStyle="1" w:styleId="259">
    <w:name w:val="文档结构图 Char2"/>
    <w:qFormat/>
    <w:uiPriority w:val="99"/>
    <w:rPr>
      <w:kern w:val="2"/>
      <w:sz w:val="21"/>
      <w:szCs w:val="24"/>
      <w:shd w:val="clear" w:color="auto" w:fill="000080"/>
    </w:rPr>
  </w:style>
  <w:style w:type="character" w:customStyle="1" w:styleId="260">
    <w:name w:val="页脚 Char1"/>
    <w:qFormat/>
    <w:uiPriority w:val="99"/>
    <w:rPr>
      <w:kern w:val="2"/>
      <w:sz w:val="18"/>
      <w:szCs w:val="18"/>
    </w:rPr>
  </w:style>
  <w:style w:type="character" w:customStyle="1" w:styleId="261">
    <w:name w:val="日期 Char2"/>
    <w:qFormat/>
    <w:uiPriority w:val="99"/>
    <w:rPr>
      <w:kern w:val="2"/>
      <w:sz w:val="21"/>
      <w:szCs w:val="24"/>
    </w:rPr>
  </w:style>
  <w:style w:type="character" w:customStyle="1" w:styleId="262">
    <w:name w:val="HTML 预设格式 Char"/>
    <w:qFormat/>
    <w:uiPriority w:val="0"/>
    <w:rPr>
      <w:rFonts w:ascii="宋体" w:hAnsi="宋体" w:eastAsia="宋体" w:cs="宋体"/>
      <w:color w:val="000000"/>
      <w:sz w:val="24"/>
      <w:szCs w:val="24"/>
    </w:rPr>
  </w:style>
  <w:style w:type="character" w:customStyle="1" w:styleId="263">
    <w:name w:val="批注主题 Char4"/>
    <w:link w:val="44"/>
    <w:qFormat/>
    <w:uiPriority w:val="0"/>
    <w:rPr>
      <w:rFonts w:eastAsia="宋体"/>
      <w:b/>
      <w:bCs/>
      <w:kern w:val="2"/>
      <w:sz w:val="21"/>
      <w:szCs w:val="24"/>
      <w:lang w:val="en-US" w:eastAsia="zh-CN" w:bidi="ar-SA"/>
    </w:rPr>
  </w:style>
  <w:style w:type="character" w:customStyle="1" w:styleId="264">
    <w:name w:val="正文文本 2 Char"/>
    <w:link w:val="39"/>
    <w:qFormat/>
    <w:uiPriority w:val="0"/>
    <w:rPr>
      <w:i/>
      <w:iCs/>
      <w:kern w:val="2"/>
      <w:sz w:val="26"/>
      <w:szCs w:val="24"/>
    </w:rPr>
  </w:style>
  <w:style w:type="character" w:customStyle="1" w:styleId="265">
    <w:name w:val="批注框文本 Char"/>
    <w:qFormat/>
    <w:uiPriority w:val="0"/>
    <w:rPr>
      <w:sz w:val="18"/>
      <w:szCs w:val="18"/>
    </w:rPr>
  </w:style>
  <w:style w:type="character" w:customStyle="1" w:styleId="266">
    <w:name w:val="文档结构图 Char"/>
    <w:qFormat/>
    <w:uiPriority w:val="0"/>
    <w:rPr>
      <w:rFonts w:ascii="宋体"/>
      <w:kern w:val="2"/>
      <w:sz w:val="18"/>
      <w:szCs w:val="18"/>
    </w:rPr>
  </w:style>
  <w:style w:type="character" w:customStyle="1" w:styleId="267">
    <w:name w:val="标题 8 Char2"/>
    <w:link w:val="11"/>
    <w:qFormat/>
    <w:uiPriority w:val="0"/>
    <w:rPr>
      <w:rFonts w:hAnsi="Arial" w:eastAsia="仿宋_GB2312"/>
      <w:sz w:val="30"/>
      <w:lang w:val="en-US" w:eastAsia="zh-CN" w:bidi="ar-SA"/>
    </w:rPr>
  </w:style>
  <w:style w:type="character" w:customStyle="1" w:styleId="268">
    <w:name w:val="正文文本缩进 3 Char3"/>
    <w:link w:val="36"/>
    <w:qFormat/>
    <w:uiPriority w:val="0"/>
    <w:rPr>
      <w:rFonts w:ascii="宋体" w:hAnsi="宋体" w:eastAsia="宋体"/>
      <w:kern w:val="2"/>
      <w:sz w:val="28"/>
      <w:szCs w:val="28"/>
      <w:lang w:val="en-US" w:eastAsia="zh-CN" w:bidi="ar-SA"/>
    </w:rPr>
  </w:style>
  <w:style w:type="character" w:customStyle="1" w:styleId="269">
    <w:name w:val="正文文本缩进 Char3"/>
    <w:link w:val="18"/>
    <w:qFormat/>
    <w:uiPriority w:val="0"/>
    <w:rPr>
      <w:rFonts w:eastAsia="宋体"/>
      <w:kern w:val="2"/>
      <w:sz w:val="21"/>
      <w:szCs w:val="24"/>
      <w:lang w:val="en-US" w:eastAsia="zh-CN" w:bidi="ar-SA"/>
    </w:rPr>
  </w:style>
  <w:style w:type="character" w:customStyle="1" w:styleId="270">
    <w:name w:val="_Style 196"/>
    <w:qFormat/>
    <w:uiPriority w:val="0"/>
    <w:rPr>
      <w:i/>
      <w:iCs/>
      <w:color w:val="808080"/>
    </w:rPr>
  </w:style>
  <w:style w:type="character" w:customStyle="1" w:styleId="271">
    <w:name w:val="正文文本缩进 2 Char3"/>
    <w:link w:val="26"/>
    <w:qFormat/>
    <w:uiPriority w:val="0"/>
    <w:rPr>
      <w:rFonts w:eastAsia="宋体"/>
      <w:sz w:val="28"/>
      <w:szCs w:val="24"/>
      <w:lang w:val="en-US" w:eastAsia="zh-CN" w:bidi="ar-SA"/>
    </w:rPr>
  </w:style>
  <w:style w:type="character" w:customStyle="1" w:styleId="272">
    <w:name w:val="标题 7 Char2"/>
    <w:link w:val="10"/>
    <w:qFormat/>
    <w:uiPriority w:val="0"/>
    <w:rPr>
      <w:rFonts w:eastAsia="仿宋_GB2312"/>
      <w:sz w:val="30"/>
      <w:lang w:val="en-US" w:eastAsia="zh-CN" w:bidi="ar-SA"/>
    </w:rPr>
  </w:style>
  <w:style w:type="character" w:customStyle="1" w:styleId="273">
    <w:name w:val="Char Char13"/>
    <w:qFormat/>
    <w:uiPriority w:val="0"/>
    <w:rPr>
      <w:kern w:val="2"/>
      <w:sz w:val="18"/>
      <w:szCs w:val="18"/>
    </w:rPr>
  </w:style>
  <w:style w:type="character" w:customStyle="1" w:styleId="274">
    <w:name w:val="正文文本缩进 2 Char1"/>
    <w:qFormat/>
    <w:uiPriority w:val="0"/>
    <w:rPr>
      <w:sz w:val="28"/>
      <w:szCs w:val="24"/>
    </w:rPr>
  </w:style>
  <w:style w:type="character" w:customStyle="1" w:styleId="275">
    <w:name w:val="Char Char21"/>
    <w:qFormat/>
    <w:uiPriority w:val="0"/>
    <w:rPr>
      <w:rFonts w:ascii="宋体" w:hAnsi="宋体" w:cs="宋体"/>
      <w:b/>
      <w:bCs/>
      <w:sz w:val="24"/>
      <w:szCs w:val="24"/>
    </w:rPr>
  </w:style>
  <w:style w:type="character" w:customStyle="1" w:styleId="276">
    <w:name w:val="文档结构图 Char1"/>
    <w:qFormat/>
    <w:uiPriority w:val="0"/>
    <w:rPr>
      <w:rFonts w:ascii="宋体"/>
      <w:kern w:val="2"/>
      <w:sz w:val="18"/>
      <w:szCs w:val="18"/>
    </w:rPr>
  </w:style>
  <w:style w:type="character" w:customStyle="1" w:styleId="277">
    <w:name w:val="标题 Char"/>
    <w:qFormat/>
    <w:uiPriority w:val="0"/>
    <w:rPr>
      <w:rFonts w:ascii="Cambria" w:hAnsi="Cambria" w:eastAsia="宋体" w:cs="Times New Roman"/>
      <w:b/>
      <w:bCs/>
      <w:kern w:val="2"/>
      <w:sz w:val="32"/>
      <w:szCs w:val="32"/>
    </w:rPr>
  </w:style>
  <w:style w:type="character" w:customStyle="1" w:styleId="278">
    <w:name w:val="_Style 275"/>
    <w:qFormat/>
    <w:uiPriority w:val="0"/>
    <w:rPr>
      <w:smallCaps/>
      <w:color w:val="C0504D"/>
      <w:u w:val="single"/>
    </w:rPr>
  </w:style>
  <w:style w:type="character" w:customStyle="1" w:styleId="279">
    <w:name w:val="Char Char12"/>
    <w:qFormat/>
    <w:uiPriority w:val="0"/>
    <w:rPr>
      <w:rFonts w:eastAsia="黑体"/>
      <w:kern w:val="2"/>
      <w:sz w:val="44"/>
      <w:szCs w:val="44"/>
      <w:lang w:val="en-US" w:eastAsia="zh-CN" w:bidi="ar-SA"/>
    </w:rPr>
  </w:style>
  <w:style w:type="character" w:customStyle="1" w:styleId="280">
    <w:name w:val="明显参考1"/>
    <w:qFormat/>
    <w:uiPriority w:val="0"/>
    <w:rPr>
      <w:b/>
      <w:bCs/>
      <w:smallCaps/>
      <w:color w:val="C0504D"/>
      <w:spacing w:val="5"/>
      <w:u w:val="single"/>
    </w:rPr>
  </w:style>
  <w:style w:type="character" w:customStyle="1" w:styleId="281">
    <w:name w:val="Char Char36"/>
    <w:qFormat/>
    <w:uiPriority w:val="0"/>
    <w:rPr>
      <w:rFonts w:ascii="仿宋_GB2312" w:eastAsia="仿宋_GB2312" w:cs="MingLiU"/>
      <w:b/>
      <w:sz w:val="24"/>
      <w:szCs w:val="28"/>
    </w:rPr>
  </w:style>
  <w:style w:type="character" w:customStyle="1" w:styleId="282">
    <w:name w:val="批注框文本 Char2"/>
    <w:qFormat/>
    <w:uiPriority w:val="99"/>
    <w:rPr>
      <w:kern w:val="2"/>
      <w:sz w:val="18"/>
      <w:szCs w:val="18"/>
    </w:rPr>
  </w:style>
  <w:style w:type="character" w:customStyle="1" w:styleId="283">
    <w:name w:val="subhead1"/>
    <w:qFormat/>
    <w:uiPriority w:val="0"/>
    <w:rPr>
      <w:rFonts w:hint="default" w:ascii="Tahoma" w:hAnsi="Tahoma" w:cs="Tahoma"/>
      <w:color w:val="000000"/>
      <w:sz w:val="18"/>
      <w:szCs w:val="18"/>
      <w:u w:val="none"/>
      <w:shd w:val="clear" w:color="auto" w:fill="FFFFFF"/>
    </w:rPr>
  </w:style>
  <w:style w:type="character" w:customStyle="1" w:styleId="284">
    <w:name w:val="正文文本缩进 3 Char2"/>
    <w:qFormat/>
    <w:uiPriority w:val="99"/>
    <w:rPr>
      <w:rFonts w:ascii="Calibri" w:hAnsi="Calibri" w:eastAsia="宋体" w:cs="Times New Roman"/>
      <w:sz w:val="16"/>
      <w:szCs w:val="16"/>
    </w:rPr>
  </w:style>
  <w:style w:type="character" w:customStyle="1" w:styleId="285">
    <w:name w:val="纯文本 Char"/>
    <w:qFormat/>
    <w:uiPriority w:val="0"/>
    <w:rPr>
      <w:rFonts w:ascii="宋体" w:hAnsi="Courier New"/>
      <w:sz w:val="28"/>
      <w:szCs w:val="28"/>
    </w:rPr>
  </w:style>
  <w:style w:type="character" w:customStyle="1" w:styleId="286">
    <w:name w:val="纯文本 Char2"/>
    <w:qFormat/>
    <w:uiPriority w:val="99"/>
    <w:rPr>
      <w:rFonts w:ascii="宋体" w:hAnsi="Courier New" w:eastAsia="宋体" w:cs="Courier New"/>
      <w:szCs w:val="21"/>
    </w:rPr>
  </w:style>
  <w:style w:type="character" w:customStyle="1" w:styleId="287">
    <w:name w:val="页眉 Char1"/>
    <w:qFormat/>
    <w:uiPriority w:val="99"/>
    <w:rPr>
      <w:kern w:val="2"/>
      <w:sz w:val="18"/>
      <w:szCs w:val="18"/>
    </w:rPr>
  </w:style>
  <w:style w:type="character" w:customStyle="1" w:styleId="288">
    <w:name w:val="Char Char14"/>
    <w:qFormat/>
    <w:uiPriority w:val="0"/>
    <w:rPr>
      <w:kern w:val="2"/>
      <w:sz w:val="18"/>
      <w:szCs w:val="18"/>
    </w:rPr>
  </w:style>
  <w:style w:type="character" w:customStyle="1" w:styleId="289">
    <w:name w:val="批注文字 Char3"/>
    <w:link w:val="16"/>
    <w:qFormat/>
    <w:uiPriority w:val="99"/>
    <w:rPr>
      <w:rFonts w:eastAsia="宋体"/>
      <w:kern w:val="2"/>
      <w:sz w:val="21"/>
      <w:szCs w:val="24"/>
      <w:lang w:val="en-US" w:eastAsia="zh-CN" w:bidi="ar-SA"/>
    </w:rPr>
  </w:style>
  <w:style w:type="character" w:customStyle="1" w:styleId="290">
    <w:name w:val="批注文字 Char Char"/>
    <w:qFormat/>
    <w:uiPriority w:val="0"/>
    <w:rPr>
      <w:rFonts w:ascii="宋体" w:hAnsi="Times New Roman" w:eastAsia="宋体" w:cs="Times New Roman"/>
      <w:sz w:val="28"/>
      <w:szCs w:val="20"/>
    </w:rPr>
  </w:style>
  <w:style w:type="character" w:customStyle="1" w:styleId="291">
    <w:name w:val="标题 1 Char1"/>
    <w:qFormat/>
    <w:uiPriority w:val="0"/>
    <w:rPr>
      <w:rFonts w:ascii="Times New Roman" w:hAnsi="Times New Roman" w:eastAsia="宋体" w:cs="Times New Roman"/>
      <w:b/>
      <w:bCs/>
      <w:kern w:val="44"/>
      <w:sz w:val="44"/>
      <w:szCs w:val="44"/>
    </w:rPr>
  </w:style>
  <w:style w:type="character" w:customStyle="1" w:styleId="292">
    <w:name w:val="标题 5 Char2"/>
    <w:link w:val="7"/>
    <w:qFormat/>
    <w:uiPriority w:val="0"/>
    <w:rPr>
      <w:rFonts w:ascii="宋体" w:hAnsi="宋体" w:eastAsia="宋体" w:cs="宋体"/>
      <w:b/>
      <w:bCs/>
      <w:lang w:val="en-US" w:eastAsia="zh-CN" w:bidi="ar-SA"/>
    </w:rPr>
  </w:style>
  <w:style w:type="character" w:customStyle="1" w:styleId="293">
    <w:name w:val="手改 Char Char"/>
    <w:qFormat/>
    <w:uiPriority w:val="0"/>
    <w:rPr>
      <w:kern w:val="2"/>
      <w:sz w:val="21"/>
      <w:szCs w:val="24"/>
    </w:rPr>
  </w:style>
  <w:style w:type="character" w:customStyle="1" w:styleId="294">
    <w:name w:val="标题 1 Char2"/>
    <w:link w:val="3"/>
    <w:qFormat/>
    <w:uiPriority w:val="0"/>
    <w:rPr>
      <w:rFonts w:eastAsia="宋体"/>
      <w:b/>
      <w:bCs/>
      <w:kern w:val="44"/>
      <w:sz w:val="44"/>
      <w:szCs w:val="44"/>
      <w:lang w:val="en-US" w:eastAsia="zh-CN" w:bidi="ar-SA"/>
    </w:rPr>
  </w:style>
  <w:style w:type="character" w:customStyle="1" w:styleId="295">
    <w:name w:val="intel3"/>
    <w:basedOn w:val="47"/>
    <w:qFormat/>
    <w:uiPriority w:val="0"/>
  </w:style>
  <w:style w:type="character" w:customStyle="1" w:styleId="296">
    <w:name w:val="副标题 Char2"/>
    <w:qFormat/>
    <w:uiPriority w:val="11"/>
    <w:rPr>
      <w:rFonts w:ascii="Cambria" w:hAnsi="Cambria" w:eastAsia="宋体" w:cs="Times New Roman"/>
      <w:b/>
      <w:bCs/>
      <w:kern w:val="28"/>
      <w:sz w:val="32"/>
      <w:szCs w:val="32"/>
    </w:rPr>
  </w:style>
  <w:style w:type="character" w:customStyle="1" w:styleId="297">
    <w:name w:val="明显引用 Char4"/>
    <w:link w:val="118"/>
    <w:qFormat/>
    <w:uiPriority w:val="0"/>
    <w:rPr>
      <w:b/>
      <w:bCs/>
      <w:i/>
      <w:iCs/>
      <w:color w:val="4F81BD"/>
      <w:kern w:val="2"/>
      <w:sz w:val="21"/>
      <w:szCs w:val="22"/>
      <w:lang w:bidi="ar-SA"/>
    </w:rPr>
  </w:style>
  <w:style w:type="character" w:customStyle="1" w:styleId="298">
    <w:name w:val="明显引用 Char1"/>
    <w:link w:val="111"/>
    <w:qFormat/>
    <w:uiPriority w:val="30"/>
    <w:rPr>
      <w:b/>
      <w:bCs/>
      <w:i/>
      <w:iCs/>
      <w:color w:val="4F81BD"/>
      <w:kern w:val="2"/>
      <w:sz w:val="21"/>
    </w:rPr>
  </w:style>
  <w:style w:type="character" w:customStyle="1" w:styleId="299">
    <w:name w:val="HTML 预设格式 Char1"/>
    <w:qFormat/>
    <w:uiPriority w:val="0"/>
    <w:rPr>
      <w:rFonts w:ascii="宋体" w:hAnsi="宋体" w:cs="宋体"/>
      <w:color w:val="000000"/>
      <w:sz w:val="24"/>
      <w:szCs w:val="24"/>
    </w:rPr>
  </w:style>
  <w:style w:type="character" w:customStyle="1" w:styleId="300">
    <w:name w:val="引用 Char"/>
    <w:link w:val="69"/>
    <w:qFormat/>
    <w:uiPriority w:val="0"/>
    <w:rPr>
      <w:rFonts w:ascii="Times New Roman" w:hAnsi="Times New Roman" w:eastAsia="宋体" w:cs="Times New Roman"/>
      <w:i/>
      <w:iCs/>
      <w:color w:val="000000"/>
      <w:kern w:val="2"/>
      <w:sz w:val="21"/>
      <w:szCs w:val="24"/>
    </w:rPr>
  </w:style>
  <w:style w:type="character" w:customStyle="1" w:styleId="301">
    <w:name w:val="副标题 Char3"/>
    <w:link w:val="33"/>
    <w:qFormat/>
    <w:uiPriority w:val="0"/>
    <w:rPr>
      <w:rFonts w:eastAsia="宋体"/>
      <w:szCs w:val="24"/>
      <w:u w:val="single"/>
      <w:lang w:val="en-US" w:eastAsia="en-US" w:bidi="ar-SA"/>
    </w:rPr>
  </w:style>
  <w:style w:type="character" w:customStyle="1" w:styleId="302">
    <w:name w:val="ITTHEADER1 Char"/>
    <w:qFormat/>
    <w:uiPriority w:val="0"/>
    <w:rPr>
      <w:rFonts w:eastAsia="黑体"/>
      <w:kern w:val="2"/>
      <w:sz w:val="44"/>
      <w:szCs w:val="44"/>
      <w:lang w:val="en-US" w:eastAsia="zh-CN" w:bidi="ar-SA"/>
    </w:rPr>
  </w:style>
  <w:style w:type="character" w:customStyle="1" w:styleId="303">
    <w:name w:val="日期 Char3"/>
    <w:qFormat/>
    <w:uiPriority w:val="99"/>
    <w:rPr>
      <w:rFonts w:ascii="Calibri" w:hAnsi="Calibri" w:eastAsia="宋体" w:cs="Times New Roman"/>
      <w:szCs w:val="24"/>
    </w:rPr>
  </w:style>
  <w:style w:type="character" w:customStyle="1" w:styleId="304">
    <w:name w:val="纯文本 Char3"/>
    <w:link w:val="23"/>
    <w:qFormat/>
    <w:uiPriority w:val="0"/>
    <w:rPr>
      <w:rFonts w:ascii="宋体" w:hAnsi="Courier New" w:eastAsia="宋体" w:cs="Courier New"/>
      <w:kern w:val="2"/>
      <w:sz w:val="21"/>
      <w:szCs w:val="21"/>
      <w:lang w:val="en-US" w:eastAsia="zh-CN" w:bidi="ar-SA"/>
    </w:rPr>
  </w:style>
  <w:style w:type="character" w:customStyle="1" w:styleId="305">
    <w:name w:val="批注文字 Char"/>
    <w:qFormat/>
    <w:uiPriority w:val="0"/>
    <w:rPr>
      <w:rFonts w:ascii="Times New Roman" w:hAnsi="Times New Roman" w:eastAsia="宋体" w:cs="Times New Roman"/>
      <w:kern w:val="2"/>
      <w:sz w:val="21"/>
      <w:szCs w:val="24"/>
    </w:rPr>
  </w:style>
  <w:style w:type="character" w:customStyle="1" w:styleId="306">
    <w:name w:val="Section Char"/>
    <w:qFormat/>
    <w:uiPriority w:val="0"/>
    <w:rPr>
      <w:rFonts w:ascii="仿宋_GB2312" w:eastAsia="仿宋_GB2312" w:cs="MingLiU"/>
      <w:b/>
      <w:sz w:val="24"/>
      <w:szCs w:val="28"/>
      <w:lang w:val="en-US" w:eastAsia="zh-CN" w:bidi="ar-SA"/>
    </w:rPr>
  </w:style>
  <w:style w:type="character" w:customStyle="1" w:styleId="307">
    <w:name w:val="正文文本 3 Char2"/>
    <w:qFormat/>
    <w:uiPriority w:val="99"/>
    <w:rPr>
      <w:rFonts w:ascii="Calibri" w:hAnsi="Calibri" w:eastAsia="宋体" w:cs="Times New Roman"/>
      <w:sz w:val="16"/>
      <w:szCs w:val="16"/>
    </w:rPr>
  </w:style>
  <w:style w:type="character" w:customStyle="1" w:styleId="308">
    <w:name w:val="正文文本 3 Char3"/>
    <w:link w:val="17"/>
    <w:qFormat/>
    <w:uiPriority w:val="0"/>
    <w:rPr>
      <w:rFonts w:eastAsia="宋体"/>
      <w:kern w:val="2"/>
      <w:sz w:val="16"/>
      <w:szCs w:val="16"/>
      <w:lang w:val="en-US" w:eastAsia="zh-CN" w:bidi="ar-SA"/>
    </w:rPr>
  </w:style>
  <w:style w:type="character" w:customStyle="1" w:styleId="309">
    <w:name w:val="普通文字 Char Char1"/>
    <w:qFormat/>
    <w:uiPriority w:val="0"/>
    <w:rPr>
      <w:rFonts w:ascii="宋体" w:hAnsi="Courier New"/>
      <w:kern w:val="2"/>
      <w:sz w:val="28"/>
      <w:szCs w:val="28"/>
    </w:rPr>
  </w:style>
  <w:style w:type="character" w:customStyle="1" w:styleId="310">
    <w:name w:val="正文文本缩进 Char"/>
    <w:qFormat/>
    <w:uiPriority w:val="0"/>
    <w:rPr>
      <w:rFonts w:ascii="黑体" w:hAnsi="宋体" w:eastAsia="黑体"/>
      <w:color w:val="000000"/>
      <w:sz w:val="28"/>
      <w:szCs w:val="32"/>
    </w:rPr>
  </w:style>
  <w:style w:type="character" w:customStyle="1" w:styleId="311">
    <w:name w:val="font161"/>
    <w:qFormat/>
    <w:uiPriority w:val="0"/>
    <w:rPr>
      <w:b/>
      <w:bCs/>
      <w:sz w:val="32"/>
      <w:szCs w:val="32"/>
    </w:rPr>
  </w:style>
  <w:style w:type="paragraph" w:customStyle="1" w:styleId="312">
    <w:name w:val="List Paragraph_2053445d-0ea7-4fc6-805c-24e9551bff14"/>
    <w:basedOn w:val="1"/>
    <w:qFormat/>
    <w:uiPriority w:val="99"/>
    <w:pPr>
      <w:ind w:firstLine="420" w:firstLineChars="200"/>
    </w:pPr>
    <w:rPr>
      <w:sz w:val="28"/>
      <w:szCs w:val="28"/>
    </w:rPr>
  </w:style>
  <w:style w:type="paragraph" w:customStyle="1" w:styleId="313">
    <w:name w:val="Revision_be56d849-df43-460f-89c6-231392157f72"/>
    <w:qFormat/>
    <w:uiPriority w:val="99"/>
    <w:rPr>
      <w:rFonts w:ascii="Times New Roman" w:hAnsi="Times New Roman" w:eastAsia="宋体" w:cs="Times New Roman"/>
      <w:kern w:val="2"/>
      <w:sz w:val="21"/>
      <w:szCs w:val="24"/>
      <w:lang w:val="en-US" w:eastAsia="zh-CN" w:bidi="ar-SA"/>
    </w:rPr>
  </w:style>
  <w:style w:type="paragraph" w:customStyle="1" w:styleId="314">
    <w:name w:val="页眉1"/>
    <w:basedOn w:val="1"/>
    <w:autoRedefine/>
    <w:qFormat/>
    <w:uiPriority w:val="0"/>
    <w:pPr>
      <w:widowControl w:val="0"/>
      <w:pBdr>
        <w:bottom w:val="single" w:color="000000" w:sz="6" w:space="1"/>
      </w:pBdr>
      <w:tabs>
        <w:tab w:val="center" w:pos="4140"/>
        <w:tab w:val="right" w:pos="8300"/>
      </w:tabs>
      <w:snapToGrid w:val="0"/>
      <w:spacing w:beforeAutospacing="0" w:after="0" w:afterAutospacing="0"/>
      <w:jc w:val="center"/>
    </w:pPr>
    <w:rPr>
      <w:rFonts w:ascii="Times New Roman" w:hAnsi="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154</Pages>
  <Words>1597</Words>
  <Characters>1863</Characters>
  <Lines>718</Lines>
  <Paragraphs>202</Paragraphs>
  <TotalTime>65</TotalTime>
  <ScaleCrop>false</ScaleCrop>
  <LinksUpToDate>false</LinksUpToDate>
  <CharactersWithSpaces>2129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Mr.Clown</cp:lastModifiedBy>
  <cp:lastPrinted>2025-12-12T01:25:00Z</cp:lastPrinted>
  <dcterms:modified xsi:type="dcterms:W3CDTF">2025-12-16T03:46:51Z</dcterms:modified>
  <dc:title>第一卷</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14D7470E921F47A4AC99561B583AE430_13</vt:lpwstr>
  </property>
  <property fmtid="{D5CDD505-2E9C-101B-9397-08002B2CF9AE}" pid="4" name="KSOTemplateDocerSaveRecord">
    <vt:lpwstr>eyJoZGlkIjoiYmY1MDgzN2ZiNzE5M2E5OWM4ZjAwMmEwNzFjNjExNTMiLCJ1c2VySWQiOiI1NTUxMzU2NTEifQ==</vt:lpwstr>
  </property>
</Properties>
</file>