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3D249A">
      <w:pPr>
        <w:tabs>
          <w:tab w:val="left" w:pos="4174"/>
        </w:tabs>
        <w:jc w:val="left"/>
        <w:rPr>
          <w:rFonts w:hint="eastAsia" w:ascii="宋体" w:hAnsi="宋体" w:cs="宋体"/>
          <w:color w:val="auto"/>
          <w:sz w:val="24"/>
          <w:szCs w:val="24"/>
          <w:highlight w:val="none"/>
        </w:rPr>
      </w:pPr>
    </w:p>
    <w:p w14:paraId="1EDF7044">
      <w:pPr>
        <w:tabs>
          <w:tab w:val="left" w:pos="4174"/>
        </w:tabs>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1C9F0FBB">
      <w:pPr>
        <w:jc w:val="center"/>
        <w:outlineLvl w:val="0"/>
        <w:rPr>
          <w:rFonts w:ascii="宋体" w:hAnsi="宋体" w:cs="宋体"/>
          <w:color w:val="auto"/>
          <w:spacing w:val="80"/>
          <w:sz w:val="96"/>
          <w:szCs w:val="96"/>
          <w:highlight w:val="none"/>
        </w:rPr>
      </w:pPr>
      <w:r>
        <w:rPr>
          <w:rFonts w:hint="eastAsia" w:ascii="宋体" w:hAnsi="宋体" w:cs="宋体"/>
          <w:color w:val="auto"/>
          <w:spacing w:val="80"/>
          <w:sz w:val="96"/>
          <w:szCs w:val="96"/>
          <w:highlight w:val="none"/>
        </w:rPr>
        <w:t>竞争性磋商文件</w:t>
      </w:r>
    </w:p>
    <w:p w14:paraId="3EE5FFEE">
      <w:pPr>
        <w:tabs>
          <w:tab w:val="center" w:pos="4766"/>
          <w:tab w:val="right" w:pos="9412"/>
        </w:tabs>
        <w:jc w:val="left"/>
        <w:rPr>
          <w:rFonts w:ascii="宋体" w:hAnsi="宋体" w:cs="宋体"/>
          <w:color w:val="auto"/>
          <w:sz w:val="40"/>
          <w:szCs w:val="40"/>
          <w:highlight w:val="none"/>
        </w:rPr>
      </w:pPr>
      <w:r>
        <w:rPr>
          <w:rFonts w:hint="eastAsia" w:ascii="宋体" w:hAnsi="宋体" w:cs="宋体"/>
          <w:color w:val="auto"/>
          <w:sz w:val="40"/>
          <w:szCs w:val="40"/>
          <w:highlight w:val="none"/>
        </w:rPr>
        <w:tab/>
      </w:r>
    </w:p>
    <w:p w14:paraId="00A90A4B">
      <w:pPr>
        <w:tabs>
          <w:tab w:val="center" w:pos="4766"/>
          <w:tab w:val="right" w:pos="9412"/>
        </w:tabs>
        <w:jc w:val="left"/>
        <w:rPr>
          <w:rFonts w:ascii="宋体" w:hAnsi="宋体" w:cs="宋体"/>
          <w:color w:val="auto"/>
          <w:sz w:val="40"/>
          <w:szCs w:val="40"/>
          <w:highlight w:val="none"/>
        </w:rPr>
      </w:pPr>
    </w:p>
    <w:p w14:paraId="2DAACD76">
      <w:pPr>
        <w:tabs>
          <w:tab w:val="center" w:pos="4766"/>
          <w:tab w:val="right" w:pos="9412"/>
        </w:tabs>
        <w:jc w:val="left"/>
        <w:rPr>
          <w:rFonts w:ascii="宋体" w:hAnsi="宋体" w:cs="宋体"/>
          <w:color w:val="auto"/>
          <w:sz w:val="40"/>
          <w:szCs w:val="40"/>
          <w:highlight w:val="none"/>
        </w:rPr>
      </w:pPr>
    </w:p>
    <w:p w14:paraId="069724AD">
      <w:pPr>
        <w:tabs>
          <w:tab w:val="center" w:pos="4766"/>
          <w:tab w:val="right" w:pos="9412"/>
        </w:tabs>
        <w:jc w:val="both"/>
        <w:rPr>
          <w:rFonts w:ascii="宋体" w:hAnsi="宋体" w:cs="宋体"/>
          <w:color w:val="auto"/>
          <w:sz w:val="40"/>
          <w:szCs w:val="40"/>
          <w:highlight w:val="none"/>
        </w:rPr>
      </w:pPr>
    </w:p>
    <w:p w14:paraId="67008BB7">
      <w:pPr>
        <w:tabs>
          <w:tab w:val="center" w:pos="4766"/>
          <w:tab w:val="right" w:pos="9412"/>
        </w:tabs>
        <w:jc w:val="center"/>
        <w:rPr>
          <w:rFonts w:ascii="宋体" w:hAnsi="宋体" w:cs="宋体"/>
          <w:color w:val="auto"/>
          <w:sz w:val="40"/>
          <w:szCs w:val="40"/>
          <w:highlight w:val="none"/>
        </w:rPr>
      </w:pPr>
    </w:p>
    <w:p w14:paraId="2CBA43B9">
      <w:pPr>
        <w:spacing w:line="700" w:lineRule="exact"/>
        <w:rPr>
          <w:rFonts w:ascii="宋体" w:hAnsi="宋体" w:cs="宋体"/>
          <w:color w:val="auto"/>
          <w:sz w:val="32"/>
          <w:szCs w:val="32"/>
          <w:highlight w:val="none"/>
        </w:rPr>
      </w:pPr>
    </w:p>
    <w:p w14:paraId="604197A3">
      <w:pPr>
        <w:spacing w:line="700" w:lineRule="exact"/>
        <w:ind w:firstLine="1280" w:firstLineChars="400"/>
        <w:rPr>
          <w:rFonts w:hint="eastAsia" w:ascii="宋体" w:hAnsi="宋体" w:eastAsia="宋体" w:cs="宋体"/>
          <w:color w:val="auto"/>
          <w:sz w:val="32"/>
          <w:szCs w:val="32"/>
          <w:highlight w:val="none"/>
        </w:rPr>
      </w:pPr>
      <w:r>
        <w:rPr>
          <w:rFonts w:hint="eastAsia" w:ascii="宋体" w:hAnsi="宋体" w:cs="宋体"/>
          <w:color w:val="auto"/>
          <w:sz w:val="32"/>
          <w:szCs w:val="32"/>
          <w:highlight w:val="none"/>
        </w:rPr>
        <w:t xml:space="preserve"> </w:t>
      </w:r>
    </w:p>
    <w:p w14:paraId="4D1B3F34">
      <w:pPr>
        <w:spacing w:line="360" w:lineRule="auto"/>
        <w:ind w:firstLine="1120" w:firstLineChars="350"/>
        <w:outlineLvl w:val="0"/>
        <w:rPr>
          <w:rFonts w:hint="eastAsia" w:ascii="宋体" w:hAnsi="宋体" w:cs="宋体"/>
          <w:color w:val="auto"/>
          <w:sz w:val="32"/>
          <w:szCs w:val="32"/>
          <w:highlight w:val="none"/>
          <w:lang w:val="en-US" w:eastAsia="zh-CN"/>
        </w:rPr>
      </w:pPr>
      <w:r>
        <w:rPr>
          <w:rFonts w:hint="eastAsia" w:ascii="宋体" w:hAnsi="宋体" w:eastAsia="宋体" w:cs="宋体"/>
          <w:color w:val="auto"/>
          <w:sz w:val="32"/>
          <w:szCs w:val="32"/>
          <w:highlight w:val="none"/>
        </w:rPr>
        <w:t>项目编号:</w:t>
      </w:r>
      <w:r>
        <w:rPr>
          <w:rFonts w:hint="eastAsia" w:ascii="宋体" w:hAnsi="宋体" w:cs="宋体"/>
          <w:color w:val="auto"/>
          <w:sz w:val="32"/>
          <w:szCs w:val="32"/>
          <w:highlight w:val="none"/>
          <w:lang w:val="en-US" w:eastAsia="zh-CN"/>
        </w:rPr>
        <w:t>LR2025023</w:t>
      </w:r>
    </w:p>
    <w:p w14:paraId="25FF7734">
      <w:pPr>
        <w:spacing w:line="360" w:lineRule="auto"/>
        <w:ind w:firstLine="1120" w:firstLineChars="350"/>
        <w:outlineLvl w:val="0"/>
        <w:rPr>
          <w:rFonts w:hint="eastAsia" w:ascii="宋体" w:hAnsi="宋体" w:cs="宋体"/>
          <w:color w:val="auto"/>
          <w:sz w:val="32"/>
          <w:szCs w:val="32"/>
          <w:highlight w:val="none"/>
          <w:lang w:val="en-US" w:eastAsia="zh-CN"/>
        </w:rPr>
      </w:pPr>
    </w:p>
    <w:p w14:paraId="78245F50">
      <w:pPr>
        <w:spacing w:line="360" w:lineRule="auto"/>
        <w:ind w:firstLine="1120" w:firstLineChars="350"/>
        <w:outlineLvl w:val="0"/>
        <w:rPr>
          <w:rFonts w:hint="eastAsia" w:ascii="宋体" w:hAnsi="宋体" w:cs="宋体"/>
          <w:color w:val="auto"/>
          <w:sz w:val="32"/>
          <w:szCs w:val="32"/>
          <w:highlight w:val="none"/>
          <w:lang w:eastAsia="zh-CN"/>
        </w:rPr>
      </w:pPr>
      <w:r>
        <w:rPr>
          <w:rFonts w:hint="eastAsia" w:ascii="宋体" w:hAnsi="宋体" w:eastAsia="宋体" w:cs="宋体"/>
          <w:color w:val="auto"/>
          <w:sz w:val="32"/>
          <w:szCs w:val="32"/>
          <w:highlight w:val="none"/>
        </w:rPr>
        <w:t>项目名称：</w:t>
      </w:r>
      <w:r>
        <w:rPr>
          <w:rFonts w:hint="eastAsia" w:ascii="宋体" w:hAnsi="宋体" w:cs="宋体"/>
          <w:color w:val="auto"/>
          <w:sz w:val="32"/>
          <w:szCs w:val="32"/>
          <w:highlight w:val="none"/>
          <w:lang w:eastAsia="zh-CN"/>
        </w:rPr>
        <w:t xml:space="preserve">2025年荣昌区流动人员人事档案数字处理和维护项目 </w:t>
      </w:r>
    </w:p>
    <w:p w14:paraId="12D5C69D">
      <w:pPr>
        <w:spacing w:line="360" w:lineRule="auto"/>
        <w:ind w:firstLine="1120" w:firstLineChars="350"/>
        <w:outlineLvl w:val="0"/>
        <w:rPr>
          <w:rFonts w:hint="eastAsia" w:ascii="宋体" w:hAnsi="宋体" w:cs="宋体"/>
          <w:color w:val="auto"/>
          <w:sz w:val="32"/>
          <w:szCs w:val="32"/>
          <w:highlight w:val="none"/>
          <w:lang w:eastAsia="zh-CN"/>
        </w:rPr>
      </w:pPr>
    </w:p>
    <w:p w14:paraId="64A4CDFC">
      <w:pPr>
        <w:spacing w:line="360" w:lineRule="auto"/>
        <w:ind w:firstLine="1120" w:firstLineChars="350"/>
        <w:outlineLvl w:val="0"/>
        <w:rPr>
          <w:rFonts w:hint="eastAsia" w:ascii="宋体" w:hAnsi="宋体" w:cs="宋体"/>
          <w:color w:val="auto"/>
          <w:sz w:val="32"/>
          <w:szCs w:val="32"/>
          <w:highlight w:val="none"/>
          <w:lang w:eastAsia="zh-CN"/>
        </w:rPr>
      </w:pPr>
    </w:p>
    <w:p w14:paraId="16755E42">
      <w:pPr>
        <w:spacing w:line="360" w:lineRule="auto"/>
        <w:ind w:firstLine="960" w:firstLineChars="300"/>
        <w:rPr>
          <w:rFonts w:ascii="宋体" w:hAnsi="宋体" w:cs="宋体"/>
          <w:color w:val="auto"/>
          <w:sz w:val="32"/>
          <w:szCs w:val="32"/>
          <w:highlight w:val="none"/>
        </w:rPr>
      </w:pPr>
    </w:p>
    <w:p w14:paraId="003DF0EB">
      <w:pPr>
        <w:spacing w:line="360" w:lineRule="auto"/>
        <w:ind w:firstLine="1600" w:firstLineChars="500"/>
        <w:rPr>
          <w:rFonts w:hint="default" w:ascii="宋体" w:hAnsi="宋体" w:eastAsia="宋体" w:cs="宋体"/>
          <w:color w:val="auto"/>
          <w:sz w:val="32"/>
          <w:szCs w:val="32"/>
          <w:highlight w:val="none"/>
          <w:lang w:val="en-US" w:eastAsia="zh-CN"/>
        </w:rPr>
      </w:pPr>
      <w:r>
        <w:rPr>
          <w:rFonts w:hint="eastAsia" w:ascii="宋体" w:hAnsi="宋体" w:cs="宋体"/>
          <w:color w:val="auto"/>
          <w:sz w:val="32"/>
          <w:szCs w:val="32"/>
          <w:highlight w:val="none"/>
        </w:rPr>
        <w:t>采  购  人：</w:t>
      </w:r>
      <w:r>
        <w:rPr>
          <w:rFonts w:hint="eastAsia" w:ascii="宋体" w:hAnsi="宋体" w:cs="宋体"/>
          <w:color w:val="auto"/>
          <w:sz w:val="32"/>
          <w:szCs w:val="32"/>
          <w:highlight w:val="none"/>
          <w:lang w:eastAsia="zh-CN"/>
        </w:rPr>
        <w:t>重庆市荣昌区就业和人才中心</w:t>
      </w:r>
      <w:r>
        <w:rPr>
          <w:rFonts w:hint="eastAsia" w:ascii="宋体" w:hAnsi="宋体" w:cs="宋体"/>
          <w:color w:val="auto"/>
          <w:sz w:val="32"/>
          <w:szCs w:val="32"/>
          <w:highlight w:val="none"/>
          <w:lang w:val="en-US" w:eastAsia="zh-CN"/>
        </w:rPr>
        <w:t xml:space="preserve"> </w:t>
      </w:r>
    </w:p>
    <w:p w14:paraId="0EA875F2">
      <w:pPr>
        <w:spacing w:line="700" w:lineRule="exact"/>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rPr>
        <w:t>采购代理机构：</w:t>
      </w:r>
      <w:r>
        <w:rPr>
          <w:rFonts w:hint="eastAsia" w:ascii="宋体" w:hAnsi="宋体" w:cs="宋体"/>
          <w:color w:val="auto"/>
          <w:sz w:val="32"/>
          <w:szCs w:val="32"/>
          <w:highlight w:val="none"/>
          <w:lang w:eastAsia="zh-CN"/>
        </w:rPr>
        <w:t>重庆龙锐工程咨询有限公司</w:t>
      </w:r>
    </w:p>
    <w:p w14:paraId="53478F64">
      <w:pPr>
        <w:spacing w:line="720" w:lineRule="exact"/>
        <w:jc w:val="center"/>
        <w:outlineLvl w:val="0"/>
        <w:rPr>
          <w:rFonts w:hint="eastAsia" w:ascii="宋体" w:hAnsi="宋体" w:cs="宋体"/>
          <w:color w:val="auto"/>
          <w:sz w:val="32"/>
          <w:szCs w:val="32"/>
          <w:highlight w:val="none"/>
        </w:rPr>
      </w:pPr>
    </w:p>
    <w:p w14:paraId="4D5CC407">
      <w:pPr>
        <w:spacing w:line="720" w:lineRule="exact"/>
        <w:jc w:val="center"/>
        <w:outlineLvl w:val="0"/>
        <w:rPr>
          <w:rFonts w:ascii="宋体" w:hAnsi="宋体" w:cs="宋体"/>
          <w:color w:val="auto"/>
          <w:sz w:val="32"/>
          <w:szCs w:val="32"/>
          <w:highlight w:val="none"/>
        </w:rPr>
      </w:pPr>
      <w:r>
        <w:rPr>
          <w:rFonts w:hint="eastAsia" w:ascii="宋体" w:hAnsi="宋体" w:cs="宋体"/>
          <w:color w:val="auto"/>
          <w:sz w:val="32"/>
          <w:szCs w:val="32"/>
          <w:highlight w:val="none"/>
        </w:rPr>
        <w:t>二〇二</w:t>
      </w:r>
      <w:r>
        <w:rPr>
          <w:rFonts w:hint="eastAsia" w:ascii="宋体" w:hAnsi="宋体" w:cs="宋体"/>
          <w:color w:val="auto"/>
          <w:sz w:val="32"/>
          <w:szCs w:val="32"/>
          <w:highlight w:val="none"/>
          <w:lang w:val="en-US" w:eastAsia="zh-CN"/>
        </w:rPr>
        <w:t>五</w:t>
      </w:r>
      <w:r>
        <w:rPr>
          <w:rFonts w:hint="eastAsia" w:ascii="宋体" w:hAnsi="宋体" w:cs="宋体"/>
          <w:color w:val="auto"/>
          <w:sz w:val="32"/>
          <w:szCs w:val="32"/>
          <w:highlight w:val="none"/>
        </w:rPr>
        <w:t>年</w:t>
      </w:r>
      <w:r>
        <w:rPr>
          <w:rFonts w:hint="eastAsia" w:ascii="宋体" w:hAnsi="宋体" w:cs="宋体"/>
          <w:color w:val="auto"/>
          <w:sz w:val="32"/>
          <w:szCs w:val="32"/>
          <w:highlight w:val="none"/>
          <w:lang w:val="en-US" w:eastAsia="zh-CN"/>
        </w:rPr>
        <w:t>七</w:t>
      </w:r>
      <w:r>
        <w:rPr>
          <w:rFonts w:hint="eastAsia" w:ascii="宋体" w:hAnsi="宋体" w:cs="宋体"/>
          <w:color w:val="auto"/>
          <w:sz w:val="32"/>
          <w:szCs w:val="32"/>
          <w:highlight w:val="none"/>
        </w:rPr>
        <w:t>月</w:t>
      </w:r>
    </w:p>
    <w:p w14:paraId="28633436">
      <w:pPr>
        <w:spacing w:line="720" w:lineRule="exact"/>
        <w:jc w:val="center"/>
        <w:outlineLvl w:val="0"/>
        <w:rPr>
          <w:rFonts w:ascii="宋体" w:hAnsi="宋体" w:cs="宋体"/>
          <w:color w:val="auto"/>
          <w:sz w:val="36"/>
          <w:szCs w:val="36"/>
          <w:highlight w:val="none"/>
        </w:rPr>
        <w:sectPr>
          <w:headerReference r:id="rId4" w:type="first"/>
          <w:footerReference r:id="rId6" w:type="first"/>
          <w:headerReference r:id="rId3" w:type="default"/>
          <w:footerReference r:id="rId5" w:type="even"/>
          <w:pgSz w:w="11907" w:h="16840"/>
          <w:pgMar w:top="1134" w:right="1191" w:bottom="1134" w:left="1304" w:header="851" w:footer="992" w:gutter="0"/>
          <w:pgNumType w:start="1"/>
          <w:cols w:space="720" w:num="1"/>
          <w:rtlGutter w:val="1"/>
          <w:docGrid w:linePitch="380" w:charSpace="-5735"/>
        </w:sectPr>
      </w:pPr>
    </w:p>
    <w:p w14:paraId="005D843A">
      <w:pPr>
        <w:spacing w:line="240" w:lineRule="auto"/>
        <w:jc w:val="center"/>
        <w:outlineLvl w:val="0"/>
        <w:rPr>
          <w:rFonts w:ascii="宋体" w:hAnsi="宋体" w:cs="宋体"/>
          <w:color w:val="auto"/>
          <w:sz w:val="28"/>
          <w:szCs w:val="28"/>
          <w:highlight w:val="none"/>
        </w:rPr>
      </w:pPr>
      <w:r>
        <w:rPr>
          <w:rFonts w:hint="eastAsia" w:ascii="宋体" w:hAnsi="宋体" w:cs="宋体"/>
          <w:color w:val="auto"/>
          <w:sz w:val="28"/>
          <w:szCs w:val="28"/>
          <w:highlight w:val="none"/>
        </w:rPr>
        <w:t>目   录</w:t>
      </w:r>
    </w:p>
    <w:p w14:paraId="7EA0796A">
      <w:pPr>
        <w:pStyle w:val="37"/>
        <w:tabs>
          <w:tab w:val="right" w:leader="dot" w:pos="9412"/>
        </w:tabs>
        <w:spacing w:line="240" w:lineRule="auto"/>
        <w:rPr>
          <w:color w:val="auto"/>
          <w:sz w:val="24"/>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TOC \o "1-3" \h \z </w:instrText>
      </w:r>
      <w:r>
        <w:rPr>
          <w:rFonts w:hint="eastAsia" w:asciiTheme="minorEastAsia" w:hAnsiTheme="minorEastAsia" w:eastAsiaTheme="minorEastAsia" w:cstheme="minorEastAsia"/>
          <w:color w:val="auto"/>
          <w:sz w:val="22"/>
          <w:szCs w:val="22"/>
          <w:highlight w:val="none"/>
        </w:rPr>
        <w:fldChar w:fldCharType="separate"/>
      </w:r>
      <w:r>
        <w:rPr>
          <w:rFonts w:hint="eastAsia" w:asciiTheme="minorEastAsia" w:hAnsiTheme="minorEastAsia" w:eastAsiaTheme="minorEastAsia" w:cstheme="minorEastAsia"/>
          <w:color w:val="auto"/>
          <w:sz w:val="24"/>
          <w:szCs w:val="22"/>
          <w:highlight w:val="none"/>
        </w:rPr>
        <w:fldChar w:fldCharType="begin"/>
      </w:r>
      <w:r>
        <w:rPr>
          <w:rFonts w:hint="eastAsia" w:asciiTheme="minorEastAsia" w:hAnsiTheme="minorEastAsia" w:eastAsiaTheme="minorEastAsia" w:cstheme="minorEastAsia"/>
          <w:color w:val="auto"/>
          <w:sz w:val="24"/>
          <w:szCs w:val="22"/>
          <w:highlight w:val="none"/>
        </w:rPr>
        <w:instrText xml:space="preserve"> HYPERLINK \l _Toc19273 </w:instrText>
      </w:r>
      <w:r>
        <w:rPr>
          <w:rFonts w:hint="eastAsia" w:asciiTheme="minorEastAsia" w:hAnsiTheme="minorEastAsia" w:eastAsiaTheme="minorEastAsia" w:cstheme="minorEastAsia"/>
          <w:color w:val="auto"/>
          <w:sz w:val="24"/>
          <w:szCs w:val="22"/>
          <w:highlight w:val="none"/>
        </w:rPr>
        <w:fldChar w:fldCharType="separate"/>
      </w:r>
      <w:r>
        <w:rPr>
          <w:rFonts w:hint="eastAsia" w:hAnsi="宋体" w:cs="宋体"/>
          <w:color w:val="auto"/>
          <w:sz w:val="24"/>
          <w:szCs w:val="28"/>
          <w:highlight w:val="none"/>
        </w:rPr>
        <w:t>第一篇  采购邀请书</w:t>
      </w:r>
      <w:r>
        <w:rPr>
          <w:color w:val="auto"/>
          <w:sz w:val="24"/>
          <w:szCs w:val="16"/>
          <w:highlight w:val="none"/>
        </w:rPr>
        <w:tab/>
      </w:r>
      <w:r>
        <w:rPr>
          <w:color w:val="auto"/>
          <w:sz w:val="24"/>
          <w:szCs w:val="16"/>
          <w:highlight w:val="none"/>
        </w:rPr>
        <w:fldChar w:fldCharType="begin"/>
      </w:r>
      <w:r>
        <w:rPr>
          <w:color w:val="auto"/>
          <w:sz w:val="24"/>
          <w:szCs w:val="16"/>
          <w:highlight w:val="none"/>
        </w:rPr>
        <w:instrText xml:space="preserve"> PAGEREF _Toc19273 \h </w:instrText>
      </w:r>
      <w:r>
        <w:rPr>
          <w:color w:val="auto"/>
          <w:sz w:val="24"/>
          <w:szCs w:val="16"/>
          <w:highlight w:val="none"/>
        </w:rPr>
        <w:fldChar w:fldCharType="separate"/>
      </w:r>
      <w:r>
        <w:rPr>
          <w:color w:val="auto"/>
          <w:sz w:val="24"/>
          <w:szCs w:val="16"/>
          <w:highlight w:val="none"/>
        </w:rPr>
        <w:t>3</w:t>
      </w:r>
      <w:r>
        <w:rPr>
          <w:color w:val="auto"/>
          <w:sz w:val="24"/>
          <w:szCs w:val="16"/>
          <w:highlight w:val="none"/>
        </w:rPr>
        <w:fldChar w:fldCharType="end"/>
      </w:r>
      <w:r>
        <w:rPr>
          <w:rFonts w:hint="eastAsia" w:asciiTheme="minorEastAsia" w:hAnsiTheme="minorEastAsia" w:eastAsiaTheme="minorEastAsia" w:cstheme="minorEastAsia"/>
          <w:color w:val="auto"/>
          <w:sz w:val="24"/>
          <w:szCs w:val="22"/>
          <w:highlight w:val="none"/>
        </w:rPr>
        <w:fldChar w:fldCharType="end"/>
      </w:r>
    </w:p>
    <w:p w14:paraId="41BC3D65">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_Toc22035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一、竞争性磋商内容</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_Toc22035 \h </w:instrText>
      </w:r>
      <w:r>
        <w:rPr>
          <w:color w:val="auto"/>
          <w:sz w:val="22"/>
          <w:szCs w:val="16"/>
          <w:highlight w:val="none"/>
        </w:rPr>
        <w:fldChar w:fldCharType="separate"/>
      </w:r>
      <w:r>
        <w:rPr>
          <w:color w:val="auto"/>
          <w:sz w:val="22"/>
          <w:szCs w:val="16"/>
          <w:highlight w:val="none"/>
        </w:rPr>
        <w:t>3</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B78F4A1">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_Toc8069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二、资金来源</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_Toc8069 \h </w:instrText>
      </w:r>
      <w:r>
        <w:rPr>
          <w:color w:val="auto"/>
          <w:sz w:val="22"/>
          <w:szCs w:val="16"/>
          <w:highlight w:val="none"/>
        </w:rPr>
        <w:fldChar w:fldCharType="separate"/>
      </w:r>
      <w:r>
        <w:rPr>
          <w:color w:val="auto"/>
          <w:sz w:val="22"/>
          <w:szCs w:val="16"/>
          <w:highlight w:val="none"/>
        </w:rPr>
        <w:t>3</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1E62B4AC">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_Toc17897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三、供应商资格要求</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_Toc17897 \h </w:instrText>
      </w:r>
      <w:r>
        <w:rPr>
          <w:color w:val="auto"/>
          <w:sz w:val="22"/>
          <w:szCs w:val="16"/>
          <w:highlight w:val="none"/>
        </w:rPr>
        <w:fldChar w:fldCharType="separate"/>
      </w:r>
      <w:r>
        <w:rPr>
          <w:color w:val="auto"/>
          <w:sz w:val="22"/>
          <w:szCs w:val="16"/>
          <w:highlight w:val="none"/>
        </w:rPr>
        <w:t>3</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1D522E48">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_Toc18946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四、磋商有关说明</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_Toc18946 \h </w:instrText>
      </w:r>
      <w:r>
        <w:rPr>
          <w:color w:val="auto"/>
          <w:sz w:val="22"/>
          <w:szCs w:val="16"/>
          <w:highlight w:val="none"/>
        </w:rPr>
        <w:fldChar w:fldCharType="separate"/>
      </w:r>
      <w:r>
        <w:rPr>
          <w:color w:val="auto"/>
          <w:sz w:val="22"/>
          <w:szCs w:val="16"/>
          <w:highlight w:val="none"/>
        </w:rPr>
        <w:t>3</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60C41CEC">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_Toc6553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五、保证金（本项目无）</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_Toc6553 \h </w:instrText>
      </w:r>
      <w:r>
        <w:rPr>
          <w:color w:val="auto"/>
          <w:sz w:val="22"/>
          <w:szCs w:val="16"/>
          <w:highlight w:val="none"/>
        </w:rPr>
        <w:fldChar w:fldCharType="separate"/>
      </w:r>
      <w:r>
        <w:rPr>
          <w:color w:val="auto"/>
          <w:sz w:val="22"/>
          <w:szCs w:val="16"/>
          <w:highlight w:val="none"/>
        </w:rPr>
        <w:t>4</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404903EA">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_Toc4640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六、采购项目需落实的政府采购政策</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_Toc4640 \h </w:instrText>
      </w:r>
      <w:r>
        <w:rPr>
          <w:color w:val="auto"/>
          <w:sz w:val="22"/>
          <w:szCs w:val="16"/>
          <w:highlight w:val="none"/>
        </w:rPr>
        <w:fldChar w:fldCharType="separate"/>
      </w:r>
      <w:r>
        <w:rPr>
          <w:color w:val="auto"/>
          <w:sz w:val="22"/>
          <w:szCs w:val="16"/>
          <w:highlight w:val="none"/>
        </w:rPr>
        <w:t>5</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039B0B85">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_Toc16860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七、其它有关规定</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_Toc16860 \h </w:instrText>
      </w:r>
      <w:r>
        <w:rPr>
          <w:color w:val="auto"/>
          <w:sz w:val="22"/>
          <w:szCs w:val="16"/>
          <w:highlight w:val="none"/>
        </w:rPr>
        <w:fldChar w:fldCharType="separate"/>
      </w:r>
      <w:r>
        <w:rPr>
          <w:color w:val="auto"/>
          <w:sz w:val="22"/>
          <w:szCs w:val="16"/>
          <w:highlight w:val="none"/>
        </w:rPr>
        <w:t>5</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4C73EFC9">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_Toc14625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八、联系方式</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_Toc14625 \h </w:instrText>
      </w:r>
      <w:r>
        <w:rPr>
          <w:color w:val="auto"/>
          <w:sz w:val="22"/>
          <w:szCs w:val="16"/>
          <w:highlight w:val="none"/>
        </w:rPr>
        <w:fldChar w:fldCharType="separate"/>
      </w:r>
      <w:r>
        <w:rPr>
          <w:color w:val="auto"/>
          <w:sz w:val="22"/>
          <w:szCs w:val="16"/>
          <w:highlight w:val="none"/>
        </w:rPr>
        <w:t>6</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274A3C48">
      <w:pPr>
        <w:pStyle w:val="37"/>
        <w:tabs>
          <w:tab w:val="right" w:leader="dot" w:pos="9412"/>
        </w:tabs>
        <w:spacing w:line="240" w:lineRule="auto"/>
        <w:rPr>
          <w:color w:val="auto"/>
          <w:sz w:val="24"/>
          <w:szCs w:val="16"/>
          <w:highlight w:val="none"/>
        </w:rPr>
      </w:pPr>
      <w:r>
        <w:rPr>
          <w:rFonts w:hint="eastAsia" w:asciiTheme="minorEastAsia" w:hAnsiTheme="minorEastAsia" w:eastAsiaTheme="minorEastAsia" w:cstheme="minorEastAsia"/>
          <w:color w:val="auto"/>
          <w:sz w:val="24"/>
          <w:szCs w:val="22"/>
          <w:highlight w:val="none"/>
        </w:rPr>
        <w:fldChar w:fldCharType="begin"/>
      </w:r>
      <w:r>
        <w:rPr>
          <w:rFonts w:hint="eastAsia" w:asciiTheme="minorEastAsia" w:hAnsiTheme="minorEastAsia" w:eastAsiaTheme="minorEastAsia" w:cstheme="minorEastAsia"/>
          <w:color w:val="auto"/>
          <w:sz w:val="24"/>
          <w:szCs w:val="22"/>
          <w:highlight w:val="none"/>
        </w:rPr>
        <w:instrText xml:space="preserve"> HYPERLINK \l _Toc2196 </w:instrText>
      </w:r>
      <w:r>
        <w:rPr>
          <w:rFonts w:hint="eastAsia" w:asciiTheme="minorEastAsia" w:hAnsiTheme="minorEastAsia" w:eastAsiaTheme="minorEastAsia" w:cstheme="minorEastAsia"/>
          <w:color w:val="auto"/>
          <w:sz w:val="24"/>
          <w:szCs w:val="22"/>
          <w:highlight w:val="none"/>
        </w:rPr>
        <w:fldChar w:fldCharType="separate"/>
      </w:r>
      <w:r>
        <w:rPr>
          <w:rFonts w:hint="eastAsia" w:hAnsi="宋体" w:cs="宋体"/>
          <w:color w:val="auto"/>
          <w:sz w:val="24"/>
          <w:szCs w:val="36"/>
          <w:highlight w:val="none"/>
        </w:rPr>
        <w:t>第二篇 采购服务需求</w:t>
      </w:r>
      <w:r>
        <w:rPr>
          <w:color w:val="auto"/>
          <w:sz w:val="24"/>
          <w:szCs w:val="16"/>
          <w:highlight w:val="none"/>
        </w:rPr>
        <w:tab/>
      </w:r>
      <w:r>
        <w:rPr>
          <w:color w:val="auto"/>
          <w:sz w:val="24"/>
          <w:szCs w:val="16"/>
          <w:highlight w:val="none"/>
        </w:rPr>
        <w:fldChar w:fldCharType="begin"/>
      </w:r>
      <w:r>
        <w:rPr>
          <w:color w:val="auto"/>
          <w:sz w:val="24"/>
          <w:szCs w:val="16"/>
          <w:highlight w:val="none"/>
        </w:rPr>
        <w:instrText xml:space="preserve"> PAGEREF _Toc2196 \h </w:instrText>
      </w:r>
      <w:r>
        <w:rPr>
          <w:color w:val="auto"/>
          <w:sz w:val="24"/>
          <w:szCs w:val="16"/>
          <w:highlight w:val="none"/>
        </w:rPr>
        <w:fldChar w:fldCharType="separate"/>
      </w:r>
      <w:r>
        <w:rPr>
          <w:color w:val="auto"/>
          <w:sz w:val="24"/>
          <w:szCs w:val="16"/>
          <w:highlight w:val="none"/>
        </w:rPr>
        <w:t>7</w:t>
      </w:r>
      <w:r>
        <w:rPr>
          <w:color w:val="auto"/>
          <w:sz w:val="24"/>
          <w:szCs w:val="16"/>
          <w:highlight w:val="none"/>
        </w:rPr>
        <w:fldChar w:fldCharType="end"/>
      </w:r>
      <w:r>
        <w:rPr>
          <w:rFonts w:hint="eastAsia" w:asciiTheme="minorEastAsia" w:hAnsiTheme="minorEastAsia" w:eastAsiaTheme="minorEastAsia" w:cstheme="minorEastAsia"/>
          <w:color w:val="auto"/>
          <w:sz w:val="24"/>
          <w:szCs w:val="22"/>
          <w:highlight w:val="none"/>
        </w:rPr>
        <w:fldChar w:fldCharType="end"/>
      </w:r>
    </w:p>
    <w:p w14:paraId="15D273FE">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_Toc24680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※一、项目</w:t>
      </w:r>
      <w:r>
        <w:rPr>
          <w:rFonts w:hint="eastAsia" w:ascii="宋体" w:hAnsi="宋体" w:eastAsia="宋体" w:cs="宋体"/>
          <w:color w:val="auto"/>
          <w:sz w:val="22"/>
          <w:szCs w:val="21"/>
          <w:highlight w:val="none"/>
          <w:lang w:val="en-US" w:eastAsia="zh-CN"/>
        </w:rPr>
        <w:t>一览表</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_Toc24680 \h </w:instrText>
      </w:r>
      <w:r>
        <w:rPr>
          <w:color w:val="auto"/>
          <w:sz w:val="22"/>
          <w:szCs w:val="16"/>
          <w:highlight w:val="none"/>
        </w:rPr>
        <w:fldChar w:fldCharType="separate"/>
      </w:r>
      <w:r>
        <w:rPr>
          <w:color w:val="auto"/>
          <w:sz w:val="22"/>
          <w:szCs w:val="16"/>
          <w:highlight w:val="none"/>
        </w:rPr>
        <w:t>7</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26A67FB">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_Toc5266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w:t>
      </w:r>
      <w:r>
        <w:rPr>
          <w:rFonts w:hint="eastAsia" w:ascii="宋体" w:hAnsi="宋体" w:eastAsia="宋体" w:cs="宋体"/>
          <w:color w:val="auto"/>
          <w:sz w:val="22"/>
          <w:szCs w:val="21"/>
          <w:highlight w:val="none"/>
          <w:lang w:val="en-US" w:eastAsia="zh-CN"/>
        </w:rPr>
        <w:t>二</w:t>
      </w:r>
      <w:r>
        <w:rPr>
          <w:rFonts w:hint="eastAsia" w:ascii="宋体" w:hAnsi="宋体" w:eastAsia="宋体" w:cs="宋体"/>
          <w:color w:val="auto"/>
          <w:sz w:val="22"/>
          <w:szCs w:val="21"/>
          <w:highlight w:val="none"/>
        </w:rPr>
        <w:t>、</w:t>
      </w:r>
      <w:r>
        <w:rPr>
          <w:rFonts w:hint="eastAsia" w:ascii="宋体" w:hAnsi="宋体" w:eastAsia="宋体" w:cs="宋体"/>
          <w:color w:val="auto"/>
          <w:sz w:val="22"/>
          <w:szCs w:val="21"/>
          <w:highlight w:val="none"/>
          <w:lang w:val="en-US" w:eastAsia="zh-CN"/>
        </w:rPr>
        <w:t>项目概况</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_Toc5266 \h </w:instrText>
      </w:r>
      <w:r>
        <w:rPr>
          <w:color w:val="auto"/>
          <w:sz w:val="22"/>
          <w:szCs w:val="16"/>
          <w:highlight w:val="none"/>
        </w:rPr>
        <w:fldChar w:fldCharType="separate"/>
      </w:r>
      <w:r>
        <w:rPr>
          <w:color w:val="auto"/>
          <w:sz w:val="22"/>
          <w:szCs w:val="16"/>
          <w:highlight w:val="none"/>
        </w:rPr>
        <w:t>7</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D5B6874">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_Toc23184 </w:instrText>
      </w:r>
      <w:r>
        <w:rPr>
          <w:rFonts w:hint="eastAsia" w:asciiTheme="minorEastAsia" w:hAnsiTheme="minorEastAsia" w:eastAsiaTheme="minorEastAsia" w:cstheme="minorEastAsia"/>
          <w:color w:val="auto"/>
          <w:sz w:val="22"/>
          <w:szCs w:val="22"/>
          <w:highlight w:val="none"/>
        </w:rPr>
        <w:fldChar w:fldCharType="separate"/>
      </w:r>
      <w:r>
        <w:rPr>
          <w:rFonts w:hint="eastAsia" w:asciiTheme="minorEastAsia" w:hAnsiTheme="minorEastAsia" w:eastAsiaTheme="minorEastAsia" w:cstheme="minorEastAsia"/>
          <w:color w:val="auto"/>
          <w:sz w:val="22"/>
          <w:szCs w:val="21"/>
          <w:highlight w:val="none"/>
        </w:rPr>
        <w:t>※</w:t>
      </w:r>
      <w:r>
        <w:rPr>
          <w:rFonts w:hint="eastAsia" w:asciiTheme="minorEastAsia" w:hAnsiTheme="minorEastAsia" w:eastAsiaTheme="minorEastAsia" w:cstheme="minorEastAsia"/>
          <w:color w:val="auto"/>
          <w:sz w:val="22"/>
          <w:szCs w:val="21"/>
          <w:highlight w:val="none"/>
          <w:lang w:val="en-US" w:eastAsia="zh-CN"/>
        </w:rPr>
        <w:t>三</w:t>
      </w:r>
      <w:r>
        <w:rPr>
          <w:rFonts w:hint="eastAsia" w:asciiTheme="minorEastAsia" w:hAnsiTheme="minorEastAsia" w:eastAsiaTheme="minorEastAsia" w:cstheme="minorEastAsia"/>
          <w:color w:val="auto"/>
          <w:sz w:val="22"/>
          <w:szCs w:val="21"/>
          <w:highlight w:val="none"/>
        </w:rPr>
        <w:t>、</w:t>
      </w:r>
      <w:r>
        <w:rPr>
          <w:rFonts w:hint="eastAsia" w:ascii="宋体" w:hAnsi="宋体" w:eastAsia="宋体" w:cs="宋体"/>
          <w:color w:val="auto"/>
          <w:sz w:val="22"/>
          <w:szCs w:val="21"/>
          <w:highlight w:val="none"/>
          <w:lang w:val="en-US" w:eastAsia="zh-CN"/>
        </w:rPr>
        <w:t>项目主要内容及需求</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_Toc23184 \h </w:instrText>
      </w:r>
      <w:r>
        <w:rPr>
          <w:color w:val="auto"/>
          <w:sz w:val="22"/>
          <w:szCs w:val="16"/>
          <w:highlight w:val="none"/>
        </w:rPr>
        <w:fldChar w:fldCharType="separate"/>
      </w:r>
      <w:r>
        <w:rPr>
          <w:color w:val="auto"/>
          <w:sz w:val="22"/>
          <w:szCs w:val="16"/>
          <w:highlight w:val="none"/>
        </w:rPr>
        <w:t>7</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7136583C">
      <w:pPr>
        <w:pStyle w:val="37"/>
        <w:tabs>
          <w:tab w:val="right" w:leader="dot" w:pos="9412"/>
        </w:tabs>
        <w:spacing w:line="240" w:lineRule="auto"/>
        <w:rPr>
          <w:color w:val="auto"/>
          <w:sz w:val="24"/>
          <w:szCs w:val="16"/>
          <w:highlight w:val="none"/>
        </w:rPr>
      </w:pPr>
      <w:r>
        <w:rPr>
          <w:rFonts w:hint="eastAsia" w:asciiTheme="minorEastAsia" w:hAnsiTheme="minorEastAsia" w:eastAsiaTheme="minorEastAsia" w:cstheme="minorEastAsia"/>
          <w:color w:val="auto"/>
          <w:sz w:val="24"/>
          <w:szCs w:val="22"/>
          <w:highlight w:val="none"/>
        </w:rPr>
        <w:fldChar w:fldCharType="begin"/>
      </w:r>
      <w:r>
        <w:rPr>
          <w:rFonts w:hint="eastAsia" w:asciiTheme="minorEastAsia" w:hAnsiTheme="minorEastAsia" w:eastAsiaTheme="minorEastAsia" w:cstheme="minorEastAsia"/>
          <w:color w:val="auto"/>
          <w:sz w:val="24"/>
          <w:szCs w:val="22"/>
          <w:highlight w:val="none"/>
        </w:rPr>
        <w:instrText xml:space="preserve"> HYPERLINK \l _Toc24787 </w:instrText>
      </w:r>
      <w:r>
        <w:rPr>
          <w:rFonts w:hint="eastAsia" w:asciiTheme="minorEastAsia" w:hAnsiTheme="minorEastAsia" w:eastAsiaTheme="minorEastAsia" w:cstheme="minorEastAsia"/>
          <w:color w:val="auto"/>
          <w:sz w:val="24"/>
          <w:szCs w:val="22"/>
          <w:highlight w:val="none"/>
        </w:rPr>
        <w:fldChar w:fldCharType="separate"/>
      </w:r>
      <w:r>
        <w:rPr>
          <w:rFonts w:hint="eastAsia" w:hAnsi="宋体" w:cs="宋体"/>
          <w:color w:val="auto"/>
          <w:sz w:val="24"/>
          <w:szCs w:val="28"/>
          <w:highlight w:val="none"/>
        </w:rPr>
        <w:t>第三篇  采购商务需求</w:t>
      </w:r>
      <w:r>
        <w:rPr>
          <w:color w:val="auto"/>
          <w:sz w:val="24"/>
          <w:szCs w:val="16"/>
          <w:highlight w:val="none"/>
        </w:rPr>
        <w:tab/>
      </w:r>
      <w:r>
        <w:rPr>
          <w:color w:val="auto"/>
          <w:sz w:val="24"/>
          <w:szCs w:val="16"/>
          <w:highlight w:val="none"/>
        </w:rPr>
        <w:fldChar w:fldCharType="begin"/>
      </w:r>
      <w:r>
        <w:rPr>
          <w:color w:val="auto"/>
          <w:sz w:val="24"/>
          <w:szCs w:val="16"/>
          <w:highlight w:val="none"/>
        </w:rPr>
        <w:instrText xml:space="preserve"> PAGEREF _Toc24787 \h </w:instrText>
      </w:r>
      <w:r>
        <w:rPr>
          <w:color w:val="auto"/>
          <w:sz w:val="24"/>
          <w:szCs w:val="16"/>
          <w:highlight w:val="none"/>
        </w:rPr>
        <w:fldChar w:fldCharType="separate"/>
      </w:r>
      <w:r>
        <w:rPr>
          <w:color w:val="auto"/>
          <w:sz w:val="24"/>
          <w:szCs w:val="16"/>
          <w:highlight w:val="none"/>
        </w:rPr>
        <w:t>32</w:t>
      </w:r>
      <w:r>
        <w:rPr>
          <w:color w:val="auto"/>
          <w:sz w:val="24"/>
          <w:szCs w:val="16"/>
          <w:highlight w:val="none"/>
        </w:rPr>
        <w:fldChar w:fldCharType="end"/>
      </w:r>
      <w:r>
        <w:rPr>
          <w:rFonts w:hint="eastAsia" w:asciiTheme="minorEastAsia" w:hAnsiTheme="minorEastAsia" w:eastAsiaTheme="minorEastAsia" w:cstheme="minorEastAsia"/>
          <w:color w:val="auto"/>
          <w:sz w:val="24"/>
          <w:szCs w:val="22"/>
          <w:highlight w:val="none"/>
        </w:rPr>
        <w:fldChar w:fldCharType="end"/>
      </w:r>
    </w:p>
    <w:p w14:paraId="72B4934F">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_Toc1607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※一、服务期、地点及验收方式</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_Toc1607 \h </w:instrText>
      </w:r>
      <w:r>
        <w:rPr>
          <w:color w:val="auto"/>
          <w:sz w:val="22"/>
          <w:szCs w:val="16"/>
          <w:highlight w:val="none"/>
        </w:rPr>
        <w:fldChar w:fldCharType="separate"/>
      </w:r>
      <w:r>
        <w:rPr>
          <w:color w:val="auto"/>
          <w:sz w:val="22"/>
          <w:szCs w:val="16"/>
          <w:highlight w:val="none"/>
        </w:rPr>
        <w:t>32</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77BD3BB4">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_Toc27233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※二、报价要求</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_Toc27233 \h </w:instrText>
      </w:r>
      <w:r>
        <w:rPr>
          <w:color w:val="auto"/>
          <w:sz w:val="22"/>
          <w:szCs w:val="16"/>
          <w:highlight w:val="none"/>
        </w:rPr>
        <w:fldChar w:fldCharType="separate"/>
      </w:r>
      <w:r>
        <w:rPr>
          <w:color w:val="auto"/>
          <w:sz w:val="22"/>
          <w:szCs w:val="16"/>
          <w:highlight w:val="none"/>
        </w:rPr>
        <w:t>32</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437CFB5A">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_Toc2334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※三、质量保证及售后服务</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_Toc2334 \h </w:instrText>
      </w:r>
      <w:r>
        <w:rPr>
          <w:color w:val="auto"/>
          <w:sz w:val="22"/>
          <w:szCs w:val="16"/>
          <w:highlight w:val="none"/>
        </w:rPr>
        <w:fldChar w:fldCharType="separate"/>
      </w:r>
      <w:r>
        <w:rPr>
          <w:color w:val="auto"/>
          <w:sz w:val="22"/>
          <w:szCs w:val="16"/>
          <w:highlight w:val="none"/>
        </w:rPr>
        <w:t>33</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7C9E7C96">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_Toc12920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w:t>
      </w:r>
      <w:r>
        <w:rPr>
          <w:rFonts w:hint="eastAsia" w:ascii="宋体" w:hAnsi="宋体" w:eastAsia="宋体" w:cs="宋体"/>
          <w:color w:val="auto"/>
          <w:sz w:val="22"/>
          <w:szCs w:val="21"/>
          <w:highlight w:val="none"/>
          <w:lang w:val="en-US" w:eastAsia="zh-CN"/>
        </w:rPr>
        <w:t>四</w:t>
      </w:r>
      <w:r>
        <w:rPr>
          <w:rFonts w:hint="eastAsia" w:ascii="宋体" w:hAnsi="宋体" w:eastAsia="宋体" w:cs="宋体"/>
          <w:color w:val="auto"/>
          <w:sz w:val="22"/>
          <w:szCs w:val="21"/>
          <w:highlight w:val="none"/>
        </w:rPr>
        <w:t>、</w:t>
      </w:r>
      <w:r>
        <w:rPr>
          <w:rFonts w:hint="eastAsia" w:ascii="宋体" w:hAnsi="宋体" w:eastAsia="宋体" w:cs="宋体"/>
          <w:color w:val="auto"/>
          <w:sz w:val="22"/>
          <w:szCs w:val="21"/>
          <w:highlight w:val="none"/>
          <w:lang w:val="en-US" w:eastAsia="zh-CN"/>
        </w:rPr>
        <w:t>付款方式</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_Toc12920 \h </w:instrText>
      </w:r>
      <w:r>
        <w:rPr>
          <w:color w:val="auto"/>
          <w:sz w:val="22"/>
          <w:szCs w:val="16"/>
          <w:highlight w:val="none"/>
        </w:rPr>
        <w:fldChar w:fldCharType="separate"/>
      </w:r>
      <w:r>
        <w:rPr>
          <w:color w:val="auto"/>
          <w:sz w:val="22"/>
          <w:szCs w:val="16"/>
          <w:highlight w:val="none"/>
        </w:rPr>
        <w:t>34</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EC6501B">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_Toc12708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w:t>
      </w:r>
      <w:r>
        <w:rPr>
          <w:rFonts w:hint="eastAsia" w:ascii="宋体" w:hAnsi="宋体" w:eastAsia="宋体" w:cs="宋体"/>
          <w:color w:val="auto"/>
          <w:sz w:val="22"/>
          <w:szCs w:val="21"/>
          <w:highlight w:val="none"/>
          <w:lang w:val="en-US" w:eastAsia="zh-CN"/>
        </w:rPr>
        <w:t>五、</w:t>
      </w:r>
      <w:r>
        <w:rPr>
          <w:rFonts w:hint="eastAsia" w:ascii="宋体" w:hAnsi="宋体" w:eastAsia="宋体" w:cs="宋体"/>
          <w:color w:val="auto"/>
          <w:sz w:val="22"/>
          <w:szCs w:val="21"/>
          <w:highlight w:val="none"/>
        </w:rPr>
        <w:t>知识产权</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_Toc12708 \h </w:instrText>
      </w:r>
      <w:r>
        <w:rPr>
          <w:color w:val="auto"/>
          <w:sz w:val="22"/>
          <w:szCs w:val="16"/>
          <w:highlight w:val="none"/>
        </w:rPr>
        <w:fldChar w:fldCharType="separate"/>
      </w:r>
      <w:r>
        <w:rPr>
          <w:color w:val="auto"/>
          <w:sz w:val="22"/>
          <w:szCs w:val="16"/>
          <w:highlight w:val="none"/>
        </w:rPr>
        <w:t>34</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4491FEE4">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_Toc24230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w:t>
      </w:r>
      <w:r>
        <w:rPr>
          <w:rFonts w:hint="eastAsia" w:ascii="宋体" w:hAnsi="宋体" w:eastAsia="宋体" w:cs="宋体"/>
          <w:color w:val="auto"/>
          <w:spacing w:val="0"/>
          <w:sz w:val="22"/>
          <w:szCs w:val="21"/>
          <w:highlight w:val="none"/>
          <w:lang w:val="en-US" w:eastAsia="zh-CN"/>
        </w:rPr>
        <w:t>六、</w:t>
      </w:r>
      <w:r>
        <w:rPr>
          <w:rFonts w:hint="eastAsia" w:ascii="宋体" w:hAnsi="宋体" w:eastAsia="宋体" w:cs="宋体"/>
          <w:color w:val="auto"/>
          <w:sz w:val="22"/>
          <w:szCs w:val="21"/>
          <w:highlight w:val="none"/>
          <w:lang w:val="en-US" w:eastAsia="zh-CN"/>
        </w:rPr>
        <w:t>其他</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_Toc24230 \h </w:instrText>
      </w:r>
      <w:r>
        <w:rPr>
          <w:color w:val="auto"/>
          <w:sz w:val="22"/>
          <w:szCs w:val="16"/>
          <w:highlight w:val="none"/>
        </w:rPr>
        <w:fldChar w:fldCharType="separate"/>
      </w:r>
      <w:r>
        <w:rPr>
          <w:color w:val="auto"/>
          <w:sz w:val="22"/>
          <w:szCs w:val="16"/>
          <w:highlight w:val="none"/>
        </w:rPr>
        <w:t>34</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0C4CE2D0">
      <w:pPr>
        <w:pStyle w:val="37"/>
        <w:tabs>
          <w:tab w:val="right" w:leader="dot" w:pos="9412"/>
        </w:tabs>
        <w:spacing w:line="240" w:lineRule="auto"/>
        <w:rPr>
          <w:color w:val="auto"/>
          <w:sz w:val="24"/>
          <w:szCs w:val="16"/>
          <w:highlight w:val="none"/>
        </w:rPr>
      </w:pPr>
      <w:r>
        <w:rPr>
          <w:rFonts w:hint="eastAsia" w:asciiTheme="minorEastAsia" w:hAnsiTheme="minorEastAsia" w:eastAsiaTheme="minorEastAsia" w:cstheme="minorEastAsia"/>
          <w:color w:val="auto"/>
          <w:sz w:val="24"/>
          <w:szCs w:val="22"/>
          <w:highlight w:val="none"/>
        </w:rPr>
        <w:fldChar w:fldCharType="begin"/>
      </w:r>
      <w:r>
        <w:rPr>
          <w:rFonts w:hint="eastAsia" w:asciiTheme="minorEastAsia" w:hAnsiTheme="minorEastAsia" w:eastAsiaTheme="minorEastAsia" w:cstheme="minorEastAsia"/>
          <w:color w:val="auto"/>
          <w:sz w:val="24"/>
          <w:szCs w:val="22"/>
          <w:highlight w:val="none"/>
        </w:rPr>
        <w:instrText xml:space="preserve"> HYPERLINK \l _Toc17282 </w:instrText>
      </w:r>
      <w:r>
        <w:rPr>
          <w:rFonts w:hint="eastAsia" w:asciiTheme="minorEastAsia" w:hAnsiTheme="minorEastAsia" w:eastAsiaTheme="minorEastAsia" w:cstheme="minorEastAsia"/>
          <w:color w:val="auto"/>
          <w:sz w:val="24"/>
          <w:szCs w:val="22"/>
          <w:highlight w:val="none"/>
        </w:rPr>
        <w:fldChar w:fldCharType="separate"/>
      </w:r>
      <w:r>
        <w:rPr>
          <w:rFonts w:hint="eastAsia" w:hAnsi="宋体" w:cs="宋体"/>
          <w:color w:val="auto"/>
          <w:sz w:val="24"/>
          <w:szCs w:val="28"/>
          <w:highlight w:val="none"/>
        </w:rPr>
        <w:t>第四篇  磋商程序及方法、评审标准、无效响应和采购终止</w:t>
      </w:r>
      <w:r>
        <w:rPr>
          <w:color w:val="auto"/>
          <w:sz w:val="24"/>
          <w:szCs w:val="16"/>
          <w:highlight w:val="none"/>
        </w:rPr>
        <w:tab/>
      </w:r>
      <w:r>
        <w:rPr>
          <w:color w:val="auto"/>
          <w:sz w:val="24"/>
          <w:szCs w:val="16"/>
          <w:highlight w:val="none"/>
        </w:rPr>
        <w:fldChar w:fldCharType="begin"/>
      </w:r>
      <w:r>
        <w:rPr>
          <w:color w:val="auto"/>
          <w:sz w:val="24"/>
          <w:szCs w:val="16"/>
          <w:highlight w:val="none"/>
        </w:rPr>
        <w:instrText xml:space="preserve"> PAGEREF _Toc17282 \h </w:instrText>
      </w:r>
      <w:r>
        <w:rPr>
          <w:color w:val="auto"/>
          <w:sz w:val="24"/>
          <w:szCs w:val="16"/>
          <w:highlight w:val="none"/>
        </w:rPr>
        <w:fldChar w:fldCharType="separate"/>
      </w:r>
      <w:r>
        <w:rPr>
          <w:color w:val="auto"/>
          <w:sz w:val="24"/>
          <w:szCs w:val="16"/>
          <w:highlight w:val="none"/>
        </w:rPr>
        <w:t>35</w:t>
      </w:r>
      <w:r>
        <w:rPr>
          <w:color w:val="auto"/>
          <w:sz w:val="24"/>
          <w:szCs w:val="16"/>
          <w:highlight w:val="none"/>
        </w:rPr>
        <w:fldChar w:fldCharType="end"/>
      </w:r>
      <w:r>
        <w:rPr>
          <w:rFonts w:hint="eastAsia" w:asciiTheme="minorEastAsia" w:hAnsiTheme="minorEastAsia" w:eastAsiaTheme="minorEastAsia" w:cstheme="minorEastAsia"/>
          <w:color w:val="auto"/>
          <w:sz w:val="24"/>
          <w:szCs w:val="22"/>
          <w:highlight w:val="none"/>
        </w:rPr>
        <w:fldChar w:fldCharType="end"/>
      </w:r>
    </w:p>
    <w:p w14:paraId="7E46603F">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_Toc20210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一、磋商程序及方法</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_Toc20210 \h </w:instrText>
      </w:r>
      <w:r>
        <w:rPr>
          <w:color w:val="auto"/>
          <w:sz w:val="22"/>
          <w:szCs w:val="16"/>
          <w:highlight w:val="none"/>
        </w:rPr>
        <w:fldChar w:fldCharType="separate"/>
      </w:r>
      <w:r>
        <w:rPr>
          <w:color w:val="auto"/>
          <w:sz w:val="22"/>
          <w:szCs w:val="16"/>
          <w:highlight w:val="none"/>
        </w:rPr>
        <w:t>35</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7777C2A9">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_Toc17796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二、评审标准</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_Toc17796 \h </w:instrText>
      </w:r>
      <w:r>
        <w:rPr>
          <w:color w:val="auto"/>
          <w:sz w:val="22"/>
          <w:szCs w:val="16"/>
          <w:highlight w:val="none"/>
        </w:rPr>
        <w:fldChar w:fldCharType="separate"/>
      </w:r>
      <w:r>
        <w:rPr>
          <w:color w:val="auto"/>
          <w:sz w:val="22"/>
          <w:szCs w:val="16"/>
          <w:highlight w:val="none"/>
        </w:rPr>
        <w:t>37</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7E8592BB">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_Toc604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三、无效响应</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_Toc604 \h </w:instrText>
      </w:r>
      <w:r>
        <w:rPr>
          <w:color w:val="auto"/>
          <w:sz w:val="22"/>
          <w:szCs w:val="16"/>
          <w:highlight w:val="none"/>
        </w:rPr>
        <w:fldChar w:fldCharType="separate"/>
      </w:r>
      <w:r>
        <w:rPr>
          <w:color w:val="auto"/>
          <w:sz w:val="22"/>
          <w:szCs w:val="16"/>
          <w:highlight w:val="none"/>
        </w:rPr>
        <w:t>40</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6DA43EB3">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_Toc26781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四、采购终止</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_Toc26781 \h </w:instrText>
      </w:r>
      <w:r>
        <w:rPr>
          <w:color w:val="auto"/>
          <w:sz w:val="22"/>
          <w:szCs w:val="16"/>
          <w:highlight w:val="none"/>
        </w:rPr>
        <w:fldChar w:fldCharType="separate"/>
      </w:r>
      <w:r>
        <w:rPr>
          <w:color w:val="auto"/>
          <w:sz w:val="22"/>
          <w:szCs w:val="16"/>
          <w:highlight w:val="none"/>
        </w:rPr>
        <w:t>41</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43FABCDF">
      <w:pPr>
        <w:pStyle w:val="37"/>
        <w:tabs>
          <w:tab w:val="right" w:leader="dot" w:pos="9412"/>
        </w:tabs>
        <w:spacing w:line="240" w:lineRule="auto"/>
        <w:rPr>
          <w:color w:val="auto"/>
          <w:sz w:val="24"/>
          <w:szCs w:val="16"/>
          <w:highlight w:val="none"/>
        </w:rPr>
      </w:pPr>
      <w:r>
        <w:rPr>
          <w:rFonts w:hint="eastAsia" w:asciiTheme="minorEastAsia" w:hAnsiTheme="minorEastAsia" w:eastAsiaTheme="minorEastAsia" w:cstheme="minorEastAsia"/>
          <w:color w:val="auto"/>
          <w:sz w:val="24"/>
          <w:szCs w:val="22"/>
          <w:highlight w:val="none"/>
        </w:rPr>
        <w:fldChar w:fldCharType="begin"/>
      </w:r>
      <w:r>
        <w:rPr>
          <w:rFonts w:hint="eastAsia" w:asciiTheme="minorEastAsia" w:hAnsiTheme="minorEastAsia" w:eastAsiaTheme="minorEastAsia" w:cstheme="minorEastAsia"/>
          <w:color w:val="auto"/>
          <w:sz w:val="24"/>
          <w:szCs w:val="22"/>
          <w:highlight w:val="none"/>
        </w:rPr>
        <w:instrText xml:space="preserve"> HYPERLINK \l _Toc9260 </w:instrText>
      </w:r>
      <w:r>
        <w:rPr>
          <w:rFonts w:hint="eastAsia" w:asciiTheme="minorEastAsia" w:hAnsiTheme="minorEastAsia" w:eastAsiaTheme="minorEastAsia" w:cstheme="minorEastAsia"/>
          <w:color w:val="auto"/>
          <w:sz w:val="24"/>
          <w:szCs w:val="22"/>
          <w:highlight w:val="none"/>
        </w:rPr>
        <w:fldChar w:fldCharType="separate"/>
      </w:r>
      <w:r>
        <w:rPr>
          <w:rFonts w:hint="eastAsia" w:hAnsi="宋体" w:cs="宋体"/>
          <w:color w:val="auto"/>
          <w:sz w:val="24"/>
          <w:szCs w:val="28"/>
          <w:highlight w:val="none"/>
        </w:rPr>
        <w:t>第五篇  供应商须知</w:t>
      </w:r>
      <w:r>
        <w:rPr>
          <w:color w:val="auto"/>
          <w:sz w:val="24"/>
          <w:szCs w:val="16"/>
          <w:highlight w:val="none"/>
        </w:rPr>
        <w:tab/>
      </w:r>
      <w:r>
        <w:rPr>
          <w:color w:val="auto"/>
          <w:sz w:val="24"/>
          <w:szCs w:val="16"/>
          <w:highlight w:val="none"/>
        </w:rPr>
        <w:fldChar w:fldCharType="begin"/>
      </w:r>
      <w:r>
        <w:rPr>
          <w:color w:val="auto"/>
          <w:sz w:val="24"/>
          <w:szCs w:val="16"/>
          <w:highlight w:val="none"/>
        </w:rPr>
        <w:instrText xml:space="preserve"> PAGEREF _Toc9260 \h </w:instrText>
      </w:r>
      <w:r>
        <w:rPr>
          <w:color w:val="auto"/>
          <w:sz w:val="24"/>
          <w:szCs w:val="16"/>
          <w:highlight w:val="none"/>
        </w:rPr>
        <w:fldChar w:fldCharType="separate"/>
      </w:r>
      <w:r>
        <w:rPr>
          <w:color w:val="auto"/>
          <w:sz w:val="24"/>
          <w:szCs w:val="16"/>
          <w:highlight w:val="none"/>
        </w:rPr>
        <w:t>42</w:t>
      </w:r>
      <w:r>
        <w:rPr>
          <w:color w:val="auto"/>
          <w:sz w:val="24"/>
          <w:szCs w:val="16"/>
          <w:highlight w:val="none"/>
        </w:rPr>
        <w:fldChar w:fldCharType="end"/>
      </w:r>
      <w:r>
        <w:rPr>
          <w:rFonts w:hint="eastAsia" w:asciiTheme="minorEastAsia" w:hAnsiTheme="minorEastAsia" w:eastAsiaTheme="minorEastAsia" w:cstheme="minorEastAsia"/>
          <w:color w:val="auto"/>
          <w:sz w:val="24"/>
          <w:szCs w:val="22"/>
          <w:highlight w:val="none"/>
        </w:rPr>
        <w:fldChar w:fldCharType="end"/>
      </w:r>
    </w:p>
    <w:p w14:paraId="749D1952">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_Toc6261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一、磋商费用</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_Toc6261 \h </w:instrText>
      </w:r>
      <w:r>
        <w:rPr>
          <w:color w:val="auto"/>
          <w:sz w:val="22"/>
          <w:szCs w:val="16"/>
          <w:highlight w:val="none"/>
        </w:rPr>
        <w:fldChar w:fldCharType="separate"/>
      </w:r>
      <w:r>
        <w:rPr>
          <w:color w:val="auto"/>
          <w:sz w:val="22"/>
          <w:szCs w:val="16"/>
          <w:highlight w:val="none"/>
        </w:rPr>
        <w:t>42</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A3C1F45">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_Toc12525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二、竞争性磋商文件</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_Toc12525 \h </w:instrText>
      </w:r>
      <w:r>
        <w:rPr>
          <w:color w:val="auto"/>
          <w:sz w:val="22"/>
          <w:szCs w:val="16"/>
          <w:highlight w:val="none"/>
        </w:rPr>
        <w:fldChar w:fldCharType="separate"/>
      </w:r>
      <w:r>
        <w:rPr>
          <w:color w:val="auto"/>
          <w:sz w:val="22"/>
          <w:szCs w:val="16"/>
          <w:highlight w:val="none"/>
        </w:rPr>
        <w:t>42</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D23F3C8">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_Toc2304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三、磋商要求</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_Toc2304 \h </w:instrText>
      </w:r>
      <w:r>
        <w:rPr>
          <w:color w:val="auto"/>
          <w:sz w:val="22"/>
          <w:szCs w:val="16"/>
          <w:highlight w:val="none"/>
        </w:rPr>
        <w:fldChar w:fldCharType="separate"/>
      </w:r>
      <w:r>
        <w:rPr>
          <w:color w:val="auto"/>
          <w:sz w:val="22"/>
          <w:szCs w:val="16"/>
          <w:highlight w:val="none"/>
        </w:rPr>
        <w:t>42</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3DABB150">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_Toc22532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四、成交供应商的确认和变更</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_Toc22532 \h </w:instrText>
      </w:r>
      <w:r>
        <w:rPr>
          <w:color w:val="auto"/>
          <w:sz w:val="22"/>
          <w:szCs w:val="16"/>
          <w:highlight w:val="none"/>
        </w:rPr>
        <w:fldChar w:fldCharType="separate"/>
      </w:r>
      <w:r>
        <w:rPr>
          <w:color w:val="auto"/>
          <w:sz w:val="22"/>
          <w:szCs w:val="16"/>
          <w:highlight w:val="none"/>
        </w:rPr>
        <w:t>43</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03512438">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_Toc29228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五、成交通知</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_Toc29228 \h </w:instrText>
      </w:r>
      <w:r>
        <w:rPr>
          <w:color w:val="auto"/>
          <w:sz w:val="22"/>
          <w:szCs w:val="16"/>
          <w:highlight w:val="none"/>
        </w:rPr>
        <w:fldChar w:fldCharType="separate"/>
      </w:r>
      <w:r>
        <w:rPr>
          <w:color w:val="auto"/>
          <w:sz w:val="22"/>
          <w:szCs w:val="16"/>
          <w:highlight w:val="none"/>
        </w:rPr>
        <w:t>44</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1809517A">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_Toc10055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六、关于质疑</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_Toc10055 \h </w:instrText>
      </w:r>
      <w:r>
        <w:rPr>
          <w:color w:val="auto"/>
          <w:sz w:val="22"/>
          <w:szCs w:val="16"/>
          <w:highlight w:val="none"/>
        </w:rPr>
        <w:fldChar w:fldCharType="separate"/>
      </w:r>
      <w:r>
        <w:rPr>
          <w:color w:val="auto"/>
          <w:sz w:val="22"/>
          <w:szCs w:val="16"/>
          <w:highlight w:val="none"/>
        </w:rPr>
        <w:t>44</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E1F80AF">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_Toc29102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七、采购代理服务费</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_Toc29102 \h </w:instrText>
      </w:r>
      <w:r>
        <w:rPr>
          <w:color w:val="auto"/>
          <w:sz w:val="22"/>
          <w:szCs w:val="16"/>
          <w:highlight w:val="none"/>
        </w:rPr>
        <w:fldChar w:fldCharType="separate"/>
      </w:r>
      <w:r>
        <w:rPr>
          <w:color w:val="auto"/>
          <w:sz w:val="22"/>
          <w:szCs w:val="16"/>
          <w:highlight w:val="none"/>
        </w:rPr>
        <w:t>45</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331F1868">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_Toc14335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八、签订合同</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_Toc14335 \h </w:instrText>
      </w:r>
      <w:r>
        <w:rPr>
          <w:color w:val="auto"/>
          <w:sz w:val="22"/>
          <w:szCs w:val="16"/>
          <w:highlight w:val="none"/>
        </w:rPr>
        <w:fldChar w:fldCharType="separate"/>
      </w:r>
      <w:r>
        <w:rPr>
          <w:color w:val="auto"/>
          <w:sz w:val="22"/>
          <w:szCs w:val="16"/>
          <w:highlight w:val="none"/>
        </w:rPr>
        <w:t>45</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7FFD1E1">
      <w:pPr>
        <w:pStyle w:val="37"/>
        <w:tabs>
          <w:tab w:val="right" w:leader="dot" w:pos="9412"/>
        </w:tabs>
        <w:spacing w:line="240" w:lineRule="auto"/>
        <w:rPr>
          <w:color w:val="auto"/>
          <w:sz w:val="24"/>
          <w:szCs w:val="16"/>
          <w:highlight w:val="none"/>
        </w:rPr>
      </w:pPr>
      <w:r>
        <w:rPr>
          <w:rFonts w:hint="eastAsia" w:asciiTheme="minorEastAsia" w:hAnsiTheme="minorEastAsia" w:eastAsiaTheme="minorEastAsia" w:cstheme="minorEastAsia"/>
          <w:color w:val="auto"/>
          <w:sz w:val="24"/>
          <w:szCs w:val="22"/>
          <w:highlight w:val="none"/>
        </w:rPr>
        <w:fldChar w:fldCharType="begin"/>
      </w:r>
      <w:r>
        <w:rPr>
          <w:rFonts w:hint="eastAsia" w:asciiTheme="minorEastAsia" w:hAnsiTheme="minorEastAsia" w:eastAsiaTheme="minorEastAsia" w:cstheme="minorEastAsia"/>
          <w:color w:val="auto"/>
          <w:sz w:val="24"/>
          <w:szCs w:val="22"/>
          <w:highlight w:val="none"/>
        </w:rPr>
        <w:instrText xml:space="preserve"> HYPERLINK \l _Toc3181 </w:instrText>
      </w:r>
      <w:r>
        <w:rPr>
          <w:rFonts w:hint="eastAsia" w:asciiTheme="minorEastAsia" w:hAnsiTheme="minorEastAsia" w:eastAsiaTheme="minorEastAsia" w:cstheme="minorEastAsia"/>
          <w:color w:val="auto"/>
          <w:sz w:val="24"/>
          <w:szCs w:val="22"/>
          <w:highlight w:val="none"/>
        </w:rPr>
        <w:fldChar w:fldCharType="separate"/>
      </w:r>
      <w:r>
        <w:rPr>
          <w:rFonts w:hint="eastAsia" w:hAnsi="宋体" w:cs="宋体"/>
          <w:bCs/>
          <w:color w:val="auto"/>
          <w:sz w:val="24"/>
          <w:szCs w:val="28"/>
          <w:highlight w:val="none"/>
        </w:rPr>
        <w:t>第六篇  合同草案条款(参考样本)</w:t>
      </w:r>
      <w:r>
        <w:rPr>
          <w:color w:val="auto"/>
          <w:sz w:val="24"/>
          <w:szCs w:val="16"/>
          <w:highlight w:val="none"/>
        </w:rPr>
        <w:tab/>
      </w:r>
      <w:r>
        <w:rPr>
          <w:color w:val="auto"/>
          <w:sz w:val="24"/>
          <w:szCs w:val="16"/>
          <w:highlight w:val="none"/>
        </w:rPr>
        <w:fldChar w:fldCharType="begin"/>
      </w:r>
      <w:r>
        <w:rPr>
          <w:color w:val="auto"/>
          <w:sz w:val="24"/>
          <w:szCs w:val="16"/>
          <w:highlight w:val="none"/>
        </w:rPr>
        <w:instrText xml:space="preserve"> PAGEREF _Toc3181 \h </w:instrText>
      </w:r>
      <w:r>
        <w:rPr>
          <w:color w:val="auto"/>
          <w:sz w:val="24"/>
          <w:szCs w:val="16"/>
          <w:highlight w:val="none"/>
        </w:rPr>
        <w:fldChar w:fldCharType="separate"/>
      </w:r>
      <w:r>
        <w:rPr>
          <w:color w:val="auto"/>
          <w:sz w:val="24"/>
          <w:szCs w:val="16"/>
          <w:highlight w:val="none"/>
        </w:rPr>
        <w:t>46</w:t>
      </w:r>
      <w:r>
        <w:rPr>
          <w:color w:val="auto"/>
          <w:sz w:val="24"/>
          <w:szCs w:val="16"/>
          <w:highlight w:val="none"/>
        </w:rPr>
        <w:fldChar w:fldCharType="end"/>
      </w:r>
      <w:r>
        <w:rPr>
          <w:rFonts w:hint="eastAsia" w:asciiTheme="minorEastAsia" w:hAnsiTheme="minorEastAsia" w:eastAsiaTheme="minorEastAsia" w:cstheme="minorEastAsia"/>
          <w:color w:val="auto"/>
          <w:sz w:val="24"/>
          <w:szCs w:val="22"/>
          <w:highlight w:val="none"/>
        </w:rPr>
        <w:fldChar w:fldCharType="end"/>
      </w:r>
    </w:p>
    <w:p w14:paraId="48A53CA8">
      <w:pPr>
        <w:pStyle w:val="37"/>
        <w:tabs>
          <w:tab w:val="right" w:leader="dot" w:pos="9412"/>
        </w:tabs>
        <w:spacing w:line="240" w:lineRule="auto"/>
        <w:rPr>
          <w:color w:val="auto"/>
          <w:sz w:val="24"/>
          <w:szCs w:val="16"/>
          <w:highlight w:val="none"/>
        </w:rPr>
      </w:pPr>
      <w:r>
        <w:rPr>
          <w:rFonts w:hint="eastAsia" w:asciiTheme="minorEastAsia" w:hAnsiTheme="minorEastAsia" w:eastAsiaTheme="minorEastAsia" w:cstheme="minorEastAsia"/>
          <w:color w:val="auto"/>
          <w:sz w:val="24"/>
          <w:szCs w:val="22"/>
          <w:highlight w:val="none"/>
        </w:rPr>
        <w:fldChar w:fldCharType="begin"/>
      </w:r>
      <w:r>
        <w:rPr>
          <w:rFonts w:hint="eastAsia" w:asciiTheme="minorEastAsia" w:hAnsiTheme="minorEastAsia" w:eastAsiaTheme="minorEastAsia" w:cstheme="minorEastAsia"/>
          <w:color w:val="auto"/>
          <w:sz w:val="24"/>
          <w:szCs w:val="22"/>
          <w:highlight w:val="none"/>
        </w:rPr>
        <w:instrText xml:space="preserve"> HYPERLINK \l _Toc4403 </w:instrText>
      </w:r>
      <w:r>
        <w:rPr>
          <w:rFonts w:hint="eastAsia" w:asciiTheme="minorEastAsia" w:hAnsiTheme="minorEastAsia" w:eastAsiaTheme="minorEastAsia" w:cstheme="minorEastAsia"/>
          <w:color w:val="auto"/>
          <w:sz w:val="24"/>
          <w:szCs w:val="22"/>
          <w:highlight w:val="none"/>
        </w:rPr>
        <w:fldChar w:fldCharType="separate"/>
      </w:r>
      <w:r>
        <w:rPr>
          <w:rFonts w:hint="eastAsia" w:hAnsi="宋体" w:cs="宋体"/>
          <w:bCs/>
          <w:color w:val="auto"/>
          <w:sz w:val="24"/>
          <w:szCs w:val="28"/>
          <w:highlight w:val="none"/>
        </w:rPr>
        <w:t>第七篇  响应文件编制要求</w:t>
      </w:r>
      <w:r>
        <w:rPr>
          <w:color w:val="auto"/>
          <w:sz w:val="24"/>
          <w:szCs w:val="16"/>
          <w:highlight w:val="none"/>
        </w:rPr>
        <w:tab/>
      </w:r>
      <w:r>
        <w:rPr>
          <w:color w:val="auto"/>
          <w:sz w:val="24"/>
          <w:szCs w:val="16"/>
          <w:highlight w:val="none"/>
        </w:rPr>
        <w:fldChar w:fldCharType="begin"/>
      </w:r>
      <w:r>
        <w:rPr>
          <w:color w:val="auto"/>
          <w:sz w:val="24"/>
          <w:szCs w:val="16"/>
          <w:highlight w:val="none"/>
        </w:rPr>
        <w:instrText xml:space="preserve"> PAGEREF _Toc4403 \h </w:instrText>
      </w:r>
      <w:r>
        <w:rPr>
          <w:color w:val="auto"/>
          <w:sz w:val="24"/>
          <w:szCs w:val="16"/>
          <w:highlight w:val="none"/>
        </w:rPr>
        <w:fldChar w:fldCharType="separate"/>
      </w:r>
      <w:r>
        <w:rPr>
          <w:color w:val="auto"/>
          <w:sz w:val="24"/>
          <w:szCs w:val="16"/>
          <w:highlight w:val="none"/>
        </w:rPr>
        <w:t>49</w:t>
      </w:r>
      <w:r>
        <w:rPr>
          <w:color w:val="auto"/>
          <w:sz w:val="24"/>
          <w:szCs w:val="16"/>
          <w:highlight w:val="none"/>
        </w:rPr>
        <w:fldChar w:fldCharType="end"/>
      </w:r>
      <w:r>
        <w:rPr>
          <w:rFonts w:hint="eastAsia" w:asciiTheme="minorEastAsia" w:hAnsiTheme="minorEastAsia" w:eastAsiaTheme="minorEastAsia" w:cstheme="minorEastAsia"/>
          <w:color w:val="auto"/>
          <w:sz w:val="24"/>
          <w:szCs w:val="22"/>
          <w:highlight w:val="none"/>
        </w:rPr>
        <w:fldChar w:fldCharType="end"/>
      </w:r>
    </w:p>
    <w:p w14:paraId="3D1131EE">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_Toc21539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一、经济部分</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_Toc21539 \h </w:instrText>
      </w:r>
      <w:r>
        <w:rPr>
          <w:color w:val="auto"/>
          <w:sz w:val="22"/>
          <w:szCs w:val="16"/>
          <w:highlight w:val="none"/>
        </w:rPr>
        <w:fldChar w:fldCharType="separate"/>
      </w:r>
      <w:r>
        <w:rPr>
          <w:color w:val="auto"/>
          <w:sz w:val="22"/>
          <w:szCs w:val="16"/>
          <w:highlight w:val="none"/>
        </w:rPr>
        <w:t>50</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26734A4D">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_Toc20795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二、服务部分</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_Toc20795 \h </w:instrText>
      </w:r>
      <w:r>
        <w:rPr>
          <w:color w:val="auto"/>
          <w:sz w:val="22"/>
          <w:szCs w:val="16"/>
          <w:highlight w:val="none"/>
        </w:rPr>
        <w:fldChar w:fldCharType="separate"/>
      </w:r>
      <w:r>
        <w:rPr>
          <w:color w:val="auto"/>
          <w:sz w:val="22"/>
          <w:szCs w:val="16"/>
          <w:highlight w:val="none"/>
        </w:rPr>
        <w:t>52</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72646ADC">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_Toc6955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三、商务部分</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_Toc6955 \h </w:instrText>
      </w:r>
      <w:r>
        <w:rPr>
          <w:color w:val="auto"/>
          <w:sz w:val="22"/>
          <w:szCs w:val="16"/>
          <w:highlight w:val="none"/>
        </w:rPr>
        <w:fldChar w:fldCharType="separate"/>
      </w:r>
      <w:r>
        <w:rPr>
          <w:color w:val="auto"/>
          <w:sz w:val="22"/>
          <w:szCs w:val="16"/>
          <w:highlight w:val="none"/>
        </w:rPr>
        <w:t>53</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01B66FFC">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_Toc226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四、资格条件及其他</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_Toc226 \h </w:instrText>
      </w:r>
      <w:r>
        <w:rPr>
          <w:color w:val="auto"/>
          <w:sz w:val="22"/>
          <w:szCs w:val="16"/>
          <w:highlight w:val="none"/>
        </w:rPr>
        <w:fldChar w:fldCharType="separate"/>
      </w:r>
      <w:r>
        <w:rPr>
          <w:color w:val="auto"/>
          <w:sz w:val="22"/>
          <w:szCs w:val="16"/>
          <w:highlight w:val="none"/>
        </w:rPr>
        <w:t>54</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5B4FEF91">
      <w:pPr>
        <w:pStyle w:val="45"/>
        <w:tabs>
          <w:tab w:val="right" w:leader="dot" w:pos="9412"/>
        </w:tabs>
        <w:spacing w:line="240" w:lineRule="auto"/>
        <w:rPr>
          <w:color w:val="auto"/>
          <w:sz w:val="22"/>
          <w:szCs w:val="16"/>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\l _Toc12181 </w:instrText>
      </w:r>
      <w:r>
        <w:rPr>
          <w:rFonts w:hint="eastAsia" w:asciiTheme="minorEastAsia" w:hAnsiTheme="minorEastAsia" w:eastAsiaTheme="minorEastAsia" w:cstheme="minorEastAsia"/>
          <w:color w:val="auto"/>
          <w:sz w:val="22"/>
          <w:szCs w:val="22"/>
          <w:highlight w:val="none"/>
        </w:rPr>
        <w:fldChar w:fldCharType="separate"/>
      </w:r>
      <w:r>
        <w:rPr>
          <w:rFonts w:hint="eastAsia" w:ascii="宋体" w:hAnsi="宋体" w:eastAsia="宋体" w:cs="宋体"/>
          <w:color w:val="auto"/>
          <w:sz w:val="22"/>
          <w:szCs w:val="21"/>
          <w:highlight w:val="none"/>
        </w:rPr>
        <w:t>五、其他应提供的资料</w:t>
      </w:r>
      <w:r>
        <w:rPr>
          <w:color w:val="auto"/>
          <w:sz w:val="22"/>
          <w:szCs w:val="16"/>
          <w:highlight w:val="none"/>
        </w:rPr>
        <w:tab/>
      </w:r>
      <w:r>
        <w:rPr>
          <w:color w:val="auto"/>
          <w:sz w:val="22"/>
          <w:szCs w:val="16"/>
          <w:highlight w:val="none"/>
        </w:rPr>
        <w:fldChar w:fldCharType="begin"/>
      </w:r>
      <w:r>
        <w:rPr>
          <w:color w:val="auto"/>
          <w:sz w:val="22"/>
          <w:szCs w:val="16"/>
          <w:highlight w:val="none"/>
        </w:rPr>
        <w:instrText xml:space="preserve"> PAGEREF _Toc12181 \h </w:instrText>
      </w:r>
      <w:r>
        <w:rPr>
          <w:color w:val="auto"/>
          <w:sz w:val="22"/>
          <w:szCs w:val="16"/>
          <w:highlight w:val="none"/>
        </w:rPr>
        <w:fldChar w:fldCharType="separate"/>
      </w:r>
      <w:r>
        <w:rPr>
          <w:color w:val="auto"/>
          <w:sz w:val="22"/>
          <w:szCs w:val="16"/>
          <w:highlight w:val="none"/>
        </w:rPr>
        <w:t>59</w:t>
      </w:r>
      <w:r>
        <w:rPr>
          <w:color w:val="auto"/>
          <w:sz w:val="22"/>
          <w:szCs w:val="16"/>
          <w:highlight w:val="none"/>
        </w:rPr>
        <w:fldChar w:fldCharType="end"/>
      </w:r>
      <w:r>
        <w:rPr>
          <w:rFonts w:hint="eastAsia" w:asciiTheme="minorEastAsia" w:hAnsiTheme="minorEastAsia" w:eastAsiaTheme="minorEastAsia" w:cstheme="minorEastAsia"/>
          <w:color w:val="auto"/>
          <w:sz w:val="22"/>
          <w:szCs w:val="22"/>
          <w:highlight w:val="none"/>
        </w:rPr>
        <w:fldChar w:fldCharType="end"/>
      </w:r>
    </w:p>
    <w:p w14:paraId="71133FAC">
      <w:pPr>
        <w:pStyle w:val="45"/>
        <w:keepNext w:val="0"/>
        <w:keepLines w:val="0"/>
        <w:pageBreakBefore w:val="0"/>
        <w:widowControl w:val="0"/>
        <w:tabs>
          <w:tab w:val="right" w:leader="dot" w:pos="9402"/>
        </w:tabs>
        <w:kinsoku/>
        <w:wordWrap/>
        <w:overflowPunct/>
        <w:topLinePunct w:val="0"/>
        <w:autoSpaceDE/>
        <w:autoSpaceDN/>
        <w:bidi w:val="0"/>
        <w:adjustRightInd/>
        <w:snapToGrid/>
        <w:spacing w:line="240" w:lineRule="auto"/>
        <w:ind w:left="0" w:leftChars="0"/>
        <w:textAlignment w:val="auto"/>
        <w:rPr>
          <w:rFonts w:hint="eastAsia" w:ascii="宋体" w:hAnsi="宋体" w:eastAsia="宋体" w:cs="宋体"/>
          <w:color w:val="auto"/>
          <w:sz w:val="21"/>
          <w:szCs w:val="21"/>
          <w:highlight w:val="none"/>
        </w:rPr>
        <w:sectPr>
          <w:footerReference r:id="rId7" w:type="default"/>
          <w:pgSz w:w="11907" w:h="16840"/>
          <w:pgMar w:top="1134" w:right="1191" w:bottom="1134" w:left="1304" w:header="851" w:footer="992" w:gutter="0"/>
          <w:pgNumType w:start="1"/>
          <w:cols w:space="720" w:num="1"/>
          <w:rtlGutter w:val="1"/>
          <w:docGrid w:linePitch="380" w:charSpace="-5735"/>
        </w:sectPr>
      </w:pPr>
      <w:r>
        <w:rPr>
          <w:rFonts w:hint="eastAsia" w:asciiTheme="minorEastAsia" w:hAnsiTheme="minorEastAsia" w:eastAsiaTheme="minorEastAsia" w:cstheme="minorEastAsia"/>
          <w:color w:val="auto"/>
          <w:sz w:val="22"/>
          <w:szCs w:val="22"/>
          <w:highlight w:val="none"/>
        </w:rPr>
        <w:fldChar w:fldCharType="end"/>
      </w:r>
    </w:p>
    <w:p w14:paraId="1FAAF35A">
      <w:pPr>
        <w:pStyle w:val="2"/>
        <w:spacing w:after="100" w:line="360" w:lineRule="auto"/>
        <w:ind w:firstLine="723" w:firstLineChars="200"/>
        <w:jc w:val="center"/>
        <w:rPr>
          <w:rFonts w:hAnsi="宋体" w:cs="宋体"/>
          <w:b/>
          <w:color w:val="auto"/>
          <w:sz w:val="36"/>
          <w:szCs w:val="36"/>
          <w:highlight w:val="none"/>
        </w:rPr>
      </w:pPr>
      <w:bookmarkStart w:id="0" w:name="_Toc11641050"/>
      <w:bookmarkStart w:id="1" w:name="_Toc19273"/>
      <w:bookmarkStart w:id="2" w:name="_Toc12789052"/>
      <w:r>
        <w:rPr>
          <w:rFonts w:hint="eastAsia" w:hAnsi="宋体" w:cs="宋体"/>
          <w:b/>
          <w:color w:val="auto"/>
          <w:sz w:val="36"/>
          <w:szCs w:val="36"/>
          <w:highlight w:val="none"/>
        </w:rPr>
        <w:t>第一篇  采购邀请书</w:t>
      </w:r>
      <w:bookmarkEnd w:id="0"/>
      <w:bookmarkEnd w:id="1"/>
      <w:bookmarkEnd w:id="2"/>
    </w:p>
    <w:p w14:paraId="51862C67">
      <w:pPr>
        <w:snapToGrid w:val="0"/>
        <w:spacing w:line="460" w:lineRule="exact"/>
        <w:ind w:firstLine="480" w:firstLineChars="200"/>
        <w:rPr>
          <w:rFonts w:hint="eastAsia" w:ascii="宋体" w:hAnsi="宋体" w:cs="宋体"/>
          <w:color w:val="auto"/>
          <w:sz w:val="24"/>
          <w:szCs w:val="24"/>
          <w:highlight w:val="none"/>
        </w:rPr>
      </w:pPr>
      <w:bookmarkStart w:id="3" w:name="_Toc313893526"/>
      <w:bookmarkStart w:id="4" w:name="_Toc317775175"/>
      <w:r>
        <w:rPr>
          <w:rFonts w:hint="eastAsia" w:ascii="宋体" w:hAnsi="宋体" w:cs="宋体"/>
          <w:color w:val="auto"/>
          <w:sz w:val="24"/>
          <w:szCs w:val="24"/>
          <w:highlight w:val="none"/>
          <w:u w:val="single"/>
          <w:lang w:eastAsia="zh-CN"/>
        </w:rPr>
        <w:t>重庆龙锐工程咨询有限公司</w:t>
      </w:r>
      <w:r>
        <w:rPr>
          <w:rFonts w:hint="eastAsia" w:ascii="宋体" w:hAnsi="宋体" w:cs="宋体"/>
          <w:color w:val="auto"/>
          <w:sz w:val="24"/>
          <w:szCs w:val="24"/>
          <w:highlight w:val="none"/>
        </w:rPr>
        <w:t>（以下简称：采购代理机构）受</w:t>
      </w:r>
      <w:r>
        <w:rPr>
          <w:rFonts w:hint="eastAsia" w:ascii="宋体" w:hAnsi="宋体" w:cs="宋体"/>
          <w:color w:val="auto"/>
          <w:sz w:val="24"/>
          <w:szCs w:val="24"/>
          <w:highlight w:val="none"/>
          <w:u w:val="single"/>
          <w:lang w:eastAsia="zh-CN"/>
        </w:rPr>
        <w:t>重庆市荣昌区就业和人才中心</w:t>
      </w:r>
      <w:r>
        <w:rPr>
          <w:rFonts w:hint="eastAsia" w:ascii="宋体" w:hAnsi="宋体" w:cs="宋体"/>
          <w:color w:val="auto"/>
          <w:sz w:val="24"/>
          <w:szCs w:val="24"/>
          <w:highlight w:val="none"/>
        </w:rPr>
        <w:t>（以下简称：采购人）的委托，对</w:t>
      </w:r>
      <w:r>
        <w:rPr>
          <w:rFonts w:hint="eastAsia" w:ascii="宋体" w:hAnsi="宋体" w:cs="宋体"/>
          <w:color w:val="auto"/>
          <w:sz w:val="24"/>
          <w:szCs w:val="24"/>
          <w:highlight w:val="none"/>
          <w:u w:val="single"/>
          <w:lang w:eastAsia="zh-CN"/>
        </w:rPr>
        <w:t>“2025年荣昌区流动人员人事档案数字处理和维护项目 ”</w:t>
      </w:r>
      <w:r>
        <w:rPr>
          <w:rFonts w:hint="eastAsia" w:ascii="宋体" w:hAnsi="宋体" w:cs="宋体"/>
          <w:color w:val="auto"/>
          <w:sz w:val="24"/>
          <w:szCs w:val="24"/>
          <w:highlight w:val="none"/>
        </w:rPr>
        <w:t>进行竞争性磋商采购。欢迎有资格的供应商前来参加磋商。</w:t>
      </w:r>
    </w:p>
    <w:p w14:paraId="72CA9AE4">
      <w:pPr>
        <w:pStyle w:val="3"/>
        <w:spacing w:before="0" w:after="0" w:line="400" w:lineRule="exact"/>
        <w:rPr>
          <w:rFonts w:hint="eastAsia" w:ascii="宋体" w:hAnsi="宋体" w:cs="宋体"/>
          <w:color w:val="auto"/>
          <w:sz w:val="24"/>
          <w:szCs w:val="24"/>
          <w:highlight w:val="none"/>
        </w:rPr>
      </w:pPr>
      <w:bookmarkStart w:id="5" w:name="_Toc22035"/>
      <w:r>
        <w:rPr>
          <w:rFonts w:hint="eastAsia" w:ascii="宋体" w:hAnsi="宋体" w:eastAsia="宋体" w:cs="宋体"/>
          <w:color w:val="auto"/>
          <w:sz w:val="24"/>
          <w:szCs w:val="24"/>
          <w:highlight w:val="none"/>
        </w:rPr>
        <w:t>一、竞争性磋商内容</w:t>
      </w:r>
      <w:bookmarkEnd w:id="5"/>
    </w:p>
    <w:tbl>
      <w:tblPr>
        <w:tblStyle w:val="57"/>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972"/>
        <w:gridCol w:w="1330"/>
        <w:gridCol w:w="1243"/>
        <w:gridCol w:w="1257"/>
        <w:gridCol w:w="1257"/>
        <w:gridCol w:w="978"/>
      </w:tblGrid>
      <w:tr w14:paraId="4F74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763" w:type="dxa"/>
            <w:tcBorders>
              <w:top w:val="single" w:color="auto" w:sz="4" w:space="0"/>
              <w:left w:val="single" w:color="auto" w:sz="4" w:space="0"/>
              <w:right w:val="single" w:color="auto" w:sz="4" w:space="0"/>
            </w:tcBorders>
            <w:vAlign w:val="center"/>
          </w:tcPr>
          <w:p w14:paraId="5947F57E">
            <w:pPr>
              <w:snapToGrid w:val="0"/>
              <w:jc w:val="center"/>
              <w:outlineLvl w:val="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序号</w:t>
            </w:r>
          </w:p>
        </w:tc>
        <w:tc>
          <w:tcPr>
            <w:tcW w:w="2972" w:type="dxa"/>
            <w:tcBorders>
              <w:top w:val="single" w:color="auto" w:sz="4" w:space="0"/>
              <w:left w:val="single" w:color="auto" w:sz="4" w:space="0"/>
              <w:right w:val="single" w:color="auto" w:sz="4" w:space="0"/>
            </w:tcBorders>
            <w:vAlign w:val="center"/>
          </w:tcPr>
          <w:p w14:paraId="1FA83851">
            <w:pPr>
              <w:snapToGrid w:val="0"/>
              <w:jc w:val="center"/>
              <w:outlineLvl w:val="0"/>
              <w:rPr>
                <w:rFonts w:ascii="宋体" w:hAnsi="宋体" w:cs="宋体"/>
                <w:b/>
                <w:bCs/>
                <w:color w:val="auto"/>
                <w:kern w:val="0"/>
                <w:sz w:val="24"/>
                <w:szCs w:val="24"/>
                <w:highlight w:val="none"/>
              </w:rPr>
            </w:pPr>
            <w:r>
              <w:rPr>
                <w:rFonts w:hint="eastAsia" w:ascii="宋体" w:hAnsi="宋体" w:eastAsia="宋体" w:cs="宋体"/>
                <w:b/>
                <w:bCs w:val="0"/>
                <w:color w:val="auto"/>
                <w:sz w:val="24"/>
                <w:szCs w:val="24"/>
                <w:highlight w:val="none"/>
              </w:rPr>
              <w:t>名称</w:t>
            </w:r>
          </w:p>
        </w:tc>
        <w:tc>
          <w:tcPr>
            <w:tcW w:w="1330" w:type="dxa"/>
            <w:tcBorders>
              <w:top w:val="single" w:color="auto" w:sz="4" w:space="0"/>
              <w:left w:val="single" w:color="auto" w:sz="4" w:space="0"/>
              <w:right w:val="single" w:color="auto" w:sz="4" w:space="0"/>
            </w:tcBorders>
            <w:vAlign w:val="center"/>
          </w:tcPr>
          <w:p w14:paraId="01D85DA8">
            <w:pPr>
              <w:snapToGrid w:val="0"/>
              <w:jc w:val="center"/>
              <w:outlineLvl w:val="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预估数量</w:t>
            </w:r>
            <w:r>
              <w:rPr>
                <w:rFonts w:hint="eastAsia" w:ascii="宋体" w:hAnsi="宋体" w:eastAsia="宋体" w:cs="宋体"/>
                <w:b/>
                <w:bCs w:val="0"/>
                <w:color w:val="auto"/>
                <w:sz w:val="24"/>
                <w:szCs w:val="24"/>
                <w:highlight w:val="none"/>
                <w:lang w:val="en-US" w:eastAsia="zh-CN"/>
              </w:rPr>
              <w:t>/单位</w:t>
            </w:r>
          </w:p>
        </w:tc>
        <w:tc>
          <w:tcPr>
            <w:tcW w:w="1243" w:type="dxa"/>
            <w:tcBorders>
              <w:top w:val="single" w:color="auto" w:sz="4" w:space="0"/>
              <w:left w:val="single" w:color="auto" w:sz="4" w:space="0"/>
              <w:right w:val="single" w:color="auto" w:sz="4" w:space="0"/>
            </w:tcBorders>
            <w:vAlign w:val="center"/>
          </w:tcPr>
          <w:p w14:paraId="19221054">
            <w:pPr>
              <w:snapToGrid w:val="0"/>
              <w:jc w:val="center"/>
              <w:outlineLvl w:val="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单价最高限价</w:t>
            </w:r>
            <w:r>
              <w:rPr>
                <w:rFonts w:hint="eastAsia" w:ascii="宋体" w:hAnsi="宋体" w:eastAsia="宋体" w:cs="宋体"/>
                <w:b/>
                <w:bCs w:val="0"/>
                <w:color w:val="auto"/>
                <w:sz w:val="24"/>
                <w:szCs w:val="24"/>
                <w:highlight w:val="none"/>
                <w:lang w:val="en-US" w:eastAsia="zh-CN"/>
              </w:rPr>
              <w:t>（元/卷或年）</w:t>
            </w:r>
          </w:p>
        </w:tc>
        <w:tc>
          <w:tcPr>
            <w:tcW w:w="1257" w:type="dxa"/>
            <w:tcBorders>
              <w:top w:val="single" w:color="auto" w:sz="4" w:space="0"/>
              <w:left w:val="single" w:color="auto" w:sz="4" w:space="0"/>
              <w:right w:val="single" w:color="auto" w:sz="4" w:space="0"/>
            </w:tcBorders>
            <w:vAlign w:val="center"/>
          </w:tcPr>
          <w:p w14:paraId="3DCAFDDE">
            <w:pPr>
              <w:snapToGrid w:val="0"/>
              <w:jc w:val="center"/>
              <w:outlineLvl w:val="0"/>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分项最高限价（元/卷或年）</w:t>
            </w:r>
          </w:p>
        </w:tc>
        <w:tc>
          <w:tcPr>
            <w:tcW w:w="1257" w:type="dxa"/>
            <w:tcBorders>
              <w:top w:val="single" w:color="auto" w:sz="4" w:space="0"/>
              <w:left w:val="single" w:color="auto" w:sz="4" w:space="0"/>
              <w:right w:val="single" w:color="auto" w:sz="4" w:space="0"/>
            </w:tcBorders>
            <w:vAlign w:val="center"/>
          </w:tcPr>
          <w:p w14:paraId="55B53C13">
            <w:pPr>
              <w:snapToGrid w:val="0"/>
              <w:jc w:val="center"/>
              <w:outlineLvl w:val="0"/>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lang w:eastAsia="zh-CN"/>
              </w:rPr>
              <w:t>总价最高限价（元）</w:t>
            </w:r>
          </w:p>
        </w:tc>
        <w:tc>
          <w:tcPr>
            <w:tcW w:w="978" w:type="dxa"/>
            <w:tcBorders>
              <w:top w:val="single" w:color="auto" w:sz="4" w:space="0"/>
              <w:left w:val="single" w:color="auto" w:sz="4" w:space="0"/>
              <w:right w:val="single" w:color="auto" w:sz="4" w:space="0"/>
            </w:tcBorders>
            <w:vAlign w:val="center"/>
          </w:tcPr>
          <w:p w14:paraId="0A08095E">
            <w:pPr>
              <w:snapToGrid w:val="0"/>
              <w:jc w:val="center"/>
              <w:outlineLvl w:val="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eastAsia="zh-CN"/>
              </w:rPr>
              <w:t>成交供应商数量（名）</w:t>
            </w:r>
          </w:p>
        </w:tc>
      </w:tr>
      <w:tr w14:paraId="5879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63" w:type="dxa"/>
            <w:tcBorders>
              <w:top w:val="single" w:color="auto" w:sz="4" w:space="0"/>
              <w:left w:val="single" w:color="auto" w:sz="4" w:space="0"/>
              <w:bottom w:val="single" w:color="auto" w:sz="4" w:space="0"/>
              <w:right w:val="single" w:color="auto" w:sz="4" w:space="0"/>
            </w:tcBorders>
            <w:vAlign w:val="center"/>
          </w:tcPr>
          <w:p w14:paraId="041D8AF5">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bookmarkStart w:id="6" w:name="_Hlk344477914"/>
            <w:r>
              <w:rPr>
                <w:rFonts w:hint="eastAsia" w:ascii="宋体" w:hAnsi="宋体" w:eastAsia="宋体" w:cs="宋体"/>
                <w:i w:val="0"/>
                <w:iCs w:val="0"/>
                <w:color w:val="auto"/>
                <w:kern w:val="0"/>
                <w:sz w:val="24"/>
                <w:szCs w:val="24"/>
                <w:highlight w:val="none"/>
                <w:u w:val="none"/>
                <w:lang w:val="en-US" w:eastAsia="zh-CN" w:bidi="ar"/>
              </w:rPr>
              <w:t>1</w:t>
            </w:r>
          </w:p>
        </w:tc>
        <w:tc>
          <w:tcPr>
            <w:tcW w:w="2972" w:type="dxa"/>
            <w:tcBorders>
              <w:top w:val="single" w:color="auto" w:sz="4" w:space="0"/>
              <w:left w:val="single" w:color="auto" w:sz="4" w:space="0"/>
              <w:bottom w:val="single" w:color="auto" w:sz="4" w:space="0"/>
              <w:right w:val="single" w:color="auto" w:sz="4" w:space="0"/>
            </w:tcBorders>
            <w:vAlign w:val="center"/>
          </w:tcPr>
          <w:p w14:paraId="0691F108">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新增档案整理及数字化加工</w:t>
            </w:r>
          </w:p>
        </w:tc>
        <w:tc>
          <w:tcPr>
            <w:tcW w:w="1330" w:type="dxa"/>
            <w:tcBorders>
              <w:top w:val="single" w:color="auto" w:sz="4" w:space="0"/>
              <w:left w:val="single" w:color="auto" w:sz="4" w:space="0"/>
              <w:bottom w:val="single" w:color="auto" w:sz="4" w:space="0"/>
              <w:right w:val="single" w:color="auto" w:sz="4" w:space="0"/>
            </w:tcBorders>
            <w:vAlign w:val="center"/>
          </w:tcPr>
          <w:p w14:paraId="4B67B40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5000卷</w:t>
            </w:r>
          </w:p>
        </w:tc>
        <w:tc>
          <w:tcPr>
            <w:tcW w:w="1243" w:type="dxa"/>
            <w:tcBorders>
              <w:top w:val="single" w:color="auto" w:sz="4" w:space="0"/>
              <w:left w:val="single" w:color="auto" w:sz="4" w:space="0"/>
              <w:bottom w:val="single" w:color="auto" w:sz="4" w:space="0"/>
              <w:right w:val="single" w:color="auto" w:sz="4" w:space="0"/>
            </w:tcBorders>
            <w:vAlign w:val="center"/>
          </w:tcPr>
          <w:p w14:paraId="15D9B90E">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51</w:t>
            </w:r>
          </w:p>
        </w:tc>
        <w:tc>
          <w:tcPr>
            <w:tcW w:w="1257" w:type="dxa"/>
            <w:tcBorders>
              <w:top w:val="single" w:color="auto" w:sz="4" w:space="0"/>
              <w:left w:val="single" w:color="auto" w:sz="4" w:space="0"/>
              <w:right w:val="single" w:color="auto" w:sz="4" w:space="0"/>
            </w:tcBorders>
            <w:vAlign w:val="center"/>
          </w:tcPr>
          <w:p w14:paraId="675CF824">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255000</w:t>
            </w:r>
          </w:p>
        </w:tc>
        <w:tc>
          <w:tcPr>
            <w:tcW w:w="1257" w:type="dxa"/>
            <w:vMerge w:val="restart"/>
            <w:tcBorders>
              <w:top w:val="single" w:color="auto" w:sz="4" w:space="0"/>
              <w:left w:val="single" w:color="auto" w:sz="4" w:space="0"/>
              <w:right w:val="single" w:color="auto" w:sz="4" w:space="0"/>
            </w:tcBorders>
            <w:vAlign w:val="center"/>
          </w:tcPr>
          <w:p w14:paraId="296E6E5B">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486</w:t>
            </w:r>
            <w:r>
              <w:rPr>
                <w:rFonts w:hint="eastAsia" w:ascii="宋体" w:hAnsi="宋体" w:cs="宋体"/>
                <w:i w:val="0"/>
                <w:iCs w:val="0"/>
                <w:color w:val="auto"/>
                <w:kern w:val="0"/>
                <w:sz w:val="24"/>
                <w:szCs w:val="24"/>
                <w:highlight w:val="none"/>
                <w:u w:val="none"/>
                <w:lang w:val="en-US" w:eastAsia="zh-CN" w:bidi="ar"/>
              </w:rPr>
              <w:t>592.2</w:t>
            </w:r>
          </w:p>
        </w:tc>
        <w:tc>
          <w:tcPr>
            <w:tcW w:w="978" w:type="dxa"/>
            <w:vMerge w:val="restart"/>
            <w:tcBorders>
              <w:top w:val="single" w:color="auto" w:sz="4" w:space="0"/>
              <w:left w:val="single" w:color="auto" w:sz="4" w:space="0"/>
              <w:right w:val="single" w:color="auto" w:sz="4" w:space="0"/>
            </w:tcBorders>
            <w:vAlign w:val="center"/>
          </w:tcPr>
          <w:p w14:paraId="4DF7E580">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w:t>
            </w:r>
          </w:p>
        </w:tc>
      </w:tr>
      <w:tr w14:paraId="2071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63" w:type="dxa"/>
            <w:tcBorders>
              <w:top w:val="single" w:color="auto" w:sz="4" w:space="0"/>
              <w:left w:val="single" w:color="auto" w:sz="4" w:space="0"/>
              <w:bottom w:val="single" w:color="auto" w:sz="4" w:space="0"/>
              <w:right w:val="single" w:color="auto" w:sz="4" w:space="0"/>
            </w:tcBorders>
            <w:vAlign w:val="center"/>
          </w:tcPr>
          <w:p w14:paraId="607BF090">
            <w:pPr>
              <w:snapToGrid w:val="0"/>
              <w:jc w:val="center"/>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2972" w:type="dxa"/>
            <w:tcBorders>
              <w:top w:val="single" w:color="auto" w:sz="4" w:space="0"/>
              <w:left w:val="single" w:color="auto" w:sz="4" w:space="0"/>
              <w:bottom w:val="single" w:color="auto" w:sz="4" w:space="0"/>
              <w:right w:val="single" w:color="auto" w:sz="4" w:space="0"/>
            </w:tcBorders>
            <w:vAlign w:val="center"/>
          </w:tcPr>
          <w:p w14:paraId="2A1474B3">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档案维护整理及数字化加工</w:t>
            </w:r>
          </w:p>
        </w:tc>
        <w:tc>
          <w:tcPr>
            <w:tcW w:w="1330" w:type="dxa"/>
            <w:tcBorders>
              <w:top w:val="single" w:color="auto" w:sz="4" w:space="0"/>
              <w:left w:val="single" w:color="auto" w:sz="4" w:space="0"/>
              <w:bottom w:val="single" w:color="auto" w:sz="4" w:space="0"/>
              <w:right w:val="single" w:color="auto" w:sz="4" w:space="0"/>
            </w:tcBorders>
            <w:vAlign w:val="center"/>
          </w:tcPr>
          <w:p w14:paraId="166F8545">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55</w:t>
            </w:r>
            <w:r>
              <w:rPr>
                <w:rFonts w:hint="eastAsia" w:ascii="宋体" w:hAnsi="宋体" w:cs="宋体"/>
                <w:i w:val="0"/>
                <w:iCs w:val="0"/>
                <w:color w:val="auto"/>
                <w:kern w:val="0"/>
                <w:sz w:val="24"/>
                <w:szCs w:val="24"/>
                <w:highlight w:val="none"/>
                <w:u w:val="none"/>
                <w:lang w:val="en-US" w:eastAsia="zh-CN" w:bidi="ar"/>
              </w:rPr>
              <w:t>141</w:t>
            </w:r>
            <w:r>
              <w:rPr>
                <w:rFonts w:hint="eastAsia" w:ascii="宋体" w:hAnsi="宋体" w:eastAsia="宋体" w:cs="宋体"/>
                <w:i w:val="0"/>
                <w:iCs w:val="0"/>
                <w:color w:val="auto"/>
                <w:kern w:val="0"/>
                <w:sz w:val="24"/>
                <w:szCs w:val="24"/>
                <w:highlight w:val="none"/>
                <w:u w:val="none"/>
                <w:lang w:val="en-US" w:eastAsia="zh-CN" w:bidi="ar"/>
              </w:rPr>
              <w:t>卷</w:t>
            </w:r>
          </w:p>
        </w:tc>
        <w:tc>
          <w:tcPr>
            <w:tcW w:w="1243" w:type="dxa"/>
            <w:tcBorders>
              <w:top w:val="single" w:color="auto" w:sz="4" w:space="0"/>
              <w:left w:val="single" w:color="auto" w:sz="4" w:space="0"/>
              <w:bottom w:val="single" w:color="auto" w:sz="4" w:space="0"/>
              <w:right w:val="single" w:color="auto" w:sz="4" w:space="0"/>
            </w:tcBorders>
            <w:vAlign w:val="center"/>
          </w:tcPr>
          <w:p w14:paraId="40438E2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4.2</w:t>
            </w:r>
          </w:p>
        </w:tc>
        <w:tc>
          <w:tcPr>
            <w:tcW w:w="1257" w:type="dxa"/>
            <w:tcBorders>
              <w:left w:val="single" w:color="auto" w:sz="4" w:space="0"/>
              <w:right w:val="single" w:color="auto" w:sz="4" w:space="0"/>
            </w:tcBorders>
            <w:vAlign w:val="center"/>
          </w:tcPr>
          <w:p w14:paraId="09E210A8">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231</w:t>
            </w:r>
            <w:r>
              <w:rPr>
                <w:rFonts w:hint="eastAsia" w:ascii="宋体" w:hAnsi="宋体" w:cs="宋体"/>
                <w:i w:val="0"/>
                <w:iCs w:val="0"/>
                <w:color w:val="auto"/>
                <w:kern w:val="0"/>
                <w:sz w:val="24"/>
                <w:szCs w:val="24"/>
                <w:highlight w:val="none"/>
                <w:u w:val="none"/>
                <w:lang w:val="en-US" w:eastAsia="zh-CN" w:bidi="ar"/>
              </w:rPr>
              <w:t>592.2</w:t>
            </w:r>
          </w:p>
        </w:tc>
        <w:tc>
          <w:tcPr>
            <w:tcW w:w="1257" w:type="dxa"/>
            <w:vMerge w:val="continue"/>
            <w:tcBorders>
              <w:left w:val="single" w:color="auto" w:sz="4" w:space="0"/>
              <w:right w:val="single" w:color="auto" w:sz="4" w:space="0"/>
            </w:tcBorders>
            <w:vAlign w:val="center"/>
          </w:tcPr>
          <w:p w14:paraId="49368939">
            <w:pPr>
              <w:snapToGrid w:val="0"/>
              <w:jc w:val="center"/>
              <w:outlineLvl w:val="0"/>
              <w:rPr>
                <w:rFonts w:hint="default" w:ascii="宋体" w:hAnsi="宋体" w:cs="宋体"/>
                <w:color w:val="auto"/>
                <w:kern w:val="0"/>
                <w:sz w:val="24"/>
                <w:szCs w:val="24"/>
                <w:highlight w:val="none"/>
                <w:lang w:val="en-US" w:eastAsia="zh-CN"/>
              </w:rPr>
            </w:pPr>
          </w:p>
        </w:tc>
        <w:tc>
          <w:tcPr>
            <w:tcW w:w="978" w:type="dxa"/>
            <w:vMerge w:val="continue"/>
            <w:tcBorders>
              <w:left w:val="single" w:color="auto" w:sz="4" w:space="0"/>
              <w:right w:val="single" w:color="auto" w:sz="4" w:space="0"/>
            </w:tcBorders>
            <w:vAlign w:val="center"/>
          </w:tcPr>
          <w:p w14:paraId="75C810C5">
            <w:pPr>
              <w:snapToGrid w:val="0"/>
              <w:jc w:val="center"/>
              <w:outlineLvl w:val="0"/>
              <w:rPr>
                <w:rFonts w:hint="default" w:ascii="宋体" w:hAnsi="宋体" w:cs="宋体"/>
                <w:color w:val="auto"/>
                <w:kern w:val="0"/>
                <w:sz w:val="24"/>
                <w:szCs w:val="24"/>
                <w:highlight w:val="none"/>
                <w:lang w:val="en-US" w:eastAsia="zh-CN"/>
              </w:rPr>
            </w:pPr>
          </w:p>
        </w:tc>
      </w:tr>
      <w:bookmarkEnd w:id="3"/>
      <w:bookmarkEnd w:id="4"/>
      <w:bookmarkEnd w:id="6"/>
    </w:tbl>
    <w:p w14:paraId="18C96FCB">
      <w:pPr>
        <w:bidi w:val="0"/>
        <w:rPr>
          <w:rFonts w:hint="eastAsia"/>
          <w:color w:val="auto"/>
          <w:highlight w:val="none"/>
        </w:rPr>
      </w:pPr>
      <w:bookmarkStart w:id="7" w:name="_Toc373860293"/>
      <w:bookmarkStart w:id="8" w:name="_Toc317775178"/>
      <w:r>
        <w:rPr>
          <w:rFonts w:hint="eastAsia" w:ascii="宋体" w:hAnsi="宋体" w:eastAsia="宋体" w:cs="宋体"/>
          <w:color w:val="auto"/>
          <w:kern w:val="0"/>
          <w:sz w:val="24"/>
          <w:szCs w:val="24"/>
          <w:highlight w:val="none"/>
          <w:lang w:val="en-US" w:eastAsia="zh-CN"/>
        </w:rPr>
        <w:t>备注：</w:t>
      </w:r>
      <w:r>
        <w:rPr>
          <w:rFonts w:hint="default" w:ascii="宋体" w:hAnsi="宋体" w:eastAsia="宋体" w:cs="宋体"/>
          <w:color w:val="auto"/>
          <w:kern w:val="0"/>
          <w:sz w:val="24"/>
          <w:szCs w:val="24"/>
          <w:highlight w:val="none"/>
          <w:lang w:val="en-US" w:eastAsia="zh-CN"/>
        </w:rPr>
        <w:t>本项目的总价最高限价为预估金额，采购人最终以验收合格后的实际加工数量</w:t>
      </w:r>
      <w:r>
        <w:rPr>
          <w:rFonts w:hint="default" w:ascii="宋体" w:hAnsi="宋体" w:cs="宋体"/>
          <w:color w:val="auto"/>
          <w:kern w:val="0"/>
          <w:sz w:val="24"/>
          <w:szCs w:val="24"/>
          <w:highlight w:val="none"/>
          <w:lang w:val="en-US" w:eastAsia="zh-CN"/>
        </w:rPr>
        <w:t>进行据实结算。</w:t>
      </w:r>
    </w:p>
    <w:p w14:paraId="3CA6454A">
      <w:pPr>
        <w:pStyle w:val="3"/>
        <w:pageBreakBefore w:val="0"/>
        <w:widowControl w:val="0"/>
        <w:kinsoku/>
        <w:wordWrap/>
        <w:overflowPunct/>
        <w:topLinePunct w:val="0"/>
        <w:autoSpaceDE/>
        <w:autoSpaceDN/>
        <w:bidi w:val="0"/>
        <w:adjustRightInd/>
        <w:snapToGrid/>
        <w:spacing w:before="0" w:after="0" w:line="360" w:lineRule="auto"/>
        <w:textAlignment w:val="auto"/>
        <w:rPr>
          <w:rFonts w:ascii="宋体" w:hAnsi="宋体" w:eastAsia="宋体" w:cs="宋体"/>
          <w:color w:val="auto"/>
          <w:sz w:val="24"/>
          <w:szCs w:val="24"/>
          <w:highlight w:val="none"/>
        </w:rPr>
      </w:pPr>
      <w:bookmarkStart w:id="9" w:name="_Toc8069"/>
      <w:r>
        <w:rPr>
          <w:rFonts w:hint="eastAsia" w:ascii="宋体" w:hAnsi="宋体" w:eastAsia="宋体" w:cs="宋体"/>
          <w:color w:val="auto"/>
          <w:sz w:val="24"/>
          <w:szCs w:val="24"/>
          <w:highlight w:val="none"/>
        </w:rPr>
        <w:t>二、资金来源</w:t>
      </w:r>
      <w:bookmarkEnd w:id="9"/>
    </w:p>
    <w:p w14:paraId="1C86F642">
      <w:pPr>
        <w:spacing w:line="360" w:lineRule="auto"/>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cs="宋体"/>
          <w:color w:val="auto"/>
          <w:sz w:val="24"/>
          <w:szCs w:val="24"/>
          <w:highlight w:val="none"/>
          <w:lang w:val="en-US" w:eastAsia="zh-CN"/>
        </w:rPr>
        <w:t>就业补助</w:t>
      </w:r>
      <w:r>
        <w:rPr>
          <w:rFonts w:hint="eastAsia" w:ascii="宋体" w:hAnsi="宋体" w:cs="宋体"/>
          <w:color w:val="auto"/>
          <w:sz w:val="24"/>
          <w:szCs w:val="24"/>
          <w:highlight w:val="none"/>
        </w:rPr>
        <w:t>资金，预算金额</w:t>
      </w:r>
      <w:r>
        <w:rPr>
          <w:rFonts w:hint="eastAsia" w:ascii="宋体" w:hAnsi="宋体" w:cs="宋体"/>
          <w:color w:val="auto"/>
          <w:sz w:val="24"/>
          <w:szCs w:val="24"/>
          <w:highlight w:val="none"/>
          <w:lang w:val="en-US" w:eastAsia="zh-CN"/>
        </w:rPr>
        <w:t>486592.2</w:t>
      </w:r>
      <w:r>
        <w:rPr>
          <w:rFonts w:hint="eastAsia" w:ascii="宋体" w:hAnsi="宋体" w:cs="宋体"/>
          <w:color w:val="auto"/>
          <w:sz w:val="24"/>
          <w:szCs w:val="24"/>
          <w:highlight w:val="none"/>
        </w:rPr>
        <w:t>元。</w:t>
      </w:r>
    </w:p>
    <w:p w14:paraId="1BC7746C">
      <w:pPr>
        <w:pStyle w:val="3"/>
        <w:pageBreakBefore w:val="0"/>
        <w:widowControl w:val="0"/>
        <w:kinsoku/>
        <w:wordWrap/>
        <w:overflowPunct/>
        <w:topLinePunct w:val="0"/>
        <w:autoSpaceDE/>
        <w:autoSpaceDN/>
        <w:bidi w:val="0"/>
        <w:adjustRightInd/>
        <w:snapToGrid/>
        <w:spacing w:before="0" w:after="0" w:line="360" w:lineRule="auto"/>
        <w:textAlignment w:val="auto"/>
        <w:rPr>
          <w:rFonts w:ascii="宋体" w:hAnsi="宋体" w:eastAsia="宋体" w:cs="宋体"/>
          <w:color w:val="auto"/>
          <w:sz w:val="24"/>
          <w:szCs w:val="24"/>
          <w:highlight w:val="none"/>
        </w:rPr>
      </w:pPr>
      <w:bookmarkStart w:id="10" w:name="_Toc17897"/>
      <w:r>
        <w:rPr>
          <w:rFonts w:hint="eastAsia" w:ascii="宋体" w:hAnsi="宋体" w:eastAsia="宋体" w:cs="宋体"/>
          <w:color w:val="auto"/>
          <w:sz w:val="24"/>
          <w:szCs w:val="24"/>
          <w:highlight w:val="none"/>
        </w:rPr>
        <w:t>三、供应商资格要求</w:t>
      </w:r>
      <w:bookmarkEnd w:id="10"/>
    </w:p>
    <w:p w14:paraId="3A1E4AB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（一）满足《中华人民共和国政府采购法》第二十二条规定</w:t>
      </w:r>
      <w:r>
        <w:rPr>
          <w:rFonts w:hint="eastAsia" w:ascii="宋体" w:hAnsi="宋体" w:cs="宋体"/>
          <w:color w:val="auto"/>
          <w:sz w:val="24"/>
          <w:szCs w:val="24"/>
          <w:highlight w:val="none"/>
          <w:lang w:eastAsia="zh-CN"/>
        </w:rPr>
        <w:t>；</w:t>
      </w:r>
    </w:p>
    <w:p w14:paraId="1A42418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（二）落实政府采购政策需满足的资格要求：无</w:t>
      </w:r>
      <w:r>
        <w:rPr>
          <w:rFonts w:hint="eastAsia" w:ascii="宋体" w:hAnsi="宋体" w:cs="宋体"/>
          <w:color w:val="auto"/>
          <w:sz w:val="24"/>
          <w:szCs w:val="24"/>
          <w:highlight w:val="none"/>
          <w:lang w:eastAsia="zh-CN"/>
        </w:rPr>
        <w:t>；</w:t>
      </w:r>
    </w:p>
    <w:p w14:paraId="6814F9E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（三）本项目的特定资格要</w:t>
      </w:r>
      <w:r>
        <w:rPr>
          <w:rFonts w:hint="eastAsia" w:ascii="宋体" w:hAnsi="宋体" w:eastAsia="宋体" w:cs="宋体"/>
          <w:color w:val="auto"/>
          <w:sz w:val="24"/>
          <w:szCs w:val="24"/>
          <w:highlight w:val="none"/>
        </w:rPr>
        <w:t>求：</w:t>
      </w:r>
    </w:p>
    <w:p w14:paraId="5FFA70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1、供应商须具备省级或以上国家保密局颁发的有效期内的《国家秘密载体印制资质证书》（</w:t>
      </w:r>
      <w:r>
        <w:rPr>
          <w:rFonts w:hint="eastAsia" w:ascii="宋体" w:hAnsi="宋体" w:eastAsia="宋体" w:cs="宋体"/>
          <w:color w:val="auto"/>
          <w:sz w:val="24"/>
          <w:szCs w:val="24"/>
          <w:highlight w:val="none"/>
          <w:lang w:val="en-US" w:eastAsia="zh-CN"/>
        </w:rPr>
        <w:t>须在响应文件中</w:t>
      </w:r>
      <w:r>
        <w:rPr>
          <w:rFonts w:hint="eastAsia" w:ascii="宋体" w:hAnsi="宋体" w:eastAsia="宋体" w:cs="宋体"/>
          <w:color w:val="auto"/>
          <w:sz w:val="24"/>
          <w:szCs w:val="24"/>
          <w:highlight w:val="none"/>
        </w:rPr>
        <w:t>提供资质证书复印件</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rPr>
        <w:t>加盖供应商公章）；</w:t>
      </w:r>
    </w:p>
    <w:p w14:paraId="1ADD62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重庆市外乙级资质单位须提供在重庆市国家保密局有效期内的登记备案证明（</w:t>
      </w:r>
      <w:r>
        <w:rPr>
          <w:rFonts w:hint="eastAsia" w:ascii="宋体" w:hAnsi="宋体" w:eastAsia="宋体" w:cs="宋体"/>
          <w:color w:val="auto"/>
          <w:sz w:val="24"/>
          <w:szCs w:val="24"/>
          <w:highlight w:val="none"/>
          <w:lang w:val="en-US" w:eastAsia="zh-CN"/>
        </w:rPr>
        <w:t>须在响应文件中</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证明材料）</w:t>
      </w:r>
      <w:r>
        <w:rPr>
          <w:rFonts w:hint="eastAsia" w:ascii="宋体" w:hAnsi="宋体" w:eastAsia="宋体" w:cs="宋体"/>
          <w:color w:val="auto"/>
          <w:sz w:val="24"/>
          <w:szCs w:val="24"/>
          <w:highlight w:val="none"/>
          <w:lang w:eastAsia="zh-CN"/>
        </w:rPr>
        <w:t>。</w:t>
      </w:r>
    </w:p>
    <w:p w14:paraId="24A4BF96">
      <w:pPr>
        <w:pStyle w:val="3"/>
        <w:pageBreakBefore w:val="0"/>
        <w:widowControl w:val="0"/>
        <w:kinsoku/>
        <w:wordWrap/>
        <w:overflowPunct/>
        <w:topLinePunct w:val="0"/>
        <w:autoSpaceDE/>
        <w:autoSpaceDN/>
        <w:bidi w:val="0"/>
        <w:adjustRightInd/>
        <w:snapToGrid/>
        <w:spacing w:before="0" w:after="0" w:line="360" w:lineRule="auto"/>
        <w:textAlignment w:val="auto"/>
        <w:rPr>
          <w:rFonts w:ascii="宋体" w:hAnsi="宋体" w:eastAsia="宋体" w:cs="宋体"/>
          <w:color w:val="auto"/>
          <w:sz w:val="24"/>
          <w:szCs w:val="24"/>
          <w:highlight w:val="none"/>
        </w:rPr>
      </w:pPr>
      <w:bookmarkStart w:id="11" w:name="_Toc18946"/>
      <w:r>
        <w:rPr>
          <w:rFonts w:hint="eastAsia" w:ascii="宋体" w:hAnsi="宋体" w:eastAsia="宋体" w:cs="宋体"/>
          <w:color w:val="auto"/>
          <w:sz w:val="24"/>
          <w:szCs w:val="24"/>
          <w:highlight w:val="none"/>
        </w:rPr>
        <w:t>四、磋商有关说明</w:t>
      </w:r>
      <w:bookmarkEnd w:id="7"/>
      <w:bookmarkEnd w:id="11"/>
      <w:bookmarkStart w:id="12" w:name="_Toc373860294"/>
    </w:p>
    <w:p w14:paraId="705D382E">
      <w:pPr>
        <w:pageBreakBefore w:val="0"/>
        <w:widowControl w:val="0"/>
        <w:numPr>
          <w:ilvl w:val="0"/>
          <w:numId w:val="0"/>
        </w:numPr>
        <w:kinsoku/>
        <w:wordWrap/>
        <w:overflowPunct/>
        <w:topLinePunct w:val="0"/>
        <w:autoSpaceDE/>
        <w:autoSpaceDN/>
        <w:bidi w:val="0"/>
        <w:adjustRightInd/>
        <w:snapToGrid/>
        <w:spacing w:line="360" w:lineRule="auto"/>
        <w:ind w:left="80" w:leftChars="0" w:firstLine="480" w:firstLineChars="0"/>
        <w:textAlignment w:val="auto"/>
        <w:rPr>
          <w:rFonts w:ascii="宋体" w:hAnsi="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（一）</w:t>
      </w:r>
      <w:r>
        <w:rPr>
          <w:rFonts w:hint="eastAsia" w:ascii="宋体" w:hAnsi="宋体" w:cs="宋体"/>
          <w:color w:val="auto"/>
          <w:sz w:val="24"/>
          <w:szCs w:val="24"/>
          <w:highlight w:val="none"/>
        </w:rPr>
        <w:t>供应商应通过“行采家”平台(https://www.gec123.com)进行注册，成为行采家平台供应商。咨询电话023-88158017。（供应商注册与否不影响投标文件的有效性）。</w:t>
      </w:r>
    </w:p>
    <w:p w14:paraId="3D318212">
      <w:pPr>
        <w:pageBreakBefore w:val="0"/>
        <w:widowControl w:val="0"/>
        <w:numPr>
          <w:ilvl w:val="0"/>
          <w:numId w:val="0"/>
        </w:numPr>
        <w:kinsoku/>
        <w:wordWrap/>
        <w:overflowPunct/>
        <w:topLinePunct w:val="0"/>
        <w:autoSpaceDE/>
        <w:autoSpaceDN/>
        <w:bidi w:val="0"/>
        <w:adjustRightInd/>
        <w:snapToGrid/>
        <w:spacing w:line="360" w:lineRule="auto"/>
        <w:ind w:left="80" w:leftChars="0" w:firstLine="480" w:firstLineChars="0"/>
        <w:textAlignment w:val="auto"/>
        <w:rPr>
          <w:rFonts w:ascii="宋体" w:hAnsi="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（二）</w:t>
      </w:r>
      <w:r>
        <w:rPr>
          <w:rFonts w:hint="eastAsia" w:ascii="宋体" w:hAnsi="宋体" w:cs="宋体"/>
          <w:color w:val="auto"/>
          <w:sz w:val="24"/>
          <w:szCs w:val="24"/>
          <w:highlight w:val="none"/>
        </w:rPr>
        <w:t>凡有意参加磋商采购的供应商，请于公告发布之日起至提交首次响应文件截止时间之前，在“行采家”平台（www.gec123.com）上下载本项目磋商文件、补遗等磋商前公布的所有项目资料，无论供应商下载与否，均视为已知晓所有磋商实质性要求内容。</w:t>
      </w:r>
    </w:p>
    <w:p w14:paraId="7F741930">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（三）竞争性磋商公告期限：自采购公告发布之日（</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日</w:t>
      </w:r>
      <w:r>
        <w:rPr>
          <w:rFonts w:hint="eastAsia" w:ascii="宋体" w:hAnsi="宋体" w:cs="宋体"/>
          <w:bCs/>
          <w:color w:val="auto"/>
          <w:sz w:val="24"/>
          <w:szCs w:val="24"/>
          <w:highlight w:val="none"/>
        </w:rPr>
        <w:t>）起三个工作日。</w:t>
      </w:r>
    </w:p>
    <w:p w14:paraId="441B96CE">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（四）报名及磋商文件发售</w:t>
      </w:r>
    </w:p>
    <w:p w14:paraId="406A7340">
      <w:pPr>
        <w:spacing w:line="440" w:lineRule="exact"/>
        <w:ind w:firstLine="480" w:firstLineChars="200"/>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rPr>
        <w:t>1.报名和磋商文件发售期：</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日-202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17</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00</w:t>
      </w:r>
    </w:p>
    <w:p w14:paraId="637CDD83">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2.磋商文件售价：人</w:t>
      </w:r>
      <w:r>
        <w:rPr>
          <w:rFonts w:hint="eastAsia" w:ascii="宋体" w:hAnsi="宋体" w:cs="宋体"/>
          <w:color w:val="auto"/>
          <w:sz w:val="24"/>
          <w:szCs w:val="24"/>
          <w:highlight w:val="none"/>
        </w:rPr>
        <w:t>民币</w:t>
      </w:r>
      <w:r>
        <w:rPr>
          <w:rFonts w:hint="eastAsia" w:ascii="宋体" w:hAnsi="宋体" w:cs="宋体"/>
          <w:color w:val="auto"/>
          <w:sz w:val="24"/>
          <w:szCs w:val="24"/>
          <w:highlight w:val="none"/>
          <w:lang w:val="en-US" w:eastAsia="zh-CN"/>
        </w:rPr>
        <w:t>300.00</w:t>
      </w:r>
      <w:r>
        <w:rPr>
          <w:rFonts w:hint="eastAsia" w:ascii="宋体" w:hAnsi="宋体" w:cs="宋体"/>
          <w:color w:val="auto"/>
          <w:sz w:val="24"/>
          <w:szCs w:val="24"/>
          <w:highlight w:val="none"/>
        </w:rPr>
        <w:t>元/份（</w:t>
      </w:r>
      <w:r>
        <w:rPr>
          <w:rFonts w:hint="eastAsia" w:ascii="宋体" w:hAnsi="宋体" w:cs="宋体"/>
          <w:bCs/>
          <w:color w:val="auto"/>
          <w:sz w:val="24"/>
          <w:szCs w:val="24"/>
          <w:highlight w:val="none"/>
        </w:rPr>
        <w:t>售后不退）</w:t>
      </w:r>
    </w:p>
    <w:p w14:paraId="62DA991D">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2.1磋商文件购买方式</w:t>
      </w:r>
    </w:p>
    <w:p w14:paraId="7DDE7049">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2.1.1</w:t>
      </w:r>
      <w:r>
        <w:rPr>
          <w:rFonts w:hint="eastAsia" w:ascii="宋体" w:hAnsi="宋体" w:cs="宋体"/>
          <w:b/>
          <w:color w:val="auto"/>
          <w:sz w:val="24"/>
          <w:szCs w:val="24"/>
          <w:highlight w:val="none"/>
        </w:rPr>
        <w:t>现金购买</w:t>
      </w:r>
    </w:p>
    <w:p w14:paraId="1436D63B">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在磋商文件发售期内，供应商到</w:t>
      </w:r>
      <w:r>
        <w:rPr>
          <w:rFonts w:hint="eastAsia" w:ascii="宋体" w:hAnsi="宋体" w:cs="宋体"/>
          <w:color w:val="auto"/>
          <w:sz w:val="24"/>
          <w:szCs w:val="24"/>
          <w:highlight w:val="none"/>
          <w:lang w:eastAsia="zh-CN"/>
        </w:rPr>
        <w:t>重庆市渝北区栖霞路18号1幢1单元17-1</w:t>
      </w:r>
      <w:r>
        <w:rPr>
          <w:rFonts w:hint="eastAsia" w:ascii="宋体" w:hAnsi="宋体" w:cs="宋体"/>
          <w:bCs/>
          <w:color w:val="auto"/>
          <w:sz w:val="24"/>
          <w:szCs w:val="24"/>
          <w:highlight w:val="none"/>
        </w:rPr>
        <w:t xml:space="preserve">登记递交《采购文件发售登记表》（加盖供应商公章）并购买磋商文件。 </w:t>
      </w:r>
    </w:p>
    <w:p w14:paraId="11346228">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2.1.2</w:t>
      </w:r>
      <w:r>
        <w:rPr>
          <w:rFonts w:hint="eastAsia" w:ascii="宋体" w:hAnsi="宋体" w:cs="宋体"/>
          <w:b/>
          <w:color w:val="auto"/>
          <w:sz w:val="24"/>
          <w:szCs w:val="24"/>
          <w:highlight w:val="none"/>
        </w:rPr>
        <w:t>汇款购买</w:t>
      </w:r>
    </w:p>
    <w:p w14:paraId="6BD94383">
      <w:pPr>
        <w:wordWrap w:val="0"/>
        <w:spacing w:line="440" w:lineRule="exact"/>
        <w:ind w:firstLine="560" w:firstLineChars="200"/>
        <w:rPr>
          <w:rFonts w:ascii="宋体" w:hAnsi="宋体" w:cs="宋体"/>
          <w:bCs/>
          <w:color w:val="auto"/>
          <w:sz w:val="24"/>
          <w:szCs w:val="24"/>
          <w:highlight w:val="none"/>
        </w:rPr>
      </w:pPr>
      <w:r>
        <w:rPr>
          <w:color w:val="auto"/>
          <w:highlight w:val="none"/>
        </w:rPr>
        <w:fldChar w:fldCharType="begin"/>
      </w:r>
      <w:r>
        <w:rPr>
          <w:color w:val="auto"/>
          <w:highlight w:val="none"/>
        </w:rPr>
        <w:instrText xml:space="preserve"> HYPERLINK "mailto:在磋商文件发售期内，供应商将磋商文件购买费用汇至以下账户内进行购买。通过汇款方式购买磋商文件的，将磋商文件汇款凭证（注明项目号）、《重庆鼎创招标代理有限公司采购文件发售登记表》（加盖供应商公章）扫描后发送至920067666@qq.com（邮箱）。报名成功时间以代理机构收到以上资料邮箱的显示时间为准。" </w:instrText>
      </w:r>
      <w:r>
        <w:rPr>
          <w:color w:val="auto"/>
          <w:highlight w:val="none"/>
        </w:rPr>
        <w:fldChar w:fldCharType="separate"/>
      </w:r>
      <w:r>
        <w:rPr>
          <w:rStyle w:val="65"/>
          <w:rFonts w:hint="eastAsia" w:ascii="宋体" w:hAnsi="宋体" w:cs="宋体"/>
          <w:bCs/>
          <w:color w:val="auto"/>
          <w:sz w:val="24"/>
          <w:szCs w:val="24"/>
          <w:highlight w:val="none"/>
        </w:rPr>
        <w:t>在磋商文件发售期内，供应商将《采购文件发售登记表》（加盖供应商公章）扫描后发送至</w:t>
      </w:r>
      <w:r>
        <w:rPr>
          <w:rStyle w:val="65"/>
          <w:rFonts w:hint="eastAsia" w:ascii="宋体" w:hAnsi="宋体" w:cs="宋体"/>
          <w:bCs/>
          <w:color w:val="auto"/>
          <w:sz w:val="24"/>
          <w:szCs w:val="24"/>
          <w:highlight w:val="none"/>
          <w:lang w:val="en-US" w:eastAsia="zh-CN"/>
        </w:rPr>
        <w:t>1026797045@qq.com</w:t>
      </w:r>
      <w:r>
        <w:rPr>
          <w:rStyle w:val="65"/>
          <w:rFonts w:hint="eastAsia" w:ascii="宋体" w:hAnsi="宋体" w:cs="宋体"/>
          <w:bCs/>
          <w:color w:val="auto"/>
          <w:sz w:val="24"/>
          <w:szCs w:val="24"/>
          <w:highlight w:val="none"/>
        </w:rPr>
        <w:t>（邮箱）。报名成功时间以代理机构收到以上资料邮箱的显示时间为准。</w:t>
      </w:r>
      <w:r>
        <w:rPr>
          <w:rStyle w:val="65"/>
          <w:rFonts w:hint="eastAsia" w:ascii="宋体" w:hAnsi="宋体" w:cs="宋体"/>
          <w:bCs/>
          <w:color w:val="auto"/>
          <w:sz w:val="24"/>
          <w:szCs w:val="24"/>
          <w:highlight w:val="none"/>
        </w:rPr>
        <w:fldChar w:fldCharType="end"/>
      </w:r>
    </w:p>
    <w:p w14:paraId="5493DD07">
      <w:pPr>
        <w:spacing w:line="44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户  名：重庆龙锐工程咨询有限公司</w:t>
      </w:r>
    </w:p>
    <w:p w14:paraId="246120D1">
      <w:pPr>
        <w:spacing w:line="44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 xml:space="preserve">开户行：中国建设银行股份有限公司重庆渝北金科支行  </w:t>
      </w:r>
    </w:p>
    <w:p w14:paraId="7759454F">
      <w:pPr>
        <w:spacing w:line="44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账  号：50050108660009666666 </w:t>
      </w:r>
    </w:p>
    <w:p w14:paraId="0792E251">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在报名和磋商文件发售期内购买了磋商文件并按以上要求提交了相应资料的供应商，其现场报名才被接收。</w:t>
      </w:r>
    </w:p>
    <w:p w14:paraId="4F34DDA9">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（五）供应商须满足以下二种条件，其响应文件才被接受：</w:t>
      </w:r>
    </w:p>
    <w:p w14:paraId="157F8A50">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1、按时递交了响应文件；</w:t>
      </w:r>
    </w:p>
    <w:p w14:paraId="75EE99FF">
      <w:pPr>
        <w:spacing w:line="44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2、按时报名签到。</w:t>
      </w:r>
    </w:p>
    <w:p w14:paraId="10C6702F">
      <w:pPr>
        <w:spacing w:line="360" w:lineRule="auto"/>
        <w:ind w:firstLine="480" w:firstLineChars="200"/>
        <w:rPr>
          <w:rFonts w:hint="eastAsia" w:ascii="宋体" w:hAnsi="宋体" w:eastAsia="宋体" w:cs="宋体"/>
          <w:bCs/>
          <w:color w:val="auto"/>
          <w:sz w:val="24"/>
          <w:szCs w:val="24"/>
          <w:highlight w:val="none"/>
          <w:lang w:eastAsia="zh-CN"/>
        </w:rPr>
      </w:pPr>
      <w:bookmarkStart w:id="13" w:name="_Toc8970"/>
      <w:r>
        <w:rPr>
          <w:rFonts w:hint="eastAsia" w:ascii="宋体" w:hAnsi="宋体" w:cs="宋体"/>
          <w:bCs/>
          <w:color w:val="auto"/>
          <w:sz w:val="24"/>
          <w:szCs w:val="24"/>
          <w:highlight w:val="none"/>
        </w:rPr>
        <w:t>（六）磋商地点：</w:t>
      </w:r>
      <w:r>
        <w:rPr>
          <w:rFonts w:hint="eastAsia" w:ascii="宋体" w:hAnsi="宋体" w:cs="宋体"/>
          <w:color w:val="auto"/>
          <w:sz w:val="24"/>
          <w:szCs w:val="24"/>
          <w:highlight w:val="none"/>
          <w:lang w:eastAsia="zh-CN"/>
        </w:rPr>
        <w:t>重庆龙锐工程咨询有限公司</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重庆市渝北区栖霞路18号1幢1单元17-1</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p>
    <w:p w14:paraId="74F6EE8D">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（七）提交响应文件开始时间：</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日</w:t>
      </w:r>
      <w:r>
        <w:rPr>
          <w:rFonts w:hint="eastAsia" w:ascii="宋体" w:hAnsi="宋体" w:cs="宋体"/>
          <w:bCs/>
          <w:color w:val="auto"/>
          <w:sz w:val="24"/>
          <w:szCs w:val="24"/>
          <w:highlight w:val="none"/>
          <w:lang w:val="en-US" w:eastAsia="zh-CN"/>
        </w:rPr>
        <w:t>14</w:t>
      </w:r>
      <w:r>
        <w:rPr>
          <w:rFonts w:hint="eastAsia" w:ascii="宋体" w:hAnsi="宋体" w:cs="宋体"/>
          <w:bCs/>
          <w:color w:val="auto"/>
          <w:sz w:val="24"/>
          <w:szCs w:val="24"/>
          <w:highlight w:val="none"/>
        </w:rPr>
        <w:t>时</w:t>
      </w:r>
      <w:r>
        <w:rPr>
          <w:rFonts w:hint="eastAsia" w:ascii="宋体" w:hAnsi="宋体" w:cs="宋体"/>
          <w:bCs/>
          <w:color w:val="auto"/>
          <w:sz w:val="24"/>
          <w:szCs w:val="24"/>
          <w:highlight w:val="none"/>
          <w:lang w:val="en-US" w:eastAsia="zh-CN"/>
        </w:rPr>
        <w:t>00</w:t>
      </w:r>
      <w:r>
        <w:rPr>
          <w:rFonts w:hint="eastAsia" w:ascii="宋体" w:hAnsi="宋体" w:cs="宋体"/>
          <w:bCs/>
          <w:color w:val="auto"/>
          <w:sz w:val="24"/>
          <w:szCs w:val="24"/>
          <w:highlight w:val="none"/>
        </w:rPr>
        <w:t>分。</w:t>
      </w:r>
    </w:p>
    <w:p w14:paraId="1156F605">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（八）提交响应文件截止时间：</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14</w:t>
      </w:r>
      <w:r>
        <w:rPr>
          <w:rFonts w:hint="eastAsia" w:ascii="宋体" w:hAnsi="宋体" w:cs="宋体"/>
          <w:bCs/>
          <w:color w:val="auto"/>
          <w:sz w:val="24"/>
          <w:szCs w:val="24"/>
          <w:highlight w:val="none"/>
        </w:rPr>
        <w:t>时</w:t>
      </w:r>
      <w:r>
        <w:rPr>
          <w:rFonts w:hint="eastAsia" w:ascii="宋体" w:hAnsi="宋体" w:cs="宋体"/>
          <w:color w:val="auto"/>
          <w:sz w:val="24"/>
          <w:szCs w:val="24"/>
          <w:highlight w:val="none"/>
          <w:lang w:val="en-US" w:eastAsia="zh-CN"/>
        </w:rPr>
        <w:t>30</w:t>
      </w:r>
      <w:r>
        <w:rPr>
          <w:rFonts w:hint="eastAsia" w:ascii="宋体" w:hAnsi="宋体" w:cs="宋体"/>
          <w:bCs/>
          <w:color w:val="auto"/>
          <w:sz w:val="24"/>
          <w:szCs w:val="24"/>
          <w:highlight w:val="none"/>
        </w:rPr>
        <w:t>分。</w:t>
      </w:r>
    </w:p>
    <w:p w14:paraId="1B742A6B">
      <w:pPr>
        <w:spacing w:line="44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（九）磋商开始时间：</w:t>
      </w: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14</w:t>
      </w:r>
      <w:r>
        <w:rPr>
          <w:rFonts w:hint="eastAsia" w:ascii="宋体" w:hAnsi="宋体" w:cs="宋体"/>
          <w:bCs/>
          <w:color w:val="auto"/>
          <w:sz w:val="24"/>
          <w:szCs w:val="24"/>
          <w:highlight w:val="none"/>
        </w:rPr>
        <w:t>时</w:t>
      </w:r>
      <w:r>
        <w:rPr>
          <w:rFonts w:hint="eastAsia" w:ascii="宋体" w:hAnsi="宋体" w:cs="宋体"/>
          <w:color w:val="auto"/>
          <w:sz w:val="24"/>
          <w:szCs w:val="24"/>
          <w:highlight w:val="none"/>
          <w:lang w:val="en-US" w:eastAsia="zh-CN"/>
        </w:rPr>
        <w:t>30</w:t>
      </w:r>
      <w:r>
        <w:rPr>
          <w:rFonts w:hint="eastAsia" w:ascii="宋体" w:hAnsi="宋体" w:cs="宋体"/>
          <w:bCs/>
          <w:color w:val="auto"/>
          <w:sz w:val="24"/>
          <w:szCs w:val="24"/>
          <w:highlight w:val="none"/>
        </w:rPr>
        <w:t>分。</w:t>
      </w:r>
      <w:bookmarkEnd w:id="8"/>
      <w:bookmarkEnd w:id="12"/>
      <w:bookmarkEnd w:id="13"/>
      <w:bookmarkStart w:id="14" w:name="_Toc479668114"/>
      <w:bookmarkStart w:id="15" w:name="_Toc480466698"/>
      <w:bookmarkStart w:id="16" w:name="_Toc499576199"/>
    </w:p>
    <w:p w14:paraId="25BEA372">
      <w:pPr>
        <w:pStyle w:val="3"/>
        <w:spacing w:before="0" w:after="0" w:line="440" w:lineRule="exact"/>
        <w:rPr>
          <w:rFonts w:ascii="宋体" w:hAnsi="宋体" w:eastAsia="宋体" w:cs="宋体"/>
          <w:color w:val="auto"/>
          <w:sz w:val="24"/>
          <w:szCs w:val="24"/>
          <w:highlight w:val="none"/>
        </w:rPr>
      </w:pPr>
      <w:bookmarkStart w:id="17" w:name="_Toc13746"/>
      <w:bookmarkStart w:id="18" w:name="_Toc6553"/>
      <w:r>
        <w:rPr>
          <w:rFonts w:hint="eastAsia" w:ascii="宋体" w:hAnsi="宋体" w:eastAsia="宋体" w:cs="宋体"/>
          <w:color w:val="auto"/>
          <w:sz w:val="24"/>
          <w:szCs w:val="24"/>
          <w:highlight w:val="none"/>
        </w:rPr>
        <w:t>五、保证金</w:t>
      </w:r>
      <w:bookmarkEnd w:id="17"/>
      <w:r>
        <w:rPr>
          <w:rFonts w:hint="eastAsia" w:ascii="宋体" w:hAnsi="宋体" w:eastAsia="宋体" w:cs="宋体"/>
          <w:color w:val="auto"/>
          <w:sz w:val="24"/>
          <w:szCs w:val="24"/>
          <w:highlight w:val="none"/>
        </w:rPr>
        <w:t>（本项目无）</w:t>
      </w:r>
      <w:bookmarkEnd w:id="18"/>
    </w:p>
    <w:p w14:paraId="5DCBD73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（一）保证金递交</w:t>
      </w:r>
    </w:p>
    <w:p w14:paraId="5FBB6163">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供应商须按本项目规定的保证金金额进行缴纳（保证金金额详见本篇，一、竞争性磋商文件内容），由供应商从其基本账户将保证金汇至以下账户，保证金的到账截止时间同提交响应文件截止时间。</w:t>
      </w:r>
    </w:p>
    <w:p w14:paraId="24F65C3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保证金专用账户</w:t>
      </w:r>
    </w:p>
    <w:p w14:paraId="0A681FAD">
      <w:pPr>
        <w:spacing w:line="440" w:lineRule="exact"/>
        <w:ind w:firstLine="480" w:firstLineChars="200"/>
        <w:rPr>
          <w:rFonts w:hint="eastAsia" w:ascii="宋体" w:hAnsi="宋体" w:cs="宋体"/>
          <w:bCs/>
          <w:color w:val="auto"/>
          <w:sz w:val="24"/>
          <w:szCs w:val="24"/>
          <w:highlight w:val="none"/>
        </w:rPr>
      </w:pPr>
      <w:r>
        <w:rPr>
          <w:rFonts w:hint="eastAsia" w:ascii="宋体" w:hAnsi="宋体" w:cs="宋体"/>
          <w:color w:val="auto"/>
          <w:sz w:val="24"/>
          <w:szCs w:val="24"/>
          <w:highlight w:val="none"/>
        </w:rPr>
        <w:t>户  名：</w:t>
      </w:r>
      <w:r>
        <w:rPr>
          <w:rFonts w:hint="eastAsia" w:ascii="宋体" w:hAnsi="宋体" w:cs="宋体"/>
          <w:bCs/>
          <w:color w:val="auto"/>
          <w:sz w:val="24"/>
          <w:szCs w:val="24"/>
          <w:highlight w:val="none"/>
        </w:rPr>
        <w:t>重庆龙锐工程咨询有限公司</w:t>
      </w:r>
    </w:p>
    <w:p w14:paraId="28F49AC1">
      <w:pPr>
        <w:spacing w:line="44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 xml:space="preserve">开户行：中国建设银行股份有限公司重庆渝北金科支行  </w:t>
      </w:r>
    </w:p>
    <w:p w14:paraId="7BF9A180">
      <w:pPr>
        <w:spacing w:line="44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账  号：50050108660009666666 </w:t>
      </w:r>
    </w:p>
    <w:p w14:paraId="4D8B9FE8">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1、各供应商在银行转账（电汇）时，须充分考虑银行转账（电汇）的时间差风险，如同城转账、异地转账或汇款、跨行转账或电汇的时间要求。</w:t>
      </w:r>
    </w:p>
    <w:p w14:paraId="5718D24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2、各供应商在递交保证金时，到款账户为上述指定的保证金专用账户，来款账户必须为本公司基本账户。</w:t>
      </w:r>
    </w:p>
    <w:p w14:paraId="17C22AF9">
      <w:pPr>
        <w:snapToGrid w:val="0"/>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 xml:space="preserve"> 注：各供应商在通过银行转账（电汇）递交保证金时，须在包含但不限于“汇款备注、用途、摘要”栏说明该款项为“磋商保证金”若供应商未按以上要求说明款项用途的，在保证金退还时造成的后果由供应商自行承担。</w:t>
      </w:r>
    </w:p>
    <w:p w14:paraId="40702BEB">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（二）保证金退还方式</w:t>
      </w:r>
    </w:p>
    <w:p w14:paraId="7FA17E3A">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1、未成交供应商的磋商保证金，在成交通知书发放后，由采购代理机构在五个工作日内按来款渠道直接退还。</w:t>
      </w:r>
    </w:p>
    <w:p w14:paraId="5476ACAA">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2、成交供应商的磋商保证金，在成交供应商与采购人签订合同后，由采购代理机构在五个工作日内按资金来款渠道直接退还。</w:t>
      </w:r>
    </w:p>
    <w:p w14:paraId="2750706A">
      <w:pPr>
        <w:pStyle w:val="3"/>
        <w:spacing w:before="0" w:after="0" w:line="440" w:lineRule="exact"/>
        <w:rPr>
          <w:rFonts w:ascii="宋体" w:hAnsi="宋体" w:eastAsia="宋体" w:cs="宋体"/>
          <w:color w:val="auto"/>
          <w:sz w:val="24"/>
          <w:szCs w:val="24"/>
          <w:highlight w:val="none"/>
        </w:rPr>
      </w:pPr>
      <w:bookmarkStart w:id="19" w:name="_Toc4640"/>
      <w:r>
        <w:rPr>
          <w:rFonts w:hint="eastAsia" w:ascii="宋体" w:hAnsi="宋体" w:eastAsia="宋体" w:cs="宋体"/>
          <w:color w:val="auto"/>
          <w:sz w:val="24"/>
          <w:szCs w:val="24"/>
          <w:highlight w:val="none"/>
        </w:rPr>
        <w:t>六、采购项目需落实的政府采购政策</w:t>
      </w:r>
      <w:bookmarkEnd w:id="14"/>
      <w:bookmarkEnd w:id="15"/>
      <w:bookmarkEnd w:id="16"/>
      <w:bookmarkEnd w:id="19"/>
    </w:p>
    <w:p w14:paraId="299A6783">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45176E9B">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（二）按照《财政部 工业和信息化部关于印发&lt;政府采购促进中小企业发展管理办法&gt;的通知》（财库〔2020〕46号）的规定，落实促进中小企业发展政策。</w:t>
      </w:r>
    </w:p>
    <w:p w14:paraId="30477D78">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（三）按照《财政部、司法部关于政府采购支持监狱企业发展有关问题的通知》（财库〔2014〕68号）的规定，落实支持监狱企业发展政策。</w:t>
      </w:r>
    </w:p>
    <w:p w14:paraId="10AFB60E">
      <w:pPr>
        <w:snapToGrid w:val="0"/>
        <w:spacing w:line="440" w:lineRule="exact"/>
        <w:ind w:firstLine="480" w:firstLineChars="200"/>
        <w:rPr>
          <w:rFonts w:ascii="宋体" w:hAnsi="宋体" w:cs="宋体"/>
          <w:color w:val="auto"/>
          <w:sz w:val="24"/>
          <w:szCs w:val="24"/>
          <w:highlight w:val="none"/>
        </w:rPr>
      </w:pPr>
      <w:bookmarkStart w:id="20" w:name="_Toc16319"/>
      <w:bookmarkStart w:id="21" w:name="_Toc6620"/>
      <w:bookmarkStart w:id="22" w:name="_Toc15260"/>
      <w:r>
        <w:rPr>
          <w:rFonts w:hint="eastAsia" w:ascii="宋体" w:hAnsi="宋体" w:cs="宋体"/>
          <w:color w:val="auto"/>
          <w:sz w:val="24"/>
          <w:szCs w:val="24"/>
          <w:highlight w:val="none"/>
        </w:rPr>
        <w:t>（四）按照《三部门联合发布关于促进残疾人就业政府采购政策的通知》（财库〔2017〕 141号）的规定，落实支持残疾人福利性单位发展政策。</w:t>
      </w:r>
      <w:bookmarkEnd w:id="20"/>
      <w:bookmarkEnd w:id="21"/>
      <w:bookmarkEnd w:id="22"/>
    </w:p>
    <w:p w14:paraId="70A4830E">
      <w:pPr>
        <w:pStyle w:val="3"/>
        <w:spacing w:before="0" w:after="0" w:line="440" w:lineRule="exact"/>
        <w:rPr>
          <w:rFonts w:ascii="宋体" w:hAnsi="宋体" w:eastAsia="宋体" w:cs="宋体"/>
          <w:color w:val="auto"/>
          <w:sz w:val="24"/>
          <w:szCs w:val="24"/>
          <w:highlight w:val="none"/>
        </w:rPr>
      </w:pPr>
      <w:bookmarkStart w:id="23" w:name="_Toc16860"/>
      <w:r>
        <w:rPr>
          <w:rFonts w:hint="eastAsia" w:ascii="宋体" w:hAnsi="宋体" w:eastAsia="宋体" w:cs="宋体"/>
          <w:color w:val="auto"/>
          <w:sz w:val="24"/>
          <w:szCs w:val="24"/>
          <w:highlight w:val="none"/>
        </w:rPr>
        <w:t>七、其它有关规定</w:t>
      </w:r>
      <w:bookmarkEnd w:id="23"/>
    </w:p>
    <w:p w14:paraId="28B83927">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（一）单位负责人为同一人或者存在直接控股、管理关系的不同供应商，不得参加同一合同项下的政府采购活动，否则均为无效响应。</w:t>
      </w:r>
    </w:p>
    <w:p w14:paraId="269A6BDA">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（二）为采购项目提供整体设计、规范编制或者项目管理、监理、检测等服务的供应商，不得再参加该采购项目的其他采购活动，否则均为无效响应。</w:t>
      </w:r>
    </w:p>
    <w:p w14:paraId="0DA8E170">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（三）本项目的补遗文件（如果有）一律在“行采家”上发布，请各供应商注意下载；无论供应商下载与否，均视同供应商已知晓本项目补遗文件（如果有）的内容。</w:t>
      </w:r>
    </w:p>
    <w:p w14:paraId="00615200">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（四）超过响应文件截止时间递交的响应文件，恕不接收。</w:t>
      </w:r>
    </w:p>
    <w:p w14:paraId="06A655CB">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（五）磋商费用：无论磋商结果如何，供应商参与本项目磋商的所有费用均应由供应商自行承担。</w:t>
      </w:r>
    </w:p>
    <w:p w14:paraId="4BB3EF00">
      <w:pPr>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（六）本项目不接受联合体参与磋商。</w:t>
      </w:r>
    </w:p>
    <w:p w14:paraId="4C00F947">
      <w:pPr>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（七）本项目不接受分包。</w:t>
      </w:r>
    </w:p>
    <w:p w14:paraId="49712FA1">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八</w:t>
      </w:r>
      <w:r>
        <w:rPr>
          <w:rFonts w:hint="eastAsia" w:ascii="宋体" w:hAnsi="宋体" w:cs="宋体"/>
          <w:color w:val="auto"/>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0CF49040">
      <w:pPr>
        <w:pStyle w:val="3"/>
        <w:spacing w:before="0" w:after="0" w:line="440" w:lineRule="exact"/>
        <w:rPr>
          <w:rFonts w:ascii="宋体" w:hAnsi="宋体" w:eastAsia="宋体" w:cs="宋体"/>
          <w:color w:val="auto"/>
          <w:sz w:val="24"/>
          <w:szCs w:val="24"/>
          <w:highlight w:val="none"/>
        </w:rPr>
      </w:pPr>
      <w:bookmarkStart w:id="24" w:name="_Toc14625"/>
      <w:r>
        <w:rPr>
          <w:rFonts w:hint="eastAsia" w:ascii="宋体" w:hAnsi="宋体" w:eastAsia="宋体" w:cs="宋体"/>
          <w:color w:val="auto"/>
          <w:sz w:val="24"/>
          <w:szCs w:val="24"/>
          <w:highlight w:val="none"/>
        </w:rPr>
        <w:t>八、联系方式</w:t>
      </w:r>
      <w:bookmarkEnd w:id="24"/>
    </w:p>
    <w:p w14:paraId="137BF66A">
      <w:pPr>
        <w:snapToGrid w:val="0"/>
        <w:spacing w:line="440" w:lineRule="exact"/>
        <w:ind w:firstLine="960" w:firstLine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（一）采购人：</w:t>
      </w:r>
      <w:r>
        <w:rPr>
          <w:rFonts w:hint="eastAsia" w:ascii="宋体" w:hAnsi="宋体" w:cs="宋体"/>
          <w:color w:val="auto"/>
          <w:sz w:val="24"/>
          <w:szCs w:val="24"/>
          <w:highlight w:val="none"/>
          <w:lang w:eastAsia="zh-CN"/>
        </w:rPr>
        <w:t>重庆市荣昌区就业和人才中心</w:t>
      </w:r>
    </w:p>
    <w:p w14:paraId="4C34EE8E">
      <w:pPr>
        <w:spacing w:line="440" w:lineRule="exact"/>
        <w:ind w:firstLine="960" w:firstLine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 xml:space="preserve"> 李老师</w:t>
      </w:r>
    </w:p>
    <w:p w14:paraId="7F7EAB1A">
      <w:pPr>
        <w:spacing w:line="440" w:lineRule="exact"/>
        <w:ind w:firstLine="960" w:firstLineChars="4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电  话：</w:t>
      </w:r>
      <w:r>
        <w:rPr>
          <w:rFonts w:hint="eastAsia" w:ascii="宋体" w:hAnsi="宋体" w:cs="宋体"/>
          <w:color w:val="auto"/>
          <w:sz w:val="24"/>
          <w:szCs w:val="24"/>
          <w:highlight w:val="none"/>
          <w:lang w:val="en-US" w:eastAsia="zh-CN"/>
        </w:rPr>
        <w:t>023-46773481</w:t>
      </w:r>
    </w:p>
    <w:p w14:paraId="242E4463">
      <w:pPr>
        <w:spacing w:line="440" w:lineRule="exact"/>
        <w:ind w:firstLine="960" w:firstLineChars="400"/>
        <w:rPr>
          <w:rFonts w:hint="default" w:ascii="宋体" w:hAnsi="宋体" w:cs="宋体"/>
          <w:color w:val="auto"/>
          <w:sz w:val="24"/>
          <w:szCs w:val="24"/>
          <w:highlight w:val="none"/>
          <w:lang w:val="en-US"/>
        </w:rPr>
      </w:pPr>
      <w:r>
        <w:rPr>
          <w:rFonts w:hint="eastAsia" w:ascii="宋体" w:hAnsi="宋体" w:cs="宋体"/>
          <w:color w:val="auto"/>
          <w:sz w:val="24"/>
          <w:szCs w:val="24"/>
          <w:highlight w:val="none"/>
        </w:rPr>
        <w:t>地  址：</w:t>
      </w:r>
      <w:r>
        <w:rPr>
          <w:rFonts w:hint="eastAsia" w:ascii="宋体" w:hAnsi="宋体" w:cs="宋体"/>
          <w:color w:val="auto"/>
          <w:sz w:val="24"/>
          <w:szCs w:val="24"/>
          <w:highlight w:val="none"/>
          <w:lang w:eastAsia="zh-CN"/>
        </w:rPr>
        <w:t>重庆市荣昌区昌州大道中段</w:t>
      </w:r>
      <w:r>
        <w:rPr>
          <w:rFonts w:hint="eastAsia" w:ascii="宋体" w:hAnsi="宋体" w:cs="宋体"/>
          <w:color w:val="auto"/>
          <w:sz w:val="24"/>
          <w:szCs w:val="24"/>
          <w:highlight w:val="none"/>
          <w:lang w:val="en-US" w:eastAsia="zh-CN"/>
        </w:rPr>
        <w:t>75号</w:t>
      </w:r>
    </w:p>
    <w:p w14:paraId="237B409C">
      <w:pPr>
        <w:spacing w:line="440" w:lineRule="exact"/>
        <w:ind w:firstLine="960" w:firstLineChars="4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采购代理机构：</w:t>
      </w:r>
      <w:r>
        <w:rPr>
          <w:rFonts w:hint="eastAsia" w:ascii="宋体" w:hAnsi="宋体" w:cs="宋体"/>
          <w:color w:val="auto"/>
          <w:sz w:val="24"/>
          <w:szCs w:val="24"/>
          <w:highlight w:val="none"/>
          <w:lang w:eastAsia="zh-CN"/>
        </w:rPr>
        <w:t>重庆龙锐工程咨询有限公司</w:t>
      </w:r>
    </w:p>
    <w:p w14:paraId="59B65632">
      <w:pPr>
        <w:spacing w:line="440" w:lineRule="exact"/>
        <w:ind w:firstLine="960" w:firstLineChars="4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联系人：李老师</w:t>
      </w:r>
    </w:p>
    <w:p w14:paraId="4B966E8F">
      <w:pPr>
        <w:spacing w:line="440" w:lineRule="exact"/>
        <w:ind w:firstLine="960" w:firstLineChars="4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 话：023-60390807</w:t>
      </w:r>
    </w:p>
    <w:p w14:paraId="11EA5F18">
      <w:pPr>
        <w:spacing w:line="440" w:lineRule="exact"/>
        <w:ind w:firstLine="960" w:firstLineChars="4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地 址：重庆市渝北区栖霞路18号1幢1单元17-1 </w:t>
      </w:r>
    </w:p>
    <w:p w14:paraId="164552CA">
      <w:pPr>
        <w:kinsoku/>
        <w:wordWrap/>
        <w:overflowPunct/>
        <w:topLinePunct w:val="0"/>
        <w:bidi w:val="0"/>
        <w:spacing w:line="520" w:lineRule="exact"/>
        <w:jc w:val="center"/>
        <w:rPr>
          <w:rFonts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lang w:val="en-US" w:eastAsia="zh-CN"/>
        </w:rPr>
        <w:t>采购</w:t>
      </w:r>
      <w:r>
        <w:rPr>
          <w:rFonts w:hint="eastAsia" w:asciiTheme="minorEastAsia" w:hAnsiTheme="minorEastAsia" w:eastAsiaTheme="minorEastAsia" w:cstheme="minorEastAsia"/>
          <w:b/>
          <w:bCs/>
          <w:color w:val="auto"/>
          <w:sz w:val="44"/>
          <w:szCs w:val="44"/>
          <w:highlight w:val="none"/>
        </w:rPr>
        <w:t>文件发售登记表</w:t>
      </w:r>
    </w:p>
    <w:p w14:paraId="60DC560F">
      <w:pPr>
        <w:kinsoku/>
        <w:wordWrap/>
        <w:overflowPunct/>
        <w:topLinePunct w:val="0"/>
        <w:bidi w:val="0"/>
        <w:spacing w:line="520" w:lineRule="exact"/>
        <w:jc w:val="left"/>
        <w:rPr>
          <w:rFonts w:asciiTheme="minorEastAsia" w:hAnsiTheme="minorEastAsia" w:eastAsiaTheme="minorEastAsia" w:cstheme="minorEastAsia"/>
          <w:b/>
          <w:bCs/>
          <w:color w:val="auto"/>
          <w:spacing w:val="40"/>
          <w:highlight w:val="none"/>
        </w:rPr>
      </w:pPr>
    </w:p>
    <w:tbl>
      <w:tblPr>
        <w:tblStyle w:val="57"/>
        <w:tblW w:w="893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081"/>
        <w:gridCol w:w="958"/>
        <w:gridCol w:w="3616"/>
      </w:tblGrid>
      <w:tr w14:paraId="48C84E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2275" w:type="dxa"/>
            <w:vAlign w:val="center"/>
          </w:tcPr>
          <w:p w14:paraId="70D42E77">
            <w:pPr>
              <w:kinsoku/>
              <w:wordWrap/>
              <w:overflowPunct/>
              <w:topLinePunct w:val="0"/>
              <w:bidi w:val="0"/>
              <w:spacing w:line="520" w:lineRule="exact"/>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项目编号</w:t>
            </w:r>
          </w:p>
          <w:p w14:paraId="26E494AC">
            <w:pPr>
              <w:kinsoku/>
              <w:wordWrap/>
              <w:overflowPunct/>
              <w:topLinePunct w:val="0"/>
              <w:bidi w:val="0"/>
              <w:spacing w:line="520" w:lineRule="exact"/>
              <w:jc w:val="center"/>
              <w:rPr>
                <w:rFonts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项目名称</w:t>
            </w:r>
          </w:p>
        </w:tc>
        <w:tc>
          <w:tcPr>
            <w:tcW w:w="6655" w:type="dxa"/>
            <w:gridSpan w:val="3"/>
            <w:vAlign w:val="center"/>
          </w:tcPr>
          <w:p w14:paraId="6BD59D7F">
            <w:pPr>
              <w:kinsoku/>
              <w:wordWrap/>
              <w:overflowPunct/>
              <w:topLinePunct w:val="0"/>
              <w:bidi w:val="0"/>
              <w:spacing w:line="520" w:lineRule="exact"/>
              <w:jc w:val="left"/>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rPr>
              <w:t>项目编号：</w:t>
            </w:r>
            <w:r>
              <w:rPr>
                <w:rFonts w:hint="eastAsia" w:asciiTheme="minorEastAsia" w:hAnsiTheme="minorEastAsia" w:eastAsiaTheme="minorEastAsia" w:cstheme="minorEastAsia"/>
                <w:b/>
                <w:bCs/>
                <w:color w:val="auto"/>
                <w:sz w:val="30"/>
                <w:szCs w:val="30"/>
                <w:highlight w:val="none"/>
                <w:lang w:val="en-US" w:eastAsia="zh-CN"/>
              </w:rPr>
              <w:t xml:space="preserve"> </w:t>
            </w:r>
          </w:p>
          <w:p w14:paraId="10332663">
            <w:pPr>
              <w:kinsoku/>
              <w:wordWrap/>
              <w:overflowPunct/>
              <w:topLinePunct w:val="0"/>
              <w:bidi w:val="0"/>
              <w:spacing w:line="520" w:lineRule="exact"/>
              <w:jc w:val="left"/>
              <w:rPr>
                <w:rFonts w:hint="eastAsia" w:asciiTheme="minorEastAsia" w:hAnsiTheme="minorEastAsia" w:eastAsiaTheme="minorEastAsia" w:cstheme="minorEastAsia"/>
                <w:b/>
                <w:bCs/>
                <w:color w:val="auto"/>
                <w:sz w:val="32"/>
                <w:highlight w:val="none"/>
                <w:u w:val="single"/>
                <w:lang w:eastAsia="zh-CN"/>
              </w:rPr>
            </w:pPr>
            <w:r>
              <w:rPr>
                <w:rFonts w:hint="eastAsia" w:asciiTheme="minorEastAsia" w:hAnsiTheme="minorEastAsia" w:eastAsiaTheme="minorEastAsia" w:cstheme="minorEastAsia"/>
                <w:b/>
                <w:bCs/>
                <w:color w:val="auto"/>
                <w:sz w:val="30"/>
                <w:szCs w:val="30"/>
                <w:highlight w:val="none"/>
              </w:rPr>
              <w:t>项目名称：</w:t>
            </w:r>
            <w:r>
              <w:rPr>
                <w:rFonts w:hint="eastAsia" w:asciiTheme="minorEastAsia" w:hAnsiTheme="minorEastAsia" w:eastAsiaTheme="minorEastAsia" w:cstheme="minorEastAsia"/>
                <w:b/>
                <w:bCs/>
                <w:color w:val="auto"/>
                <w:sz w:val="30"/>
                <w:szCs w:val="30"/>
                <w:highlight w:val="none"/>
                <w:lang w:val="en-US" w:eastAsia="zh-CN"/>
              </w:rPr>
              <w:t xml:space="preserve"> </w:t>
            </w:r>
          </w:p>
        </w:tc>
      </w:tr>
      <w:tr w14:paraId="7AF3D1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275" w:type="dxa"/>
            <w:vAlign w:val="center"/>
          </w:tcPr>
          <w:p w14:paraId="52C3693E">
            <w:pPr>
              <w:kinsoku/>
              <w:wordWrap/>
              <w:overflowPunct/>
              <w:topLinePunct w:val="0"/>
              <w:bidi w:val="0"/>
              <w:spacing w:line="520" w:lineRule="exact"/>
              <w:jc w:val="center"/>
              <w:rPr>
                <w:rFonts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供应商名称</w:t>
            </w:r>
          </w:p>
        </w:tc>
        <w:tc>
          <w:tcPr>
            <w:tcW w:w="6655" w:type="dxa"/>
            <w:gridSpan w:val="3"/>
            <w:vAlign w:val="bottom"/>
          </w:tcPr>
          <w:p w14:paraId="56B6DCA1">
            <w:pPr>
              <w:kinsoku/>
              <w:wordWrap/>
              <w:overflowPunct/>
              <w:topLinePunct w:val="0"/>
              <w:bidi w:val="0"/>
              <w:spacing w:line="520" w:lineRule="exact"/>
              <w:jc w:val="right"/>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（供应商公章）</w:t>
            </w:r>
          </w:p>
        </w:tc>
      </w:tr>
      <w:tr w14:paraId="4D1AED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275" w:type="dxa"/>
            <w:vAlign w:val="center"/>
          </w:tcPr>
          <w:p w14:paraId="5AF39F8C">
            <w:pPr>
              <w:kinsoku/>
              <w:wordWrap/>
              <w:overflowPunct/>
              <w:topLinePunct w:val="0"/>
              <w:bidi w:val="0"/>
              <w:spacing w:line="520" w:lineRule="exact"/>
              <w:jc w:val="center"/>
              <w:rPr>
                <w:rFonts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联系人</w:t>
            </w:r>
          </w:p>
        </w:tc>
        <w:tc>
          <w:tcPr>
            <w:tcW w:w="2081" w:type="dxa"/>
            <w:vAlign w:val="center"/>
          </w:tcPr>
          <w:p w14:paraId="137A1323">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p>
        </w:tc>
        <w:tc>
          <w:tcPr>
            <w:tcW w:w="958" w:type="dxa"/>
            <w:vAlign w:val="center"/>
          </w:tcPr>
          <w:p w14:paraId="743D0E57">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b/>
                <w:bCs/>
                <w:color w:val="auto"/>
                <w:sz w:val="30"/>
                <w:szCs w:val="30"/>
                <w:highlight w:val="none"/>
              </w:rPr>
              <w:t>手机</w:t>
            </w:r>
          </w:p>
        </w:tc>
        <w:tc>
          <w:tcPr>
            <w:tcW w:w="3616" w:type="dxa"/>
            <w:vAlign w:val="center"/>
          </w:tcPr>
          <w:p w14:paraId="3FEA8722">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p>
        </w:tc>
      </w:tr>
      <w:tr w14:paraId="1EF806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275" w:type="dxa"/>
            <w:vAlign w:val="center"/>
          </w:tcPr>
          <w:p w14:paraId="7B79EACA">
            <w:pPr>
              <w:kinsoku/>
              <w:wordWrap/>
              <w:overflowPunct/>
              <w:topLinePunct w:val="0"/>
              <w:bidi w:val="0"/>
              <w:spacing w:line="520" w:lineRule="exact"/>
              <w:jc w:val="center"/>
              <w:rPr>
                <w:rFonts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办公电话</w:t>
            </w:r>
          </w:p>
        </w:tc>
        <w:tc>
          <w:tcPr>
            <w:tcW w:w="2081" w:type="dxa"/>
            <w:vAlign w:val="center"/>
          </w:tcPr>
          <w:p w14:paraId="4CB3D5E0">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p>
        </w:tc>
        <w:tc>
          <w:tcPr>
            <w:tcW w:w="958" w:type="dxa"/>
            <w:vAlign w:val="center"/>
          </w:tcPr>
          <w:p w14:paraId="2E4300E4">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b/>
                <w:bCs/>
                <w:color w:val="auto"/>
                <w:sz w:val="30"/>
                <w:szCs w:val="30"/>
                <w:highlight w:val="none"/>
              </w:rPr>
              <w:t>传真</w:t>
            </w:r>
          </w:p>
        </w:tc>
        <w:tc>
          <w:tcPr>
            <w:tcW w:w="3616" w:type="dxa"/>
            <w:vAlign w:val="center"/>
          </w:tcPr>
          <w:p w14:paraId="564D44C6">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p>
        </w:tc>
      </w:tr>
      <w:tr w14:paraId="2BE49D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75" w:type="dxa"/>
            <w:vAlign w:val="center"/>
          </w:tcPr>
          <w:p w14:paraId="4980486F">
            <w:pPr>
              <w:kinsoku/>
              <w:wordWrap/>
              <w:overflowPunct/>
              <w:topLinePunct w:val="0"/>
              <w:bidi w:val="0"/>
              <w:spacing w:line="520" w:lineRule="exact"/>
              <w:jc w:val="center"/>
              <w:rPr>
                <w:rFonts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E-mail</w:t>
            </w:r>
          </w:p>
        </w:tc>
        <w:tc>
          <w:tcPr>
            <w:tcW w:w="6655" w:type="dxa"/>
            <w:gridSpan w:val="3"/>
            <w:vAlign w:val="center"/>
          </w:tcPr>
          <w:p w14:paraId="03D48893">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p>
        </w:tc>
      </w:tr>
      <w:tr w14:paraId="7431AF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2275" w:type="dxa"/>
            <w:vAlign w:val="center"/>
          </w:tcPr>
          <w:p w14:paraId="45E71ED3">
            <w:pPr>
              <w:kinsoku/>
              <w:wordWrap/>
              <w:overflowPunct/>
              <w:topLinePunct w:val="0"/>
              <w:bidi w:val="0"/>
              <w:spacing w:line="520" w:lineRule="exact"/>
              <w:jc w:val="center"/>
              <w:rPr>
                <w:rFonts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单位地址</w:t>
            </w:r>
          </w:p>
        </w:tc>
        <w:tc>
          <w:tcPr>
            <w:tcW w:w="6655" w:type="dxa"/>
            <w:gridSpan w:val="3"/>
            <w:vAlign w:val="center"/>
          </w:tcPr>
          <w:p w14:paraId="4D6E3F86">
            <w:pPr>
              <w:kinsoku/>
              <w:wordWrap/>
              <w:overflowPunct/>
              <w:topLinePunct w:val="0"/>
              <w:bidi w:val="0"/>
              <w:spacing w:line="520" w:lineRule="exact"/>
              <w:jc w:val="left"/>
              <w:rPr>
                <w:rFonts w:asciiTheme="minorEastAsia" w:hAnsiTheme="minorEastAsia" w:eastAsiaTheme="minorEastAsia" w:cstheme="minorEastAsia"/>
                <w:color w:val="auto"/>
                <w:sz w:val="30"/>
                <w:szCs w:val="30"/>
                <w:highlight w:val="none"/>
              </w:rPr>
            </w:pPr>
          </w:p>
        </w:tc>
      </w:tr>
    </w:tbl>
    <w:p w14:paraId="638E13C4">
      <w:pPr>
        <w:spacing w:line="440" w:lineRule="exact"/>
        <w:ind w:firstLine="960" w:firstLineChars="400"/>
        <w:rPr>
          <w:rFonts w:hint="eastAsia" w:ascii="宋体" w:hAnsi="宋体" w:cs="宋体"/>
          <w:color w:val="auto"/>
          <w:sz w:val="24"/>
          <w:szCs w:val="24"/>
          <w:highlight w:val="none"/>
          <w:lang w:val="en-US" w:eastAsia="zh-CN"/>
        </w:rPr>
      </w:pPr>
    </w:p>
    <w:p w14:paraId="5BFA49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00" w:firstLineChars="500"/>
        <w:textAlignment w:val="auto"/>
        <w:rPr>
          <w:rFonts w:hint="eastAsia" w:ascii="宋体" w:hAnsi="宋体" w:eastAsia="宋体" w:cs="宋体"/>
          <w:color w:val="auto"/>
          <w:sz w:val="24"/>
          <w:szCs w:val="24"/>
          <w:highlight w:val="none"/>
          <w:lang w:val="en-US" w:eastAsia="zh-CN"/>
        </w:rPr>
      </w:pPr>
    </w:p>
    <w:p w14:paraId="076C3195">
      <w:pPr>
        <w:spacing w:line="460" w:lineRule="exact"/>
        <w:ind w:firstLine="480" w:firstLineChars="200"/>
        <w:rPr>
          <w:rFonts w:ascii="宋体" w:hAnsi="宋体" w:cs="宋体"/>
          <w:color w:val="auto"/>
          <w:sz w:val="24"/>
          <w:szCs w:val="24"/>
          <w:highlight w:val="none"/>
        </w:rPr>
      </w:pPr>
    </w:p>
    <w:p w14:paraId="5794CDF9">
      <w:pPr>
        <w:pStyle w:val="2"/>
        <w:pageBreakBefore w:val="0"/>
        <w:widowControl w:val="0"/>
        <w:numPr>
          <w:ilvl w:val="0"/>
          <w:numId w:val="1"/>
        </w:numPr>
        <w:kinsoku/>
        <w:wordWrap/>
        <w:overflowPunct/>
        <w:topLinePunct w:val="0"/>
        <w:autoSpaceDE/>
        <w:autoSpaceDN/>
        <w:bidi w:val="0"/>
        <w:spacing w:line="360" w:lineRule="auto"/>
        <w:ind w:firstLine="883" w:firstLineChars="200"/>
        <w:jc w:val="center"/>
        <w:textAlignment w:val="auto"/>
        <w:rPr>
          <w:rFonts w:hAnsi="宋体" w:cs="宋体"/>
          <w:b/>
          <w:color w:val="auto"/>
          <w:sz w:val="44"/>
          <w:szCs w:val="44"/>
          <w:highlight w:val="none"/>
        </w:rPr>
      </w:pPr>
      <w:r>
        <w:rPr>
          <w:rFonts w:hint="eastAsia" w:hAnsi="宋体" w:cs="宋体"/>
          <w:b/>
          <w:color w:val="auto"/>
          <w:sz w:val="44"/>
          <w:szCs w:val="44"/>
          <w:highlight w:val="none"/>
          <w:lang w:val="en-US" w:eastAsia="zh-CN"/>
        </w:rPr>
        <w:t xml:space="preserve">  </w:t>
      </w:r>
      <w:bookmarkStart w:id="25" w:name="_Toc2196"/>
      <w:r>
        <w:rPr>
          <w:rFonts w:hint="eastAsia" w:hAnsi="宋体" w:cs="宋体"/>
          <w:b/>
          <w:color w:val="auto"/>
          <w:sz w:val="44"/>
          <w:szCs w:val="44"/>
          <w:highlight w:val="none"/>
        </w:rPr>
        <w:t>采购服务需求</w:t>
      </w:r>
      <w:bookmarkEnd w:id="25"/>
      <w:bookmarkStart w:id="26" w:name="_Toc12789058"/>
    </w:p>
    <w:p w14:paraId="39103A3B">
      <w:pPr>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“※”标注的采购服务需求为符合性审查中的实质性要求，响应文件若不满足按无效响应处理。</w:t>
      </w:r>
    </w:p>
    <w:p w14:paraId="1E144B73">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rPr>
      </w:pPr>
      <w:bookmarkStart w:id="27" w:name="_Toc24680"/>
      <w:bookmarkStart w:id="28" w:name="_Toc13233"/>
      <w:r>
        <w:rPr>
          <w:rFonts w:hint="eastAsia" w:ascii="宋体" w:hAnsi="宋体" w:eastAsia="宋体" w:cs="宋体"/>
          <w:color w:val="auto"/>
          <w:sz w:val="24"/>
          <w:szCs w:val="24"/>
          <w:highlight w:val="none"/>
        </w:rPr>
        <w:t>※一、</w:t>
      </w:r>
      <w:bookmarkStart w:id="29" w:name="_Toc5937"/>
      <w:bookmarkStart w:id="30" w:name="_Toc535311830"/>
      <w:bookmarkStart w:id="31" w:name="_Toc3211"/>
      <w:bookmarkStart w:id="32" w:name="_Toc2759"/>
      <w:bookmarkStart w:id="33" w:name="_Toc19115"/>
      <w:r>
        <w:rPr>
          <w:rFonts w:hint="eastAsia" w:ascii="宋体" w:hAnsi="宋体" w:eastAsia="宋体" w:cs="宋体"/>
          <w:color w:val="auto"/>
          <w:sz w:val="24"/>
          <w:szCs w:val="24"/>
          <w:highlight w:val="none"/>
        </w:rPr>
        <w:t>项目</w:t>
      </w:r>
      <w:bookmarkEnd w:id="29"/>
      <w:bookmarkEnd w:id="30"/>
      <w:bookmarkEnd w:id="31"/>
      <w:bookmarkEnd w:id="32"/>
      <w:r>
        <w:rPr>
          <w:rFonts w:hint="eastAsia" w:ascii="宋体" w:hAnsi="宋体" w:eastAsia="宋体" w:cs="宋体"/>
          <w:color w:val="auto"/>
          <w:sz w:val="24"/>
          <w:szCs w:val="24"/>
          <w:highlight w:val="none"/>
          <w:lang w:val="en-US" w:eastAsia="zh-CN"/>
        </w:rPr>
        <w:t>一览表</w:t>
      </w:r>
      <w:bookmarkEnd w:id="27"/>
      <w:bookmarkEnd w:id="28"/>
      <w:bookmarkEnd w:id="33"/>
    </w:p>
    <w:tbl>
      <w:tblPr>
        <w:tblStyle w:val="57"/>
        <w:tblW w:w="9687" w:type="dxa"/>
        <w:tblInd w:w="-7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4"/>
        <w:gridCol w:w="3318"/>
        <w:gridCol w:w="3538"/>
        <w:gridCol w:w="1637"/>
      </w:tblGrid>
      <w:tr w14:paraId="6F3A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FFD4">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bCs/>
                <w:i w:val="0"/>
                <w:iCs w:val="0"/>
                <w:color w:val="auto"/>
                <w:sz w:val="24"/>
                <w:szCs w:val="24"/>
                <w:highlight w:val="none"/>
                <w:u w:val="none"/>
              </w:rPr>
            </w:pPr>
            <w:bookmarkStart w:id="34" w:name="_Toc30350"/>
            <w:r>
              <w:rPr>
                <w:rFonts w:hint="eastAsia" w:ascii="宋体" w:hAnsi="宋体" w:eastAsia="宋体" w:cs="宋体"/>
                <w:b/>
                <w:bCs/>
                <w:color w:val="auto"/>
                <w:sz w:val="24"/>
                <w:szCs w:val="18"/>
                <w:highlight w:val="none"/>
                <w:vertAlign w:val="baseline"/>
                <w:lang w:val="en-US" w:eastAsia="zh-CN"/>
              </w:rPr>
              <w:t>序号</w:t>
            </w:r>
          </w:p>
        </w:tc>
        <w:tc>
          <w:tcPr>
            <w:tcW w:w="3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F225">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color w:val="auto"/>
                <w:sz w:val="24"/>
                <w:szCs w:val="18"/>
                <w:highlight w:val="none"/>
                <w:vertAlign w:val="baseline"/>
                <w:lang w:val="en-US" w:eastAsia="zh-CN"/>
              </w:rPr>
              <w:t>项目内容</w:t>
            </w:r>
          </w:p>
        </w:tc>
        <w:tc>
          <w:tcPr>
            <w:tcW w:w="353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D81CA0B">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color w:val="auto"/>
                <w:sz w:val="24"/>
                <w:szCs w:val="18"/>
                <w:highlight w:val="none"/>
                <w:vertAlign w:val="baseline"/>
                <w:lang w:val="en-US" w:eastAsia="zh-CN"/>
              </w:rPr>
              <w:t>数量/单位</w:t>
            </w:r>
          </w:p>
        </w:tc>
        <w:tc>
          <w:tcPr>
            <w:tcW w:w="163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0EC177A">
            <w:pPr>
              <w:pageBreakBefore w:val="0"/>
              <w:widowControl w:val="0"/>
              <w:kinsoku/>
              <w:wordWrap/>
              <w:overflowPunct/>
              <w:topLinePunct w:val="0"/>
              <w:autoSpaceDE/>
              <w:autoSpaceDN/>
              <w:bidi w:val="0"/>
              <w:spacing w:line="240" w:lineRule="auto"/>
              <w:jc w:val="center"/>
              <w:textAlignment w:val="auto"/>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color w:val="auto"/>
                <w:sz w:val="24"/>
                <w:szCs w:val="18"/>
                <w:highlight w:val="none"/>
                <w:vertAlign w:val="baseline"/>
                <w:lang w:val="en-US" w:eastAsia="zh-CN"/>
              </w:rPr>
              <w:t>备注</w:t>
            </w:r>
          </w:p>
        </w:tc>
      </w:tr>
      <w:tr w14:paraId="2255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7FB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highlight w:val="none"/>
                <w:vertAlign w:val="baseline"/>
                <w:lang w:val="en-US" w:eastAsia="zh-CN"/>
              </w:rPr>
              <w:t>1</w:t>
            </w:r>
          </w:p>
        </w:tc>
        <w:tc>
          <w:tcPr>
            <w:tcW w:w="3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591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color w:val="auto"/>
                <w:sz w:val="24"/>
                <w:szCs w:val="24"/>
                <w:highlight w:val="none"/>
                <w:lang w:val="en-US" w:eastAsia="zh-CN"/>
              </w:rPr>
              <w:t>2025年荣昌区流动人员人事档案数字处理和维护项目</w:t>
            </w:r>
            <w:r>
              <w:rPr>
                <w:rFonts w:hint="eastAsia" w:ascii="宋体" w:hAnsi="宋体" w:eastAsia="宋体" w:cs="宋体"/>
                <w:color w:val="auto"/>
                <w:sz w:val="24"/>
                <w:szCs w:val="24"/>
                <w:highlight w:val="none"/>
                <w:lang w:val="en-US" w:eastAsia="zh-CN"/>
              </w:rPr>
              <w:t xml:space="preserve"> </w:t>
            </w:r>
          </w:p>
        </w:tc>
        <w:tc>
          <w:tcPr>
            <w:tcW w:w="353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F91EF0C">
            <w:pPr>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val="0"/>
                <w:bCs w:val="0"/>
                <w:color w:val="auto"/>
                <w:sz w:val="24"/>
                <w:szCs w:val="18"/>
                <w:highlight w:val="none"/>
                <w:vertAlign w:val="baseline"/>
                <w:lang w:val="en-US" w:eastAsia="zh-CN"/>
              </w:rPr>
              <w:t>1/项</w:t>
            </w:r>
          </w:p>
        </w:tc>
        <w:tc>
          <w:tcPr>
            <w:tcW w:w="163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CACBEE0">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i w:val="0"/>
                <w:iCs w:val="0"/>
                <w:color w:val="auto"/>
                <w:kern w:val="0"/>
                <w:sz w:val="24"/>
                <w:szCs w:val="24"/>
                <w:highlight w:val="none"/>
                <w:u w:val="none"/>
                <w:lang w:val="en-US" w:eastAsia="zh-CN" w:bidi="ar"/>
              </w:rPr>
            </w:pPr>
          </w:p>
        </w:tc>
      </w:tr>
      <w:bookmarkEnd w:id="34"/>
    </w:tbl>
    <w:p w14:paraId="46444D45">
      <w:pPr>
        <w:pStyle w:val="3"/>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asciiTheme="minorEastAsia" w:hAnsiTheme="minorEastAsia" w:eastAsiaTheme="minorEastAsia" w:cstheme="minorEastAsia"/>
          <w:color w:val="auto"/>
          <w:sz w:val="24"/>
          <w:szCs w:val="24"/>
          <w:highlight w:val="none"/>
        </w:rPr>
      </w:pPr>
      <w:bookmarkStart w:id="35" w:name="_Toc16569"/>
      <w:bookmarkStart w:id="36" w:name="_Toc14624"/>
      <w:bookmarkStart w:id="37" w:name="_Toc5266"/>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w:t>
      </w:r>
      <w:bookmarkEnd w:id="35"/>
      <w:bookmarkEnd w:id="36"/>
      <w:r>
        <w:rPr>
          <w:rFonts w:hint="eastAsia" w:ascii="宋体" w:hAnsi="宋体" w:eastAsia="宋体" w:cs="宋体"/>
          <w:b/>
          <w:color w:val="auto"/>
          <w:sz w:val="24"/>
          <w:szCs w:val="24"/>
          <w:highlight w:val="none"/>
          <w:lang w:val="en-US" w:eastAsia="zh-CN"/>
        </w:rPr>
        <w:t>项目概况</w:t>
      </w:r>
      <w:bookmarkEnd w:id="37"/>
    </w:p>
    <w:p w14:paraId="0A8CF7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napToGrid/>
          <w:color w:val="auto"/>
          <w:spacing w:val="0"/>
          <w:kern w:val="2"/>
          <w:sz w:val="24"/>
          <w:szCs w:val="24"/>
          <w:highlight w:val="none"/>
          <w:lang w:val="en-US" w:eastAsia="zh-CN" w:bidi="ar"/>
        </w:rPr>
      </w:pPr>
      <w:bookmarkStart w:id="38" w:name="_Toc19364"/>
      <w:r>
        <w:rPr>
          <w:rFonts w:hint="eastAsia" w:ascii="宋体" w:hAnsi="宋体" w:eastAsia="宋体" w:cs="宋体"/>
          <w:color w:val="auto"/>
          <w:sz w:val="24"/>
          <w:szCs w:val="24"/>
          <w:highlight w:val="none"/>
        </w:rPr>
        <w:t>采购人向用人单位和各类人才提供流动人员人事档案接收、整理、管理、转递等公共服务。为进一步推进流动人员人事档案信息化建设，持续做好流动人员人事档案数字化工作，提升档案管理水平，推动档案服务提质增效，拟继续采购流动人员人事档案数字化加工服务项目。</w:t>
      </w:r>
      <w:bookmarkEnd w:id="38"/>
    </w:p>
    <w:p w14:paraId="41BAE6EF">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lang w:val="en-US" w:eastAsia="zh-CN"/>
        </w:rPr>
      </w:pPr>
      <w:bookmarkStart w:id="39" w:name="_Toc23184"/>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三</w:t>
      </w:r>
      <w:r>
        <w:rPr>
          <w:rFonts w:hint="eastAsia" w:asciiTheme="minorEastAsia" w:hAnsiTheme="minorEastAsia" w:eastAsiaTheme="minorEastAsia" w:cstheme="minorEastAsia"/>
          <w:color w:val="auto"/>
          <w:sz w:val="24"/>
          <w:szCs w:val="24"/>
          <w:highlight w:val="none"/>
        </w:rPr>
        <w:t>、</w:t>
      </w:r>
      <w:r>
        <w:rPr>
          <w:rFonts w:hint="eastAsia" w:ascii="宋体" w:hAnsi="宋体" w:eastAsia="宋体" w:cs="宋体"/>
          <w:b/>
          <w:color w:val="auto"/>
          <w:sz w:val="24"/>
          <w:szCs w:val="24"/>
          <w:highlight w:val="none"/>
          <w:lang w:val="en-US" w:eastAsia="zh-CN"/>
        </w:rPr>
        <w:t>项目主要内容及需求</w:t>
      </w:r>
      <w:bookmarkEnd w:id="39"/>
    </w:p>
    <w:p w14:paraId="11404AAE">
      <w:pPr>
        <w:keepNext w:val="0"/>
        <w:keepLines w:val="0"/>
        <w:pageBreakBefore w:val="0"/>
        <w:widowControl w:val="0"/>
        <w:kinsoku/>
        <w:wordWrap/>
        <w:overflowPunct/>
        <w:topLinePunct w:val="0"/>
        <w:autoSpaceDE/>
        <w:autoSpaceDN/>
        <w:bidi w:val="0"/>
        <w:adjustRightInd/>
        <w:snapToGrid w:val="0"/>
        <w:spacing w:line="360" w:lineRule="auto"/>
        <w:ind w:firstLine="361" w:firstLineChars="150"/>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（一）项目内容</w:t>
      </w:r>
    </w:p>
    <w:p w14:paraId="1A0003E0">
      <w:pPr>
        <w:pageBreakBefore w:val="0"/>
        <w:widowControl w:val="0"/>
        <w:kinsoku/>
        <w:wordWrap/>
        <w:overflowPunct/>
        <w:topLinePunct w:val="0"/>
        <w:autoSpaceDE/>
        <w:autoSpaceDN/>
        <w:bidi w:val="0"/>
        <w:adjustRightInd/>
        <w:snapToGrid w:val="0"/>
        <w:spacing w:line="440" w:lineRule="exact"/>
        <w:ind w:firstLine="360" w:firstLineChars="15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本项目旨在完成采购人新增的人事档案整理和数字化加工、档案维护工作，该部分档案大部分为A4幅面，含部分手写稿、油印稿、打印稿，部分档案附有照片和图纸，本次采购内容以卷或页为单位进行报价（报价需包括所有工作内容，详见报价要求）。</w:t>
      </w:r>
    </w:p>
    <w:p w14:paraId="544A06E5">
      <w:pPr>
        <w:pageBreakBefore w:val="0"/>
        <w:widowControl w:val="0"/>
        <w:kinsoku/>
        <w:wordWrap/>
        <w:overflowPunct/>
        <w:topLinePunct w:val="0"/>
        <w:autoSpaceDE/>
        <w:autoSpaceDN/>
        <w:bidi w:val="0"/>
        <w:adjustRightInd/>
        <w:snapToGrid w:val="0"/>
        <w:spacing w:line="440" w:lineRule="exact"/>
        <w:ind w:firstLine="360" w:firstLineChars="15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另：本项目采购人只提供场地、水电和监控网络环境，其余项目所需的工具及耗材费用，档案扫描工作中的所有设备、档案运输费用、工具与耗材费用均由供应商承担。</w:t>
      </w:r>
    </w:p>
    <w:tbl>
      <w:tblPr>
        <w:tblStyle w:val="57"/>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1442"/>
        <w:gridCol w:w="1118"/>
        <w:gridCol w:w="1224"/>
        <w:gridCol w:w="1224"/>
        <w:gridCol w:w="1251"/>
        <w:gridCol w:w="2707"/>
      </w:tblGrid>
      <w:tr w14:paraId="0D7A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exact"/>
          <w:jc w:val="center"/>
        </w:trPr>
        <w:tc>
          <w:tcPr>
            <w:tcW w:w="274" w:type="pct"/>
            <w:noWrap w:val="0"/>
            <w:vAlign w:val="center"/>
          </w:tcPr>
          <w:p w14:paraId="693E44AE">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760" w:type="pct"/>
            <w:noWrap w:val="0"/>
            <w:vAlign w:val="center"/>
          </w:tcPr>
          <w:p w14:paraId="384F57A8">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名称</w:t>
            </w:r>
          </w:p>
        </w:tc>
        <w:tc>
          <w:tcPr>
            <w:tcW w:w="589" w:type="pct"/>
            <w:noWrap w:val="0"/>
            <w:vAlign w:val="center"/>
          </w:tcPr>
          <w:p w14:paraId="3B7FB5E9">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预估数量/单位</w:t>
            </w:r>
          </w:p>
        </w:tc>
        <w:tc>
          <w:tcPr>
            <w:tcW w:w="645" w:type="pct"/>
            <w:noWrap w:val="0"/>
            <w:vAlign w:val="center"/>
          </w:tcPr>
          <w:p w14:paraId="37F6FE1A">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单价最高限价</w:t>
            </w:r>
            <w:r>
              <w:rPr>
                <w:rFonts w:hint="eastAsia" w:ascii="宋体" w:hAnsi="宋体" w:eastAsia="宋体" w:cs="宋体"/>
                <w:b/>
                <w:bCs w:val="0"/>
                <w:color w:val="auto"/>
                <w:sz w:val="24"/>
                <w:szCs w:val="24"/>
                <w:highlight w:val="none"/>
                <w:lang w:val="en-US" w:eastAsia="zh-CN"/>
              </w:rPr>
              <w:t>（元/卷或年）</w:t>
            </w:r>
          </w:p>
        </w:tc>
        <w:tc>
          <w:tcPr>
            <w:tcW w:w="645" w:type="pct"/>
            <w:noWrap w:val="0"/>
            <w:vAlign w:val="center"/>
          </w:tcPr>
          <w:p w14:paraId="2D2E5C03">
            <w:pPr>
              <w:snapToGrid w:val="0"/>
              <w:jc w:val="center"/>
              <w:outlineLvl w:val="0"/>
              <w:rPr>
                <w:rFonts w:hint="eastAsia" w:ascii="宋体" w:hAnsi="宋体" w:cs="宋体"/>
                <w:b/>
                <w:bCs/>
                <w:color w:val="auto"/>
                <w:sz w:val="24"/>
                <w:szCs w:val="24"/>
                <w:highlight w:val="none"/>
              </w:rPr>
            </w:pPr>
            <w:r>
              <w:rPr>
                <w:rFonts w:hint="eastAsia" w:ascii="宋体" w:hAnsi="宋体" w:eastAsia="宋体" w:cs="宋体"/>
                <w:b/>
                <w:bCs w:val="0"/>
                <w:color w:val="auto"/>
                <w:sz w:val="24"/>
                <w:szCs w:val="24"/>
                <w:highlight w:val="none"/>
                <w:lang w:val="en-US" w:eastAsia="zh-CN"/>
              </w:rPr>
              <w:t>分项最高限价（元/卷或年）</w:t>
            </w:r>
          </w:p>
        </w:tc>
        <w:tc>
          <w:tcPr>
            <w:tcW w:w="659" w:type="pct"/>
            <w:noWrap w:val="0"/>
            <w:vAlign w:val="center"/>
          </w:tcPr>
          <w:p w14:paraId="77E24583">
            <w:pPr>
              <w:jc w:val="center"/>
              <w:rPr>
                <w:rFonts w:ascii="宋体" w:hAnsi="宋体" w:cs="宋体"/>
                <w:b/>
                <w:bCs/>
                <w:color w:val="auto"/>
                <w:sz w:val="24"/>
                <w:szCs w:val="24"/>
                <w:highlight w:val="none"/>
              </w:rPr>
            </w:pPr>
            <w:r>
              <w:rPr>
                <w:rFonts w:hint="eastAsia" w:ascii="宋体" w:hAnsi="宋体" w:eastAsia="宋体" w:cs="宋体"/>
                <w:b/>
                <w:bCs w:val="0"/>
                <w:color w:val="auto"/>
                <w:sz w:val="24"/>
                <w:szCs w:val="24"/>
                <w:highlight w:val="none"/>
                <w:lang w:eastAsia="zh-CN"/>
              </w:rPr>
              <w:t>总价最高限价（元）</w:t>
            </w:r>
          </w:p>
        </w:tc>
        <w:tc>
          <w:tcPr>
            <w:tcW w:w="1426" w:type="pct"/>
            <w:noWrap w:val="0"/>
            <w:vAlign w:val="center"/>
          </w:tcPr>
          <w:p w14:paraId="28BB35AE">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14:paraId="053A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jc w:val="center"/>
        </w:trPr>
        <w:tc>
          <w:tcPr>
            <w:tcW w:w="274" w:type="pct"/>
            <w:noWrap w:val="0"/>
            <w:vAlign w:val="center"/>
          </w:tcPr>
          <w:p w14:paraId="31854653">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760" w:type="pct"/>
            <w:noWrap w:val="0"/>
            <w:vAlign w:val="center"/>
          </w:tcPr>
          <w:p w14:paraId="671BEC3E">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新增档案整理及数字化加工</w:t>
            </w:r>
          </w:p>
        </w:tc>
        <w:tc>
          <w:tcPr>
            <w:tcW w:w="589" w:type="pct"/>
            <w:noWrap w:val="0"/>
            <w:vAlign w:val="center"/>
          </w:tcPr>
          <w:p w14:paraId="5A33DE46">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5000卷</w:t>
            </w:r>
          </w:p>
        </w:tc>
        <w:tc>
          <w:tcPr>
            <w:tcW w:w="645" w:type="pct"/>
            <w:noWrap w:val="0"/>
            <w:vAlign w:val="center"/>
          </w:tcPr>
          <w:p w14:paraId="2539498A">
            <w:pPr>
              <w:keepNext w:val="0"/>
              <w:keepLines w:val="0"/>
              <w:widowControl/>
              <w:suppressLineNumbers w:val="0"/>
              <w:jc w:val="center"/>
              <w:textAlignment w:val="center"/>
              <w:rPr>
                <w:rFonts w:hint="default" w:ascii="宋体" w:hAnsi="宋体" w:cs="宋体"/>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51</w:t>
            </w:r>
          </w:p>
        </w:tc>
        <w:tc>
          <w:tcPr>
            <w:tcW w:w="645" w:type="pct"/>
            <w:noWrap w:val="0"/>
            <w:vAlign w:val="center"/>
          </w:tcPr>
          <w:p w14:paraId="6D9CF5DF">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255000</w:t>
            </w:r>
          </w:p>
        </w:tc>
        <w:tc>
          <w:tcPr>
            <w:tcW w:w="659" w:type="pct"/>
            <w:vMerge w:val="restart"/>
            <w:noWrap w:val="0"/>
            <w:vAlign w:val="center"/>
          </w:tcPr>
          <w:p w14:paraId="639BB399">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486592.2</w:t>
            </w:r>
          </w:p>
        </w:tc>
        <w:tc>
          <w:tcPr>
            <w:tcW w:w="1426" w:type="pct"/>
            <w:vMerge w:val="restart"/>
            <w:noWrap w:val="0"/>
            <w:vAlign w:val="center"/>
          </w:tcPr>
          <w:p w14:paraId="1204DD59">
            <w:pPr>
              <w:rPr>
                <w:rFonts w:hint="eastAsia" w:ascii="宋体" w:hAnsi="宋体" w:cs="宋体"/>
                <w:color w:val="auto"/>
                <w:sz w:val="24"/>
                <w:szCs w:val="24"/>
                <w:highlight w:val="none"/>
              </w:rPr>
            </w:pPr>
            <w:r>
              <w:rPr>
                <w:rFonts w:hint="eastAsia" w:ascii="宋体" w:hAnsi="宋体" w:cs="宋体"/>
                <w:color w:val="auto"/>
                <w:sz w:val="24"/>
                <w:szCs w:val="24"/>
                <w:highlight w:val="none"/>
              </w:rPr>
              <w:t>1.供应商的报价、单项报价不能超过最高限价。否则按无效响应处理。</w:t>
            </w:r>
          </w:p>
          <w:p w14:paraId="71FE36B0">
            <w:pPr>
              <w:rPr>
                <w:rFonts w:hint="eastAsia" w:ascii="宋体" w:hAnsi="宋体" w:cs="宋体"/>
                <w:color w:val="auto"/>
                <w:sz w:val="24"/>
                <w:szCs w:val="24"/>
                <w:highlight w:val="none"/>
              </w:rPr>
            </w:pPr>
            <w:r>
              <w:rPr>
                <w:rFonts w:hint="eastAsia" w:ascii="宋体" w:hAnsi="宋体" w:cs="宋体"/>
                <w:color w:val="auto"/>
                <w:sz w:val="24"/>
                <w:szCs w:val="24"/>
                <w:highlight w:val="none"/>
              </w:rPr>
              <w:t>2.本项目以成交单价作为结算依据，最终按实际数量据实结算。</w:t>
            </w:r>
          </w:p>
        </w:tc>
      </w:tr>
      <w:tr w14:paraId="60A0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exact"/>
          <w:jc w:val="center"/>
        </w:trPr>
        <w:tc>
          <w:tcPr>
            <w:tcW w:w="274" w:type="pct"/>
            <w:noWrap w:val="0"/>
            <w:vAlign w:val="center"/>
          </w:tcPr>
          <w:p w14:paraId="4A582A1B">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760" w:type="pct"/>
            <w:noWrap w:val="0"/>
            <w:vAlign w:val="center"/>
          </w:tcPr>
          <w:p w14:paraId="6DA8F142">
            <w:pPr>
              <w:keepNext w:val="0"/>
              <w:keepLines w:val="0"/>
              <w:widowControl/>
              <w:suppressLineNumbers w:val="0"/>
              <w:jc w:val="center"/>
              <w:textAlignment w:val="center"/>
              <w:rPr>
                <w:rFonts w:hint="eastAsia" w:ascii="宋体" w:hAnsi="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档案维护整理及数字化加工</w:t>
            </w:r>
          </w:p>
        </w:tc>
        <w:tc>
          <w:tcPr>
            <w:tcW w:w="589" w:type="pct"/>
            <w:noWrap w:val="0"/>
            <w:vAlign w:val="center"/>
          </w:tcPr>
          <w:p w14:paraId="25AB42BA">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55</w:t>
            </w:r>
            <w:r>
              <w:rPr>
                <w:rFonts w:hint="eastAsia" w:ascii="宋体" w:hAnsi="宋体" w:cs="宋体"/>
                <w:i w:val="0"/>
                <w:iCs w:val="0"/>
                <w:color w:val="auto"/>
                <w:kern w:val="0"/>
                <w:sz w:val="24"/>
                <w:szCs w:val="24"/>
                <w:highlight w:val="none"/>
                <w:u w:val="none"/>
                <w:lang w:val="en-US" w:eastAsia="zh-CN" w:bidi="ar"/>
              </w:rPr>
              <w:t>141</w:t>
            </w:r>
            <w:r>
              <w:rPr>
                <w:rFonts w:hint="eastAsia" w:ascii="宋体" w:hAnsi="宋体" w:eastAsia="宋体" w:cs="宋体"/>
                <w:i w:val="0"/>
                <w:iCs w:val="0"/>
                <w:color w:val="auto"/>
                <w:kern w:val="0"/>
                <w:sz w:val="24"/>
                <w:szCs w:val="24"/>
                <w:highlight w:val="none"/>
                <w:u w:val="none"/>
                <w:lang w:val="en-US" w:eastAsia="zh-CN" w:bidi="ar"/>
              </w:rPr>
              <w:t>卷</w:t>
            </w:r>
          </w:p>
        </w:tc>
        <w:tc>
          <w:tcPr>
            <w:tcW w:w="645" w:type="pct"/>
            <w:noWrap w:val="0"/>
            <w:vAlign w:val="center"/>
          </w:tcPr>
          <w:p w14:paraId="063C1EAA">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4.2</w:t>
            </w:r>
          </w:p>
        </w:tc>
        <w:tc>
          <w:tcPr>
            <w:tcW w:w="645" w:type="pct"/>
            <w:noWrap w:val="0"/>
            <w:vAlign w:val="center"/>
          </w:tcPr>
          <w:p w14:paraId="592911BF">
            <w:pPr>
              <w:keepNext w:val="0"/>
              <w:keepLines w:val="0"/>
              <w:widowControl/>
              <w:suppressLineNumbers w:val="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231</w:t>
            </w:r>
            <w:r>
              <w:rPr>
                <w:rFonts w:hint="eastAsia" w:ascii="宋体" w:hAnsi="宋体" w:cs="宋体"/>
                <w:i w:val="0"/>
                <w:iCs w:val="0"/>
                <w:color w:val="auto"/>
                <w:kern w:val="0"/>
                <w:sz w:val="24"/>
                <w:szCs w:val="24"/>
                <w:highlight w:val="none"/>
                <w:u w:val="none"/>
                <w:lang w:val="en-US" w:eastAsia="zh-CN" w:bidi="ar"/>
              </w:rPr>
              <w:t>592.2</w:t>
            </w:r>
          </w:p>
        </w:tc>
        <w:tc>
          <w:tcPr>
            <w:tcW w:w="659" w:type="pct"/>
            <w:vMerge w:val="continue"/>
            <w:noWrap w:val="0"/>
            <w:vAlign w:val="center"/>
          </w:tcPr>
          <w:p w14:paraId="61FAEC25">
            <w:pPr>
              <w:snapToGrid w:val="0"/>
              <w:spacing w:line="400" w:lineRule="exact"/>
              <w:jc w:val="center"/>
              <w:rPr>
                <w:rFonts w:hint="eastAsia" w:ascii="宋体" w:hAnsi="宋体" w:cs="宋体"/>
                <w:color w:val="auto"/>
                <w:sz w:val="24"/>
                <w:szCs w:val="24"/>
                <w:highlight w:val="none"/>
              </w:rPr>
            </w:pPr>
          </w:p>
        </w:tc>
        <w:tc>
          <w:tcPr>
            <w:tcW w:w="1426" w:type="pct"/>
            <w:vMerge w:val="continue"/>
            <w:noWrap w:val="0"/>
            <w:vAlign w:val="center"/>
          </w:tcPr>
          <w:p w14:paraId="323D9FBC">
            <w:pPr>
              <w:snapToGrid w:val="0"/>
              <w:spacing w:line="400" w:lineRule="exact"/>
              <w:jc w:val="center"/>
              <w:rPr>
                <w:rFonts w:hint="eastAsia" w:ascii="宋体" w:hAnsi="宋体" w:cs="宋体"/>
                <w:color w:val="auto"/>
                <w:sz w:val="24"/>
                <w:szCs w:val="24"/>
                <w:highlight w:val="none"/>
              </w:rPr>
            </w:pPr>
          </w:p>
        </w:tc>
      </w:tr>
    </w:tbl>
    <w:p w14:paraId="375E65FD">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rPr>
        <w:t>（二）</w:t>
      </w:r>
      <w:r>
        <w:rPr>
          <w:rFonts w:hint="eastAsia" w:ascii="宋体" w:hAnsi="宋体" w:cs="宋体"/>
          <w:b/>
          <w:bCs/>
          <w:color w:val="auto"/>
          <w:sz w:val="24"/>
          <w:szCs w:val="24"/>
          <w:highlight w:val="none"/>
          <w:lang w:val="en-US" w:eastAsia="zh-CN"/>
        </w:rPr>
        <w:t>项目需求</w:t>
      </w:r>
    </w:p>
    <w:p w14:paraId="702FAA7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本次项目主要是对采购人新增档案、库存档案进行整理和数字化加工、维护工作，工作内容如下：</w:t>
      </w:r>
    </w:p>
    <w:p w14:paraId="0FB939A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成交供应商需提供至少4名工作人员驻场服务。</w:t>
      </w:r>
    </w:p>
    <w:p w14:paraId="32808DF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1.新增档案整理及数字化加工工作内容：</w:t>
      </w:r>
    </w:p>
    <w:p w14:paraId="52D5CE6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档案整理工作：按照需求分类排序、编制页码、打印目录、打孔、打印背脊、贴背脊、装盒等相关工作，所有耗材费用均由供应商承担，同时针对于部分需要插入材料进行更新的档案进行档案更新及材料插入工作。</w:t>
      </w:r>
    </w:p>
    <w:p w14:paraId="5664B3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1.2档案数字化加工扫描工作：档案交接、分类前处理、著录条目信息、档案扫描、图像处理、特殊图像处理、图像质检、格式转换、编目建库、装订、贴背脊、装盒、总质检、归还上架、数据备份等各项工作，最终形成可供档案管理系统查询调阅的电子图像，并全部挂接至已有档案管理系统中，实现检索信息与相应的电子图像对应链接。</w:t>
      </w:r>
    </w:p>
    <w:p w14:paraId="3D8351B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2.档案维护整理及数字化加工工作内容：</w:t>
      </w:r>
    </w:p>
    <w:p w14:paraId="501398F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2.1对已数字化的档案及现有档案中需增加的档案材料,进行标准化维护和目录补充。</w:t>
      </w:r>
    </w:p>
    <w:p w14:paraId="61A7138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2.2对在库存档案中发现的未按照数字化标准加工的档案（如图像漏扫、错扫、信息著录错误等），进行标准化维护处理。</w:t>
      </w:r>
    </w:p>
    <w:p w14:paraId="7BC7D20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2.3对在库档案实时巡检，对发现的外观变形或破损等情形档案，进行标准化维护处理。</w:t>
      </w:r>
    </w:p>
    <w:p w14:paraId="7917C1D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2.4对库房环境实时巡检，排查安全隐患及不规范情况。</w:t>
      </w:r>
    </w:p>
    <w:p w14:paraId="6CD80D1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2.5对项目过程中的金保网相关硬件设施进行日常清洁、维护。</w:t>
      </w:r>
    </w:p>
    <w:p w14:paraId="4EC3FA5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（三）技术需求</w:t>
      </w:r>
    </w:p>
    <w:p w14:paraId="0B54C08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根据《中华人民共和国档案法》《干部人事档案工作条例》《干部档案整理工作细则》《人力资源社会保障部办公厅关于加快推进流动人员人事档案信息化建设的指导意见》《流动人员人事档案管理服务规定》《重庆市人力资源和社会保障局重庆市财政局关于进一步做好我市流动人员人事档案管理服务工作的通知》《重庆市流动人员人事档案管理基础数据规范》《重庆市流动人员人事档案数字化技术规范》《重庆市流动人员人事档案数字化安全规范》《重庆市流动人员人事档案管理服务规范》和人事档案整理及档案数字化加工相关法规工作规范要求，对采购人保管的流动人员人事档案及材料进行整理和数字化加工。</w:t>
      </w:r>
    </w:p>
    <w:p w14:paraId="06D70C3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1.新增档案整理工作要求</w:t>
      </w:r>
    </w:p>
    <w:p w14:paraId="3B0A45D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新增人事档案整理工作须基于采购人档案管理的要求，对档案进行鉴别、分类、排序，按照档案的原页码顺序进行档案整理，拆除档案的装订线，去掉夹杂在档案中的残余纸、曲别针、大头针、订书针等物品，编制页码，打印卷内目录等工作，提高扫描效率，减少扫描仪故障，具体要求如下：</w:t>
      </w:r>
    </w:p>
    <w:p w14:paraId="2E9E155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1.1档案进出库交接必须严格执行档案进出库管理制度。供应商必须在加工场所设立临时档案放置区，建立管理制度，指定专人（组长）管理档案实体，并建立《档案数字化加工交接表》等工作流程表，做好档案交接等各环节的登记工作，确保档案安全，万无一失。</w:t>
      </w:r>
    </w:p>
    <w:p w14:paraId="19DB15E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1.2启钉（拆线）、拆分，保证纸张的平整、抚平边角，对特殊页（如双面有页码，需做合页）做出标识提醒扫描人员注意，对不符合规格的档案材料</w:t>
      </w:r>
      <w:bookmarkStart w:id="40" w:name="OLE_LINK3"/>
      <w:r>
        <w:rPr>
          <w:rFonts w:hint="eastAsia" w:ascii="宋体" w:hAnsi="宋体" w:cs="宋体"/>
          <w:color w:val="auto"/>
          <w:sz w:val="24"/>
          <w:szCs w:val="24"/>
          <w:highlight w:val="none"/>
        </w:rPr>
        <w:t>(档案材料要求16开规格的办公用纸或国际标准A4纸型)</w:t>
      </w:r>
      <w:bookmarkEnd w:id="40"/>
      <w:r>
        <w:rPr>
          <w:rFonts w:hint="eastAsia" w:ascii="宋体" w:hAnsi="宋体" w:cs="宋体"/>
          <w:color w:val="auto"/>
          <w:sz w:val="24"/>
          <w:szCs w:val="24"/>
          <w:highlight w:val="none"/>
        </w:rPr>
        <w:t>，材料左边应留有25 mm的装订边。在不影响材料完整和不损伤字迹的情况下，酌情进行包边、加边、剪裁、裱糊或折叠。</w:t>
      </w:r>
    </w:p>
    <w:p w14:paraId="5B98AA1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1.3检查案卷的完整性，是否有缺页、漏页、错编现象，标注是否正确。拆卷时应注意保护档案不受损害。同时检查案卷封面上的相关信息书写是否规范，前后是否统一；档号是否正确，有无空号、重号现象；</w:t>
      </w:r>
      <w:bookmarkStart w:id="41" w:name="OLE_LINK5"/>
      <w:bookmarkStart w:id="42" w:name="OLE_LINK4"/>
      <w:r>
        <w:rPr>
          <w:rFonts w:hint="eastAsia" w:ascii="宋体" w:hAnsi="宋体" w:cs="宋体"/>
          <w:color w:val="auto"/>
          <w:sz w:val="24"/>
          <w:szCs w:val="24"/>
          <w:highlight w:val="none"/>
        </w:rPr>
        <w:t>是否</w:t>
      </w:r>
      <w:r>
        <w:rPr>
          <w:rFonts w:hint="eastAsia" w:ascii="宋体" w:hAnsi="宋体" w:cs="宋体"/>
          <w:color w:val="auto"/>
          <w:sz w:val="24"/>
          <w:szCs w:val="24"/>
          <w:highlight w:val="none"/>
          <w:lang w:val="en-US" w:eastAsia="zh-CN"/>
        </w:rPr>
        <w:t>已</w:t>
      </w:r>
      <w:r>
        <w:rPr>
          <w:rFonts w:hint="eastAsia" w:ascii="宋体" w:hAnsi="宋体" w:cs="宋体"/>
          <w:color w:val="auto"/>
          <w:sz w:val="24"/>
          <w:szCs w:val="24"/>
          <w:highlight w:val="none"/>
        </w:rPr>
        <w:t>按规定进行划控</w:t>
      </w:r>
      <w:bookmarkEnd w:id="41"/>
      <w:bookmarkEnd w:id="42"/>
      <w:r>
        <w:rPr>
          <w:rFonts w:hint="eastAsia" w:ascii="宋体" w:hAnsi="宋体" w:cs="宋体"/>
          <w:color w:val="auto"/>
          <w:sz w:val="24"/>
          <w:szCs w:val="24"/>
          <w:highlight w:val="none"/>
        </w:rPr>
        <w:t>；卷内文件份数与实际是否相符等进行核查和修正。包括对案卷内情况与原目录不一致处应建立勘误表进行登记、同时对卷内文件进行稿本选择、拆卷、分件、排序、标页、拟标题等。对卷内有缺页、重页、倒页、破损、字迹褪变、模糊、折皱不平、装订压字等现象进行核查和修正，通过对档案的整理和规范著录，实现对案卷、文件、利用、编研、统计、密级划控等科学管理。</w:t>
      </w:r>
    </w:p>
    <w:p w14:paraId="14747B7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1.4编制填写类别号、页码： </w:t>
      </w:r>
    </w:p>
    <w:p w14:paraId="57C414D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（1）类序号：编在右上角；</w:t>
      </w:r>
    </w:p>
    <w:p w14:paraId="12253D7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（2）页码：图书编码法：从材料实际内容开始编，扉页不编，双面有字双面编，只有单面字一面编，在右下角编写；页码写在每页材料正面右下角空白处（双面都有文字或图表的，背面页码写在材料左下角）。</w:t>
      </w:r>
    </w:p>
    <w:p w14:paraId="4C4EBE4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1.5制作档案数字化工作流程单，注明每卷档案的页数及其他的特殊情况。</w:t>
      </w:r>
    </w:p>
    <w:p w14:paraId="3E7C3DB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1.6组卷整理：流动人员人事档案需提供档案袋和档案盒等耗材，相关规格及样式见本篇“</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 项目管理要求中 （四）附件、图纸及包装要求”。人事档案袋和档案盒必须结实牢固、便于书写文字和档案标识标签的粘贴、便于上架摆放和实物盘点。</w:t>
      </w:r>
    </w:p>
    <w:p w14:paraId="1245139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档案整理所需的其他材料，包括技术加工用衬纸、打印用墨盒、防虫防腐浆糊或胶水等都必须符合档案整理部门所规定的材料规范要求。</w:t>
      </w:r>
    </w:p>
    <w:p w14:paraId="3A8E97B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包括拆钉、粘贴等环节。按照《归档文件整理规则》(DA/T 22-2015)进行整理。</w:t>
      </w:r>
    </w:p>
    <w:p w14:paraId="0701258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1.7在核对纸制档案的基础上，对系统内不全的档案信息进行补录，并在档案数字化工作流程单上注明。供应商应严格按照《档案著录规则》(DA/T 18—2022)进行著录。</w:t>
      </w:r>
    </w:p>
    <w:p w14:paraId="4324A98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1.8后期整理装订</w:t>
      </w:r>
    </w:p>
    <w:p w14:paraId="39CC847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拆除整理过、有装订物的档案应按档案保管的要求重新装订。在恢复装订时，按照档案原有的装订方向进行，不可更换装订位置（如改右装订为左装订）；遵循“两对齐”要求，即装订线一侧边缘对齐，档案内页以边缘对齐；装订不可使用金属或塑料装订物，如原始档案中发现金属或塑料装订物的应予以剔除；保持档案的排列顺序不变，不得漏页、错页、不得压字，装订牢固、不得掉页，做到安全、准确、无遗漏。</w:t>
      </w:r>
    </w:p>
    <w:p w14:paraId="03C47C1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A4纸型的干部人事档案材料和目录按照靠左下对齐的方式打3孔装订，中间孔距上、下孔（从孔中心算起）83mm，下孔距材料底边54mm，孔中心距左边沿12mm，孔直径为5mm。档案中原有小于A4纸型且已按照要求装订的档案材料,不需要重新打孔和裱糊。</w:t>
      </w:r>
    </w:p>
    <w:p w14:paraId="47BD83D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干部人事档案专用打孔机孔径为5mm。</w:t>
      </w:r>
    </w:p>
    <w:p w14:paraId="0058A16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（2）供应商自行采购符合档案标准规范的档案卷盒，供应商须按相关要求制作案卷背脊。对不符合要求的案卷背脊，由供应商进行重新打印和更换。</w:t>
      </w:r>
    </w:p>
    <w:p w14:paraId="2AA56D0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（3）附：重庆人才交流中心流动人员人事档案分类规则</w:t>
      </w:r>
    </w:p>
    <w:tbl>
      <w:tblPr>
        <w:tblStyle w:val="57"/>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4560"/>
        <w:gridCol w:w="1345"/>
        <w:gridCol w:w="1350"/>
        <w:gridCol w:w="1055"/>
      </w:tblGrid>
      <w:tr w14:paraId="36A0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8" w:type="dxa"/>
            <w:noWrap w:val="0"/>
            <w:vAlign w:val="center"/>
          </w:tcPr>
          <w:p w14:paraId="122C4994">
            <w:pPr>
              <w:tabs>
                <w:tab w:val="center" w:pos="709"/>
              </w:tabs>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类别</w:t>
            </w:r>
          </w:p>
        </w:tc>
        <w:tc>
          <w:tcPr>
            <w:tcW w:w="4560" w:type="dxa"/>
            <w:noWrap w:val="0"/>
            <w:vAlign w:val="center"/>
          </w:tcPr>
          <w:p w14:paraId="6B052105">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材料内容</w:t>
            </w:r>
          </w:p>
        </w:tc>
        <w:tc>
          <w:tcPr>
            <w:tcW w:w="1345" w:type="dxa"/>
            <w:noWrap w:val="0"/>
            <w:vAlign w:val="center"/>
          </w:tcPr>
          <w:p w14:paraId="5E6BD907">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排列顺序</w:t>
            </w:r>
          </w:p>
        </w:tc>
        <w:tc>
          <w:tcPr>
            <w:tcW w:w="1350" w:type="dxa"/>
            <w:noWrap w:val="0"/>
            <w:vAlign w:val="center"/>
          </w:tcPr>
          <w:p w14:paraId="72DF4EDE">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材料编号</w:t>
            </w:r>
          </w:p>
        </w:tc>
        <w:tc>
          <w:tcPr>
            <w:tcW w:w="1055" w:type="dxa"/>
            <w:noWrap w:val="0"/>
            <w:vAlign w:val="center"/>
          </w:tcPr>
          <w:p w14:paraId="45DDFD9C">
            <w:pPr>
              <w:spacing w:line="400" w:lineRule="exact"/>
              <w:jc w:val="center"/>
              <w:rPr>
                <w:rFonts w:hint="eastAsia" w:ascii="宋体" w:hAnsi="宋体" w:cs="宋体"/>
                <w:b/>
                <w:bCs/>
                <w:snapToGrid w:val="0"/>
                <w:color w:val="auto"/>
                <w:spacing w:val="-8"/>
                <w:kern w:val="0"/>
                <w:sz w:val="24"/>
                <w:szCs w:val="24"/>
                <w:highlight w:val="none"/>
              </w:rPr>
            </w:pPr>
            <w:r>
              <w:rPr>
                <w:rFonts w:hint="eastAsia" w:ascii="宋体" w:hAnsi="宋体" w:cs="宋体"/>
                <w:b/>
                <w:bCs/>
                <w:snapToGrid w:val="0"/>
                <w:color w:val="auto"/>
                <w:spacing w:val="-8"/>
                <w:kern w:val="0"/>
                <w:sz w:val="24"/>
                <w:szCs w:val="24"/>
                <w:highlight w:val="none"/>
              </w:rPr>
              <w:t>备注</w:t>
            </w:r>
          </w:p>
        </w:tc>
      </w:tr>
      <w:tr w14:paraId="0EAB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0412C0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一、履历材料</w:t>
            </w:r>
          </w:p>
        </w:tc>
        <w:tc>
          <w:tcPr>
            <w:tcW w:w="4560" w:type="dxa"/>
            <w:noWrap w:val="0"/>
            <w:vAlign w:val="center"/>
          </w:tcPr>
          <w:p w14:paraId="04F7E44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履历表和属于履历性质的登记表等材料，包括中央和地方各级党委委员、人大、政协常委会委员简历以及本人填写反映个人经历情况的各种表格等。</w:t>
            </w:r>
          </w:p>
          <w:p w14:paraId="1B4E8756">
            <w:pPr>
              <w:spacing w:line="400" w:lineRule="exact"/>
              <w:jc w:val="left"/>
              <w:rPr>
                <w:rFonts w:hint="eastAsia" w:ascii="宋体" w:hAnsi="宋体" w:cs="宋体"/>
                <w:b/>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履历表、职工登记表；</w:t>
            </w:r>
            <w:r>
              <w:rPr>
                <w:rFonts w:hint="eastAsia" w:ascii="宋体" w:hAnsi="宋体" w:cs="宋体"/>
                <w:b/>
                <w:snapToGrid w:val="0"/>
                <w:color w:val="auto"/>
                <w:spacing w:val="-8"/>
                <w:kern w:val="0"/>
                <w:sz w:val="24"/>
                <w:szCs w:val="24"/>
                <w:highlight w:val="none"/>
                <w:u w:val="single"/>
              </w:rPr>
              <w:t>人事代理档案管理登记表、流动人员档案管理登记表；人才信息登记表。（有无鲜章均做）</w:t>
            </w:r>
          </w:p>
        </w:tc>
        <w:tc>
          <w:tcPr>
            <w:tcW w:w="1345" w:type="dxa"/>
            <w:noWrap w:val="0"/>
            <w:vAlign w:val="center"/>
          </w:tcPr>
          <w:p w14:paraId="2910068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4110A10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类序号按1-1、 1-2、1-3等，页码按1、2、3等编写。</w:t>
            </w:r>
          </w:p>
        </w:tc>
        <w:tc>
          <w:tcPr>
            <w:tcW w:w="1055" w:type="dxa"/>
            <w:vMerge w:val="restart"/>
            <w:noWrap w:val="0"/>
            <w:vAlign w:val="center"/>
          </w:tcPr>
          <w:p w14:paraId="551AEE7E">
            <w:pPr>
              <w:spacing w:line="400" w:lineRule="exact"/>
              <w:jc w:val="left"/>
              <w:rPr>
                <w:rFonts w:hint="eastAsia" w:ascii="宋体" w:hAnsi="宋体" w:cs="宋体"/>
                <w:snapToGrid w:val="0"/>
                <w:color w:val="auto"/>
                <w:spacing w:val="-8"/>
                <w:kern w:val="0"/>
                <w:sz w:val="18"/>
                <w:szCs w:val="18"/>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r>
              <w:rPr>
                <w:rFonts w:hint="eastAsia" w:ascii="宋体" w:hAnsi="宋体" w:cs="宋体"/>
                <w:snapToGrid w:val="0"/>
                <w:color w:val="auto"/>
                <w:spacing w:val="-20"/>
                <w:kern w:val="0"/>
                <w:sz w:val="24"/>
                <w:szCs w:val="24"/>
                <w:highlight w:val="none"/>
              </w:rPr>
              <w:t>（双面都有文字或图表的，背面页码写在左下角，下同）。</w:t>
            </w:r>
          </w:p>
        </w:tc>
      </w:tr>
      <w:tr w14:paraId="5836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1DADEBA5">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二、自传材料</w:t>
            </w:r>
          </w:p>
        </w:tc>
        <w:tc>
          <w:tcPr>
            <w:tcW w:w="4560" w:type="dxa"/>
            <w:noWrap w:val="0"/>
            <w:vAlign w:val="center"/>
          </w:tcPr>
          <w:p w14:paraId="5F7028B4">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自传和属于自传性质的材料；以自传为主的履历或简历表；领导干部个人有关事项发生变化的报告表等材料，配偶、子女出国（境）留学和加入外国国籍、子女涉外婚姻等情况材料。</w:t>
            </w:r>
            <w:r>
              <w:rPr>
                <w:rFonts w:hint="eastAsia" w:ascii="宋体" w:hAnsi="宋体" w:cs="宋体"/>
                <w:b/>
                <w:snapToGrid w:val="0"/>
                <w:color w:val="auto"/>
                <w:spacing w:val="-8"/>
                <w:kern w:val="0"/>
                <w:sz w:val="24"/>
                <w:szCs w:val="24"/>
                <w:highlight w:val="none"/>
              </w:rPr>
              <w:t>在第六大类中如有两份相同且包含家庭情况的申请书，可取出一份（优先放不含家庭情况的材料）归入二大类并在第一页的右上角用铅笔标记“自传”。</w:t>
            </w:r>
          </w:p>
        </w:tc>
        <w:tc>
          <w:tcPr>
            <w:tcW w:w="1345" w:type="dxa"/>
            <w:noWrap w:val="0"/>
            <w:vAlign w:val="center"/>
          </w:tcPr>
          <w:p w14:paraId="384E0A3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268E1B6E">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类序号按2-1、2-2、2-3等，页码按1、2、3等编写。</w:t>
            </w:r>
          </w:p>
        </w:tc>
        <w:tc>
          <w:tcPr>
            <w:tcW w:w="1055" w:type="dxa"/>
            <w:vMerge w:val="continue"/>
            <w:noWrap w:val="0"/>
            <w:vAlign w:val="top"/>
          </w:tcPr>
          <w:p w14:paraId="06E13F13">
            <w:pPr>
              <w:spacing w:line="400" w:lineRule="exact"/>
              <w:jc w:val="left"/>
              <w:rPr>
                <w:rFonts w:hint="eastAsia" w:ascii="宋体" w:hAnsi="宋体" w:cs="宋体"/>
                <w:snapToGrid w:val="0"/>
                <w:color w:val="auto"/>
                <w:spacing w:val="-20"/>
                <w:kern w:val="0"/>
                <w:sz w:val="18"/>
                <w:szCs w:val="18"/>
                <w:highlight w:val="none"/>
              </w:rPr>
            </w:pPr>
          </w:p>
        </w:tc>
      </w:tr>
      <w:tr w14:paraId="1966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3996D294">
            <w:pPr>
              <w:spacing w:line="400" w:lineRule="exact"/>
              <w:ind w:left="448" w:hanging="448" w:hangingChars="200"/>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三、鉴定、考核材料</w:t>
            </w:r>
          </w:p>
        </w:tc>
        <w:tc>
          <w:tcPr>
            <w:tcW w:w="4560" w:type="dxa"/>
            <w:noWrap w:val="0"/>
            <w:vAlign w:val="center"/>
          </w:tcPr>
          <w:p w14:paraId="5A2D9895">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年度考核登记表；除归入四类、六类、九类以外的考察（鉴定）材料、表现材料（</w:t>
            </w:r>
            <w:r>
              <w:rPr>
                <w:rFonts w:hint="eastAsia" w:ascii="宋体" w:hAnsi="宋体" w:cs="宋体"/>
                <w:b/>
                <w:snapToGrid w:val="0"/>
                <w:color w:val="auto"/>
                <w:spacing w:val="-8"/>
                <w:kern w:val="0"/>
                <w:sz w:val="24"/>
                <w:szCs w:val="24"/>
                <w:highlight w:val="none"/>
              </w:rPr>
              <w:t>包括自我鉴定</w:t>
            </w:r>
            <w:r>
              <w:rPr>
                <w:rFonts w:hint="eastAsia" w:ascii="宋体" w:hAnsi="宋体" w:cs="宋体"/>
                <w:snapToGrid w:val="0"/>
                <w:color w:val="auto"/>
                <w:spacing w:val="-8"/>
                <w:kern w:val="0"/>
                <w:sz w:val="24"/>
                <w:szCs w:val="24"/>
                <w:highlight w:val="none"/>
              </w:rPr>
              <w:t>）；定期考核材料；援藏、援疆、挂职锻炼等考核（鉴定）材料；后备干部登记表（提拔使用后归档）；经济责任审计结果报告</w:t>
            </w:r>
            <w:r>
              <w:rPr>
                <w:rFonts w:hint="eastAsia" w:ascii="宋体" w:hAnsi="宋体" w:cs="宋体"/>
                <w:b/>
                <w:snapToGrid w:val="0"/>
                <w:color w:val="auto"/>
                <w:spacing w:val="-8"/>
                <w:kern w:val="0"/>
                <w:sz w:val="24"/>
                <w:szCs w:val="24"/>
                <w:highlight w:val="none"/>
              </w:rPr>
              <w:t>（离任时的审查）</w:t>
            </w:r>
            <w:r>
              <w:rPr>
                <w:rFonts w:hint="eastAsia" w:ascii="宋体" w:hAnsi="宋体" w:cs="宋体"/>
                <w:snapToGrid w:val="0"/>
                <w:color w:val="auto"/>
                <w:spacing w:val="-8"/>
                <w:kern w:val="0"/>
                <w:sz w:val="24"/>
                <w:szCs w:val="24"/>
                <w:highlight w:val="none"/>
              </w:rPr>
              <w:t>等材料</w:t>
            </w:r>
            <w:r>
              <w:rPr>
                <w:rFonts w:hint="eastAsia" w:ascii="宋体" w:hAnsi="宋体" w:cs="宋体"/>
                <w:b/>
                <w:snapToGrid w:val="0"/>
                <w:color w:val="auto"/>
                <w:spacing w:val="-8"/>
                <w:kern w:val="0"/>
                <w:sz w:val="24"/>
                <w:szCs w:val="24"/>
                <w:highlight w:val="none"/>
              </w:rPr>
              <w:t>；专业技术人员考核登记表，招生政治思想品德审核表（考核表），学生公寓的鉴定。</w:t>
            </w:r>
          </w:p>
        </w:tc>
        <w:tc>
          <w:tcPr>
            <w:tcW w:w="1345" w:type="dxa"/>
            <w:noWrap w:val="0"/>
            <w:vAlign w:val="center"/>
          </w:tcPr>
          <w:p w14:paraId="61960668">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786FD032">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类序号按3-1、3-2、3-3等，页码按1、2、3等编写。</w:t>
            </w:r>
          </w:p>
        </w:tc>
        <w:tc>
          <w:tcPr>
            <w:tcW w:w="1055" w:type="dxa"/>
            <w:vMerge w:val="continue"/>
            <w:noWrap w:val="0"/>
            <w:vAlign w:val="top"/>
          </w:tcPr>
          <w:p w14:paraId="58A4AADC">
            <w:pPr>
              <w:spacing w:line="400" w:lineRule="exact"/>
              <w:jc w:val="left"/>
              <w:rPr>
                <w:rFonts w:hint="eastAsia" w:ascii="宋体" w:hAnsi="宋体" w:cs="宋体"/>
                <w:snapToGrid w:val="0"/>
                <w:color w:val="auto"/>
                <w:spacing w:val="-20"/>
                <w:kern w:val="0"/>
                <w:sz w:val="18"/>
                <w:szCs w:val="18"/>
                <w:highlight w:val="none"/>
              </w:rPr>
            </w:pPr>
          </w:p>
        </w:tc>
      </w:tr>
      <w:tr w14:paraId="0FE8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restart"/>
            <w:noWrap w:val="0"/>
            <w:vAlign w:val="center"/>
          </w:tcPr>
          <w:p w14:paraId="42A14C94">
            <w:pPr>
              <w:spacing w:line="400" w:lineRule="exact"/>
              <w:ind w:left="448" w:hanging="448" w:hangingChars="200"/>
              <w:jc w:val="left"/>
              <w:rPr>
                <w:rFonts w:hint="eastAsia" w:ascii="宋体" w:hAnsi="宋体" w:cs="宋体"/>
                <w:b/>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四、学历学位、职称、学术、培训等材料</w:t>
            </w:r>
          </w:p>
        </w:tc>
        <w:tc>
          <w:tcPr>
            <w:tcW w:w="4560" w:type="dxa"/>
            <w:noWrap w:val="0"/>
            <w:vAlign w:val="center"/>
          </w:tcPr>
          <w:p w14:paraId="0BD9BE2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4-1学历学位材料：</w:t>
            </w:r>
            <w:r>
              <w:rPr>
                <w:rFonts w:hint="eastAsia" w:ascii="宋体" w:hAnsi="宋体" w:cs="宋体"/>
                <w:snapToGrid w:val="0"/>
                <w:color w:val="auto"/>
                <w:spacing w:val="-8"/>
                <w:kern w:val="0"/>
                <w:sz w:val="24"/>
                <w:szCs w:val="24"/>
                <w:highlight w:val="none"/>
              </w:rPr>
              <w:t>各类学生登记表、报考志愿表、考生登记表、选拔学生登记表、毕业生登记表、学习成绩表、入学考试成绩表、学历学位证明、学籍登记表、专家推荐书；与学历学位有关的鉴定材料；参加出国（境）学习或中外合作办学（颁发毕业证、学位证）学习的有关材料；国务院学位委员会、教育部授权单位出具的国内外学历学位认证材料；自学考试有关材料；毕业证书、学位证书复印件、干部学历学位申报确认表等。</w:t>
            </w:r>
            <w:r>
              <w:rPr>
                <w:rFonts w:hint="eastAsia" w:ascii="宋体" w:hAnsi="宋体" w:cs="宋体"/>
                <w:b/>
                <w:snapToGrid w:val="0"/>
                <w:color w:val="auto"/>
                <w:spacing w:val="-8"/>
                <w:kern w:val="0"/>
                <w:sz w:val="24"/>
                <w:szCs w:val="24"/>
                <w:highlight w:val="none"/>
              </w:rPr>
              <w:t>高中/初中/职高/中专学籍材料(材料分开整理，一份材料一个目录)；招生面试成绩；招生外语口试成绩；招生主观信息登记表（客观表附在其后，如果没主观表就直接做客观表）；招生志愿卡；在校实习鉴定表（未离开学校的实习材料放此类，如有结论，则看结论有同意转正则应放入9-2）；在校推荐实习材料；健康成绩登记卡；品德评定表；国家大学生体质健康标准合格证；录取新生报批表；招生面试成绩；学校表现材料几个年度的依照时间顺序进行编号; 在校思想品德鉴定表；毕业生业务能力介绍表；学历证明；招生协议书；委</w:t>
            </w:r>
            <w:r>
              <w:rPr>
                <w:rFonts w:hint="eastAsia" w:ascii="宋体" w:hAnsi="宋体" w:cs="宋体"/>
                <w:snapToGrid w:val="0"/>
                <w:color w:val="auto"/>
                <w:spacing w:val="-8"/>
                <w:kern w:val="0"/>
                <w:sz w:val="24"/>
                <w:szCs w:val="24"/>
                <w:highlight w:val="none"/>
              </w:rPr>
              <w:t>学位、职</w:t>
            </w:r>
            <w:r>
              <w:rPr>
                <w:rFonts w:hint="eastAsia" w:ascii="宋体" w:hAnsi="宋体" w:cs="宋体"/>
                <w:b/>
                <w:snapToGrid w:val="0"/>
                <w:color w:val="auto"/>
                <w:spacing w:val="-8"/>
                <w:kern w:val="0"/>
                <w:sz w:val="24"/>
                <w:szCs w:val="24"/>
                <w:highlight w:val="none"/>
              </w:rPr>
              <w:t>托培养合同（根据材料结论，属学籍类放4-1，属考核类放三类）；</w:t>
            </w:r>
            <w:r>
              <w:rPr>
                <w:rFonts w:hint="eastAsia" w:ascii="宋体" w:hAnsi="宋体" w:cs="宋体"/>
                <w:b/>
                <w:snapToGrid w:val="0"/>
                <w:color w:val="auto"/>
                <w:spacing w:val="-8"/>
                <w:kern w:val="0"/>
                <w:sz w:val="24"/>
                <w:szCs w:val="24"/>
                <w:highlight w:val="none"/>
                <w:u w:val="single"/>
              </w:rPr>
              <w:t>一校两牌、更改校名的材料作为高校毕业生登记表附件不单独整理；</w:t>
            </w:r>
            <w:r>
              <w:rPr>
                <w:rFonts w:hint="eastAsia" w:ascii="宋体" w:hAnsi="宋体" w:cs="宋体"/>
                <w:b/>
                <w:snapToGrid w:val="0"/>
                <w:color w:val="auto"/>
                <w:spacing w:val="-8"/>
                <w:kern w:val="0"/>
                <w:sz w:val="24"/>
                <w:szCs w:val="24"/>
                <w:highlight w:val="none"/>
              </w:rPr>
              <w:t>自愿留级、休学、退学（如：因病、因家庭等个人原因）；计算机等级证书；英语等级证书、军训各类登记表（不满两个月的学校军训）、录取通知书</w:t>
            </w:r>
          </w:p>
        </w:tc>
        <w:tc>
          <w:tcPr>
            <w:tcW w:w="1345" w:type="dxa"/>
            <w:vMerge w:val="restart"/>
            <w:noWrap w:val="0"/>
            <w:vAlign w:val="center"/>
          </w:tcPr>
          <w:p w14:paraId="168EB2D7">
            <w:pPr>
              <w:spacing w:line="400" w:lineRule="exact"/>
              <w:jc w:val="left"/>
              <w:rPr>
                <w:rFonts w:hint="eastAsia" w:ascii="宋体" w:hAnsi="宋体" w:cs="宋体"/>
                <w:b/>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r>
              <w:rPr>
                <w:rFonts w:hint="eastAsia" w:ascii="宋体" w:hAnsi="宋体" w:cs="宋体"/>
                <w:b/>
                <w:snapToGrid w:val="0"/>
                <w:color w:val="auto"/>
                <w:spacing w:val="-8"/>
                <w:kern w:val="0"/>
                <w:sz w:val="24"/>
                <w:szCs w:val="24"/>
                <w:highlight w:val="none"/>
              </w:rPr>
              <w:t>先按逻辑顺序排列，小类材料内部按时间排列，4-1各材料的材料形成时间为材料上最近日期。</w:t>
            </w:r>
          </w:p>
          <w:p w14:paraId="63F5EDC5">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289B969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类序号按4-1-1、   4-1-2、4-1-3等，页码按1、2、3等编写。</w:t>
            </w:r>
          </w:p>
        </w:tc>
        <w:tc>
          <w:tcPr>
            <w:tcW w:w="1055" w:type="dxa"/>
            <w:vMerge w:val="restart"/>
            <w:noWrap w:val="0"/>
            <w:vAlign w:val="center"/>
          </w:tcPr>
          <w:p w14:paraId="4A7E66CF">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r>
              <w:rPr>
                <w:rFonts w:hint="eastAsia" w:ascii="宋体" w:hAnsi="宋体" w:cs="宋体"/>
                <w:snapToGrid w:val="0"/>
                <w:color w:val="auto"/>
                <w:spacing w:val="-8"/>
                <w:kern w:val="0"/>
                <w:sz w:val="24"/>
                <w:szCs w:val="24"/>
                <w:highlight w:val="none"/>
              </w:rPr>
              <w:t>。</w:t>
            </w:r>
            <w:r>
              <w:rPr>
                <w:rFonts w:hint="eastAsia" w:ascii="宋体" w:hAnsi="宋体" w:cs="宋体"/>
                <w:snapToGrid w:val="0"/>
                <w:color w:val="auto"/>
                <w:spacing w:val="-20"/>
                <w:kern w:val="0"/>
                <w:sz w:val="24"/>
                <w:szCs w:val="24"/>
                <w:highlight w:val="none"/>
              </w:rPr>
              <w:t>需用复制件归档的，须在复制件上注明材料出处、复制时间，审核人（复制人）要签名，并加盖材料出具单位或干部人事关系所在单位组织人事部门印章（下同）。</w:t>
            </w:r>
          </w:p>
        </w:tc>
      </w:tr>
      <w:tr w14:paraId="50B7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17C5C5EA">
            <w:pPr>
              <w:spacing w:line="400" w:lineRule="exact"/>
              <w:jc w:val="left"/>
              <w:rPr>
                <w:rFonts w:hint="eastAsia" w:ascii="宋体" w:hAnsi="宋体" w:cs="宋体"/>
                <w:snapToGrid w:val="0"/>
                <w:color w:val="auto"/>
                <w:spacing w:val="-8"/>
                <w:kern w:val="0"/>
                <w:sz w:val="24"/>
                <w:szCs w:val="24"/>
                <w:highlight w:val="none"/>
              </w:rPr>
            </w:pPr>
          </w:p>
        </w:tc>
        <w:tc>
          <w:tcPr>
            <w:tcW w:w="4560" w:type="dxa"/>
            <w:noWrap w:val="0"/>
            <w:vAlign w:val="center"/>
          </w:tcPr>
          <w:p w14:paraId="4C58CA9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4-2专业技术职务材料：</w:t>
            </w:r>
            <w:r>
              <w:rPr>
                <w:rFonts w:hint="eastAsia" w:ascii="宋体" w:hAnsi="宋体" w:cs="宋体"/>
                <w:snapToGrid w:val="0"/>
                <w:color w:val="auto"/>
                <w:spacing w:val="-8"/>
                <w:kern w:val="0"/>
                <w:sz w:val="24"/>
                <w:szCs w:val="24"/>
                <w:highlight w:val="none"/>
              </w:rPr>
              <w:t>职（执）业（任职）资格考试合格人员登记表或职（执）业（任职）资格证书复印件（</w:t>
            </w:r>
            <w:r>
              <w:rPr>
                <w:rFonts w:hint="eastAsia" w:ascii="宋体" w:hAnsi="宋体" w:cs="宋体"/>
                <w:b/>
                <w:snapToGrid w:val="0"/>
                <w:color w:val="auto"/>
                <w:spacing w:val="-8"/>
                <w:kern w:val="0"/>
                <w:sz w:val="24"/>
                <w:szCs w:val="24"/>
                <w:highlight w:val="none"/>
              </w:rPr>
              <w:t>需加盖鲜章</w:t>
            </w:r>
            <w:r>
              <w:rPr>
                <w:rFonts w:hint="eastAsia" w:ascii="宋体" w:hAnsi="宋体" w:cs="宋体"/>
                <w:snapToGrid w:val="0"/>
                <w:color w:val="auto"/>
                <w:spacing w:val="-8"/>
                <w:kern w:val="0"/>
                <w:sz w:val="24"/>
                <w:szCs w:val="24"/>
                <w:highlight w:val="none"/>
              </w:rPr>
              <w:t>）；教师资格认定申请表等材料；专业技术职务任职资格评审表、申（呈）报表，聘任专业技术职务审批表等材料。</w:t>
            </w:r>
            <w:r>
              <w:rPr>
                <w:rFonts w:hint="eastAsia" w:ascii="宋体" w:hAnsi="宋体" w:cs="宋体"/>
                <w:b/>
                <w:snapToGrid w:val="0"/>
                <w:color w:val="auto"/>
                <w:spacing w:val="-8"/>
                <w:kern w:val="0"/>
                <w:sz w:val="24"/>
                <w:szCs w:val="24"/>
                <w:highlight w:val="none"/>
              </w:rPr>
              <w:t>资格类申请表（涉及专业证书）；专业技术人员和管理人员登记表。</w:t>
            </w:r>
            <w:r>
              <w:rPr>
                <w:rFonts w:hint="eastAsia" w:ascii="宋体" w:hAnsi="宋体" w:cs="宋体"/>
                <w:snapToGrid w:val="0"/>
                <w:color w:val="auto"/>
                <w:spacing w:val="-8"/>
                <w:kern w:val="0"/>
                <w:sz w:val="24"/>
                <w:szCs w:val="24"/>
                <w:highlight w:val="none"/>
              </w:rPr>
              <w:t xml:space="preserve"> </w:t>
            </w:r>
          </w:p>
        </w:tc>
        <w:tc>
          <w:tcPr>
            <w:tcW w:w="1345" w:type="dxa"/>
            <w:vMerge w:val="continue"/>
            <w:noWrap w:val="0"/>
            <w:vAlign w:val="center"/>
          </w:tcPr>
          <w:p w14:paraId="776426DB">
            <w:pPr>
              <w:spacing w:line="400" w:lineRule="exact"/>
              <w:jc w:val="left"/>
              <w:rPr>
                <w:rFonts w:hint="eastAsia" w:ascii="宋体" w:hAnsi="宋体" w:cs="宋体"/>
                <w:snapToGrid w:val="0"/>
                <w:color w:val="auto"/>
                <w:spacing w:val="-8"/>
                <w:kern w:val="0"/>
                <w:sz w:val="18"/>
                <w:szCs w:val="18"/>
                <w:highlight w:val="none"/>
              </w:rPr>
            </w:pPr>
          </w:p>
        </w:tc>
        <w:tc>
          <w:tcPr>
            <w:tcW w:w="1350" w:type="dxa"/>
            <w:noWrap w:val="0"/>
            <w:vAlign w:val="center"/>
          </w:tcPr>
          <w:p w14:paraId="338310BE">
            <w:pPr>
              <w:spacing w:line="400" w:lineRule="exact"/>
              <w:jc w:val="left"/>
              <w:rPr>
                <w:rFonts w:hint="eastAsia" w:ascii="宋体" w:hAnsi="宋体" w:cs="宋体"/>
                <w:snapToGrid w:val="0"/>
                <w:color w:val="auto"/>
                <w:spacing w:val="-8"/>
                <w:kern w:val="0"/>
                <w:sz w:val="18"/>
                <w:szCs w:val="18"/>
                <w:highlight w:val="none"/>
              </w:rPr>
            </w:pPr>
            <w:r>
              <w:rPr>
                <w:rFonts w:hint="eastAsia" w:ascii="宋体" w:hAnsi="宋体" w:cs="宋体"/>
                <w:snapToGrid w:val="0"/>
                <w:color w:val="auto"/>
                <w:spacing w:val="-8"/>
                <w:kern w:val="0"/>
                <w:sz w:val="24"/>
                <w:szCs w:val="24"/>
                <w:highlight w:val="none"/>
              </w:rPr>
              <w:t>类序号按4-2-1、   4-2-2、4-2-3等，页码按1、2、3等编写。</w:t>
            </w:r>
          </w:p>
        </w:tc>
        <w:tc>
          <w:tcPr>
            <w:tcW w:w="1055" w:type="dxa"/>
            <w:vMerge w:val="continue"/>
            <w:noWrap w:val="0"/>
            <w:vAlign w:val="top"/>
          </w:tcPr>
          <w:p w14:paraId="08AF91BE">
            <w:pPr>
              <w:spacing w:line="400" w:lineRule="exact"/>
              <w:jc w:val="left"/>
              <w:rPr>
                <w:rFonts w:hint="eastAsia" w:ascii="宋体" w:hAnsi="宋体" w:cs="宋体"/>
                <w:snapToGrid w:val="0"/>
                <w:color w:val="auto"/>
                <w:spacing w:val="-20"/>
                <w:kern w:val="0"/>
                <w:sz w:val="18"/>
                <w:szCs w:val="18"/>
                <w:highlight w:val="none"/>
              </w:rPr>
            </w:pPr>
          </w:p>
        </w:tc>
      </w:tr>
      <w:tr w14:paraId="6941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09E9EF5C">
            <w:pPr>
              <w:spacing w:line="400" w:lineRule="exact"/>
              <w:jc w:val="left"/>
              <w:rPr>
                <w:rFonts w:hint="eastAsia" w:ascii="宋体" w:hAnsi="宋体" w:cs="宋体"/>
                <w:snapToGrid w:val="0"/>
                <w:color w:val="auto"/>
                <w:spacing w:val="-8"/>
                <w:kern w:val="0"/>
                <w:sz w:val="24"/>
                <w:szCs w:val="24"/>
                <w:highlight w:val="none"/>
              </w:rPr>
            </w:pPr>
          </w:p>
        </w:tc>
        <w:tc>
          <w:tcPr>
            <w:tcW w:w="4560" w:type="dxa"/>
            <w:noWrap w:val="0"/>
            <w:vAlign w:val="center"/>
          </w:tcPr>
          <w:p w14:paraId="00B90771">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4-3科研学术材料：</w:t>
            </w:r>
            <w:r>
              <w:rPr>
                <w:rFonts w:hint="eastAsia" w:ascii="宋体" w:hAnsi="宋体" w:cs="宋体"/>
                <w:snapToGrid w:val="0"/>
                <w:color w:val="auto"/>
                <w:spacing w:val="-8"/>
                <w:kern w:val="0"/>
                <w:sz w:val="24"/>
                <w:szCs w:val="24"/>
                <w:highlight w:val="none"/>
              </w:rPr>
              <w:t>当选为中科院、中国工程院院士的通知；遴选博士生导师简况表，博士后申请表，博士后工作期满登记表；被县处级以上单位评选为专业拔尖人才的材料；科研工作及个人表现评定材料，业务考绩材料；创造发明，科研成果鉴定材料，著作、译著和有重大影响的论文目录。</w:t>
            </w:r>
          </w:p>
        </w:tc>
        <w:tc>
          <w:tcPr>
            <w:tcW w:w="1345" w:type="dxa"/>
            <w:vMerge w:val="continue"/>
            <w:noWrap w:val="0"/>
            <w:vAlign w:val="center"/>
          </w:tcPr>
          <w:p w14:paraId="58063A93">
            <w:pPr>
              <w:spacing w:line="400" w:lineRule="exact"/>
              <w:jc w:val="left"/>
              <w:rPr>
                <w:rFonts w:hint="eastAsia" w:ascii="宋体" w:hAnsi="宋体" w:cs="宋体"/>
                <w:snapToGrid w:val="0"/>
                <w:color w:val="auto"/>
                <w:spacing w:val="-8"/>
                <w:kern w:val="0"/>
                <w:sz w:val="18"/>
                <w:szCs w:val="18"/>
                <w:highlight w:val="none"/>
              </w:rPr>
            </w:pPr>
          </w:p>
        </w:tc>
        <w:tc>
          <w:tcPr>
            <w:tcW w:w="1350" w:type="dxa"/>
            <w:noWrap w:val="0"/>
            <w:vAlign w:val="center"/>
          </w:tcPr>
          <w:p w14:paraId="150704D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类序号按4-3-1、   4-3-2、4-3-3等，页码按1、2、3等编写。</w:t>
            </w:r>
          </w:p>
        </w:tc>
        <w:tc>
          <w:tcPr>
            <w:tcW w:w="1055" w:type="dxa"/>
            <w:vMerge w:val="continue"/>
            <w:noWrap w:val="0"/>
            <w:vAlign w:val="top"/>
          </w:tcPr>
          <w:p w14:paraId="428E1A1C">
            <w:pPr>
              <w:spacing w:line="400" w:lineRule="exact"/>
              <w:jc w:val="left"/>
              <w:rPr>
                <w:rFonts w:hint="eastAsia" w:ascii="宋体" w:hAnsi="宋体" w:cs="宋体"/>
                <w:snapToGrid w:val="0"/>
                <w:color w:val="auto"/>
                <w:spacing w:val="-20"/>
                <w:kern w:val="0"/>
                <w:sz w:val="18"/>
                <w:szCs w:val="18"/>
                <w:highlight w:val="none"/>
              </w:rPr>
            </w:pPr>
          </w:p>
        </w:tc>
      </w:tr>
      <w:tr w14:paraId="231A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18DA047C">
            <w:pPr>
              <w:spacing w:line="400" w:lineRule="exact"/>
              <w:jc w:val="left"/>
              <w:rPr>
                <w:rFonts w:hint="eastAsia" w:ascii="宋体" w:hAnsi="宋体" w:cs="宋体"/>
                <w:snapToGrid w:val="0"/>
                <w:color w:val="auto"/>
                <w:spacing w:val="-8"/>
                <w:kern w:val="0"/>
                <w:sz w:val="24"/>
                <w:szCs w:val="24"/>
                <w:highlight w:val="none"/>
              </w:rPr>
            </w:pPr>
          </w:p>
        </w:tc>
        <w:tc>
          <w:tcPr>
            <w:tcW w:w="4560" w:type="dxa"/>
            <w:noWrap w:val="0"/>
            <w:vAlign w:val="center"/>
          </w:tcPr>
          <w:p w14:paraId="2647293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4-4培训材料：</w:t>
            </w:r>
            <w:r>
              <w:rPr>
                <w:rFonts w:hint="eastAsia" w:ascii="宋体" w:hAnsi="宋体" w:cs="宋体"/>
                <w:snapToGrid w:val="0"/>
                <w:color w:val="auto"/>
                <w:spacing w:val="-8"/>
                <w:kern w:val="0"/>
                <w:sz w:val="24"/>
                <w:szCs w:val="24"/>
                <w:highlight w:val="none"/>
              </w:rPr>
              <w:t>为期两个月以上的学员培训（学习、进修）登记表、考核登记表、结业登记（鉴定）表，无硕（博）士学位的研究生课程进修班学习的有关材料等。</w:t>
            </w:r>
            <w:r>
              <w:rPr>
                <w:rFonts w:hint="eastAsia" w:ascii="宋体" w:hAnsi="宋体" w:cs="宋体"/>
                <w:b/>
                <w:snapToGrid w:val="0"/>
                <w:color w:val="auto"/>
                <w:spacing w:val="-8"/>
                <w:kern w:val="0"/>
                <w:sz w:val="24"/>
                <w:szCs w:val="24"/>
                <w:highlight w:val="none"/>
              </w:rPr>
              <w:t>党校结业证；为期两个月以上的无学位的进修班学习（有明确时间范围的归入，没有就放散材料），超过2个月的军校培训放此类</w:t>
            </w:r>
          </w:p>
        </w:tc>
        <w:tc>
          <w:tcPr>
            <w:tcW w:w="1345" w:type="dxa"/>
            <w:vMerge w:val="continue"/>
            <w:noWrap w:val="0"/>
            <w:vAlign w:val="center"/>
          </w:tcPr>
          <w:p w14:paraId="12F2B30D">
            <w:pPr>
              <w:spacing w:line="400" w:lineRule="exact"/>
              <w:jc w:val="left"/>
              <w:rPr>
                <w:rFonts w:hint="eastAsia" w:ascii="宋体" w:hAnsi="宋体" w:cs="宋体"/>
                <w:snapToGrid w:val="0"/>
                <w:color w:val="auto"/>
                <w:spacing w:val="-8"/>
                <w:kern w:val="0"/>
                <w:sz w:val="18"/>
                <w:szCs w:val="18"/>
                <w:highlight w:val="none"/>
              </w:rPr>
            </w:pPr>
          </w:p>
        </w:tc>
        <w:tc>
          <w:tcPr>
            <w:tcW w:w="1350" w:type="dxa"/>
            <w:noWrap w:val="0"/>
            <w:vAlign w:val="center"/>
          </w:tcPr>
          <w:p w14:paraId="2FB9C252">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类序号按4-4-1、   4-4-2、4-4-3等，页码按1、2、3等编写。</w:t>
            </w:r>
          </w:p>
        </w:tc>
        <w:tc>
          <w:tcPr>
            <w:tcW w:w="1055" w:type="dxa"/>
            <w:vMerge w:val="continue"/>
            <w:noWrap w:val="0"/>
            <w:vAlign w:val="top"/>
          </w:tcPr>
          <w:p w14:paraId="4CFD51EE">
            <w:pPr>
              <w:spacing w:line="400" w:lineRule="exact"/>
              <w:jc w:val="left"/>
              <w:rPr>
                <w:rFonts w:hint="eastAsia" w:ascii="宋体" w:hAnsi="宋体" w:cs="宋体"/>
                <w:snapToGrid w:val="0"/>
                <w:color w:val="auto"/>
                <w:spacing w:val="-20"/>
                <w:kern w:val="0"/>
                <w:sz w:val="18"/>
                <w:szCs w:val="18"/>
                <w:highlight w:val="none"/>
              </w:rPr>
            </w:pPr>
          </w:p>
        </w:tc>
      </w:tr>
      <w:tr w14:paraId="1ADA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DF93970">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五、政审材料</w:t>
            </w:r>
          </w:p>
        </w:tc>
        <w:tc>
          <w:tcPr>
            <w:tcW w:w="4560" w:type="dxa"/>
            <w:noWrap w:val="0"/>
            <w:vAlign w:val="center"/>
          </w:tcPr>
          <w:p w14:paraId="0F6612D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上级组织批复，审查（复查、甄别）结论，调查报告及主要依据与证明材料；本人对结论的意见、检查</w:t>
            </w:r>
            <w:r>
              <w:rPr>
                <w:rFonts w:hint="eastAsia" w:ascii="宋体" w:hAnsi="宋体" w:cs="宋体"/>
                <w:snapToGrid w:val="0"/>
                <w:color w:val="auto"/>
                <w:spacing w:val="-8"/>
                <w:kern w:val="0"/>
                <w:sz w:val="24"/>
                <w:szCs w:val="24"/>
                <w:highlight w:val="none"/>
                <w:lang w:eastAsia="zh-CN"/>
              </w:rPr>
              <w:t>交代或</w:t>
            </w:r>
            <w:r>
              <w:rPr>
                <w:rFonts w:hint="eastAsia" w:ascii="宋体" w:hAnsi="宋体" w:cs="宋体"/>
                <w:snapToGrid w:val="0"/>
                <w:color w:val="auto"/>
                <w:spacing w:val="-8"/>
                <w:kern w:val="0"/>
                <w:sz w:val="24"/>
                <w:szCs w:val="24"/>
                <w:highlight w:val="none"/>
              </w:rPr>
              <w:t>情况说明材料；撤销原审查结论的材料；各类政审表；更改（确认）姓名、民族、籍贯、国籍、入党（团）时间、参工时间、出生日期的个人申请、组织审查（调查）报告及主要依据与证明材料、上级组织批复；计算连续工龄审批材料等；在档案审核中形成的“三龄一历”或“三龄两历”认定、“干部基本信息审核表”等材料；干部配偶情况登记表，家庭成员、主要社会关系的平反决定、通知或复查意见等。</w:t>
            </w:r>
            <w:r>
              <w:rPr>
                <w:rFonts w:hint="eastAsia" w:ascii="宋体" w:hAnsi="宋体" w:cs="宋体"/>
                <w:b/>
                <w:snapToGrid w:val="0"/>
                <w:color w:val="auto"/>
                <w:spacing w:val="-8"/>
                <w:kern w:val="0"/>
                <w:sz w:val="24"/>
                <w:szCs w:val="24"/>
                <w:highlight w:val="none"/>
              </w:rPr>
              <w:t>三峡库区证明材料(库区学生审查表)；教师子女审查登记表；教师/子女加分表；全国干部任免审批表，有“全国”二字的归入此类，没有的归入9-2；参加工作时间更改证明；军人爱人情况登记表；亲属政审材料；高等学校政治审查表；招生政治审查表；有政审内容的函调回信；关于调查XX同志政历及表现情况的函（证明）；高等学校毕业生（政审）登记表（如档案内无相应毕业生登记表的，则此材料放入4-1）。少数民族考生、农村独生子女等加分材料；三线职工子女、侨胞、侨属的证明材料，父母刑事判决书；干部参加工作时间登记表；</w:t>
            </w:r>
          </w:p>
        </w:tc>
        <w:tc>
          <w:tcPr>
            <w:tcW w:w="1345" w:type="dxa"/>
            <w:noWrap w:val="0"/>
            <w:vAlign w:val="center"/>
          </w:tcPr>
          <w:p w14:paraId="7291F7E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有批复的，按上级批复、审查结论、本人对结论的意见（本人申请）、调查报告、主要证明、本人检查</w:t>
            </w:r>
            <w:r>
              <w:rPr>
                <w:rFonts w:hint="eastAsia" w:ascii="宋体" w:hAnsi="宋体" w:cs="宋体"/>
                <w:snapToGrid w:val="0"/>
                <w:color w:val="auto"/>
                <w:spacing w:val="-8"/>
                <w:kern w:val="0"/>
                <w:sz w:val="24"/>
                <w:szCs w:val="24"/>
                <w:highlight w:val="none"/>
                <w:lang w:eastAsia="zh-CN"/>
              </w:rPr>
              <w:t>或交代</w:t>
            </w:r>
            <w:r>
              <w:rPr>
                <w:rFonts w:hint="eastAsia" w:ascii="宋体" w:hAnsi="宋体" w:cs="宋体"/>
                <w:snapToGrid w:val="0"/>
                <w:color w:val="auto"/>
                <w:spacing w:val="-8"/>
                <w:kern w:val="0"/>
                <w:sz w:val="24"/>
                <w:szCs w:val="24"/>
                <w:highlight w:val="none"/>
              </w:rPr>
              <w:t>等顺序排列；其他材料按材料形成时间顺序排列。</w:t>
            </w:r>
          </w:p>
        </w:tc>
        <w:tc>
          <w:tcPr>
            <w:tcW w:w="1350" w:type="dxa"/>
            <w:noWrap w:val="0"/>
            <w:vAlign w:val="center"/>
          </w:tcPr>
          <w:p w14:paraId="1789E479">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类序号按5-1、5-2、5-3等，页码按1、2、3等编写。</w:t>
            </w:r>
          </w:p>
        </w:tc>
        <w:tc>
          <w:tcPr>
            <w:tcW w:w="1055" w:type="dxa"/>
            <w:noWrap w:val="0"/>
            <w:vAlign w:val="center"/>
          </w:tcPr>
          <w:p w14:paraId="36693924">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类序号写在每份材料首页的</w:t>
            </w:r>
            <w:r>
              <w:rPr>
                <w:rFonts w:hint="eastAsia" w:ascii="宋体" w:hAnsi="宋体" w:cs="宋体"/>
                <w:b/>
                <w:snapToGrid w:val="0"/>
                <w:color w:val="auto"/>
                <w:spacing w:val="-8"/>
                <w:kern w:val="0"/>
                <w:sz w:val="24"/>
                <w:szCs w:val="24"/>
                <w:highlight w:val="none"/>
              </w:rPr>
              <w:t>右上角</w:t>
            </w:r>
            <w:r>
              <w:rPr>
                <w:rFonts w:hint="eastAsia" w:ascii="宋体" w:hAnsi="宋体" w:cs="宋体"/>
                <w:snapToGrid w:val="0"/>
                <w:color w:val="auto"/>
                <w:spacing w:val="-8"/>
                <w:kern w:val="0"/>
                <w:sz w:val="24"/>
                <w:szCs w:val="24"/>
                <w:highlight w:val="none"/>
              </w:rPr>
              <w:t>，页码写在每</w:t>
            </w:r>
            <w:r>
              <w:rPr>
                <w:rFonts w:hint="eastAsia" w:ascii="宋体" w:hAnsi="宋体" w:cs="宋体"/>
                <w:snapToGrid w:val="0"/>
                <w:color w:val="auto"/>
                <w:spacing w:val="-20"/>
                <w:kern w:val="0"/>
                <w:sz w:val="24"/>
                <w:szCs w:val="24"/>
                <w:highlight w:val="none"/>
              </w:rPr>
              <w:t>页</w:t>
            </w:r>
            <w:r>
              <w:rPr>
                <w:rFonts w:hint="eastAsia" w:ascii="宋体" w:hAnsi="宋体" w:cs="宋体"/>
                <w:snapToGrid w:val="0"/>
                <w:color w:val="auto"/>
                <w:spacing w:val="-8"/>
                <w:kern w:val="0"/>
                <w:sz w:val="24"/>
                <w:szCs w:val="24"/>
                <w:highlight w:val="none"/>
              </w:rPr>
              <w:t>材料的</w:t>
            </w:r>
            <w:r>
              <w:rPr>
                <w:rFonts w:hint="eastAsia" w:ascii="宋体" w:hAnsi="宋体" w:cs="宋体"/>
                <w:b/>
                <w:snapToGrid w:val="0"/>
                <w:color w:val="auto"/>
                <w:spacing w:val="-8"/>
                <w:kern w:val="0"/>
                <w:sz w:val="24"/>
                <w:szCs w:val="24"/>
                <w:highlight w:val="none"/>
              </w:rPr>
              <w:t>右下角。</w:t>
            </w:r>
          </w:p>
        </w:tc>
      </w:tr>
      <w:tr w14:paraId="0B63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B711E4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六、党团材料</w:t>
            </w:r>
          </w:p>
        </w:tc>
        <w:tc>
          <w:tcPr>
            <w:tcW w:w="4560" w:type="dxa"/>
            <w:noWrap w:val="0"/>
            <w:vAlign w:val="center"/>
          </w:tcPr>
          <w:p w14:paraId="42E8816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入团志愿书、入团申请书；入党志愿书、申请书、转正申请书；整党工作、党员重新登记工作中民主评议党员的组织意见，党员登记表，党支部不予登记或缓期登记的决定、上级组织意见；不合格党员被劝退或除名的组织审批意见及主要依据材料；取消预备党员资格的材料；退党、自行脱党材料；恢复组织生活（党籍）的有关审批材料；加入或退出民主党派的材料等。</w:t>
            </w:r>
            <w:r>
              <w:rPr>
                <w:rFonts w:hint="eastAsia" w:ascii="宋体" w:hAnsi="宋体" w:cs="宋体"/>
                <w:b/>
                <w:snapToGrid w:val="0"/>
                <w:color w:val="auto"/>
                <w:spacing w:val="-8"/>
                <w:kern w:val="0"/>
                <w:sz w:val="24"/>
                <w:szCs w:val="24"/>
                <w:highlight w:val="none"/>
              </w:rPr>
              <w:t>团员关系转移材料（若存在认定团员身份的材料则不归档）；整理进入正本的党员材料主要有入党志愿书、入党申请书、转正申请书、培养教育考察、党员登记表、停止党籍、恢复党籍、退党、脱党、保留组织关系、恢复组织生活，其他相关党员材料放散材料。如无入党志愿书，则相关党员材料放散材料</w:t>
            </w:r>
          </w:p>
        </w:tc>
        <w:tc>
          <w:tcPr>
            <w:tcW w:w="1345" w:type="dxa"/>
            <w:noWrap w:val="0"/>
            <w:vAlign w:val="center"/>
          </w:tcPr>
          <w:p w14:paraId="232ED090">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入团材料在入党材料前；入团志愿书在其他入团材料前；入党志愿书在其他入党材料前；其余材料按时间依次排在入团或入党材料后。</w:t>
            </w:r>
            <w:r>
              <w:rPr>
                <w:rFonts w:hint="eastAsia" w:ascii="宋体" w:hAnsi="宋体" w:cs="宋体"/>
                <w:b/>
                <w:snapToGrid w:val="0"/>
                <w:color w:val="auto"/>
                <w:spacing w:val="-8"/>
                <w:kern w:val="0"/>
                <w:sz w:val="24"/>
                <w:szCs w:val="24"/>
                <w:highlight w:val="none"/>
              </w:rPr>
              <w:t>思想汇报可连续编码（材料名称内进行备注，例：“思想汇报（2018年-2019年）”）。入团志愿书、入团申请书；入党志愿书、申请书、转正申请书5个材料固定按此顺序排前五</w:t>
            </w:r>
          </w:p>
        </w:tc>
        <w:tc>
          <w:tcPr>
            <w:tcW w:w="1350" w:type="dxa"/>
            <w:noWrap w:val="0"/>
            <w:vAlign w:val="center"/>
          </w:tcPr>
          <w:p w14:paraId="104B502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类序号按6-1、6-2、6-3等，页码按1、2、3等编写。</w:t>
            </w:r>
          </w:p>
        </w:tc>
        <w:tc>
          <w:tcPr>
            <w:tcW w:w="1055" w:type="dxa"/>
            <w:noWrap w:val="0"/>
            <w:vAlign w:val="center"/>
          </w:tcPr>
          <w:p w14:paraId="03C232F1">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p>
        </w:tc>
      </w:tr>
      <w:tr w14:paraId="2E79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48B4A4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七、奖励材料</w:t>
            </w:r>
          </w:p>
        </w:tc>
        <w:tc>
          <w:tcPr>
            <w:tcW w:w="4560" w:type="dxa"/>
            <w:noWrap w:val="0"/>
            <w:vAlign w:val="center"/>
          </w:tcPr>
          <w:p w14:paraId="46C7BA2C">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县处级以上党政机关、人民团体等予以表彰、嘉奖、记功和授予荣誉称号的审批（呈报）表，先进人物登记（推荐、审批）表，先进事迹材料；享受政府特殊津贴的材料；撤销奖励的有关材料等。</w:t>
            </w:r>
            <w:r>
              <w:rPr>
                <w:rFonts w:hint="eastAsia" w:ascii="宋体" w:hAnsi="宋体" w:cs="宋体"/>
                <w:b/>
                <w:snapToGrid w:val="0"/>
                <w:color w:val="auto"/>
                <w:spacing w:val="-8"/>
                <w:kern w:val="0"/>
                <w:sz w:val="24"/>
                <w:szCs w:val="24"/>
                <w:highlight w:val="none"/>
              </w:rPr>
              <w:t>荣誉证书（有审批表的荣誉证书，放审批表后作为附件）；优秀团员、优秀学生干部、优秀毕业生推荐表；优秀毕业生/学生登记表；奖学金登记表、国家励志奖学金</w:t>
            </w:r>
          </w:p>
        </w:tc>
        <w:tc>
          <w:tcPr>
            <w:tcW w:w="1345" w:type="dxa"/>
            <w:noWrap w:val="0"/>
            <w:vAlign w:val="center"/>
          </w:tcPr>
          <w:p w14:paraId="40E730C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613097CE">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类序号按7-1、7-2、7-3等，页码按1、2、3等编写。</w:t>
            </w:r>
          </w:p>
        </w:tc>
        <w:tc>
          <w:tcPr>
            <w:tcW w:w="1055" w:type="dxa"/>
            <w:noWrap w:val="0"/>
            <w:vAlign w:val="center"/>
          </w:tcPr>
          <w:p w14:paraId="443D0587">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编写类序号、页码和复制件归档要求同第四类。</w:t>
            </w:r>
          </w:p>
        </w:tc>
      </w:tr>
      <w:tr w14:paraId="75DE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79EB101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八、处分材料</w:t>
            </w:r>
          </w:p>
        </w:tc>
        <w:tc>
          <w:tcPr>
            <w:tcW w:w="4560" w:type="dxa"/>
            <w:noWrap w:val="0"/>
            <w:vAlign w:val="center"/>
          </w:tcPr>
          <w:p w14:paraId="2E26C08A">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处分决定、免予处分的意见，上级批复，核实（调查、复查）报告及主要依据与证明材料，本人对处分决定的意见、检查、</w:t>
            </w:r>
            <w:r>
              <w:rPr>
                <w:rFonts w:hint="eastAsia" w:ascii="宋体" w:hAnsi="宋体" w:cs="宋体"/>
                <w:snapToGrid w:val="0"/>
                <w:color w:val="auto"/>
                <w:spacing w:val="-8"/>
                <w:kern w:val="0"/>
                <w:sz w:val="24"/>
                <w:szCs w:val="24"/>
                <w:highlight w:val="none"/>
                <w:lang w:eastAsia="zh-CN"/>
              </w:rPr>
              <w:t>交代</w:t>
            </w:r>
            <w:r>
              <w:rPr>
                <w:rFonts w:hint="eastAsia" w:ascii="宋体" w:hAnsi="宋体" w:cs="宋体"/>
                <w:snapToGrid w:val="0"/>
                <w:color w:val="auto"/>
                <w:spacing w:val="-8"/>
                <w:kern w:val="0"/>
                <w:sz w:val="24"/>
                <w:szCs w:val="24"/>
                <w:highlight w:val="none"/>
              </w:rPr>
              <w:t>及情况说明材料；解除（变更、撤销）处分的材料；检察院不起诉决定书；法院刑事判决书、裁定书；公安机关作出行政拘留、限制人身自由、没收违法所得、收缴非法财物、追缴违法所得等的行政处理决定等；通报批评材料。</w:t>
            </w:r>
            <w:r>
              <w:rPr>
                <w:rFonts w:hint="eastAsia" w:ascii="宋体" w:hAnsi="宋体" w:cs="宋体"/>
                <w:b/>
                <w:snapToGrid w:val="0"/>
                <w:color w:val="auto"/>
                <w:spacing w:val="-8"/>
                <w:kern w:val="0"/>
                <w:sz w:val="24"/>
                <w:szCs w:val="24"/>
                <w:highlight w:val="none"/>
              </w:rPr>
              <w:t>因处分留级、退学；员工过失警告通知书。</w:t>
            </w:r>
          </w:p>
        </w:tc>
        <w:tc>
          <w:tcPr>
            <w:tcW w:w="1345" w:type="dxa"/>
            <w:noWrap w:val="0"/>
            <w:vAlign w:val="center"/>
          </w:tcPr>
          <w:p w14:paraId="2842AECF">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排列顺序同第五类。</w:t>
            </w:r>
          </w:p>
        </w:tc>
        <w:tc>
          <w:tcPr>
            <w:tcW w:w="1350" w:type="dxa"/>
            <w:noWrap w:val="0"/>
            <w:vAlign w:val="center"/>
          </w:tcPr>
          <w:p w14:paraId="5D0D66C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类序号按8-1、8-2、8-3等，页码按1、2、3等编写。</w:t>
            </w:r>
          </w:p>
        </w:tc>
        <w:tc>
          <w:tcPr>
            <w:tcW w:w="1055" w:type="dxa"/>
            <w:noWrap w:val="0"/>
            <w:vAlign w:val="top"/>
          </w:tcPr>
          <w:p w14:paraId="026AA3A4">
            <w:pPr>
              <w:spacing w:line="400" w:lineRule="exact"/>
              <w:jc w:val="left"/>
              <w:rPr>
                <w:rFonts w:hint="eastAsia" w:ascii="宋体" w:hAnsi="宋体" w:cs="宋体"/>
                <w:b/>
                <w:snapToGrid w:val="0"/>
                <w:color w:val="auto"/>
                <w:spacing w:val="-20"/>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p>
        </w:tc>
      </w:tr>
      <w:tr w14:paraId="7228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restart"/>
            <w:noWrap w:val="0"/>
            <w:vAlign w:val="center"/>
          </w:tcPr>
          <w:p w14:paraId="6D174F6D">
            <w:pPr>
              <w:spacing w:line="400" w:lineRule="exact"/>
              <w:ind w:left="476" w:leftChars="50" w:hanging="336" w:hangingChars="150"/>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九、工资、任免、出国、会议等材料</w:t>
            </w:r>
          </w:p>
        </w:tc>
        <w:tc>
          <w:tcPr>
            <w:tcW w:w="4560" w:type="dxa"/>
            <w:noWrap w:val="0"/>
            <w:vAlign w:val="center"/>
          </w:tcPr>
          <w:p w14:paraId="2323CE64">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9-1工资材料：</w:t>
            </w:r>
            <w:r>
              <w:rPr>
                <w:rFonts w:hint="eastAsia" w:ascii="宋体" w:hAnsi="宋体" w:cs="宋体"/>
                <w:snapToGrid w:val="0"/>
                <w:color w:val="auto"/>
                <w:spacing w:val="-8"/>
                <w:kern w:val="0"/>
                <w:sz w:val="24"/>
                <w:szCs w:val="24"/>
                <w:highlight w:val="none"/>
              </w:rPr>
              <w:t>工资审批表、转正定级审批表、工资变动（套改）表、提职晋级和奖励工资审批表，工资停发（恢复）通知单；解决待遇问题的审批材料等。</w:t>
            </w:r>
          </w:p>
        </w:tc>
        <w:tc>
          <w:tcPr>
            <w:tcW w:w="1345" w:type="dxa"/>
            <w:vMerge w:val="restart"/>
            <w:noWrap w:val="0"/>
            <w:vAlign w:val="center"/>
          </w:tcPr>
          <w:p w14:paraId="23254A0E">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077FFD5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类序号按9-1-1、   9-1-2、9-1-3等，页码按1、2、3等编写。</w:t>
            </w:r>
          </w:p>
        </w:tc>
        <w:tc>
          <w:tcPr>
            <w:tcW w:w="1055" w:type="dxa"/>
            <w:vMerge w:val="restart"/>
            <w:noWrap w:val="0"/>
            <w:vAlign w:val="center"/>
          </w:tcPr>
          <w:p w14:paraId="55737BFD">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r>
              <w:rPr>
                <w:rFonts w:hint="eastAsia" w:ascii="宋体" w:hAnsi="宋体" w:cs="宋体"/>
                <w:snapToGrid w:val="0"/>
                <w:color w:val="auto"/>
                <w:spacing w:val="-20"/>
                <w:kern w:val="0"/>
                <w:sz w:val="24"/>
                <w:szCs w:val="24"/>
                <w:highlight w:val="none"/>
              </w:rPr>
              <w:t>。复制件归档要求同第四类。</w:t>
            </w:r>
          </w:p>
        </w:tc>
      </w:tr>
      <w:tr w14:paraId="0FE1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6E4EB8D1">
            <w:pPr>
              <w:spacing w:line="400" w:lineRule="exact"/>
              <w:jc w:val="left"/>
              <w:rPr>
                <w:rFonts w:hint="eastAsia" w:ascii="宋体" w:hAnsi="宋体" w:cs="宋体"/>
                <w:snapToGrid w:val="0"/>
                <w:color w:val="auto"/>
                <w:spacing w:val="-8"/>
                <w:kern w:val="0"/>
                <w:sz w:val="18"/>
                <w:szCs w:val="18"/>
                <w:highlight w:val="none"/>
              </w:rPr>
            </w:pPr>
          </w:p>
        </w:tc>
        <w:tc>
          <w:tcPr>
            <w:tcW w:w="4560" w:type="dxa"/>
            <w:noWrap w:val="0"/>
            <w:vAlign w:val="center"/>
          </w:tcPr>
          <w:p w14:paraId="71D5B1F0">
            <w:pPr>
              <w:spacing w:line="400" w:lineRule="exact"/>
              <w:jc w:val="left"/>
              <w:rPr>
                <w:rFonts w:hint="eastAsia" w:ascii="宋体" w:hAnsi="宋体" w:cs="宋体"/>
                <w:b/>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9-2任免材料：</w:t>
            </w:r>
            <w:r>
              <w:rPr>
                <w:rFonts w:hint="eastAsia" w:ascii="宋体" w:hAnsi="宋体" w:cs="宋体"/>
                <w:snapToGrid w:val="0"/>
                <w:color w:val="auto"/>
                <w:spacing w:val="-8"/>
                <w:kern w:val="0"/>
                <w:sz w:val="24"/>
                <w:szCs w:val="24"/>
                <w:highlight w:val="none"/>
              </w:rPr>
              <w:t>录（聘）用审批（备案）表；选调生登记表及审批材料，选聘到村任职高校毕业生登记表；应征入伍登记表，招工审批表；取消录用、解聘材料；干部任免审批表及相应考察材料；干部试用期满审批表及相应考核（察）材料；公务员登记表，参公人员登记表；公务员调任审批（备案）表，干部调动审批材料；援藏、援疆、挂职锻炼登记（推荐）表；授予（晋升）军（警）衔、海关关衔、法官和检察官等级审批表；军人转业（复员）审批表；退（离）休审批表；自愿或引咎辞职的个人申请，同意或责令辞职的决定，对责令辞职决定不服的申诉材料、复议决定；辞退公务员审批表、辞退决定材料；罢免材料等。</w:t>
            </w:r>
            <w:r>
              <w:rPr>
                <w:rFonts w:hint="eastAsia" w:ascii="宋体" w:hAnsi="宋体" w:cs="宋体"/>
                <w:b/>
                <w:snapToGrid w:val="0"/>
                <w:color w:val="auto"/>
                <w:spacing w:val="-8"/>
                <w:kern w:val="0"/>
                <w:sz w:val="24"/>
                <w:szCs w:val="24"/>
                <w:highlight w:val="none"/>
              </w:rPr>
              <w:t xml:space="preserve">劳动合同（解除、终止、续签）；保密协议、合同内容修订作为劳动合同的附件；聘用合同；毕业生就业登记表（有用人单位盖章，无章放10类）；离职证明；上山下乡材料 </w:t>
            </w:r>
          </w:p>
        </w:tc>
        <w:tc>
          <w:tcPr>
            <w:tcW w:w="1345" w:type="dxa"/>
            <w:vMerge w:val="continue"/>
            <w:noWrap w:val="0"/>
            <w:vAlign w:val="center"/>
          </w:tcPr>
          <w:p w14:paraId="361983C5">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7F4F293F">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类序号按9-2-1、  9-2-2、9-2-3等，页码按1、2、3等编写。</w:t>
            </w:r>
          </w:p>
        </w:tc>
        <w:tc>
          <w:tcPr>
            <w:tcW w:w="1055" w:type="dxa"/>
            <w:vMerge w:val="continue"/>
            <w:noWrap w:val="0"/>
            <w:vAlign w:val="top"/>
          </w:tcPr>
          <w:p w14:paraId="621EB6A6">
            <w:pPr>
              <w:spacing w:line="400" w:lineRule="exact"/>
              <w:jc w:val="left"/>
              <w:rPr>
                <w:rFonts w:hint="eastAsia" w:ascii="宋体" w:hAnsi="宋体" w:cs="宋体"/>
                <w:snapToGrid w:val="0"/>
                <w:color w:val="auto"/>
                <w:spacing w:val="-8"/>
                <w:kern w:val="0"/>
                <w:sz w:val="18"/>
                <w:szCs w:val="18"/>
                <w:highlight w:val="none"/>
              </w:rPr>
            </w:pPr>
          </w:p>
        </w:tc>
      </w:tr>
      <w:tr w14:paraId="1AB1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Merge w:val="continue"/>
            <w:noWrap w:val="0"/>
            <w:vAlign w:val="center"/>
          </w:tcPr>
          <w:p w14:paraId="46121C42">
            <w:pPr>
              <w:spacing w:line="400" w:lineRule="exact"/>
              <w:jc w:val="left"/>
              <w:rPr>
                <w:rFonts w:hint="eastAsia" w:ascii="宋体" w:hAnsi="宋体" w:cs="宋体"/>
                <w:snapToGrid w:val="0"/>
                <w:color w:val="auto"/>
                <w:spacing w:val="-8"/>
                <w:kern w:val="0"/>
                <w:sz w:val="18"/>
                <w:szCs w:val="18"/>
                <w:highlight w:val="none"/>
              </w:rPr>
            </w:pPr>
          </w:p>
        </w:tc>
        <w:tc>
          <w:tcPr>
            <w:tcW w:w="4560" w:type="dxa"/>
            <w:noWrap w:val="0"/>
            <w:vAlign w:val="center"/>
          </w:tcPr>
          <w:p w14:paraId="033C6B8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9-3出国（境）审批材料：</w:t>
            </w:r>
            <w:r>
              <w:rPr>
                <w:rFonts w:hint="eastAsia" w:ascii="宋体" w:hAnsi="宋体" w:cs="宋体"/>
                <w:snapToGrid w:val="0"/>
                <w:color w:val="auto"/>
                <w:spacing w:val="-8"/>
                <w:kern w:val="0"/>
                <w:sz w:val="24"/>
                <w:szCs w:val="24"/>
                <w:highlight w:val="none"/>
              </w:rPr>
              <w:t>因公出国（境）审批表；在国（境）外表现情况或鉴定等材料；外国永久居留证、港澳居民身份证等的复印件。</w:t>
            </w:r>
          </w:p>
        </w:tc>
        <w:tc>
          <w:tcPr>
            <w:tcW w:w="1345" w:type="dxa"/>
            <w:vMerge w:val="continue"/>
            <w:noWrap w:val="0"/>
            <w:vAlign w:val="center"/>
          </w:tcPr>
          <w:p w14:paraId="6A155986">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693FA1C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类序号按9-3-1、   9-3-2、9-3-3等，页码按1、2、3等编写。</w:t>
            </w:r>
          </w:p>
        </w:tc>
        <w:tc>
          <w:tcPr>
            <w:tcW w:w="1055" w:type="dxa"/>
            <w:vMerge w:val="continue"/>
            <w:noWrap w:val="0"/>
            <w:vAlign w:val="top"/>
          </w:tcPr>
          <w:p w14:paraId="42E6002C">
            <w:pPr>
              <w:spacing w:line="400" w:lineRule="exact"/>
              <w:jc w:val="left"/>
              <w:rPr>
                <w:rFonts w:hint="eastAsia" w:ascii="宋体" w:hAnsi="宋体" w:cs="宋体"/>
                <w:snapToGrid w:val="0"/>
                <w:color w:val="auto"/>
                <w:spacing w:val="-8"/>
                <w:kern w:val="0"/>
                <w:sz w:val="18"/>
                <w:szCs w:val="18"/>
                <w:highlight w:val="none"/>
              </w:rPr>
            </w:pPr>
          </w:p>
        </w:tc>
      </w:tr>
      <w:tr w14:paraId="487C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1108" w:type="dxa"/>
            <w:vMerge w:val="continue"/>
            <w:noWrap w:val="0"/>
            <w:vAlign w:val="center"/>
          </w:tcPr>
          <w:p w14:paraId="51BCAAEE">
            <w:pPr>
              <w:spacing w:line="400" w:lineRule="exact"/>
              <w:jc w:val="left"/>
              <w:rPr>
                <w:rFonts w:hint="eastAsia" w:ascii="宋体" w:hAnsi="宋体" w:cs="宋体"/>
                <w:snapToGrid w:val="0"/>
                <w:color w:val="auto"/>
                <w:spacing w:val="-8"/>
                <w:kern w:val="0"/>
                <w:sz w:val="18"/>
                <w:szCs w:val="18"/>
                <w:highlight w:val="none"/>
              </w:rPr>
            </w:pPr>
          </w:p>
        </w:tc>
        <w:tc>
          <w:tcPr>
            <w:tcW w:w="4560" w:type="dxa"/>
            <w:noWrap w:val="0"/>
            <w:vAlign w:val="bottom"/>
          </w:tcPr>
          <w:p w14:paraId="0C29672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b/>
                <w:snapToGrid w:val="0"/>
                <w:color w:val="auto"/>
                <w:spacing w:val="-8"/>
                <w:kern w:val="0"/>
                <w:sz w:val="24"/>
                <w:szCs w:val="24"/>
                <w:highlight w:val="none"/>
              </w:rPr>
              <w:t>9-4会议代表材料：</w:t>
            </w:r>
            <w:r>
              <w:rPr>
                <w:rFonts w:hint="eastAsia" w:ascii="宋体" w:hAnsi="宋体" w:cs="宋体"/>
                <w:snapToGrid w:val="0"/>
                <w:color w:val="auto"/>
                <w:spacing w:val="-8"/>
                <w:kern w:val="0"/>
                <w:sz w:val="24"/>
                <w:szCs w:val="24"/>
                <w:highlight w:val="none"/>
              </w:rPr>
              <w:t>当选为县级以上党代会、人代会、政协会议和人民团体、群众团体以及民主党派代表会议代表、委员或委员会委员、常务委员的登记表或当选通知（证明材料）。</w:t>
            </w:r>
          </w:p>
        </w:tc>
        <w:tc>
          <w:tcPr>
            <w:tcW w:w="1345" w:type="dxa"/>
            <w:vMerge w:val="continue"/>
            <w:noWrap w:val="0"/>
            <w:vAlign w:val="center"/>
          </w:tcPr>
          <w:p w14:paraId="4F11610A">
            <w:pPr>
              <w:spacing w:line="400" w:lineRule="exact"/>
              <w:jc w:val="left"/>
              <w:rPr>
                <w:rFonts w:hint="eastAsia" w:ascii="宋体" w:hAnsi="宋体" w:cs="宋体"/>
                <w:snapToGrid w:val="0"/>
                <w:color w:val="auto"/>
                <w:spacing w:val="-8"/>
                <w:kern w:val="0"/>
                <w:sz w:val="24"/>
                <w:szCs w:val="24"/>
                <w:highlight w:val="none"/>
              </w:rPr>
            </w:pPr>
          </w:p>
        </w:tc>
        <w:tc>
          <w:tcPr>
            <w:tcW w:w="1350" w:type="dxa"/>
            <w:noWrap w:val="0"/>
            <w:vAlign w:val="center"/>
          </w:tcPr>
          <w:p w14:paraId="062A82F1">
            <w:pPr>
              <w:spacing w:line="400" w:lineRule="exact"/>
              <w:jc w:val="left"/>
              <w:rPr>
                <w:rFonts w:hint="eastAsia" w:ascii="宋体" w:hAnsi="宋体" w:cs="宋体"/>
                <w:snapToGrid w:val="0"/>
                <w:color w:val="auto"/>
                <w:spacing w:val="-8"/>
                <w:kern w:val="0"/>
                <w:sz w:val="18"/>
                <w:szCs w:val="18"/>
                <w:highlight w:val="none"/>
              </w:rPr>
            </w:pPr>
            <w:r>
              <w:rPr>
                <w:rFonts w:hint="eastAsia" w:ascii="宋体" w:hAnsi="宋体" w:cs="宋体"/>
                <w:snapToGrid w:val="0"/>
                <w:color w:val="auto"/>
                <w:spacing w:val="-8"/>
                <w:kern w:val="0"/>
                <w:sz w:val="24"/>
                <w:szCs w:val="24"/>
                <w:highlight w:val="none"/>
              </w:rPr>
              <w:t>类序号按9-4-1、   9-4-2、9-4-3等，页码按1、2、3等编写。</w:t>
            </w:r>
          </w:p>
        </w:tc>
        <w:tc>
          <w:tcPr>
            <w:tcW w:w="1055" w:type="dxa"/>
            <w:vMerge w:val="continue"/>
            <w:noWrap w:val="0"/>
            <w:vAlign w:val="top"/>
          </w:tcPr>
          <w:p w14:paraId="25ECC835">
            <w:pPr>
              <w:spacing w:line="400" w:lineRule="exact"/>
              <w:jc w:val="left"/>
              <w:rPr>
                <w:rFonts w:hint="eastAsia" w:ascii="宋体" w:hAnsi="宋体" w:cs="宋体"/>
                <w:snapToGrid w:val="0"/>
                <w:color w:val="auto"/>
                <w:spacing w:val="-8"/>
                <w:kern w:val="0"/>
                <w:sz w:val="18"/>
                <w:szCs w:val="18"/>
                <w:highlight w:val="none"/>
              </w:rPr>
            </w:pPr>
          </w:p>
        </w:tc>
      </w:tr>
      <w:tr w14:paraId="1BC8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5D40AAB3">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十、其他材料</w:t>
            </w:r>
          </w:p>
        </w:tc>
        <w:tc>
          <w:tcPr>
            <w:tcW w:w="4560" w:type="dxa"/>
            <w:noWrap w:val="0"/>
            <w:vAlign w:val="center"/>
          </w:tcPr>
          <w:p w14:paraId="19684D0F">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录用体检表（包括报考大、中院校或运动员、入伍参军、招工、招干体检表），反映严重慢性病、身体残疾的体检表；工伤致残诊断书、确定致残等级的材料；生平，非正常死亡调查报告等材料；毕业生就业报到证（派遣证）</w:t>
            </w:r>
            <w:r>
              <w:rPr>
                <w:rFonts w:hint="eastAsia" w:ascii="宋体" w:hAnsi="宋体" w:cs="宋体"/>
                <w:b/>
                <w:snapToGrid w:val="0"/>
                <w:color w:val="auto"/>
                <w:spacing w:val="-8"/>
                <w:kern w:val="0"/>
                <w:sz w:val="24"/>
                <w:szCs w:val="24"/>
                <w:highlight w:val="none"/>
              </w:rPr>
              <w:t>（优先做就业通知书，如无可做报到证）</w:t>
            </w:r>
            <w:r>
              <w:rPr>
                <w:rFonts w:hint="eastAsia" w:ascii="宋体" w:hAnsi="宋体" w:cs="宋体"/>
                <w:snapToGrid w:val="0"/>
                <w:color w:val="auto"/>
                <w:spacing w:val="-8"/>
                <w:kern w:val="0"/>
                <w:sz w:val="24"/>
                <w:szCs w:val="24"/>
                <w:highlight w:val="none"/>
              </w:rPr>
              <w:t>；人事争议仲裁裁决书（调解书），公务员申诉处理决定书（再申诉处理决定书、复核决定）；再生育子女申请审批表；干部人事档案报送单（转递审核表），干部人事档案有关情况说明等材料；其他可供组织参考的材料。</w:t>
            </w:r>
            <w:r>
              <w:rPr>
                <w:rFonts w:hint="eastAsia" w:ascii="宋体" w:hAnsi="宋体" w:cs="宋体"/>
                <w:b/>
                <w:snapToGrid w:val="0"/>
                <w:color w:val="auto"/>
                <w:spacing w:val="-8"/>
                <w:kern w:val="0"/>
                <w:sz w:val="24"/>
                <w:szCs w:val="24"/>
                <w:highlight w:val="none"/>
              </w:rPr>
              <w:t>体格检查表；所有介绍信（除党团介绍信外）；（毕业生）就业协议；工会材料；助学金；结婚申请；职工个人缴纳失业保险费登记表；大学生学费还款确认书；毕业生就业调整审批。商调/人才流动登记报批表（调入、调出）（由公共人才服务机构开具的）、国有企业下岗职工基本生活保障和再就业协议；解除进中心协议通知书、申请解除再就业协议；回国人员证明；档案转递通知单</w:t>
            </w:r>
          </w:p>
        </w:tc>
        <w:tc>
          <w:tcPr>
            <w:tcW w:w="1345" w:type="dxa"/>
            <w:noWrap w:val="0"/>
            <w:vAlign w:val="center"/>
          </w:tcPr>
          <w:p w14:paraId="00E40D51">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按材料形成时间先后顺序，由远到近排列。</w:t>
            </w:r>
          </w:p>
        </w:tc>
        <w:tc>
          <w:tcPr>
            <w:tcW w:w="1350" w:type="dxa"/>
            <w:noWrap w:val="0"/>
            <w:vAlign w:val="center"/>
          </w:tcPr>
          <w:p w14:paraId="7E926446">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类序号按10-1、   10-2、10-3等，页码按1、2、3等编写。</w:t>
            </w:r>
          </w:p>
        </w:tc>
        <w:tc>
          <w:tcPr>
            <w:tcW w:w="1055" w:type="dxa"/>
            <w:noWrap w:val="0"/>
            <w:vAlign w:val="top"/>
          </w:tcPr>
          <w:p w14:paraId="204BA3B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20"/>
                <w:kern w:val="0"/>
                <w:sz w:val="24"/>
                <w:szCs w:val="24"/>
                <w:highlight w:val="none"/>
              </w:rPr>
              <w:t>类序号写在每份材料首页的</w:t>
            </w:r>
            <w:r>
              <w:rPr>
                <w:rFonts w:hint="eastAsia" w:ascii="宋体" w:hAnsi="宋体" w:cs="宋体"/>
                <w:b/>
                <w:snapToGrid w:val="0"/>
                <w:color w:val="auto"/>
                <w:spacing w:val="-20"/>
                <w:kern w:val="0"/>
                <w:sz w:val="24"/>
                <w:szCs w:val="24"/>
                <w:highlight w:val="none"/>
              </w:rPr>
              <w:t>右上角</w:t>
            </w:r>
            <w:r>
              <w:rPr>
                <w:rFonts w:hint="eastAsia" w:ascii="宋体" w:hAnsi="宋体" w:cs="宋体"/>
                <w:snapToGrid w:val="0"/>
                <w:color w:val="auto"/>
                <w:spacing w:val="-20"/>
                <w:kern w:val="0"/>
                <w:sz w:val="24"/>
                <w:szCs w:val="24"/>
                <w:highlight w:val="none"/>
              </w:rPr>
              <w:t>，页码写在每页材料的</w:t>
            </w:r>
            <w:r>
              <w:rPr>
                <w:rFonts w:hint="eastAsia" w:ascii="宋体" w:hAnsi="宋体" w:cs="宋体"/>
                <w:b/>
                <w:snapToGrid w:val="0"/>
                <w:color w:val="auto"/>
                <w:spacing w:val="-20"/>
                <w:kern w:val="0"/>
                <w:sz w:val="24"/>
                <w:szCs w:val="24"/>
                <w:highlight w:val="none"/>
              </w:rPr>
              <w:t>右下角。</w:t>
            </w:r>
          </w:p>
        </w:tc>
      </w:tr>
      <w:tr w14:paraId="647D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8" w:type="dxa"/>
            <w:gridSpan w:val="5"/>
            <w:noWrap w:val="0"/>
            <w:vAlign w:val="center"/>
          </w:tcPr>
          <w:p w14:paraId="2336ADB1">
            <w:pPr>
              <w:spacing w:line="400" w:lineRule="exact"/>
              <w:jc w:val="left"/>
              <w:rPr>
                <w:rFonts w:hint="eastAsia" w:ascii="宋体" w:hAnsi="宋体" w:cs="宋体"/>
                <w:snapToGrid w:val="0"/>
                <w:color w:val="auto"/>
                <w:spacing w:val="-20"/>
                <w:kern w:val="0"/>
                <w:sz w:val="24"/>
                <w:szCs w:val="24"/>
                <w:highlight w:val="none"/>
              </w:rPr>
            </w:pPr>
            <w:r>
              <w:rPr>
                <w:rFonts w:hint="eastAsia" w:ascii="宋体" w:hAnsi="宋体" w:cs="宋体"/>
                <w:b/>
                <w:color w:val="auto"/>
                <w:sz w:val="24"/>
                <w:szCs w:val="24"/>
                <w:highlight w:val="none"/>
              </w:rPr>
              <w:t>*</w:t>
            </w:r>
            <w:r>
              <w:rPr>
                <w:rFonts w:hint="eastAsia" w:ascii="宋体" w:hAnsi="宋体" w:cs="宋体"/>
                <w:b/>
                <w:bCs/>
                <w:color w:val="auto"/>
                <w:sz w:val="24"/>
                <w:szCs w:val="24"/>
                <w:highlight w:val="none"/>
              </w:rPr>
              <w:t>散材料处理办法：散材料不进入正本，材料无需打印目录，但需将所有散材料进行扫描、名称著录。</w:t>
            </w:r>
            <w:r>
              <w:rPr>
                <w:rFonts w:hint="eastAsia" w:ascii="宋体" w:hAnsi="宋体" w:cs="宋体"/>
                <w:b/>
                <w:color w:val="auto"/>
                <w:sz w:val="24"/>
                <w:szCs w:val="24"/>
                <w:highlight w:val="none"/>
              </w:rPr>
              <w:t>散材料采集说明【</w:t>
            </w:r>
            <w:r>
              <w:rPr>
                <w:rFonts w:hint="eastAsia" w:ascii="宋体" w:hAnsi="宋体" w:cs="宋体"/>
                <w:color w:val="auto"/>
                <w:sz w:val="24"/>
                <w:szCs w:val="24"/>
                <w:highlight w:val="none"/>
              </w:rPr>
              <w:t>散装材料默认类别为十一类，仅需著录材料名称（材料名称全称）和页数，顺序号从“1”依次递增，要求电子档案目录与图片一一对应。</w:t>
            </w:r>
            <w:r>
              <w:rPr>
                <w:rFonts w:hint="eastAsia" w:ascii="宋体" w:hAnsi="宋体" w:cs="宋体"/>
                <w:b/>
                <w:color w:val="auto"/>
                <w:sz w:val="24"/>
                <w:szCs w:val="24"/>
                <w:highlight w:val="none"/>
              </w:rPr>
              <w:t>】</w:t>
            </w:r>
          </w:p>
        </w:tc>
      </w:tr>
      <w:tr w14:paraId="2B52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noWrap w:val="0"/>
            <w:vAlign w:val="center"/>
          </w:tcPr>
          <w:p w14:paraId="69E101A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十一、散材料</w:t>
            </w:r>
          </w:p>
        </w:tc>
        <w:tc>
          <w:tcPr>
            <w:tcW w:w="4560" w:type="dxa"/>
            <w:noWrap w:val="0"/>
            <w:vAlign w:val="center"/>
          </w:tcPr>
          <w:p w14:paraId="7DA82FFC">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所有未做入正本的均放到此类散材料</w:t>
            </w:r>
          </w:p>
        </w:tc>
        <w:tc>
          <w:tcPr>
            <w:tcW w:w="1345" w:type="dxa"/>
            <w:noWrap w:val="0"/>
            <w:vAlign w:val="center"/>
          </w:tcPr>
          <w:p w14:paraId="193B2BCB">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材料排序无要求</w:t>
            </w:r>
          </w:p>
        </w:tc>
        <w:tc>
          <w:tcPr>
            <w:tcW w:w="1350" w:type="dxa"/>
            <w:noWrap w:val="0"/>
            <w:vAlign w:val="center"/>
          </w:tcPr>
          <w:p w14:paraId="68C65777">
            <w:pPr>
              <w:spacing w:line="400" w:lineRule="exact"/>
              <w:jc w:val="left"/>
              <w:rPr>
                <w:rFonts w:hint="eastAsia" w:ascii="宋体" w:hAnsi="宋体" w:cs="宋体"/>
                <w:snapToGrid w:val="0"/>
                <w:color w:val="auto"/>
                <w:spacing w:val="-8"/>
                <w:kern w:val="0"/>
                <w:sz w:val="24"/>
                <w:szCs w:val="24"/>
                <w:highlight w:val="none"/>
              </w:rPr>
            </w:pPr>
            <w:r>
              <w:rPr>
                <w:rFonts w:hint="eastAsia" w:ascii="宋体" w:hAnsi="宋体" w:cs="宋体"/>
                <w:snapToGrid w:val="0"/>
                <w:color w:val="auto"/>
                <w:spacing w:val="-8"/>
                <w:kern w:val="0"/>
                <w:sz w:val="24"/>
                <w:szCs w:val="24"/>
                <w:highlight w:val="none"/>
              </w:rPr>
              <w:t>类序号为11，按11-1、11-2，等依次递增。</w:t>
            </w:r>
          </w:p>
        </w:tc>
        <w:tc>
          <w:tcPr>
            <w:tcW w:w="1055" w:type="dxa"/>
            <w:noWrap w:val="0"/>
            <w:vAlign w:val="top"/>
          </w:tcPr>
          <w:p w14:paraId="0CCBB836">
            <w:pPr>
              <w:spacing w:line="400" w:lineRule="exact"/>
              <w:jc w:val="left"/>
              <w:rPr>
                <w:rFonts w:hint="eastAsia" w:ascii="宋体" w:hAnsi="宋体" w:cs="宋体"/>
                <w:snapToGrid w:val="0"/>
                <w:color w:val="auto"/>
                <w:spacing w:val="-20"/>
                <w:kern w:val="0"/>
                <w:sz w:val="24"/>
                <w:szCs w:val="24"/>
                <w:highlight w:val="none"/>
              </w:rPr>
            </w:pPr>
          </w:p>
        </w:tc>
      </w:tr>
    </w:tbl>
    <w:p w14:paraId="2C533800">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（4）其他</w:t>
      </w:r>
    </w:p>
    <w:p w14:paraId="4420D171">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所有在之前整理过的文件如果打孔穿过了正文或照片的，需重新裱糊接边，并一一记录；</w:t>
      </w:r>
    </w:p>
    <w:p w14:paraId="16926866">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所有文件裱糊一律右下角对齐；</w:t>
      </w:r>
    </w:p>
    <w:p w14:paraId="64D5D5EF">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无论文件原先是否有页码，都需要重新标记一遍，保证不出错；</w:t>
      </w:r>
    </w:p>
    <w:p w14:paraId="03CB2CF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页码标记时应尽量清晰，工整，保证可识别度；</w:t>
      </w:r>
    </w:p>
    <w:p w14:paraId="6C59BB37">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同一份文件之中可能有多份文件，应以时间顺序排列好；</w:t>
      </w:r>
    </w:p>
    <w:p w14:paraId="66579CC6">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同一大类的时间顺序一定要注意，尤其是以最近日期为准；</w:t>
      </w:r>
    </w:p>
    <w:p w14:paraId="2E7089E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不规则、过小、过窄、部分损坏、过薄的文件都需要裱糊并折叠对齐，类别号写在显眼的地方；</w:t>
      </w:r>
    </w:p>
    <w:p w14:paraId="0259287D">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整理过程中需去除所有的金属物品，如装订针、大头针、回形针等；</w:t>
      </w:r>
    </w:p>
    <w:p w14:paraId="7C9E9734">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针对文件审批材料，一般没有公章的情况不归入正文；</w:t>
      </w:r>
    </w:p>
    <w:p w14:paraId="5C50D6C2">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对于裱糊的情况，应注意：</w:t>
      </w:r>
    </w:p>
    <w:p w14:paraId="7CEB643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1）一般边距偏窄背面无内容的情况，直接接边就好；</w:t>
      </w:r>
    </w:p>
    <w:p w14:paraId="6AAA785A">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2）边距偏窄背面有内容的情况，最好用整张白纸衬；                          </w:t>
      </w:r>
    </w:p>
    <w:p w14:paraId="0BB38D06">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3）遇到边距偏窄的大开张或多页册子的情况，最好用白纸衬，接边容易脱落；</w:t>
      </w:r>
    </w:p>
    <w:p w14:paraId="4D784661">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4）多页册子一旦裱糊，因为取了钉子，里面的页数是散开的，容易脱落，在不破坏材料的情况下，最好里面裱糊一下，从正面粘。</w:t>
      </w:r>
    </w:p>
    <w:p w14:paraId="4BAE195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关于4-2和9-2的部分材料的界定，主要针对在聘任这一块，4-2主要是关于职称方面的文件，强调任职资格；9-2主要是关于职务方面的，且有可能包含任职时间，强调任免；</w:t>
      </w:r>
    </w:p>
    <w:p w14:paraId="5BE1E54B">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针对4-2，专业技术人员职务聘任资格呈报表/评审表和关于xxx同志的职务任职资格的通知不应该放在同一类别中，要分开，不要做成一个材料；</w:t>
      </w:r>
    </w:p>
    <w:p w14:paraId="4532F852">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针对三大类，年度考核材料应分年度分开编类并排序，如有年度，则把年度标上去；针对五大类，尤其需注意内容的审核，很多情况下标题不一定会直观反映内容；</w:t>
      </w:r>
    </w:p>
    <w:p w14:paraId="2FD700E3">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针对七大类、注意原件的审核，证书原件不做入正本；</w:t>
      </w:r>
    </w:p>
    <w:p w14:paraId="25BBA951">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针对十大类，关于体检表格，全部做入正本，归为一类，按材料形成时间排序；</w:t>
      </w:r>
    </w:p>
    <w:p w14:paraId="1FA5CCB7">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关于所有附件，文件形成时间不录入到正文目录；</w:t>
      </w:r>
    </w:p>
    <w:p w14:paraId="6F7B06FC">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需折叠的材料统一以A4纸张大小为准，向材料背面折叠一次，补边的纸条宽度为3cm。</w:t>
      </w:r>
    </w:p>
    <w:p w14:paraId="0F543515">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jc w:val="lef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2.新增档案数字化流程及质量要求</w:t>
      </w:r>
    </w:p>
    <w:p w14:paraId="39ADB9DC">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数字化工作要遵循以下总则：严格管理、明确责任，落实安全保密管理机制和质量管理机制，确保档案原件和数字化档案信息的安全，确保各环节工作符合质量要求，建立完整、规范的工作记录。具体工作包括数字化前处理、目录著录、档案扫描、图像处理、文件存储与备份、文件目录与全文的挂接、质量自检、档案装订，并确保扫描图像、挂接的质量，档案及其档案信息的安全。各工作环节要求如下：</w:t>
      </w:r>
    </w:p>
    <w:p w14:paraId="13E2EA39">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2.1数字化前处理</w:t>
      </w:r>
    </w:p>
    <w:p w14:paraId="3CC384D4">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供应商在扫描前先检查案卷质量并按规范进行整理、确定扫描范围、以保证数字档案与实体档案的对应。应根据实际情况做好前处理工作，以确保数字化加工质量。具体要求如下：</w:t>
      </w:r>
    </w:p>
    <w:p w14:paraId="00D61B80">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1）整理拆装：尽可能不拆卷，需要拆卷的必须严格管理。在拆除案卷装订物时，必须保护档案不受损害，保持案卷内原有文件顺序（除个别必须调整的页面经征得采购人同意后予以调整的以外）。在完成扫描后，拆除过装订物的档案应按档案原有的装订孔进行重新装订。在恢复装订时，要保持档案的排列顺序不变，不得漏页、错页，不得压字，装订牢固、不掉页，做到安全、准确、无遗漏。恢复装订时，原则上不更换档案盒、卷内目录等（对拆装须使用的工具及复原材料由供应商提供，所提供的复原材料须符合档案的相关标准）。</w:t>
      </w:r>
    </w:p>
    <w:p w14:paraId="25DD8290">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（2）页面修整：破损严重、无法直接进行扫描的档案，应先进行技术修复，折皱不平影响扫描质量的原件应先进行相应处理(压平或熨平等)后再进行扫描，不能使用高速扫描仪的，要用平板扫描仪扫描。</w:t>
      </w:r>
    </w:p>
    <w:p w14:paraId="6528219C">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以上检查结果均应按规定填写相关登记表单，并在不影响原来案卷质量的前提下提出具体处理意见，在响应文件中提交具体措施和处理方案。</w:t>
      </w:r>
    </w:p>
    <w:p w14:paraId="63DBE4CB">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2.2目录著录</w:t>
      </w:r>
    </w:p>
    <w:p w14:paraId="31A7A7BC">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应根据档案管理系统信息采集的内容和要求，正确的完成数据录入的工作。严格按照相关的行业标准与规范进行并导入现有档案管理系统中，条目与对应影像文件挂接正确率要求达到100%。如发现录入信息存在有分歧的，必须与采购人档案管理部门沟通确定。</w:t>
      </w:r>
    </w:p>
    <w:p w14:paraId="7CA960BE">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（1）数据格式选择</w:t>
      </w:r>
    </w:p>
    <w:p w14:paraId="1DC1C879">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电子条目信息建库递交成果采用Excel格式，符合国家档案局相关标准规范要求。</w:t>
      </w:r>
    </w:p>
    <w:p w14:paraId="2719DE80">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（2）档案著录</w:t>
      </w:r>
    </w:p>
    <w:p w14:paraId="1632B092">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按照《档案著录规则》(DA/T 18—2022)的要求进行著录，建立档案级目录数据库。同时对数据库相应的目录进行修正，确保目录的准确率。</w:t>
      </w:r>
    </w:p>
    <w:p w14:paraId="72F64809">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（3）目录数据质量检查</w:t>
      </w:r>
    </w:p>
    <w:p w14:paraId="49D11F86">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要求采用双机对录系统进行著录，能提供两录对校功能，双机对录系统可以根据不同的档案类型进行自定义设置，能醒目展示两录差异内容。</w:t>
      </w:r>
    </w:p>
    <w:p w14:paraId="029AA94B">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val="zh-CN"/>
        </w:rPr>
        <w:t>人事档案管理业务的基本数据，存档人填报相关表格不能作为原始数据依据，相关数据应以档案原始材料为依据进行采录。</w:t>
      </w:r>
    </w:p>
    <w:p w14:paraId="5B5BB5FA">
      <w:pPr>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（5）录入字段参考：</w:t>
      </w:r>
    </w:p>
    <w:p w14:paraId="1ABDC881">
      <w:pPr>
        <w:spacing w:line="400" w:lineRule="exact"/>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基础数据采集内容</w:t>
      </w:r>
    </w:p>
    <w:tbl>
      <w:tblPr>
        <w:tblStyle w:val="5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5"/>
        <w:gridCol w:w="824"/>
        <w:gridCol w:w="878"/>
        <w:gridCol w:w="927"/>
        <w:gridCol w:w="89"/>
        <w:gridCol w:w="121"/>
        <w:gridCol w:w="847"/>
        <w:gridCol w:w="805"/>
        <w:gridCol w:w="251"/>
        <w:gridCol w:w="407"/>
        <w:gridCol w:w="521"/>
        <w:gridCol w:w="295"/>
        <w:gridCol w:w="1225"/>
        <w:gridCol w:w="134"/>
        <w:gridCol w:w="78"/>
        <w:gridCol w:w="1023"/>
      </w:tblGrid>
      <w:tr w14:paraId="09508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80" w:type="dxa"/>
            <w:gridSpan w:val="16"/>
            <w:shd w:val="solid" w:color="BFBFBF" w:fill="BFBFBF"/>
            <w:noWrap w:val="0"/>
            <w:vAlign w:val="center"/>
          </w:tcPr>
          <w:p w14:paraId="760952B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个人数据类</w:t>
            </w:r>
          </w:p>
        </w:tc>
      </w:tr>
      <w:tr w14:paraId="6DFDF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2875E37F">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个人基本信息</w:t>
            </w:r>
          </w:p>
        </w:tc>
        <w:tc>
          <w:tcPr>
            <w:tcW w:w="1702" w:type="dxa"/>
            <w:gridSpan w:val="2"/>
            <w:noWrap w:val="0"/>
            <w:vAlign w:val="center"/>
          </w:tcPr>
          <w:p w14:paraId="3A83511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1016" w:type="dxa"/>
            <w:gridSpan w:val="2"/>
            <w:noWrap w:val="0"/>
            <w:vAlign w:val="center"/>
          </w:tcPr>
          <w:p w14:paraId="726B7A65">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21A8DAC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公民身份号码**</w:t>
            </w:r>
          </w:p>
        </w:tc>
        <w:tc>
          <w:tcPr>
            <w:tcW w:w="1179" w:type="dxa"/>
            <w:gridSpan w:val="3"/>
            <w:noWrap w:val="0"/>
            <w:vAlign w:val="center"/>
          </w:tcPr>
          <w:p w14:paraId="00AFDEC1">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0EA351B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出生日期**</w:t>
            </w:r>
          </w:p>
        </w:tc>
        <w:tc>
          <w:tcPr>
            <w:tcW w:w="1023" w:type="dxa"/>
            <w:noWrap w:val="0"/>
            <w:vAlign w:val="center"/>
          </w:tcPr>
          <w:p w14:paraId="33692EB9">
            <w:pPr>
              <w:spacing w:line="400" w:lineRule="exact"/>
              <w:jc w:val="center"/>
              <w:rPr>
                <w:rFonts w:hint="eastAsia" w:ascii="宋体" w:hAnsi="宋体" w:cs="宋体"/>
                <w:color w:val="auto"/>
                <w:sz w:val="24"/>
                <w:szCs w:val="24"/>
                <w:highlight w:val="none"/>
              </w:rPr>
            </w:pPr>
          </w:p>
        </w:tc>
      </w:tr>
      <w:tr w14:paraId="64735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3CCEA1C">
            <w:pPr>
              <w:spacing w:line="400" w:lineRule="exact"/>
              <w:jc w:val="center"/>
              <w:rPr>
                <w:rFonts w:hint="eastAsia" w:ascii="宋体" w:hAnsi="宋体" w:cs="宋体"/>
                <w:b/>
                <w:color w:val="auto"/>
                <w:sz w:val="24"/>
                <w:szCs w:val="24"/>
                <w:highlight w:val="none"/>
              </w:rPr>
            </w:pPr>
          </w:p>
        </w:tc>
        <w:tc>
          <w:tcPr>
            <w:tcW w:w="1702" w:type="dxa"/>
            <w:gridSpan w:val="2"/>
            <w:noWrap w:val="0"/>
            <w:vAlign w:val="center"/>
          </w:tcPr>
          <w:p w14:paraId="7866BF8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曾用名</w:t>
            </w:r>
          </w:p>
        </w:tc>
        <w:tc>
          <w:tcPr>
            <w:tcW w:w="1016" w:type="dxa"/>
            <w:gridSpan w:val="2"/>
            <w:noWrap w:val="0"/>
            <w:vAlign w:val="center"/>
          </w:tcPr>
          <w:p w14:paraId="0F13370F">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3C27E3C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籍贯</w:t>
            </w:r>
          </w:p>
        </w:tc>
        <w:tc>
          <w:tcPr>
            <w:tcW w:w="1179" w:type="dxa"/>
            <w:gridSpan w:val="3"/>
            <w:noWrap w:val="0"/>
            <w:vAlign w:val="center"/>
          </w:tcPr>
          <w:p w14:paraId="33B10939">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3B854C4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出生地</w:t>
            </w:r>
          </w:p>
        </w:tc>
        <w:tc>
          <w:tcPr>
            <w:tcW w:w="1023" w:type="dxa"/>
            <w:noWrap w:val="0"/>
            <w:vAlign w:val="center"/>
          </w:tcPr>
          <w:p w14:paraId="6D45D309">
            <w:pPr>
              <w:spacing w:line="400" w:lineRule="exact"/>
              <w:jc w:val="center"/>
              <w:rPr>
                <w:rFonts w:hint="eastAsia" w:ascii="宋体" w:hAnsi="宋体" w:cs="宋体"/>
                <w:color w:val="auto"/>
                <w:sz w:val="24"/>
                <w:szCs w:val="24"/>
                <w:highlight w:val="none"/>
              </w:rPr>
            </w:pPr>
          </w:p>
        </w:tc>
      </w:tr>
      <w:tr w14:paraId="3D351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7B3E6F4">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5F9478B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性别**</w:t>
            </w:r>
          </w:p>
        </w:tc>
        <w:tc>
          <w:tcPr>
            <w:tcW w:w="1016" w:type="dxa"/>
            <w:gridSpan w:val="2"/>
            <w:noWrap w:val="0"/>
            <w:vAlign w:val="center"/>
          </w:tcPr>
          <w:p w14:paraId="08D95E96">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093FCB6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民族**</w:t>
            </w:r>
          </w:p>
        </w:tc>
        <w:tc>
          <w:tcPr>
            <w:tcW w:w="1179" w:type="dxa"/>
            <w:gridSpan w:val="3"/>
            <w:noWrap w:val="0"/>
            <w:vAlign w:val="center"/>
          </w:tcPr>
          <w:p w14:paraId="71A1A4AA">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2AD0FCD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婚姻状况</w:t>
            </w:r>
          </w:p>
        </w:tc>
        <w:tc>
          <w:tcPr>
            <w:tcW w:w="1023" w:type="dxa"/>
            <w:noWrap w:val="0"/>
            <w:vAlign w:val="center"/>
          </w:tcPr>
          <w:p w14:paraId="3231170B">
            <w:pPr>
              <w:spacing w:line="400" w:lineRule="exact"/>
              <w:jc w:val="center"/>
              <w:rPr>
                <w:rFonts w:hint="eastAsia" w:ascii="宋体" w:hAnsi="宋体" w:cs="宋体"/>
                <w:color w:val="auto"/>
                <w:sz w:val="24"/>
                <w:szCs w:val="24"/>
                <w:highlight w:val="none"/>
              </w:rPr>
            </w:pPr>
          </w:p>
        </w:tc>
      </w:tr>
      <w:tr w14:paraId="04355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814138A">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497E11C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政治面貌**</w:t>
            </w:r>
          </w:p>
        </w:tc>
        <w:tc>
          <w:tcPr>
            <w:tcW w:w="1016" w:type="dxa"/>
            <w:gridSpan w:val="2"/>
            <w:noWrap w:val="0"/>
            <w:vAlign w:val="center"/>
          </w:tcPr>
          <w:p w14:paraId="43B9D62B">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61B67B3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参加组织时间**</w:t>
            </w:r>
          </w:p>
        </w:tc>
        <w:tc>
          <w:tcPr>
            <w:tcW w:w="1179" w:type="dxa"/>
            <w:gridSpan w:val="3"/>
            <w:noWrap w:val="0"/>
            <w:vAlign w:val="center"/>
          </w:tcPr>
          <w:p w14:paraId="402C1B17">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33BFFEE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参加工作日期**</w:t>
            </w:r>
          </w:p>
        </w:tc>
        <w:tc>
          <w:tcPr>
            <w:tcW w:w="1023" w:type="dxa"/>
            <w:noWrap w:val="0"/>
            <w:vAlign w:val="center"/>
          </w:tcPr>
          <w:p w14:paraId="14F39F2C">
            <w:pPr>
              <w:spacing w:line="400" w:lineRule="exact"/>
              <w:jc w:val="center"/>
              <w:rPr>
                <w:rFonts w:hint="eastAsia" w:ascii="宋体" w:hAnsi="宋体" w:cs="宋体"/>
                <w:color w:val="auto"/>
                <w:sz w:val="24"/>
                <w:szCs w:val="24"/>
                <w:highlight w:val="none"/>
              </w:rPr>
            </w:pPr>
          </w:p>
        </w:tc>
      </w:tr>
      <w:tr w14:paraId="00E1A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5D6E085">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4CDE59C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最高学位**</w:t>
            </w:r>
          </w:p>
        </w:tc>
        <w:tc>
          <w:tcPr>
            <w:tcW w:w="1016" w:type="dxa"/>
            <w:gridSpan w:val="2"/>
            <w:noWrap w:val="0"/>
            <w:vAlign w:val="center"/>
          </w:tcPr>
          <w:p w14:paraId="68D028C1">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0E34F36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tc>
        <w:tc>
          <w:tcPr>
            <w:tcW w:w="1179" w:type="dxa"/>
            <w:gridSpan w:val="3"/>
            <w:noWrap w:val="0"/>
            <w:vAlign w:val="center"/>
          </w:tcPr>
          <w:p w14:paraId="16B37888">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5271FD1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1A43F40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毕业日期**</w:t>
            </w:r>
          </w:p>
        </w:tc>
        <w:tc>
          <w:tcPr>
            <w:tcW w:w="1023" w:type="dxa"/>
            <w:noWrap w:val="0"/>
            <w:vAlign w:val="center"/>
          </w:tcPr>
          <w:p w14:paraId="7423B809">
            <w:pPr>
              <w:spacing w:line="400" w:lineRule="exact"/>
              <w:jc w:val="center"/>
              <w:rPr>
                <w:rFonts w:hint="eastAsia" w:ascii="宋体" w:hAnsi="宋体" w:cs="宋体"/>
                <w:color w:val="auto"/>
                <w:sz w:val="24"/>
                <w:szCs w:val="24"/>
                <w:highlight w:val="none"/>
              </w:rPr>
            </w:pPr>
          </w:p>
        </w:tc>
      </w:tr>
      <w:tr w14:paraId="2E85C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1213143">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1F791A8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4187C81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毕业院校**</w:t>
            </w:r>
          </w:p>
        </w:tc>
        <w:tc>
          <w:tcPr>
            <w:tcW w:w="1016" w:type="dxa"/>
            <w:gridSpan w:val="2"/>
            <w:noWrap w:val="0"/>
            <w:vAlign w:val="center"/>
          </w:tcPr>
          <w:p w14:paraId="14AAA120">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2A98BB6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581DBD9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所学专业名称**</w:t>
            </w:r>
          </w:p>
        </w:tc>
        <w:tc>
          <w:tcPr>
            <w:tcW w:w="1179" w:type="dxa"/>
            <w:gridSpan w:val="3"/>
            <w:noWrap w:val="0"/>
            <w:vAlign w:val="center"/>
          </w:tcPr>
          <w:p w14:paraId="51BB9C38">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76442D8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最高学历</w:t>
            </w:r>
          </w:p>
          <w:p w14:paraId="18B6F08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所学专业类别**</w:t>
            </w:r>
          </w:p>
        </w:tc>
        <w:tc>
          <w:tcPr>
            <w:tcW w:w="1023" w:type="dxa"/>
            <w:noWrap w:val="0"/>
            <w:vAlign w:val="center"/>
          </w:tcPr>
          <w:p w14:paraId="17B8B784">
            <w:pPr>
              <w:spacing w:line="400" w:lineRule="exact"/>
              <w:jc w:val="center"/>
              <w:rPr>
                <w:rFonts w:hint="eastAsia" w:ascii="宋体" w:hAnsi="宋体" w:cs="宋体"/>
                <w:color w:val="auto"/>
                <w:sz w:val="24"/>
                <w:szCs w:val="24"/>
                <w:highlight w:val="none"/>
              </w:rPr>
            </w:pPr>
          </w:p>
        </w:tc>
      </w:tr>
      <w:tr w14:paraId="5E7C2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DC3E146">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3ED02FE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w:t>
            </w:r>
          </w:p>
          <w:p w14:paraId="4F8DB38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名称</w:t>
            </w:r>
          </w:p>
        </w:tc>
        <w:tc>
          <w:tcPr>
            <w:tcW w:w="1016" w:type="dxa"/>
            <w:gridSpan w:val="2"/>
            <w:noWrap w:val="0"/>
            <w:vAlign w:val="center"/>
          </w:tcPr>
          <w:p w14:paraId="6CB28AD5">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6E28970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w:t>
            </w:r>
          </w:p>
          <w:p w14:paraId="6DAAEBB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机构类型</w:t>
            </w:r>
          </w:p>
        </w:tc>
        <w:tc>
          <w:tcPr>
            <w:tcW w:w="1179" w:type="dxa"/>
            <w:gridSpan w:val="3"/>
            <w:noWrap w:val="0"/>
            <w:vAlign w:val="center"/>
          </w:tcPr>
          <w:p w14:paraId="0C816F9B">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08D4191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       经济类型</w:t>
            </w:r>
          </w:p>
        </w:tc>
        <w:tc>
          <w:tcPr>
            <w:tcW w:w="1023" w:type="dxa"/>
            <w:noWrap w:val="0"/>
            <w:vAlign w:val="center"/>
          </w:tcPr>
          <w:p w14:paraId="7A96701D">
            <w:pPr>
              <w:spacing w:line="400" w:lineRule="exact"/>
              <w:jc w:val="center"/>
              <w:rPr>
                <w:rFonts w:hint="eastAsia" w:ascii="宋体" w:hAnsi="宋体" w:cs="宋体"/>
                <w:color w:val="auto"/>
                <w:sz w:val="24"/>
                <w:szCs w:val="24"/>
                <w:highlight w:val="none"/>
              </w:rPr>
            </w:pPr>
          </w:p>
        </w:tc>
      </w:tr>
      <w:tr w14:paraId="112C0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A784FEA">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5C1BD5E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工作单位     所属行业</w:t>
            </w:r>
          </w:p>
        </w:tc>
        <w:tc>
          <w:tcPr>
            <w:tcW w:w="1016" w:type="dxa"/>
            <w:gridSpan w:val="2"/>
            <w:noWrap w:val="0"/>
            <w:vAlign w:val="center"/>
          </w:tcPr>
          <w:p w14:paraId="43E8E763">
            <w:pPr>
              <w:spacing w:line="400" w:lineRule="exact"/>
              <w:jc w:val="center"/>
              <w:rPr>
                <w:rFonts w:hint="eastAsia" w:ascii="宋体" w:hAnsi="宋体" w:cs="宋体"/>
                <w:color w:val="auto"/>
                <w:sz w:val="24"/>
                <w:szCs w:val="24"/>
                <w:highlight w:val="none"/>
              </w:rPr>
            </w:pPr>
          </w:p>
        </w:tc>
        <w:tc>
          <w:tcPr>
            <w:tcW w:w="1773" w:type="dxa"/>
            <w:gridSpan w:val="3"/>
            <w:noWrap w:val="0"/>
            <w:vAlign w:val="center"/>
          </w:tcPr>
          <w:p w14:paraId="1FCBB92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工作职位</w:t>
            </w:r>
          </w:p>
          <w:p w14:paraId="533AC6F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（岗位）类型</w:t>
            </w:r>
          </w:p>
        </w:tc>
        <w:tc>
          <w:tcPr>
            <w:tcW w:w="1179" w:type="dxa"/>
            <w:gridSpan w:val="3"/>
            <w:noWrap w:val="0"/>
            <w:vAlign w:val="center"/>
          </w:tcPr>
          <w:p w14:paraId="2E95B597">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31CE18E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工作地点行政区划</w:t>
            </w:r>
          </w:p>
        </w:tc>
        <w:tc>
          <w:tcPr>
            <w:tcW w:w="1023" w:type="dxa"/>
            <w:noWrap w:val="0"/>
            <w:vAlign w:val="center"/>
          </w:tcPr>
          <w:p w14:paraId="1BB531C2">
            <w:pPr>
              <w:spacing w:line="400" w:lineRule="exact"/>
              <w:jc w:val="center"/>
              <w:rPr>
                <w:rFonts w:hint="eastAsia" w:ascii="宋体" w:hAnsi="宋体" w:cs="宋体"/>
                <w:color w:val="auto"/>
                <w:sz w:val="24"/>
                <w:szCs w:val="24"/>
                <w:highlight w:val="none"/>
              </w:rPr>
            </w:pPr>
          </w:p>
        </w:tc>
      </w:tr>
      <w:tr w14:paraId="273F4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51A4558A">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0150B695">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户口所在地址</w:t>
            </w:r>
          </w:p>
        </w:tc>
        <w:tc>
          <w:tcPr>
            <w:tcW w:w="3968" w:type="dxa"/>
            <w:gridSpan w:val="8"/>
            <w:noWrap w:val="0"/>
            <w:vAlign w:val="center"/>
          </w:tcPr>
          <w:p w14:paraId="0AFA6939">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1670003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户籍行政区划**</w:t>
            </w:r>
          </w:p>
        </w:tc>
        <w:tc>
          <w:tcPr>
            <w:tcW w:w="1023" w:type="dxa"/>
            <w:noWrap w:val="0"/>
            <w:vAlign w:val="center"/>
          </w:tcPr>
          <w:p w14:paraId="414047BD">
            <w:pPr>
              <w:spacing w:line="400" w:lineRule="exact"/>
              <w:jc w:val="center"/>
              <w:rPr>
                <w:rFonts w:hint="eastAsia" w:ascii="宋体" w:hAnsi="宋体" w:cs="宋体"/>
                <w:color w:val="auto"/>
                <w:sz w:val="24"/>
                <w:szCs w:val="24"/>
                <w:highlight w:val="none"/>
              </w:rPr>
            </w:pPr>
          </w:p>
        </w:tc>
      </w:tr>
      <w:tr w14:paraId="750B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4FD28B67">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5BB4C36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现居住地址</w:t>
            </w:r>
          </w:p>
        </w:tc>
        <w:tc>
          <w:tcPr>
            <w:tcW w:w="3968" w:type="dxa"/>
            <w:gridSpan w:val="8"/>
            <w:noWrap w:val="0"/>
            <w:vAlign w:val="center"/>
          </w:tcPr>
          <w:p w14:paraId="763C6F75">
            <w:pPr>
              <w:spacing w:line="400" w:lineRule="exact"/>
              <w:jc w:val="center"/>
              <w:rPr>
                <w:rFonts w:hint="eastAsia" w:ascii="宋体" w:hAnsi="宋体" w:cs="宋体"/>
                <w:color w:val="auto"/>
                <w:sz w:val="24"/>
                <w:szCs w:val="24"/>
                <w:highlight w:val="none"/>
              </w:rPr>
            </w:pPr>
          </w:p>
        </w:tc>
        <w:tc>
          <w:tcPr>
            <w:tcW w:w="1732" w:type="dxa"/>
            <w:gridSpan w:val="4"/>
            <w:noWrap w:val="0"/>
            <w:vAlign w:val="center"/>
          </w:tcPr>
          <w:p w14:paraId="420FB1B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邮政编码</w:t>
            </w:r>
          </w:p>
        </w:tc>
        <w:tc>
          <w:tcPr>
            <w:tcW w:w="1023" w:type="dxa"/>
            <w:noWrap w:val="0"/>
            <w:vAlign w:val="center"/>
          </w:tcPr>
          <w:p w14:paraId="1A5D389A">
            <w:pPr>
              <w:spacing w:line="400" w:lineRule="exact"/>
              <w:jc w:val="center"/>
              <w:rPr>
                <w:rFonts w:hint="eastAsia" w:ascii="宋体" w:hAnsi="宋体" w:cs="宋体"/>
                <w:color w:val="auto"/>
                <w:sz w:val="24"/>
                <w:szCs w:val="24"/>
                <w:highlight w:val="none"/>
              </w:rPr>
            </w:pPr>
          </w:p>
        </w:tc>
      </w:tr>
      <w:tr w14:paraId="288CA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82770C5">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3491138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手机号码**</w:t>
            </w:r>
          </w:p>
        </w:tc>
        <w:tc>
          <w:tcPr>
            <w:tcW w:w="2789" w:type="dxa"/>
            <w:gridSpan w:val="5"/>
            <w:noWrap w:val="0"/>
            <w:vAlign w:val="center"/>
          </w:tcPr>
          <w:p w14:paraId="701AA0B2">
            <w:pPr>
              <w:spacing w:line="400" w:lineRule="exact"/>
              <w:jc w:val="center"/>
              <w:rPr>
                <w:rFonts w:hint="eastAsia" w:ascii="宋体" w:hAnsi="宋体" w:cs="宋体"/>
                <w:color w:val="auto"/>
                <w:sz w:val="24"/>
                <w:szCs w:val="24"/>
                <w:highlight w:val="none"/>
              </w:rPr>
            </w:pPr>
          </w:p>
        </w:tc>
        <w:tc>
          <w:tcPr>
            <w:tcW w:w="1179" w:type="dxa"/>
            <w:gridSpan w:val="3"/>
            <w:noWrap w:val="0"/>
            <w:vAlign w:val="center"/>
          </w:tcPr>
          <w:p w14:paraId="5592160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电子邮箱</w:t>
            </w:r>
          </w:p>
        </w:tc>
        <w:tc>
          <w:tcPr>
            <w:tcW w:w="2755" w:type="dxa"/>
            <w:gridSpan w:val="5"/>
            <w:noWrap w:val="0"/>
            <w:vAlign w:val="center"/>
          </w:tcPr>
          <w:p w14:paraId="66740915">
            <w:pPr>
              <w:spacing w:line="400" w:lineRule="exact"/>
              <w:jc w:val="center"/>
              <w:rPr>
                <w:rFonts w:hint="eastAsia" w:ascii="宋体" w:hAnsi="宋体" w:cs="宋体"/>
                <w:color w:val="auto"/>
                <w:sz w:val="24"/>
                <w:szCs w:val="24"/>
                <w:highlight w:val="none"/>
              </w:rPr>
            </w:pPr>
          </w:p>
        </w:tc>
      </w:tr>
      <w:tr w14:paraId="7273F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6A288B3F">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工作经历</w:t>
            </w:r>
          </w:p>
        </w:tc>
        <w:tc>
          <w:tcPr>
            <w:tcW w:w="1702" w:type="dxa"/>
            <w:gridSpan w:val="2"/>
            <w:noWrap w:val="0"/>
            <w:vAlign w:val="center"/>
          </w:tcPr>
          <w:p w14:paraId="74C3B7D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工作起始日期</w:t>
            </w:r>
          </w:p>
        </w:tc>
        <w:tc>
          <w:tcPr>
            <w:tcW w:w="927" w:type="dxa"/>
            <w:noWrap w:val="0"/>
            <w:vAlign w:val="center"/>
          </w:tcPr>
          <w:p w14:paraId="29DC7042">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4072BD3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工作终止日期</w:t>
            </w:r>
          </w:p>
        </w:tc>
        <w:tc>
          <w:tcPr>
            <w:tcW w:w="3934" w:type="dxa"/>
            <w:gridSpan w:val="8"/>
            <w:noWrap w:val="0"/>
            <w:vAlign w:val="center"/>
          </w:tcPr>
          <w:p w14:paraId="1D4B69D6">
            <w:pPr>
              <w:spacing w:line="400" w:lineRule="exact"/>
              <w:jc w:val="center"/>
              <w:rPr>
                <w:rFonts w:hint="eastAsia" w:ascii="宋体" w:hAnsi="宋体" w:cs="宋体"/>
                <w:color w:val="auto"/>
                <w:sz w:val="24"/>
                <w:szCs w:val="24"/>
                <w:highlight w:val="none"/>
              </w:rPr>
            </w:pPr>
          </w:p>
        </w:tc>
      </w:tr>
      <w:tr w14:paraId="682F6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195D1387">
            <w:pPr>
              <w:spacing w:line="400" w:lineRule="exact"/>
              <w:jc w:val="center"/>
              <w:rPr>
                <w:rFonts w:hint="eastAsia" w:ascii="宋体" w:hAnsi="宋体" w:cs="宋体"/>
                <w:b/>
                <w:color w:val="auto"/>
                <w:sz w:val="24"/>
                <w:szCs w:val="24"/>
                <w:highlight w:val="none"/>
              </w:rPr>
            </w:pPr>
          </w:p>
        </w:tc>
        <w:tc>
          <w:tcPr>
            <w:tcW w:w="1702" w:type="dxa"/>
            <w:gridSpan w:val="2"/>
            <w:noWrap w:val="0"/>
            <w:vAlign w:val="center"/>
          </w:tcPr>
          <w:p w14:paraId="52CB44D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所在工作</w:t>
            </w:r>
          </w:p>
          <w:p w14:paraId="23D19DE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927" w:type="dxa"/>
            <w:noWrap w:val="0"/>
            <w:vAlign w:val="center"/>
          </w:tcPr>
          <w:p w14:paraId="06711AF5">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03CD6AC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从事工作</w:t>
            </w:r>
          </w:p>
          <w:p w14:paraId="4F2FAA1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或担任职务</w:t>
            </w:r>
          </w:p>
        </w:tc>
        <w:tc>
          <w:tcPr>
            <w:tcW w:w="1179" w:type="dxa"/>
            <w:gridSpan w:val="3"/>
            <w:noWrap w:val="0"/>
            <w:vAlign w:val="center"/>
          </w:tcPr>
          <w:p w14:paraId="54ECAD1F">
            <w:pPr>
              <w:spacing w:line="400" w:lineRule="exact"/>
              <w:jc w:val="center"/>
              <w:rPr>
                <w:rFonts w:hint="eastAsia" w:ascii="宋体" w:hAnsi="宋体" w:cs="宋体"/>
                <w:color w:val="auto"/>
                <w:sz w:val="24"/>
                <w:szCs w:val="24"/>
                <w:highlight w:val="none"/>
              </w:rPr>
            </w:pPr>
          </w:p>
        </w:tc>
        <w:tc>
          <w:tcPr>
            <w:tcW w:w="1520" w:type="dxa"/>
            <w:gridSpan w:val="2"/>
            <w:noWrap w:val="0"/>
            <w:vAlign w:val="center"/>
          </w:tcPr>
          <w:p w14:paraId="3CC7DBD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单位证明人</w:t>
            </w:r>
          </w:p>
        </w:tc>
        <w:tc>
          <w:tcPr>
            <w:tcW w:w="1235" w:type="dxa"/>
            <w:gridSpan w:val="3"/>
            <w:noWrap w:val="0"/>
            <w:vAlign w:val="center"/>
          </w:tcPr>
          <w:p w14:paraId="2F97ABE9">
            <w:pPr>
              <w:spacing w:line="400" w:lineRule="exact"/>
              <w:jc w:val="center"/>
              <w:rPr>
                <w:rFonts w:hint="eastAsia" w:ascii="宋体" w:hAnsi="宋体" w:cs="宋体"/>
                <w:color w:val="auto"/>
                <w:sz w:val="24"/>
                <w:szCs w:val="24"/>
                <w:highlight w:val="none"/>
              </w:rPr>
            </w:pPr>
          </w:p>
        </w:tc>
      </w:tr>
      <w:tr w14:paraId="12603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12EBC0EA">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专业技术与职业（工种）资格情况</w:t>
            </w:r>
          </w:p>
        </w:tc>
        <w:tc>
          <w:tcPr>
            <w:tcW w:w="1702" w:type="dxa"/>
            <w:gridSpan w:val="2"/>
            <w:noWrap w:val="0"/>
            <w:vAlign w:val="center"/>
          </w:tcPr>
          <w:p w14:paraId="2EE0D85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职称名称</w:t>
            </w:r>
          </w:p>
        </w:tc>
        <w:tc>
          <w:tcPr>
            <w:tcW w:w="927" w:type="dxa"/>
            <w:noWrap w:val="0"/>
            <w:vAlign w:val="center"/>
          </w:tcPr>
          <w:p w14:paraId="447E2679">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2461E65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职称级别</w:t>
            </w:r>
          </w:p>
        </w:tc>
        <w:tc>
          <w:tcPr>
            <w:tcW w:w="1179" w:type="dxa"/>
            <w:gridSpan w:val="3"/>
            <w:noWrap w:val="0"/>
            <w:vAlign w:val="center"/>
          </w:tcPr>
          <w:p w14:paraId="598340E1">
            <w:pPr>
              <w:spacing w:line="400" w:lineRule="exact"/>
              <w:jc w:val="center"/>
              <w:rPr>
                <w:rFonts w:hint="eastAsia" w:ascii="宋体" w:hAnsi="宋体" w:cs="宋体"/>
                <w:color w:val="auto"/>
                <w:sz w:val="24"/>
                <w:szCs w:val="24"/>
                <w:highlight w:val="none"/>
              </w:rPr>
            </w:pPr>
          </w:p>
        </w:tc>
        <w:tc>
          <w:tcPr>
            <w:tcW w:w="1520" w:type="dxa"/>
            <w:gridSpan w:val="2"/>
            <w:noWrap w:val="0"/>
            <w:vAlign w:val="center"/>
          </w:tcPr>
          <w:p w14:paraId="4C7467B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取得职称日期</w:t>
            </w:r>
          </w:p>
        </w:tc>
        <w:tc>
          <w:tcPr>
            <w:tcW w:w="1235" w:type="dxa"/>
            <w:gridSpan w:val="3"/>
            <w:noWrap w:val="0"/>
            <w:vAlign w:val="center"/>
          </w:tcPr>
          <w:p w14:paraId="33F22FFC">
            <w:pPr>
              <w:spacing w:line="400" w:lineRule="exact"/>
              <w:jc w:val="center"/>
              <w:rPr>
                <w:rFonts w:hint="eastAsia" w:ascii="宋体" w:hAnsi="宋体" w:cs="宋体"/>
                <w:color w:val="auto"/>
                <w:sz w:val="24"/>
                <w:szCs w:val="24"/>
                <w:highlight w:val="none"/>
              </w:rPr>
            </w:pPr>
          </w:p>
        </w:tc>
      </w:tr>
      <w:tr w14:paraId="5E852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36B94F2">
            <w:pPr>
              <w:spacing w:line="400" w:lineRule="exact"/>
              <w:jc w:val="center"/>
              <w:rPr>
                <w:rFonts w:hint="eastAsia" w:ascii="宋体" w:hAnsi="宋体" w:cs="宋体"/>
                <w:color w:val="auto"/>
                <w:sz w:val="24"/>
                <w:szCs w:val="24"/>
                <w:highlight w:val="none"/>
              </w:rPr>
            </w:pPr>
          </w:p>
        </w:tc>
        <w:tc>
          <w:tcPr>
            <w:tcW w:w="1702" w:type="dxa"/>
            <w:gridSpan w:val="2"/>
            <w:noWrap w:val="0"/>
            <w:vAlign w:val="center"/>
          </w:tcPr>
          <w:p w14:paraId="4302B10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职业（工种）</w:t>
            </w:r>
          </w:p>
          <w:p w14:paraId="0603212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资格名称</w:t>
            </w:r>
          </w:p>
        </w:tc>
        <w:tc>
          <w:tcPr>
            <w:tcW w:w="927" w:type="dxa"/>
            <w:noWrap w:val="0"/>
            <w:vAlign w:val="center"/>
          </w:tcPr>
          <w:p w14:paraId="4A9CD276">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3160730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国家职业资格等级</w:t>
            </w:r>
          </w:p>
          <w:p w14:paraId="0282273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(技能人员等级)</w:t>
            </w:r>
          </w:p>
        </w:tc>
        <w:tc>
          <w:tcPr>
            <w:tcW w:w="1179" w:type="dxa"/>
            <w:gridSpan w:val="3"/>
            <w:noWrap w:val="0"/>
            <w:vAlign w:val="center"/>
          </w:tcPr>
          <w:p w14:paraId="7F75694D">
            <w:pPr>
              <w:spacing w:line="400" w:lineRule="exact"/>
              <w:jc w:val="center"/>
              <w:rPr>
                <w:rFonts w:hint="eastAsia" w:ascii="宋体" w:hAnsi="宋体" w:cs="宋体"/>
                <w:color w:val="auto"/>
                <w:sz w:val="24"/>
                <w:szCs w:val="24"/>
                <w:highlight w:val="none"/>
              </w:rPr>
            </w:pPr>
          </w:p>
        </w:tc>
        <w:tc>
          <w:tcPr>
            <w:tcW w:w="1520" w:type="dxa"/>
            <w:gridSpan w:val="2"/>
            <w:noWrap w:val="0"/>
            <w:vAlign w:val="center"/>
          </w:tcPr>
          <w:p w14:paraId="0ECD878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职业（工种）资格日期</w:t>
            </w:r>
          </w:p>
        </w:tc>
        <w:tc>
          <w:tcPr>
            <w:tcW w:w="1235" w:type="dxa"/>
            <w:gridSpan w:val="3"/>
            <w:noWrap w:val="0"/>
            <w:vAlign w:val="center"/>
          </w:tcPr>
          <w:p w14:paraId="016FE1FF">
            <w:pPr>
              <w:spacing w:line="400" w:lineRule="exact"/>
              <w:jc w:val="center"/>
              <w:rPr>
                <w:rFonts w:hint="eastAsia" w:ascii="宋体" w:hAnsi="宋体" w:cs="宋体"/>
                <w:color w:val="auto"/>
                <w:sz w:val="24"/>
                <w:szCs w:val="24"/>
                <w:highlight w:val="none"/>
              </w:rPr>
            </w:pPr>
          </w:p>
        </w:tc>
      </w:tr>
      <w:tr w14:paraId="7C0DF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noWrap w:val="0"/>
            <w:vAlign w:val="center"/>
          </w:tcPr>
          <w:p w14:paraId="6A0B2BE1">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语言能力</w:t>
            </w:r>
          </w:p>
        </w:tc>
        <w:tc>
          <w:tcPr>
            <w:tcW w:w="1702" w:type="dxa"/>
            <w:gridSpan w:val="2"/>
            <w:noWrap w:val="0"/>
            <w:vAlign w:val="center"/>
          </w:tcPr>
          <w:p w14:paraId="44337E2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语种</w:t>
            </w:r>
          </w:p>
        </w:tc>
        <w:tc>
          <w:tcPr>
            <w:tcW w:w="927" w:type="dxa"/>
            <w:noWrap w:val="0"/>
            <w:vAlign w:val="center"/>
          </w:tcPr>
          <w:p w14:paraId="512F7DBA">
            <w:pPr>
              <w:spacing w:line="400" w:lineRule="exact"/>
              <w:jc w:val="center"/>
              <w:rPr>
                <w:rFonts w:hint="eastAsia" w:ascii="宋体" w:hAnsi="宋体" w:cs="宋体"/>
                <w:color w:val="auto"/>
                <w:sz w:val="24"/>
                <w:szCs w:val="24"/>
                <w:highlight w:val="none"/>
              </w:rPr>
            </w:pPr>
          </w:p>
        </w:tc>
        <w:tc>
          <w:tcPr>
            <w:tcW w:w="1862" w:type="dxa"/>
            <w:gridSpan w:val="4"/>
            <w:noWrap w:val="0"/>
            <w:vAlign w:val="center"/>
          </w:tcPr>
          <w:p w14:paraId="59A0165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语种熟练程度</w:t>
            </w:r>
          </w:p>
        </w:tc>
        <w:tc>
          <w:tcPr>
            <w:tcW w:w="3934" w:type="dxa"/>
            <w:gridSpan w:val="8"/>
            <w:noWrap w:val="0"/>
            <w:vAlign w:val="center"/>
          </w:tcPr>
          <w:p w14:paraId="0A1ECC3D">
            <w:pPr>
              <w:spacing w:line="400" w:lineRule="exact"/>
              <w:jc w:val="center"/>
              <w:rPr>
                <w:rFonts w:hint="eastAsia" w:ascii="宋体" w:hAnsi="宋体" w:cs="宋体"/>
                <w:color w:val="auto"/>
                <w:sz w:val="24"/>
                <w:szCs w:val="24"/>
                <w:highlight w:val="none"/>
              </w:rPr>
            </w:pPr>
          </w:p>
        </w:tc>
      </w:tr>
      <w:tr w14:paraId="5D262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799916FB">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教育经历</w:t>
            </w:r>
          </w:p>
        </w:tc>
        <w:tc>
          <w:tcPr>
            <w:tcW w:w="1702" w:type="dxa"/>
            <w:gridSpan w:val="2"/>
            <w:tcBorders>
              <w:bottom w:val="single" w:color="auto" w:sz="4" w:space="0"/>
              <w:right w:val="single" w:color="auto" w:sz="4" w:space="0"/>
            </w:tcBorders>
            <w:noWrap w:val="0"/>
            <w:vAlign w:val="center"/>
          </w:tcPr>
          <w:p w14:paraId="580A084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入校日期</w:t>
            </w:r>
          </w:p>
        </w:tc>
        <w:tc>
          <w:tcPr>
            <w:tcW w:w="927" w:type="dxa"/>
            <w:tcBorders>
              <w:left w:val="single" w:color="auto" w:sz="4" w:space="0"/>
              <w:bottom w:val="single" w:color="auto" w:sz="4" w:space="0"/>
              <w:right w:val="single" w:color="auto" w:sz="4" w:space="0"/>
            </w:tcBorders>
            <w:noWrap w:val="0"/>
            <w:vAlign w:val="center"/>
          </w:tcPr>
          <w:p w14:paraId="7933DE4B">
            <w:pPr>
              <w:spacing w:line="400" w:lineRule="exact"/>
              <w:jc w:val="center"/>
              <w:rPr>
                <w:rFonts w:hint="eastAsia" w:ascii="宋体" w:hAnsi="宋体" w:cs="宋体"/>
                <w:color w:val="auto"/>
                <w:sz w:val="24"/>
                <w:szCs w:val="24"/>
                <w:highlight w:val="none"/>
              </w:rPr>
            </w:pPr>
          </w:p>
        </w:tc>
        <w:tc>
          <w:tcPr>
            <w:tcW w:w="1862" w:type="dxa"/>
            <w:gridSpan w:val="4"/>
            <w:tcBorders>
              <w:left w:val="single" w:color="auto" w:sz="4" w:space="0"/>
              <w:bottom w:val="single" w:color="auto" w:sz="4" w:space="0"/>
              <w:right w:val="single" w:color="auto" w:sz="4" w:space="0"/>
            </w:tcBorders>
            <w:noWrap w:val="0"/>
            <w:vAlign w:val="center"/>
          </w:tcPr>
          <w:p w14:paraId="0E0CF8E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离校日期</w:t>
            </w:r>
          </w:p>
        </w:tc>
        <w:tc>
          <w:tcPr>
            <w:tcW w:w="1179" w:type="dxa"/>
            <w:gridSpan w:val="3"/>
            <w:tcBorders>
              <w:left w:val="single" w:color="auto" w:sz="4" w:space="0"/>
              <w:bottom w:val="single" w:color="auto" w:sz="4" w:space="0"/>
              <w:right w:val="single" w:color="auto" w:sz="4" w:space="0"/>
            </w:tcBorders>
            <w:noWrap w:val="0"/>
            <w:vAlign w:val="center"/>
          </w:tcPr>
          <w:p w14:paraId="7699CD93">
            <w:pPr>
              <w:spacing w:line="400" w:lineRule="exact"/>
              <w:jc w:val="center"/>
              <w:rPr>
                <w:rFonts w:hint="eastAsia" w:ascii="宋体" w:hAnsi="宋体" w:cs="宋体"/>
                <w:color w:val="auto"/>
                <w:sz w:val="24"/>
                <w:szCs w:val="24"/>
                <w:highlight w:val="none"/>
              </w:rPr>
            </w:pPr>
          </w:p>
        </w:tc>
        <w:tc>
          <w:tcPr>
            <w:tcW w:w="1520" w:type="dxa"/>
            <w:gridSpan w:val="2"/>
            <w:tcBorders>
              <w:left w:val="single" w:color="auto" w:sz="4" w:space="0"/>
              <w:bottom w:val="single" w:color="auto" w:sz="4" w:space="0"/>
              <w:right w:val="single" w:color="auto" w:sz="4" w:space="0"/>
            </w:tcBorders>
            <w:noWrap w:val="0"/>
            <w:vAlign w:val="center"/>
          </w:tcPr>
          <w:p w14:paraId="02B5859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所在学校</w:t>
            </w:r>
          </w:p>
        </w:tc>
        <w:tc>
          <w:tcPr>
            <w:tcW w:w="1235" w:type="dxa"/>
            <w:gridSpan w:val="3"/>
            <w:tcBorders>
              <w:left w:val="single" w:color="auto" w:sz="4" w:space="0"/>
              <w:bottom w:val="single" w:color="auto" w:sz="4" w:space="0"/>
            </w:tcBorders>
            <w:noWrap w:val="0"/>
            <w:vAlign w:val="center"/>
          </w:tcPr>
          <w:p w14:paraId="76BF950A">
            <w:pPr>
              <w:spacing w:line="400" w:lineRule="exact"/>
              <w:jc w:val="center"/>
              <w:rPr>
                <w:rFonts w:hint="eastAsia" w:ascii="宋体" w:hAnsi="宋体" w:cs="宋体"/>
                <w:color w:val="auto"/>
                <w:sz w:val="24"/>
                <w:szCs w:val="24"/>
                <w:highlight w:val="none"/>
              </w:rPr>
            </w:pPr>
          </w:p>
        </w:tc>
      </w:tr>
      <w:tr w14:paraId="349D3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26643702">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0892B5F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所学专业名称</w:t>
            </w:r>
          </w:p>
        </w:tc>
        <w:tc>
          <w:tcPr>
            <w:tcW w:w="927" w:type="dxa"/>
            <w:tcBorders>
              <w:top w:val="single" w:color="auto" w:sz="4" w:space="0"/>
              <w:left w:val="single" w:color="auto" w:sz="4" w:space="0"/>
              <w:right w:val="single" w:color="auto" w:sz="4" w:space="0"/>
            </w:tcBorders>
            <w:noWrap w:val="0"/>
            <w:vAlign w:val="center"/>
          </w:tcPr>
          <w:p w14:paraId="77CFE5EE">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737C198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所获学位</w:t>
            </w:r>
          </w:p>
        </w:tc>
        <w:tc>
          <w:tcPr>
            <w:tcW w:w="1179" w:type="dxa"/>
            <w:gridSpan w:val="3"/>
            <w:tcBorders>
              <w:top w:val="single" w:color="auto" w:sz="4" w:space="0"/>
              <w:left w:val="single" w:color="auto" w:sz="4" w:space="0"/>
              <w:right w:val="single" w:color="auto" w:sz="4" w:space="0"/>
            </w:tcBorders>
            <w:noWrap w:val="0"/>
            <w:vAlign w:val="center"/>
          </w:tcPr>
          <w:p w14:paraId="40A56D80">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1A055C3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所获学历</w:t>
            </w:r>
          </w:p>
        </w:tc>
        <w:tc>
          <w:tcPr>
            <w:tcW w:w="1235" w:type="dxa"/>
            <w:gridSpan w:val="3"/>
            <w:tcBorders>
              <w:top w:val="single" w:color="auto" w:sz="4" w:space="0"/>
              <w:left w:val="single" w:color="auto" w:sz="4" w:space="0"/>
            </w:tcBorders>
            <w:noWrap w:val="0"/>
            <w:vAlign w:val="center"/>
          </w:tcPr>
          <w:p w14:paraId="4367F203">
            <w:pPr>
              <w:spacing w:line="400" w:lineRule="exact"/>
              <w:jc w:val="center"/>
              <w:rPr>
                <w:rFonts w:hint="eastAsia" w:ascii="宋体" w:hAnsi="宋体" w:cs="宋体"/>
                <w:color w:val="auto"/>
                <w:sz w:val="24"/>
                <w:szCs w:val="24"/>
                <w:highlight w:val="none"/>
              </w:rPr>
            </w:pPr>
          </w:p>
        </w:tc>
      </w:tr>
      <w:tr w14:paraId="3F76C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01F77275">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08F15AA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教育类别</w:t>
            </w:r>
          </w:p>
        </w:tc>
        <w:tc>
          <w:tcPr>
            <w:tcW w:w="927" w:type="dxa"/>
            <w:tcBorders>
              <w:top w:val="single" w:color="auto" w:sz="4" w:space="0"/>
              <w:left w:val="single" w:color="auto" w:sz="4" w:space="0"/>
              <w:right w:val="single" w:color="auto" w:sz="4" w:space="0"/>
            </w:tcBorders>
            <w:noWrap w:val="0"/>
            <w:vAlign w:val="center"/>
          </w:tcPr>
          <w:p w14:paraId="2650D829">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42A819C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学习形式</w:t>
            </w:r>
          </w:p>
        </w:tc>
        <w:tc>
          <w:tcPr>
            <w:tcW w:w="3934" w:type="dxa"/>
            <w:gridSpan w:val="8"/>
            <w:tcBorders>
              <w:top w:val="single" w:color="auto" w:sz="4" w:space="0"/>
              <w:left w:val="single" w:color="auto" w:sz="4" w:space="0"/>
            </w:tcBorders>
            <w:noWrap w:val="0"/>
            <w:vAlign w:val="center"/>
          </w:tcPr>
          <w:p w14:paraId="18258388">
            <w:pPr>
              <w:spacing w:line="400" w:lineRule="exact"/>
              <w:jc w:val="center"/>
              <w:rPr>
                <w:rFonts w:hint="eastAsia" w:ascii="宋体" w:hAnsi="宋体" w:cs="宋体"/>
                <w:color w:val="auto"/>
                <w:sz w:val="24"/>
                <w:szCs w:val="24"/>
                <w:highlight w:val="none"/>
              </w:rPr>
            </w:pPr>
          </w:p>
        </w:tc>
      </w:tr>
      <w:tr w14:paraId="0165E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noWrap w:val="0"/>
            <w:vAlign w:val="center"/>
          </w:tcPr>
          <w:p w14:paraId="64DE98C9">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家庭情况</w:t>
            </w:r>
          </w:p>
        </w:tc>
        <w:tc>
          <w:tcPr>
            <w:tcW w:w="1702" w:type="dxa"/>
            <w:gridSpan w:val="2"/>
            <w:tcBorders>
              <w:top w:val="single" w:color="auto" w:sz="4" w:space="0"/>
              <w:right w:val="single" w:color="auto" w:sz="4" w:space="0"/>
            </w:tcBorders>
            <w:noWrap w:val="0"/>
            <w:vAlign w:val="center"/>
          </w:tcPr>
          <w:p w14:paraId="0214131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家庭成员姓名</w:t>
            </w:r>
          </w:p>
        </w:tc>
        <w:tc>
          <w:tcPr>
            <w:tcW w:w="927" w:type="dxa"/>
            <w:tcBorders>
              <w:top w:val="single" w:color="auto" w:sz="4" w:space="0"/>
              <w:left w:val="single" w:color="auto" w:sz="4" w:space="0"/>
              <w:right w:val="single" w:color="auto" w:sz="4" w:space="0"/>
            </w:tcBorders>
            <w:noWrap w:val="0"/>
            <w:vAlign w:val="center"/>
          </w:tcPr>
          <w:p w14:paraId="67BC79AF">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1B38288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与本人的关系</w:t>
            </w:r>
          </w:p>
        </w:tc>
        <w:tc>
          <w:tcPr>
            <w:tcW w:w="1179" w:type="dxa"/>
            <w:gridSpan w:val="3"/>
            <w:tcBorders>
              <w:top w:val="single" w:color="auto" w:sz="4" w:space="0"/>
              <w:left w:val="single" w:color="auto" w:sz="4" w:space="0"/>
              <w:right w:val="single" w:color="auto" w:sz="4" w:space="0"/>
            </w:tcBorders>
            <w:noWrap w:val="0"/>
            <w:vAlign w:val="center"/>
          </w:tcPr>
          <w:p w14:paraId="459C1F11">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40B4D11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家庭成员工作单位及职务</w:t>
            </w:r>
          </w:p>
        </w:tc>
        <w:tc>
          <w:tcPr>
            <w:tcW w:w="1235" w:type="dxa"/>
            <w:gridSpan w:val="3"/>
            <w:tcBorders>
              <w:top w:val="single" w:color="auto" w:sz="4" w:space="0"/>
              <w:left w:val="single" w:color="auto" w:sz="4" w:space="0"/>
            </w:tcBorders>
            <w:noWrap w:val="0"/>
            <w:vAlign w:val="center"/>
          </w:tcPr>
          <w:p w14:paraId="36E3CAD2">
            <w:pPr>
              <w:spacing w:line="400" w:lineRule="exact"/>
              <w:jc w:val="center"/>
              <w:rPr>
                <w:rFonts w:hint="eastAsia" w:ascii="宋体" w:hAnsi="宋体" w:cs="宋体"/>
                <w:color w:val="auto"/>
                <w:sz w:val="24"/>
                <w:szCs w:val="24"/>
                <w:highlight w:val="none"/>
              </w:rPr>
            </w:pPr>
          </w:p>
        </w:tc>
      </w:tr>
      <w:tr w14:paraId="13E4D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05822F4F">
            <w:pPr>
              <w:spacing w:line="400" w:lineRule="exact"/>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奖惩情况</w:t>
            </w:r>
          </w:p>
        </w:tc>
        <w:tc>
          <w:tcPr>
            <w:tcW w:w="1702" w:type="dxa"/>
            <w:gridSpan w:val="2"/>
            <w:tcBorders>
              <w:top w:val="single" w:color="auto" w:sz="4" w:space="0"/>
              <w:right w:val="single" w:color="auto" w:sz="4" w:space="0"/>
            </w:tcBorders>
            <w:noWrap w:val="0"/>
            <w:vAlign w:val="center"/>
          </w:tcPr>
          <w:p w14:paraId="4AB6603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奖励名称</w:t>
            </w:r>
          </w:p>
        </w:tc>
        <w:tc>
          <w:tcPr>
            <w:tcW w:w="927" w:type="dxa"/>
            <w:tcBorders>
              <w:top w:val="single" w:color="auto" w:sz="4" w:space="0"/>
              <w:left w:val="single" w:color="auto" w:sz="4" w:space="0"/>
              <w:right w:val="single" w:color="auto" w:sz="4" w:space="0"/>
            </w:tcBorders>
            <w:noWrap w:val="0"/>
            <w:vAlign w:val="center"/>
          </w:tcPr>
          <w:p w14:paraId="2CDB53DF">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0AA0572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奖励批准日期</w:t>
            </w:r>
          </w:p>
        </w:tc>
        <w:tc>
          <w:tcPr>
            <w:tcW w:w="1179" w:type="dxa"/>
            <w:gridSpan w:val="3"/>
            <w:tcBorders>
              <w:top w:val="single" w:color="auto" w:sz="4" w:space="0"/>
              <w:left w:val="single" w:color="auto" w:sz="4" w:space="0"/>
              <w:right w:val="single" w:color="auto" w:sz="4" w:space="0"/>
            </w:tcBorders>
            <w:noWrap w:val="0"/>
            <w:vAlign w:val="center"/>
          </w:tcPr>
          <w:p w14:paraId="17487525">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47D9708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奖励批准</w:t>
            </w:r>
          </w:p>
          <w:p w14:paraId="1247E3F5">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1235" w:type="dxa"/>
            <w:gridSpan w:val="3"/>
            <w:tcBorders>
              <w:top w:val="single" w:color="auto" w:sz="4" w:space="0"/>
              <w:left w:val="single" w:color="auto" w:sz="4" w:space="0"/>
            </w:tcBorders>
            <w:noWrap w:val="0"/>
            <w:vAlign w:val="center"/>
          </w:tcPr>
          <w:p w14:paraId="79A0AC97">
            <w:pPr>
              <w:spacing w:line="400" w:lineRule="exact"/>
              <w:jc w:val="center"/>
              <w:rPr>
                <w:rFonts w:hint="eastAsia" w:ascii="宋体" w:hAnsi="宋体" w:cs="宋体"/>
                <w:color w:val="auto"/>
                <w:sz w:val="24"/>
                <w:szCs w:val="24"/>
                <w:highlight w:val="none"/>
              </w:rPr>
            </w:pPr>
          </w:p>
        </w:tc>
      </w:tr>
      <w:tr w14:paraId="376E2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63A03FF8">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68406BD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处分名称</w:t>
            </w:r>
          </w:p>
        </w:tc>
        <w:tc>
          <w:tcPr>
            <w:tcW w:w="927" w:type="dxa"/>
            <w:tcBorders>
              <w:top w:val="single" w:color="auto" w:sz="4" w:space="0"/>
              <w:left w:val="single" w:color="auto" w:sz="4" w:space="0"/>
              <w:right w:val="single" w:color="auto" w:sz="4" w:space="0"/>
            </w:tcBorders>
            <w:noWrap w:val="0"/>
            <w:vAlign w:val="center"/>
          </w:tcPr>
          <w:p w14:paraId="6C94CF36">
            <w:pPr>
              <w:spacing w:line="400" w:lineRule="exact"/>
              <w:jc w:val="center"/>
              <w:rPr>
                <w:rFonts w:hint="eastAsia" w:ascii="宋体" w:hAnsi="宋体" w:cs="宋体"/>
                <w:color w:val="auto"/>
                <w:sz w:val="24"/>
                <w:szCs w:val="24"/>
                <w:highlight w:val="none"/>
              </w:rPr>
            </w:pPr>
          </w:p>
        </w:tc>
        <w:tc>
          <w:tcPr>
            <w:tcW w:w="1862" w:type="dxa"/>
            <w:gridSpan w:val="4"/>
            <w:tcBorders>
              <w:top w:val="single" w:color="auto" w:sz="4" w:space="0"/>
              <w:left w:val="single" w:color="auto" w:sz="4" w:space="0"/>
              <w:right w:val="single" w:color="auto" w:sz="4" w:space="0"/>
            </w:tcBorders>
            <w:noWrap w:val="0"/>
            <w:vAlign w:val="center"/>
          </w:tcPr>
          <w:p w14:paraId="2FDF459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处分批准时间</w:t>
            </w:r>
          </w:p>
        </w:tc>
        <w:tc>
          <w:tcPr>
            <w:tcW w:w="1179" w:type="dxa"/>
            <w:gridSpan w:val="3"/>
            <w:tcBorders>
              <w:top w:val="single" w:color="auto" w:sz="4" w:space="0"/>
              <w:left w:val="single" w:color="auto" w:sz="4" w:space="0"/>
              <w:right w:val="single" w:color="auto" w:sz="4" w:space="0"/>
            </w:tcBorders>
            <w:noWrap w:val="0"/>
            <w:vAlign w:val="center"/>
          </w:tcPr>
          <w:p w14:paraId="08CB26B3">
            <w:pPr>
              <w:spacing w:line="400" w:lineRule="exact"/>
              <w:jc w:val="center"/>
              <w:rPr>
                <w:rFonts w:hint="eastAsia" w:ascii="宋体" w:hAnsi="宋体" w:cs="宋体"/>
                <w:color w:val="auto"/>
                <w:sz w:val="24"/>
                <w:szCs w:val="24"/>
                <w:highlight w:val="none"/>
              </w:rPr>
            </w:pPr>
          </w:p>
        </w:tc>
        <w:tc>
          <w:tcPr>
            <w:tcW w:w="1520" w:type="dxa"/>
            <w:gridSpan w:val="2"/>
            <w:tcBorders>
              <w:top w:val="single" w:color="auto" w:sz="4" w:space="0"/>
              <w:left w:val="single" w:color="auto" w:sz="4" w:space="0"/>
              <w:right w:val="single" w:color="auto" w:sz="4" w:space="0"/>
            </w:tcBorders>
            <w:noWrap w:val="0"/>
            <w:vAlign w:val="center"/>
          </w:tcPr>
          <w:p w14:paraId="37F94E0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处分批准</w:t>
            </w:r>
          </w:p>
          <w:p w14:paraId="434BA72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1235" w:type="dxa"/>
            <w:gridSpan w:val="3"/>
            <w:tcBorders>
              <w:top w:val="single" w:color="auto" w:sz="4" w:space="0"/>
              <w:left w:val="single" w:color="auto" w:sz="4" w:space="0"/>
            </w:tcBorders>
            <w:noWrap w:val="0"/>
            <w:vAlign w:val="center"/>
          </w:tcPr>
          <w:p w14:paraId="65DE4587">
            <w:pPr>
              <w:spacing w:line="400" w:lineRule="exact"/>
              <w:jc w:val="center"/>
              <w:rPr>
                <w:rFonts w:hint="eastAsia" w:ascii="宋体" w:hAnsi="宋体" w:cs="宋体"/>
                <w:color w:val="auto"/>
                <w:sz w:val="24"/>
                <w:szCs w:val="24"/>
                <w:highlight w:val="none"/>
              </w:rPr>
            </w:pPr>
          </w:p>
        </w:tc>
      </w:tr>
      <w:tr w14:paraId="5E699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restart"/>
            <w:noWrap w:val="0"/>
            <w:vAlign w:val="center"/>
          </w:tcPr>
          <w:p w14:paraId="304DB50D">
            <w:pPr>
              <w:spacing w:line="400" w:lineRule="exact"/>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培训经历</w:t>
            </w:r>
          </w:p>
        </w:tc>
        <w:tc>
          <w:tcPr>
            <w:tcW w:w="1702" w:type="dxa"/>
            <w:gridSpan w:val="2"/>
            <w:tcBorders>
              <w:bottom w:val="single" w:color="auto" w:sz="4" w:space="0"/>
              <w:right w:val="single" w:color="auto" w:sz="4" w:space="0"/>
            </w:tcBorders>
            <w:noWrap w:val="0"/>
            <w:vAlign w:val="center"/>
          </w:tcPr>
          <w:p w14:paraId="27E333B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培训起始日期</w:t>
            </w:r>
          </w:p>
        </w:tc>
        <w:tc>
          <w:tcPr>
            <w:tcW w:w="927" w:type="dxa"/>
            <w:tcBorders>
              <w:left w:val="single" w:color="auto" w:sz="4" w:space="0"/>
              <w:bottom w:val="single" w:color="auto" w:sz="4" w:space="0"/>
              <w:right w:val="single" w:color="auto" w:sz="4" w:space="0"/>
            </w:tcBorders>
            <w:noWrap w:val="0"/>
            <w:vAlign w:val="center"/>
          </w:tcPr>
          <w:p w14:paraId="4165FC15">
            <w:pPr>
              <w:spacing w:line="400" w:lineRule="exact"/>
              <w:jc w:val="center"/>
              <w:rPr>
                <w:rFonts w:hint="eastAsia" w:ascii="宋体" w:hAnsi="宋体" w:cs="宋体"/>
                <w:color w:val="auto"/>
                <w:sz w:val="24"/>
                <w:szCs w:val="24"/>
                <w:highlight w:val="none"/>
              </w:rPr>
            </w:pPr>
          </w:p>
        </w:tc>
        <w:tc>
          <w:tcPr>
            <w:tcW w:w="1862" w:type="dxa"/>
            <w:gridSpan w:val="4"/>
            <w:tcBorders>
              <w:left w:val="single" w:color="auto" w:sz="4" w:space="0"/>
              <w:bottom w:val="single" w:color="auto" w:sz="4" w:space="0"/>
              <w:right w:val="single" w:color="auto" w:sz="4" w:space="0"/>
            </w:tcBorders>
            <w:noWrap w:val="0"/>
            <w:vAlign w:val="center"/>
          </w:tcPr>
          <w:p w14:paraId="431BCE6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培训终止日期</w:t>
            </w:r>
          </w:p>
        </w:tc>
        <w:tc>
          <w:tcPr>
            <w:tcW w:w="1179" w:type="dxa"/>
            <w:gridSpan w:val="3"/>
            <w:tcBorders>
              <w:left w:val="single" w:color="auto" w:sz="4" w:space="0"/>
              <w:bottom w:val="single" w:color="auto" w:sz="4" w:space="0"/>
              <w:right w:val="single" w:color="auto" w:sz="4" w:space="0"/>
            </w:tcBorders>
            <w:noWrap w:val="0"/>
            <w:vAlign w:val="center"/>
          </w:tcPr>
          <w:p w14:paraId="2D34DFAD">
            <w:pPr>
              <w:spacing w:line="400" w:lineRule="exact"/>
              <w:jc w:val="center"/>
              <w:rPr>
                <w:rFonts w:hint="eastAsia" w:ascii="宋体" w:hAnsi="宋体" w:cs="宋体"/>
                <w:color w:val="auto"/>
                <w:sz w:val="24"/>
                <w:szCs w:val="24"/>
                <w:highlight w:val="none"/>
              </w:rPr>
            </w:pPr>
          </w:p>
        </w:tc>
        <w:tc>
          <w:tcPr>
            <w:tcW w:w="1520" w:type="dxa"/>
            <w:gridSpan w:val="2"/>
            <w:tcBorders>
              <w:left w:val="single" w:color="auto" w:sz="4" w:space="0"/>
              <w:bottom w:val="single" w:color="auto" w:sz="4" w:space="0"/>
              <w:right w:val="single" w:color="auto" w:sz="4" w:space="0"/>
            </w:tcBorders>
            <w:noWrap w:val="0"/>
            <w:vAlign w:val="center"/>
          </w:tcPr>
          <w:p w14:paraId="2C13385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培训班名称</w:t>
            </w:r>
          </w:p>
        </w:tc>
        <w:tc>
          <w:tcPr>
            <w:tcW w:w="1235" w:type="dxa"/>
            <w:gridSpan w:val="3"/>
            <w:tcBorders>
              <w:left w:val="single" w:color="auto" w:sz="4" w:space="0"/>
              <w:bottom w:val="single" w:color="auto" w:sz="4" w:space="0"/>
            </w:tcBorders>
            <w:noWrap w:val="0"/>
            <w:vAlign w:val="center"/>
          </w:tcPr>
          <w:p w14:paraId="16D5A3B9">
            <w:pPr>
              <w:spacing w:line="400" w:lineRule="exact"/>
              <w:jc w:val="center"/>
              <w:rPr>
                <w:rFonts w:hint="eastAsia" w:ascii="宋体" w:hAnsi="宋体" w:cs="宋体"/>
                <w:color w:val="auto"/>
                <w:sz w:val="24"/>
                <w:szCs w:val="24"/>
                <w:highlight w:val="none"/>
              </w:rPr>
            </w:pPr>
          </w:p>
        </w:tc>
      </w:tr>
      <w:tr w14:paraId="63A45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5" w:type="dxa"/>
            <w:vMerge w:val="continue"/>
            <w:noWrap w:val="0"/>
            <w:vAlign w:val="center"/>
          </w:tcPr>
          <w:p w14:paraId="01E9C7F6">
            <w:pPr>
              <w:spacing w:line="400" w:lineRule="exact"/>
              <w:jc w:val="center"/>
              <w:rPr>
                <w:rFonts w:hint="eastAsia" w:ascii="宋体" w:hAnsi="宋体" w:cs="宋体"/>
                <w:b/>
                <w:color w:val="auto"/>
                <w:sz w:val="24"/>
                <w:szCs w:val="24"/>
                <w:highlight w:val="none"/>
              </w:rPr>
            </w:pPr>
          </w:p>
        </w:tc>
        <w:tc>
          <w:tcPr>
            <w:tcW w:w="1702" w:type="dxa"/>
            <w:gridSpan w:val="2"/>
            <w:tcBorders>
              <w:top w:val="single" w:color="auto" w:sz="4" w:space="0"/>
              <w:right w:val="single" w:color="auto" w:sz="4" w:space="0"/>
            </w:tcBorders>
            <w:noWrap w:val="0"/>
            <w:vAlign w:val="center"/>
          </w:tcPr>
          <w:p w14:paraId="10A81BD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培训主办</w:t>
            </w:r>
          </w:p>
          <w:p w14:paraId="706C337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6723" w:type="dxa"/>
            <w:gridSpan w:val="13"/>
            <w:tcBorders>
              <w:top w:val="single" w:color="auto" w:sz="4" w:space="0"/>
              <w:left w:val="single" w:color="auto" w:sz="4" w:space="0"/>
            </w:tcBorders>
            <w:noWrap w:val="0"/>
            <w:vAlign w:val="center"/>
          </w:tcPr>
          <w:p w14:paraId="346D89E8">
            <w:pPr>
              <w:spacing w:line="400" w:lineRule="exact"/>
              <w:jc w:val="center"/>
              <w:rPr>
                <w:rFonts w:hint="eastAsia" w:ascii="宋体" w:hAnsi="宋体" w:cs="宋体"/>
                <w:color w:val="auto"/>
                <w:sz w:val="24"/>
                <w:szCs w:val="24"/>
                <w:highlight w:val="none"/>
              </w:rPr>
            </w:pPr>
          </w:p>
        </w:tc>
      </w:tr>
      <w:tr w14:paraId="7DE3B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80" w:type="dxa"/>
            <w:gridSpan w:val="16"/>
            <w:shd w:val="solid" w:color="BFBFBF" w:fill="BFBFBF"/>
            <w:noWrap w:val="0"/>
            <w:vAlign w:val="center"/>
          </w:tcPr>
          <w:p w14:paraId="6815891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委托存档单位数据类</w:t>
            </w:r>
          </w:p>
        </w:tc>
      </w:tr>
      <w:tr w14:paraId="1456C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08FE463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w:t>
            </w:r>
          </w:p>
          <w:p w14:paraId="2C6DAAC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2015" w:type="dxa"/>
            <w:gridSpan w:val="4"/>
            <w:noWrap w:val="0"/>
            <w:vAlign w:val="center"/>
          </w:tcPr>
          <w:p w14:paraId="18E6BAE3">
            <w:pPr>
              <w:spacing w:line="400" w:lineRule="exact"/>
              <w:jc w:val="center"/>
              <w:rPr>
                <w:rFonts w:hint="eastAsia" w:ascii="宋体" w:hAnsi="宋体" w:cs="宋体"/>
                <w:color w:val="auto"/>
                <w:sz w:val="24"/>
                <w:szCs w:val="24"/>
                <w:highlight w:val="none"/>
              </w:rPr>
            </w:pPr>
          </w:p>
        </w:tc>
        <w:tc>
          <w:tcPr>
            <w:tcW w:w="1903" w:type="dxa"/>
            <w:gridSpan w:val="3"/>
            <w:noWrap w:val="0"/>
            <w:vAlign w:val="center"/>
          </w:tcPr>
          <w:p w14:paraId="7851FB0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委托存档单位统一社会信用代码</w:t>
            </w:r>
          </w:p>
        </w:tc>
        <w:tc>
          <w:tcPr>
            <w:tcW w:w="1223" w:type="dxa"/>
            <w:gridSpan w:val="3"/>
            <w:noWrap w:val="0"/>
            <w:vAlign w:val="center"/>
          </w:tcPr>
          <w:p w14:paraId="44501023">
            <w:pPr>
              <w:spacing w:line="400" w:lineRule="exact"/>
              <w:jc w:val="center"/>
              <w:rPr>
                <w:rFonts w:hint="eastAsia" w:ascii="宋体" w:hAnsi="宋体" w:cs="宋体"/>
                <w:color w:val="auto"/>
                <w:sz w:val="24"/>
                <w:szCs w:val="24"/>
                <w:highlight w:val="none"/>
              </w:rPr>
            </w:pPr>
          </w:p>
        </w:tc>
        <w:tc>
          <w:tcPr>
            <w:tcW w:w="1359" w:type="dxa"/>
            <w:gridSpan w:val="2"/>
            <w:noWrap w:val="0"/>
            <w:vAlign w:val="center"/>
          </w:tcPr>
          <w:p w14:paraId="1C4B07B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    单位编号</w:t>
            </w:r>
          </w:p>
        </w:tc>
        <w:tc>
          <w:tcPr>
            <w:tcW w:w="1101" w:type="dxa"/>
            <w:gridSpan w:val="2"/>
            <w:noWrap w:val="0"/>
            <w:vAlign w:val="center"/>
          </w:tcPr>
          <w:p w14:paraId="11DB4C72">
            <w:pPr>
              <w:spacing w:line="400" w:lineRule="exact"/>
              <w:jc w:val="center"/>
              <w:rPr>
                <w:rFonts w:hint="eastAsia" w:ascii="宋体" w:hAnsi="宋体" w:cs="宋体"/>
                <w:color w:val="auto"/>
                <w:sz w:val="24"/>
                <w:szCs w:val="24"/>
                <w:highlight w:val="none"/>
              </w:rPr>
            </w:pPr>
          </w:p>
        </w:tc>
      </w:tr>
      <w:tr w14:paraId="2CD1C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5CAE223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w:t>
            </w:r>
          </w:p>
          <w:p w14:paraId="4A49D55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机构类型</w:t>
            </w:r>
          </w:p>
        </w:tc>
        <w:tc>
          <w:tcPr>
            <w:tcW w:w="2015" w:type="dxa"/>
            <w:gridSpan w:val="4"/>
            <w:noWrap w:val="0"/>
            <w:vAlign w:val="center"/>
          </w:tcPr>
          <w:p w14:paraId="6365B6AA">
            <w:pPr>
              <w:spacing w:line="400" w:lineRule="exact"/>
              <w:jc w:val="center"/>
              <w:rPr>
                <w:rFonts w:hint="eastAsia" w:ascii="宋体" w:hAnsi="宋体" w:cs="宋体"/>
                <w:color w:val="auto"/>
                <w:sz w:val="24"/>
                <w:szCs w:val="24"/>
                <w:highlight w:val="none"/>
              </w:rPr>
            </w:pPr>
          </w:p>
        </w:tc>
        <w:tc>
          <w:tcPr>
            <w:tcW w:w="1903" w:type="dxa"/>
            <w:gridSpan w:val="3"/>
            <w:noWrap w:val="0"/>
            <w:vAlign w:val="center"/>
          </w:tcPr>
          <w:p w14:paraId="4D334C3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w:t>
            </w:r>
          </w:p>
          <w:p w14:paraId="05FCDE1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所属行业</w:t>
            </w:r>
          </w:p>
        </w:tc>
        <w:tc>
          <w:tcPr>
            <w:tcW w:w="3683" w:type="dxa"/>
            <w:gridSpan w:val="7"/>
            <w:noWrap w:val="0"/>
            <w:vAlign w:val="center"/>
          </w:tcPr>
          <w:p w14:paraId="10B3CE13">
            <w:pPr>
              <w:spacing w:line="400" w:lineRule="exact"/>
              <w:jc w:val="center"/>
              <w:rPr>
                <w:rFonts w:hint="eastAsia" w:ascii="宋体" w:hAnsi="宋体" w:cs="宋体"/>
                <w:color w:val="auto"/>
                <w:sz w:val="24"/>
                <w:szCs w:val="24"/>
                <w:highlight w:val="none"/>
              </w:rPr>
            </w:pPr>
          </w:p>
        </w:tc>
      </w:tr>
      <w:tr w14:paraId="5860D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114B89E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委托存档单位</w:t>
            </w:r>
          </w:p>
          <w:p w14:paraId="2C6F1D0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经济类型</w:t>
            </w:r>
          </w:p>
        </w:tc>
        <w:tc>
          <w:tcPr>
            <w:tcW w:w="2015" w:type="dxa"/>
            <w:gridSpan w:val="4"/>
            <w:noWrap w:val="0"/>
            <w:vAlign w:val="center"/>
          </w:tcPr>
          <w:p w14:paraId="068640D1">
            <w:pPr>
              <w:spacing w:line="400" w:lineRule="exact"/>
              <w:jc w:val="center"/>
              <w:rPr>
                <w:rFonts w:hint="eastAsia" w:ascii="宋体" w:hAnsi="宋体" w:cs="宋体"/>
                <w:color w:val="auto"/>
                <w:sz w:val="24"/>
                <w:szCs w:val="24"/>
                <w:highlight w:val="none"/>
              </w:rPr>
            </w:pPr>
          </w:p>
        </w:tc>
        <w:tc>
          <w:tcPr>
            <w:tcW w:w="1903" w:type="dxa"/>
            <w:gridSpan w:val="3"/>
            <w:noWrap w:val="0"/>
            <w:vAlign w:val="center"/>
          </w:tcPr>
          <w:p w14:paraId="562480E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委托存档单位  </w:t>
            </w:r>
          </w:p>
          <w:p w14:paraId="09BF32F5">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行政区划</w:t>
            </w:r>
          </w:p>
        </w:tc>
        <w:tc>
          <w:tcPr>
            <w:tcW w:w="3683" w:type="dxa"/>
            <w:gridSpan w:val="7"/>
            <w:noWrap w:val="0"/>
            <w:vAlign w:val="center"/>
          </w:tcPr>
          <w:p w14:paraId="632E8534">
            <w:pPr>
              <w:spacing w:line="400" w:lineRule="exact"/>
              <w:jc w:val="center"/>
              <w:rPr>
                <w:rFonts w:hint="eastAsia" w:ascii="宋体" w:hAnsi="宋体" w:cs="宋体"/>
                <w:color w:val="auto"/>
                <w:sz w:val="24"/>
                <w:szCs w:val="24"/>
                <w:highlight w:val="none"/>
              </w:rPr>
            </w:pPr>
          </w:p>
        </w:tc>
      </w:tr>
      <w:tr w14:paraId="002A4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80" w:type="dxa"/>
            <w:gridSpan w:val="16"/>
            <w:shd w:val="solid" w:color="BFBFBF" w:fill="BFBFBF"/>
            <w:noWrap w:val="0"/>
            <w:vAlign w:val="center"/>
          </w:tcPr>
          <w:p w14:paraId="477A3F19">
            <w:pPr>
              <w:spacing w:line="400" w:lineRule="exact"/>
              <w:jc w:val="center"/>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档案接转数据</w:t>
            </w:r>
          </w:p>
        </w:tc>
      </w:tr>
      <w:tr w14:paraId="4F3A3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61C6899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存档编号**</w:t>
            </w:r>
          </w:p>
        </w:tc>
        <w:tc>
          <w:tcPr>
            <w:tcW w:w="2862" w:type="dxa"/>
            <w:gridSpan w:val="5"/>
            <w:noWrap w:val="0"/>
            <w:vAlign w:val="center"/>
          </w:tcPr>
          <w:p w14:paraId="0AE10E65">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60B268C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索引号</w:t>
            </w:r>
          </w:p>
        </w:tc>
        <w:tc>
          <w:tcPr>
            <w:tcW w:w="3276" w:type="dxa"/>
            <w:gridSpan w:val="6"/>
            <w:noWrap w:val="0"/>
            <w:vAlign w:val="center"/>
          </w:tcPr>
          <w:p w14:paraId="68A0BE13">
            <w:pPr>
              <w:spacing w:line="400" w:lineRule="exact"/>
              <w:jc w:val="center"/>
              <w:rPr>
                <w:rFonts w:hint="eastAsia" w:ascii="宋体" w:hAnsi="宋体" w:cs="宋体"/>
                <w:color w:val="auto"/>
                <w:sz w:val="24"/>
                <w:szCs w:val="24"/>
                <w:highlight w:val="none"/>
              </w:rPr>
            </w:pPr>
          </w:p>
        </w:tc>
      </w:tr>
      <w:tr w14:paraId="585CB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4C759C2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存档状态**</w:t>
            </w:r>
          </w:p>
        </w:tc>
        <w:tc>
          <w:tcPr>
            <w:tcW w:w="2862" w:type="dxa"/>
            <w:gridSpan w:val="5"/>
            <w:noWrap w:val="0"/>
            <w:vAlign w:val="center"/>
          </w:tcPr>
          <w:p w14:paraId="1A39D2BF">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0DBC5A4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存档性质**</w:t>
            </w:r>
          </w:p>
        </w:tc>
        <w:tc>
          <w:tcPr>
            <w:tcW w:w="3276" w:type="dxa"/>
            <w:gridSpan w:val="6"/>
            <w:noWrap w:val="0"/>
            <w:vAlign w:val="center"/>
          </w:tcPr>
          <w:p w14:paraId="087A8C06">
            <w:pPr>
              <w:spacing w:line="400" w:lineRule="exact"/>
              <w:jc w:val="center"/>
              <w:rPr>
                <w:rFonts w:hint="eastAsia" w:ascii="宋体" w:hAnsi="宋体" w:cs="宋体"/>
                <w:color w:val="auto"/>
                <w:sz w:val="24"/>
                <w:szCs w:val="24"/>
                <w:highlight w:val="none"/>
              </w:rPr>
            </w:pPr>
          </w:p>
        </w:tc>
      </w:tr>
      <w:tr w14:paraId="5685A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0FC86F6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现档案管理</w:t>
            </w:r>
          </w:p>
          <w:p w14:paraId="44C0D8E7">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机构名称**</w:t>
            </w:r>
          </w:p>
        </w:tc>
        <w:tc>
          <w:tcPr>
            <w:tcW w:w="7601" w:type="dxa"/>
            <w:gridSpan w:val="14"/>
            <w:noWrap w:val="0"/>
            <w:vAlign w:val="center"/>
          </w:tcPr>
          <w:p w14:paraId="01A593D3">
            <w:pPr>
              <w:spacing w:line="400" w:lineRule="exact"/>
              <w:jc w:val="center"/>
              <w:rPr>
                <w:rFonts w:hint="eastAsia" w:ascii="宋体" w:hAnsi="宋体" w:cs="宋体"/>
                <w:color w:val="auto"/>
                <w:sz w:val="24"/>
                <w:szCs w:val="24"/>
                <w:highlight w:val="none"/>
              </w:rPr>
            </w:pPr>
          </w:p>
        </w:tc>
      </w:tr>
      <w:tr w14:paraId="6E3BE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700B200C">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转入日期**</w:t>
            </w:r>
          </w:p>
        </w:tc>
        <w:tc>
          <w:tcPr>
            <w:tcW w:w="2862" w:type="dxa"/>
            <w:gridSpan w:val="5"/>
            <w:noWrap w:val="0"/>
            <w:vAlign w:val="center"/>
          </w:tcPr>
          <w:p w14:paraId="78839C58">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50E1778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转入原因**</w:t>
            </w:r>
          </w:p>
        </w:tc>
        <w:tc>
          <w:tcPr>
            <w:tcW w:w="3276" w:type="dxa"/>
            <w:gridSpan w:val="6"/>
            <w:noWrap w:val="0"/>
            <w:vAlign w:val="center"/>
          </w:tcPr>
          <w:p w14:paraId="222E15B7">
            <w:pPr>
              <w:spacing w:line="400" w:lineRule="exact"/>
              <w:jc w:val="center"/>
              <w:rPr>
                <w:rFonts w:hint="eastAsia" w:ascii="宋体" w:hAnsi="宋体" w:cs="宋体"/>
                <w:color w:val="auto"/>
                <w:sz w:val="24"/>
                <w:szCs w:val="24"/>
                <w:highlight w:val="none"/>
              </w:rPr>
            </w:pPr>
          </w:p>
        </w:tc>
      </w:tr>
      <w:tr w14:paraId="1658D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024725ED">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原存档单位</w:t>
            </w:r>
          </w:p>
          <w:p w14:paraId="22C6CE32">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名称**</w:t>
            </w:r>
          </w:p>
        </w:tc>
        <w:tc>
          <w:tcPr>
            <w:tcW w:w="2862" w:type="dxa"/>
            <w:gridSpan w:val="5"/>
            <w:noWrap w:val="0"/>
            <w:vAlign w:val="center"/>
          </w:tcPr>
          <w:p w14:paraId="3636118C">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34BB793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原存档单位行政区划</w:t>
            </w:r>
          </w:p>
        </w:tc>
        <w:tc>
          <w:tcPr>
            <w:tcW w:w="3276" w:type="dxa"/>
            <w:gridSpan w:val="6"/>
            <w:noWrap w:val="0"/>
            <w:vAlign w:val="center"/>
          </w:tcPr>
          <w:p w14:paraId="54CF599B">
            <w:pPr>
              <w:spacing w:line="400" w:lineRule="exact"/>
              <w:jc w:val="center"/>
              <w:rPr>
                <w:rFonts w:hint="eastAsia" w:ascii="宋体" w:hAnsi="宋体" w:cs="宋体"/>
                <w:color w:val="auto"/>
                <w:sz w:val="24"/>
                <w:szCs w:val="24"/>
                <w:highlight w:val="none"/>
              </w:rPr>
            </w:pPr>
          </w:p>
        </w:tc>
      </w:tr>
      <w:tr w14:paraId="3E66D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6D9D259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转出日期**</w:t>
            </w:r>
          </w:p>
        </w:tc>
        <w:tc>
          <w:tcPr>
            <w:tcW w:w="2862" w:type="dxa"/>
            <w:gridSpan w:val="5"/>
            <w:noWrap w:val="0"/>
            <w:vAlign w:val="center"/>
          </w:tcPr>
          <w:p w14:paraId="73F725C6">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146A858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转出原因**</w:t>
            </w:r>
          </w:p>
        </w:tc>
        <w:tc>
          <w:tcPr>
            <w:tcW w:w="3276" w:type="dxa"/>
            <w:gridSpan w:val="6"/>
            <w:noWrap w:val="0"/>
            <w:vAlign w:val="center"/>
          </w:tcPr>
          <w:p w14:paraId="6BD09C8C">
            <w:pPr>
              <w:spacing w:line="400" w:lineRule="exact"/>
              <w:jc w:val="center"/>
              <w:rPr>
                <w:rFonts w:hint="eastAsia" w:ascii="宋体" w:hAnsi="宋体" w:cs="宋体"/>
                <w:color w:val="auto"/>
                <w:sz w:val="24"/>
                <w:szCs w:val="24"/>
                <w:highlight w:val="none"/>
              </w:rPr>
            </w:pPr>
          </w:p>
        </w:tc>
      </w:tr>
      <w:tr w14:paraId="30FB8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9" w:type="dxa"/>
            <w:gridSpan w:val="2"/>
            <w:noWrap w:val="0"/>
            <w:vAlign w:val="center"/>
          </w:tcPr>
          <w:p w14:paraId="3ACDD066">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转往单位名称**</w:t>
            </w:r>
          </w:p>
        </w:tc>
        <w:tc>
          <w:tcPr>
            <w:tcW w:w="2862" w:type="dxa"/>
            <w:gridSpan w:val="5"/>
            <w:noWrap w:val="0"/>
            <w:vAlign w:val="center"/>
          </w:tcPr>
          <w:p w14:paraId="260D65F3">
            <w:pPr>
              <w:spacing w:line="400" w:lineRule="exact"/>
              <w:jc w:val="center"/>
              <w:rPr>
                <w:rFonts w:hint="eastAsia" w:ascii="宋体" w:hAnsi="宋体" w:cs="宋体"/>
                <w:color w:val="auto"/>
                <w:sz w:val="24"/>
                <w:szCs w:val="24"/>
                <w:highlight w:val="none"/>
              </w:rPr>
            </w:pPr>
          </w:p>
        </w:tc>
        <w:tc>
          <w:tcPr>
            <w:tcW w:w="1463" w:type="dxa"/>
            <w:gridSpan w:val="3"/>
            <w:noWrap w:val="0"/>
            <w:vAlign w:val="center"/>
          </w:tcPr>
          <w:p w14:paraId="592BF2F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转往单位</w:t>
            </w:r>
          </w:p>
          <w:p w14:paraId="5D19B71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行政区划</w:t>
            </w:r>
          </w:p>
        </w:tc>
        <w:tc>
          <w:tcPr>
            <w:tcW w:w="3276" w:type="dxa"/>
            <w:gridSpan w:val="6"/>
            <w:noWrap w:val="0"/>
            <w:vAlign w:val="center"/>
          </w:tcPr>
          <w:p w14:paraId="47D1562E">
            <w:pPr>
              <w:spacing w:line="400" w:lineRule="exact"/>
              <w:jc w:val="center"/>
              <w:rPr>
                <w:rFonts w:hint="eastAsia" w:ascii="宋体" w:hAnsi="宋体" w:cs="宋体"/>
                <w:color w:val="auto"/>
                <w:sz w:val="24"/>
                <w:szCs w:val="24"/>
                <w:highlight w:val="none"/>
              </w:rPr>
            </w:pPr>
          </w:p>
        </w:tc>
      </w:tr>
    </w:tbl>
    <w:p w14:paraId="5972FA7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注：带**为必填项</w:t>
      </w:r>
    </w:p>
    <w:p w14:paraId="3A5E642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2.3档案扫描</w:t>
      </w:r>
    </w:p>
    <w:p w14:paraId="455A3F8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根据档案幅面的大小和纸张状况，选择相应扫描仪，扫描时应在《纸质档案扫描工作流程表》上认真登记，具体要求如下：</w:t>
      </w:r>
    </w:p>
    <w:p w14:paraId="24F823A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采用最为可靠的扫描设备和扫描方式完成档案扫描，避免纸张褶皱、撕裂、破损等情况的发生，要求不损坏档案原件，不漏扫；对于原件纸质较差的档案，不允许采用连续进纸方式扫描，只能单张扫描；A3幅面及以下的档案资料需采用一次性成图的方式进行处理，大于A3幅面的资料原则上采用大幅面工程扫描仪一次性成图。</w:t>
      </w:r>
    </w:p>
    <w:p w14:paraId="5FC8F28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（2）如遇到档案纸张质地脆弱，不适合反复拆装订的档案，应采用不拆卷扫描设备和方式进行扫描。</w:t>
      </w:r>
    </w:p>
    <w:p w14:paraId="009B0C6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（3）扫描色彩模式：使用彩色模式进行扫描，如非采购人要求，不能更改为灰度或黑白模式；</w:t>
      </w:r>
    </w:p>
    <w:p w14:paraId="0A4EC3F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（4）兼顾影像质量和节约存储容量原则，采用300dpi的分辨率进行扫描，扫描形成文件以JPEG格式存储，对于案卷中出现字迹较小、较密集等情况以及照片档案，可将分辨率提高到600dpi。</w:t>
      </w:r>
    </w:p>
    <w:p w14:paraId="103596D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（5）扫描时应根据纸张质地、底色、薄厚程度等因素，设置最佳的扫描明暗度、对比度设置，保证原始扫描图像效果与原件吻合。</w:t>
      </w:r>
    </w:p>
    <w:p w14:paraId="5573E2C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（6）档案扫描时尽量确保纸张扫描时放置端正，从而保证原始扫描图像无歪斜，减少后期处理可能带来的图像失真。</w:t>
      </w:r>
    </w:p>
    <w:p w14:paraId="58124F9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（7）图像歪斜采用数字化影像处理软件自动或手动纠偏功能，调整图像角度。图像偏斜度不超过1度，对方向不正确的图像应进行旋转还原，以符合阅读习惯。</w:t>
      </w:r>
    </w:p>
    <w:p w14:paraId="57D3019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（8）对于档案中的“筒子页”，应当平摊开后进行整幅扫描。折子页、图纸、表格等应整页扫描。超长页进行分页扫描后，要拼接成一页。</w:t>
      </w:r>
    </w:p>
    <w:p w14:paraId="1A90959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（9）将扫描页数和拆卷人所注明的页数核对，确保不能重扫、漏扫、多扫，同时要确保案卷的清晰度。</w:t>
      </w:r>
    </w:p>
    <w:p w14:paraId="43CC8C9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（10）区分同一档案中的扫描件和非扫描件，其中普发性文件区分的原则是：无关的、重份的文件要剔除，有正式件的文件可以不扫描原稿，附着在文件上的处理单等小纸片需扫描。</w:t>
      </w:r>
    </w:p>
    <w:p w14:paraId="2A65CE9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（11）用每份文件对应的唯一档号来命名其扫描形成的影像文件。多页文件可采用该档号建立相应文件夹，按页码顺序对影像文件命名。</w:t>
      </w:r>
    </w:p>
    <w:p w14:paraId="6F17493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（12）对影响图像质量的杂质如黑点、黑线、黑框及黑边等应进行去污处理。</w:t>
      </w:r>
    </w:p>
    <w:p w14:paraId="68B2ADE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（13）对案卷中未编码的页面进行合页处理，确保扫描好的影像页数与原案卷页数一致。</w:t>
      </w:r>
    </w:p>
    <w:p w14:paraId="781755B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（14）扫描图像的排列顺序与档案原件不一致时，应及时进行调整。</w:t>
      </w:r>
    </w:p>
    <w:p w14:paraId="687CB40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15）扫描的页面内容居中显示，不可出现明显偏左或偏右的现象，正文内容、页眉、页脚、反面印章、附件、手写注释等信息完整；图像内容与原件完全对应，不得出现内容残缺或将旁边页面信息扫入本页的现象。</w:t>
      </w:r>
    </w:p>
    <w:p w14:paraId="70FE324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（16）采用彩色模式扫描的图像应进行裁边处理，去除多余的白边，以缩小图像文件的容量。</w:t>
      </w:r>
    </w:p>
    <w:p w14:paraId="03BCD19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（17）扫描图像字迹清晰、颜色恰当，不宜过浅和过深，并且不得出现字迹笔画残缺或字迹笔画叠合而影响阅读的情况，即使档案原件存在绣斑变质、颜色过浅或深浅不一致，也应保证扫描图像可读。</w:t>
      </w:r>
    </w:p>
    <w:p w14:paraId="4ED01A0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（18）纸质档案数字化标准</w:t>
      </w:r>
    </w:p>
    <w:p w14:paraId="6E5D113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《纸质档案数字化规范》DA/T 31—2017</w:t>
      </w:r>
    </w:p>
    <w:p w14:paraId="16A13DC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2.4图像处理</w:t>
      </w:r>
    </w:p>
    <w:p w14:paraId="18CB7AC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应对扫描后的图像进行逐页纠偏、图像拼接、裁黑边、排序等处理，但不得改变图像内容，包括原档案中的污损，确保扫描件页面内容居中，档案原貌信息完整、不变、可读；扫描图像字迹清晰、颜色恰当，亮度及明暗对比尽可能接近原件，图像整体倾斜小于1度；对大幅面档案进行分区扫描后形成的多幅图像拼接完整、正确、无拼接痕迹；所有数字化产品封装前后同件档案页面大小一致，前后两份纸张规格相同的文件页面大小一致；文件排列顺序正确。</w:t>
      </w:r>
    </w:p>
    <w:p w14:paraId="27C5710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2.5数据挂接</w:t>
      </w:r>
    </w:p>
    <w:p w14:paraId="4377C6F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扫描图像文件应与目录数据进行挂接，在相关表单上填写数据挂接后的页码、页数，核对每一份文件挂接后的页码、页数与档案整理、扫描时填写的页码、页数是否一致，不一致时应注明具体原因和处理办法。</w:t>
      </w:r>
    </w:p>
    <w:p w14:paraId="6E46B5D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对于图像要求可以进行全属性定义，包括每一张影像的图像属性（格式、大小等）及索引属性（档号、件号、页号、所在件顺序号等）。</w:t>
      </w:r>
    </w:p>
    <w:p w14:paraId="62E2D64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2.6条目质检</w:t>
      </w:r>
    </w:p>
    <w:p w14:paraId="0FB63D9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系统自动把条目与图片进行关联后，逐一检查条目与影像是否对应匹配，退回不合格的条目或影像，退回不匹配的条目与影像。</w:t>
      </w:r>
    </w:p>
    <w:p w14:paraId="31ED7BD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对匹配完成后的影像数据进行最终成果转换。进行数据挂接。</w:t>
      </w:r>
    </w:p>
    <w:p w14:paraId="4CD3A1B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2.7文件存储和备份</w:t>
      </w:r>
    </w:p>
    <w:p w14:paraId="558FF37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以目录数据库内该文件档号对扫描图像进行命名。扫描后的电子文件需要提交品牌移动存储器做备份之用，备份制作两份，包含档案目录和全文数据。</w:t>
      </w:r>
    </w:p>
    <w:p w14:paraId="69950A0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2.8质量保障要求</w:t>
      </w:r>
    </w:p>
    <w:p w14:paraId="4D5ADD0C">
      <w:pPr>
        <w:pageBreakBefore w:val="0"/>
        <w:widowControl w:val="0"/>
        <w:numPr>
          <w:ilvl w:val="0"/>
          <w:numId w:val="2"/>
        </w:numPr>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质量自检：供应商必须建立严格的质量检测体系，对加工的数据进行自检，自检达到采购人数据质量标准后，才能提交进行验收。</w:t>
      </w:r>
    </w:p>
    <w:p w14:paraId="6CA7098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过程管理：供应商在进行档案前处理、数字化加工各环节均应进行详细的登记，建立工作日志并及时整理、汇总，装订成册，在数字化工作完成的同时建立起完整、规范的记录。完工验收时应提交工作日志、产品质量检验、验收记录等资料。</w:t>
      </w:r>
    </w:p>
    <w:p w14:paraId="73F8265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2.9数据验收</w:t>
      </w:r>
    </w:p>
    <w:p w14:paraId="3DB16C3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（1）数据抽检</w:t>
      </w:r>
    </w:p>
    <w:p w14:paraId="5FF4D64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以抽检的方式检查已完成数字化转换的所有数据，包括目录数据库、图像文件及数据挂接的总体质量。</w:t>
      </w:r>
    </w:p>
    <w:p w14:paraId="21742BB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数据验收时抽检的比率不得低于20%。</w:t>
      </w:r>
    </w:p>
    <w:p w14:paraId="3E59871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供应商必须建立严格的质量检测体系，对整理录入的数据进行抽检，抽检达到档案行业质量标准的，才能递交采购人审核、验收。</w:t>
      </w:r>
    </w:p>
    <w:p w14:paraId="13CA058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（2）验收指标</w:t>
      </w:r>
    </w:p>
    <w:p w14:paraId="181A85F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目录数据库与图像文件挂接错误，卷内目录不完全对应，或目录数据库、图像文件之一出现不完整、不清晰、有错误等质量问题时，抽检标记为"不合格"。</w:t>
      </w:r>
    </w:p>
    <w:p w14:paraId="012137A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档案装订：检查所有档案的装订还原情况，差错率≤1‰。</w:t>
      </w:r>
    </w:p>
    <w:p w14:paraId="19855A9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扫描图像：漏扫率≤0.2‰。</w:t>
      </w:r>
    </w:p>
    <w:p w14:paraId="14B5D2D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图像质量：图像质量情况完好率99%。</w:t>
      </w:r>
    </w:p>
    <w:p w14:paraId="7854E5F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格式封装：图像文件的命名差错率≤1‰。</w:t>
      </w:r>
    </w:p>
    <w:p w14:paraId="79AD56A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目录核对、完善：以案卷为单位，关键字段（材料名称、日期、页数等）正确率100%，其余字段录入错误率≤5‰。</w:t>
      </w:r>
    </w:p>
    <w:p w14:paraId="788B9AE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条目与图像挂接：挂接正确率100%。</w:t>
      </w:r>
    </w:p>
    <w:p w14:paraId="227C115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档案原始材料：100%不缺失。</w:t>
      </w:r>
    </w:p>
    <w:p w14:paraId="1BA34E4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（3）验收审核</w:t>
      </w:r>
    </w:p>
    <w:p w14:paraId="5E500FB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采购人对供应商数据每月进行验收。数据验收以抽检方式进行。供应商提交验收的数据不论涉及验收标准哪一条，不合格的，全部发回供应商全面自检。</w:t>
      </w:r>
    </w:p>
    <w:p w14:paraId="22CCB8B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采购人在验收中检出的错误，供应商及时、无偿予以纠正并再提交采购人验收。</w:t>
      </w:r>
    </w:p>
    <w:p w14:paraId="024047F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全部档案验收“通过”的结论，必须经相关流程签字完毕后方有效。</w:t>
      </w:r>
    </w:p>
    <w:p w14:paraId="7D2EE29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如全部档案完成后不能通过验收的，视为供应商违约。</w:t>
      </w:r>
    </w:p>
    <w:p w14:paraId="6971275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数据验收合格后，供应商须使用移动硬盘备份一式三份提交给采购人，著录条目和全文数据向重庆市社会人才人事档案数字化管理系统及数据库迁移。</w:t>
      </w:r>
    </w:p>
    <w:p w14:paraId="573D90F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3.档案维护工作要求</w:t>
      </w:r>
    </w:p>
    <w:p w14:paraId="6967FB8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档案维护主要工作环节包括但不限于档案交接、档案整理、档案扫描、图像处理、图像挂接、质检、验收和归档等，具体要求如下：</w:t>
      </w:r>
    </w:p>
    <w:p w14:paraId="6DD71F0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3.1档案交接</w:t>
      </w:r>
    </w:p>
    <w:p w14:paraId="1DAC946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供应商应指定专人负责补充材料交接，交接时配合采购人完成补充材料份数、页数清点，并填写档案交接清单，确保档案安全、万无一失。</w:t>
      </w:r>
    </w:p>
    <w:p w14:paraId="23DBD8A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3.2整理编页</w:t>
      </w:r>
    </w:p>
    <w:p w14:paraId="3490151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按照档案整理排序规则，将补充材料做分类排序。通过档案管理系统提供的档案电子目录，找到档案正本中各类材料文件顺序和编码，续编补充材料页码。</w:t>
      </w:r>
    </w:p>
    <w:p w14:paraId="2569549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3.3信息完善</w:t>
      </w:r>
    </w:p>
    <w:p w14:paraId="52DE5F3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根据补充材料的分类，在档案管理系统中分别完善档案基础信息、专业技术职务与职业（工种）资格数据、教育经历、培训经历、工作经历、奖惩信息、语言能力信息、家庭关系和存</w:t>
      </w:r>
      <w:r>
        <w:rPr>
          <w:rFonts w:hint="eastAsia" w:ascii="宋体" w:hAnsi="宋体" w:cs="宋体"/>
          <w:color w:val="auto"/>
          <w:kern w:val="0"/>
          <w:sz w:val="24"/>
          <w:szCs w:val="24"/>
          <w:highlight w:val="none"/>
          <w:lang w:eastAsia="zh-CN"/>
        </w:rPr>
        <w:t>档</w:t>
      </w:r>
      <w:r>
        <w:rPr>
          <w:rFonts w:hint="eastAsia" w:ascii="宋体" w:hAnsi="宋体" w:cs="宋体"/>
          <w:color w:val="auto"/>
          <w:kern w:val="0"/>
          <w:sz w:val="24"/>
          <w:szCs w:val="24"/>
          <w:highlight w:val="none"/>
        </w:rPr>
        <w:t>单位等信息。</w:t>
      </w:r>
    </w:p>
    <w:p w14:paraId="7E554F6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3.4档案扫描</w:t>
      </w:r>
    </w:p>
    <w:p w14:paraId="3984DF0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扫描电脑中新建文件夹，文件夹以档案号命名，再在该文件夹中建立以材料编码命名的子文件夹，补充材料有多少件材料就建多少个子文件夹。将整理好的纸质档案，按顺序扫描到对应子文件夹中。或者使用专用的影像采集控件，实现档案影像图片的扫描，扫描分辨率为300dpi。</w:t>
      </w:r>
    </w:p>
    <w:p w14:paraId="3C2FE0C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3.5图像处理</w:t>
      </w:r>
    </w:p>
    <w:p w14:paraId="309A0A6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对扫描后的图像进行逐页纠偏、图像拼接、裁黑边、排序等处理，但不得改变图像内容。</w:t>
      </w:r>
    </w:p>
    <w:p w14:paraId="5D10B6C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3.6图像挂接</w:t>
      </w:r>
    </w:p>
    <w:p w14:paraId="3AAB812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使用系统软件，维护电子目录，根据补充材料不同类别，在原大类目录后面新增一条该类别的目录，新建的目录与扫描时建立的子文件夹一一对应，并将处理后的图片分别上传到</w:t>
      </w:r>
      <w:r>
        <w:rPr>
          <w:rFonts w:hint="eastAsia" w:ascii="宋体" w:hAnsi="宋体" w:cs="宋体"/>
          <w:color w:val="auto"/>
          <w:kern w:val="0"/>
          <w:sz w:val="24"/>
          <w:szCs w:val="24"/>
          <w:highlight w:val="none"/>
          <w:lang w:eastAsia="zh-CN"/>
        </w:rPr>
        <w:t>对应</w:t>
      </w:r>
      <w:r>
        <w:rPr>
          <w:rFonts w:hint="eastAsia" w:ascii="宋体" w:hAnsi="宋体" w:cs="宋体"/>
          <w:color w:val="auto"/>
          <w:kern w:val="0"/>
          <w:sz w:val="24"/>
          <w:szCs w:val="24"/>
          <w:highlight w:val="none"/>
        </w:rPr>
        <w:t>的条目中。</w:t>
      </w:r>
    </w:p>
    <w:p w14:paraId="6FBFE7A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3.7质检</w:t>
      </w:r>
    </w:p>
    <w:p w14:paraId="5C64406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系统自动把条目与图片进行关联后，供应商安排人员逐一检查条目与影像是否对应匹配，退回不合格的条目或影像，退回不匹配的条目与影像。每份补充材料的质检需要在内部质检单中体现出来。</w:t>
      </w:r>
    </w:p>
    <w:p w14:paraId="1CA2570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3.8验收归档</w:t>
      </w:r>
    </w:p>
    <w:p w14:paraId="64C6E4D7">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验收具体要求参见新增人事档案数字化验收要求。</w:t>
      </w:r>
    </w:p>
    <w:p w14:paraId="7AB953A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3.9纸质材料维护</w:t>
      </w:r>
    </w:p>
    <w:p w14:paraId="1F42C79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供应商拿到有补充材料的档案正本，拆开档案正本，将补充材料纸质件按编码顺序归整到正本对应大类中，重新打印纸质目录，核验无误后打孔装订并装盒。并交采购人验收。</w:t>
      </w:r>
    </w:p>
    <w:p w14:paraId="60CFF1F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4.质检工作内容和要求</w:t>
      </w:r>
    </w:p>
    <w:p w14:paraId="4B93ADF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供应商应制定严格的项目质量控制及质量保证措施，保证档案的整理和数字化工作符合质量要求，高质量地完成工作任务。对档案数字化过程中整理拆分、数字化加工、整理装卷等环节进行同步抽检，以减少事后</w:t>
      </w:r>
      <w:r>
        <w:rPr>
          <w:rFonts w:hint="eastAsia" w:ascii="宋体" w:hAnsi="宋体" w:cs="宋体"/>
          <w:color w:val="auto"/>
          <w:kern w:val="0"/>
          <w:sz w:val="24"/>
          <w:szCs w:val="24"/>
          <w:highlight w:val="none"/>
          <w:lang w:eastAsia="zh-CN"/>
        </w:rPr>
        <w:t>返工</w:t>
      </w:r>
      <w:r>
        <w:rPr>
          <w:rFonts w:hint="eastAsia" w:ascii="宋体" w:hAnsi="宋体" w:cs="宋体"/>
          <w:color w:val="auto"/>
          <w:kern w:val="0"/>
          <w:sz w:val="24"/>
          <w:szCs w:val="24"/>
          <w:highlight w:val="none"/>
        </w:rPr>
        <w:t>概率，避免再次处理带来的纸质档案材料损坏。</w:t>
      </w:r>
    </w:p>
    <w:p w14:paraId="3AEAE3E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4.1整理质量检查</w:t>
      </w:r>
    </w:p>
    <w:p w14:paraId="5378DF3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档案整理环节，制定档案整理质量检查机制，以抽检的方式为主进行检查，抽检比例由采购人确定。如发现档案材料分类错误、排序错误、编目错误、装订不符要求、卷间文件颠倒、档案标识打印与粘贴错误等差错，及时进行重新整理。</w:t>
      </w:r>
    </w:p>
    <w:p w14:paraId="08AB712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4.2数字化加工质量检查</w:t>
      </w:r>
    </w:p>
    <w:p w14:paraId="67C87CC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档案数字化加工环节，制定相应的质量检查机制，对采集的信息数据、目录与图像等导入完毕的数据进行检查，抽检对象和比例同整理质量检查的抽检对象和比例相同。检查电子影像的页数与原始案卷是否一致，检查索引人员录入的“卷面信息”、“卷内目录”、“备考表”是否正确，检查电子影像是否清晰，检查目录与对应影像的挂接是否正确。对发现的错误进行及时修正。</w:t>
      </w:r>
    </w:p>
    <w:p w14:paraId="442C7B6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4.3实物质检</w:t>
      </w:r>
    </w:p>
    <w:p w14:paraId="37F2D0A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在进行档案重新整理装卷时，必须逐卷（页）清点，对档案数量、文件状况等进行检查。如发现丢失、损坏、损毁档案或档案材料内容；私自圈划、涂改、抽取或伪造档案材料；擅自处理或销毁档案材料等严重违规行为的，该批次将全部发回供应商全部质检。对已发现的问题，供应商须及时采取补救措施，并承担相应责任。</w:t>
      </w:r>
    </w:p>
    <w:p w14:paraId="15DECFC9">
      <w:pPr>
        <w:bidi w:val="0"/>
        <w:rPr>
          <w:rFonts w:hint="eastAsia"/>
          <w:b/>
          <w:bCs/>
          <w:color w:val="auto"/>
          <w:sz w:val="24"/>
          <w:szCs w:val="18"/>
          <w:highlight w:val="none"/>
        </w:rPr>
      </w:pPr>
      <w:bookmarkStart w:id="43" w:name="_Toc9290"/>
      <w:bookmarkStart w:id="44" w:name="_Toc23190"/>
      <w:bookmarkStart w:id="45" w:name="_Toc12796"/>
      <w:r>
        <w:rPr>
          <w:rFonts w:hint="eastAsia"/>
          <w:b/>
          <w:bCs/>
          <w:color w:val="auto"/>
          <w:sz w:val="24"/>
          <w:szCs w:val="18"/>
          <w:highlight w:val="none"/>
          <w:lang w:eastAsia="zh-CN"/>
        </w:rPr>
        <w:t>（</w:t>
      </w:r>
      <w:r>
        <w:rPr>
          <w:rFonts w:hint="eastAsia"/>
          <w:b/>
          <w:bCs/>
          <w:color w:val="auto"/>
          <w:sz w:val="24"/>
          <w:szCs w:val="18"/>
          <w:highlight w:val="none"/>
        </w:rPr>
        <w:t>四</w:t>
      </w:r>
      <w:r>
        <w:rPr>
          <w:rFonts w:hint="eastAsia"/>
          <w:b/>
          <w:bCs/>
          <w:color w:val="auto"/>
          <w:sz w:val="24"/>
          <w:szCs w:val="18"/>
          <w:highlight w:val="none"/>
          <w:lang w:eastAsia="zh-CN"/>
        </w:rPr>
        <w:t>）</w:t>
      </w:r>
      <w:r>
        <w:rPr>
          <w:rFonts w:hint="eastAsia"/>
          <w:b/>
          <w:bCs/>
          <w:color w:val="auto"/>
          <w:sz w:val="24"/>
          <w:szCs w:val="18"/>
          <w:highlight w:val="none"/>
        </w:rPr>
        <w:t>、项目管理要求</w:t>
      </w:r>
      <w:bookmarkEnd w:id="43"/>
      <w:bookmarkEnd w:id="44"/>
      <w:bookmarkEnd w:id="45"/>
      <w:r>
        <w:rPr>
          <w:rFonts w:hint="eastAsia"/>
          <w:b/>
          <w:bCs/>
          <w:color w:val="auto"/>
          <w:sz w:val="24"/>
          <w:szCs w:val="18"/>
          <w:highlight w:val="none"/>
        </w:rPr>
        <w:t xml:space="preserve"> </w:t>
      </w:r>
    </w:p>
    <w:p w14:paraId="647ABCDF">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 xml:space="preserve">安全保密要求 </w:t>
      </w:r>
    </w:p>
    <w:p w14:paraId="7DA8A6E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应严格遵守国家相关的保密法律规定，遵守《保密协议》和采购人的有关规定（另行签订）。档案扫描工作需在采购人指定的场所内进行，确保场所正常秩序和安全。不得遗失、损坏档案，如有违法行为或违反相关规定，将依法或依据约定追究相应的责任。供应商应做到：</w:t>
      </w:r>
    </w:p>
    <w:p w14:paraId="308723E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成交后，供应商参与本项目的所有工作人员需提供本人身份证明和公安部门提供的无犯罪记录证明，需通过采购人的审核，必要时提供政审材料，并登记备案。成交供应商需向采购人提供以下资料：《数字化处理工作人员登记表》（每人一式一份），工作人员身份证复印件（每人一式一份），工作人员档案岗位资格证书复印件（部分人员一式一份）。</w:t>
      </w:r>
    </w:p>
    <w:p w14:paraId="7E709BA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2项目实施过程中，供应商如需更换、增加工作人员，需提前一周向采购人提供拟加入人员的资料，取得采购人签字同意后方可更换或者增加人手。对离开本项目实施岗位的人员，供应商需在人员离岗后一周内，在采购人保存的相关工作人员的备案表格中标注离岗日期。</w:t>
      </w:r>
    </w:p>
    <w:p w14:paraId="4623AF2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3供应商参与本项目的工作人员需接受采购人组织的档案保密安全教育，并自觉学习保密知识，严格遵守《档案法》、《保密法》及其他有关法规，严防泄密现象发生。</w:t>
      </w:r>
    </w:p>
    <w:p w14:paraId="344099F8">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4除钥匙及眼镜等外，供应商工作人员未经采购人同意，不得将手袋、提包、钱包、磁盘（含U盘、软盘、硬盘等）、刻录光盘、手机、MP3、MP4、报刊、纸张及其他随身物品带入数字化处理工作室，也不得将工作室的物品擅自带出工作室外。</w:t>
      </w:r>
    </w:p>
    <w:p w14:paraId="45FCCD8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5未经采购人批准，供应商不得以任何形式复制离线的档案图像和档案目录数据。</w:t>
      </w:r>
    </w:p>
    <w:p w14:paraId="49728DB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6供应商工作人员剔除同一案卷内的重复文件需经采购人有关人员审核同意方可实施。</w:t>
      </w:r>
    </w:p>
    <w:p w14:paraId="79C8F73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7数字化处理工作室内的废纸需集中放置，供应商每星期清理废纸不能超过一次，清理时要有专人对纸张进行仔细检查，确保其中没有夹带任何档案文件后才能清出工作室。</w:t>
      </w:r>
    </w:p>
    <w:p w14:paraId="5C17C0D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8供应商工作人员不得以任何方式非法向外人泄露档案所涉及的国家秘密，否则按国家有关规定处理，情节严重的要承担相应的法律责任。</w:t>
      </w:r>
    </w:p>
    <w:p w14:paraId="5748B78B">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9供应商的响应文件中针对上述第1</w:t>
      </w: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至</w:t>
      </w: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rPr>
        <w:t>8项内容作出书面保密承诺，提供书面承诺函（格式自拟）并加盖供应商公章。</w:t>
      </w:r>
    </w:p>
    <w:p w14:paraId="17FAE2D9">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 xml:space="preserve">项目实施要求 </w:t>
      </w:r>
    </w:p>
    <w:p w14:paraId="1AC65769">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1供应商自备不低于以下要求的扫描设备及管理措施</w:t>
      </w:r>
    </w:p>
    <w:p w14:paraId="573DB4C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采购人在每个作业点提供不低于2条生产线的场地供供应商使用，供应商应根据场地、工期等严格开展工作，具体要求如下：</w:t>
      </w:r>
    </w:p>
    <w:p w14:paraId="213452DA">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1.1电脑： 19寸以上纯平液晶显示器，4G以上内存，500G硬盘，windows操作系统；基本办公软件（如Office 2007，ACDSEE）；扫描仪图像采集软件（配扫描仪的电脑需独立显卡）；处于保密考虑，电脑硬盘所有权属采购人所有。</w:t>
      </w:r>
    </w:p>
    <w:p w14:paraId="5BD50E01">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1.2扫描仪：提供满足工作量需要的扫描仪（需配备解决特殊档案扫描的设备,扫描速度不低于80PPM/110IPM）。</w:t>
      </w:r>
    </w:p>
    <w:p w14:paraId="6345B2E0">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1.3供应商在服务期间提供一套网络版档案数字化加工系统，能够实现与采购人档案管理系统对接，将扫描后的档案信息及图像批量导入到系统中。</w:t>
      </w:r>
    </w:p>
    <w:p w14:paraId="544156C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2对供应商在本项目中投入的扫描系统要求</w:t>
      </w:r>
    </w:p>
    <w:p w14:paraId="4ACD8CE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2.1供应商需要按照采购人的需求进行相应的档案扫描处理和查询软件安装调试。在合同完成时向采购人移交软件系统安装文件及其相关系统使用的文档资料。</w:t>
      </w:r>
    </w:p>
    <w:p w14:paraId="491A040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2.2档案扫描处理软件具有扫描，图像处理（去黑边，自动或手动纠斜，缩放，左右90°旋转，自动确定或更正图像标准幅面等），图像属性处理，索引建立，数据统计（日、周、月、年的统计数据查询和打印报表，可根据需要定制统计类别），数据维护，数据导入导出（采购人业务系统）等基本功能，具有一定的灵活性和可维护性，功能能够根据采购人实际情况做适当的调整。</w:t>
      </w:r>
    </w:p>
    <w:p w14:paraId="4461D36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2.3提供方便的档案图像查阅和质量检查软件，可单独运行，也可与采购人业务系统衔接。图像查阅软件具有设置用户权限，通过目录浏览图像，图像放大、缩小、旋转、移动、增加、删除，单页或批量打印等基本功能；质量检查软件可按采购人质量要求全面检查档案图像及其所有信息，统计数量，打印相应报表等功能。</w:t>
      </w:r>
    </w:p>
    <w:p w14:paraId="35D4E16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2.4已扫描的档案影像能够根据采购人业务系统影像存储结构要求，随时在线上传（导入）到采购人业务系统的服务器；在网络故障时，可采用其它存储介质，通过人工方式离线上传到服务器。</w:t>
      </w:r>
    </w:p>
    <w:p w14:paraId="699A25E6">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2.5供应商应确保保存在服务器上的影像及其属性数据与保存在存储介质上的数据要一致，并与档案实体保持一致。</w:t>
      </w:r>
    </w:p>
    <w:p w14:paraId="053062C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3技术方案要求</w:t>
      </w:r>
    </w:p>
    <w:p w14:paraId="465165E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供应商需要制定一套完善且可行性强的项目实施技术方案。能严格按照采购人要求格式模板导出excel等格式的加工数据，以便将加工数据导入到采购人档案管理系统。</w:t>
      </w:r>
    </w:p>
    <w:p w14:paraId="2D71D0E3">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4实施人员要求</w:t>
      </w:r>
    </w:p>
    <w:p w14:paraId="66A7997D">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4.1供应商的实施团队需要有档案数字化加工项目经验。</w:t>
      </w:r>
    </w:p>
    <w:p w14:paraId="42FACF6F">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4.2供应商在项目实施过程中需要提供一支品行端正、经验丰富、人员稳定、保密意识强的团队，团队负责人应具备相应的管理能力和行业工作经验，熟悉档案信息化加工系统的操作应用，成交后需提供详细的团队名单及个人简历供采购人审核。</w:t>
      </w:r>
    </w:p>
    <w:p w14:paraId="3B1D0E03">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4.3供应商的响应文件中针对上述第</w:t>
      </w: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4.1至</w:t>
      </w:r>
      <w:r>
        <w:rPr>
          <w:rFonts w:hint="eastAsia" w:ascii="宋体" w:hAnsi="宋体" w:cs="宋体"/>
          <w:b/>
          <w:bCs/>
          <w:color w:val="auto"/>
          <w:kern w:val="0"/>
          <w:sz w:val="24"/>
          <w:szCs w:val="24"/>
          <w:highlight w:val="none"/>
          <w:lang w:val="en-US" w:eastAsia="zh-CN"/>
        </w:rPr>
        <w:t>2.</w:t>
      </w:r>
      <w:r>
        <w:rPr>
          <w:rFonts w:hint="eastAsia" w:ascii="宋体" w:hAnsi="宋体" w:cs="宋体"/>
          <w:b/>
          <w:bCs/>
          <w:color w:val="auto"/>
          <w:kern w:val="0"/>
          <w:sz w:val="24"/>
          <w:szCs w:val="24"/>
          <w:highlight w:val="none"/>
        </w:rPr>
        <w:t>4.2项内容作出书面承诺，提供书面承诺函（格式自拟）并加盖供应商公章。</w:t>
      </w:r>
    </w:p>
    <w:p w14:paraId="6896C438">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3.</w:t>
      </w:r>
      <w:r>
        <w:rPr>
          <w:rFonts w:hint="eastAsia" w:ascii="宋体" w:hAnsi="宋体" w:cs="宋体"/>
          <w:b/>
          <w:bCs/>
          <w:color w:val="auto"/>
          <w:kern w:val="0"/>
          <w:sz w:val="24"/>
          <w:szCs w:val="24"/>
          <w:highlight w:val="none"/>
        </w:rPr>
        <w:t xml:space="preserve">组织管理要求 </w:t>
      </w:r>
    </w:p>
    <w:p w14:paraId="4BA60294">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1组织实施要求：供应商应结合采购人的档案管理制度制定一套符合完成本项目工作实际的档案整理、电子化等的管理规定及操作流程，以确保档案装订规范、电子化质量达到品质要求、档案材料安全和项目任务的完成。</w:t>
      </w:r>
    </w:p>
    <w:p w14:paraId="53BBE68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2项目工作量要求：供应商将根据实际签约情况，承接采购人新增人事档案进行整理和数字化加工、档案维护工作。</w:t>
      </w:r>
    </w:p>
    <w:p w14:paraId="06C1730E">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3项目人员要求：</w:t>
      </w:r>
    </w:p>
    <w:p w14:paraId="2B7903FC">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3.1扫描人员：供应商需派专业数字化团队，到采购人指定工作场所扫描案卷，服务期间须保持人员数量的稳定。</w:t>
      </w:r>
    </w:p>
    <w:p w14:paraId="530B4E0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3.2岗位培训：供应商负责有计划地每季度对员工进行安全保密知识培训以及相关档案整理装订扫描业务的培训；采购人可对供应商工作人员的工作业务能力进行考核，如不合格者，成交供应商需按要求调换；</w:t>
      </w:r>
    </w:p>
    <w:p w14:paraId="2C5C394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3.3供应商应保持岗位工作人员的稳定性，不得随意调换各岗位人员，因工作任务造成调整时，须征得采购人同意。</w:t>
      </w:r>
    </w:p>
    <w:p w14:paraId="0AF32D85">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4保密要求：供应商需严格遵守《档案法》和《保密法》，与采购人签订保密协议，对在整理和数字化加工服务中涉及到的档案内容承担保密义务。</w:t>
      </w:r>
    </w:p>
    <w:p w14:paraId="7E87A740">
      <w:pPr>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4.</w:t>
      </w:r>
      <w:r>
        <w:rPr>
          <w:rFonts w:hint="eastAsia" w:ascii="宋体" w:hAnsi="宋体" w:cs="宋体"/>
          <w:b/>
          <w:bCs/>
          <w:color w:val="auto"/>
          <w:kern w:val="0"/>
          <w:sz w:val="24"/>
          <w:szCs w:val="24"/>
          <w:highlight w:val="none"/>
        </w:rPr>
        <w:t xml:space="preserve">附件、图纸及包装要求 </w:t>
      </w:r>
    </w:p>
    <w:p w14:paraId="67F7D992">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人事档案卷盒规格按照A4纸型相应调整，分为310×225×15mm、310×225×25mm和310×225×35mm三种。卷盒设3个装订立柱，装订立柱中心距左边内沿15mm，下装订立柱距卷盒底边54mm，中间装订立柱距上、下装订立柱（从装订立柱中心算起）83mm，装订立柱直径为4mm。卷盒背脊标签规格相应调整为310×25mm、310×35mm和310×45mm三种。</w:t>
      </w:r>
    </w:p>
    <w:p w14:paraId="7C56343B">
      <w:pPr>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流动人员人事档案卷盒规格和样式要求</w:t>
      </w:r>
    </w:p>
    <w:p w14:paraId="74B0DA95">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drawing>
          <wp:anchor distT="0" distB="0" distL="114300" distR="114300" simplePos="0" relativeHeight="251660288" behindDoc="0" locked="0" layoutInCell="1" allowOverlap="1">
            <wp:simplePos x="0" y="0"/>
            <wp:positionH relativeFrom="column">
              <wp:posOffset>1154430</wp:posOffset>
            </wp:positionH>
            <wp:positionV relativeFrom="paragraph">
              <wp:posOffset>181610</wp:posOffset>
            </wp:positionV>
            <wp:extent cx="3084195" cy="4486275"/>
            <wp:effectExtent l="0" t="0" r="9525" b="9525"/>
            <wp:wrapTopAndBottom/>
            <wp:docPr id="7"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图片1"/>
                    <pic:cNvPicPr>
                      <a:picLocks noChangeAspect="1"/>
                    </pic:cNvPicPr>
                  </pic:nvPicPr>
                  <pic:blipFill>
                    <a:blip r:embed="rId20"/>
                    <a:stretch>
                      <a:fillRect/>
                    </a:stretch>
                  </pic:blipFill>
                  <pic:spPr>
                    <a:xfrm>
                      <a:off x="0" y="0"/>
                      <a:ext cx="3084195" cy="4486275"/>
                    </a:xfrm>
                    <a:prstGeom prst="rect">
                      <a:avLst/>
                    </a:prstGeom>
                    <a:noFill/>
                    <a:ln>
                      <a:noFill/>
                    </a:ln>
                  </pic:spPr>
                </pic:pic>
              </a:graphicData>
            </a:graphic>
          </wp:anchor>
        </w:drawing>
      </w:r>
    </w:p>
    <w:p w14:paraId="2846D8E6">
      <w:pPr>
        <w:snapToGrid w:val="0"/>
        <w:spacing w:line="40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 xml:space="preserve">散材料袋样式要求 </w:t>
      </w:r>
    </w:p>
    <w:p w14:paraId="6AA2EA30">
      <w:pPr>
        <w:ind w:firstLine="482" w:firstLineChars="2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散材料袋 样式（材质：透明塑料）</w:t>
      </w:r>
    </w:p>
    <w:p w14:paraId="708C25AC">
      <w:pPr>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单位：mm</w:t>
      </w:r>
    </w:p>
    <w:p w14:paraId="62045B1C">
      <w:pPr>
        <w:ind w:firstLine="560" w:firstLineChars="200"/>
        <w:jc w:val="center"/>
        <w:rPr>
          <w:rFonts w:hint="eastAsia" w:ascii="宋体" w:hAnsi="宋体" w:cs="宋体"/>
          <w:color w:val="auto"/>
          <w:sz w:val="24"/>
          <w:szCs w:val="24"/>
          <w:highlight w:val="none"/>
        </w:rPr>
      </w:pPr>
      <w:r>
        <w:rPr>
          <w:rFonts w:hint="eastAsia" w:ascii="宋体" w:hAnsi="宋体" w:cs="宋体"/>
          <w:color w:val="auto"/>
          <w:highlight w:val="none"/>
        </w:rPr>
        <w:drawing>
          <wp:inline distT="0" distB="0" distL="114300" distR="114300">
            <wp:extent cx="2522855" cy="3251200"/>
            <wp:effectExtent l="0" t="0" r="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2522855" cy="3251200"/>
                    </a:xfrm>
                    <a:prstGeom prst="rect">
                      <a:avLst/>
                    </a:prstGeom>
                    <a:noFill/>
                    <a:ln>
                      <a:noFill/>
                    </a:ln>
                  </pic:spPr>
                </pic:pic>
              </a:graphicData>
            </a:graphic>
          </wp:inline>
        </w:drawing>
      </w:r>
    </w:p>
    <w:p w14:paraId="04A87F13">
      <w:pPr>
        <w:snapToGrid w:val="0"/>
        <w:spacing w:line="400" w:lineRule="exact"/>
        <w:ind w:firstLine="480" w:firstLineChars="200"/>
        <w:rPr>
          <w:rFonts w:hint="eastAsia" w:ascii="宋体" w:hAnsi="宋体" w:cs="宋体"/>
          <w:color w:val="auto"/>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参考材料袋样式要求</w:t>
      </w:r>
    </w:p>
    <w:p w14:paraId="207D640A">
      <w:pPr>
        <w:ind w:firstLine="482" w:firstLineChars="2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参考材料袋 样式（材质：透明塑料）</w:t>
      </w:r>
    </w:p>
    <w:p w14:paraId="16382F90">
      <w:pPr>
        <w:ind w:firstLine="480" w:firstLineChars="200"/>
        <w:jc w:val="center"/>
        <w:rPr>
          <w:rFonts w:hint="eastAsia" w:ascii="宋体" w:hAnsi="宋体" w:cs="宋体"/>
          <w:color w:val="auto"/>
          <w:highlight w:val="none"/>
        </w:rPr>
      </w:pPr>
      <w:r>
        <w:rPr>
          <w:rFonts w:hint="eastAsia" w:ascii="宋体" w:hAnsi="宋体" w:cs="宋体"/>
          <w:color w:val="auto"/>
          <w:sz w:val="24"/>
          <w:szCs w:val="24"/>
          <w:highlight w:val="none"/>
        </w:rPr>
        <w:t>单位：mm</w:t>
      </w:r>
    </w:p>
    <w:p w14:paraId="4E5A2DF7">
      <w:pPr>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2867025" cy="3867785"/>
            <wp:effectExtent l="0" t="0" r="1333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2867025" cy="3867785"/>
                    </a:xfrm>
                    <a:prstGeom prst="rect">
                      <a:avLst/>
                    </a:prstGeom>
                    <a:noFill/>
                    <a:ln>
                      <a:noFill/>
                    </a:ln>
                  </pic:spPr>
                </pic:pic>
              </a:graphicData>
            </a:graphic>
          </wp:inline>
        </w:drawing>
      </w:r>
    </w:p>
    <w:p w14:paraId="3C5E0600">
      <w:pPr>
        <w:snapToGrid w:val="0"/>
        <w:spacing w:line="400" w:lineRule="exact"/>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目录纸及条形码样式要求</w:t>
      </w:r>
    </w:p>
    <w:p w14:paraId="053258CF">
      <w:pPr>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3007995" cy="4013835"/>
            <wp:effectExtent l="0" t="0" r="9525" b="9525"/>
            <wp:docPr id="6" name="图片 3" descr="87109728983723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871097289837236084"/>
                    <pic:cNvPicPr>
                      <a:picLocks noChangeAspect="1"/>
                    </pic:cNvPicPr>
                  </pic:nvPicPr>
                  <pic:blipFill>
                    <a:blip r:embed="rId23"/>
                    <a:stretch>
                      <a:fillRect/>
                    </a:stretch>
                  </pic:blipFill>
                  <pic:spPr>
                    <a:xfrm>
                      <a:off x="0" y="0"/>
                      <a:ext cx="3007995" cy="4013835"/>
                    </a:xfrm>
                    <a:prstGeom prst="rect">
                      <a:avLst/>
                    </a:prstGeom>
                    <a:noFill/>
                    <a:ln>
                      <a:noFill/>
                    </a:ln>
                  </pic:spPr>
                </pic:pic>
              </a:graphicData>
            </a:graphic>
          </wp:inline>
        </w:drawing>
      </w:r>
    </w:p>
    <w:p w14:paraId="5CF3CC95">
      <w:pPr>
        <w:jc w:val="cente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6323965" cy="4732020"/>
            <wp:effectExtent l="0" t="0" r="635" b="7620"/>
            <wp:docPr id="11" name="图片 4" descr="83746746567977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837467465679772466"/>
                    <pic:cNvPicPr>
                      <a:picLocks noChangeAspect="1"/>
                    </pic:cNvPicPr>
                  </pic:nvPicPr>
                  <pic:blipFill>
                    <a:blip r:embed="rId24"/>
                    <a:stretch>
                      <a:fillRect/>
                    </a:stretch>
                  </pic:blipFill>
                  <pic:spPr>
                    <a:xfrm>
                      <a:off x="0" y="0"/>
                      <a:ext cx="6323965" cy="4732020"/>
                    </a:xfrm>
                    <a:prstGeom prst="rect">
                      <a:avLst/>
                    </a:prstGeom>
                    <a:noFill/>
                    <a:ln>
                      <a:noFill/>
                    </a:ln>
                  </pic:spPr>
                </pic:pic>
              </a:graphicData>
            </a:graphic>
          </wp:inline>
        </w:drawing>
      </w:r>
    </w:p>
    <w:p w14:paraId="2FE2E2E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抬头：方正小标宋_GBK，18#字体</w:t>
      </w:r>
    </w:p>
    <w:p w14:paraId="171ED63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条码正文的档案号：RC50000000052014Y010142030：创艺简标宋，8#字体</w:t>
      </w:r>
    </w:p>
    <w:p w14:paraId="58E99EC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表头：黑体，12#字体</w:t>
      </w:r>
    </w:p>
    <w:p w14:paraId="4B6C815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大类标题：黑体，12#字体</w:t>
      </w:r>
    </w:p>
    <w:p w14:paraId="6F7B48F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小类标题：华文楷体，12#字体</w:t>
      </w:r>
    </w:p>
    <w:p w14:paraId="313FA35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材料序号，材料形成时间，材料页数：Times New Roman，12#字体</w:t>
      </w:r>
    </w:p>
    <w:p w14:paraId="64D7BD9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材料题名：方正仿宋_GBK，12#字体 </w:t>
      </w:r>
    </w:p>
    <w:p w14:paraId="25ACBA5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每个类别（包括大小类）要在内容后面空5行。</w:t>
      </w:r>
    </w:p>
    <w:p w14:paraId="5EC31534">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lang w:val="en-US" w:eastAsia="zh-CN"/>
        </w:rPr>
        <w:t>（5）</w:t>
      </w:r>
      <w:r>
        <w:rPr>
          <w:rFonts w:hint="eastAsia" w:ascii="宋体" w:hAnsi="宋体" w:cs="宋体"/>
          <w:b/>
          <w:bCs/>
          <w:color w:val="auto"/>
          <w:kern w:val="0"/>
          <w:sz w:val="24"/>
          <w:szCs w:val="24"/>
          <w:highlight w:val="none"/>
        </w:rPr>
        <w:t>人事档案装订要求</w:t>
      </w:r>
      <w:r>
        <w:rPr>
          <w:rFonts w:hint="eastAsia" w:ascii="宋体" w:hAnsi="宋体" w:cs="宋体"/>
          <w:color w:val="auto"/>
          <w:kern w:val="0"/>
          <w:sz w:val="24"/>
          <w:szCs w:val="24"/>
          <w:highlight w:val="none"/>
        </w:rPr>
        <w:t xml:space="preserve"> </w:t>
      </w:r>
    </w:p>
    <w:p w14:paraId="037C112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人事档案材料和目录采用国际标准A4纸型（297×210mm）。材料左边应留有25mm的装订边。A4纸型的人事档案材料和目录按照靠左下对齐的方式打3孔装订，中间孔距上、下孔（从孔中心算起）83mm，下孔距材料底边54mm，孔中心距左边沿12mm，孔直径为5mm。</w:t>
      </w:r>
    </w:p>
    <w:p w14:paraId="359EAF0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p>
    <w:p w14:paraId="5ABFBEE4">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A4纸型档案材料打孔样式  单位：mm            A4纸型档案材料装订边样式  单位：mm</w:t>
      </w:r>
    </w:p>
    <w:p w14:paraId="36466F70">
      <w:pPr>
        <w:rPr>
          <w:rFonts w:hint="eastAsia" w:ascii="宋体" w:hAnsi="宋体" w:cs="宋体"/>
          <w:color w:val="auto"/>
          <w:highlight w:val="none"/>
        </w:rPr>
      </w:pPr>
      <w:r>
        <w:rPr>
          <w:rFonts w:hint="eastAsia" w:ascii="宋体" w:hAnsi="宋体" w:cs="宋体"/>
          <w:color w:val="auto"/>
          <w:highlight w:val="none"/>
        </w:rPr>
        <w:drawing>
          <wp:inline distT="0" distB="0" distL="114300" distR="114300">
            <wp:extent cx="6163945" cy="3228975"/>
            <wp:effectExtent l="0" t="0" r="0"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6163945" cy="3228975"/>
                    </a:xfrm>
                    <a:prstGeom prst="rect">
                      <a:avLst/>
                    </a:prstGeom>
                    <a:noFill/>
                    <a:ln>
                      <a:noFill/>
                    </a:ln>
                  </pic:spPr>
                </pic:pic>
              </a:graphicData>
            </a:graphic>
          </wp:inline>
        </w:drawing>
      </w:r>
    </w:p>
    <w:p w14:paraId="520DE7A6">
      <w:pPr>
        <w:rPr>
          <w:rFonts w:hint="eastAsia" w:ascii="宋体" w:hAnsi="宋体" w:cs="宋体"/>
          <w:color w:val="auto"/>
          <w:highlight w:val="none"/>
        </w:rPr>
      </w:pPr>
    </w:p>
    <w:p w14:paraId="3DBD12DB">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（6）</w:t>
      </w:r>
      <w:r>
        <w:rPr>
          <w:rFonts w:hint="eastAsia" w:ascii="宋体" w:hAnsi="宋体" w:cs="宋体"/>
          <w:b/>
          <w:bCs/>
          <w:color w:val="auto"/>
          <w:kern w:val="0"/>
          <w:sz w:val="24"/>
          <w:szCs w:val="24"/>
          <w:highlight w:val="none"/>
        </w:rPr>
        <w:t xml:space="preserve">背脊条样式要求 </w:t>
      </w:r>
    </w:p>
    <w:p w14:paraId="56D38701">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对装订成卷的档案应进行认真细致的检查，验收合格后入库保存，并打印卷脊，卷脊视档案盒厚度而定，格式如下（参考GB/T 31599-2015）：</w:t>
      </w:r>
    </w:p>
    <w:p w14:paraId="00FBAB58">
      <w:pPr>
        <w:rPr>
          <w:rFonts w:hint="eastAsia" w:hAnsi="宋体" w:cs="宋体"/>
          <w:b/>
          <w:color w:val="auto"/>
          <w:sz w:val="36"/>
          <w:szCs w:val="36"/>
          <w:highlight w:val="none"/>
        </w:rPr>
      </w:pPr>
      <w:r>
        <w:rPr>
          <w:rFonts w:hint="eastAsia" w:ascii="宋体" w:hAnsi="宋体" w:cs="宋体"/>
          <w:color w:val="auto"/>
          <w:highlight w:val="none"/>
        </w:rPr>
        <w:drawing>
          <wp:anchor distT="0" distB="0" distL="114300" distR="114300" simplePos="0" relativeHeight="251662336" behindDoc="0" locked="0" layoutInCell="1" allowOverlap="1">
            <wp:simplePos x="0" y="0"/>
            <wp:positionH relativeFrom="column">
              <wp:posOffset>1381760</wp:posOffset>
            </wp:positionH>
            <wp:positionV relativeFrom="paragraph">
              <wp:posOffset>20955</wp:posOffset>
            </wp:positionV>
            <wp:extent cx="3308350" cy="4558665"/>
            <wp:effectExtent l="0" t="0" r="13970" b="13335"/>
            <wp:wrapNone/>
            <wp:docPr id="13" name="图片 4" descr="E:\Wonders\5.人社档案\NewSvn\1.开发库\2.工程文档\1.软件需求\2.重庆市社会人才人事档案标准规范\背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E:\Wonders\5.人社档案\NewSvn\1.开发库\2.工程文档\1.软件需求\2.重庆市社会人才人事档案标准规范\背脊-1.jpg"/>
                    <pic:cNvPicPr>
                      <a:picLocks noChangeAspect="1"/>
                    </pic:cNvPicPr>
                  </pic:nvPicPr>
                  <pic:blipFill>
                    <a:blip r:embed="rId26"/>
                    <a:stretch>
                      <a:fillRect/>
                    </a:stretch>
                  </pic:blipFill>
                  <pic:spPr>
                    <a:xfrm>
                      <a:off x="0" y="0"/>
                      <a:ext cx="3308350" cy="4558665"/>
                    </a:xfrm>
                    <a:prstGeom prst="rect">
                      <a:avLst/>
                    </a:prstGeom>
                    <a:noFill/>
                    <a:ln>
                      <a:noFill/>
                    </a:ln>
                  </pic:spPr>
                </pic:pic>
              </a:graphicData>
            </a:graphic>
          </wp:anchor>
        </w:drawing>
      </w:r>
      <w:r>
        <w:rPr>
          <w:rFonts w:hint="eastAsia" w:hAnsi="宋体" w:cs="宋体"/>
          <w:b/>
          <w:color w:val="auto"/>
          <w:sz w:val="36"/>
          <w:szCs w:val="36"/>
          <w:highlight w:val="none"/>
        </w:rPr>
        <w:br w:type="page"/>
      </w:r>
    </w:p>
    <w:p w14:paraId="17047BBE">
      <w:pPr>
        <w:pStyle w:val="2"/>
        <w:spacing w:line="360" w:lineRule="auto"/>
        <w:jc w:val="center"/>
        <w:rPr>
          <w:rFonts w:hAnsi="宋体" w:cs="宋体"/>
          <w:b/>
          <w:color w:val="auto"/>
          <w:sz w:val="36"/>
          <w:szCs w:val="36"/>
          <w:highlight w:val="none"/>
        </w:rPr>
      </w:pPr>
      <w:bookmarkStart w:id="46" w:name="_Toc24787"/>
      <w:r>
        <w:rPr>
          <w:rFonts w:hint="eastAsia" w:hAnsi="宋体" w:cs="宋体"/>
          <w:b/>
          <w:color w:val="auto"/>
          <w:sz w:val="36"/>
          <w:szCs w:val="36"/>
          <w:highlight w:val="none"/>
        </w:rPr>
        <w:t>第三篇  采购商务需求</w:t>
      </w:r>
      <w:bookmarkEnd w:id="26"/>
      <w:bookmarkEnd w:id="46"/>
    </w:p>
    <w:p w14:paraId="14563790">
      <w:pPr>
        <w:adjustRightInd w:val="0"/>
        <w:snapToGrid w:val="0"/>
        <w:spacing w:line="360" w:lineRule="auto"/>
        <w:rPr>
          <w:rFonts w:ascii="宋体" w:hAnsi="宋体" w:cs="宋体"/>
          <w:bCs/>
          <w:color w:val="auto"/>
          <w:sz w:val="24"/>
          <w:szCs w:val="24"/>
          <w:highlight w:val="none"/>
        </w:rPr>
      </w:pPr>
      <w:bookmarkStart w:id="47" w:name="_Toc1254"/>
      <w:bookmarkStart w:id="48" w:name="_Toc22125"/>
      <w:bookmarkStart w:id="49" w:name="_Toc9413"/>
      <w:bookmarkStart w:id="50" w:name="_Toc12935"/>
      <w:bookmarkStart w:id="51" w:name="_Toc65660342"/>
      <w:bookmarkStart w:id="52" w:name="_Toc156"/>
      <w:bookmarkStart w:id="53" w:name="_Toc13555"/>
      <w:bookmarkStart w:id="54" w:name="_Toc17750"/>
      <w:bookmarkStart w:id="55" w:name="_Toc106034782"/>
      <w:r>
        <w:rPr>
          <w:rFonts w:hint="eastAsia" w:ascii="宋体" w:hAnsi="宋体" w:cs="宋体"/>
          <w:bCs/>
          <w:color w:val="auto"/>
          <w:sz w:val="24"/>
          <w:szCs w:val="24"/>
          <w:highlight w:val="none"/>
        </w:rPr>
        <w:t>“※”标注的商务需求为符合性审查中的实质性要求，响应文件若不满足按无效响应处理。</w:t>
      </w:r>
      <w:bookmarkEnd w:id="47"/>
      <w:bookmarkEnd w:id="48"/>
      <w:bookmarkEnd w:id="49"/>
    </w:p>
    <w:bookmarkEnd w:id="50"/>
    <w:bookmarkEnd w:id="51"/>
    <w:bookmarkEnd w:id="52"/>
    <w:bookmarkEnd w:id="53"/>
    <w:bookmarkEnd w:id="54"/>
    <w:bookmarkEnd w:id="55"/>
    <w:p w14:paraId="3CBF91CE">
      <w:pPr>
        <w:pStyle w:val="3"/>
        <w:spacing w:before="0" w:after="0" w:line="360" w:lineRule="auto"/>
        <w:rPr>
          <w:rFonts w:ascii="宋体" w:hAnsi="宋体" w:eastAsia="宋体" w:cs="宋体"/>
          <w:color w:val="auto"/>
          <w:sz w:val="24"/>
          <w:szCs w:val="24"/>
          <w:highlight w:val="none"/>
        </w:rPr>
      </w:pPr>
      <w:bookmarkStart w:id="56" w:name="_Toc24368"/>
      <w:bookmarkStart w:id="57" w:name="_Toc1607"/>
      <w:bookmarkStart w:id="58" w:name="_Toc14088"/>
      <w:bookmarkStart w:id="59" w:name="_Toc13883"/>
      <w:bookmarkStart w:id="60" w:name="_Toc19916"/>
      <w:bookmarkStart w:id="61" w:name="_Toc535311836"/>
      <w:bookmarkStart w:id="62" w:name="_Toc344475122"/>
      <w:bookmarkStart w:id="63" w:name="_Toc19519"/>
      <w:bookmarkStart w:id="64" w:name="_Toc6368"/>
      <w:bookmarkStart w:id="65" w:name="_Toc19338"/>
      <w:bookmarkStart w:id="66" w:name="_Toc24751"/>
      <w:bookmarkStart w:id="67" w:name="_Toc65660346"/>
      <w:bookmarkStart w:id="68" w:name="_Toc106034786"/>
      <w:bookmarkStart w:id="69" w:name="_Toc7228"/>
      <w:bookmarkStart w:id="70" w:name="_Toc3786"/>
      <w:r>
        <w:rPr>
          <w:rFonts w:hint="eastAsia" w:ascii="宋体" w:hAnsi="宋体" w:eastAsia="宋体" w:cs="宋体"/>
          <w:color w:val="auto"/>
          <w:sz w:val="24"/>
          <w:szCs w:val="24"/>
          <w:highlight w:val="none"/>
        </w:rPr>
        <w:t>※一、服务期、地点及验收方式</w:t>
      </w:r>
      <w:bookmarkEnd w:id="56"/>
      <w:bookmarkEnd w:id="57"/>
      <w:bookmarkEnd w:id="58"/>
    </w:p>
    <w:p w14:paraId="1C217CDC">
      <w:pPr>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71" w:name="_Toc344475121"/>
      <w:bookmarkStart w:id="72" w:name="_Toc32585"/>
      <w:bookmarkStart w:id="73" w:name="_Toc11557"/>
      <w:bookmarkStart w:id="74" w:name="_Toc27682"/>
      <w:bookmarkStart w:id="75" w:name="_Toc535311834"/>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一</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服务期：2025年</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月至2026年</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月30日前完成，并通过采购人验收。</w:t>
      </w:r>
    </w:p>
    <w:p w14:paraId="7B00E922">
      <w:pPr>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（二）服务地点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采购人指定地点</w:t>
      </w:r>
      <w:r>
        <w:rPr>
          <w:rFonts w:hint="eastAsia" w:ascii="宋体" w:hAnsi="宋体" w:eastAsia="宋体" w:cs="宋体"/>
          <w:color w:val="auto"/>
          <w:sz w:val="24"/>
          <w:szCs w:val="24"/>
          <w:highlight w:val="none"/>
          <w:lang w:eastAsia="zh-CN"/>
        </w:rPr>
        <w:t>。</w:t>
      </w:r>
    </w:p>
    <w:p w14:paraId="655509AE">
      <w:pPr>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（三）验收方式：</w:t>
      </w:r>
    </w:p>
    <w:p w14:paraId="51387F85">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1.验收要求 </w:t>
      </w:r>
    </w:p>
    <w:p w14:paraId="73BC3248">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供应商挂接完毕的档案实体、目录信息、著录信息与图像质量进行验收。验收以全检或抽检方式进行，抽检比率不低于10%；如果验收合格率低于95%，采购人有权终止合同，采购人根据实际加工合格的卷数付清相应款项，且供应商需向采购人赔偿合同总金额的5%作补偿。</w:t>
      </w:r>
    </w:p>
    <w:p w14:paraId="719DEF59">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2.质量监督</w:t>
      </w:r>
    </w:p>
    <w:p w14:paraId="58D41FF8">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2.1漏扫、错扫、扫描质量明显粗糙模糊与原图差别大，按照每页10元予以处罚并由供应商改正。</w:t>
      </w:r>
    </w:p>
    <w:p w14:paraId="4DB0D708">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2.2著录、编目错误的，每错一处罚10元，供应商须予以改正。</w:t>
      </w:r>
    </w:p>
    <w:p w14:paraId="571B432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3.违约责任</w:t>
      </w:r>
    </w:p>
    <w:p w14:paraId="46C4A7D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档案遗失、污损、泄密、错漏赔偿要求：</w:t>
      </w:r>
    </w:p>
    <w:p w14:paraId="0F030C43">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3.1供应商造成档案遗失的，按3万元/卷赔偿；</w:t>
      </w:r>
    </w:p>
    <w:p w14:paraId="47A8B3A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3.2供应商不遵守工作规则导致档案污损的，先进行修复，并按500元/页赔偿；无法修复的，按1万元/卷赔偿，每卷赔偿金额最多不超过3万元；</w:t>
      </w:r>
    </w:p>
    <w:p w14:paraId="02EB7CC4">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3.3供应商如因工作失误造成档案泄密，按2万元/宗进行赔偿；</w:t>
      </w:r>
    </w:p>
    <w:p w14:paraId="13E717CE">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3.4供应商未完成工作量按每宗成交价乘以未完成宗数进行赔偿；</w:t>
      </w:r>
    </w:p>
    <w:p w14:paraId="596959F2">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3.5供应商终止合同未提前3个月通知采购人，按合同总价的10%进行赔偿；</w:t>
      </w:r>
    </w:p>
    <w:p w14:paraId="3EB6369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3.6供应商在数字化处理、装订等工作中，因工作失误造成错漏，根据不同程度进行赔偿：</w:t>
      </w:r>
    </w:p>
    <w:p w14:paraId="1C77F887">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3.7供应商在数字化处理、装订等工作中触犯法律、法规的，采购人有权追究其法律责任。</w:t>
      </w:r>
    </w:p>
    <w:p w14:paraId="06DEF419">
      <w:pPr>
        <w:pStyle w:val="3"/>
        <w:pageBreakBefore w:val="0"/>
        <w:widowControl w:val="0"/>
        <w:kinsoku/>
        <w:wordWrap/>
        <w:overflowPunct/>
        <w:topLinePunct w:val="0"/>
        <w:autoSpaceDE/>
        <w:autoSpaceDN/>
        <w:bidi w:val="0"/>
        <w:spacing w:before="0" w:after="0" w:line="360" w:lineRule="auto"/>
        <w:textAlignment w:val="auto"/>
        <w:rPr>
          <w:rFonts w:ascii="宋体" w:hAnsi="宋体" w:eastAsia="宋体" w:cs="宋体"/>
          <w:color w:val="auto"/>
          <w:sz w:val="24"/>
          <w:szCs w:val="24"/>
          <w:highlight w:val="none"/>
        </w:rPr>
      </w:pPr>
      <w:bookmarkStart w:id="76" w:name="_Toc24078"/>
      <w:bookmarkStart w:id="77" w:name="_Toc27233"/>
      <w:r>
        <w:rPr>
          <w:rFonts w:hint="eastAsia" w:ascii="宋体" w:hAnsi="宋体" w:eastAsia="宋体" w:cs="宋体"/>
          <w:color w:val="auto"/>
          <w:sz w:val="24"/>
          <w:szCs w:val="24"/>
          <w:highlight w:val="none"/>
        </w:rPr>
        <w:t>※二、</w:t>
      </w:r>
      <w:bookmarkEnd w:id="71"/>
      <w:r>
        <w:rPr>
          <w:rFonts w:hint="eastAsia" w:ascii="宋体" w:hAnsi="宋体" w:eastAsia="宋体" w:cs="宋体"/>
          <w:color w:val="auto"/>
          <w:sz w:val="24"/>
          <w:szCs w:val="24"/>
          <w:highlight w:val="none"/>
        </w:rPr>
        <w:t>报价要求</w:t>
      </w:r>
      <w:bookmarkEnd w:id="72"/>
      <w:bookmarkEnd w:id="73"/>
      <w:bookmarkEnd w:id="74"/>
      <w:bookmarkEnd w:id="75"/>
      <w:bookmarkEnd w:id="76"/>
      <w:bookmarkEnd w:id="77"/>
    </w:p>
    <w:p w14:paraId="00E153EA">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cs="宋体"/>
          <w:color w:val="auto"/>
          <w:sz w:val="24"/>
          <w:szCs w:val="24"/>
          <w:highlight w:val="none"/>
        </w:rPr>
      </w:pPr>
      <w:bookmarkStart w:id="78" w:name="_Toc28226"/>
      <w:bookmarkStart w:id="79" w:name="_Toc5250"/>
      <w:bookmarkStart w:id="80" w:name="_Toc47018352"/>
      <w:r>
        <w:rPr>
          <w:rFonts w:hint="eastAsia" w:ascii="宋体" w:hAnsi="宋体" w:cs="宋体"/>
          <w:color w:val="auto"/>
          <w:sz w:val="24"/>
          <w:szCs w:val="24"/>
          <w:highlight w:val="none"/>
        </w:rPr>
        <w:t>（一）</w:t>
      </w:r>
      <w:r>
        <w:rPr>
          <w:rFonts w:hint="eastAsia" w:ascii="宋体" w:hAnsi="宋体" w:eastAsia="宋体" w:cs="宋体"/>
          <w:color w:val="auto"/>
          <w:sz w:val="24"/>
          <w:szCs w:val="24"/>
          <w:highlight w:val="none"/>
        </w:rPr>
        <w:t>本项目报价须为人民币报价</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rPr>
        <w:t>供应商的报价应为完成本次项目全部工作所发生的所有费用，并承担一切风险责任。供应商应结合项目特点，市场行情及自身的专业技术，管理水平，竞争能力，确定最终单卷报价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因成交供应商自身原因造成漏报、少报皆由其自行承担责任，采购人不再补偿。</w:t>
      </w:r>
    </w:p>
    <w:p w14:paraId="65ABBC21">
      <w:pPr>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二</w:t>
      </w:r>
      <w:r>
        <w:rPr>
          <w:rFonts w:hint="eastAsia" w:ascii="宋体" w:hAnsi="宋体" w:cs="宋体"/>
          <w:color w:val="auto"/>
          <w:sz w:val="24"/>
          <w:szCs w:val="24"/>
          <w:highlight w:val="none"/>
        </w:rPr>
        <w:t>）单卷（或页）报价不得超过最高限价单价，否则为无效响应。</w:t>
      </w:r>
    </w:p>
    <w:bookmarkEnd w:id="78"/>
    <w:bookmarkEnd w:id="79"/>
    <w:bookmarkEnd w:id="80"/>
    <w:p w14:paraId="170A6713">
      <w:pPr>
        <w:pStyle w:val="3"/>
        <w:pageBreakBefore w:val="0"/>
        <w:widowControl w:val="0"/>
        <w:kinsoku/>
        <w:wordWrap/>
        <w:overflowPunct/>
        <w:topLinePunct w:val="0"/>
        <w:autoSpaceDE/>
        <w:autoSpaceDN/>
        <w:bidi w:val="0"/>
        <w:adjustRightInd/>
        <w:spacing w:before="0" w:after="0" w:line="360" w:lineRule="auto"/>
        <w:textAlignment w:val="auto"/>
        <w:rPr>
          <w:rFonts w:hint="eastAsia" w:ascii="宋体" w:hAnsi="宋体" w:eastAsia="宋体" w:cs="宋体"/>
          <w:color w:val="auto"/>
          <w:sz w:val="24"/>
          <w:szCs w:val="24"/>
          <w:highlight w:val="none"/>
        </w:rPr>
      </w:pPr>
      <w:bookmarkStart w:id="81" w:name="_Toc2334"/>
      <w:r>
        <w:rPr>
          <w:rFonts w:hint="eastAsia" w:ascii="宋体" w:hAnsi="宋体" w:eastAsia="宋体" w:cs="宋体"/>
          <w:color w:val="auto"/>
          <w:sz w:val="24"/>
          <w:szCs w:val="24"/>
          <w:highlight w:val="none"/>
        </w:rPr>
        <w:t>※三、</w:t>
      </w:r>
      <w:bookmarkEnd w:id="59"/>
      <w:bookmarkEnd w:id="60"/>
      <w:bookmarkEnd w:id="61"/>
      <w:bookmarkEnd w:id="62"/>
      <w:bookmarkEnd w:id="63"/>
      <w:bookmarkEnd w:id="64"/>
      <w:bookmarkEnd w:id="65"/>
      <w:bookmarkStart w:id="82" w:name="_Toc11964"/>
      <w:bookmarkStart w:id="83" w:name="_Toc3901"/>
      <w:bookmarkStart w:id="84" w:name="_Toc11778"/>
      <w:r>
        <w:rPr>
          <w:rFonts w:hint="eastAsia" w:ascii="宋体" w:hAnsi="宋体" w:eastAsia="宋体" w:cs="宋体"/>
          <w:b/>
          <w:color w:val="auto"/>
          <w:sz w:val="24"/>
          <w:szCs w:val="24"/>
          <w:highlight w:val="none"/>
        </w:rPr>
        <w:t>质量保证及售后服务</w:t>
      </w:r>
      <w:bookmarkEnd w:id="81"/>
    </w:p>
    <w:p w14:paraId="3869D98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bookmarkStart w:id="85" w:name="_Toc26274"/>
      <w:r>
        <w:rPr>
          <w:rFonts w:hint="eastAsia" w:ascii="宋体" w:hAnsi="宋体" w:eastAsia="宋体" w:cs="宋体"/>
          <w:color w:val="auto"/>
          <w:kern w:val="0"/>
          <w:sz w:val="24"/>
          <w:szCs w:val="24"/>
          <w:highlight w:val="none"/>
          <w:lang w:val="en-US" w:eastAsia="zh-CN"/>
        </w:rPr>
        <w:t>（一）应遵守的标准规范</w:t>
      </w:r>
    </w:p>
    <w:p w14:paraId="0402C2C5">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1.《中华人民共和国档案法》</w:t>
      </w:r>
    </w:p>
    <w:p w14:paraId="539AC9C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2.《中华人民共和国保守国家秘密法》</w:t>
      </w:r>
    </w:p>
    <w:p w14:paraId="13A9867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3.《干部人事档案工作条例》</w:t>
      </w:r>
    </w:p>
    <w:p w14:paraId="3786F14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4.《干部档案整理工作细则》</w:t>
      </w:r>
    </w:p>
    <w:p w14:paraId="39BDCC22">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5.《干部人事档案材料收集归档案规定》</w:t>
      </w:r>
    </w:p>
    <w:p w14:paraId="1AFF0C9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6.《关于做好文件改版涉及干部人事档案有关工作的通知》</w:t>
      </w:r>
    </w:p>
    <w:p w14:paraId="6406A71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7.《流动人员人事档案管理服务规定》</w:t>
      </w:r>
    </w:p>
    <w:p w14:paraId="1BF35871">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8.《企业职工档案管理工作规定》</w:t>
      </w:r>
    </w:p>
    <w:p w14:paraId="627B0C8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9.《中华人民共和国保守国家秘密法实施办法》</w:t>
      </w:r>
    </w:p>
    <w:p w14:paraId="12AA20CA">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10.《关于严禁用涉密计算机上国际互联网的通知》</w:t>
      </w:r>
    </w:p>
    <w:p w14:paraId="77323CE6">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11.《计算机病毒防治管理办法》</w:t>
      </w:r>
    </w:p>
    <w:p w14:paraId="20A2DEC0">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12.《计算机信息系统保密管理暂行规定》</w:t>
      </w:r>
    </w:p>
    <w:p w14:paraId="6F02383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13.GB/T 22239-2008 信息系统安全等级保护基本要求</w:t>
      </w:r>
    </w:p>
    <w:p w14:paraId="73EC94DB">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14.DB11/T 494.1～11-2007 人才服务规范</w:t>
      </w:r>
    </w:p>
    <w:p w14:paraId="6515EB7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15.DB11/T 765.1～4-2010 档案数字化规范</w:t>
      </w:r>
    </w:p>
    <w:p w14:paraId="709B3DA7">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16.DA/T1-2000 中华人民共和国档案行业标准档案工作基本术语</w:t>
      </w:r>
    </w:p>
    <w:p w14:paraId="3C685AC9">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17.DA/T31-2017 纸质档案数字化规范</w:t>
      </w:r>
    </w:p>
    <w:p w14:paraId="5A54022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18.(DA/T 18—2022)档案著录规则</w:t>
      </w:r>
    </w:p>
    <w:p w14:paraId="6FFA66C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19.DA/T22-2015 归档文件整理规则</w:t>
      </w:r>
    </w:p>
    <w:p w14:paraId="3A029CAC">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20.GB/T 2260-2002 中华人民共和国行政区代码</w:t>
      </w:r>
    </w:p>
    <w:p w14:paraId="57DA727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21.GB/T4754-2002 国民经济行业分类</w:t>
      </w:r>
    </w:p>
    <w:p w14:paraId="0464589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22.GB 1174-1997 全国组织机构代码编制规则</w:t>
      </w:r>
    </w:p>
    <w:p w14:paraId="0CE6C15E">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23.GB/T 112402 经济类型分类与代码</w:t>
      </w:r>
    </w:p>
    <w:p w14:paraId="7C21DFE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24.GB 11643-1999 公民身份证号码</w:t>
      </w:r>
    </w:p>
    <w:p w14:paraId="3C31ADA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25.GB/T4658 学历代码</w:t>
      </w:r>
    </w:p>
    <w:p w14:paraId="1D8B30F8">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26.GB/T8561 专业技术职称代码</w:t>
      </w:r>
    </w:p>
    <w:p w14:paraId="3C0D91B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27.GB/T 19253-2003 信息技术 数据元值的格式表示法</w:t>
      </w:r>
    </w:p>
    <w:p w14:paraId="0741DE2B">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28.GB/T 17235.1-1998 信息技术连续色调静态图像的数字压缩及编码第1部分:要求和指南</w:t>
      </w:r>
    </w:p>
    <w:p w14:paraId="2B495E6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29.GB/T 17235.2-1998信息技术连续色调静态图像的数字压缩及编码第2部分:一致性测试</w:t>
      </w:r>
    </w:p>
    <w:p w14:paraId="40936E6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30.《重庆市流动人员人事档案基础数据管理规范》</w:t>
      </w:r>
    </w:p>
    <w:p w14:paraId="7839730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31.《重庆市流动人员人事档案数字化技术规范》</w:t>
      </w:r>
    </w:p>
    <w:p w14:paraId="0CF17310">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32.《重庆市流动人员人事档案数字化安全规范》</w:t>
      </w:r>
    </w:p>
    <w:p w14:paraId="605E9115">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33.《重庆市流动人员人事档案管理服务规范》</w:t>
      </w:r>
    </w:p>
    <w:p w14:paraId="13B0F453">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34.《重庆市流动人员人事档案库房管理规范》 </w:t>
      </w:r>
    </w:p>
    <w:p w14:paraId="7D83947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（二）售后服务要求 </w:t>
      </w:r>
    </w:p>
    <w:p w14:paraId="67746D0B">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1.售后服务期限：项目验收交付后提供三年7×24免费的质量保证及售后服务，服务期满后，有义务向采购人提供有偿的后续技术支持。供应商承诺优于本要求的，以优惠者为准。</w:t>
      </w:r>
    </w:p>
    <w:p w14:paraId="47D1565D">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2.售后服务方式及响应时间：采用现场维护方式，供应商24小时热线响应，在接到采购人电话要求后24小时之内到达维护地点，以保证数据的安全运行。</w:t>
      </w:r>
    </w:p>
    <w:p w14:paraId="11018DD3">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3.售后服务问题解决时间：一般问题在4小时内解决，严重问题要求及时提出用户方可接受的解决方案和服务承诺。</w:t>
      </w:r>
    </w:p>
    <w:p w14:paraId="479988D4">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4.服务期内为故障提供免费服务。</w:t>
      </w:r>
    </w:p>
    <w:p w14:paraId="2A153ACF">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5.成交后，供应商必须将公司的服务热线明确告知采购人</w:t>
      </w:r>
      <w:r>
        <w:rPr>
          <w:rFonts w:hint="eastAsia" w:ascii="宋体" w:hAnsi="宋体" w:eastAsia="宋体" w:cs="宋体"/>
          <w:color w:val="auto"/>
          <w:kern w:val="0"/>
          <w:sz w:val="24"/>
          <w:szCs w:val="24"/>
          <w:highlight w:val="none"/>
          <w:lang w:eastAsia="zh-CN"/>
        </w:rPr>
        <w:t>。</w:t>
      </w:r>
    </w:p>
    <w:p w14:paraId="0290F95D">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sz w:val="24"/>
          <w:szCs w:val="24"/>
          <w:highlight w:val="none"/>
          <w:lang w:eastAsia="zh-CN"/>
        </w:rPr>
      </w:pPr>
      <w:bookmarkStart w:id="86" w:name="_Toc12920"/>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w:t>
      </w:r>
      <w:bookmarkEnd w:id="85"/>
      <w:r>
        <w:rPr>
          <w:rFonts w:hint="eastAsia" w:ascii="宋体" w:hAnsi="宋体" w:eastAsia="宋体" w:cs="宋体"/>
          <w:color w:val="auto"/>
          <w:sz w:val="24"/>
          <w:szCs w:val="24"/>
          <w:highlight w:val="none"/>
          <w:lang w:val="en-US" w:eastAsia="zh-CN"/>
        </w:rPr>
        <w:t>付款方式</w:t>
      </w:r>
      <w:bookmarkEnd w:id="86"/>
    </w:p>
    <w:p w14:paraId="725C1DE3">
      <w:pPr>
        <w:pageBreakBefore w:val="0"/>
        <w:widowControl w:val="0"/>
        <w:kinsoku/>
        <w:wordWrap/>
        <w:overflowPunct/>
        <w:topLinePunct w:val="0"/>
        <w:autoSpaceDE/>
        <w:autoSpaceDN/>
        <w:bidi w:val="0"/>
        <w:adjustRightInd/>
        <w:snapToGrid w:val="0"/>
        <w:spacing w:line="360" w:lineRule="auto"/>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服务完成后，采购人按实际完成数量据实结算</w:t>
      </w:r>
      <w:r>
        <w:rPr>
          <w:rFonts w:hint="eastAsia" w:ascii="宋体" w:hAnsi="宋体" w:eastAsia="宋体" w:cs="宋体"/>
          <w:color w:val="auto"/>
          <w:sz w:val="24"/>
          <w:szCs w:val="24"/>
          <w:highlight w:val="none"/>
          <w:lang w:eastAsia="zh-CN"/>
        </w:rPr>
        <w:t>。</w:t>
      </w:r>
    </w:p>
    <w:p w14:paraId="2B90251F">
      <w:pPr>
        <w:pStyle w:val="3"/>
        <w:pageBreakBefore w:val="0"/>
        <w:widowControl w:val="0"/>
        <w:kinsoku/>
        <w:wordWrap/>
        <w:overflowPunct/>
        <w:topLinePunct w:val="0"/>
        <w:autoSpaceDE/>
        <w:autoSpaceDN/>
        <w:bidi w:val="0"/>
        <w:adjustRightInd/>
        <w:spacing w:before="0" w:after="0" w:line="360" w:lineRule="auto"/>
        <w:textAlignment w:val="auto"/>
        <w:outlineLvl w:val="1"/>
        <w:rPr>
          <w:rFonts w:hint="eastAsia" w:ascii="宋体" w:hAnsi="宋体" w:eastAsia="宋体" w:cs="宋体"/>
          <w:color w:val="auto"/>
          <w:sz w:val="24"/>
          <w:szCs w:val="24"/>
          <w:highlight w:val="none"/>
        </w:rPr>
      </w:pPr>
      <w:bookmarkStart w:id="87" w:name="_Toc12708"/>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知识产权</w:t>
      </w:r>
      <w:bookmarkEnd w:id="87"/>
    </w:p>
    <w:p w14:paraId="53E1918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采购人在中华人民共和国境内使用</w:t>
      </w:r>
      <w:r>
        <w:rPr>
          <w:rFonts w:hint="eastAsia" w:ascii="宋体" w:hAnsi="宋体" w:eastAsia="宋体" w:cs="宋体"/>
          <w:color w:val="auto"/>
          <w:spacing w:val="0"/>
          <w:sz w:val="24"/>
          <w:szCs w:val="24"/>
          <w:highlight w:val="none"/>
          <w:lang w:eastAsia="zh-CN"/>
        </w:rPr>
        <w:t>供应商</w:t>
      </w:r>
      <w:r>
        <w:rPr>
          <w:rFonts w:hint="eastAsia" w:ascii="宋体" w:hAnsi="宋体" w:eastAsia="宋体" w:cs="宋体"/>
          <w:color w:val="auto"/>
          <w:spacing w:val="0"/>
          <w:sz w:val="24"/>
          <w:szCs w:val="24"/>
          <w:highlight w:val="none"/>
        </w:rPr>
        <w:t>提供的货物及服务时免受第三方提出的侵犯其专利权或</w:t>
      </w:r>
      <w:r>
        <w:rPr>
          <w:rFonts w:hint="eastAsia" w:ascii="宋体" w:hAnsi="宋体" w:eastAsia="宋体" w:cs="宋体"/>
          <w:color w:val="auto"/>
          <w:spacing w:val="0"/>
          <w:sz w:val="24"/>
          <w:szCs w:val="24"/>
          <w:highlight w:val="none"/>
          <w:lang w:eastAsia="zh-CN"/>
        </w:rPr>
        <w:t>其他</w:t>
      </w:r>
      <w:r>
        <w:rPr>
          <w:rFonts w:hint="eastAsia" w:ascii="宋体" w:hAnsi="宋体" w:eastAsia="宋体" w:cs="宋体"/>
          <w:color w:val="auto"/>
          <w:spacing w:val="0"/>
          <w:sz w:val="24"/>
          <w:szCs w:val="24"/>
          <w:highlight w:val="none"/>
        </w:rPr>
        <w:t>知识产权的起诉。如果第三方提出侵权指控，</w:t>
      </w:r>
      <w:r>
        <w:rPr>
          <w:rFonts w:hint="eastAsia" w:ascii="宋体" w:hAnsi="宋体" w:eastAsia="宋体" w:cs="宋体"/>
          <w:color w:val="auto"/>
          <w:spacing w:val="0"/>
          <w:sz w:val="24"/>
          <w:szCs w:val="24"/>
          <w:highlight w:val="none"/>
          <w:lang w:eastAsia="zh-CN"/>
        </w:rPr>
        <w:t>成交供应商</w:t>
      </w:r>
      <w:r>
        <w:rPr>
          <w:rFonts w:hint="eastAsia" w:ascii="宋体" w:hAnsi="宋体" w:eastAsia="宋体" w:cs="宋体"/>
          <w:color w:val="auto"/>
          <w:spacing w:val="0"/>
          <w:sz w:val="24"/>
          <w:szCs w:val="24"/>
          <w:highlight w:val="none"/>
        </w:rPr>
        <w:t>应承担由此而引起的一切法律责任和费用。</w:t>
      </w:r>
    </w:p>
    <w:p w14:paraId="2C1D4B8C">
      <w:pPr>
        <w:pageBreakBefore w:val="0"/>
        <w:widowControl w:val="0"/>
        <w:kinsoku/>
        <w:wordWrap/>
        <w:overflowPunct/>
        <w:topLinePunct w:val="0"/>
        <w:autoSpaceDE/>
        <w:autoSpaceDN/>
        <w:bidi w:val="0"/>
        <w:adjustRightInd/>
        <w:snapToGrid w:val="0"/>
        <w:spacing w:line="360" w:lineRule="auto"/>
        <w:ind w:firstLine="540"/>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z w:val="24"/>
          <w:szCs w:val="24"/>
          <w:highlight w:val="none"/>
        </w:rPr>
        <w:t>注：（若涉及软件开发等服务类项目知识产权的，知识产权归</w:t>
      </w:r>
      <w:r>
        <w:rPr>
          <w:rFonts w:hint="eastAsia" w:ascii="宋体" w:hAnsi="宋体" w:eastAsia="宋体" w:cs="宋体"/>
          <w:color w:val="auto"/>
          <w:spacing w:val="0"/>
          <w:sz w:val="24"/>
          <w:szCs w:val="24"/>
          <w:highlight w:val="none"/>
        </w:rPr>
        <w:t>采购人</w:t>
      </w:r>
      <w:r>
        <w:rPr>
          <w:rFonts w:hint="eastAsia" w:ascii="宋体" w:hAnsi="宋体" w:eastAsia="宋体" w:cs="宋体"/>
          <w:color w:val="auto"/>
          <w:sz w:val="24"/>
          <w:szCs w:val="24"/>
          <w:highlight w:val="none"/>
        </w:rPr>
        <w:t>所有）。</w:t>
      </w:r>
    </w:p>
    <w:p w14:paraId="37BA8151">
      <w:pPr>
        <w:pStyle w:val="3"/>
        <w:pageBreakBefore w:val="0"/>
        <w:widowControl w:val="0"/>
        <w:kinsoku/>
        <w:wordWrap/>
        <w:overflowPunct/>
        <w:topLinePunct w:val="0"/>
        <w:autoSpaceDE/>
        <w:autoSpaceDN/>
        <w:bidi w:val="0"/>
        <w:adjustRightInd/>
        <w:spacing w:before="0" w:after="0" w:line="360" w:lineRule="auto"/>
        <w:textAlignment w:val="auto"/>
        <w:outlineLvl w:val="1"/>
        <w:rPr>
          <w:rFonts w:hint="eastAsia" w:ascii="宋体" w:hAnsi="宋体" w:eastAsia="宋体" w:cs="宋体"/>
          <w:color w:val="auto"/>
          <w:sz w:val="24"/>
          <w:szCs w:val="24"/>
          <w:highlight w:val="none"/>
        </w:rPr>
      </w:pPr>
      <w:bookmarkStart w:id="88" w:name="_Toc24230"/>
      <w:r>
        <w:rPr>
          <w:rFonts w:hint="eastAsia" w:ascii="宋体" w:hAnsi="宋体" w:eastAsia="宋体" w:cs="宋体"/>
          <w:color w:val="auto"/>
          <w:sz w:val="24"/>
          <w:szCs w:val="24"/>
          <w:highlight w:val="none"/>
        </w:rPr>
        <w:t>※</w:t>
      </w:r>
      <w:r>
        <w:rPr>
          <w:rFonts w:hint="eastAsia" w:ascii="宋体" w:hAnsi="宋体" w:eastAsia="宋体" w:cs="宋体"/>
          <w:color w:val="auto"/>
          <w:spacing w:val="0"/>
          <w:sz w:val="24"/>
          <w:szCs w:val="24"/>
          <w:highlight w:val="none"/>
          <w:lang w:val="en-US" w:eastAsia="zh-CN"/>
        </w:rPr>
        <w:t>六、</w:t>
      </w:r>
      <w:r>
        <w:rPr>
          <w:rFonts w:hint="eastAsia" w:ascii="宋体" w:hAnsi="宋体" w:eastAsia="宋体" w:cs="宋体"/>
          <w:color w:val="auto"/>
          <w:sz w:val="24"/>
          <w:szCs w:val="24"/>
          <w:highlight w:val="none"/>
          <w:lang w:val="en-US" w:eastAsia="zh-CN"/>
        </w:rPr>
        <w:t>其他</w:t>
      </w:r>
      <w:bookmarkEnd w:id="88"/>
    </w:p>
    <w:p w14:paraId="7742B1E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（一）供应商必须在响应文件中对以上条款和服务承诺明确列出，承诺内容必须达到本篇及</w:t>
      </w:r>
      <w:r>
        <w:rPr>
          <w:rFonts w:hint="eastAsia" w:ascii="宋体" w:hAnsi="宋体" w:cs="宋体"/>
          <w:color w:val="auto"/>
          <w:sz w:val="24"/>
          <w:szCs w:val="24"/>
          <w:highlight w:val="none"/>
          <w:lang w:val="en-US" w:eastAsia="zh-CN"/>
        </w:rPr>
        <w:t>竞争性磋商</w:t>
      </w:r>
      <w:r>
        <w:rPr>
          <w:rFonts w:hint="eastAsia" w:ascii="宋体" w:hAnsi="宋体" w:cs="宋体"/>
          <w:color w:val="auto"/>
          <w:sz w:val="24"/>
          <w:szCs w:val="24"/>
          <w:highlight w:val="none"/>
        </w:rPr>
        <w:t>文件其他条款的要求。</w:t>
      </w:r>
    </w:p>
    <w:p w14:paraId="7B287F54">
      <w:pPr>
        <w:pageBreakBefore w:val="0"/>
        <w:widowControl w:val="0"/>
        <w:kinsoku/>
        <w:wordWrap/>
        <w:overflowPunct/>
        <w:topLinePunct w:val="0"/>
        <w:autoSpaceDE/>
        <w:autoSpaceDN/>
        <w:bidi w:val="0"/>
        <w:adjustRightInd/>
        <w:snapToGrid w:val="0"/>
        <w:spacing w:line="360" w:lineRule="auto"/>
        <w:ind w:firstLine="540"/>
        <w:textAlignment w:val="auto"/>
        <w:rPr>
          <w:rFonts w:hint="eastAsia" w:hAnsi="宋体" w:cs="宋体"/>
          <w:b/>
          <w:color w:val="auto"/>
          <w:sz w:val="36"/>
          <w:szCs w:val="36"/>
          <w:highlight w:val="none"/>
        </w:rPr>
      </w:pPr>
      <w:r>
        <w:rPr>
          <w:rFonts w:hint="eastAsia" w:ascii="宋体" w:hAnsi="宋体" w:cs="宋体"/>
          <w:color w:val="auto"/>
          <w:sz w:val="24"/>
          <w:szCs w:val="24"/>
          <w:highlight w:val="none"/>
        </w:rPr>
        <w:t>（二）其他未尽事宜由供需双方在采购合同中详细约定。</w:t>
      </w:r>
      <w:bookmarkEnd w:id="66"/>
      <w:bookmarkEnd w:id="67"/>
      <w:bookmarkEnd w:id="68"/>
      <w:bookmarkEnd w:id="69"/>
      <w:bookmarkEnd w:id="70"/>
      <w:bookmarkEnd w:id="82"/>
      <w:bookmarkEnd w:id="83"/>
      <w:bookmarkEnd w:id="84"/>
      <w:r>
        <w:rPr>
          <w:rFonts w:hint="eastAsia" w:hAnsi="宋体" w:cs="宋体"/>
          <w:b/>
          <w:color w:val="auto"/>
          <w:sz w:val="36"/>
          <w:szCs w:val="36"/>
          <w:highlight w:val="none"/>
        </w:rPr>
        <w:br w:type="page"/>
      </w:r>
    </w:p>
    <w:p w14:paraId="51262FEF">
      <w:pPr>
        <w:pStyle w:val="2"/>
        <w:spacing w:line="360" w:lineRule="auto"/>
        <w:rPr>
          <w:rFonts w:hAnsi="宋体" w:cs="宋体"/>
          <w:b/>
          <w:color w:val="auto"/>
          <w:sz w:val="36"/>
          <w:szCs w:val="36"/>
          <w:highlight w:val="none"/>
        </w:rPr>
      </w:pPr>
      <w:bookmarkStart w:id="89" w:name="_Toc17282"/>
      <w:r>
        <w:rPr>
          <w:rFonts w:hint="eastAsia" w:hAnsi="宋体" w:cs="宋体"/>
          <w:b/>
          <w:color w:val="auto"/>
          <w:sz w:val="36"/>
          <w:szCs w:val="36"/>
          <w:highlight w:val="none"/>
        </w:rPr>
        <w:t>第四篇  磋商程序及方法、评审标准、无效响应和采购终止</w:t>
      </w:r>
      <w:bookmarkEnd w:id="89"/>
    </w:p>
    <w:p w14:paraId="3D847BBE">
      <w:pPr>
        <w:pStyle w:val="3"/>
        <w:spacing w:before="0" w:after="0" w:line="440" w:lineRule="exact"/>
        <w:rPr>
          <w:rFonts w:ascii="宋体" w:hAnsi="宋体" w:eastAsia="宋体" w:cs="宋体"/>
          <w:color w:val="auto"/>
          <w:sz w:val="24"/>
          <w:szCs w:val="24"/>
          <w:highlight w:val="none"/>
        </w:rPr>
      </w:pPr>
      <w:bookmarkStart w:id="90" w:name="_Toc13160"/>
      <w:bookmarkStart w:id="91" w:name="_Toc20210"/>
      <w:bookmarkStart w:id="92" w:name="_Toc24398"/>
      <w:bookmarkStart w:id="93" w:name="_Toc342913394"/>
      <w:bookmarkStart w:id="94" w:name="_Toc102227320"/>
      <w:r>
        <w:rPr>
          <w:rFonts w:hint="eastAsia" w:ascii="宋体" w:hAnsi="宋体" w:eastAsia="宋体" w:cs="宋体"/>
          <w:color w:val="auto"/>
          <w:sz w:val="24"/>
          <w:szCs w:val="24"/>
          <w:highlight w:val="none"/>
        </w:rPr>
        <w:t>一、磋商程序及方法</w:t>
      </w:r>
      <w:bookmarkEnd w:id="90"/>
      <w:bookmarkEnd w:id="91"/>
    </w:p>
    <w:p w14:paraId="48CAC74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磋商按竞争性磋商文件规定的时间和地点进行，供应商须有法定代表人或其授权代表或自然人参加并签到。竞争性磋商以抽签的形式确定磋商顺序，由本项目依法组建的竞争性磋商小组（以下简称磋商小组）分别与各供应商进行磋商。</w:t>
      </w:r>
    </w:p>
    <w:p w14:paraId="151A0FE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（二）磋商小组对各供应商的资格条件、响应文件的有效性、完整性和响应程度进行审查。各供应商只有在完全符合要求的前提下，才能参与正式磋商。</w:t>
      </w:r>
    </w:p>
    <w:p w14:paraId="455749B9">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rPr>
        <w:t>资格性审查。依据法律法规和竞争性磋商文件的规定，对响应文件中的资格证明、磋商保证金等进行审查，以确定供应商是否具备磋商资格。资格性审查资料表如下：</w:t>
      </w:r>
    </w:p>
    <w:tbl>
      <w:tblPr>
        <w:tblStyle w:val="57"/>
        <w:tblW w:w="10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57"/>
        <w:gridCol w:w="4796"/>
        <w:gridCol w:w="3885"/>
      </w:tblGrid>
      <w:tr w14:paraId="0FA6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40" w:type="dxa"/>
            <w:vAlign w:val="center"/>
          </w:tcPr>
          <w:p w14:paraId="3BBF427E">
            <w:pPr>
              <w:spacing w:line="240" w:lineRule="exact"/>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5453" w:type="dxa"/>
            <w:gridSpan w:val="2"/>
            <w:vAlign w:val="center"/>
          </w:tcPr>
          <w:p w14:paraId="0FD4F553">
            <w:pPr>
              <w:spacing w:line="240" w:lineRule="exact"/>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检查因素</w:t>
            </w:r>
          </w:p>
        </w:tc>
        <w:tc>
          <w:tcPr>
            <w:tcW w:w="3885" w:type="dxa"/>
            <w:vAlign w:val="center"/>
          </w:tcPr>
          <w:p w14:paraId="5CCF77B9">
            <w:pPr>
              <w:spacing w:line="240" w:lineRule="exact"/>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检查内容</w:t>
            </w:r>
          </w:p>
        </w:tc>
      </w:tr>
      <w:tr w14:paraId="12F0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940" w:type="dxa"/>
            <w:vMerge w:val="restart"/>
            <w:vAlign w:val="center"/>
          </w:tcPr>
          <w:p w14:paraId="47F44600">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（一）</w:t>
            </w:r>
          </w:p>
        </w:tc>
        <w:tc>
          <w:tcPr>
            <w:tcW w:w="657" w:type="dxa"/>
            <w:vMerge w:val="restart"/>
            <w:vAlign w:val="center"/>
          </w:tcPr>
          <w:p w14:paraId="566F8DC4">
            <w:pPr>
              <w:spacing w:line="240" w:lineRule="auto"/>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《中华人民共和国政府采购法》第二十二条规定</w:t>
            </w:r>
          </w:p>
        </w:tc>
        <w:tc>
          <w:tcPr>
            <w:tcW w:w="4796" w:type="dxa"/>
            <w:vAlign w:val="center"/>
          </w:tcPr>
          <w:p w14:paraId="00E67C2E">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tc>
        <w:tc>
          <w:tcPr>
            <w:tcW w:w="3885" w:type="dxa"/>
            <w:vAlign w:val="center"/>
          </w:tcPr>
          <w:p w14:paraId="554417CD">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 xml:space="preserve">1.供应商法人营业执照（副本）或事业单位法人证书（副本）或个体工商户营业执照或有效的自然人身份证明或社会团体法人登记证书（提供复印件）； </w:t>
            </w:r>
          </w:p>
          <w:p w14:paraId="357041B5">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2.供应商法定代表人身份证明和法定代表人授权代表委托书。</w:t>
            </w:r>
          </w:p>
        </w:tc>
      </w:tr>
      <w:tr w14:paraId="585F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940" w:type="dxa"/>
            <w:vMerge w:val="continue"/>
            <w:vAlign w:val="center"/>
          </w:tcPr>
          <w:p w14:paraId="1B82217B">
            <w:pPr>
              <w:spacing w:line="240" w:lineRule="exact"/>
              <w:jc w:val="center"/>
              <w:rPr>
                <w:rFonts w:ascii="宋体" w:hAnsi="宋体" w:cs="宋体"/>
                <w:color w:val="auto"/>
                <w:sz w:val="24"/>
                <w:szCs w:val="24"/>
                <w:highlight w:val="none"/>
              </w:rPr>
            </w:pPr>
          </w:p>
        </w:tc>
        <w:tc>
          <w:tcPr>
            <w:tcW w:w="657" w:type="dxa"/>
            <w:vMerge w:val="continue"/>
            <w:vAlign w:val="center"/>
          </w:tcPr>
          <w:p w14:paraId="64187CDC">
            <w:pPr>
              <w:spacing w:line="240" w:lineRule="auto"/>
              <w:rPr>
                <w:rFonts w:ascii="宋体" w:hAnsi="宋体" w:cs="宋体"/>
                <w:color w:val="auto"/>
                <w:sz w:val="24"/>
                <w:szCs w:val="24"/>
                <w:highlight w:val="none"/>
              </w:rPr>
            </w:pPr>
          </w:p>
        </w:tc>
        <w:tc>
          <w:tcPr>
            <w:tcW w:w="4796" w:type="dxa"/>
            <w:vAlign w:val="center"/>
          </w:tcPr>
          <w:p w14:paraId="55100067">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具有良好的商业信誉和健全的财务会计制度</w:t>
            </w:r>
          </w:p>
        </w:tc>
        <w:tc>
          <w:tcPr>
            <w:tcW w:w="3885" w:type="dxa"/>
            <w:vMerge w:val="restart"/>
            <w:vAlign w:val="center"/>
          </w:tcPr>
          <w:p w14:paraId="2757D34C">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供应商提供基本资格条件承诺函（见第七篇格式文件）</w:t>
            </w:r>
          </w:p>
        </w:tc>
      </w:tr>
      <w:tr w14:paraId="4AE5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40" w:type="dxa"/>
            <w:vMerge w:val="continue"/>
            <w:vAlign w:val="center"/>
          </w:tcPr>
          <w:p w14:paraId="2F961901">
            <w:pPr>
              <w:spacing w:line="240" w:lineRule="exact"/>
              <w:jc w:val="center"/>
              <w:rPr>
                <w:rFonts w:ascii="宋体" w:hAnsi="宋体" w:cs="宋体"/>
                <w:color w:val="auto"/>
                <w:sz w:val="24"/>
                <w:szCs w:val="24"/>
                <w:highlight w:val="none"/>
              </w:rPr>
            </w:pPr>
          </w:p>
        </w:tc>
        <w:tc>
          <w:tcPr>
            <w:tcW w:w="657" w:type="dxa"/>
            <w:vMerge w:val="continue"/>
            <w:vAlign w:val="center"/>
          </w:tcPr>
          <w:p w14:paraId="7F95441B">
            <w:pPr>
              <w:spacing w:line="240" w:lineRule="auto"/>
              <w:rPr>
                <w:rFonts w:ascii="宋体" w:hAnsi="宋体" w:cs="宋体"/>
                <w:color w:val="auto"/>
                <w:sz w:val="24"/>
                <w:szCs w:val="24"/>
                <w:highlight w:val="none"/>
                <w:lang w:val="zh-CN"/>
              </w:rPr>
            </w:pPr>
          </w:p>
        </w:tc>
        <w:tc>
          <w:tcPr>
            <w:tcW w:w="4796" w:type="dxa"/>
            <w:vAlign w:val="center"/>
          </w:tcPr>
          <w:p w14:paraId="1831F193">
            <w:pPr>
              <w:spacing w:line="240" w:lineRule="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（3）具有履行合同所必需的设备和专业技术能力</w:t>
            </w:r>
          </w:p>
        </w:tc>
        <w:tc>
          <w:tcPr>
            <w:tcW w:w="3885" w:type="dxa"/>
            <w:vMerge w:val="continue"/>
            <w:vAlign w:val="center"/>
          </w:tcPr>
          <w:p w14:paraId="33E91997">
            <w:pPr>
              <w:spacing w:line="400" w:lineRule="exact"/>
              <w:rPr>
                <w:rFonts w:ascii="宋体" w:hAnsi="宋体" w:cs="宋体"/>
                <w:color w:val="auto"/>
                <w:sz w:val="24"/>
                <w:szCs w:val="24"/>
                <w:highlight w:val="none"/>
              </w:rPr>
            </w:pPr>
          </w:p>
        </w:tc>
      </w:tr>
      <w:tr w14:paraId="7CBE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40" w:type="dxa"/>
            <w:vMerge w:val="continue"/>
            <w:vAlign w:val="center"/>
          </w:tcPr>
          <w:p w14:paraId="7E1907C5">
            <w:pPr>
              <w:spacing w:line="240" w:lineRule="exact"/>
              <w:jc w:val="center"/>
              <w:rPr>
                <w:rFonts w:ascii="宋体" w:hAnsi="宋体" w:cs="宋体"/>
                <w:color w:val="auto"/>
                <w:sz w:val="24"/>
                <w:szCs w:val="24"/>
                <w:highlight w:val="none"/>
              </w:rPr>
            </w:pPr>
          </w:p>
        </w:tc>
        <w:tc>
          <w:tcPr>
            <w:tcW w:w="657" w:type="dxa"/>
            <w:vMerge w:val="continue"/>
            <w:vAlign w:val="center"/>
          </w:tcPr>
          <w:p w14:paraId="7E3699E8">
            <w:pPr>
              <w:spacing w:line="240" w:lineRule="auto"/>
              <w:rPr>
                <w:rFonts w:ascii="宋体" w:hAnsi="宋体" w:cs="宋体"/>
                <w:color w:val="auto"/>
                <w:sz w:val="24"/>
                <w:szCs w:val="24"/>
                <w:highlight w:val="none"/>
                <w:lang w:val="zh-CN"/>
              </w:rPr>
            </w:pPr>
          </w:p>
        </w:tc>
        <w:tc>
          <w:tcPr>
            <w:tcW w:w="4796" w:type="dxa"/>
            <w:vAlign w:val="center"/>
          </w:tcPr>
          <w:p w14:paraId="79DE9FEE">
            <w:pPr>
              <w:spacing w:line="240" w:lineRule="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（4）有依法缴纳税收和社会保障金的良好记录</w:t>
            </w:r>
          </w:p>
        </w:tc>
        <w:tc>
          <w:tcPr>
            <w:tcW w:w="3885" w:type="dxa"/>
            <w:vMerge w:val="continue"/>
            <w:vAlign w:val="center"/>
          </w:tcPr>
          <w:p w14:paraId="17F70E2E">
            <w:pPr>
              <w:spacing w:line="400" w:lineRule="exact"/>
              <w:rPr>
                <w:rFonts w:ascii="宋体" w:hAnsi="宋体" w:cs="宋体"/>
                <w:color w:val="auto"/>
                <w:sz w:val="24"/>
                <w:szCs w:val="24"/>
                <w:highlight w:val="none"/>
              </w:rPr>
            </w:pPr>
          </w:p>
        </w:tc>
      </w:tr>
      <w:tr w14:paraId="687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40" w:type="dxa"/>
            <w:vMerge w:val="continue"/>
            <w:vAlign w:val="center"/>
          </w:tcPr>
          <w:p w14:paraId="3FEB3493">
            <w:pPr>
              <w:spacing w:line="240" w:lineRule="exact"/>
              <w:jc w:val="center"/>
              <w:rPr>
                <w:rFonts w:ascii="宋体" w:hAnsi="宋体" w:cs="宋体"/>
                <w:color w:val="auto"/>
                <w:sz w:val="24"/>
                <w:szCs w:val="24"/>
                <w:highlight w:val="none"/>
              </w:rPr>
            </w:pPr>
          </w:p>
        </w:tc>
        <w:tc>
          <w:tcPr>
            <w:tcW w:w="657" w:type="dxa"/>
            <w:vMerge w:val="continue"/>
            <w:vAlign w:val="center"/>
          </w:tcPr>
          <w:p w14:paraId="4B603CE5">
            <w:pPr>
              <w:spacing w:line="240" w:lineRule="auto"/>
              <w:rPr>
                <w:rFonts w:ascii="宋体" w:hAnsi="宋体" w:cs="宋体"/>
                <w:color w:val="auto"/>
                <w:sz w:val="24"/>
                <w:szCs w:val="24"/>
                <w:highlight w:val="none"/>
                <w:lang w:val="zh-CN"/>
              </w:rPr>
            </w:pPr>
          </w:p>
        </w:tc>
        <w:tc>
          <w:tcPr>
            <w:tcW w:w="4796" w:type="dxa"/>
            <w:vAlign w:val="center"/>
          </w:tcPr>
          <w:p w14:paraId="7FA7F3F5">
            <w:pPr>
              <w:spacing w:line="240" w:lineRule="auto"/>
              <w:rPr>
                <w:rFonts w:ascii="宋体" w:hAnsi="宋体" w:cs="宋体"/>
                <w:color w:val="auto"/>
                <w:sz w:val="24"/>
                <w:szCs w:val="24"/>
                <w:highlight w:val="none"/>
                <w:lang w:val="zh-CN"/>
              </w:rPr>
            </w:pPr>
            <w:r>
              <w:rPr>
                <w:rFonts w:hint="eastAsia" w:ascii="宋体" w:hAnsi="宋体" w:cs="宋体"/>
                <w:color w:val="auto"/>
                <w:sz w:val="24"/>
                <w:szCs w:val="24"/>
                <w:highlight w:val="none"/>
              </w:rPr>
              <w:t>（5）参加政府采购活动前三年内，在经营活动中没有重大违法记录</w:t>
            </w:r>
          </w:p>
        </w:tc>
        <w:tc>
          <w:tcPr>
            <w:tcW w:w="3885" w:type="dxa"/>
            <w:vMerge w:val="continue"/>
            <w:vAlign w:val="center"/>
          </w:tcPr>
          <w:p w14:paraId="089F2A16">
            <w:pPr>
              <w:spacing w:line="400" w:lineRule="exact"/>
              <w:rPr>
                <w:rFonts w:ascii="宋体" w:hAnsi="宋体" w:cs="宋体"/>
                <w:color w:val="auto"/>
                <w:sz w:val="24"/>
                <w:szCs w:val="24"/>
                <w:highlight w:val="none"/>
              </w:rPr>
            </w:pPr>
          </w:p>
        </w:tc>
      </w:tr>
      <w:tr w14:paraId="2698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0" w:type="dxa"/>
            <w:vMerge w:val="continue"/>
            <w:vAlign w:val="center"/>
          </w:tcPr>
          <w:p w14:paraId="3FE53052">
            <w:pPr>
              <w:spacing w:line="240" w:lineRule="exact"/>
              <w:jc w:val="center"/>
              <w:rPr>
                <w:rFonts w:ascii="宋体" w:hAnsi="宋体" w:cs="宋体"/>
                <w:color w:val="auto"/>
                <w:sz w:val="24"/>
                <w:szCs w:val="24"/>
                <w:highlight w:val="none"/>
              </w:rPr>
            </w:pPr>
          </w:p>
        </w:tc>
        <w:tc>
          <w:tcPr>
            <w:tcW w:w="657" w:type="dxa"/>
            <w:vMerge w:val="continue"/>
            <w:vAlign w:val="center"/>
          </w:tcPr>
          <w:p w14:paraId="0EDEFCFD">
            <w:pPr>
              <w:spacing w:line="240" w:lineRule="auto"/>
              <w:rPr>
                <w:rFonts w:ascii="宋体" w:hAnsi="宋体" w:cs="宋体"/>
                <w:color w:val="auto"/>
                <w:sz w:val="24"/>
                <w:szCs w:val="24"/>
                <w:highlight w:val="none"/>
              </w:rPr>
            </w:pPr>
          </w:p>
        </w:tc>
        <w:tc>
          <w:tcPr>
            <w:tcW w:w="4796" w:type="dxa"/>
            <w:vAlign w:val="center"/>
          </w:tcPr>
          <w:p w14:paraId="1FD96A34">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tc>
        <w:tc>
          <w:tcPr>
            <w:tcW w:w="3885" w:type="dxa"/>
            <w:vAlign w:val="center"/>
          </w:tcPr>
          <w:p w14:paraId="60F877E3">
            <w:pPr>
              <w:spacing w:line="400" w:lineRule="exact"/>
              <w:rPr>
                <w:rFonts w:ascii="宋体" w:hAnsi="宋体" w:cs="宋体"/>
                <w:color w:val="auto"/>
                <w:sz w:val="24"/>
                <w:szCs w:val="24"/>
                <w:highlight w:val="none"/>
              </w:rPr>
            </w:pPr>
          </w:p>
        </w:tc>
      </w:tr>
      <w:tr w14:paraId="28EF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40" w:type="dxa"/>
            <w:vMerge w:val="continue"/>
            <w:vAlign w:val="center"/>
          </w:tcPr>
          <w:p w14:paraId="31677139">
            <w:pPr>
              <w:spacing w:line="240" w:lineRule="exact"/>
              <w:jc w:val="center"/>
              <w:rPr>
                <w:rFonts w:ascii="宋体" w:hAnsi="宋体" w:cs="宋体"/>
                <w:color w:val="auto"/>
                <w:sz w:val="24"/>
                <w:szCs w:val="24"/>
                <w:highlight w:val="none"/>
              </w:rPr>
            </w:pPr>
          </w:p>
        </w:tc>
        <w:tc>
          <w:tcPr>
            <w:tcW w:w="657" w:type="dxa"/>
            <w:vMerge w:val="continue"/>
            <w:vAlign w:val="center"/>
          </w:tcPr>
          <w:p w14:paraId="52DFF89D">
            <w:pPr>
              <w:spacing w:line="240" w:lineRule="auto"/>
              <w:rPr>
                <w:rFonts w:ascii="宋体" w:hAnsi="宋体" w:cs="宋体"/>
                <w:color w:val="auto"/>
                <w:sz w:val="24"/>
                <w:szCs w:val="24"/>
                <w:highlight w:val="none"/>
                <w:u w:val="single"/>
              </w:rPr>
            </w:pPr>
          </w:p>
        </w:tc>
        <w:tc>
          <w:tcPr>
            <w:tcW w:w="4796" w:type="dxa"/>
            <w:vAlign w:val="center"/>
          </w:tcPr>
          <w:p w14:paraId="45E52CA8">
            <w:p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（7）本项目的特定资格要求</w:t>
            </w:r>
          </w:p>
        </w:tc>
        <w:tc>
          <w:tcPr>
            <w:tcW w:w="3885" w:type="dxa"/>
            <w:vAlign w:val="center"/>
          </w:tcPr>
          <w:p w14:paraId="3FFE9A8A">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按“第一篇三、供应商资格要求（三）本项目的特定资格要求”的要求提交。(如果有)</w:t>
            </w:r>
          </w:p>
        </w:tc>
      </w:tr>
      <w:tr w14:paraId="2886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40" w:type="dxa"/>
            <w:vAlign w:val="center"/>
          </w:tcPr>
          <w:p w14:paraId="3FB9B53C">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（二）</w:t>
            </w:r>
          </w:p>
        </w:tc>
        <w:tc>
          <w:tcPr>
            <w:tcW w:w="5453" w:type="dxa"/>
            <w:gridSpan w:val="2"/>
            <w:vAlign w:val="center"/>
          </w:tcPr>
          <w:p w14:paraId="67C08E59">
            <w:pPr>
              <w:rPr>
                <w:rFonts w:ascii="宋体" w:hAnsi="宋体" w:cs="宋体"/>
                <w:color w:val="auto"/>
                <w:sz w:val="24"/>
                <w:szCs w:val="24"/>
                <w:highlight w:val="none"/>
              </w:rPr>
            </w:pPr>
            <w:r>
              <w:rPr>
                <w:rFonts w:hint="eastAsia" w:ascii="宋体" w:hAnsi="宋体" w:cs="宋体"/>
                <w:color w:val="auto"/>
                <w:sz w:val="24"/>
                <w:szCs w:val="24"/>
                <w:highlight w:val="none"/>
              </w:rPr>
              <w:t>落实政府采购政策需满足的资格要求</w:t>
            </w:r>
          </w:p>
        </w:tc>
        <w:tc>
          <w:tcPr>
            <w:tcW w:w="3885" w:type="dxa"/>
            <w:vAlign w:val="center"/>
          </w:tcPr>
          <w:p w14:paraId="7543AE61">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按“第一篇三、供应商资格要求（二）落实政府采购政策需满足的资格要求”的要求提交（如果有）。</w:t>
            </w:r>
          </w:p>
        </w:tc>
      </w:tr>
      <w:tr w14:paraId="0FC2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40" w:type="dxa"/>
            <w:vAlign w:val="center"/>
          </w:tcPr>
          <w:p w14:paraId="41FCB253">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（三）</w:t>
            </w:r>
          </w:p>
        </w:tc>
        <w:tc>
          <w:tcPr>
            <w:tcW w:w="5453" w:type="dxa"/>
            <w:gridSpan w:val="2"/>
            <w:vAlign w:val="center"/>
          </w:tcPr>
          <w:p w14:paraId="12CFAD73">
            <w:pPr>
              <w:rPr>
                <w:rFonts w:ascii="宋体" w:hAnsi="宋体" w:cs="宋体"/>
                <w:color w:val="auto"/>
                <w:sz w:val="24"/>
                <w:szCs w:val="24"/>
                <w:highlight w:val="none"/>
              </w:rPr>
            </w:pPr>
            <w:r>
              <w:rPr>
                <w:rFonts w:hint="eastAsia" w:ascii="宋体" w:hAnsi="宋体" w:cs="宋体"/>
                <w:color w:val="auto"/>
                <w:sz w:val="24"/>
                <w:szCs w:val="24"/>
                <w:highlight w:val="none"/>
              </w:rPr>
              <w:t>磋商保证金</w:t>
            </w:r>
          </w:p>
        </w:tc>
        <w:tc>
          <w:tcPr>
            <w:tcW w:w="3885" w:type="dxa"/>
            <w:vAlign w:val="center"/>
          </w:tcPr>
          <w:p w14:paraId="1F896483">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按照竞争性磋商文件的规定提交保证金(如果有)</w:t>
            </w:r>
          </w:p>
        </w:tc>
      </w:tr>
    </w:tbl>
    <w:p w14:paraId="4DADCC85">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196E7C94">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1F9DD41D">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2.符合性审查。依据竞争性磋商文件的规定，从响应文件的有效性、完整性和对竞争性磋商文件的响应程度进行审查，以确定是否对竞争性磋商文件的实质性要求作出响应。符合性审查资料表如下：</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5626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C81C81C">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3544" w:type="dxa"/>
            <w:gridSpan w:val="2"/>
            <w:vAlign w:val="center"/>
          </w:tcPr>
          <w:p w14:paraId="22452943">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评审因素</w:t>
            </w:r>
          </w:p>
        </w:tc>
        <w:tc>
          <w:tcPr>
            <w:tcW w:w="5409" w:type="dxa"/>
            <w:vAlign w:val="center"/>
          </w:tcPr>
          <w:p w14:paraId="097F02A2">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评审标准</w:t>
            </w:r>
          </w:p>
        </w:tc>
      </w:tr>
      <w:tr w14:paraId="37E5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406A50EE">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560" w:type="dxa"/>
            <w:vMerge w:val="restart"/>
            <w:vAlign w:val="center"/>
          </w:tcPr>
          <w:p w14:paraId="46488D0D">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有效性审查</w:t>
            </w:r>
          </w:p>
        </w:tc>
        <w:tc>
          <w:tcPr>
            <w:tcW w:w="1984" w:type="dxa"/>
            <w:vAlign w:val="center"/>
          </w:tcPr>
          <w:p w14:paraId="6FA3B633">
            <w:pPr>
              <w:rPr>
                <w:rFonts w:ascii="宋体" w:hAnsi="宋体" w:cs="宋体"/>
                <w:color w:val="auto"/>
                <w:kern w:val="0"/>
                <w:sz w:val="24"/>
                <w:szCs w:val="24"/>
                <w:highlight w:val="none"/>
              </w:rPr>
            </w:pPr>
            <w:r>
              <w:rPr>
                <w:rFonts w:hint="eastAsia" w:ascii="宋体" w:hAnsi="宋体" w:cs="宋体"/>
                <w:color w:val="auto"/>
                <w:sz w:val="24"/>
                <w:szCs w:val="24"/>
                <w:highlight w:val="none"/>
              </w:rPr>
              <w:t>响应文件签署或盖章</w:t>
            </w:r>
          </w:p>
        </w:tc>
        <w:tc>
          <w:tcPr>
            <w:tcW w:w="5409" w:type="dxa"/>
            <w:vAlign w:val="center"/>
          </w:tcPr>
          <w:p w14:paraId="1B54334B">
            <w:pPr>
              <w:rPr>
                <w:rFonts w:ascii="宋体" w:hAnsi="宋体" w:cs="宋体"/>
                <w:color w:val="auto"/>
                <w:kern w:val="0"/>
                <w:sz w:val="24"/>
                <w:szCs w:val="24"/>
                <w:highlight w:val="none"/>
              </w:rPr>
            </w:pPr>
            <w:r>
              <w:rPr>
                <w:rFonts w:hint="eastAsia" w:ascii="宋体" w:hAnsi="宋体" w:cs="宋体"/>
                <w:color w:val="auto"/>
                <w:sz w:val="24"/>
                <w:szCs w:val="24"/>
                <w:highlight w:val="none"/>
              </w:rPr>
              <w:t>按竞争性磋商文件“第七篇响应文件编制要求”要求签署或盖章。</w:t>
            </w:r>
          </w:p>
        </w:tc>
      </w:tr>
      <w:tr w14:paraId="45BF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348D9D04">
            <w:pPr>
              <w:jc w:val="center"/>
              <w:rPr>
                <w:rFonts w:ascii="宋体" w:hAnsi="宋体" w:cs="宋体"/>
                <w:color w:val="auto"/>
                <w:kern w:val="0"/>
                <w:sz w:val="24"/>
                <w:szCs w:val="24"/>
                <w:highlight w:val="none"/>
              </w:rPr>
            </w:pPr>
          </w:p>
        </w:tc>
        <w:tc>
          <w:tcPr>
            <w:tcW w:w="1560" w:type="dxa"/>
            <w:vMerge w:val="continue"/>
            <w:vAlign w:val="center"/>
          </w:tcPr>
          <w:p w14:paraId="554478DC">
            <w:pPr>
              <w:rPr>
                <w:rFonts w:ascii="宋体" w:hAnsi="宋体" w:cs="宋体"/>
                <w:color w:val="auto"/>
                <w:kern w:val="0"/>
                <w:sz w:val="24"/>
                <w:szCs w:val="24"/>
                <w:highlight w:val="none"/>
              </w:rPr>
            </w:pPr>
          </w:p>
        </w:tc>
        <w:tc>
          <w:tcPr>
            <w:tcW w:w="1984" w:type="dxa"/>
            <w:vAlign w:val="center"/>
          </w:tcPr>
          <w:p w14:paraId="589B20CD">
            <w:pPr>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w:t>
            </w:r>
          </w:p>
        </w:tc>
        <w:tc>
          <w:tcPr>
            <w:tcW w:w="5409" w:type="dxa"/>
            <w:vAlign w:val="center"/>
          </w:tcPr>
          <w:p w14:paraId="4E2E2938">
            <w:pPr>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法定代表人身份证明及授权委托书有效，符合竞争性磋商文件规定的格式，签署或盖章齐全。</w:t>
            </w:r>
          </w:p>
        </w:tc>
      </w:tr>
      <w:tr w14:paraId="2E12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73A789FE">
            <w:pPr>
              <w:jc w:val="center"/>
              <w:rPr>
                <w:rFonts w:ascii="宋体" w:hAnsi="宋体" w:cs="宋体"/>
                <w:color w:val="auto"/>
                <w:kern w:val="0"/>
                <w:sz w:val="24"/>
                <w:szCs w:val="24"/>
                <w:highlight w:val="none"/>
              </w:rPr>
            </w:pPr>
          </w:p>
        </w:tc>
        <w:tc>
          <w:tcPr>
            <w:tcW w:w="1560" w:type="dxa"/>
            <w:vMerge w:val="continue"/>
            <w:vAlign w:val="center"/>
          </w:tcPr>
          <w:p w14:paraId="15527EAF">
            <w:pPr>
              <w:rPr>
                <w:rFonts w:ascii="宋体" w:hAnsi="宋体" w:cs="宋体"/>
                <w:color w:val="auto"/>
                <w:kern w:val="0"/>
                <w:sz w:val="24"/>
                <w:szCs w:val="24"/>
                <w:highlight w:val="none"/>
              </w:rPr>
            </w:pPr>
          </w:p>
        </w:tc>
        <w:tc>
          <w:tcPr>
            <w:tcW w:w="1984" w:type="dxa"/>
            <w:vAlign w:val="center"/>
          </w:tcPr>
          <w:p w14:paraId="79ADA1B0">
            <w:pPr>
              <w:rPr>
                <w:rFonts w:ascii="宋体" w:hAnsi="宋体" w:cs="宋体"/>
                <w:color w:val="auto"/>
                <w:sz w:val="24"/>
                <w:szCs w:val="24"/>
                <w:highlight w:val="none"/>
                <w:lang w:val="zh-CN"/>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c>
          <w:tcPr>
            <w:tcW w:w="5409" w:type="dxa"/>
            <w:vAlign w:val="center"/>
          </w:tcPr>
          <w:p w14:paraId="541BED95">
            <w:pPr>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每个包只能有一个</w:t>
            </w: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r>
      <w:tr w14:paraId="2BF7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6B090215">
            <w:pPr>
              <w:jc w:val="center"/>
              <w:rPr>
                <w:rFonts w:ascii="宋体" w:hAnsi="宋体" w:cs="宋体"/>
                <w:color w:val="auto"/>
                <w:kern w:val="0"/>
                <w:sz w:val="24"/>
                <w:szCs w:val="24"/>
                <w:highlight w:val="none"/>
              </w:rPr>
            </w:pPr>
          </w:p>
        </w:tc>
        <w:tc>
          <w:tcPr>
            <w:tcW w:w="1560" w:type="dxa"/>
            <w:vMerge w:val="continue"/>
            <w:vAlign w:val="center"/>
          </w:tcPr>
          <w:p w14:paraId="600D8CC3">
            <w:pPr>
              <w:rPr>
                <w:rFonts w:ascii="宋体" w:hAnsi="宋体" w:cs="宋体"/>
                <w:color w:val="auto"/>
                <w:kern w:val="0"/>
                <w:sz w:val="24"/>
                <w:szCs w:val="24"/>
                <w:highlight w:val="none"/>
              </w:rPr>
            </w:pPr>
          </w:p>
        </w:tc>
        <w:tc>
          <w:tcPr>
            <w:tcW w:w="1984" w:type="dxa"/>
            <w:vAlign w:val="center"/>
          </w:tcPr>
          <w:p w14:paraId="7D6C15EF">
            <w:pPr>
              <w:rPr>
                <w:rFonts w:ascii="宋体" w:hAnsi="宋体" w:cs="宋体"/>
                <w:color w:val="auto"/>
                <w:sz w:val="24"/>
                <w:szCs w:val="24"/>
                <w:highlight w:val="none"/>
                <w:lang w:val="zh-CN"/>
              </w:rPr>
            </w:pPr>
            <w:r>
              <w:rPr>
                <w:rFonts w:hint="eastAsia" w:ascii="宋体" w:hAnsi="宋体" w:cs="宋体"/>
                <w:color w:val="auto"/>
                <w:sz w:val="24"/>
                <w:szCs w:val="24"/>
                <w:highlight w:val="none"/>
              </w:rPr>
              <w:t>报价唯一</w:t>
            </w:r>
          </w:p>
        </w:tc>
        <w:tc>
          <w:tcPr>
            <w:tcW w:w="5409" w:type="dxa"/>
            <w:vAlign w:val="center"/>
          </w:tcPr>
          <w:p w14:paraId="613AC8DE">
            <w:pPr>
              <w:rPr>
                <w:rFonts w:ascii="宋体" w:hAnsi="宋体" w:cs="宋体"/>
                <w:color w:val="auto"/>
                <w:kern w:val="0"/>
                <w:sz w:val="24"/>
                <w:szCs w:val="24"/>
                <w:highlight w:val="none"/>
              </w:rPr>
            </w:pPr>
            <w:r>
              <w:rPr>
                <w:rFonts w:hint="eastAsia" w:ascii="宋体" w:hAnsi="宋体" w:cs="宋体"/>
                <w:color w:val="auto"/>
                <w:sz w:val="24"/>
                <w:szCs w:val="24"/>
                <w:highlight w:val="none"/>
              </w:rPr>
              <w:t>只能有一个有效报价，不得提交选择性报价。</w:t>
            </w:r>
          </w:p>
        </w:tc>
      </w:tr>
      <w:tr w14:paraId="2B89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187F24B7">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1560" w:type="dxa"/>
            <w:vAlign w:val="center"/>
          </w:tcPr>
          <w:p w14:paraId="530F3EA2">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完整性审查</w:t>
            </w:r>
          </w:p>
        </w:tc>
        <w:tc>
          <w:tcPr>
            <w:tcW w:w="1984" w:type="dxa"/>
            <w:vAlign w:val="center"/>
          </w:tcPr>
          <w:p w14:paraId="13917BF9">
            <w:pPr>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文件份数</w:t>
            </w:r>
          </w:p>
        </w:tc>
        <w:tc>
          <w:tcPr>
            <w:tcW w:w="5409" w:type="dxa"/>
            <w:vAlign w:val="center"/>
          </w:tcPr>
          <w:p w14:paraId="77DE2CDF">
            <w:pPr>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文件正、副本数量（含电子文档）符合</w:t>
            </w:r>
            <w:r>
              <w:rPr>
                <w:rFonts w:hint="eastAsia" w:ascii="宋体" w:hAnsi="宋体" w:cs="宋体"/>
                <w:color w:val="auto"/>
                <w:sz w:val="24"/>
                <w:szCs w:val="24"/>
                <w:highlight w:val="none"/>
              </w:rPr>
              <w:t>竞争性磋商</w:t>
            </w:r>
            <w:r>
              <w:rPr>
                <w:rFonts w:hint="eastAsia" w:ascii="宋体" w:hAnsi="宋体" w:cs="宋体"/>
                <w:color w:val="auto"/>
                <w:sz w:val="24"/>
                <w:szCs w:val="24"/>
                <w:highlight w:val="none"/>
                <w:lang w:val="zh-CN"/>
              </w:rPr>
              <w:t>文件要求。</w:t>
            </w:r>
          </w:p>
        </w:tc>
      </w:tr>
      <w:tr w14:paraId="0629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6A5B9C77">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1560" w:type="dxa"/>
            <w:vMerge w:val="restart"/>
            <w:vAlign w:val="center"/>
          </w:tcPr>
          <w:p w14:paraId="583B34B2">
            <w:pPr>
              <w:rPr>
                <w:rFonts w:ascii="宋体" w:hAnsi="宋体" w:cs="宋体"/>
                <w:color w:val="auto"/>
                <w:sz w:val="24"/>
                <w:szCs w:val="24"/>
                <w:highlight w:val="none"/>
                <w:lang w:val="zh-CN"/>
              </w:rPr>
            </w:pPr>
            <w:r>
              <w:rPr>
                <w:rFonts w:hint="eastAsia" w:ascii="宋体" w:hAnsi="宋体" w:cs="宋体"/>
                <w:color w:val="auto"/>
                <w:kern w:val="0"/>
                <w:sz w:val="24"/>
                <w:szCs w:val="24"/>
                <w:highlight w:val="none"/>
              </w:rPr>
              <w:t>响应程度审查</w:t>
            </w:r>
          </w:p>
        </w:tc>
        <w:tc>
          <w:tcPr>
            <w:tcW w:w="1984" w:type="dxa"/>
            <w:vAlign w:val="center"/>
          </w:tcPr>
          <w:p w14:paraId="431B0177">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实质性响应</w:t>
            </w:r>
          </w:p>
        </w:tc>
        <w:tc>
          <w:tcPr>
            <w:tcW w:w="5409" w:type="dxa"/>
            <w:vAlign w:val="center"/>
          </w:tcPr>
          <w:p w14:paraId="69FB5549">
            <w:pPr>
              <w:pStyle w:val="32"/>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竞争性磋商文件第二篇、第三篇“</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”标注部分。</w:t>
            </w:r>
          </w:p>
        </w:tc>
      </w:tr>
      <w:tr w14:paraId="3003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4C2DE262">
            <w:pPr>
              <w:jc w:val="center"/>
              <w:rPr>
                <w:rFonts w:ascii="宋体" w:hAnsi="宋体" w:cs="宋体"/>
                <w:color w:val="auto"/>
                <w:kern w:val="0"/>
                <w:sz w:val="24"/>
                <w:szCs w:val="24"/>
                <w:highlight w:val="none"/>
              </w:rPr>
            </w:pPr>
          </w:p>
        </w:tc>
        <w:tc>
          <w:tcPr>
            <w:tcW w:w="1560" w:type="dxa"/>
            <w:vMerge w:val="continue"/>
            <w:vAlign w:val="center"/>
          </w:tcPr>
          <w:p w14:paraId="3D6F43AD">
            <w:pPr>
              <w:rPr>
                <w:rFonts w:ascii="宋体" w:hAnsi="宋体" w:cs="宋体"/>
                <w:color w:val="auto"/>
                <w:sz w:val="24"/>
                <w:szCs w:val="24"/>
                <w:highlight w:val="none"/>
                <w:lang w:val="zh-CN"/>
              </w:rPr>
            </w:pPr>
          </w:p>
        </w:tc>
        <w:tc>
          <w:tcPr>
            <w:tcW w:w="1984" w:type="dxa"/>
            <w:vAlign w:val="center"/>
          </w:tcPr>
          <w:p w14:paraId="7896399E">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磋商有效期</w:t>
            </w:r>
          </w:p>
        </w:tc>
        <w:tc>
          <w:tcPr>
            <w:tcW w:w="5409" w:type="dxa"/>
            <w:vAlign w:val="center"/>
          </w:tcPr>
          <w:p w14:paraId="07F997EE">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响应文件及有关承诺文件有效期为提交响应文件截止时间起90天。</w:t>
            </w:r>
          </w:p>
        </w:tc>
      </w:tr>
    </w:tbl>
    <w:p w14:paraId="3DD3DBE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3A4B032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7591639">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62F02EB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（五）在磋商过程中磋商的任何一方不得向他人透露与磋商有关的技术资料、价格或其他信息。</w:t>
      </w:r>
    </w:p>
    <w:p w14:paraId="6F0A2C7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70204B2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（七）供应商在磋商时作出的所有书面承诺须由法定代表人（或其授权代表）或自然人（供应商为自然人）签署。</w:t>
      </w:r>
    </w:p>
    <w:p w14:paraId="6C44EB17">
      <w:pPr>
        <w:spacing w:line="400" w:lineRule="exact"/>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hint="eastAsia" w:ascii="宋体" w:hAnsi="宋体" w:cs="宋体"/>
          <w:b/>
          <w:bCs/>
          <w:color w:val="auto"/>
          <w:sz w:val="24"/>
          <w:szCs w:val="24"/>
          <w:highlight w:val="none"/>
        </w:rPr>
        <w:t>已提交响应文件但未在规定时间内进行最后报价的供应商，或最后报价高于初始报价的（在未实质性变动竞争性磋商文件的情况下），或最后报价有歧义的，均视为放弃最后报价，以供应商响应文件中的报价为准。</w:t>
      </w:r>
    </w:p>
    <w:p w14:paraId="1A3C986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（九）磋商小组采用综合评分法对提交最后报价的供应商的响应文件和最后报价（含有效书面承诺）进行综合评分。</w:t>
      </w:r>
      <w:r>
        <w:rPr>
          <w:rFonts w:hint="eastAsia" w:ascii="宋体" w:hAnsi="宋体" w:cs="宋体"/>
          <w:color w:val="auto"/>
          <w:kern w:val="0"/>
          <w:sz w:val="24"/>
          <w:szCs w:val="24"/>
          <w:highlight w:val="none"/>
        </w:rPr>
        <w:t>综合评分法，是指响应文件满足竞争性磋商文件全部实质性要求且按照评审因素的量化指标评审得分最高的供应商为成交候选供应商的评审方法。供应商总得分为磋商报价、服务部分、商务部分等评定因素分别按照相应权重值计算分项得分后相加，满分为100分</w:t>
      </w:r>
      <w:r>
        <w:rPr>
          <w:rFonts w:hint="eastAsia" w:ascii="宋体" w:hAnsi="宋体" w:cs="宋体"/>
          <w:color w:val="auto"/>
          <w:sz w:val="24"/>
          <w:szCs w:val="24"/>
          <w:highlight w:val="none"/>
        </w:rPr>
        <w:t>。</w:t>
      </w:r>
    </w:p>
    <w:p w14:paraId="7CB57B93">
      <w:pPr>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磋商小组各成员独立对每个有效响应（通过资格性审查、符合性审查的供应商）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若供应商的服务部分为0分，将失去成为成交候选人的资格。</w:t>
      </w:r>
    </w:p>
    <w:p w14:paraId="2F37CFDB">
      <w:pPr>
        <w:pStyle w:val="3"/>
        <w:spacing w:before="0" w:after="0" w:line="440" w:lineRule="exact"/>
        <w:rPr>
          <w:rFonts w:hint="eastAsia" w:ascii="宋体" w:hAnsi="宋体" w:eastAsia="宋体" w:cs="宋体"/>
          <w:color w:val="auto"/>
          <w:sz w:val="24"/>
          <w:szCs w:val="24"/>
          <w:highlight w:val="none"/>
        </w:rPr>
      </w:pPr>
      <w:bookmarkStart w:id="95" w:name="_Toc17796"/>
      <w:r>
        <w:rPr>
          <w:rFonts w:hint="eastAsia" w:ascii="宋体" w:hAnsi="宋体" w:eastAsia="宋体" w:cs="宋体"/>
          <w:color w:val="auto"/>
          <w:sz w:val="24"/>
          <w:szCs w:val="24"/>
          <w:highlight w:val="none"/>
        </w:rPr>
        <w:t>二、评审标准</w:t>
      </w:r>
      <w:bookmarkEnd w:id="95"/>
    </w:p>
    <w:bookmarkEnd w:id="92"/>
    <w:tbl>
      <w:tblPr>
        <w:tblStyle w:val="57"/>
        <w:tblW w:w="9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07"/>
        <w:gridCol w:w="947"/>
        <w:gridCol w:w="5594"/>
        <w:gridCol w:w="1683"/>
      </w:tblGrid>
      <w:tr w14:paraId="0516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55" w:type="dxa"/>
            <w:vAlign w:val="center"/>
          </w:tcPr>
          <w:p w14:paraId="1B4DC1A7">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907" w:type="dxa"/>
            <w:vAlign w:val="center"/>
          </w:tcPr>
          <w:p w14:paraId="64D78255">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评分因素及权值</w:t>
            </w:r>
          </w:p>
        </w:tc>
        <w:tc>
          <w:tcPr>
            <w:tcW w:w="947" w:type="dxa"/>
            <w:vAlign w:val="center"/>
          </w:tcPr>
          <w:p w14:paraId="468CFEB0">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594" w:type="dxa"/>
            <w:vAlign w:val="center"/>
          </w:tcPr>
          <w:p w14:paraId="6F578C78">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1683" w:type="dxa"/>
            <w:vAlign w:val="center"/>
          </w:tcPr>
          <w:p w14:paraId="013F0D41">
            <w:pPr>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tc>
      </w:tr>
      <w:tr w14:paraId="7198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455" w:type="dxa"/>
            <w:vAlign w:val="center"/>
          </w:tcPr>
          <w:p w14:paraId="59CD59B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07" w:type="dxa"/>
            <w:vAlign w:val="center"/>
          </w:tcPr>
          <w:p w14:paraId="2F33761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w:t>
            </w:r>
          </w:p>
          <w:p w14:paraId="3369C40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p w14:paraId="049934B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w:t>
            </w:r>
          </w:p>
        </w:tc>
        <w:tc>
          <w:tcPr>
            <w:tcW w:w="947" w:type="dxa"/>
            <w:vAlign w:val="center"/>
          </w:tcPr>
          <w:p w14:paraId="033AEA8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CN"/>
              </w:rPr>
              <w:t>分</w:t>
            </w:r>
          </w:p>
        </w:tc>
        <w:tc>
          <w:tcPr>
            <w:tcW w:w="5594" w:type="dxa"/>
            <w:vAlign w:val="center"/>
          </w:tcPr>
          <w:p w14:paraId="6ECCAE6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满足资格性、符合性要求且最后报价最低的供应商的价格为磋商基准价，按照下列公式计算每个供应商的磋商报价得分。</w:t>
            </w:r>
          </w:p>
          <w:p w14:paraId="7E0F9A0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磋商报价得分=（磋商基准价/最后磋商报价）×价格权值×100。</w:t>
            </w:r>
          </w:p>
        </w:tc>
        <w:tc>
          <w:tcPr>
            <w:tcW w:w="1683" w:type="dxa"/>
            <w:vAlign w:val="center"/>
          </w:tcPr>
          <w:p w14:paraId="2AD171A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计算结果保留小数点后两位，第三位四舍五入。</w:t>
            </w:r>
          </w:p>
        </w:tc>
      </w:tr>
      <w:tr w14:paraId="2310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455" w:type="dxa"/>
            <w:vMerge w:val="restart"/>
            <w:vAlign w:val="center"/>
          </w:tcPr>
          <w:p w14:paraId="63B301E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3C4E7F6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60A4B88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2B3B78A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p>
          <w:p w14:paraId="5CC4854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07" w:type="dxa"/>
            <w:vMerge w:val="restart"/>
            <w:vAlign w:val="center"/>
          </w:tcPr>
          <w:p w14:paraId="29B85B7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0B6672C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02FEDCA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2017B4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p>
          <w:p w14:paraId="008CC70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p>
          <w:p w14:paraId="16F06B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部分</w:t>
            </w:r>
          </w:p>
          <w:p w14:paraId="373CB07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45</w:t>
            </w:r>
            <w:r>
              <w:rPr>
                <w:rFonts w:hint="eastAsia" w:ascii="宋体" w:hAnsi="宋体" w:eastAsia="宋体" w:cs="宋体"/>
                <w:color w:val="auto"/>
                <w:sz w:val="21"/>
                <w:szCs w:val="21"/>
                <w:highlight w:val="none"/>
              </w:rPr>
              <w:t>%)</w:t>
            </w:r>
          </w:p>
        </w:tc>
        <w:tc>
          <w:tcPr>
            <w:tcW w:w="947" w:type="dxa"/>
            <w:vAlign w:val="center"/>
          </w:tcPr>
          <w:p w14:paraId="1BFD1DC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项目需求及重难点分析</w:t>
            </w:r>
          </w:p>
          <w:p w14:paraId="043D27D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445CAC9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供应商结合项目实际情况和采购需求，</w:t>
            </w:r>
            <w:r>
              <w:rPr>
                <w:rFonts w:hint="eastAsia" w:ascii="宋体" w:hAnsi="宋体" w:cs="宋体"/>
                <w:color w:val="auto"/>
                <w:sz w:val="21"/>
                <w:szCs w:val="21"/>
                <w:highlight w:val="none"/>
                <w:lang w:val="en-US" w:eastAsia="zh-CN"/>
              </w:rPr>
              <w:t>提供项目需求及重难点分析</w:t>
            </w:r>
            <w:r>
              <w:rPr>
                <w:rFonts w:hint="eastAsia" w:ascii="宋体" w:hAnsi="宋体" w:eastAsia="宋体" w:cs="宋体"/>
                <w:color w:val="auto"/>
                <w:sz w:val="21"/>
                <w:szCs w:val="21"/>
                <w:highlight w:val="none"/>
                <w:lang w:val="en-US" w:eastAsia="zh-CN"/>
              </w:rPr>
              <w:t>方案。方案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但不限于：①历史情况；②目标任务；③实施要求；④重难点分析。</w:t>
            </w:r>
          </w:p>
          <w:p w14:paraId="4867BD9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73C23F9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4CAC7A3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306BA00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67300A7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restart"/>
            <w:vAlign w:val="center"/>
          </w:tcPr>
          <w:p w14:paraId="0414F9D8">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方案，格式自拟。本项内容中所称的“瑕疵”指方案内容缺项、内容表述不完整、方案内容表述前后矛盾、无连贯性，内容存在逻辑漏洞、常识错误并不适用本项目特性或非专门针对本项目特征制定、方案中并未体现对应内容或方案中提出的措施不利于本项目目标实现等任意一种情形。</w:t>
            </w:r>
          </w:p>
        </w:tc>
      </w:tr>
      <w:tr w14:paraId="21E0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68AEA366">
            <w:pPr>
              <w:bidi w:val="0"/>
              <w:rPr>
                <w:rFonts w:hint="eastAsia" w:ascii="宋体" w:hAnsi="宋体" w:eastAsia="宋体" w:cs="宋体"/>
                <w:color w:val="auto"/>
                <w:sz w:val="21"/>
                <w:szCs w:val="21"/>
                <w:highlight w:val="none"/>
              </w:rPr>
            </w:pPr>
          </w:p>
        </w:tc>
        <w:tc>
          <w:tcPr>
            <w:tcW w:w="907" w:type="dxa"/>
            <w:vMerge w:val="continue"/>
            <w:vAlign w:val="center"/>
          </w:tcPr>
          <w:p w14:paraId="6211C9D7">
            <w:pPr>
              <w:bidi w:val="0"/>
              <w:rPr>
                <w:rFonts w:hint="eastAsia" w:ascii="宋体" w:hAnsi="宋体" w:eastAsia="宋体" w:cs="宋体"/>
                <w:color w:val="auto"/>
                <w:sz w:val="21"/>
                <w:szCs w:val="21"/>
                <w:highlight w:val="none"/>
              </w:rPr>
            </w:pPr>
          </w:p>
        </w:tc>
        <w:tc>
          <w:tcPr>
            <w:tcW w:w="947" w:type="dxa"/>
            <w:vAlign w:val="center"/>
          </w:tcPr>
          <w:p w14:paraId="1F41E4C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项目管理方案</w:t>
            </w:r>
          </w:p>
          <w:p w14:paraId="0E4CDB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34BE33E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提供项目管理方案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但不限于：①加工流程；②加工操作规范；③现场纪律及考勤；④安全管理制度。</w:t>
            </w:r>
          </w:p>
          <w:p w14:paraId="2DDCC24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0EE1743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5705424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898D68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1A9D5AC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52D28006">
            <w:pPr>
              <w:bidi w:val="0"/>
              <w:rPr>
                <w:rFonts w:hint="eastAsia" w:ascii="宋体" w:hAnsi="宋体" w:eastAsia="宋体" w:cs="宋体"/>
                <w:color w:val="auto"/>
                <w:sz w:val="21"/>
                <w:szCs w:val="21"/>
                <w:highlight w:val="none"/>
              </w:rPr>
            </w:pPr>
          </w:p>
        </w:tc>
      </w:tr>
      <w:tr w14:paraId="5684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55" w:type="dxa"/>
            <w:vMerge w:val="continue"/>
            <w:vAlign w:val="center"/>
          </w:tcPr>
          <w:p w14:paraId="7E42424C">
            <w:pPr>
              <w:bidi w:val="0"/>
              <w:rPr>
                <w:rFonts w:hint="eastAsia" w:ascii="宋体" w:hAnsi="宋体" w:eastAsia="宋体" w:cs="宋体"/>
                <w:color w:val="auto"/>
                <w:sz w:val="21"/>
                <w:szCs w:val="21"/>
                <w:highlight w:val="none"/>
              </w:rPr>
            </w:pPr>
          </w:p>
        </w:tc>
        <w:tc>
          <w:tcPr>
            <w:tcW w:w="907" w:type="dxa"/>
            <w:vMerge w:val="continue"/>
            <w:vAlign w:val="center"/>
          </w:tcPr>
          <w:p w14:paraId="3CE9825F">
            <w:pPr>
              <w:bidi w:val="0"/>
              <w:rPr>
                <w:rFonts w:hint="eastAsia" w:ascii="宋体" w:hAnsi="宋体" w:eastAsia="宋体" w:cs="宋体"/>
                <w:color w:val="auto"/>
                <w:sz w:val="21"/>
                <w:szCs w:val="21"/>
                <w:highlight w:val="none"/>
              </w:rPr>
            </w:pPr>
          </w:p>
        </w:tc>
        <w:tc>
          <w:tcPr>
            <w:tcW w:w="947" w:type="dxa"/>
            <w:vAlign w:val="center"/>
          </w:tcPr>
          <w:p w14:paraId="7D4AE9C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质量及进度方案</w:t>
            </w:r>
          </w:p>
          <w:p w14:paraId="18EB2E5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724F9A2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质量及进度方案</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但不限于：①质量管理及保障措施；②组织架构及职责；③进度计划；④进度保障措施。</w:t>
            </w:r>
          </w:p>
          <w:p w14:paraId="4432299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380A02B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171E19D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9C8426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4EEFB4A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5C03652B">
            <w:pPr>
              <w:bidi w:val="0"/>
              <w:rPr>
                <w:rFonts w:hint="eastAsia" w:ascii="宋体" w:hAnsi="宋体" w:eastAsia="宋体" w:cs="宋体"/>
                <w:color w:val="auto"/>
                <w:sz w:val="21"/>
                <w:szCs w:val="21"/>
                <w:highlight w:val="none"/>
              </w:rPr>
            </w:pPr>
          </w:p>
        </w:tc>
      </w:tr>
      <w:tr w14:paraId="71FB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55" w:type="dxa"/>
            <w:vMerge w:val="continue"/>
            <w:vAlign w:val="center"/>
          </w:tcPr>
          <w:p w14:paraId="250519C8">
            <w:pPr>
              <w:bidi w:val="0"/>
              <w:rPr>
                <w:rFonts w:hint="eastAsia" w:ascii="宋体" w:hAnsi="宋体" w:eastAsia="宋体" w:cs="宋体"/>
                <w:color w:val="auto"/>
                <w:sz w:val="21"/>
                <w:szCs w:val="21"/>
                <w:highlight w:val="none"/>
              </w:rPr>
            </w:pPr>
          </w:p>
        </w:tc>
        <w:tc>
          <w:tcPr>
            <w:tcW w:w="907" w:type="dxa"/>
            <w:vMerge w:val="continue"/>
            <w:vAlign w:val="center"/>
          </w:tcPr>
          <w:p w14:paraId="0272D711">
            <w:pPr>
              <w:bidi w:val="0"/>
              <w:rPr>
                <w:rFonts w:hint="eastAsia" w:ascii="宋体" w:hAnsi="宋体" w:eastAsia="宋体" w:cs="宋体"/>
                <w:color w:val="auto"/>
                <w:sz w:val="21"/>
                <w:szCs w:val="21"/>
                <w:highlight w:val="none"/>
              </w:rPr>
            </w:pPr>
          </w:p>
        </w:tc>
        <w:tc>
          <w:tcPr>
            <w:tcW w:w="947" w:type="dxa"/>
            <w:vAlign w:val="center"/>
          </w:tcPr>
          <w:p w14:paraId="1D31726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维护方案</w:t>
            </w:r>
          </w:p>
          <w:p w14:paraId="61E048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5594" w:type="dxa"/>
            <w:vAlign w:val="top"/>
          </w:tcPr>
          <w:p w14:paraId="4E14A16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提供维护方案，方案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但不限于：①对在库已数字化的档案运维；②接收后正在数字化的档案运维；③接收后还未数字化的档案运维；④库房及相关设施设备清洁维护。</w:t>
            </w:r>
          </w:p>
          <w:p w14:paraId="45BF1CB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40B1501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0BDA2B6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863CDB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64F1F88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0FBD5EE8">
            <w:pPr>
              <w:bidi w:val="0"/>
              <w:rPr>
                <w:rFonts w:hint="eastAsia" w:ascii="宋体" w:hAnsi="宋体" w:eastAsia="宋体" w:cs="宋体"/>
                <w:color w:val="auto"/>
                <w:sz w:val="21"/>
                <w:szCs w:val="21"/>
                <w:highlight w:val="none"/>
              </w:rPr>
            </w:pPr>
          </w:p>
        </w:tc>
      </w:tr>
      <w:tr w14:paraId="33FA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55" w:type="dxa"/>
            <w:vMerge w:val="continue"/>
            <w:vAlign w:val="center"/>
          </w:tcPr>
          <w:p w14:paraId="13E1FE34">
            <w:pPr>
              <w:bidi w:val="0"/>
              <w:rPr>
                <w:rFonts w:hint="eastAsia" w:ascii="宋体" w:hAnsi="宋体" w:eastAsia="宋体" w:cs="宋体"/>
                <w:color w:val="auto"/>
                <w:sz w:val="21"/>
                <w:szCs w:val="21"/>
                <w:highlight w:val="none"/>
              </w:rPr>
            </w:pPr>
          </w:p>
        </w:tc>
        <w:tc>
          <w:tcPr>
            <w:tcW w:w="907" w:type="dxa"/>
            <w:vMerge w:val="continue"/>
            <w:vAlign w:val="center"/>
          </w:tcPr>
          <w:p w14:paraId="3D23905D">
            <w:pPr>
              <w:bidi w:val="0"/>
              <w:rPr>
                <w:rFonts w:hint="eastAsia" w:ascii="宋体" w:hAnsi="宋体" w:eastAsia="宋体" w:cs="宋体"/>
                <w:color w:val="auto"/>
                <w:sz w:val="21"/>
                <w:szCs w:val="21"/>
                <w:highlight w:val="none"/>
              </w:rPr>
            </w:pPr>
          </w:p>
        </w:tc>
        <w:tc>
          <w:tcPr>
            <w:tcW w:w="947" w:type="dxa"/>
            <w:vAlign w:val="center"/>
          </w:tcPr>
          <w:p w14:paraId="52E25B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安全保密方案</w:t>
            </w:r>
          </w:p>
          <w:p w14:paraId="7F8B556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594" w:type="dxa"/>
            <w:vAlign w:val="top"/>
          </w:tcPr>
          <w:p w14:paraId="7F4F092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安全保密方案</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但不限于：①安全保密组织机构与工作职责；②安全管理制度及保密纪律；③安全管理措施；④安全应急补救措施。</w:t>
            </w:r>
          </w:p>
          <w:p w14:paraId="43ADB22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64735F1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2A8B06F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793BDB1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4086B51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1229F89D">
            <w:pPr>
              <w:bidi w:val="0"/>
              <w:rPr>
                <w:rFonts w:hint="eastAsia" w:ascii="宋体" w:hAnsi="宋体" w:eastAsia="宋体" w:cs="宋体"/>
                <w:color w:val="auto"/>
                <w:sz w:val="21"/>
                <w:szCs w:val="21"/>
                <w:highlight w:val="none"/>
              </w:rPr>
            </w:pPr>
          </w:p>
        </w:tc>
      </w:tr>
      <w:tr w14:paraId="7566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55" w:type="dxa"/>
            <w:vMerge w:val="continue"/>
            <w:vAlign w:val="center"/>
          </w:tcPr>
          <w:p w14:paraId="4A4BD385">
            <w:pPr>
              <w:bidi w:val="0"/>
              <w:rPr>
                <w:rFonts w:hint="eastAsia" w:ascii="宋体" w:hAnsi="宋体" w:eastAsia="宋体" w:cs="宋体"/>
                <w:color w:val="auto"/>
                <w:sz w:val="21"/>
                <w:szCs w:val="21"/>
                <w:highlight w:val="none"/>
              </w:rPr>
            </w:pPr>
          </w:p>
        </w:tc>
        <w:tc>
          <w:tcPr>
            <w:tcW w:w="907" w:type="dxa"/>
            <w:vMerge w:val="continue"/>
            <w:vAlign w:val="center"/>
          </w:tcPr>
          <w:p w14:paraId="78C17ED6">
            <w:pPr>
              <w:bidi w:val="0"/>
              <w:rPr>
                <w:rFonts w:hint="eastAsia" w:ascii="宋体" w:hAnsi="宋体" w:eastAsia="宋体" w:cs="宋体"/>
                <w:color w:val="auto"/>
                <w:sz w:val="21"/>
                <w:szCs w:val="21"/>
                <w:highlight w:val="none"/>
              </w:rPr>
            </w:pPr>
          </w:p>
        </w:tc>
        <w:tc>
          <w:tcPr>
            <w:tcW w:w="947" w:type="dxa"/>
            <w:vAlign w:val="center"/>
          </w:tcPr>
          <w:p w14:paraId="764A0C6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技术保障及售后服务</w:t>
            </w:r>
          </w:p>
          <w:p w14:paraId="65CB21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594" w:type="dxa"/>
            <w:vAlign w:val="top"/>
          </w:tcPr>
          <w:p w14:paraId="26B0DDC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结合本</w:t>
            </w:r>
            <w:r>
              <w:rPr>
                <w:rFonts w:hint="eastAsia" w:ascii="宋体" w:hAnsi="宋体" w:eastAsia="宋体" w:cs="宋体"/>
                <w:color w:val="auto"/>
                <w:sz w:val="21"/>
                <w:szCs w:val="21"/>
                <w:highlight w:val="none"/>
                <w:lang w:val="en-US" w:eastAsia="zh-CN"/>
              </w:rPr>
              <w:t>项目实际情况和</w:t>
            </w: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技术保障及售后服务</w:t>
            </w:r>
            <w:r>
              <w:rPr>
                <w:rFonts w:hint="eastAsia" w:ascii="宋体" w:hAnsi="宋体" w:eastAsia="宋体" w:cs="宋体"/>
                <w:color w:val="auto"/>
                <w:sz w:val="21"/>
                <w:szCs w:val="21"/>
                <w:highlight w:val="none"/>
                <w:lang w:val="en-US" w:eastAsia="zh-CN"/>
              </w:rPr>
              <w:t>方案，方案</w:t>
            </w:r>
            <w:r>
              <w:rPr>
                <w:rFonts w:hint="eastAsia" w:ascii="宋体" w:hAnsi="宋体" w:eastAsia="宋体" w:cs="宋体"/>
                <w:color w:val="auto"/>
                <w:sz w:val="21"/>
                <w:szCs w:val="21"/>
                <w:highlight w:val="none"/>
              </w:rPr>
              <w:t>内容包括</w:t>
            </w:r>
            <w:r>
              <w:rPr>
                <w:rFonts w:hint="eastAsia" w:ascii="宋体" w:hAnsi="宋体" w:eastAsia="宋体" w:cs="宋体"/>
                <w:color w:val="auto"/>
                <w:sz w:val="21"/>
                <w:szCs w:val="21"/>
                <w:highlight w:val="none"/>
                <w:lang w:val="en-US" w:eastAsia="zh-CN"/>
              </w:rPr>
              <w:t>但不限于：①档案数字化加工软件功能描述（包括但不限于：指标定义、权限管理、日志管理、用户管理、岗位流转、任务管理、图像优化、格式转换、随机抽检、自动上传下载、逐级质检、图像分类、自动生成目录、数据整合、统计报表、数据挂接）；②售后服务方案（包括但不限于：数字化加工成果维护、售后服务体系、售后服务机构网点及人员安排等）。</w:t>
            </w:r>
          </w:p>
          <w:p w14:paraId="2B6D531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方案内容无瑕疵得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2123DCB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方案内容存在1处瑕疵得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5E5E55D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方案内容存在2处瑕疵得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1171075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方案内容存在3处瑕疵得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04A0612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方案内容存在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处</w:t>
            </w:r>
            <w:r>
              <w:rPr>
                <w:rFonts w:hint="eastAsia" w:ascii="宋体" w:hAnsi="宋体" w:eastAsia="宋体" w:cs="宋体"/>
                <w:color w:val="auto"/>
                <w:sz w:val="21"/>
                <w:szCs w:val="21"/>
                <w:highlight w:val="none"/>
                <w:lang w:val="en-US" w:eastAsia="zh-CN"/>
              </w:rPr>
              <w:t>及以上</w:t>
            </w:r>
            <w:r>
              <w:rPr>
                <w:rFonts w:hint="eastAsia" w:ascii="宋体" w:hAnsi="宋体" w:eastAsia="宋体" w:cs="宋体"/>
                <w:color w:val="auto"/>
                <w:sz w:val="21"/>
                <w:szCs w:val="21"/>
                <w:highlight w:val="none"/>
              </w:rPr>
              <w:t>瑕疵</w:t>
            </w:r>
            <w:r>
              <w:rPr>
                <w:rFonts w:hint="eastAsia" w:ascii="宋体" w:hAnsi="宋体" w:eastAsia="宋体" w:cs="宋体"/>
                <w:color w:val="auto"/>
                <w:sz w:val="21"/>
                <w:szCs w:val="21"/>
                <w:highlight w:val="none"/>
                <w:lang w:val="en-US" w:eastAsia="zh-CN"/>
              </w:rPr>
              <w:t>或未提供方案的</w:t>
            </w:r>
            <w:r>
              <w:rPr>
                <w:rFonts w:hint="eastAsia" w:ascii="宋体" w:hAnsi="宋体" w:eastAsia="宋体" w:cs="宋体"/>
                <w:color w:val="auto"/>
                <w:sz w:val="21"/>
                <w:szCs w:val="21"/>
                <w:highlight w:val="none"/>
              </w:rPr>
              <w:t>得0分。</w:t>
            </w:r>
          </w:p>
        </w:tc>
        <w:tc>
          <w:tcPr>
            <w:tcW w:w="1683" w:type="dxa"/>
            <w:vMerge w:val="continue"/>
            <w:vAlign w:val="center"/>
          </w:tcPr>
          <w:p w14:paraId="7A8BF15D">
            <w:pPr>
              <w:bidi w:val="0"/>
              <w:rPr>
                <w:rFonts w:hint="eastAsia" w:ascii="宋体" w:hAnsi="宋体" w:eastAsia="宋体" w:cs="宋体"/>
                <w:color w:val="auto"/>
                <w:sz w:val="21"/>
                <w:szCs w:val="21"/>
                <w:highlight w:val="none"/>
              </w:rPr>
            </w:pPr>
          </w:p>
        </w:tc>
      </w:tr>
      <w:tr w14:paraId="2E12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586" w:type="dxa"/>
            <w:gridSpan w:val="5"/>
            <w:vAlign w:val="center"/>
          </w:tcPr>
          <w:p w14:paraId="5CA2D4A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供应商的应答应满足竞争性磋商文件“第三篇 采购商务需求”，有一条不满足的（第三篇中“※”号标注的部分除外），商务部分得分为0分，不再进入商务部分的评审。</w:t>
            </w:r>
          </w:p>
        </w:tc>
      </w:tr>
      <w:tr w14:paraId="237E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trPr>
        <w:tc>
          <w:tcPr>
            <w:tcW w:w="455" w:type="dxa"/>
            <w:vMerge w:val="restart"/>
            <w:vAlign w:val="center"/>
          </w:tcPr>
          <w:p w14:paraId="575A085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07" w:type="dxa"/>
            <w:vMerge w:val="restart"/>
            <w:vAlign w:val="center"/>
          </w:tcPr>
          <w:p w14:paraId="6EF3677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w:t>
            </w:r>
          </w:p>
          <w:p w14:paraId="524E71E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部分</w:t>
            </w:r>
          </w:p>
          <w:p w14:paraId="07D175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40</w:t>
            </w:r>
            <w:r>
              <w:rPr>
                <w:rFonts w:hint="eastAsia" w:ascii="宋体" w:hAnsi="宋体" w:eastAsia="宋体" w:cs="宋体"/>
                <w:color w:val="auto"/>
                <w:sz w:val="21"/>
                <w:szCs w:val="21"/>
                <w:highlight w:val="none"/>
              </w:rPr>
              <w:t>%）</w:t>
            </w:r>
          </w:p>
        </w:tc>
        <w:tc>
          <w:tcPr>
            <w:tcW w:w="947" w:type="dxa"/>
            <w:vAlign w:val="center"/>
          </w:tcPr>
          <w:p w14:paraId="468410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企业资质</w:t>
            </w:r>
          </w:p>
          <w:p w14:paraId="47611BF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5594" w:type="dxa"/>
            <w:vAlign w:val="center"/>
          </w:tcPr>
          <w:p w14:paraId="4DB6A62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具有在有效期内的IS020000信息服务管理体系证书、ISO9001质量管理体系证书、ISO27001信息安全管理体系证书、职业安全管理体系证书、环境管理体系证书，每提供1个得0.5分，本小项最多得2.5分，其他或未提供不得分。</w:t>
            </w:r>
          </w:p>
          <w:p w14:paraId="49CFCA1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2.供应商具有“商品售后服务评价体系”（认证范围包含档案整理、档案数字化加工相关），五星及以上的得2分，四星及以下得1分，本小项最多得2分，其他或未提供不得分。</w:t>
            </w:r>
          </w:p>
          <w:p w14:paraId="7CA589F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3.供应商具有中国电子技术标准化研究院颁发的CSMM软件能力成熟度等级证书，成熟度 4 级及以上的得3分，3级及以下得1分，本小项最多得3分，其他或未提供不得分。</w:t>
            </w:r>
          </w:p>
          <w:p w14:paraId="6A78D20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4.供应商具有数据管理能力成熟度(DCMM)证书，三级及以上的得3分，二级及以下得1分，本小项最多得3分，其他或未提供不得分。</w:t>
            </w:r>
          </w:p>
          <w:p w14:paraId="73F410A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5.供应商具有信息安全服务资质认证证书，服务类别为信息系统安全运维的得2分，本小项最多得2分，其他或未提供不得分。</w:t>
            </w:r>
          </w:p>
          <w:p w14:paraId="3B66D8B5">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6.供应商具有与本项目相关的档案类软件著作权证书（获取时间在本次</w:t>
            </w:r>
            <w:r>
              <w:rPr>
                <w:rFonts w:hint="eastAsia" w:ascii="宋体" w:hAnsi="宋体" w:cs="宋体"/>
                <w:color w:val="auto"/>
                <w:sz w:val="21"/>
                <w:szCs w:val="21"/>
                <w:highlight w:val="none"/>
                <w:lang w:val="en-US" w:eastAsia="zh-CN"/>
              </w:rPr>
              <w:t>磋商开始</w:t>
            </w:r>
            <w:r>
              <w:rPr>
                <w:rFonts w:hint="eastAsia" w:ascii="宋体" w:hAnsi="宋体" w:eastAsia="宋体" w:cs="宋体"/>
                <w:color w:val="auto"/>
                <w:sz w:val="21"/>
                <w:szCs w:val="21"/>
                <w:highlight w:val="none"/>
                <w:lang w:val="en-US" w:eastAsia="zh-CN"/>
              </w:rPr>
              <w:t>时间之前），每提供1个得0.5分，本小项最多得2.5分，其他或未提供不得分。</w:t>
            </w:r>
          </w:p>
          <w:p w14:paraId="4A0B1E3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说明：与本项目相关指软件著作权证书具有“档案”或“档案数字化”或“档案整理”关键字。</w:t>
            </w:r>
          </w:p>
        </w:tc>
        <w:tc>
          <w:tcPr>
            <w:tcW w:w="1683" w:type="dxa"/>
            <w:vAlign w:val="center"/>
          </w:tcPr>
          <w:p w14:paraId="10B2987B">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供应商提供相关证明复印件加盖公章。</w:t>
            </w:r>
          </w:p>
          <w:p w14:paraId="35D61D50">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lang w:val="en-US" w:eastAsia="zh-CN"/>
              </w:rPr>
            </w:pPr>
          </w:p>
        </w:tc>
      </w:tr>
      <w:tr w14:paraId="7294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455" w:type="dxa"/>
            <w:vMerge w:val="continue"/>
            <w:shd w:val="clear" w:color="auto" w:fill="auto"/>
            <w:vAlign w:val="center"/>
          </w:tcPr>
          <w:p w14:paraId="09AFD023">
            <w:pPr>
              <w:bidi w:val="0"/>
              <w:rPr>
                <w:rFonts w:hint="eastAsia" w:ascii="宋体" w:hAnsi="宋体" w:eastAsia="宋体" w:cs="宋体"/>
                <w:color w:val="auto"/>
                <w:sz w:val="21"/>
                <w:szCs w:val="21"/>
                <w:highlight w:val="none"/>
              </w:rPr>
            </w:pPr>
          </w:p>
        </w:tc>
        <w:tc>
          <w:tcPr>
            <w:tcW w:w="907" w:type="dxa"/>
            <w:vMerge w:val="continue"/>
            <w:shd w:val="clear" w:color="auto" w:fill="auto"/>
            <w:vAlign w:val="center"/>
          </w:tcPr>
          <w:p w14:paraId="6EE4DF96">
            <w:pPr>
              <w:bidi w:val="0"/>
              <w:rPr>
                <w:rFonts w:hint="eastAsia" w:ascii="宋体" w:hAnsi="宋体" w:eastAsia="宋体" w:cs="宋体"/>
                <w:color w:val="auto"/>
                <w:sz w:val="21"/>
                <w:szCs w:val="21"/>
                <w:highlight w:val="none"/>
              </w:rPr>
            </w:pPr>
          </w:p>
        </w:tc>
        <w:tc>
          <w:tcPr>
            <w:tcW w:w="947" w:type="dxa"/>
            <w:shd w:val="clear" w:color="auto" w:fill="auto"/>
            <w:vAlign w:val="center"/>
          </w:tcPr>
          <w:p w14:paraId="3C68630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人员</w:t>
            </w:r>
            <w:r>
              <w:rPr>
                <w:rFonts w:hint="eastAsia" w:ascii="宋体" w:hAnsi="宋体" w:cs="宋体"/>
                <w:color w:val="auto"/>
                <w:sz w:val="21"/>
                <w:szCs w:val="21"/>
                <w:highlight w:val="none"/>
                <w:lang w:val="en-US" w:eastAsia="zh-CN"/>
              </w:rPr>
              <w:t>配置</w:t>
            </w:r>
          </w:p>
          <w:p w14:paraId="764910E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（17分）</w:t>
            </w:r>
          </w:p>
        </w:tc>
        <w:tc>
          <w:tcPr>
            <w:tcW w:w="5594" w:type="dxa"/>
            <w:shd w:val="clear" w:color="auto" w:fill="auto"/>
            <w:vAlign w:val="top"/>
          </w:tcPr>
          <w:p w14:paraId="719BB1CD">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为本项目拟派的项目经理须同时具有中国标准化协会颁发的项目管理专业人员能力等级证书（CSPM）、省级（直辖市）及以上保密局颁发的印制资质单位保密管理能力提升培训证书、省级（直辖市）及以上档案局颁发的档案岗位培训证书，1人同时具有以上证书的得6分，本小项最多得6分，不满足或未提供不得分。</w:t>
            </w:r>
          </w:p>
          <w:p w14:paraId="5CDE075E">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为本项目拟派的保密负责人须同时具有省级（直辖市）及以上保密局颁发的印制资质单位保密管理能力提升培训证书、职称改革办公室颁发的档案专业初级及以上职称证书、省级（直辖市）及以上档案局颁发的档案岗位培训证书的，1人同时具有以上证书的得3分，本小项最多得3分，不满足或未提供不得分。</w:t>
            </w:r>
          </w:p>
          <w:p w14:paraId="7C9468C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3.供应商为本项目拟派的项目团队人员须同时具有档案岗位培训证书、职称改革办颁发的档案专业初级及以上职称证书的，每提供同时具有以上证书1人的得1分，本小项最多得5分，不满足或未提供不得分。</w:t>
            </w:r>
          </w:p>
          <w:p w14:paraId="54F1826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4.供应商为本项目拟派的技术人员具有数据库系统工程师证书的，得3分，本小项最多得3分，不满足或未提供不得分。</w:t>
            </w:r>
          </w:p>
          <w:p w14:paraId="41748872">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注：以上人员不重复得分。</w:t>
            </w:r>
          </w:p>
        </w:tc>
        <w:tc>
          <w:tcPr>
            <w:tcW w:w="1683" w:type="dxa"/>
            <w:vAlign w:val="center"/>
          </w:tcPr>
          <w:p w14:paraId="27F27E3C">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须提供</w:t>
            </w:r>
            <w:r>
              <w:rPr>
                <w:rFonts w:hint="eastAsia" w:ascii="宋体" w:hAnsi="宋体" w:cs="宋体"/>
                <w:color w:val="auto"/>
                <w:sz w:val="21"/>
                <w:szCs w:val="21"/>
                <w:highlight w:val="none"/>
                <w:lang w:val="en-US" w:eastAsia="zh-CN"/>
              </w:rPr>
              <w:t>拟派</w:t>
            </w:r>
            <w:r>
              <w:rPr>
                <w:rFonts w:hint="eastAsia" w:ascii="宋体" w:hAnsi="宋体" w:eastAsia="宋体" w:cs="宋体"/>
                <w:color w:val="auto"/>
                <w:sz w:val="21"/>
                <w:szCs w:val="21"/>
                <w:highlight w:val="none"/>
              </w:rPr>
              <w:t>人员</w:t>
            </w:r>
            <w:r>
              <w:rPr>
                <w:rFonts w:hint="eastAsia" w:ascii="宋体" w:hAnsi="宋体" w:eastAsia="宋体" w:cs="宋体"/>
                <w:color w:val="auto"/>
                <w:sz w:val="21"/>
                <w:szCs w:val="21"/>
                <w:highlight w:val="none"/>
                <w:lang w:val="en-US" w:eastAsia="zh-CN"/>
              </w:rPr>
              <w:t>名单和供应商为其缴纳的近三个月</w:t>
            </w:r>
            <w:r>
              <w:rPr>
                <w:rFonts w:hint="eastAsia" w:ascii="宋体" w:hAnsi="宋体" w:cs="宋体"/>
                <w:color w:val="auto"/>
                <w:sz w:val="21"/>
                <w:szCs w:val="21"/>
                <w:highlight w:val="none"/>
                <w:lang w:val="en-US" w:eastAsia="zh-CN"/>
              </w:rPr>
              <w:t>（2025年3月至2025年5月）</w:t>
            </w:r>
            <w:r>
              <w:rPr>
                <w:rFonts w:hint="eastAsia" w:ascii="宋体" w:hAnsi="宋体" w:eastAsia="宋体" w:cs="宋体"/>
                <w:color w:val="auto"/>
                <w:sz w:val="21"/>
                <w:szCs w:val="21"/>
                <w:highlight w:val="none"/>
                <w:lang w:val="en-US" w:eastAsia="zh-CN"/>
              </w:rPr>
              <w:t>社保证明材料和证书复印件加盖供应商公章。</w:t>
            </w:r>
          </w:p>
        </w:tc>
      </w:tr>
      <w:tr w14:paraId="0AF8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455" w:type="dxa"/>
            <w:vMerge w:val="continue"/>
            <w:shd w:val="clear" w:color="auto" w:fill="auto"/>
            <w:vAlign w:val="center"/>
          </w:tcPr>
          <w:p w14:paraId="733620C5">
            <w:pPr>
              <w:bidi w:val="0"/>
              <w:rPr>
                <w:rFonts w:hint="eastAsia" w:ascii="宋体" w:hAnsi="宋体" w:eastAsia="宋体" w:cs="宋体"/>
                <w:color w:val="auto"/>
                <w:sz w:val="21"/>
                <w:szCs w:val="21"/>
                <w:highlight w:val="none"/>
              </w:rPr>
            </w:pPr>
          </w:p>
        </w:tc>
        <w:tc>
          <w:tcPr>
            <w:tcW w:w="907" w:type="dxa"/>
            <w:vMerge w:val="continue"/>
            <w:shd w:val="clear" w:color="auto" w:fill="auto"/>
            <w:vAlign w:val="center"/>
          </w:tcPr>
          <w:p w14:paraId="1B60E679">
            <w:pPr>
              <w:bidi w:val="0"/>
              <w:rPr>
                <w:rFonts w:hint="eastAsia" w:ascii="宋体" w:hAnsi="宋体" w:eastAsia="宋体" w:cs="宋体"/>
                <w:color w:val="auto"/>
                <w:sz w:val="21"/>
                <w:szCs w:val="21"/>
                <w:highlight w:val="none"/>
              </w:rPr>
            </w:pPr>
          </w:p>
        </w:tc>
        <w:tc>
          <w:tcPr>
            <w:tcW w:w="947" w:type="dxa"/>
            <w:shd w:val="clear" w:color="auto" w:fill="auto"/>
            <w:vAlign w:val="center"/>
          </w:tcPr>
          <w:p w14:paraId="070339E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  （</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tc>
        <w:tc>
          <w:tcPr>
            <w:tcW w:w="5594" w:type="dxa"/>
            <w:shd w:val="clear" w:color="auto" w:fill="auto"/>
            <w:vAlign w:val="center"/>
          </w:tcPr>
          <w:p w14:paraId="612F37F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供应</w:t>
            </w:r>
            <w:r>
              <w:rPr>
                <w:rFonts w:hint="eastAsia" w:ascii="宋体" w:hAnsi="宋体" w:eastAsia="宋体" w:cs="宋体"/>
                <w:color w:val="auto"/>
                <w:sz w:val="21"/>
                <w:szCs w:val="21"/>
                <w:highlight w:val="none"/>
                <w:lang w:val="en-US" w:eastAsia="zh-CN"/>
              </w:rPr>
              <w:t>商自2022 年1月1日起至今（以合同签订时间为准）承担过类似本项目业绩的，每提供一个合同得1分，本小项最多得8分，其他或未提供不得分。</w:t>
            </w:r>
          </w:p>
          <w:p w14:paraId="3A98DC9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说明：同一单位只计算1次，不得重复计算（不分年度）。</w:t>
            </w:r>
          </w:p>
        </w:tc>
        <w:tc>
          <w:tcPr>
            <w:tcW w:w="1683" w:type="dxa"/>
            <w:vAlign w:val="center"/>
          </w:tcPr>
          <w:p w14:paraId="02252612">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提供合同（协议）复印件，加盖供应商公章。</w:t>
            </w:r>
          </w:p>
        </w:tc>
      </w:tr>
    </w:tbl>
    <w:p w14:paraId="396F4771">
      <w:pPr>
        <w:pStyle w:val="3"/>
        <w:spacing w:before="0" w:after="0" w:line="440" w:lineRule="exact"/>
        <w:rPr>
          <w:rFonts w:ascii="宋体" w:hAnsi="宋体" w:eastAsia="宋体" w:cs="宋体"/>
          <w:color w:val="auto"/>
          <w:sz w:val="24"/>
          <w:szCs w:val="24"/>
          <w:highlight w:val="none"/>
        </w:rPr>
      </w:pPr>
      <w:bookmarkStart w:id="96" w:name="_Toc604"/>
      <w:r>
        <w:rPr>
          <w:rFonts w:hint="eastAsia" w:ascii="宋体" w:hAnsi="宋体" w:eastAsia="宋体" w:cs="宋体"/>
          <w:color w:val="auto"/>
          <w:sz w:val="24"/>
          <w:szCs w:val="24"/>
          <w:highlight w:val="none"/>
        </w:rPr>
        <w:t>三、无效响应</w:t>
      </w:r>
      <w:bookmarkEnd w:id="96"/>
    </w:p>
    <w:p w14:paraId="157819A6">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供应商发生以下条款情况之一者，视为无效响应，其响应文件将被拒绝：</w:t>
      </w:r>
    </w:p>
    <w:p w14:paraId="2BDE3585">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（一）供应商不符合规定的资格条件的；</w:t>
      </w:r>
    </w:p>
    <w:p w14:paraId="4592998E">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（二）供应商的法定代表人（或其授权代表）或自然人未参加磋商；</w:t>
      </w:r>
    </w:p>
    <w:p w14:paraId="2CD24ED5">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（三）供应商所提交的响应文件不按“第七篇响应文件编制要求”要求签署或盖章；</w:t>
      </w:r>
    </w:p>
    <w:p w14:paraId="2160F6FB">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（四）供应商的最后报价超过采购预算或最高限价的；</w:t>
      </w:r>
    </w:p>
    <w:p w14:paraId="3591368E">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（五）法定代表人为同一个人的两个及两个以上法人，母公司、全资子公司及其控股公司，在同一包采购中同时参与磋商；</w:t>
      </w:r>
    </w:p>
    <w:p w14:paraId="3CAF2052">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（六）单位负责人为同一人或者存在直接控股、管理关系的不同供应商，参加同一合同项下的政府采购活动的；</w:t>
      </w:r>
    </w:p>
    <w:p w14:paraId="45D03643">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（七）为采购项目提供整体设计、规范编制或者项目管理、监理、检测等服务的供应商，再参加该采购项目的其他采购活动；</w:t>
      </w:r>
    </w:p>
    <w:p w14:paraId="57562A4B">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（八）供应商磋商有效期不满足竞争性磋商文件要求的；</w:t>
      </w:r>
    </w:p>
    <w:p w14:paraId="63C98DF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（九）供应商响应文件内容有与国家现行法律法规相违背的内容，或附有采购人无法接受的条件；</w:t>
      </w:r>
    </w:p>
    <w:p w14:paraId="63AB10CB">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（十）供应商以联合体形式参与磋商的；</w:t>
      </w:r>
    </w:p>
    <w:p w14:paraId="169273D9">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（十一）供应商被列入失信被执行人、重大税收违法案件当事人名单、政府采购严重违法失信行为记录名单及其他不符合《中华人民共和国政府采购法》第二十二条规定条件的。</w:t>
      </w:r>
    </w:p>
    <w:p w14:paraId="04AF421E">
      <w:pPr>
        <w:pStyle w:val="3"/>
        <w:spacing w:before="0" w:after="0" w:line="440" w:lineRule="exact"/>
        <w:rPr>
          <w:rFonts w:ascii="宋体" w:hAnsi="宋体" w:eastAsia="宋体" w:cs="宋体"/>
          <w:color w:val="auto"/>
          <w:sz w:val="24"/>
          <w:szCs w:val="24"/>
          <w:highlight w:val="none"/>
        </w:rPr>
      </w:pPr>
      <w:bookmarkStart w:id="97" w:name="_Toc26781"/>
      <w:r>
        <w:rPr>
          <w:rFonts w:hint="eastAsia" w:ascii="宋体" w:hAnsi="宋体" w:eastAsia="宋体" w:cs="宋体"/>
          <w:color w:val="auto"/>
          <w:sz w:val="24"/>
          <w:szCs w:val="24"/>
          <w:highlight w:val="none"/>
        </w:rPr>
        <w:t>四、</w:t>
      </w:r>
      <w:bookmarkEnd w:id="93"/>
      <w:bookmarkEnd w:id="94"/>
      <w:r>
        <w:rPr>
          <w:rFonts w:hint="eastAsia" w:ascii="宋体" w:hAnsi="宋体" w:eastAsia="宋体" w:cs="宋体"/>
          <w:color w:val="auto"/>
          <w:sz w:val="24"/>
          <w:szCs w:val="24"/>
          <w:highlight w:val="none"/>
        </w:rPr>
        <w:t>采购终止</w:t>
      </w:r>
      <w:bookmarkEnd w:id="97"/>
    </w:p>
    <w:p w14:paraId="13A22709">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出现下列情形之一的，采购人或者采购代理机构应当终止竞争性磋商采购活动，发布项目终止公告并说明原因，重新开展采购活动：</w:t>
      </w:r>
    </w:p>
    <w:p w14:paraId="48013CAF">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（一）因情况变化，不再符合规定的竞争性磋商采购方式适用情形的；</w:t>
      </w:r>
    </w:p>
    <w:p w14:paraId="6C15640F">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14:paraId="5A287C47">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三）在采购过程中符合要求的供应商或者报价未超过采购预算的供应商不足3家的，但《政府采购竞争性磋商采购方式管理暂行办法》第二十一条第三款规定的情形,以及财政部财库[2015]124号文件规定的情形除外。</w:t>
      </w:r>
    </w:p>
    <w:p w14:paraId="52A53A55">
      <w:pPr>
        <w:spacing w:line="360" w:lineRule="auto"/>
        <w:ind w:firstLine="480" w:firstLineChars="200"/>
        <w:rPr>
          <w:rFonts w:ascii="宋体" w:hAnsi="宋体" w:cs="宋体"/>
          <w:color w:val="auto"/>
          <w:sz w:val="24"/>
          <w:szCs w:val="24"/>
          <w:highlight w:val="none"/>
        </w:rPr>
        <w:sectPr>
          <w:footerReference r:id="rId8" w:type="default"/>
          <w:pgSz w:w="11907" w:h="16840"/>
          <w:pgMar w:top="1134" w:right="1191" w:bottom="1134" w:left="1304" w:header="850" w:footer="992" w:gutter="0"/>
          <w:cols w:space="720" w:num="1"/>
          <w:rtlGutter w:val="1"/>
          <w:docGrid w:linePitch="312" w:charSpace="0"/>
        </w:sectPr>
      </w:pPr>
    </w:p>
    <w:p w14:paraId="368E8D56">
      <w:pPr>
        <w:pStyle w:val="2"/>
        <w:spacing w:line="360" w:lineRule="auto"/>
        <w:ind w:firstLine="2891" w:firstLineChars="800"/>
        <w:rPr>
          <w:rFonts w:hAnsi="宋体" w:cs="宋体"/>
          <w:b/>
          <w:color w:val="auto"/>
          <w:sz w:val="36"/>
          <w:szCs w:val="36"/>
          <w:highlight w:val="none"/>
        </w:rPr>
      </w:pPr>
      <w:bookmarkStart w:id="98" w:name="_Toc9260"/>
      <w:bookmarkStart w:id="99" w:name="_Toc102227313"/>
      <w:r>
        <w:rPr>
          <w:rFonts w:hint="eastAsia" w:hAnsi="宋体" w:cs="宋体"/>
          <w:b/>
          <w:color w:val="auto"/>
          <w:sz w:val="36"/>
          <w:szCs w:val="36"/>
          <w:highlight w:val="none"/>
        </w:rPr>
        <w:t>第五篇  供应商须知</w:t>
      </w:r>
      <w:bookmarkEnd w:id="98"/>
      <w:bookmarkEnd w:id="99"/>
    </w:p>
    <w:p w14:paraId="62F6B784">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0" w:name="_Toc342913389"/>
      <w:bookmarkStart w:id="101" w:name="_Toc6261"/>
      <w:r>
        <w:rPr>
          <w:rFonts w:hint="eastAsia" w:ascii="宋体" w:hAnsi="宋体" w:eastAsia="宋体" w:cs="宋体"/>
          <w:color w:val="auto"/>
          <w:sz w:val="24"/>
          <w:szCs w:val="24"/>
          <w:highlight w:val="none"/>
        </w:rPr>
        <w:t>一、磋商费用</w:t>
      </w:r>
      <w:bookmarkEnd w:id="100"/>
      <w:bookmarkEnd w:id="101"/>
    </w:p>
    <w:p w14:paraId="235FB3A4">
      <w:pPr>
        <w:pStyle w:val="210"/>
        <w:pageBreakBefore w:val="0"/>
        <w:widowControl w:val="0"/>
        <w:kinsoku/>
        <w:wordWrap/>
        <w:overflowPunct/>
        <w:topLinePunct w:val="0"/>
        <w:autoSpaceDE/>
        <w:autoSpaceDN/>
        <w:bidi w:val="0"/>
        <w:adjustRightInd/>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参与磋商的供应商应承担其编制响应文件与递交响应文件所涉及的一切费用，不论磋商结果如何，采购人和采购代理机构在任何情况下无义务也无责任承担这些费用。</w:t>
      </w:r>
    </w:p>
    <w:p w14:paraId="672A8915">
      <w:pPr>
        <w:pStyle w:val="3"/>
        <w:pageBreakBefore w:val="0"/>
        <w:widowControl w:val="0"/>
        <w:tabs>
          <w:tab w:val="left" w:pos="2640"/>
        </w:tabs>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2" w:name="_Toc342913391"/>
      <w:bookmarkStart w:id="103" w:name="_Toc12525"/>
      <w:r>
        <w:rPr>
          <w:rFonts w:hint="eastAsia" w:ascii="宋体" w:hAnsi="宋体" w:eastAsia="宋体" w:cs="宋体"/>
          <w:color w:val="auto"/>
          <w:sz w:val="24"/>
          <w:szCs w:val="24"/>
          <w:highlight w:val="none"/>
        </w:rPr>
        <w:t>二、竞争性磋商文件</w:t>
      </w:r>
      <w:bookmarkEnd w:id="102"/>
      <w:bookmarkEnd w:id="103"/>
    </w:p>
    <w:p w14:paraId="026C0E07">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（一）竞争性磋商文件由采购邀请书、采购服务需求、采购商务需求、磋商程序及方法、评审标准、无效响应和采购终止、供应商须知、</w:t>
      </w:r>
      <w:r>
        <w:rPr>
          <w:rFonts w:hint="eastAsia" w:ascii="宋体" w:hAnsi="宋体" w:eastAsia="宋体" w:cs="宋体"/>
          <w:color w:val="auto"/>
          <w:sz w:val="24"/>
          <w:szCs w:val="24"/>
          <w:highlight w:val="none"/>
        </w:rPr>
        <w:t>合同草案条款(参考样本)</w:t>
      </w:r>
      <w:r>
        <w:rPr>
          <w:rFonts w:hint="eastAsia" w:ascii="宋体" w:hAnsi="宋体" w:cs="宋体"/>
          <w:color w:val="auto"/>
          <w:sz w:val="24"/>
          <w:szCs w:val="24"/>
          <w:highlight w:val="none"/>
        </w:rPr>
        <w:t>、响应文件编制要求七部分组成。</w:t>
      </w:r>
    </w:p>
    <w:p w14:paraId="596F8C3D">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（二）采购人（或采购代理机构）所作的一切有效的书面通知、修改及补充，都是竞争性磋商文件不可分割的部分。</w:t>
      </w:r>
    </w:p>
    <w:p w14:paraId="0D043A46">
      <w:pPr>
        <w:pageBreakBefore w:val="0"/>
        <w:widowControl w:val="0"/>
        <w:kinsoku/>
        <w:wordWrap/>
        <w:overflowPunct/>
        <w:topLinePunct w:val="0"/>
        <w:autoSpaceDE/>
        <w:autoSpaceDN/>
        <w:bidi w:val="0"/>
        <w:adjustRightInd/>
        <w:spacing w:line="360" w:lineRule="auto"/>
        <w:textAlignment w:val="auto"/>
        <w:rPr>
          <w:rFonts w:ascii="宋体" w:hAnsi="宋体" w:cs="宋体"/>
          <w:color w:val="auto"/>
          <w:sz w:val="24"/>
          <w:szCs w:val="24"/>
          <w:highlight w:val="none"/>
        </w:rPr>
      </w:pPr>
      <w:bookmarkStart w:id="104" w:name="_Toc179714297"/>
      <w:bookmarkStart w:id="105" w:name="_Toc342913392"/>
      <w:bookmarkStart w:id="106" w:name="_Toc102227318"/>
      <w:r>
        <w:rPr>
          <w:rFonts w:hint="eastAsia" w:ascii="宋体" w:hAnsi="宋体" w:cs="宋体"/>
          <w:color w:val="auto"/>
          <w:sz w:val="24"/>
          <w:szCs w:val="24"/>
          <w:highlight w:val="none"/>
        </w:rPr>
        <w:t xml:space="preserve">    （三）竞争性磋商文件的解释</w:t>
      </w:r>
    </w:p>
    <w:p w14:paraId="68A61EC7">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p>
    <w:p w14:paraId="02A9723B">
      <w:pPr>
        <w:pageBreakBefore w:val="0"/>
        <w:widowControl w:val="0"/>
        <w:kinsoku/>
        <w:wordWrap/>
        <w:overflowPunct/>
        <w:topLinePunct w:val="0"/>
        <w:autoSpaceDE/>
        <w:autoSpaceDN/>
        <w:bidi w:val="0"/>
        <w:adjustRightInd/>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（四）本竞争性磋商文件中，磋商小组根据与供应商进行磋商可能实质性变动的内容为竞争性磋商文件第二、三、六篇全部内容。</w:t>
      </w:r>
    </w:p>
    <w:p w14:paraId="76A254B2">
      <w:pPr>
        <w:pageBreakBefore w:val="0"/>
        <w:widowControl w:val="0"/>
        <w:kinsoku/>
        <w:wordWrap/>
        <w:overflowPunct/>
        <w:topLinePunct w:val="0"/>
        <w:autoSpaceDE/>
        <w:autoSpaceDN/>
        <w:bidi w:val="0"/>
        <w:adjustRightInd/>
        <w:spacing w:line="360" w:lineRule="auto"/>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（五）评审的依据为竞争性磋商文件和响应文件（含有效的书面承诺）。磋商小组判断响应文件对竞争性磋商文件的响应，仅基于响应文件本身而不靠外部证据。</w:t>
      </w:r>
    </w:p>
    <w:p w14:paraId="22E5BA38">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7" w:name="_Toc2304"/>
      <w:r>
        <w:rPr>
          <w:rFonts w:hint="eastAsia" w:ascii="宋体" w:hAnsi="宋体" w:eastAsia="宋体" w:cs="宋体"/>
          <w:color w:val="auto"/>
          <w:sz w:val="24"/>
          <w:szCs w:val="24"/>
          <w:highlight w:val="none"/>
        </w:rPr>
        <w:t>三、磋商要求</w:t>
      </w:r>
      <w:bookmarkEnd w:id="104"/>
      <w:bookmarkEnd w:id="105"/>
      <w:bookmarkEnd w:id="106"/>
      <w:bookmarkEnd w:id="107"/>
    </w:p>
    <w:p w14:paraId="448A0289">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（一）响应文件</w:t>
      </w:r>
    </w:p>
    <w:p w14:paraId="34CCAD7B">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1、供应商应当按照竞争性磋商文件的要求编制响应文件，并对竞争性磋商文件提出的要求和条件作出实质性响应，响应文件原则上采用软面订本，同时应编制完整的页码、目录。</w:t>
      </w:r>
    </w:p>
    <w:p w14:paraId="35E66C8B">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2、响应文件组成</w:t>
      </w:r>
    </w:p>
    <w:p w14:paraId="169530CE">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330C443C">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（二）磋商有效期：响应文件及有关承诺文件有效期为提交响应文件截止时间起90天。</w:t>
      </w:r>
    </w:p>
    <w:p w14:paraId="48821408">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（三）修正错误</w:t>
      </w:r>
    </w:p>
    <w:p w14:paraId="0A0B85A8">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1、若供应商所递交的响应文件或最后报价中的价格出现大写金额和小写金额不一致的错误，以大写金额修正为准。</w:t>
      </w:r>
    </w:p>
    <w:p w14:paraId="6392E565">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2、磋商小组按上述修正错误的原则及方法修正供应商的报价，供应商同意并签字确认后，修正后的报价对供应商具有约束作用。如果供应商不接受修正后的价格，将失去成为成交供应商的资格。</w:t>
      </w:r>
    </w:p>
    <w:p w14:paraId="684BDE82">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（四）提交响应文件的份数和签署</w:t>
      </w:r>
    </w:p>
    <w:p w14:paraId="62D23E61">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1、响应文件一式三份，其中正本一份，副本一份</w:t>
      </w:r>
      <w:r>
        <w:rPr>
          <w:rFonts w:hint="eastAsia" w:ascii="宋体" w:hAnsi="宋体" w:cs="宋体"/>
          <w:color w:val="auto"/>
          <w:sz w:val="24"/>
          <w:szCs w:val="24"/>
          <w:highlight w:val="none"/>
          <w:lang w:eastAsia="zh-CN"/>
        </w:rPr>
        <w:t>，</w:t>
      </w:r>
      <w:r>
        <w:rPr>
          <w:rFonts w:hint="eastAsia" w:ascii="宋体" w:hAnsi="宋体" w:cs="宋体"/>
          <w:b/>
          <w:bCs/>
          <w:color w:val="auto"/>
          <w:sz w:val="24"/>
          <w:szCs w:val="24"/>
          <w:highlight w:val="none"/>
        </w:rPr>
        <w:t>电子文档一份（正本签字盖章扫描件）</w:t>
      </w:r>
      <w:r>
        <w:rPr>
          <w:rFonts w:hint="eastAsia" w:ascii="宋体" w:hAnsi="宋体" w:cs="宋体"/>
          <w:color w:val="auto"/>
          <w:sz w:val="24"/>
          <w:szCs w:val="24"/>
          <w:highlight w:val="none"/>
        </w:rPr>
        <w:t>（电子文档内容应与纸质文件正本一致，如不一致以纸质文件正本为准。</w:t>
      </w:r>
      <w:r>
        <w:rPr>
          <w:rFonts w:hint="eastAsia" w:ascii="宋体" w:hAnsi="宋体" w:cs="宋体"/>
          <w:b/>
          <w:bCs/>
          <w:color w:val="auto"/>
          <w:sz w:val="24"/>
          <w:szCs w:val="24"/>
          <w:highlight w:val="none"/>
        </w:rPr>
        <w:t>推荐采用U盘为电子文档载体</w:t>
      </w:r>
      <w:r>
        <w:rPr>
          <w:rFonts w:hint="eastAsia" w:ascii="宋体" w:hAnsi="宋体" w:cs="宋体"/>
          <w:color w:val="auto"/>
          <w:sz w:val="24"/>
          <w:szCs w:val="24"/>
          <w:highlight w:val="none"/>
        </w:rPr>
        <w:t>）；副本可为正本的复印件，应与正本一致，如出现不一致情况以正本为准。</w:t>
      </w:r>
    </w:p>
    <w:p w14:paraId="6F47991E">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2、响应文件按竞争性磋商文件“第七篇响应文件编制要求”要求签署或盖章。</w:t>
      </w:r>
    </w:p>
    <w:p w14:paraId="1A2EEE2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（五）响应文件的递交</w:t>
      </w:r>
    </w:p>
    <w:p w14:paraId="72D4D2FB">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响应文件的正本、副本、电子文档均应密封送达递交响应文件地点，应在封套上注明项目名称、供应商名称。若正本、副本以及电子文档分别进行密封的，还应在封套上注明“正本”、“副本”、“电子文档”字样。</w:t>
      </w:r>
    </w:p>
    <w:p w14:paraId="493E7F8A">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2、封套的封口处应加盖供应商公章或由法定代表人授权代表签字。</w:t>
      </w:r>
    </w:p>
    <w:p w14:paraId="2CC86B44">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3、如果未按上述规定进行密封，采购代理机构对响应文件误投、丢失或提前拆封不负责任。</w:t>
      </w:r>
    </w:p>
    <w:p w14:paraId="582209A2">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（六）供应商参与人员</w:t>
      </w:r>
    </w:p>
    <w:p w14:paraId="4BFA227D">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各个供应商应当派1-2名代表参与磋商，至少1人应为法定代表人（或其授权代表）或自然人（供应商为自然人）。</w:t>
      </w:r>
    </w:p>
    <w:p w14:paraId="2A56BF84">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8" w:name="_Toc22532"/>
      <w:r>
        <w:rPr>
          <w:rFonts w:hint="eastAsia" w:ascii="宋体" w:hAnsi="宋体" w:eastAsia="宋体" w:cs="宋体"/>
          <w:color w:val="auto"/>
          <w:sz w:val="24"/>
          <w:szCs w:val="24"/>
          <w:highlight w:val="none"/>
        </w:rPr>
        <w:t>四、成交供应商的确认和变更</w:t>
      </w:r>
      <w:bookmarkEnd w:id="108"/>
    </w:p>
    <w:p w14:paraId="150E323C">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（一）成交供应商的确认</w:t>
      </w:r>
    </w:p>
    <w:p w14:paraId="67729144">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6937156">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（二）成交供应商的变更</w:t>
      </w:r>
    </w:p>
    <w:p w14:paraId="2B05741D">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0A25203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2.成交供应商无充分理由放弃成交的，采购人将会同采购代理机构把相关情况报财政部门，财政部门将根据相关法律法规的规定对违规供应商进行处罚。</w:t>
      </w:r>
    </w:p>
    <w:p w14:paraId="2A1A06BC">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09" w:name="_Toc102227321"/>
      <w:bookmarkStart w:id="110" w:name="_Toc342913395"/>
      <w:bookmarkStart w:id="111" w:name="_Toc29228"/>
      <w:r>
        <w:rPr>
          <w:rFonts w:hint="eastAsia" w:ascii="宋体" w:hAnsi="宋体" w:eastAsia="宋体" w:cs="宋体"/>
          <w:color w:val="auto"/>
          <w:sz w:val="24"/>
          <w:szCs w:val="24"/>
          <w:highlight w:val="none"/>
        </w:rPr>
        <w:t>五、成交通知</w:t>
      </w:r>
      <w:bookmarkEnd w:id="109"/>
      <w:bookmarkEnd w:id="110"/>
      <w:bookmarkEnd w:id="111"/>
    </w:p>
    <w:p w14:paraId="691A560D">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（一）成交供应商确定后，采购代理机构将在“行采家”平台（http://www.gec123.com）”上发布成交结果公告。</w:t>
      </w:r>
    </w:p>
    <w:p w14:paraId="4FA0CE39">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（二）结果公告发出同时，采购代理机构将以书面形式发出《成交通知书》。《成交通知书》一经发出即发生法律效力。</w:t>
      </w:r>
    </w:p>
    <w:p w14:paraId="6C5B8E5C">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（三）《成交通知书》将作为签订合同的依据。</w:t>
      </w:r>
    </w:p>
    <w:p w14:paraId="2F6FD888">
      <w:pPr>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（四）如有供应商对成交结果提出质疑的，在质疑处理完毕后发出成交通知书。</w:t>
      </w:r>
    </w:p>
    <w:p w14:paraId="6540B2CF">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12" w:name="_Toc10055"/>
      <w:r>
        <w:rPr>
          <w:rFonts w:hint="eastAsia" w:ascii="宋体" w:hAnsi="宋体" w:eastAsia="宋体" w:cs="宋体"/>
          <w:color w:val="auto"/>
          <w:sz w:val="24"/>
          <w:szCs w:val="24"/>
          <w:highlight w:val="none"/>
        </w:rPr>
        <w:t>六、关于质疑</w:t>
      </w:r>
      <w:bookmarkEnd w:id="112"/>
    </w:p>
    <w:p w14:paraId="47574F16">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供应商认为采购文件、采购过程和成交结果使自己的权益</w:t>
      </w:r>
      <w:r>
        <w:rPr>
          <w:rFonts w:hint="eastAsia" w:ascii="宋体" w:hAnsi="宋体" w:cs="宋体"/>
          <w:color w:val="auto"/>
          <w:sz w:val="24"/>
          <w:szCs w:val="24"/>
          <w:highlight w:val="none"/>
          <w:lang w:eastAsia="zh-CN"/>
        </w:rPr>
        <w:t>受到</w:t>
      </w:r>
      <w:r>
        <w:rPr>
          <w:rFonts w:hint="eastAsia" w:ascii="宋体" w:hAnsi="宋体" w:cs="宋体"/>
          <w:color w:val="auto"/>
          <w:sz w:val="24"/>
          <w:szCs w:val="24"/>
          <w:highlight w:val="none"/>
        </w:rPr>
        <w:t>伤害的，可向采购人或采购代理机构以书面形式提出质疑。</w:t>
      </w:r>
    </w:p>
    <w:p w14:paraId="2A2119B7">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提出质疑的应当是参与所质疑项目采购活动的供应商。 </w:t>
      </w:r>
    </w:p>
    <w:p w14:paraId="17B2F3B5">
      <w:pPr>
        <w:pageBreakBefore w:val="0"/>
        <w:widowControl w:val="0"/>
        <w:kinsoku/>
        <w:wordWrap/>
        <w:overflowPunct/>
        <w:topLinePunct w:val="0"/>
        <w:autoSpaceDE/>
        <w:autoSpaceDN/>
        <w:bidi w:val="0"/>
        <w:adjustRightInd/>
        <w:spacing w:line="360" w:lineRule="auto"/>
        <w:ind w:right="12"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（一）质疑时限、内容</w:t>
      </w:r>
    </w:p>
    <w:p w14:paraId="629CDC53">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1.供应商认为采购文件、采购过程、成交结果使自己的权益受到损害的，可以在知道或者应知其权益受到损害之日起7个工作日内，以书面形式向采购人、采购代理机构提出质疑。</w:t>
      </w:r>
    </w:p>
    <w:p w14:paraId="23DBBDCE">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2.供应商提出质疑应当提交质疑函和必要的证明材料，质疑函应当包括下列内容：</w:t>
      </w:r>
    </w:p>
    <w:p w14:paraId="1F65AD09">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3.供应商的姓名或者名称、地址、邮编、联系人及联系电话；</w:t>
      </w:r>
    </w:p>
    <w:p w14:paraId="105EC4FB">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4.质疑项目的名称、项目计划编号以及磋商项目编号；</w:t>
      </w:r>
    </w:p>
    <w:p w14:paraId="2869BD6F">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5.具体、明确的质疑事项和与质疑事项相关的请求；</w:t>
      </w:r>
    </w:p>
    <w:p w14:paraId="77B91053">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6.事实依据；</w:t>
      </w:r>
    </w:p>
    <w:p w14:paraId="403B06C4">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7.必要的法律依据；</w:t>
      </w:r>
    </w:p>
    <w:p w14:paraId="696F78AB">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8.提出质疑的日期；</w:t>
      </w:r>
    </w:p>
    <w:p w14:paraId="64AB492A">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9.营业执照（或事业单位法人证书，或个体工商户营业执照或有效的自然人身份证明）复印件；</w:t>
      </w:r>
    </w:p>
    <w:p w14:paraId="796AD5B1">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10.法定代表人授权委托书原件、法定代表人身份证复印件和其授权代表的身份证复印件（供应商为自然人的提供自然人身份证复印件）；</w:t>
      </w:r>
    </w:p>
    <w:p w14:paraId="73691F07">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11.供应商为自然人的，质疑函应当由本人签字；供应商为法人或者其他组织的，质疑函应当由法定代表人、主要负责人，或者其授权代表签字或者盖章，并加盖公章。</w:t>
      </w:r>
    </w:p>
    <w:p w14:paraId="1E3A5517">
      <w:pPr>
        <w:pageBreakBefore w:val="0"/>
        <w:widowControl w:val="0"/>
        <w:kinsoku/>
        <w:wordWrap/>
        <w:overflowPunct/>
        <w:topLinePunct w:val="0"/>
        <w:autoSpaceDE/>
        <w:autoSpaceDN/>
        <w:bidi w:val="0"/>
        <w:adjustRightInd/>
        <w:spacing w:line="360" w:lineRule="auto"/>
        <w:ind w:right="12"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（二）质疑答复</w:t>
      </w:r>
    </w:p>
    <w:p w14:paraId="3F2DBF92">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采购人、采购代理机构应当在收到供应商的书面质疑后七个工作日内作出答复，并以书面形式通知质疑供应商和其他有关供应商。</w:t>
      </w:r>
    </w:p>
    <w:p w14:paraId="1D25D303">
      <w:pPr>
        <w:pageBreakBefore w:val="0"/>
        <w:widowControl w:val="0"/>
        <w:kinsoku/>
        <w:wordWrap/>
        <w:overflowPunct/>
        <w:topLinePunct w:val="0"/>
        <w:autoSpaceDE/>
        <w:autoSpaceDN/>
        <w:bidi w:val="0"/>
        <w:adjustRightInd/>
        <w:spacing w:line="360" w:lineRule="auto"/>
        <w:ind w:right="12"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（三）其他</w:t>
      </w:r>
    </w:p>
    <w:p w14:paraId="651DE05D">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1.供应商应按照《政府采购质疑和投诉办法》（财政部令第94号）及相关法律法规要求，在法定质疑期内一次性提出针对同一采购程序环节的质疑。</w:t>
      </w:r>
    </w:p>
    <w:p w14:paraId="271B1393">
      <w:pPr>
        <w:pageBreakBefore w:val="0"/>
        <w:widowControl w:val="0"/>
        <w:kinsoku/>
        <w:wordWrap/>
        <w:overflowPunct/>
        <w:topLinePunct w:val="0"/>
        <w:autoSpaceDE/>
        <w:autoSpaceDN/>
        <w:bidi w:val="0"/>
        <w:adjustRightInd/>
        <w:spacing w:line="360" w:lineRule="auto"/>
        <w:ind w:right="12"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2.质疑函范本可在财政部门户网站和中国政府采购网下载。</w:t>
      </w:r>
    </w:p>
    <w:p w14:paraId="71228596">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13" w:name="_Toc29102"/>
      <w:r>
        <w:rPr>
          <w:rFonts w:hint="eastAsia" w:ascii="宋体" w:hAnsi="宋体" w:eastAsia="宋体" w:cs="宋体"/>
          <w:color w:val="auto"/>
          <w:sz w:val="24"/>
          <w:szCs w:val="24"/>
          <w:highlight w:val="none"/>
        </w:rPr>
        <w:t>七、采购代理服务费</w:t>
      </w:r>
      <w:bookmarkEnd w:id="113"/>
    </w:p>
    <w:p w14:paraId="2CE07A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highlight w:val="none"/>
        </w:rPr>
      </w:pPr>
      <w:bookmarkStart w:id="114" w:name="_Toc102227322"/>
      <w:bookmarkStart w:id="115" w:name="_Toc342913396"/>
      <w:bookmarkStart w:id="116" w:name="_Toc12789059"/>
      <w:bookmarkStart w:id="117" w:name="_Toc11641055"/>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lang w:val="en-US" w:eastAsia="zh-CN"/>
        </w:rPr>
        <w:t>供应商成交</w:t>
      </w:r>
      <w:r>
        <w:rPr>
          <w:rFonts w:hint="eastAsia" w:ascii="宋体" w:hAnsi="宋体" w:eastAsia="宋体" w:cs="宋体"/>
          <w:color w:val="auto"/>
          <w:sz w:val="24"/>
          <w:highlight w:val="none"/>
        </w:rPr>
        <w:t>后在领取成交通知书</w:t>
      </w:r>
      <w:r>
        <w:rPr>
          <w:rFonts w:hint="eastAsia" w:ascii="宋体" w:hAnsi="宋体" w:eastAsia="宋体" w:cs="宋体"/>
          <w:color w:val="auto"/>
          <w:sz w:val="24"/>
          <w:highlight w:val="none"/>
          <w:lang w:eastAsia="zh-CN"/>
        </w:rPr>
        <w:t>的</w:t>
      </w:r>
      <w:r>
        <w:rPr>
          <w:rFonts w:hint="eastAsia" w:ascii="宋体" w:hAnsi="宋体" w:eastAsia="宋体" w:cs="宋体"/>
          <w:color w:val="auto"/>
          <w:sz w:val="24"/>
          <w:highlight w:val="none"/>
        </w:rPr>
        <w:t>同时向采购代理机构一次性缴纳采购代理服务费，</w:t>
      </w:r>
      <w:r>
        <w:rPr>
          <w:rFonts w:hint="eastAsia" w:ascii="宋体" w:hAnsi="宋体" w:eastAsia="宋体" w:cs="宋体"/>
          <w:color w:val="auto"/>
          <w:sz w:val="24"/>
          <w:highlight w:val="none"/>
          <w:lang w:val="en-US" w:eastAsia="zh-CN"/>
        </w:rPr>
        <w:t>本项目采购代理服务费按</w:t>
      </w:r>
      <w:r>
        <w:rPr>
          <w:rFonts w:hint="eastAsia" w:ascii="宋体" w:hAnsi="宋体" w:cs="宋体"/>
          <w:color w:val="auto"/>
          <w:sz w:val="24"/>
          <w:highlight w:val="none"/>
          <w:lang w:val="en-US" w:eastAsia="zh-CN"/>
        </w:rPr>
        <w:t>柒仟</w:t>
      </w:r>
      <w:r>
        <w:rPr>
          <w:rFonts w:hint="eastAsia" w:ascii="宋体" w:hAnsi="宋体" w:eastAsia="宋体" w:cs="宋体"/>
          <w:color w:val="auto"/>
          <w:sz w:val="24"/>
          <w:highlight w:val="none"/>
          <w:lang w:val="en-US" w:eastAsia="zh-CN"/>
        </w:rPr>
        <w:t>元固定费</w:t>
      </w:r>
      <w:r>
        <w:rPr>
          <w:rFonts w:hint="eastAsia" w:ascii="宋体" w:hAnsi="宋体" w:cs="宋体"/>
          <w:color w:val="auto"/>
          <w:sz w:val="24"/>
          <w:highlight w:val="none"/>
          <w:lang w:val="en-US" w:eastAsia="zh-CN"/>
        </w:rPr>
        <w:t>用</w:t>
      </w:r>
      <w:r>
        <w:rPr>
          <w:rFonts w:hint="eastAsia" w:ascii="宋体" w:hAnsi="宋体" w:eastAsia="宋体" w:cs="宋体"/>
          <w:color w:val="auto"/>
          <w:sz w:val="24"/>
          <w:highlight w:val="none"/>
          <w:lang w:val="en-US" w:eastAsia="zh-CN"/>
        </w:rPr>
        <w:t>收取。</w:t>
      </w:r>
    </w:p>
    <w:p w14:paraId="3E11DD7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服务费以转账、电汇等形式支付。</w:t>
      </w:r>
    </w:p>
    <w:p w14:paraId="0D95E90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采购代理服务费缴纳账户信息：</w:t>
      </w:r>
    </w:p>
    <w:p w14:paraId="20492CC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cs="宋体"/>
          <w:b/>
          <w:bCs/>
          <w:color w:val="auto"/>
          <w:sz w:val="24"/>
          <w:szCs w:val="24"/>
          <w:highlight w:val="none"/>
          <w:lang w:eastAsia="zh-CN"/>
        </w:rPr>
      </w:pPr>
      <w:r>
        <w:rPr>
          <w:rFonts w:hint="eastAsia" w:ascii="宋体" w:hAnsi="宋体" w:eastAsia="宋体" w:cs="宋体"/>
          <w:b/>
          <w:bCs/>
          <w:color w:val="auto"/>
          <w:sz w:val="24"/>
          <w:szCs w:val="24"/>
          <w:highlight w:val="none"/>
        </w:rPr>
        <w:t>户  名：</w:t>
      </w:r>
      <w:r>
        <w:rPr>
          <w:rFonts w:hint="eastAsia" w:ascii="宋体" w:hAnsi="宋体" w:cs="宋体"/>
          <w:b/>
          <w:bCs/>
          <w:color w:val="auto"/>
          <w:sz w:val="24"/>
          <w:szCs w:val="24"/>
          <w:highlight w:val="none"/>
          <w:lang w:eastAsia="zh-CN"/>
        </w:rPr>
        <w:t>重庆龙锐工程咨询有限公司</w:t>
      </w:r>
    </w:p>
    <w:p w14:paraId="2E593DC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开户行：中国建设银行股份有限公司重庆渝北金科支行  </w:t>
      </w:r>
    </w:p>
    <w:p w14:paraId="5BC93A5A">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宋体" w:hAnsi="宋体" w:cs="宋体"/>
          <w:b/>
          <w:bCs/>
          <w:color w:val="auto"/>
          <w:sz w:val="24"/>
          <w:szCs w:val="24"/>
          <w:highlight w:val="none"/>
        </w:rPr>
      </w:pPr>
      <w:r>
        <w:rPr>
          <w:rFonts w:hint="eastAsia" w:ascii="宋体" w:hAnsi="宋体" w:eastAsia="宋体" w:cs="宋体"/>
          <w:b/>
          <w:bCs/>
          <w:color w:val="auto"/>
          <w:sz w:val="24"/>
          <w:szCs w:val="24"/>
          <w:highlight w:val="none"/>
        </w:rPr>
        <w:t>账  号：50050108660009666666 </w:t>
      </w:r>
    </w:p>
    <w:p w14:paraId="1FC291E4">
      <w:pPr>
        <w:pStyle w:val="3"/>
        <w:pageBreakBefore w:val="0"/>
        <w:widowControl w:val="0"/>
        <w:kinsoku/>
        <w:wordWrap/>
        <w:overflowPunct/>
        <w:topLinePunct w:val="0"/>
        <w:autoSpaceDE/>
        <w:autoSpaceDN/>
        <w:bidi w:val="0"/>
        <w:adjustRightInd/>
        <w:spacing w:before="0" w:after="0" w:line="360" w:lineRule="auto"/>
        <w:textAlignment w:val="auto"/>
        <w:rPr>
          <w:rFonts w:ascii="宋体" w:hAnsi="宋体" w:eastAsia="宋体" w:cs="宋体"/>
          <w:color w:val="auto"/>
          <w:sz w:val="24"/>
          <w:szCs w:val="24"/>
          <w:highlight w:val="none"/>
        </w:rPr>
      </w:pPr>
      <w:bookmarkStart w:id="118" w:name="_Toc14335"/>
      <w:r>
        <w:rPr>
          <w:rFonts w:hint="eastAsia" w:ascii="宋体" w:hAnsi="宋体" w:eastAsia="宋体" w:cs="宋体"/>
          <w:color w:val="auto"/>
          <w:sz w:val="24"/>
          <w:szCs w:val="24"/>
          <w:highlight w:val="none"/>
        </w:rPr>
        <w:t>八、签订</w:t>
      </w:r>
      <w:bookmarkEnd w:id="114"/>
      <w:r>
        <w:rPr>
          <w:rFonts w:hint="eastAsia" w:ascii="宋体" w:hAnsi="宋体" w:eastAsia="宋体" w:cs="宋体"/>
          <w:color w:val="auto"/>
          <w:sz w:val="24"/>
          <w:szCs w:val="24"/>
          <w:highlight w:val="none"/>
        </w:rPr>
        <w:t>合同</w:t>
      </w:r>
      <w:bookmarkEnd w:id="115"/>
      <w:bookmarkEnd w:id="118"/>
    </w:p>
    <w:p w14:paraId="0B9D5460">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（一）采购人应当自成交通知书发出之日起二十日内，按照竞争性磋商文件和成交供应商响应文件的约定，与成交供应商签订书面合同。所签订的合同不得对竞争性磋商文件和供应商的响应文件作实质性修改。</w:t>
      </w:r>
    </w:p>
    <w:p w14:paraId="43AB2A9A">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（二）竞争性磋商文件、供应商的响应文件及澄清文件等，均为签订政府采购合同的依据。</w:t>
      </w:r>
    </w:p>
    <w:p w14:paraId="02262E92">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（三）合同生效条款由供需双方约定，法律、行政法规规定应当办理批准、登记等手续后生效的合同，依照其规定。</w:t>
      </w:r>
    </w:p>
    <w:p w14:paraId="107A24C6">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（四）合同原则上应按照《重庆市政府采购合同》签订，相关单位要求适用合同通用格式版本的，应按其要求另行签订其他合同。</w:t>
      </w:r>
    </w:p>
    <w:p w14:paraId="21166CAB">
      <w:pPr>
        <w:pageBreakBefore w:val="0"/>
        <w:widowControl w:val="0"/>
        <w:kinsoku/>
        <w:wordWrap/>
        <w:overflowPunct/>
        <w:topLinePunct w:val="0"/>
        <w:autoSpaceDE/>
        <w:autoSpaceDN/>
        <w:bidi w:val="0"/>
        <w:adjustRightInd/>
        <w:spacing w:line="360" w:lineRule="auto"/>
        <w:ind w:firstLine="360" w:firstLineChars="15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（五）采购人要求成交供应商提供履约保证金的，应当在竞争性磋商文件中予以约定。成交供应商履约完毕后，采购人应按磋商文件及合同的约定无息退还其履约保证金。</w:t>
      </w:r>
    </w:p>
    <w:bookmarkEnd w:id="116"/>
    <w:bookmarkEnd w:id="117"/>
    <w:p w14:paraId="637E097E">
      <w:pPr>
        <w:rPr>
          <w:rFonts w:ascii="宋体" w:hAnsi="宋体" w:cs="宋体"/>
          <w:color w:val="auto"/>
          <w:sz w:val="24"/>
          <w:szCs w:val="24"/>
          <w:highlight w:val="none"/>
        </w:rPr>
        <w:sectPr>
          <w:footerReference r:id="rId9" w:type="default"/>
          <w:footerReference r:id="rId10" w:type="even"/>
          <w:pgSz w:w="11907" w:h="16840"/>
          <w:pgMar w:top="1134" w:right="1191" w:bottom="1134" w:left="1304" w:header="964" w:footer="992" w:gutter="0"/>
          <w:cols w:space="720" w:num="1"/>
          <w:rtlGutter w:val="1"/>
          <w:docGrid w:linePitch="312" w:charSpace="0"/>
        </w:sectPr>
      </w:pPr>
    </w:p>
    <w:p w14:paraId="5562EF9D">
      <w:pPr>
        <w:pStyle w:val="2"/>
        <w:spacing w:line="360" w:lineRule="auto"/>
        <w:jc w:val="center"/>
        <w:rPr>
          <w:rFonts w:hAnsi="宋体" w:cs="宋体"/>
          <w:b/>
          <w:bCs/>
          <w:color w:val="auto"/>
          <w:sz w:val="36"/>
          <w:szCs w:val="36"/>
          <w:highlight w:val="none"/>
        </w:rPr>
      </w:pPr>
      <w:bookmarkStart w:id="119" w:name="_Toc6917"/>
      <w:bookmarkStart w:id="120" w:name="_Toc3181"/>
      <w:bookmarkStart w:id="121" w:name="_Toc303945820"/>
      <w:bookmarkStart w:id="122" w:name="_Toc148265480"/>
      <w:bookmarkStart w:id="123" w:name="_Toc12789072"/>
      <w:r>
        <w:rPr>
          <w:rFonts w:hint="eastAsia" w:hAnsi="宋体" w:cs="宋体"/>
          <w:b/>
          <w:bCs/>
          <w:color w:val="auto"/>
          <w:sz w:val="36"/>
          <w:szCs w:val="36"/>
          <w:highlight w:val="none"/>
        </w:rPr>
        <w:t>第六篇  合同草案条款</w:t>
      </w:r>
      <w:bookmarkEnd w:id="119"/>
      <w:r>
        <w:rPr>
          <w:rFonts w:hint="eastAsia" w:hAnsi="宋体" w:cs="宋体"/>
          <w:b/>
          <w:bCs/>
          <w:color w:val="auto"/>
          <w:sz w:val="36"/>
          <w:szCs w:val="36"/>
          <w:highlight w:val="none"/>
        </w:rPr>
        <w:t>(参考样本)</w:t>
      </w:r>
      <w:bookmarkEnd w:id="120"/>
    </w:p>
    <w:p w14:paraId="7DB0DEED">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1、定义</w:t>
      </w:r>
    </w:p>
    <w:p w14:paraId="1C6EB6C2">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1.1甲方（需方）即采购人，是指通过竞争性磋商采购，接受合同货物及服务的各级国家机关、事业单位和团体组织。</w:t>
      </w:r>
    </w:p>
    <w:p w14:paraId="0BDE69A9">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1.2乙方（供方）即成交供应商，是指成交后提供合同货物和服务的自然人、法人及其他组织。</w:t>
      </w:r>
    </w:p>
    <w:p w14:paraId="473DA112">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1.3合同是指由甲乙双方按照竞争性磋商文件和响应文件的实质性内容，通过协商一致达成的书面协议。</w:t>
      </w:r>
    </w:p>
    <w:p w14:paraId="4BD16C7C">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1.4合同价格指以成交价格为依据，在供方全面履行合同义务后，需方（或财政部门）应支付给供方的金额。</w:t>
      </w:r>
    </w:p>
    <w:p w14:paraId="20C57427">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1.5技术资料是指合同货物及其相关的设计、制造、监造、检验、验收等文件（包括图纸、各种文字说明、标准）。</w:t>
      </w:r>
    </w:p>
    <w:p w14:paraId="054C043C">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2、货物内容（合同内容）</w:t>
      </w:r>
    </w:p>
    <w:p w14:paraId="587B28DB">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合同包括以下内容：货物名称、型号规格、技术参数、数量（单位）等内容。</w:t>
      </w:r>
    </w:p>
    <w:p w14:paraId="7123CB34">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3、合同价格</w:t>
      </w:r>
    </w:p>
    <w:p w14:paraId="2B75421F">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3.1合同价格即合同总价。</w:t>
      </w:r>
    </w:p>
    <w:p w14:paraId="15F0F4B0">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3.2合同价格包括合同货物、技术资料、合同货物的税费、运杂费、保险费、包装费、装卸费及与货物有关的供方应纳的税费，所有税费由乙方负担。</w:t>
      </w:r>
    </w:p>
    <w:p w14:paraId="09639EB5">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3.3合同货物单价为不变价。</w:t>
      </w:r>
    </w:p>
    <w:p w14:paraId="4DE4F04C">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4、转包或分包</w:t>
      </w:r>
    </w:p>
    <w:p w14:paraId="6EE51C43">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4.1本合同范围的货物，应由乙方直接供应，不得转让他人供应；</w:t>
      </w:r>
    </w:p>
    <w:p w14:paraId="3EE80C10">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4.2非经甲方书面同意，乙方不得将本合同范围的货物全部或部分分包给他人供应；</w:t>
      </w:r>
    </w:p>
    <w:p w14:paraId="0B152F20">
      <w:pPr>
        <w:snapToGrid w:val="0"/>
        <w:spacing w:line="350" w:lineRule="exact"/>
        <w:ind w:firstLine="600" w:firstLineChars="250"/>
        <w:rPr>
          <w:rFonts w:ascii="宋体" w:hAnsi="宋体" w:cs="宋体"/>
          <w:bCs/>
          <w:color w:val="auto"/>
          <w:sz w:val="24"/>
          <w:szCs w:val="24"/>
          <w:highlight w:val="none"/>
        </w:rPr>
      </w:pPr>
      <w:r>
        <w:rPr>
          <w:rFonts w:hint="eastAsia" w:ascii="宋体" w:hAnsi="宋体" w:cs="宋体"/>
          <w:bCs/>
          <w:color w:val="auto"/>
          <w:sz w:val="24"/>
          <w:szCs w:val="24"/>
          <w:highlight w:val="none"/>
        </w:rPr>
        <w:t>4.3如有转让和未经甲方同意的分包行为，甲方有权解除合同，没收履约保证金并追究乙方的违约责任。</w:t>
      </w:r>
    </w:p>
    <w:p w14:paraId="1EE63DEB">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bCs/>
          <w:color w:val="auto"/>
          <w:sz w:val="24"/>
          <w:szCs w:val="24"/>
          <w:highlight w:val="none"/>
        </w:rPr>
        <w:t>5、质量保证及售后服务</w:t>
      </w:r>
    </w:p>
    <w:p w14:paraId="61AD3E0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5.1乙方应按竞争性磋商文件规定的货物性能、技术要求、质量标准向甲方提供未经使用的全新产品。</w:t>
      </w:r>
    </w:p>
    <w:p w14:paraId="06EEF6E0">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5.2乙方提供的货物在质保期内因货物本身的质量问题发生故障，乙方应负责免费更换。对达不到技术要求者，根据实际情况，经双方协商，可按以下办法处理：</w:t>
      </w:r>
    </w:p>
    <w:p w14:paraId="143B51ED">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5.2.1更换：由乙方承担所发生的全部费用。</w:t>
      </w:r>
    </w:p>
    <w:p w14:paraId="57981514">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5.2.2贬值处理：由甲乙双方合议定价。</w:t>
      </w:r>
    </w:p>
    <w:p w14:paraId="58F2F815">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5.2.3退货处理：乙方应退还甲方支付的合同款，同时应承担该货物的直接费用（运输、保险、检验、货款利息及银行手续费等）。</w:t>
      </w:r>
    </w:p>
    <w:p w14:paraId="33CC2972">
      <w:pPr>
        <w:adjustRightInd w:val="0"/>
        <w:snapToGrid w:val="0"/>
        <w:spacing w:line="350" w:lineRule="exact"/>
        <w:ind w:firstLine="600" w:firstLineChars="250"/>
        <w:rPr>
          <w:rFonts w:ascii="宋体" w:hAnsi="宋体" w:cs="宋体"/>
          <w:color w:val="auto"/>
          <w:sz w:val="24"/>
          <w:szCs w:val="24"/>
          <w:highlight w:val="none"/>
        </w:rPr>
        <w:sectPr>
          <w:headerReference r:id="rId11" w:type="first"/>
          <w:footerReference r:id="rId13" w:type="first"/>
          <w:footerReference r:id="rId12" w:type="default"/>
          <w:pgSz w:w="11906" w:h="16838"/>
          <w:pgMar w:top="1440" w:right="1797" w:bottom="1440" w:left="1797" w:header="851" w:footer="992" w:gutter="0"/>
          <w:cols w:space="720" w:num="1"/>
          <w:titlePg/>
          <w:docGrid w:type="lines" w:linePitch="312" w:charSpace="0"/>
        </w:sectPr>
      </w:pPr>
    </w:p>
    <w:p w14:paraId="4A693CDC">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5.3 如在使用过程中发生质量问题，乙方应同本项目“第三篇  采购商务需求”对质量保证及售后服务内容的约定。</w:t>
      </w:r>
    </w:p>
    <w:p w14:paraId="6DFAFE6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5.4在质保期内，乙方应对货物出现的质量及安全问题负责处理解决并承担一切费用。</w:t>
      </w:r>
    </w:p>
    <w:p w14:paraId="44A44E7C">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6、付款</w:t>
      </w:r>
    </w:p>
    <w:p w14:paraId="0FA46FF8">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6.1本合同使用货币币制如未作特别说明均为人民币。</w:t>
      </w:r>
    </w:p>
    <w:p w14:paraId="7537CA97">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6.2付款方式：银行转账、现金支票。</w:t>
      </w:r>
    </w:p>
    <w:p w14:paraId="63784133">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6.3付款方法：同本项目“第三篇  采购商务需求”中关于付款方式的约定。</w:t>
      </w:r>
    </w:p>
    <w:p w14:paraId="1BD0E28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7、检查验收</w:t>
      </w:r>
    </w:p>
    <w:p w14:paraId="3AD1620E">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7.1供方应随货物提供合格证和质量证明文件，如是国外进口的货物还须提供入关证明。</w:t>
      </w:r>
    </w:p>
    <w:p w14:paraId="2E5D3D7F">
      <w:pPr>
        <w:adjustRightInd w:val="0"/>
        <w:snapToGrid w:val="0"/>
        <w:spacing w:line="35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7.2货物验收</w:t>
      </w:r>
    </w:p>
    <w:p w14:paraId="353A600A">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方所交货物的各种质量指标不得低于供方提供样品的质量指标（无样品时按供方响应文件中所提供的“技术文件”执行），售后服务质量要求按照竞争性磋商文件和响应文件的内容执行。供方交货时，需方可根据需要随机抽取一部分货物送有关权威检测部门检测，如检测不合格，供方负责赔偿需方一切损失。</w:t>
      </w:r>
    </w:p>
    <w:p w14:paraId="33CFBFA4">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7.3货物验收报告应由需方、供方经办人签字，并加盖双方公章，以此作为支付凭据。</w:t>
      </w:r>
    </w:p>
    <w:p w14:paraId="19F484F7">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8、索赔</w:t>
      </w:r>
    </w:p>
    <w:p w14:paraId="47130E3D">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供方对货物与合同要求不符负有责任，并且需方已于规定交货内和质量保证期内提出索赔，供方应按需方同意的下述一种或多种方法解决索赔事宜。</w:t>
      </w:r>
    </w:p>
    <w:p w14:paraId="01997941">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8.1供方同意需方拒收货物并把拒收货物的金额以合同规定的同类货币付给需方，供方负担发生的一切损失和费用，包括利息、运输和保险费、检验费、仓储和装卸费以及为保管和保护被拒绝货物所需要的</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必要费用。</w:t>
      </w:r>
    </w:p>
    <w:p w14:paraId="508ECBC1">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8.2根据货物的疵劣和受损程度以及需方遭受损失的金额，经双方同意降低货物价格。</w:t>
      </w:r>
    </w:p>
    <w:p w14:paraId="48CD6AC8">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9、知识产权</w:t>
      </w:r>
    </w:p>
    <w:p w14:paraId="3D4E8089">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9.1甲方在中华人民共和国境内使用乙方提供的货物及服务时免受第三方提出的侵犯其专利权或</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知识产权的起诉。如果第三方提出侵权指控，乙方承担由此而引起的一切法律责任和费用。</w:t>
      </w:r>
    </w:p>
    <w:p w14:paraId="531BC50D">
      <w:pPr>
        <w:adjustRightInd w:val="0"/>
        <w:snapToGrid w:val="0"/>
        <w:spacing w:line="35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9.2若涉及软件开发等服务类项目知识产权的，知识产权归采购人所有。</w:t>
      </w:r>
    </w:p>
    <w:p w14:paraId="6DADEFC3">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10、合同争议的解决</w:t>
      </w:r>
    </w:p>
    <w:p w14:paraId="141CDBA0">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10.1当事人友好协商达成一致</w:t>
      </w:r>
    </w:p>
    <w:p w14:paraId="3F4F4730">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10.2在60天内当事人协商不能达成协议的，可提请采购人当地仲裁机构仲裁。</w:t>
      </w:r>
    </w:p>
    <w:p w14:paraId="1E8C8546">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11、违约责任</w:t>
      </w:r>
    </w:p>
    <w:p w14:paraId="173D0478">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按《中华人民共和国民法典》、《中华人民共和国政府采购法》有关条款，或由供需双方约定。</w:t>
      </w:r>
    </w:p>
    <w:p w14:paraId="248E12AF">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12、合同生效及其</w:t>
      </w:r>
      <w:r>
        <w:rPr>
          <w:rFonts w:hint="eastAsia" w:ascii="宋体" w:hAnsi="宋体" w:cs="宋体"/>
          <w:bCs/>
          <w:color w:val="auto"/>
          <w:sz w:val="24"/>
          <w:szCs w:val="24"/>
          <w:highlight w:val="none"/>
          <w:lang w:eastAsia="zh-CN"/>
        </w:rPr>
        <w:t>他</w:t>
      </w:r>
    </w:p>
    <w:p w14:paraId="1E65837A">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12.1合同生效及其效力应符合《中华人民共和国民法典》有关规定。</w:t>
      </w:r>
    </w:p>
    <w:p w14:paraId="16D08831">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12.2合同应经当事人法定代表人或委托代理人签字，加盖双方合同专用章或公章。</w:t>
      </w:r>
    </w:p>
    <w:p w14:paraId="371A7354">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12.3合同所包括附件，是合同不可分割的一部分，具有同等法法律效力。</w:t>
      </w:r>
    </w:p>
    <w:p w14:paraId="3B1A5D64">
      <w:pPr>
        <w:snapToGrid w:val="0"/>
        <w:spacing w:line="3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12.4合同需提供担保的，按《中华人民共和国民法典》规定执行。</w:t>
      </w:r>
    </w:p>
    <w:p w14:paraId="3B09FA4B">
      <w:pPr>
        <w:snapToGrid w:val="0"/>
        <w:spacing w:line="350" w:lineRule="exact"/>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12.5本合同条件未尽事宜依照《中华人民共和国民法典》，由供需双方共同协商确定。</w:t>
      </w:r>
    </w:p>
    <w:p w14:paraId="0A952DF5">
      <w:pPr>
        <w:spacing w:line="350" w:lineRule="exact"/>
        <w:rPr>
          <w:rFonts w:ascii="宋体" w:hAnsi="宋体" w:cs="宋体"/>
          <w:color w:val="auto"/>
          <w:sz w:val="24"/>
          <w:szCs w:val="24"/>
          <w:highlight w:val="none"/>
        </w:rPr>
      </w:pPr>
      <w:r>
        <w:rPr>
          <w:rFonts w:hint="eastAsia" w:ascii="宋体" w:hAnsi="宋体" w:cs="宋体"/>
          <w:color w:val="auto"/>
          <w:sz w:val="24"/>
          <w:szCs w:val="24"/>
          <w:highlight w:val="none"/>
        </w:rPr>
        <w:t>合同格式</w:t>
      </w:r>
      <w:bookmarkEnd w:id="121"/>
      <w:bookmarkEnd w:id="122"/>
      <w:r>
        <w:rPr>
          <w:rFonts w:hint="eastAsia" w:ascii="宋体" w:hAnsi="宋体" w:cs="宋体"/>
          <w:color w:val="auto"/>
          <w:sz w:val="24"/>
          <w:szCs w:val="24"/>
          <w:highlight w:val="none"/>
        </w:rPr>
        <w:t>（根据项目情况自拟）。</w:t>
      </w:r>
    </w:p>
    <w:p w14:paraId="65EE4C2F">
      <w:pPr>
        <w:spacing w:line="500" w:lineRule="exact"/>
        <w:jc w:val="center"/>
        <w:rPr>
          <w:rFonts w:ascii="宋体" w:hAnsi="宋体" w:cs="宋体"/>
          <w:b/>
          <w:color w:val="auto"/>
          <w:sz w:val="24"/>
          <w:szCs w:val="24"/>
          <w:highlight w:val="none"/>
        </w:rPr>
      </w:pPr>
      <w:r>
        <w:rPr>
          <w:rFonts w:hint="eastAsia" w:ascii="宋体" w:hAnsi="宋体" w:cs="宋体"/>
          <w:b/>
          <w:color w:val="auto"/>
          <w:sz w:val="24"/>
          <w:szCs w:val="24"/>
          <w:highlight w:val="none"/>
        </w:rPr>
        <w:t>重庆市政府采购合同（参考样本）</w:t>
      </w:r>
    </w:p>
    <w:p w14:paraId="4F079009">
      <w:pPr>
        <w:snapToGrid w:val="0"/>
        <w:spacing w:line="400" w:lineRule="exact"/>
        <w:ind w:firstLine="540"/>
        <w:rPr>
          <w:rFonts w:ascii="宋体" w:hAnsi="宋体" w:cs="宋体"/>
          <w:color w:val="auto"/>
          <w:sz w:val="24"/>
          <w:szCs w:val="24"/>
          <w:highlight w:val="none"/>
        </w:rPr>
      </w:pPr>
      <w:bookmarkStart w:id="124" w:name="_Hlt41879464"/>
      <w:bookmarkEnd w:id="124"/>
      <w:r>
        <w:rPr>
          <w:rFonts w:hint="eastAsia" w:ascii="宋体" w:hAnsi="宋体" w:cs="宋体"/>
          <w:color w:val="auto"/>
          <w:sz w:val="24"/>
          <w:szCs w:val="24"/>
          <w:highlight w:val="none"/>
        </w:rPr>
        <w:t>（采购项目编号：     ）</w:t>
      </w:r>
    </w:p>
    <w:p w14:paraId="1163A380">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甲方（需方）：___________________________      计价单位：____________</w:t>
      </w:r>
    </w:p>
    <w:p w14:paraId="14A3E77E">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乙方（供方）：___________________________      计量单位：_____________</w:t>
      </w:r>
    </w:p>
    <w:p w14:paraId="7FDAE01B">
      <w:pPr>
        <w:snapToGrid w:val="0"/>
        <w:spacing w:line="400" w:lineRule="exact"/>
        <w:ind w:firstLine="540"/>
        <w:rPr>
          <w:rFonts w:ascii="宋体" w:hAnsi="宋体" w:cs="宋体"/>
          <w:color w:val="auto"/>
          <w:sz w:val="24"/>
          <w:szCs w:val="24"/>
          <w:highlight w:val="none"/>
        </w:rPr>
      </w:pPr>
    </w:p>
    <w:p w14:paraId="3A75F58D">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经双方协商一致，达成以下购销合同：</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2DD7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51B83F0D">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984" w:type="dxa"/>
            <w:vAlign w:val="center"/>
          </w:tcPr>
          <w:p w14:paraId="6F32B96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1298" w:type="dxa"/>
            <w:gridSpan w:val="2"/>
            <w:vAlign w:val="center"/>
          </w:tcPr>
          <w:p w14:paraId="45833181">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综合单价</w:t>
            </w:r>
          </w:p>
        </w:tc>
        <w:tc>
          <w:tcPr>
            <w:tcW w:w="1134" w:type="dxa"/>
            <w:vAlign w:val="center"/>
          </w:tcPr>
          <w:p w14:paraId="37A7D08C">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总价</w:t>
            </w:r>
          </w:p>
        </w:tc>
        <w:tc>
          <w:tcPr>
            <w:tcW w:w="1559" w:type="dxa"/>
            <w:vAlign w:val="center"/>
          </w:tcPr>
          <w:p w14:paraId="7F2F7B4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服务期</w:t>
            </w:r>
          </w:p>
        </w:tc>
        <w:tc>
          <w:tcPr>
            <w:tcW w:w="1567" w:type="dxa"/>
            <w:vAlign w:val="center"/>
          </w:tcPr>
          <w:p w14:paraId="7C1A3EA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服务地点</w:t>
            </w:r>
          </w:p>
        </w:tc>
      </w:tr>
      <w:tr w14:paraId="5205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02F1325C">
            <w:pPr>
              <w:spacing w:line="240" w:lineRule="atLeast"/>
              <w:jc w:val="center"/>
              <w:rPr>
                <w:rFonts w:ascii="宋体" w:hAnsi="宋体" w:cs="宋体"/>
                <w:color w:val="auto"/>
                <w:sz w:val="24"/>
                <w:szCs w:val="24"/>
                <w:highlight w:val="none"/>
              </w:rPr>
            </w:pPr>
          </w:p>
        </w:tc>
        <w:tc>
          <w:tcPr>
            <w:tcW w:w="984" w:type="dxa"/>
            <w:vAlign w:val="center"/>
          </w:tcPr>
          <w:p w14:paraId="75189F4C">
            <w:pPr>
              <w:spacing w:line="240" w:lineRule="atLeast"/>
              <w:jc w:val="center"/>
              <w:rPr>
                <w:rFonts w:ascii="宋体" w:hAnsi="宋体" w:cs="宋体"/>
                <w:color w:val="auto"/>
                <w:sz w:val="24"/>
                <w:szCs w:val="24"/>
                <w:highlight w:val="none"/>
              </w:rPr>
            </w:pPr>
          </w:p>
        </w:tc>
        <w:tc>
          <w:tcPr>
            <w:tcW w:w="1298" w:type="dxa"/>
            <w:gridSpan w:val="2"/>
            <w:vAlign w:val="center"/>
          </w:tcPr>
          <w:p w14:paraId="5254B3E5">
            <w:pPr>
              <w:spacing w:line="240" w:lineRule="atLeast"/>
              <w:jc w:val="center"/>
              <w:rPr>
                <w:rFonts w:ascii="宋体" w:hAnsi="宋体" w:cs="宋体"/>
                <w:color w:val="auto"/>
                <w:sz w:val="24"/>
                <w:szCs w:val="24"/>
                <w:highlight w:val="none"/>
              </w:rPr>
            </w:pPr>
          </w:p>
        </w:tc>
        <w:tc>
          <w:tcPr>
            <w:tcW w:w="1134" w:type="dxa"/>
            <w:vAlign w:val="center"/>
          </w:tcPr>
          <w:p w14:paraId="6A46A596">
            <w:pPr>
              <w:spacing w:line="240" w:lineRule="atLeast"/>
              <w:jc w:val="center"/>
              <w:rPr>
                <w:rFonts w:ascii="宋体" w:hAnsi="宋体" w:cs="宋体"/>
                <w:color w:val="auto"/>
                <w:sz w:val="24"/>
                <w:szCs w:val="24"/>
                <w:highlight w:val="none"/>
              </w:rPr>
            </w:pPr>
          </w:p>
        </w:tc>
        <w:tc>
          <w:tcPr>
            <w:tcW w:w="1559" w:type="dxa"/>
            <w:vAlign w:val="center"/>
          </w:tcPr>
          <w:p w14:paraId="7B8AC73D">
            <w:pPr>
              <w:spacing w:line="240" w:lineRule="atLeast"/>
              <w:jc w:val="center"/>
              <w:rPr>
                <w:rFonts w:ascii="宋体" w:hAnsi="宋体" w:cs="宋体"/>
                <w:color w:val="auto"/>
                <w:sz w:val="24"/>
                <w:szCs w:val="24"/>
                <w:highlight w:val="none"/>
              </w:rPr>
            </w:pPr>
          </w:p>
        </w:tc>
        <w:tc>
          <w:tcPr>
            <w:tcW w:w="1567" w:type="dxa"/>
            <w:vAlign w:val="center"/>
          </w:tcPr>
          <w:p w14:paraId="6D3644C9">
            <w:pPr>
              <w:spacing w:line="240" w:lineRule="atLeast"/>
              <w:jc w:val="center"/>
              <w:rPr>
                <w:rFonts w:ascii="宋体" w:hAnsi="宋体" w:cs="宋体"/>
                <w:color w:val="auto"/>
                <w:sz w:val="24"/>
                <w:szCs w:val="24"/>
                <w:highlight w:val="none"/>
              </w:rPr>
            </w:pPr>
          </w:p>
        </w:tc>
      </w:tr>
      <w:tr w14:paraId="7D93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564DB1D5">
            <w:pPr>
              <w:spacing w:line="240" w:lineRule="atLeast"/>
              <w:jc w:val="center"/>
              <w:rPr>
                <w:rFonts w:ascii="宋体" w:hAnsi="宋体" w:cs="宋体"/>
                <w:color w:val="auto"/>
                <w:sz w:val="24"/>
                <w:szCs w:val="24"/>
                <w:highlight w:val="none"/>
              </w:rPr>
            </w:pPr>
          </w:p>
        </w:tc>
        <w:tc>
          <w:tcPr>
            <w:tcW w:w="984" w:type="dxa"/>
            <w:vAlign w:val="center"/>
          </w:tcPr>
          <w:p w14:paraId="40D35E55">
            <w:pPr>
              <w:spacing w:line="240" w:lineRule="atLeast"/>
              <w:jc w:val="center"/>
              <w:rPr>
                <w:rFonts w:ascii="宋体" w:hAnsi="宋体" w:cs="宋体"/>
                <w:color w:val="auto"/>
                <w:sz w:val="24"/>
                <w:szCs w:val="24"/>
                <w:highlight w:val="none"/>
              </w:rPr>
            </w:pPr>
          </w:p>
        </w:tc>
        <w:tc>
          <w:tcPr>
            <w:tcW w:w="1298" w:type="dxa"/>
            <w:gridSpan w:val="2"/>
            <w:vAlign w:val="center"/>
          </w:tcPr>
          <w:p w14:paraId="64897469">
            <w:pPr>
              <w:spacing w:line="240" w:lineRule="atLeast"/>
              <w:jc w:val="center"/>
              <w:rPr>
                <w:rFonts w:ascii="宋体" w:hAnsi="宋体" w:cs="宋体"/>
                <w:color w:val="auto"/>
                <w:sz w:val="24"/>
                <w:szCs w:val="24"/>
                <w:highlight w:val="none"/>
              </w:rPr>
            </w:pPr>
          </w:p>
        </w:tc>
        <w:tc>
          <w:tcPr>
            <w:tcW w:w="1134" w:type="dxa"/>
            <w:vAlign w:val="center"/>
          </w:tcPr>
          <w:p w14:paraId="4ED3AA03">
            <w:pPr>
              <w:spacing w:line="240" w:lineRule="atLeast"/>
              <w:jc w:val="center"/>
              <w:rPr>
                <w:rFonts w:ascii="宋体" w:hAnsi="宋体" w:cs="宋体"/>
                <w:color w:val="auto"/>
                <w:sz w:val="24"/>
                <w:szCs w:val="24"/>
                <w:highlight w:val="none"/>
              </w:rPr>
            </w:pPr>
          </w:p>
        </w:tc>
        <w:tc>
          <w:tcPr>
            <w:tcW w:w="1559" w:type="dxa"/>
            <w:vAlign w:val="center"/>
          </w:tcPr>
          <w:p w14:paraId="1A1904C4">
            <w:pPr>
              <w:spacing w:line="240" w:lineRule="atLeast"/>
              <w:jc w:val="center"/>
              <w:rPr>
                <w:rFonts w:ascii="宋体" w:hAnsi="宋体" w:cs="宋体"/>
                <w:color w:val="auto"/>
                <w:sz w:val="24"/>
                <w:szCs w:val="24"/>
                <w:highlight w:val="none"/>
              </w:rPr>
            </w:pPr>
          </w:p>
        </w:tc>
        <w:tc>
          <w:tcPr>
            <w:tcW w:w="1567" w:type="dxa"/>
            <w:vAlign w:val="center"/>
          </w:tcPr>
          <w:p w14:paraId="5BF97A29">
            <w:pPr>
              <w:spacing w:line="240" w:lineRule="atLeast"/>
              <w:jc w:val="center"/>
              <w:rPr>
                <w:rFonts w:ascii="宋体" w:hAnsi="宋体" w:cs="宋体"/>
                <w:color w:val="auto"/>
                <w:sz w:val="24"/>
                <w:szCs w:val="24"/>
                <w:highlight w:val="none"/>
              </w:rPr>
            </w:pPr>
          </w:p>
        </w:tc>
      </w:tr>
      <w:tr w14:paraId="7788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1FB0565D">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合计人民币（小写）：</w:t>
            </w:r>
          </w:p>
        </w:tc>
      </w:tr>
      <w:tr w14:paraId="08C3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5969CA52">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合计人民币（大写）：</w:t>
            </w:r>
          </w:p>
        </w:tc>
      </w:tr>
      <w:tr w14:paraId="30B6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00AACDC8">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一、服务要求</w:t>
            </w:r>
          </w:p>
        </w:tc>
      </w:tr>
      <w:tr w14:paraId="3F34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34C617E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二、验收方式</w:t>
            </w:r>
          </w:p>
        </w:tc>
      </w:tr>
      <w:tr w14:paraId="4EAC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4BFCF8E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三、付款方式：</w:t>
            </w:r>
          </w:p>
          <w:p w14:paraId="3AE71205">
            <w:pPr>
              <w:pStyle w:val="32"/>
              <w:spacing w:line="240" w:lineRule="atLeast"/>
              <w:rPr>
                <w:rFonts w:ascii="宋体" w:hAnsi="宋体" w:eastAsia="宋体" w:cs="宋体"/>
                <w:color w:val="auto"/>
                <w:sz w:val="24"/>
                <w:szCs w:val="24"/>
                <w:highlight w:val="none"/>
              </w:rPr>
            </w:pPr>
          </w:p>
        </w:tc>
      </w:tr>
      <w:tr w14:paraId="7D89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89743C0">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四、违约责任：</w:t>
            </w:r>
          </w:p>
          <w:p w14:paraId="27551E2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按《中华人民共和国民法典》、《政府采购法》执行，或按双方约定。</w:t>
            </w:r>
          </w:p>
        </w:tc>
      </w:tr>
      <w:tr w14:paraId="3912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6EFAF81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五、其他约定事项：</w:t>
            </w:r>
          </w:p>
          <w:p w14:paraId="6DD138DE">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1.采购文件及其补遗文件、响应文件和承诺是本合同不可分割的部分。</w:t>
            </w:r>
          </w:p>
          <w:p w14:paraId="711DD3F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2.本合同如发生争议由双方协商解决，协商不成向需方所在人民法院提请诉讼。</w:t>
            </w:r>
          </w:p>
          <w:p w14:paraId="2CD8C414">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3.本合同一式__份，需方__份，供方__份，具同等法律效力。</w:t>
            </w:r>
          </w:p>
          <w:p w14:paraId="546CE37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4.其他：</w:t>
            </w:r>
          </w:p>
        </w:tc>
      </w:tr>
      <w:tr w14:paraId="2B71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2DB3398D">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需方：</w:t>
            </w:r>
          </w:p>
          <w:p w14:paraId="0FF121A0">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366F9DD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联系电话：</w:t>
            </w:r>
          </w:p>
          <w:p w14:paraId="1DA2C0F0">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4984" w:type="dxa"/>
            <w:gridSpan w:val="5"/>
          </w:tcPr>
          <w:p w14:paraId="5899CD3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供方：</w:t>
            </w:r>
          </w:p>
          <w:p w14:paraId="039628C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18763DB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电话：</w:t>
            </w:r>
          </w:p>
          <w:p w14:paraId="68354DA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传真：</w:t>
            </w:r>
          </w:p>
          <w:p w14:paraId="69DD34D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开户银行：</w:t>
            </w:r>
          </w:p>
          <w:p w14:paraId="0407078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账号：</w:t>
            </w:r>
          </w:p>
          <w:p w14:paraId="09EF6246">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p w14:paraId="681DA9C6">
            <w:pPr>
              <w:widowControl/>
              <w:spacing w:line="240" w:lineRule="atLeast"/>
              <w:jc w:val="left"/>
              <w:rPr>
                <w:rFonts w:ascii="宋体" w:hAnsi="宋体" w:cs="宋体"/>
                <w:color w:val="auto"/>
                <w:sz w:val="24"/>
                <w:szCs w:val="24"/>
                <w:highlight w:val="none"/>
              </w:rPr>
            </w:pPr>
            <w:r>
              <w:rPr>
                <w:rFonts w:hint="eastAsia" w:ascii="宋体" w:hAnsi="宋体" w:cs="宋体"/>
                <w:color w:val="auto"/>
                <w:sz w:val="24"/>
                <w:szCs w:val="24"/>
                <w:highlight w:val="none"/>
              </w:rPr>
              <w:t>（本栏请用计算机打印以便于准确付款）</w:t>
            </w:r>
          </w:p>
        </w:tc>
      </w:tr>
      <w:tr w14:paraId="6DF1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072C341F">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备注：</w:t>
            </w:r>
          </w:p>
          <w:p w14:paraId="27F7E336">
            <w:pPr>
              <w:spacing w:line="240" w:lineRule="atLeast"/>
              <w:rPr>
                <w:rFonts w:ascii="宋体" w:hAnsi="宋体" w:cs="宋体"/>
                <w:color w:val="auto"/>
                <w:sz w:val="24"/>
                <w:szCs w:val="24"/>
                <w:highlight w:val="none"/>
              </w:rPr>
            </w:pPr>
          </w:p>
          <w:p w14:paraId="58FD0DF4">
            <w:pPr>
              <w:spacing w:line="240" w:lineRule="atLeast"/>
              <w:rPr>
                <w:rFonts w:ascii="宋体" w:hAnsi="宋体" w:cs="宋体"/>
                <w:color w:val="auto"/>
                <w:sz w:val="24"/>
                <w:szCs w:val="24"/>
                <w:highlight w:val="none"/>
              </w:rPr>
            </w:pPr>
          </w:p>
        </w:tc>
      </w:tr>
    </w:tbl>
    <w:p w14:paraId="48185D01">
      <w:pPr>
        <w:snapToGrid w:val="0"/>
        <w:spacing w:line="400" w:lineRule="exact"/>
        <w:rPr>
          <w:rFonts w:ascii="宋体" w:hAnsi="宋体" w:cs="宋体"/>
          <w:color w:val="auto"/>
          <w:sz w:val="24"/>
          <w:szCs w:val="24"/>
          <w:highlight w:val="none"/>
        </w:rPr>
      </w:pPr>
    </w:p>
    <w:p w14:paraId="5EC86171">
      <w:pPr>
        <w:snapToGrid w:val="0"/>
        <w:spacing w:line="400" w:lineRule="exact"/>
        <w:ind w:firstLine="540"/>
        <w:rPr>
          <w:rFonts w:ascii="宋体" w:hAnsi="宋体" w:cs="宋体"/>
          <w:color w:val="auto"/>
          <w:sz w:val="24"/>
          <w:szCs w:val="24"/>
          <w:highlight w:val="none"/>
        </w:rPr>
      </w:pPr>
    </w:p>
    <w:p w14:paraId="2BEA0F61">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签约时间：  年   月   日                        签约地点：</w:t>
      </w:r>
    </w:p>
    <w:p w14:paraId="61CEADB0">
      <w:pPr>
        <w:spacing w:line="500" w:lineRule="exact"/>
        <w:rPr>
          <w:rFonts w:ascii="宋体" w:hAnsi="宋体" w:cs="宋体"/>
          <w:b/>
          <w:color w:val="auto"/>
          <w:sz w:val="24"/>
          <w:szCs w:val="24"/>
          <w:highlight w:val="none"/>
        </w:rPr>
      </w:pPr>
    </w:p>
    <w:p w14:paraId="5F176229">
      <w:pPr>
        <w:pStyle w:val="22"/>
        <w:rPr>
          <w:rFonts w:ascii="宋体" w:hAnsi="宋体" w:cs="宋体"/>
          <w:b/>
          <w:color w:val="auto"/>
          <w:sz w:val="24"/>
          <w:szCs w:val="24"/>
          <w:highlight w:val="none"/>
        </w:rPr>
      </w:pPr>
    </w:p>
    <w:p w14:paraId="75E096A4">
      <w:pPr>
        <w:rPr>
          <w:rFonts w:ascii="宋体" w:hAnsi="宋体" w:cs="宋体"/>
          <w:b/>
          <w:color w:val="auto"/>
          <w:sz w:val="24"/>
          <w:szCs w:val="24"/>
          <w:highlight w:val="none"/>
        </w:rPr>
      </w:pPr>
    </w:p>
    <w:bookmarkEnd w:id="123"/>
    <w:p w14:paraId="2B3A2EF0">
      <w:pPr>
        <w:rPr>
          <w:rFonts w:ascii="宋体" w:hAnsi="宋体" w:cs="宋体"/>
          <w:color w:val="auto"/>
          <w:sz w:val="24"/>
          <w:szCs w:val="24"/>
          <w:highlight w:val="none"/>
        </w:rPr>
      </w:pPr>
      <w:bookmarkStart w:id="125" w:name="_Toc1780"/>
    </w:p>
    <w:p w14:paraId="5BC08169">
      <w:pPr>
        <w:pStyle w:val="2"/>
        <w:spacing w:line="360" w:lineRule="auto"/>
        <w:jc w:val="center"/>
        <w:rPr>
          <w:rFonts w:hAnsi="宋体" w:cs="宋体"/>
          <w:b/>
          <w:bCs/>
          <w:color w:val="auto"/>
          <w:sz w:val="36"/>
          <w:szCs w:val="36"/>
          <w:highlight w:val="none"/>
        </w:rPr>
      </w:pPr>
      <w:bookmarkStart w:id="126" w:name="_Toc4403"/>
      <w:r>
        <w:rPr>
          <w:rFonts w:hint="eastAsia" w:hAnsi="宋体" w:cs="宋体"/>
          <w:b/>
          <w:bCs/>
          <w:color w:val="auto"/>
          <w:sz w:val="36"/>
          <w:szCs w:val="36"/>
          <w:highlight w:val="none"/>
        </w:rPr>
        <w:t>第七篇  响应文件编制要求</w:t>
      </w:r>
      <w:bookmarkEnd w:id="125"/>
      <w:bookmarkEnd w:id="126"/>
    </w:p>
    <w:p w14:paraId="4024149E">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一、经济部分</w:t>
      </w:r>
    </w:p>
    <w:p w14:paraId="4AA860B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（一）竞争性磋商报价函</w:t>
      </w:r>
    </w:p>
    <w:p w14:paraId="1931C75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（二）分项报价明细表</w:t>
      </w:r>
    </w:p>
    <w:p w14:paraId="313D5600">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二、服务部分</w:t>
      </w:r>
    </w:p>
    <w:p w14:paraId="4A7A78E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（一）服务方案（格式自定）</w:t>
      </w:r>
    </w:p>
    <w:p w14:paraId="3F3D442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（二）服务响应偏离表</w:t>
      </w:r>
    </w:p>
    <w:p w14:paraId="05346AD5">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三、商务部分</w:t>
      </w:r>
    </w:p>
    <w:p w14:paraId="343AB53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（一）商务要求响应情况：服务期、服务地点及验收方式等（格式自定）</w:t>
      </w:r>
    </w:p>
    <w:p w14:paraId="29F2C1C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（二）商务响应偏离表</w:t>
      </w:r>
    </w:p>
    <w:p w14:paraId="06190BB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优惠服务承诺（格式自定）</w:t>
      </w:r>
    </w:p>
    <w:p w14:paraId="6E730174">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四、资格条件及其他</w:t>
      </w:r>
    </w:p>
    <w:p w14:paraId="5008F9A7">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24EFD29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（二）法定代表人身份证明书（格式）</w:t>
      </w:r>
    </w:p>
    <w:p w14:paraId="0EC1E28D">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（三）法定代表人授权委托书（格式）</w:t>
      </w:r>
    </w:p>
    <w:p w14:paraId="3C68944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（四）基本资格条件承诺函（格式）</w:t>
      </w:r>
    </w:p>
    <w:p w14:paraId="2D2E6CF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（五）特定资格条件证明文件（如有）</w:t>
      </w:r>
    </w:p>
    <w:p w14:paraId="5FCDFAB0">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五、其他应提供的资料</w:t>
      </w:r>
    </w:p>
    <w:p w14:paraId="5C0C736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（一）其他资料</w:t>
      </w:r>
    </w:p>
    <w:p w14:paraId="28E179B2">
      <w:pPr>
        <w:rPr>
          <w:rFonts w:ascii="宋体" w:hAnsi="宋体" w:cs="宋体"/>
          <w:color w:val="auto"/>
          <w:sz w:val="24"/>
          <w:szCs w:val="24"/>
          <w:highlight w:val="none"/>
        </w:rPr>
      </w:pPr>
      <w:bookmarkStart w:id="127" w:name="_Toc499576264"/>
      <w:bookmarkStart w:id="128" w:name="_Toc10238"/>
      <w:bookmarkStart w:id="129" w:name="_Toc342913419"/>
      <w:bookmarkStart w:id="130" w:name="_Toc313008356"/>
      <w:bookmarkStart w:id="131" w:name="_Toc313888360"/>
      <w:bookmarkStart w:id="132" w:name="_Toc12789073"/>
      <w:bookmarkStart w:id="133" w:name="_Toc283382454"/>
    </w:p>
    <w:p w14:paraId="1EAD0928">
      <w:pPr>
        <w:rPr>
          <w:rFonts w:ascii="宋体" w:hAnsi="宋体" w:cs="宋体"/>
          <w:color w:val="auto"/>
          <w:sz w:val="24"/>
          <w:szCs w:val="24"/>
          <w:highlight w:val="none"/>
        </w:rPr>
      </w:pPr>
    </w:p>
    <w:p w14:paraId="2C73ED42">
      <w:pPr>
        <w:rPr>
          <w:rFonts w:ascii="宋体" w:hAnsi="宋体" w:cs="宋体"/>
          <w:color w:val="auto"/>
          <w:sz w:val="24"/>
          <w:szCs w:val="24"/>
          <w:highlight w:val="none"/>
        </w:rPr>
      </w:pPr>
    </w:p>
    <w:p w14:paraId="27B7BB44">
      <w:pPr>
        <w:rPr>
          <w:rFonts w:ascii="宋体" w:hAnsi="宋体" w:cs="宋体"/>
          <w:color w:val="auto"/>
          <w:sz w:val="24"/>
          <w:szCs w:val="24"/>
          <w:highlight w:val="none"/>
        </w:rPr>
      </w:pPr>
    </w:p>
    <w:p w14:paraId="3169D41D">
      <w:pPr>
        <w:rPr>
          <w:rFonts w:ascii="宋体" w:hAnsi="宋体" w:cs="宋体"/>
          <w:color w:val="auto"/>
          <w:sz w:val="24"/>
          <w:szCs w:val="24"/>
          <w:highlight w:val="none"/>
        </w:rPr>
      </w:pPr>
    </w:p>
    <w:p w14:paraId="791A9DBA">
      <w:pPr>
        <w:rPr>
          <w:rFonts w:ascii="宋体" w:hAnsi="宋体" w:cs="宋体"/>
          <w:color w:val="auto"/>
          <w:sz w:val="24"/>
          <w:szCs w:val="24"/>
          <w:highlight w:val="none"/>
        </w:rPr>
      </w:pPr>
    </w:p>
    <w:p w14:paraId="29868D69">
      <w:pPr>
        <w:pStyle w:val="22"/>
        <w:rPr>
          <w:rFonts w:ascii="宋体" w:hAnsi="宋体" w:cs="宋体"/>
          <w:color w:val="auto"/>
          <w:sz w:val="24"/>
          <w:szCs w:val="24"/>
          <w:highlight w:val="none"/>
        </w:rPr>
      </w:pPr>
    </w:p>
    <w:p w14:paraId="5DB93F06">
      <w:pPr>
        <w:pStyle w:val="28"/>
        <w:ind w:left="2240"/>
        <w:rPr>
          <w:rFonts w:ascii="宋体" w:hAnsi="宋体" w:cs="宋体"/>
          <w:color w:val="auto"/>
          <w:sz w:val="24"/>
          <w:szCs w:val="24"/>
          <w:highlight w:val="none"/>
        </w:rPr>
      </w:pPr>
    </w:p>
    <w:p w14:paraId="3031E0D3">
      <w:pPr>
        <w:rPr>
          <w:rFonts w:ascii="宋体" w:hAnsi="宋体" w:cs="宋体"/>
          <w:color w:val="auto"/>
          <w:sz w:val="24"/>
          <w:szCs w:val="24"/>
          <w:highlight w:val="none"/>
        </w:rPr>
      </w:pPr>
    </w:p>
    <w:p w14:paraId="5FB5A6EA">
      <w:pPr>
        <w:rPr>
          <w:rFonts w:ascii="宋体" w:hAnsi="宋体" w:cs="宋体"/>
          <w:color w:val="auto"/>
          <w:sz w:val="24"/>
          <w:szCs w:val="24"/>
          <w:highlight w:val="none"/>
        </w:rPr>
      </w:pPr>
      <w:r>
        <w:rPr>
          <w:rFonts w:hint="eastAsia" w:ascii="宋体" w:hAnsi="宋体" w:cs="宋体"/>
          <w:color w:val="auto"/>
          <w:sz w:val="24"/>
          <w:szCs w:val="24"/>
          <w:highlight w:val="none"/>
        </w:rPr>
        <w:br w:type="page"/>
      </w:r>
    </w:p>
    <w:p w14:paraId="73D26065">
      <w:pPr>
        <w:pStyle w:val="3"/>
        <w:spacing w:before="0" w:after="0" w:line="440" w:lineRule="exact"/>
        <w:rPr>
          <w:rFonts w:ascii="宋体" w:hAnsi="宋体" w:eastAsia="宋体" w:cs="宋体"/>
          <w:color w:val="auto"/>
          <w:sz w:val="24"/>
          <w:szCs w:val="24"/>
          <w:highlight w:val="none"/>
        </w:rPr>
      </w:pPr>
      <w:bookmarkStart w:id="134" w:name="_Toc21539"/>
      <w:r>
        <w:rPr>
          <w:rFonts w:hint="eastAsia" w:ascii="宋体" w:hAnsi="宋体" w:eastAsia="宋体" w:cs="宋体"/>
          <w:color w:val="auto"/>
          <w:sz w:val="24"/>
          <w:szCs w:val="24"/>
          <w:highlight w:val="none"/>
        </w:rPr>
        <w:t>一、经济部分</w:t>
      </w:r>
      <w:bookmarkEnd w:id="127"/>
      <w:bookmarkEnd w:id="128"/>
      <w:bookmarkEnd w:id="129"/>
      <w:bookmarkEnd w:id="130"/>
      <w:bookmarkEnd w:id="131"/>
      <w:bookmarkEnd w:id="134"/>
    </w:p>
    <w:bookmarkEnd w:id="132"/>
    <w:bookmarkEnd w:id="133"/>
    <w:p w14:paraId="5B9BBEF0">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（一）竞争性磋商报价函</w:t>
      </w:r>
    </w:p>
    <w:p w14:paraId="1A1A8ACF">
      <w:pPr>
        <w:tabs>
          <w:tab w:val="left" w:pos="6300"/>
        </w:tabs>
        <w:snapToGrid w:val="0"/>
        <w:spacing w:line="312"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竞争性磋商报价函</w:t>
      </w:r>
    </w:p>
    <w:p w14:paraId="06FEA391">
      <w:pPr>
        <w:tabs>
          <w:tab w:val="left" w:pos="6300"/>
        </w:tabs>
        <w:snapToGrid w:val="0"/>
        <w:spacing w:line="312" w:lineRule="auto"/>
        <w:rPr>
          <w:rFonts w:ascii="宋体" w:hAnsi="宋体" w:cs="宋体"/>
          <w:color w:val="auto"/>
          <w:sz w:val="24"/>
          <w:szCs w:val="24"/>
          <w:highlight w:val="none"/>
        </w:rPr>
      </w:pPr>
      <w:r>
        <w:rPr>
          <w:rFonts w:hint="eastAsia" w:ascii="宋体" w:hAnsi="宋体" w:cs="宋体"/>
          <w:color w:val="auto"/>
          <w:sz w:val="24"/>
          <w:szCs w:val="24"/>
          <w:highlight w:val="none"/>
          <w:u w:val="single"/>
        </w:rPr>
        <w:t>（采购代理机构名称）</w:t>
      </w:r>
      <w:r>
        <w:rPr>
          <w:rFonts w:hint="eastAsia" w:ascii="宋体" w:hAnsi="宋体" w:cs="宋体"/>
          <w:color w:val="auto"/>
          <w:sz w:val="24"/>
          <w:szCs w:val="24"/>
          <w:highlight w:val="none"/>
        </w:rPr>
        <w:t>：</w:t>
      </w:r>
    </w:p>
    <w:p w14:paraId="2C7952D7">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我方收到____________________________（项目名称）的竞争性磋商文件，经详细研究，决定参加该项目的磋商。</w:t>
      </w:r>
    </w:p>
    <w:p w14:paraId="35A0EF16">
      <w:pPr>
        <w:tabs>
          <w:tab w:val="left" w:pos="6300"/>
        </w:tabs>
        <w:snapToGrid w:val="0"/>
        <w:spacing w:line="312"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1、愿意按照竞争性磋商文件中的一切要求，提供本项目所需的技术和服务，初始</w:t>
      </w:r>
      <w:r>
        <w:rPr>
          <w:rFonts w:hint="eastAsia" w:ascii="宋体" w:hAnsi="宋体" w:cs="宋体"/>
          <w:color w:val="auto"/>
          <w:sz w:val="24"/>
          <w:szCs w:val="24"/>
          <w:highlight w:val="none"/>
          <w:lang w:val="en-US" w:eastAsia="zh-CN"/>
        </w:rPr>
        <w:t>总</w:t>
      </w:r>
      <w:r>
        <w:rPr>
          <w:rFonts w:hint="eastAsia" w:ascii="宋体" w:hAnsi="宋体" w:cs="宋体"/>
          <w:color w:val="auto"/>
          <w:sz w:val="24"/>
          <w:szCs w:val="24"/>
          <w:highlight w:val="none"/>
        </w:rPr>
        <w:t>报价为大写：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；小写：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。以我公司最后报价为准</w:t>
      </w:r>
      <w:r>
        <w:rPr>
          <w:rFonts w:hint="eastAsia" w:ascii="宋体" w:hAnsi="宋体" w:cs="宋体"/>
          <w:color w:val="auto"/>
          <w:sz w:val="24"/>
          <w:szCs w:val="24"/>
          <w:highlight w:val="none"/>
          <w:lang w:val="en-US" w:eastAsia="zh-CN"/>
        </w:rPr>
        <w:t>。</w:t>
      </w:r>
    </w:p>
    <w:p w14:paraId="3AE96C0B">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2、我方现提交的响应文件为：响应文件正本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份，副本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份，电子文档</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w:t>
      </w:r>
    </w:p>
    <w:p w14:paraId="5297DB22">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3、我方承诺：本次磋商的有效期为提交响应文件截止时间起90天。</w:t>
      </w:r>
    </w:p>
    <w:p w14:paraId="356F627D">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4、我方完全理解和接受贵方竞争性磋商文件的一切规定和要求及评审办法。</w:t>
      </w:r>
    </w:p>
    <w:p w14:paraId="749388F9">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5、在整个竞争性磋商过程中，我方若有违规行为，接受按照《中华人民共和国政府采购法》和《竞争性磋商文件》之规定给予惩罚。</w:t>
      </w:r>
    </w:p>
    <w:p w14:paraId="58410571">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6、我方若成为成交供应商，将按照最终磋商结果签订合同，并且严格履行合同义务。本承诺函将成为合同不可分割的一部分，与合同具有同等的法律效力。</w:t>
      </w:r>
    </w:p>
    <w:p w14:paraId="5724AD29">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7、如果我方成为成交供应商，保证在接到成交通知书后，向采购代理机构缴纳竞争性磋商文件规定的采购代理服务费。</w:t>
      </w:r>
    </w:p>
    <w:p w14:paraId="48FCF370">
      <w:pPr>
        <w:tabs>
          <w:tab w:val="left" w:pos="6300"/>
        </w:tabs>
        <w:snapToGrid w:val="0"/>
        <w:spacing w:line="312"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8、我方未为采购项目提供整体设计、规范编制或者项目管理、监理、检测等服务。</w:t>
      </w:r>
    </w:p>
    <w:p w14:paraId="0203C9B9">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供应商（公章）或自然人签署：</w:t>
      </w:r>
    </w:p>
    <w:p w14:paraId="29F7D638">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地址：  </w:t>
      </w:r>
    </w:p>
    <w:p w14:paraId="3D438B9D">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电话：                                             传真：</w:t>
      </w:r>
    </w:p>
    <w:p w14:paraId="4649B867">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网址：                                             邮编：</w:t>
      </w:r>
    </w:p>
    <w:p w14:paraId="05F95A73">
      <w:pPr>
        <w:tabs>
          <w:tab w:val="left" w:pos="6300"/>
        </w:tabs>
        <w:snapToGrid w:val="0"/>
        <w:spacing w:line="46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联系人：</w:t>
      </w:r>
    </w:p>
    <w:p w14:paraId="52374E8E">
      <w:pPr>
        <w:snapToGrid w:val="0"/>
        <w:spacing w:line="460" w:lineRule="exact"/>
        <w:ind w:firstLine="480" w:firstLineChars="200"/>
        <w:rPr>
          <w:rFonts w:ascii="宋体" w:hAnsi="宋体" w:cs="宋体"/>
          <w:color w:val="auto"/>
          <w:sz w:val="24"/>
          <w:szCs w:val="24"/>
          <w:highlight w:val="none"/>
        </w:rPr>
        <w:sectPr>
          <w:headerReference r:id="rId14" w:type="default"/>
          <w:footerReference r:id="rId15" w:type="default"/>
          <w:pgSz w:w="11907" w:h="16840"/>
          <w:pgMar w:top="1134" w:right="1191" w:bottom="1134" w:left="1304" w:header="851" w:footer="992" w:gutter="0"/>
          <w:cols w:space="720" w:num="1"/>
          <w:rtlGutter w:val="1"/>
          <w:docGrid w:linePitch="380" w:charSpace="-5735"/>
        </w:sectPr>
      </w:pPr>
      <w:r>
        <w:rPr>
          <w:rFonts w:hint="eastAsia" w:ascii="宋体" w:hAnsi="宋体" w:cs="宋体"/>
          <w:color w:val="auto"/>
          <w:sz w:val="24"/>
          <w:szCs w:val="24"/>
          <w:highlight w:val="none"/>
        </w:rPr>
        <w:t xml:space="preserve">                                                  年   月   日</w:t>
      </w:r>
    </w:p>
    <w:p w14:paraId="14A4B58A">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（二）分项报价明细表</w:t>
      </w:r>
    </w:p>
    <w:p w14:paraId="13AAA131">
      <w:pPr>
        <w:tabs>
          <w:tab w:val="left" w:pos="6300"/>
        </w:tabs>
        <w:snapToGrid w:val="0"/>
        <w:spacing w:line="480" w:lineRule="exact"/>
        <w:jc w:val="center"/>
        <w:rPr>
          <w:rFonts w:ascii="宋体" w:hAnsi="宋体" w:cs="宋体"/>
          <w:color w:val="auto"/>
          <w:sz w:val="24"/>
          <w:szCs w:val="24"/>
          <w:highlight w:val="none"/>
        </w:rPr>
      </w:pPr>
      <w:r>
        <w:rPr>
          <w:rFonts w:hint="eastAsia" w:ascii="宋体" w:hAnsi="宋体" w:cs="宋体"/>
          <w:b/>
          <w:bCs/>
          <w:color w:val="auto"/>
          <w:sz w:val="24"/>
          <w:szCs w:val="24"/>
          <w:highlight w:val="none"/>
        </w:rPr>
        <w:t>分项报价明细表</w:t>
      </w:r>
    </w:p>
    <w:p w14:paraId="114BB612">
      <w:pPr>
        <w:tabs>
          <w:tab w:val="left" w:pos="6300"/>
        </w:tabs>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项目执行编号</w:t>
      </w:r>
      <w:r>
        <w:rPr>
          <w:rFonts w:hint="eastAsia" w:ascii="宋体" w:hAnsi="宋体" w:cs="宋体"/>
          <w:color w:val="auto"/>
          <w:sz w:val="24"/>
          <w:szCs w:val="24"/>
          <w:highlight w:val="none"/>
        </w:rPr>
        <w:t>：</w:t>
      </w:r>
    </w:p>
    <w:p w14:paraId="0299D9BD">
      <w:pPr>
        <w:tabs>
          <w:tab w:val="left" w:pos="6300"/>
        </w:tabs>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磋商项目名称：</w:t>
      </w:r>
    </w:p>
    <w:p w14:paraId="45E818EB">
      <w:pPr>
        <w:tabs>
          <w:tab w:val="left" w:pos="6300"/>
        </w:tabs>
        <w:snapToGrid w:val="0"/>
        <w:spacing w:line="360" w:lineRule="auto"/>
        <w:jc w:val="righ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单位：元</w:t>
      </w:r>
    </w:p>
    <w:tbl>
      <w:tblPr>
        <w:tblStyle w:val="57"/>
        <w:tblW w:w="9557" w:type="dxa"/>
        <w:jc w:val="center"/>
        <w:tblLayout w:type="fixed"/>
        <w:tblCellMar>
          <w:top w:w="0" w:type="dxa"/>
          <w:left w:w="0" w:type="dxa"/>
          <w:bottom w:w="0" w:type="dxa"/>
          <w:right w:w="0" w:type="dxa"/>
        </w:tblCellMar>
      </w:tblPr>
      <w:tblGrid>
        <w:gridCol w:w="927"/>
        <w:gridCol w:w="1620"/>
        <w:gridCol w:w="4229"/>
        <w:gridCol w:w="927"/>
        <w:gridCol w:w="927"/>
        <w:gridCol w:w="927"/>
      </w:tblGrid>
      <w:tr w14:paraId="4097EF9C">
        <w:tblPrEx>
          <w:tblCellMar>
            <w:top w:w="0" w:type="dxa"/>
            <w:left w:w="0" w:type="dxa"/>
            <w:bottom w:w="0" w:type="dxa"/>
            <w:right w:w="0" w:type="dxa"/>
          </w:tblCellMar>
        </w:tblPrEx>
        <w:trPr>
          <w:trHeight w:val="627"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10C003">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34D942">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3C0965">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相关信息</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8809AE">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25836F">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单价</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AAC9E9">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合计</w:t>
            </w:r>
          </w:p>
        </w:tc>
      </w:tr>
      <w:tr w14:paraId="645B7F8D">
        <w:tblPrEx>
          <w:tblCellMar>
            <w:top w:w="0" w:type="dxa"/>
            <w:left w:w="0" w:type="dxa"/>
            <w:bottom w:w="0" w:type="dxa"/>
            <w:right w:w="0" w:type="dxa"/>
          </w:tblCellMar>
        </w:tblPrEx>
        <w:trPr>
          <w:trHeight w:val="942"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8D0604">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4F04E4">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新增档案整理及数字化加工</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35EF04">
            <w:pPr>
              <w:snapToGrid w:val="0"/>
              <w:spacing w:line="240" w:lineRule="atLeas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31900A">
            <w:pPr>
              <w:keepNext w:val="0"/>
              <w:keepLines w:val="0"/>
              <w:widowControl/>
              <w:suppressLineNumbers w:val="0"/>
              <w:jc w:val="center"/>
              <w:textAlignment w:val="center"/>
              <w:rPr>
                <w:rFonts w:hint="default" w:ascii="宋体" w:hAnsi="宋体" w:eastAsia="宋体" w:cs="宋体"/>
                <w:bCs/>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5000卷</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1D6199">
            <w:pPr>
              <w:snapToGrid w:val="0"/>
              <w:spacing w:line="240" w:lineRule="atLeast"/>
              <w:jc w:val="center"/>
              <w:rPr>
                <w:rFonts w:hint="eastAsia" w:ascii="宋体" w:hAnsi="宋体" w:eastAsia="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42564E">
            <w:pPr>
              <w:snapToGrid w:val="0"/>
              <w:jc w:val="center"/>
              <w:rPr>
                <w:rFonts w:hint="eastAsia" w:ascii="宋体" w:hAnsi="宋体" w:cs="宋体"/>
                <w:bCs/>
                <w:color w:val="auto"/>
                <w:sz w:val="24"/>
                <w:szCs w:val="24"/>
                <w:highlight w:val="none"/>
              </w:rPr>
            </w:pPr>
          </w:p>
        </w:tc>
      </w:tr>
      <w:tr w14:paraId="07DA0FB8">
        <w:tblPrEx>
          <w:tblCellMar>
            <w:top w:w="0" w:type="dxa"/>
            <w:left w:w="0" w:type="dxa"/>
            <w:bottom w:w="0" w:type="dxa"/>
            <w:right w:w="0" w:type="dxa"/>
          </w:tblCellMar>
        </w:tblPrEx>
        <w:trPr>
          <w:trHeight w:val="1148"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AC46CF">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2</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67BEF2">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档案维护整理及数字化加工</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94DE1A">
            <w:pPr>
              <w:snapToGrid w:val="0"/>
              <w:spacing w:line="240" w:lineRule="atLeas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FFFCE7">
            <w:pPr>
              <w:keepNext w:val="0"/>
              <w:keepLines w:val="0"/>
              <w:widowControl/>
              <w:suppressLineNumbers w:val="0"/>
              <w:jc w:val="center"/>
              <w:textAlignment w:val="center"/>
              <w:rPr>
                <w:rFonts w:hint="default" w:ascii="宋体" w:hAnsi="宋体" w:eastAsia="宋体" w:cs="宋体"/>
                <w:bCs/>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55</w:t>
            </w:r>
            <w:r>
              <w:rPr>
                <w:rFonts w:hint="eastAsia" w:ascii="宋体" w:hAnsi="宋体" w:cs="宋体"/>
                <w:i w:val="0"/>
                <w:iCs w:val="0"/>
                <w:color w:val="auto"/>
                <w:kern w:val="0"/>
                <w:sz w:val="24"/>
                <w:szCs w:val="24"/>
                <w:highlight w:val="none"/>
                <w:u w:val="none"/>
                <w:lang w:val="en-US" w:eastAsia="zh-CN" w:bidi="ar"/>
              </w:rPr>
              <w:t>141</w:t>
            </w:r>
            <w:r>
              <w:rPr>
                <w:rFonts w:hint="eastAsia" w:ascii="宋体" w:hAnsi="宋体" w:eastAsia="宋体" w:cs="宋体"/>
                <w:i w:val="0"/>
                <w:iCs w:val="0"/>
                <w:color w:val="auto"/>
                <w:kern w:val="0"/>
                <w:sz w:val="24"/>
                <w:szCs w:val="24"/>
                <w:highlight w:val="none"/>
                <w:u w:val="none"/>
                <w:lang w:val="en-US" w:eastAsia="zh-CN" w:bidi="ar"/>
              </w:rPr>
              <w:t>卷</w:t>
            </w: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14CFB3C">
            <w:pPr>
              <w:snapToGrid w:val="0"/>
              <w:spacing w:line="240" w:lineRule="atLeast"/>
              <w:jc w:val="center"/>
              <w:rPr>
                <w:rFonts w:hint="eastAsia" w:ascii="宋体" w:hAnsi="宋体" w:eastAsia="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C626C5">
            <w:pPr>
              <w:snapToGrid w:val="0"/>
              <w:jc w:val="center"/>
              <w:rPr>
                <w:rFonts w:hint="eastAsia" w:ascii="宋体" w:hAnsi="宋体" w:cs="宋体"/>
                <w:bCs/>
                <w:color w:val="auto"/>
                <w:sz w:val="24"/>
                <w:szCs w:val="24"/>
                <w:highlight w:val="none"/>
              </w:rPr>
            </w:pPr>
          </w:p>
        </w:tc>
      </w:tr>
      <w:tr w14:paraId="6DF74D92">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2F27E9">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3</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66D12C">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0AF779F">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C211F4">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89A560E">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9004EC">
            <w:pPr>
              <w:snapToGrid w:val="0"/>
              <w:jc w:val="center"/>
              <w:rPr>
                <w:rFonts w:hint="eastAsia" w:ascii="宋体" w:hAnsi="宋体" w:cs="宋体"/>
                <w:bCs/>
                <w:color w:val="auto"/>
                <w:sz w:val="24"/>
                <w:szCs w:val="24"/>
                <w:highlight w:val="none"/>
              </w:rPr>
            </w:pPr>
          </w:p>
        </w:tc>
      </w:tr>
      <w:tr w14:paraId="70428074">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D0C547">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4</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17F42D">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2063753">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EDEF0D">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3E7430">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5C7E27">
            <w:pPr>
              <w:snapToGrid w:val="0"/>
              <w:jc w:val="center"/>
              <w:rPr>
                <w:rFonts w:hint="eastAsia" w:ascii="宋体" w:hAnsi="宋体" w:cs="宋体"/>
                <w:bCs/>
                <w:color w:val="auto"/>
                <w:sz w:val="24"/>
                <w:szCs w:val="24"/>
                <w:highlight w:val="none"/>
              </w:rPr>
            </w:pPr>
          </w:p>
        </w:tc>
      </w:tr>
      <w:tr w14:paraId="3AC4546E">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4131C1">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5</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06B4C0">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F139F00">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4EBE0F">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560EBB">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7BCB47">
            <w:pPr>
              <w:snapToGrid w:val="0"/>
              <w:jc w:val="center"/>
              <w:rPr>
                <w:rFonts w:hint="eastAsia" w:ascii="宋体" w:hAnsi="宋体" w:cs="宋体"/>
                <w:bCs/>
                <w:color w:val="auto"/>
                <w:sz w:val="24"/>
                <w:szCs w:val="24"/>
                <w:highlight w:val="none"/>
              </w:rPr>
            </w:pPr>
          </w:p>
        </w:tc>
      </w:tr>
      <w:tr w14:paraId="281E577C">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5A3F39">
            <w:pPr>
              <w:snapToGrid w:val="0"/>
              <w:spacing w:line="240" w:lineRule="atLeast"/>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6</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277658">
            <w:pPr>
              <w:snapToGrid w:val="0"/>
              <w:jc w:val="center"/>
              <w:rPr>
                <w:rFonts w:hint="eastAsia" w:ascii="宋体" w:hAnsi="宋体" w:cs="宋体"/>
                <w:bCs/>
                <w:color w:val="auto"/>
                <w:sz w:val="24"/>
                <w:szCs w:val="24"/>
                <w:highlight w:val="none"/>
              </w:rPr>
            </w:pP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29FC27">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B980F4">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74AEC8">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B5E01AC">
            <w:pPr>
              <w:snapToGrid w:val="0"/>
              <w:jc w:val="center"/>
              <w:rPr>
                <w:rFonts w:hint="eastAsia" w:ascii="宋体" w:hAnsi="宋体" w:cs="宋体"/>
                <w:bCs/>
                <w:color w:val="auto"/>
                <w:sz w:val="24"/>
                <w:szCs w:val="24"/>
                <w:highlight w:val="none"/>
              </w:rPr>
            </w:pPr>
          </w:p>
        </w:tc>
      </w:tr>
      <w:tr w14:paraId="08842E16">
        <w:tblPrEx>
          <w:tblCellMar>
            <w:top w:w="0" w:type="dxa"/>
            <w:left w:w="0" w:type="dxa"/>
            <w:bottom w:w="0" w:type="dxa"/>
            <w:right w:w="0" w:type="dxa"/>
          </w:tblCellMar>
        </w:tblPrEx>
        <w:trPr>
          <w:trHeight w:val="465"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4458BF">
            <w:pPr>
              <w:snapToGrid w:val="0"/>
              <w:spacing w:line="240" w:lineRule="atLeast"/>
              <w:jc w:val="center"/>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6</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1D4CED">
            <w:pPr>
              <w:snapToGrid w:val="0"/>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w:t>
            </w:r>
          </w:p>
        </w:tc>
        <w:tc>
          <w:tcPr>
            <w:tcW w:w="422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CC9CDFF">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1DB552">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5E6174">
            <w:pPr>
              <w:snapToGrid w:val="0"/>
              <w:jc w:val="center"/>
              <w:rPr>
                <w:rFonts w:hint="eastAsia" w:ascii="宋体" w:hAnsi="宋体" w:cs="宋体"/>
                <w:bCs/>
                <w:color w:val="auto"/>
                <w:sz w:val="24"/>
                <w:szCs w:val="24"/>
                <w:highlight w:val="none"/>
              </w:rPr>
            </w:pPr>
          </w:p>
        </w:tc>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60A36A">
            <w:pPr>
              <w:snapToGrid w:val="0"/>
              <w:jc w:val="center"/>
              <w:rPr>
                <w:rFonts w:hint="eastAsia" w:ascii="宋体" w:hAnsi="宋体" w:cs="宋体"/>
                <w:bCs/>
                <w:color w:val="auto"/>
                <w:sz w:val="24"/>
                <w:szCs w:val="24"/>
                <w:highlight w:val="none"/>
              </w:rPr>
            </w:pPr>
          </w:p>
        </w:tc>
      </w:tr>
      <w:tr w14:paraId="5A24C8B7">
        <w:tblPrEx>
          <w:tblCellMar>
            <w:top w:w="0" w:type="dxa"/>
            <w:left w:w="0" w:type="dxa"/>
            <w:bottom w:w="0" w:type="dxa"/>
            <w:right w:w="0" w:type="dxa"/>
          </w:tblCellMar>
        </w:tblPrEx>
        <w:trPr>
          <w:trHeight w:val="477" w:hRule="exact"/>
          <w:jc w:val="center"/>
        </w:trPr>
        <w:tc>
          <w:tcPr>
            <w:tcW w:w="9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426083">
            <w:pPr>
              <w:snapToGrid w:val="0"/>
              <w:spacing w:line="240" w:lineRule="atLeast"/>
              <w:jc w:val="center"/>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7</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361A00">
            <w:pPr>
              <w:snapToGrid w:val="0"/>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总计</w:t>
            </w:r>
          </w:p>
        </w:tc>
        <w:tc>
          <w:tcPr>
            <w:tcW w:w="7010" w:type="dxa"/>
            <w:gridSpan w:val="4"/>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335768">
            <w:pPr>
              <w:snapToGrid w:val="0"/>
              <w:rPr>
                <w:rFonts w:hint="eastAsia" w:ascii="宋体" w:hAnsi="宋体" w:cs="宋体"/>
                <w:bCs/>
                <w:color w:val="auto"/>
                <w:sz w:val="24"/>
                <w:szCs w:val="24"/>
                <w:highlight w:val="none"/>
              </w:rPr>
            </w:pPr>
          </w:p>
        </w:tc>
      </w:tr>
    </w:tbl>
    <w:p w14:paraId="6A8D368F">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注：本表可根据项目实际情况调整格式。</w:t>
      </w:r>
    </w:p>
    <w:p w14:paraId="0717CEF0">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p>
    <w:p w14:paraId="3C2744F4">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或</w:t>
      </w:r>
      <w:r>
        <w:rPr>
          <w:rFonts w:hint="eastAsia" w:ascii="宋体" w:hAnsi="宋体" w:cs="宋体"/>
          <w:color w:val="auto"/>
          <w:sz w:val="24"/>
          <w:szCs w:val="24"/>
          <w:highlight w:val="none"/>
        </w:rPr>
        <w:t xml:space="preserve">法定代表人授权代表）或自然人：  </w:t>
      </w:r>
    </w:p>
    <w:p w14:paraId="606C764E">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p>
    <w:p w14:paraId="48925EF8">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（供应商公章）                               （签字或盖章）</w:t>
      </w:r>
    </w:p>
    <w:p w14:paraId="5AF9180B">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p>
    <w:p w14:paraId="49F97146">
      <w:pPr>
        <w:keepNext w:val="0"/>
        <w:keepLines w:val="0"/>
        <w:pageBreakBefore w:val="0"/>
        <w:widowControl w:val="0"/>
        <w:kinsoku/>
        <w:wordWrap/>
        <w:overflowPunct/>
        <w:topLinePunct w:val="0"/>
        <w:autoSpaceDE/>
        <w:autoSpaceDN/>
        <w:bidi w:val="0"/>
        <w:adjustRightInd/>
        <w:spacing w:line="360" w:lineRule="auto"/>
        <w:ind w:right="480" w:firstLine="480" w:firstLineChars="200"/>
        <w:jc w:val="right"/>
        <w:textAlignment w:val="auto"/>
        <w:rPr>
          <w:rFonts w:hint="eastAsia" w:ascii="宋体" w:hAnsi="宋体" w:cs="宋体"/>
          <w:color w:val="auto"/>
          <w:sz w:val="24"/>
          <w:szCs w:val="24"/>
          <w:highlight w:val="none"/>
        </w:rPr>
      </w:pPr>
    </w:p>
    <w:p w14:paraId="48D5116A">
      <w:pPr>
        <w:keepNext w:val="0"/>
        <w:keepLines w:val="0"/>
        <w:pageBreakBefore w:val="0"/>
        <w:widowControl w:val="0"/>
        <w:kinsoku/>
        <w:wordWrap/>
        <w:overflowPunct/>
        <w:topLinePunct w:val="0"/>
        <w:autoSpaceDE/>
        <w:autoSpaceDN/>
        <w:bidi w:val="0"/>
        <w:adjustRightInd/>
        <w:spacing w:line="360" w:lineRule="auto"/>
        <w:ind w:right="480" w:firstLine="480" w:firstLineChars="200"/>
        <w:jc w:val="right"/>
        <w:textAlignment w:val="auto"/>
        <w:rPr>
          <w:rFonts w:hint="eastAsia" w:ascii="宋体" w:hAnsi="宋体" w:cs="宋体"/>
          <w:color w:val="auto"/>
          <w:sz w:val="24"/>
          <w:szCs w:val="24"/>
          <w:highlight w:val="none"/>
        </w:rPr>
      </w:pPr>
    </w:p>
    <w:p w14:paraId="614FA153">
      <w:pPr>
        <w:keepNext w:val="0"/>
        <w:keepLines w:val="0"/>
        <w:pageBreakBefore w:val="0"/>
        <w:widowControl w:val="0"/>
        <w:kinsoku/>
        <w:wordWrap/>
        <w:overflowPunct/>
        <w:topLinePunct w:val="0"/>
        <w:autoSpaceDE/>
        <w:autoSpaceDN/>
        <w:bidi w:val="0"/>
        <w:adjustRightInd/>
        <w:spacing w:line="360" w:lineRule="auto"/>
        <w:ind w:right="480" w:firstLine="480" w:firstLineChars="200"/>
        <w:jc w:val="right"/>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年     月     日</w:t>
      </w:r>
    </w:p>
    <w:p w14:paraId="4A917AE5">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注：1.请供应商完整填写本表。</w:t>
      </w:r>
    </w:p>
    <w:p w14:paraId="59586877">
      <w:pPr>
        <w:keepNext w:val="0"/>
        <w:keepLines w:val="0"/>
        <w:pageBreakBefore w:val="0"/>
        <w:widowControl w:val="0"/>
        <w:kinsoku/>
        <w:wordWrap/>
        <w:overflowPunct/>
        <w:topLinePunct w:val="0"/>
        <w:autoSpaceDE/>
        <w:autoSpaceDN/>
        <w:bidi w:val="0"/>
        <w:adjustRightInd/>
        <w:spacing w:line="360" w:lineRule="auto"/>
        <w:ind w:right="48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该表可扩展</w:t>
      </w:r>
      <w:r>
        <w:rPr>
          <w:rFonts w:hint="eastAsia" w:ascii="宋体" w:hAnsi="宋体" w:cs="宋体"/>
          <w:color w:val="auto"/>
          <w:sz w:val="24"/>
          <w:szCs w:val="24"/>
          <w:highlight w:val="none"/>
          <w:lang w:eastAsia="zh-CN"/>
        </w:rPr>
        <w:t>。</w:t>
      </w:r>
    </w:p>
    <w:p w14:paraId="6C3D100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bdr w:val="single" w:color="auto" w:sz="4" w:space="0"/>
        </w:rPr>
        <w:sectPr>
          <w:headerReference r:id="rId16" w:type="default"/>
          <w:pgSz w:w="11907" w:h="16840"/>
          <w:pgMar w:top="1134" w:right="1191" w:bottom="1134" w:left="1304" w:header="851" w:footer="992" w:gutter="0"/>
          <w:cols w:space="720" w:num="1"/>
          <w:rtlGutter w:val="1"/>
          <w:docGrid w:linePitch="380" w:charSpace="-5735"/>
        </w:sectPr>
      </w:pPr>
    </w:p>
    <w:p w14:paraId="5E800581">
      <w:pPr>
        <w:pStyle w:val="3"/>
        <w:spacing w:before="0" w:after="0" w:line="360" w:lineRule="auto"/>
        <w:rPr>
          <w:rFonts w:ascii="宋体" w:hAnsi="宋体" w:eastAsia="宋体" w:cs="宋体"/>
          <w:color w:val="auto"/>
          <w:sz w:val="24"/>
          <w:szCs w:val="24"/>
          <w:highlight w:val="none"/>
        </w:rPr>
      </w:pPr>
      <w:bookmarkStart w:id="135" w:name="_Toc342913420"/>
      <w:bookmarkStart w:id="136" w:name="_Toc313888361"/>
      <w:bookmarkStart w:id="137" w:name="_Toc499576265"/>
      <w:bookmarkStart w:id="138" w:name="_Toc20795"/>
      <w:bookmarkStart w:id="139" w:name="_Toc313008357"/>
      <w:bookmarkStart w:id="140" w:name="_Toc28589"/>
      <w:r>
        <w:rPr>
          <w:rFonts w:hint="eastAsia" w:ascii="宋体" w:hAnsi="宋体" w:eastAsia="宋体" w:cs="宋体"/>
          <w:color w:val="auto"/>
          <w:sz w:val="24"/>
          <w:szCs w:val="24"/>
          <w:highlight w:val="none"/>
        </w:rPr>
        <w:t>二、服务部分</w:t>
      </w:r>
      <w:bookmarkEnd w:id="135"/>
      <w:bookmarkEnd w:id="136"/>
      <w:bookmarkEnd w:id="137"/>
      <w:bookmarkEnd w:id="138"/>
      <w:bookmarkEnd w:id="139"/>
      <w:bookmarkEnd w:id="140"/>
    </w:p>
    <w:p w14:paraId="66F716F8">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（一）服务方案（格式自定）</w:t>
      </w:r>
    </w:p>
    <w:p w14:paraId="23B4A83E">
      <w:pPr>
        <w:tabs>
          <w:tab w:val="left" w:pos="6300"/>
        </w:tabs>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（二）服务响应偏离表</w:t>
      </w:r>
    </w:p>
    <w:p w14:paraId="24C84BF8">
      <w:pPr>
        <w:spacing w:line="400" w:lineRule="exact"/>
        <w:ind w:firstLine="3373" w:firstLineChars="14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服务响应偏离表</w:t>
      </w:r>
    </w:p>
    <w:p w14:paraId="27757F4B">
      <w:pPr>
        <w:pStyle w:val="32"/>
        <w:tabs>
          <w:tab w:val="left" w:pos="6300"/>
        </w:tabs>
        <w:snapToGrid w:val="0"/>
        <w:spacing w:line="5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项目执行编号</w:t>
      </w:r>
      <w:r>
        <w:rPr>
          <w:rFonts w:hint="eastAsia" w:ascii="宋体" w:hAnsi="宋体" w:eastAsia="宋体" w:cs="宋体"/>
          <w:color w:val="auto"/>
          <w:sz w:val="24"/>
          <w:szCs w:val="24"/>
          <w:highlight w:val="none"/>
        </w:rPr>
        <w:t>：</w:t>
      </w:r>
    </w:p>
    <w:p w14:paraId="529F114A">
      <w:pPr>
        <w:pStyle w:val="32"/>
        <w:tabs>
          <w:tab w:val="left" w:pos="6300"/>
        </w:tabs>
        <w:snapToGrid w:val="0"/>
        <w:spacing w:line="5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bl>
      <w:tblPr>
        <w:tblStyle w:val="57"/>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006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59FE3A28">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658" w:type="dxa"/>
            <w:vAlign w:val="center"/>
          </w:tcPr>
          <w:p w14:paraId="5BB685FB">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服务需求</w:t>
            </w:r>
          </w:p>
        </w:tc>
        <w:tc>
          <w:tcPr>
            <w:tcW w:w="2759" w:type="dxa"/>
            <w:vAlign w:val="center"/>
          </w:tcPr>
          <w:p w14:paraId="7F70A1F2">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响应情况</w:t>
            </w:r>
          </w:p>
        </w:tc>
        <w:tc>
          <w:tcPr>
            <w:tcW w:w="2067" w:type="dxa"/>
            <w:vAlign w:val="center"/>
          </w:tcPr>
          <w:p w14:paraId="7AE72263">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差异说明</w:t>
            </w:r>
          </w:p>
        </w:tc>
      </w:tr>
      <w:tr w14:paraId="54AD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97A3710">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34CAF73A">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0EA8D806">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4FE1CADF">
            <w:pPr>
              <w:tabs>
                <w:tab w:val="left" w:pos="6300"/>
              </w:tabs>
              <w:snapToGrid w:val="0"/>
              <w:spacing w:line="500" w:lineRule="exact"/>
              <w:jc w:val="center"/>
              <w:outlineLvl w:val="0"/>
              <w:rPr>
                <w:rFonts w:ascii="宋体" w:hAnsi="宋体" w:cs="宋体"/>
                <w:color w:val="auto"/>
                <w:sz w:val="24"/>
                <w:szCs w:val="24"/>
                <w:highlight w:val="none"/>
              </w:rPr>
            </w:pPr>
          </w:p>
        </w:tc>
      </w:tr>
      <w:tr w14:paraId="484B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2F19E4A6">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726F51DF">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6FD9EC0D">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4E6FC21E">
            <w:pPr>
              <w:tabs>
                <w:tab w:val="left" w:pos="6300"/>
              </w:tabs>
              <w:snapToGrid w:val="0"/>
              <w:spacing w:line="500" w:lineRule="exact"/>
              <w:jc w:val="center"/>
              <w:outlineLvl w:val="0"/>
              <w:rPr>
                <w:rFonts w:ascii="宋体" w:hAnsi="宋体" w:cs="宋体"/>
                <w:color w:val="auto"/>
                <w:sz w:val="24"/>
                <w:szCs w:val="24"/>
                <w:highlight w:val="none"/>
              </w:rPr>
            </w:pPr>
          </w:p>
        </w:tc>
      </w:tr>
      <w:tr w14:paraId="200D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C4458D2">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7CDEC1E4">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6EE39375">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528641C8">
            <w:pPr>
              <w:tabs>
                <w:tab w:val="left" w:pos="6300"/>
              </w:tabs>
              <w:snapToGrid w:val="0"/>
              <w:spacing w:line="500" w:lineRule="exact"/>
              <w:jc w:val="center"/>
              <w:outlineLvl w:val="0"/>
              <w:rPr>
                <w:rFonts w:ascii="宋体" w:hAnsi="宋体" w:cs="宋体"/>
                <w:color w:val="auto"/>
                <w:sz w:val="24"/>
                <w:szCs w:val="24"/>
                <w:highlight w:val="none"/>
              </w:rPr>
            </w:pPr>
          </w:p>
        </w:tc>
      </w:tr>
      <w:tr w14:paraId="2BD4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5660803">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0CC57549">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26640E26">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31409E69">
            <w:pPr>
              <w:tabs>
                <w:tab w:val="left" w:pos="6300"/>
              </w:tabs>
              <w:snapToGrid w:val="0"/>
              <w:spacing w:line="500" w:lineRule="exact"/>
              <w:jc w:val="center"/>
              <w:outlineLvl w:val="0"/>
              <w:rPr>
                <w:rFonts w:ascii="宋体" w:hAnsi="宋体" w:cs="宋体"/>
                <w:color w:val="auto"/>
                <w:sz w:val="24"/>
                <w:szCs w:val="24"/>
                <w:highlight w:val="none"/>
              </w:rPr>
            </w:pPr>
          </w:p>
        </w:tc>
      </w:tr>
      <w:tr w14:paraId="5F48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5164497">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50AB2ED2">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25B9EF95">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6FF05784">
            <w:pPr>
              <w:tabs>
                <w:tab w:val="left" w:pos="6300"/>
              </w:tabs>
              <w:snapToGrid w:val="0"/>
              <w:spacing w:line="500" w:lineRule="exact"/>
              <w:jc w:val="center"/>
              <w:outlineLvl w:val="0"/>
              <w:rPr>
                <w:rFonts w:ascii="宋体" w:hAnsi="宋体" w:cs="宋体"/>
                <w:color w:val="auto"/>
                <w:sz w:val="24"/>
                <w:szCs w:val="24"/>
                <w:highlight w:val="none"/>
              </w:rPr>
            </w:pPr>
          </w:p>
        </w:tc>
      </w:tr>
      <w:tr w14:paraId="1B42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C79D454">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7C589240">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1A1D4243">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7635F115">
            <w:pPr>
              <w:tabs>
                <w:tab w:val="left" w:pos="6300"/>
              </w:tabs>
              <w:snapToGrid w:val="0"/>
              <w:spacing w:line="500" w:lineRule="exact"/>
              <w:jc w:val="center"/>
              <w:outlineLvl w:val="0"/>
              <w:rPr>
                <w:rFonts w:ascii="宋体" w:hAnsi="宋体" w:cs="宋体"/>
                <w:color w:val="auto"/>
                <w:sz w:val="24"/>
                <w:szCs w:val="24"/>
                <w:highlight w:val="none"/>
              </w:rPr>
            </w:pPr>
          </w:p>
        </w:tc>
      </w:tr>
      <w:tr w14:paraId="237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1732D4E">
            <w:pPr>
              <w:tabs>
                <w:tab w:val="left" w:pos="6300"/>
              </w:tabs>
              <w:snapToGrid w:val="0"/>
              <w:spacing w:line="500" w:lineRule="exact"/>
              <w:jc w:val="center"/>
              <w:outlineLvl w:val="0"/>
              <w:rPr>
                <w:rFonts w:ascii="宋体" w:hAnsi="宋体" w:cs="宋体"/>
                <w:color w:val="auto"/>
                <w:sz w:val="24"/>
                <w:szCs w:val="24"/>
                <w:highlight w:val="none"/>
              </w:rPr>
            </w:pPr>
          </w:p>
        </w:tc>
        <w:tc>
          <w:tcPr>
            <w:tcW w:w="2658" w:type="dxa"/>
            <w:vAlign w:val="center"/>
          </w:tcPr>
          <w:p w14:paraId="251F2D39">
            <w:pPr>
              <w:tabs>
                <w:tab w:val="left" w:pos="6300"/>
              </w:tabs>
              <w:snapToGrid w:val="0"/>
              <w:spacing w:line="500" w:lineRule="exact"/>
              <w:jc w:val="center"/>
              <w:outlineLvl w:val="0"/>
              <w:rPr>
                <w:rFonts w:ascii="宋体" w:hAnsi="宋体" w:cs="宋体"/>
                <w:color w:val="auto"/>
                <w:sz w:val="24"/>
                <w:szCs w:val="24"/>
                <w:highlight w:val="none"/>
              </w:rPr>
            </w:pPr>
          </w:p>
        </w:tc>
        <w:tc>
          <w:tcPr>
            <w:tcW w:w="2759" w:type="dxa"/>
            <w:vAlign w:val="center"/>
          </w:tcPr>
          <w:p w14:paraId="21147217">
            <w:pPr>
              <w:tabs>
                <w:tab w:val="left" w:pos="6300"/>
              </w:tabs>
              <w:snapToGrid w:val="0"/>
              <w:spacing w:line="500" w:lineRule="exact"/>
              <w:jc w:val="center"/>
              <w:outlineLvl w:val="0"/>
              <w:rPr>
                <w:rFonts w:ascii="宋体" w:hAnsi="宋体" w:cs="宋体"/>
                <w:color w:val="auto"/>
                <w:sz w:val="24"/>
                <w:szCs w:val="24"/>
                <w:highlight w:val="none"/>
              </w:rPr>
            </w:pPr>
          </w:p>
        </w:tc>
        <w:tc>
          <w:tcPr>
            <w:tcW w:w="2067" w:type="dxa"/>
            <w:vAlign w:val="center"/>
          </w:tcPr>
          <w:p w14:paraId="5DE2BD2C">
            <w:pPr>
              <w:tabs>
                <w:tab w:val="left" w:pos="6300"/>
              </w:tabs>
              <w:snapToGrid w:val="0"/>
              <w:spacing w:line="500" w:lineRule="exact"/>
              <w:jc w:val="center"/>
              <w:outlineLvl w:val="0"/>
              <w:rPr>
                <w:rFonts w:ascii="宋体" w:hAnsi="宋体" w:cs="宋体"/>
                <w:color w:val="auto"/>
                <w:sz w:val="24"/>
                <w:szCs w:val="24"/>
                <w:highlight w:val="none"/>
              </w:rPr>
            </w:pPr>
          </w:p>
        </w:tc>
      </w:tr>
    </w:tbl>
    <w:p w14:paraId="40D14BA0">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7D50DEDA">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1、本表即为对本项目“第二篇  采购服务需求”进行比较和响应；</w:t>
      </w:r>
    </w:p>
    <w:p w14:paraId="24285AF7">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2、本表必须按照竞争性磋商要求逐条如实填写，根据响应情况在“差异说明”项填写正偏离或负偏离及原因，完全符合的填写“无差异”。</w:t>
      </w:r>
    </w:p>
    <w:p w14:paraId="710E9DB1">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3、本表可扩展。</w:t>
      </w:r>
    </w:p>
    <w:p w14:paraId="6820416C">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4、可附相关支撑材料。（格式自定）</w:t>
      </w:r>
    </w:p>
    <w:p w14:paraId="2D346773">
      <w:pPr>
        <w:pStyle w:val="3"/>
        <w:spacing w:before="0" w:after="0" w:line="360" w:lineRule="auto"/>
        <w:rPr>
          <w:rFonts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br w:type="page"/>
      </w:r>
      <w:bookmarkStart w:id="141" w:name="_Toc17833"/>
      <w:bookmarkStart w:id="142" w:name="_Toc313008358"/>
      <w:bookmarkStart w:id="143" w:name="_Toc499576266"/>
      <w:bookmarkStart w:id="144" w:name="_Toc6955"/>
      <w:bookmarkStart w:id="145" w:name="_Toc313888362"/>
      <w:bookmarkStart w:id="146" w:name="_Toc342913421"/>
      <w:r>
        <w:rPr>
          <w:rFonts w:hint="eastAsia" w:ascii="宋体" w:hAnsi="宋体" w:eastAsia="宋体" w:cs="宋体"/>
          <w:color w:val="auto"/>
          <w:sz w:val="24"/>
          <w:szCs w:val="24"/>
          <w:highlight w:val="none"/>
        </w:rPr>
        <w:t>三、商务部分</w:t>
      </w:r>
      <w:bookmarkEnd w:id="141"/>
      <w:bookmarkEnd w:id="142"/>
      <w:bookmarkEnd w:id="143"/>
      <w:bookmarkEnd w:id="144"/>
      <w:bookmarkEnd w:id="145"/>
      <w:bookmarkEnd w:id="146"/>
    </w:p>
    <w:p w14:paraId="31A00266">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（一）商务要求响应情况：</w:t>
      </w:r>
      <w:bookmarkStart w:id="147" w:name="_Toc283382459"/>
      <w:r>
        <w:rPr>
          <w:rFonts w:hint="eastAsia" w:ascii="宋体" w:hAnsi="宋体" w:cs="宋体"/>
          <w:color w:val="auto"/>
          <w:sz w:val="24"/>
          <w:szCs w:val="24"/>
          <w:highlight w:val="none"/>
        </w:rPr>
        <w:t>服务期、服务地点及验收方式等（格式自定）</w:t>
      </w:r>
    </w:p>
    <w:p w14:paraId="76D6C03F">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（二）商务响应偏离表</w:t>
      </w:r>
    </w:p>
    <w:p w14:paraId="20F1EDF6">
      <w:pPr>
        <w:spacing w:line="400" w:lineRule="exact"/>
        <w:ind w:firstLine="3373" w:firstLineChars="1400"/>
        <w:rPr>
          <w:rFonts w:ascii="宋体" w:hAnsi="宋体" w:cs="宋体"/>
          <w:b/>
          <w:color w:val="auto"/>
          <w:sz w:val="24"/>
          <w:szCs w:val="24"/>
          <w:highlight w:val="none"/>
        </w:rPr>
      </w:pPr>
      <w:r>
        <w:rPr>
          <w:rFonts w:hint="eastAsia" w:ascii="宋体" w:hAnsi="宋体" w:cs="宋体"/>
          <w:b/>
          <w:color w:val="auto"/>
          <w:sz w:val="24"/>
          <w:szCs w:val="24"/>
          <w:highlight w:val="none"/>
        </w:rPr>
        <w:t>商务响应偏离表</w:t>
      </w:r>
    </w:p>
    <w:p w14:paraId="55530736">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lang w:eastAsia="zh-CN"/>
        </w:rPr>
        <w:t>项目执行编号</w:t>
      </w:r>
      <w:r>
        <w:rPr>
          <w:rFonts w:hint="eastAsia" w:ascii="宋体" w:hAnsi="宋体" w:cs="宋体"/>
          <w:color w:val="auto"/>
          <w:sz w:val="24"/>
          <w:szCs w:val="24"/>
          <w:highlight w:val="none"/>
        </w:rPr>
        <w:t xml:space="preserve">：                                </w:t>
      </w:r>
    </w:p>
    <w:p w14:paraId="03BFBBAF">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 xml:space="preserve">项目名称： </w:t>
      </w:r>
    </w:p>
    <w:tbl>
      <w:tblPr>
        <w:tblStyle w:val="57"/>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767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0DF0E906">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3179" w:type="dxa"/>
            <w:vAlign w:val="center"/>
          </w:tcPr>
          <w:p w14:paraId="135F9D74">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磋商项目商务需求</w:t>
            </w:r>
          </w:p>
        </w:tc>
        <w:tc>
          <w:tcPr>
            <w:tcW w:w="2434" w:type="dxa"/>
            <w:vAlign w:val="center"/>
          </w:tcPr>
          <w:p w14:paraId="1E47A21C">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响应情况</w:t>
            </w:r>
          </w:p>
        </w:tc>
        <w:tc>
          <w:tcPr>
            <w:tcW w:w="2355" w:type="dxa"/>
            <w:vAlign w:val="center"/>
          </w:tcPr>
          <w:p w14:paraId="1F2BBA0B">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差异说明</w:t>
            </w:r>
          </w:p>
        </w:tc>
      </w:tr>
      <w:tr w14:paraId="2E2C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692D5F1">
            <w:pPr>
              <w:spacing w:line="500" w:lineRule="exact"/>
              <w:ind w:firstLine="600" w:firstLineChars="250"/>
              <w:rPr>
                <w:rFonts w:ascii="宋体" w:hAnsi="宋体" w:cs="宋体"/>
                <w:color w:val="auto"/>
                <w:sz w:val="24"/>
                <w:szCs w:val="24"/>
                <w:highlight w:val="none"/>
              </w:rPr>
            </w:pPr>
          </w:p>
        </w:tc>
        <w:tc>
          <w:tcPr>
            <w:tcW w:w="3179" w:type="dxa"/>
            <w:vAlign w:val="center"/>
          </w:tcPr>
          <w:p w14:paraId="6D5F0C18">
            <w:pPr>
              <w:spacing w:line="500" w:lineRule="exact"/>
              <w:ind w:firstLine="600" w:firstLineChars="250"/>
              <w:rPr>
                <w:rFonts w:ascii="宋体" w:hAnsi="宋体" w:cs="宋体"/>
                <w:color w:val="auto"/>
                <w:sz w:val="24"/>
                <w:szCs w:val="24"/>
                <w:highlight w:val="none"/>
              </w:rPr>
            </w:pPr>
          </w:p>
        </w:tc>
        <w:tc>
          <w:tcPr>
            <w:tcW w:w="2434" w:type="dxa"/>
            <w:vAlign w:val="center"/>
          </w:tcPr>
          <w:p w14:paraId="06089738">
            <w:pPr>
              <w:spacing w:line="500" w:lineRule="exact"/>
              <w:ind w:firstLine="600" w:firstLineChars="250"/>
              <w:rPr>
                <w:rFonts w:ascii="宋体" w:hAnsi="宋体" w:cs="宋体"/>
                <w:color w:val="auto"/>
                <w:sz w:val="24"/>
                <w:szCs w:val="24"/>
                <w:highlight w:val="none"/>
              </w:rPr>
            </w:pPr>
          </w:p>
        </w:tc>
        <w:tc>
          <w:tcPr>
            <w:tcW w:w="2355" w:type="dxa"/>
            <w:vAlign w:val="center"/>
          </w:tcPr>
          <w:p w14:paraId="5AE1F5FF">
            <w:pPr>
              <w:spacing w:line="500" w:lineRule="exact"/>
              <w:ind w:firstLine="600" w:firstLineChars="250"/>
              <w:rPr>
                <w:rFonts w:ascii="宋体" w:hAnsi="宋体" w:cs="宋体"/>
                <w:color w:val="auto"/>
                <w:sz w:val="24"/>
                <w:szCs w:val="24"/>
                <w:highlight w:val="none"/>
              </w:rPr>
            </w:pPr>
          </w:p>
        </w:tc>
      </w:tr>
      <w:tr w14:paraId="0161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764F734">
            <w:pPr>
              <w:spacing w:line="500" w:lineRule="exact"/>
              <w:ind w:firstLine="600" w:firstLineChars="250"/>
              <w:rPr>
                <w:rFonts w:ascii="宋体" w:hAnsi="宋体" w:cs="宋体"/>
                <w:color w:val="auto"/>
                <w:sz w:val="24"/>
                <w:szCs w:val="24"/>
                <w:highlight w:val="none"/>
              </w:rPr>
            </w:pPr>
          </w:p>
        </w:tc>
        <w:tc>
          <w:tcPr>
            <w:tcW w:w="3179" w:type="dxa"/>
            <w:vAlign w:val="center"/>
          </w:tcPr>
          <w:p w14:paraId="0DCA2CB1">
            <w:pPr>
              <w:spacing w:line="500" w:lineRule="exact"/>
              <w:ind w:firstLine="600" w:firstLineChars="250"/>
              <w:rPr>
                <w:rFonts w:ascii="宋体" w:hAnsi="宋体" w:cs="宋体"/>
                <w:color w:val="auto"/>
                <w:sz w:val="24"/>
                <w:szCs w:val="24"/>
                <w:highlight w:val="none"/>
              </w:rPr>
            </w:pPr>
          </w:p>
        </w:tc>
        <w:tc>
          <w:tcPr>
            <w:tcW w:w="2434" w:type="dxa"/>
            <w:vAlign w:val="center"/>
          </w:tcPr>
          <w:p w14:paraId="76270D0F">
            <w:pPr>
              <w:spacing w:line="500" w:lineRule="exact"/>
              <w:ind w:firstLine="600" w:firstLineChars="250"/>
              <w:rPr>
                <w:rFonts w:ascii="宋体" w:hAnsi="宋体" w:cs="宋体"/>
                <w:color w:val="auto"/>
                <w:sz w:val="24"/>
                <w:szCs w:val="24"/>
                <w:highlight w:val="none"/>
              </w:rPr>
            </w:pPr>
          </w:p>
        </w:tc>
        <w:tc>
          <w:tcPr>
            <w:tcW w:w="2355" w:type="dxa"/>
            <w:vAlign w:val="center"/>
          </w:tcPr>
          <w:p w14:paraId="27593554">
            <w:pPr>
              <w:spacing w:line="500" w:lineRule="exact"/>
              <w:ind w:firstLine="600" w:firstLineChars="250"/>
              <w:rPr>
                <w:rFonts w:ascii="宋体" w:hAnsi="宋体" w:cs="宋体"/>
                <w:color w:val="auto"/>
                <w:sz w:val="24"/>
                <w:szCs w:val="24"/>
                <w:highlight w:val="none"/>
              </w:rPr>
            </w:pPr>
          </w:p>
        </w:tc>
      </w:tr>
      <w:tr w14:paraId="529D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E2FACD7">
            <w:pPr>
              <w:spacing w:line="500" w:lineRule="exact"/>
              <w:ind w:firstLine="600" w:firstLineChars="250"/>
              <w:rPr>
                <w:rFonts w:ascii="宋体" w:hAnsi="宋体" w:cs="宋体"/>
                <w:color w:val="auto"/>
                <w:sz w:val="24"/>
                <w:szCs w:val="24"/>
                <w:highlight w:val="none"/>
              </w:rPr>
            </w:pPr>
          </w:p>
        </w:tc>
        <w:tc>
          <w:tcPr>
            <w:tcW w:w="3179" w:type="dxa"/>
            <w:vAlign w:val="center"/>
          </w:tcPr>
          <w:p w14:paraId="153F8514">
            <w:pPr>
              <w:spacing w:line="500" w:lineRule="exact"/>
              <w:ind w:firstLine="600" w:firstLineChars="250"/>
              <w:rPr>
                <w:rFonts w:ascii="宋体" w:hAnsi="宋体" w:cs="宋体"/>
                <w:color w:val="auto"/>
                <w:sz w:val="24"/>
                <w:szCs w:val="24"/>
                <w:highlight w:val="none"/>
              </w:rPr>
            </w:pPr>
          </w:p>
        </w:tc>
        <w:tc>
          <w:tcPr>
            <w:tcW w:w="2434" w:type="dxa"/>
            <w:vAlign w:val="center"/>
          </w:tcPr>
          <w:p w14:paraId="579717FB">
            <w:pPr>
              <w:spacing w:line="500" w:lineRule="exact"/>
              <w:ind w:firstLine="600" w:firstLineChars="250"/>
              <w:rPr>
                <w:rFonts w:ascii="宋体" w:hAnsi="宋体" w:cs="宋体"/>
                <w:color w:val="auto"/>
                <w:sz w:val="24"/>
                <w:szCs w:val="24"/>
                <w:highlight w:val="none"/>
              </w:rPr>
            </w:pPr>
          </w:p>
        </w:tc>
        <w:tc>
          <w:tcPr>
            <w:tcW w:w="2355" w:type="dxa"/>
            <w:vAlign w:val="center"/>
          </w:tcPr>
          <w:p w14:paraId="2DC5A6B6">
            <w:pPr>
              <w:spacing w:line="500" w:lineRule="exact"/>
              <w:ind w:firstLine="600" w:firstLineChars="250"/>
              <w:rPr>
                <w:rFonts w:ascii="宋体" w:hAnsi="宋体" w:cs="宋体"/>
                <w:color w:val="auto"/>
                <w:sz w:val="24"/>
                <w:szCs w:val="24"/>
                <w:highlight w:val="none"/>
              </w:rPr>
            </w:pPr>
          </w:p>
        </w:tc>
      </w:tr>
      <w:tr w14:paraId="630D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EE55D8C">
            <w:pPr>
              <w:spacing w:line="500" w:lineRule="exact"/>
              <w:ind w:firstLine="600" w:firstLineChars="250"/>
              <w:rPr>
                <w:rFonts w:ascii="宋体" w:hAnsi="宋体" w:cs="宋体"/>
                <w:color w:val="auto"/>
                <w:sz w:val="24"/>
                <w:szCs w:val="24"/>
                <w:highlight w:val="none"/>
              </w:rPr>
            </w:pPr>
          </w:p>
        </w:tc>
        <w:tc>
          <w:tcPr>
            <w:tcW w:w="3179" w:type="dxa"/>
            <w:vAlign w:val="center"/>
          </w:tcPr>
          <w:p w14:paraId="7043617A">
            <w:pPr>
              <w:spacing w:line="500" w:lineRule="exact"/>
              <w:ind w:firstLine="600" w:firstLineChars="250"/>
              <w:rPr>
                <w:rFonts w:ascii="宋体" w:hAnsi="宋体" w:cs="宋体"/>
                <w:color w:val="auto"/>
                <w:sz w:val="24"/>
                <w:szCs w:val="24"/>
                <w:highlight w:val="none"/>
              </w:rPr>
            </w:pPr>
          </w:p>
        </w:tc>
        <w:tc>
          <w:tcPr>
            <w:tcW w:w="2434" w:type="dxa"/>
            <w:vAlign w:val="center"/>
          </w:tcPr>
          <w:p w14:paraId="24987A37">
            <w:pPr>
              <w:spacing w:line="500" w:lineRule="exact"/>
              <w:ind w:firstLine="600" w:firstLineChars="250"/>
              <w:rPr>
                <w:rFonts w:ascii="宋体" w:hAnsi="宋体" w:cs="宋体"/>
                <w:color w:val="auto"/>
                <w:sz w:val="24"/>
                <w:szCs w:val="24"/>
                <w:highlight w:val="none"/>
              </w:rPr>
            </w:pPr>
          </w:p>
        </w:tc>
        <w:tc>
          <w:tcPr>
            <w:tcW w:w="2355" w:type="dxa"/>
            <w:vAlign w:val="center"/>
          </w:tcPr>
          <w:p w14:paraId="092E473C">
            <w:pPr>
              <w:spacing w:line="500" w:lineRule="exact"/>
              <w:ind w:firstLine="600" w:firstLineChars="250"/>
              <w:rPr>
                <w:rFonts w:ascii="宋体" w:hAnsi="宋体" w:cs="宋体"/>
                <w:color w:val="auto"/>
                <w:sz w:val="24"/>
                <w:szCs w:val="24"/>
                <w:highlight w:val="none"/>
              </w:rPr>
            </w:pPr>
          </w:p>
        </w:tc>
      </w:tr>
      <w:tr w14:paraId="2860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BC4F262">
            <w:pPr>
              <w:spacing w:line="500" w:lineRule="exact"/>
              <w:ind w:firstLine="600" w:firstLineChars="250"/>
              <w:rPr>
                <w:rFonts w:ascii="宋体" w:hAnsi="宋体" w:cs="宋体"/>
                <w:color w:val="auto"/>
                <w:sz w:val="24"/>
                <w:szCs w:val="24"/>
                <w:highlight w:val="none"/>
              </w:rPr>
            </w:pPr>
          </w:p>
        </w:tc>
        <w:tc>
          <w:tcPr>
            <w:tcW w:w="3179" w:type="dxa"/>
            <w:vAlign w:val="center"/>
          </w:tcPr>
          <w:p w14:paraId="42128BDA">
            <w:pPr>
              <w:spacing w:line="500" w:lineRule="exact"/>
              <w:ind w:firstLine="600" w:firstLineChars="250"/>
              <w:rPr>
                <w:rFonts w:ascii="宋体" w:hAnsi="宋体" w:cs="宋体"/>
                <w:color w:val="auto"/>
                <w:sz w:val="24"/>
                <w:szCs w:val="24"/>
                <w:highlight w:val="none"/>
              </w:rPr>
            </w:pPr>
          </w:p>
        </w:tc>
        <w:tc>
          <w:tcPr>
            <w:tcW w:w="2434" w:type="dxa"/>
            <w:vAlign w:val="center"/>
          </w:tcPr>
          <w:p w14:paraId="25AA37E1">
            <w:pPr>
              <w:spacing w:line="500" w:lineRule="exact"/>
              <w:ind w:firstLine="600" w:firstLineChars="250"/>
              <w:rPr>
                <w:rFonts w:ascii="宋体" w:hAnsi="宋体" w:cs="宋体"/>
                <w:color w:val="auto"/>
                <w:sz w:val="24"/>
                <w:szCs w:val="24"/>
                <w:highlight w:val="none"/>
              </w:rPr>
            </w:pPr>
          </w:p>
        </w:tc>
        <w:tc>
          <w:tcPr>
            <w:tcW w:w="2355" w:type="dxa"/>
            <w:vAlign w:val="center"/>
          </w:tcPr>
          <w:p w14:paraId="4F80962B">
            <w:pPr>
              <w:spacing w:line="500" w:lineRule="exact"/>
              <w:ind w:firstLine="600" w:firstLineChars="250"/>
              <w:rPr>
                <w:rFonts w:ascii="宋体" w:hAnsi="宋体" w:cs="宋体"/>
                <w:color w:val="auto"/>
                <w:sz w:val="24"/>
                <w:szCs w:val="24"/>
                <w:highlight w:val="none"/>
              </w:rPr>
            </w:pPr>
          </w:p>
        </w:tc>
      </w:tr>
    </w:tbl>
    <w:p w14:paraId="53891590">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3DA9A088">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1、本表即为对本项目“第三篇 采购商务需求”进行比较和响应；</w:t>
      </w:r>
    </w:p>
    <w:p w14:paraId="11A5B0BF">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本表必须按照竞争性磋商要求逐条如实填写，根据响应情况在“差异说明”项填写正偏离或负偏离及原因，完全符合的填写“无差异”，如未逐条填写或未填写差异说明，但在响应文件其余地方能体现响应本磋商文件商务需求，视同“无差异”，不作为废标条款，完全响应的也可以在本页所在处自拟承诺或声明完全响应采购文件的商务需求。</w:t>
      </w:r>
    </w:p>
    <w:p w14:paraId="0E8432C8">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3、本表可扩展。</w:t>
      </w:r>
    </w:p>
    <w:p w14:paraId="755F9330">
      <w:pPr>
        <w:tabs>
          <w:tab w:val="left" w:pos="6300"/>
        </w:tabs>
        <w:snapToGrid w:val="0"/>
        <w:spacing w:line="500" w:lineRule="exact"/>
        <w:ind w:firstLine="480" w:firstLineChars="200"/>
        <w:rPr>
          <w:rFonts w:ascii="宋体" w:hAnsi="宋体" w:cs="宋体"/>
          <w:color w:val="auto"/>
          <w:sz w:val="24"/>
          <w:szCs w:val="24"/>
          <w:highlight w:val="none"/>
        </w:rPr>
      </w:pPr>
    </w:p>
    <w:p w14:paraId="298ADB58">
      <w:pPr>
        <w:tabs>
          <w:tab w:val="left" w:pos="6300"/>
        </w:tabs>
        <w:snapToGrid w:val="0"/>
        <w:spacing w:line="500" w:lineRule="exact"/>
        <w:ind w:firstLine="480" w:firstLineChars="200"/>
        <w:rPr>
          <w:rFonts w:ascii="宋体" w:hAnsi="宋体" w:cs="宋体"/>
          <w:color w:val="auto"/>
          <w:sz w:val="24"/>
          <w:szCs w:val="24"/>
          <w:highlight w:val="none"/>
        </w:rPr>
      </w:pPr>
    </w:p>
    <w:p w14:paraId="796066AA">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w:t>
      </w:r>
      <w:r>
        <w:rPr>
          <w:rFonts w:hint="eastAsia" w:ascii="宋体" w:hAnsi="宋体" w:cs="宋体"/>
          <w:color w:val="auto"/>
          <w:sz w:val="24"/>
          <w:szCs w:val="24"/>
          <w:highlight w:val="none"/>
          <w:lang w:eastAsia="zh-CN"/>
        </w:rPr>
        <w:t>其他</w:t>
      </w:r>
      <w:r>
        <w:rPr>
          <w:rFonts w:hint="eastAsia" w:ascii="宋体" w:hAnsi="宋体" w:cs="宋体"/>
          <w:color w:val="auto"/>
          <w:sz w:val="24"/>
          <w:szCs w:val="24"/>
          <w:highlight w:val="none"/>
        </w:rPr>
        <w:t>优惠服务承诺（格式自定）</w:t>
      </w:r>
    </w:p>
    <w:p w14:paraId="4F1D715B">
      <w:pPr>
        <w:pStyle w:val="3"/>
        <w:spacing w:before="0"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147"/>
      <w:bookmarkStart w:id="148" w:name="_Toc313888363"/>
      <w:bookmarkStart w:id="149" w:name="_Toc29768"/>
      <w:bookmarkStart w:id="150" w:name="_Toc342913422"/>
      <w:bookmarkStart w:id="151" w:name="_Toc499576267"/>
      <w:bookmarkStart w:id="152" w:name="_Toc226"/>
      <w:bookmarkStart w:id="153" w:name="_Toc313008359"/>
      <w:r>
        <w:rPr>
          <w:rFonts w:hint="eastAsia" w:ascii="宋体" w:hAnsi="宋体" w:eastAsia="宋体" w:cs="宋体"/>
          <w:color w:val="auto"/>
          <w:sz w:val="24"/>
          <w:szCs w:val="24"/>
          <w:highlight w:val="none"/>
        </w:rPr>
        <w:t>四、资格条件及其他</w:t>
      </w:r>
      <w:bookmarkEnd w:id="148"/>
      <w:bookmarkEnd w:id="149"/>
      <w:bookmarkEnd w:id="150"/>
      <w:bookmarkEnd w:id="151"/>
      <w:bookmarkEnd w:id="152"/>
      <w:bookmarkEnd w:id="153"/>
    </w:p>
    <w:p w14:paraId="0B10E4BE">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1FE94B45">
      <w:pPr>
        <w:tabs>
          <w:tab w:val="left" w:pos="6300"/>
        </w:tabs>
        <w:snapToGrid w:val="0"/>
        <w:spacing w:line="500" w:lineRule="exact"/>
        <w:rPr>
          <w:rFonts w:ascii="宋体" w:hAnsi="宋体" w:cs="宋体"/>
          <w:color w:val="auto"/>
          <w:sz w:val="24"/>
          <w:szCs w:val="24"/>
          <w:highlight w:val="none"/>
        </w:rPr>
      </w:pPr>
    </w:p>
    <w:p w14:paraId="6A413EC9">
      <w:pPr>
        <w:tabs>
          <w:tab w:val="left" w:pos="6300"/>
        </w:tabs>
        <w:snapToGrid w:val="0"/>
        <w:spacing w:line="500" w:lineRule="exact"/>
        <w:ind w:firstLine="570"/>
        <w:rPr>
          <w:rFonts w:ascii="宋体" w:hAnsi="宋体" w:cs="宋体"/>
          <w:color w:val="auto"/>
          <w:sz w:val="24"/>
          <w:szCs w:val="24"/>
          <w:highlight w:val="none"/>
        </w:rPr>
      </w:pPr>
    </w:p>
    <w:p w14:paraId="46D4CBF3">
      <w:pPr>
        <w:tabs>
          <w:tab w:val="left" w:pos="6300"/>
        </w:tabs>
        <w:snapToGrid w:val="0"/>
        <w:spacing w:line="500" w:lineRule="exact"/>
        <w:ind w:firstLine="570"/>
        <w:rPr>
          <w:rFonts w:ascii="宋体" w:hAnsi="宋体" w:cs="宋体"/>
          <w:color w:val="auto"/>
          <w:sz w:val="24"/>
          <w:szCs w:val="24"/>
          <w:highlight w:val="none"/>
        </w:rPr>
      </w:pPr>
    </w:p>
    <w:p w14:paraId="24B7D048">
      <w:pPr>
        <w:widowControl/>
        <w:ind w:firstLine="480" w:firstLineChars="200"/>
        <w:jc w:val="left"/>
        <w:rPr>
          <w:rFonts w:ascii="宋体" w:hAnsi="宋体" w:cs="宋体"/>
          <w:color w:val="auto"/>
          <w:sz w:val="24"/>
          <w:szCs w:val="24"/>
          <w:highlight w:val="none"/>
        </w:rPr>
      </w:pPr>
    </w:p>
    <w:p w14:paraId="62D3049A">
      <w:pPr>
        <w:widowControl/>
        <w:ind w:firstLine="480" w:firstLineChars="200"/>
        <w:jc w:val="left"/>
        <w:rPr>
          <w:rFonts w:ascii="宋体" w:hAnsi="宋体" w:cs="宋体"/>
          <w:color w:val="auto"/>
          <w:sz w:val="24"/>
          <w:szCs w:val="24"/>
          <w:highlight w:val="none"/>
        </w:rPr>
      </w:pPr>
    </w:p>
    <w:p w14:paraId="36CF5D86">
      <w:pPr>
        <w:widowControl/>
        <w:ind w:firstLine="480" w:firstLineChars="200"/>
        <w:jc w:val="left"/>
        <w:rPr>
          <w:rFonts w:ascii="宋体" w:hAnsi="宋体" w:cs="宋体"/>
          <w:color w:val="auto"/>
          <w:sz w:val="24"/>
          <w:szCs w:val="24"/>
          <w:highlight w:val="none"/>
        </w:rPr>
      </w:pPr>
    </w:p>
    <w:p w14:paraId="0FC9CD1E">
      <w:pPr>
        <w:widowControl/>
        <w:ind w:firstLine="480" w:firstLineChars="200"/>
        <w:jc w:val="left"/>
        <w:rPr>
          <w:rFonts w:ascii="宋体" w:hAnsi="宋体" w:cs="宋体"/>
          <w:color w:val="auto"/>
          <w:sz w:val="24"/>
          <w:szCs w:val="24"/>
          <w:highlight w:val="none"/>
        </w:rPr>
      </w:pPr>
    </w:p>
    <w:p w14:paraId="028B5952">
      <w:pPr>
        <w:widowControl/>
        <w:ind w:firstLine="480" w:firstLineChars="200"/>
        <w:jc w:val="left"/>
        <w:rPr>
          <w:rFonts w:ascii="宋体" w:hAnsi="宋体" w:cs="宋体"/>
          <w:color w:val="auto"/>
          <w:sz w:val="24"/>
          <w:szCs w:val="24"/>
          <w:highlight w:val="none"/>
        </w:rPr>
      </w:pPr>
    </w:p>
    <w:p w14:paraId="054044C2">
      <w:pPr>
        <w:widowControl/>
        <w:ind w:firstLine="480" w:firstLineChars="200"/>
        <w:jc w:val="left"/>
        <w:rPr>
          <w:rFonts w:ascii="宋体" w:hAnsi="宋体" w:cs="宋体"/>
          <w:color w:val="auto"/>
          <w:sz w:val="24"/>
          <w:szCs w:val="24"/>
          <w:highlight w:val="none"/>
        </w:rPr>
      </w:pPr>
    </w:p>
    <w:p w14:paraId="0194DED2">
      <w:pPr>
        <w:widowControl/>
        <w:ind w:firstLine="480" w:firstLineChars="200"/>
        <w:jc w:val="left"/>
        <w:rPr>
          <w:rFonts w:ascii="宋体" w:hAnsi="宋体" w:cs="宋体"/>
          <w:color w:val="auto"/>
          <w:sz w:val="24"/>
          <w:szCs w:val="24"/>
          <w:highlight w:val="none"/>
        </w:rPr>
      </w:pPr>
    </w:p>
    <w:p w14:paraId="68C3940D">
      <w:pPr>
        <w:widowControl/>
        <w:ind w:firstLine="480" w:firstLineChars="200"/>
        <w:jc w:val="left"/>
        <w:rPr>
          <w:rFonts w:ascii="宋体" w:hAnsi="宋体" w:cs="宋体"/>
          <w:color w:val="auto"/>
          <w:sz w:val="24"/>
          <w:szCs w:val="24"/>
          <w:highlight w:val="none"/>
        </w:rPr>
      </w:pPr>
    </w:p>
    <w:p w14:paraId="75535C2D">
      <w:pPr>
        <w:widowControl/>
        <w:ind w:firstLine="480" w:firstLineChars="200"/>
        <w:jc w:val="left"/>
        <w:rPr>
          <w:rFonts w:ascii="宋体" w:hAnsi="宋体" w:cs="宋体"/>
          <w:color w:val="auto"/>
          <w:sz w:val="24"/>
          <w:szCs w:val="24"/>
          <w:highlight w:val="none"/>
        </w:rPr>
      </w:pPr>
    </w:p>
    <w:p w14:paraId="36E9A25E">
      <w:pPr>
        <w:widowControl/>
        <w:ind w:firstLine="480" w:firstLineChars="200"/>
        <w:jc w:val="left"/>
        <w:rPr>
          <w:rFonts w:ascii="宋体" w:hAnsi="宋体" w:cs="宋体"/>
          <w:color w:val="auto"/>
          <w:sz w:val="24"/>
          <w:szCs w:val="24"/>
          <w:highlight w:val="none"/>
        </w:rPr>
      </w:pPr>
    </w:p>
    <w:p w14:paraId="38D8B0C2">
      <w:pPr>
        <w:pStyle w:val="55"/>
        <w:rPr>
          <w:rFonts w:cs="宋体"/>
          <w:color w:val="auto"/>
          <w:szCs w:val="24"/>
          <w:highlight w:val="none"/>
        </w:rPr>
      </w:pPr>
    </w:p>
    <w:p w14:paraId="175B7ADF">
      <w:pPr>
        <w:pStyle w:val="55"/>
        <w:rPr>
          <w:rFonts w:cs="宋体"/>
          <w:color w:val="auto"/>
          <w:szCs w:val="24"/>
          <w:highlight w:val="none"/>
        </w:rPr>
      </w:pPr>
    </w:p>
    <w:p w14:paraId="296B2A84">
      <w:pPr>
        <w:pStyle w:val="55"/>
        <w:rPr>
          <w:rFonts w:cs="宋体"/>
          <w:color w:val="auto"/>
          <w:szCs w:val="24"/>
          <w:highlight w:val="none"/>
        </w:rPr>
      </w:pPr>
    </w:p>
    <w:p w14:paraId="6BDE013D">
      <w:pPr>
        <w:pStyle w:val="55"/>
        <w:rPr>
          <w:rFonts w:cs="宋体"/>
          <w:color w:val="auto"/>
          <w:szCs w:val="24"/>
          <w:highlight w:val="none"/>
        </w:rPr>
      </w:pPr>
    </w:p>
    <w:p w14:paraId="073A410E">
      <w:pPr>
        <w:pStyle w:val="55"/>
        <w:rPr>
          <w:rFonts w:cs="宋体"/>
          <w:color w:val="auto"/>
          <w:szCs w:val="24"/>
          <w:highlight w:val="none"/>
        </w:rPr>
      </w:pPr>
    </w:p>
    <w:p w14:paraId="1D4C2889">
      <w:pPr>
        <w:pStyle w:val="55"/>
        <w:rPr>
          <w:rFonts w:cs="宋体"/>
          <w:color w:val="auto"/>
          <w:szCs w:val="24"/>
          <w:highlight w:val="none"/>
        </w:rPr>
      </w:pPr>
    </w:p>
    <w:p w14:paraId="7DF2097C">
      <w:pPr>
        <w:pStyle w:val="55"/>
        <w:rPr>
          <w:rFonts w:cs="宋体"/>
          <w:color w:val="auto"/>
          <w:szCs w:val="24"/>
          <w:highlight w:val="none"/>
        </w:rPr>
      </w:pPr>
    </w:p>
    <w:p w14:paraId="7BB799B2">
      <w:pPr>
        <w:pStyle w:val="55"/>
        <w:rPr>
          <w:rFonts w:cs="宋体"/>
          <w:color w:val="auto"/>
          <w:szCs w:val="24"/>
          <w:highlight w:val="none"/>
        </w:rPr>
      </w:pPr>
    </w:p>
    <w:p w14:paraId="3C4FF664">
      <w:pPr>
        <w:pStyle w:val="55"/>
        <w:rPr>
          <w:rFonts w:cs="宋体"/>
          <w:color w:val="auto"/>
          <w:szCs w:val="24"/>
          <w:highlight w:val="none"/>
        </w:rPr>
      </w:pPr>
    </w:p>
    <w:p w14:paraId="292CEC2F">
      <w:pPr>
        <w:pStyle w:val="55"/>
        <w:rPr>
          <w:rFonts w:cs="宋体"/>
          <w:color w:val="auto"/>
          <w:szCs w:val="24"/>
          <w:highlight w:val="none"/>
        </w:rPr>
      </w:pPr>
    </w:p>
    <w:p w14:paraId="02BFA442">
      <w:pPr>
        <w:widowControl/>
        <w:jc w:val="left"/>
        <w:rPr>
          <w:rFonts w:ascii="宋体" w:hAnsi="宋体" w:cs="宋体"/>
          <w:color w:val="auto"/>
          <w:sz w:val="24"/>
          <w:szCs w:val="24"/>
          <w:highlight w:val="none"/>
        </w:rPr>
      </w:pPr>
    </w:p>
    <w:p w14:paraId="68B40364">
      <w:pPr>
        <w:widowControl/>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（二）法定代表人身份证明书（格式）</w:t>
      </w:r>
    </w:p>
    <w:p w14:paraId="3DC9C8B3">
      <w:pPr>
        <w:tabs>
          <w:tab w:val="left" w:pos="6300"/>
        </w:tabs>
        <w:snapToGrid w:val="0"/>
        <w:spacing w:line="500" w:lineRule="exact"/>
        <w:ind w:firstLine="570"/>
        <w:rPr>
          <w:rFonts w:ascii="宋体" w:hAnsi="宋体" w:cs="宋体"/>
          <w:color w:val="auto"/>
          <w:sz w:val="24"/>
          <w:szCs w:val="24"/>
          <w:highlight w:val="none"/>
        </w:rPr>
      </w:pPr>
    </w:p>
    <w:p w14:paraId="143FC760">
      <w:pPr>
        <w:tabs>
          <w:tab w:val="left" w:pos="6300"/>
        </w:tabs>
        <w:snapToGrid w:val="0"/>
        <w:spacing w:line="500" w:lineRule="exact"/>
        <w:ind w:firstLine="570"/>
        <w:rPr>
          <w:rFonts w:ascii="宋体" w:hAnsi="宋体" w:cs="宋体"/>
          <w:color w:val="auto"/>
          <w:sz w:val="24"/>
          <w:szCs w:val="24"/>
          <w:highlight w:val="none"/>
          <w:u w:val="singl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p>
    <w:p w14:paraId="605FDCE0">
      <w:pPr>
        <w:rPr>
          <w:rFonts w:ascii="宋体" w:hAnsi="宋体" w:cs="宋体"/>
          <w:color w:val="auto"/>
          <w:sz w:val="24"/>
          <w:szCs w:val="24"/>
          <w:highlight w:val="none"/>
        </w:rPr>
      </w:pPr>
    </w:p>
    <w:p w14:paraId="29367D16">
      <w:pPr>
        <w:pStyle w:val="55"/>
        <w:rPr>
          <w:rFonts w:cs="宋体"/>
          <w:color w:val="auto"/>
          <w:szCs w:val="24"/>
          <w:highlight w:val="none"/>
        </w:rPr>
      </w:pPr>
    </w:p>
    <w:p w14:paraId="740B798C">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（采购代理机构名称）：</w:t>
      </w:r>
    </w:p>
    <w:p w14:paraId="0EB671C2">
      <w:pPr>
        <w:tabs>
          <w:tab w:val="left" w:pos="6300"/>
        </w:tabs>
        <w:snapToGrid w:val="0"/>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（法定代表人姓名）在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（供应商名称）任</w:t>
      </w:r>
      <w:r>
        <w:rPr>
          <w:rFonts w:hint="eastAsia" w:ascii="宋体" w:hAnsi="宋体" w:cs="宋体"/>
          <w:color w:val="auto"/>
          <w:sz w:val="24"/>
          <w:szCs w:val="24"/>
          <w:highlight w:val="none"/>
          <w:u w:val="single"/>
        </w:rPr>
        <w:t xml:space="preserve">      （职务名称）</w:t>
      </w:r>
      <w:r>
        <w:rPr>
          <w:rFonts w:hint="eastAsia" w:ascii="宋体" w:hAnsi="宋体" w:cs="宋体"/>
          <w:color w:val="auto"/>
          <w:sz w:val="24"/>
          <w:szCs w:val="24"/>
          <w:highlight w:val="none"/>
        </w:rPr>
        <w:t>职务，是（供应商名称）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的法定代表人。</w:t>
      </w:r>
    </w:p>
    <w:p w14:paraId="22D6CF06">
      <w:pPr>
        <w:tabs>
          <w:tab w:val="left" w:pos="6300"/>
        </w:tabs>
        <w:snapToGrid w:val="0"/>
        <w:spacing w:line="500" w:lineRule="exact"/>
        <w:ind w:firstLine="570"/>
        <w:rPr>
          <w:rFonts w:ascii="宋体" w:hAnsi="宋体" w:cs="宋体"/>
          <w:color w:val="auto"/>
          <w:sz w:val="24"/>
          <w:szCs w:val="24"/>
          <w:highlight w:val="none"/>
        </w:rPr>
      </w:pPr>
    </w:p>
    <w:p w14:paraId="1CF7BEB5">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特此证明。</w:t>
      </w:r>
    </w:p>
    <w:p w14:paraId="060F777F">
      <w:pPr>
        <w:tabs>
          <w:tab w:val="left" w:pos="6300"/>
        </w:tabs>
        <w:snapToGrid w:val="0"/>
        <w:spacing w:line="500" w:lineRule="exact"/>
        <w:ind w:firstLine="570"/>
        <w:rPr>
          <w:rFonts w:ascii="宋体" w:hAnsi="宋体" w:cs="宋体"/>
          <w:color w:val="auto"/>
          <w:sz w:val="24"/>
          <w:szCs w:val="24"/>
          <w:highlight w:val="none"/>
        </w:rPr>
      </w:pPr>
    </w:p>
    <w:p w14:paraId="4A93617F">
      <w:pPr>
        <w:tabs>
          <w:tab w:val="left" w:pos="6300"/>
        </w:tabs>
        <w:snapToGrid w:val="0"/>
        <w:spacing w:line="500" w:lineRule="exact"/>
        <w:ind w:firstLine="570"/>
        <w:rPr>
          <w:rFonts w:ascii="宋体" w:hAnsi="宋体" w:cs="宋体"/>
          <w:color w:val="auto"/>
          <w:sz w:val="24"/>
          <w:szCs w:val="24"/>
          <w:highlight w:val="none"/>
        </w:rPr>
      </w:pPr>
    </w:p>
    <w:p w14:paraId="0E15A134">
      <w:pPr>
        <w:tabs>
          <w:tab w:val="left" w:pos="6300"/>
        </w:tabs>
        <w:snapToGrid w:val="0"/>
        <w:spacing w:line="500" w:lineRule="exact"/>
        <w:ind w:firstLine="570"/>
        <w:rPr>
          <w:rFonts w:ascii="宋体" w:hAnsi="宋体" w:cs="宋体"/>
          <w:color w:val="auto"/>
          <w:sz w:val="24"/>
          <w:szCs w:val="24"/>
          <w:highlight w:val="none"/>
        </w:rPr>
      </w:pPr>
    </w:p>
    <w:p w14:paraId="45674218">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（供应商公章）</w:t>
      </w:r>
    </w:p>
    <w:p w14:paraId="2688C30F">
      <w:pPr>
        <w:tabs>
          <w:tab w:val="left" w:pos="6300"/>
        </w:tabs>
        <w:snapToGrid w:val="0"/>
        <w:spacing w:line="500" w:lineRule="exact"/>
        <w:ind w:firstLine="570"/>
        <w:rPr>
          <w:rFonts w:ascii="宋体" w:hAnsi="宋体" w:cs="宋体"/>
          <w:color w:val="auto"/>
          <w:sz w:val="24"/>
          <w:szCs w:val="24"/>
          <w:highlight w:val="none"/>
        </w:rPr>
      </w:pPr>
    </w:p>
    <w:p w14:paraId="3FCDAE27">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年   月   日</w:t>
      </w:r>
    </w:p>
    <w:p w14:paraId="5916092F">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法定代表人电话：XXXXXXX      电子邮箱：XXXXXX@XXXXX（若授权他人办理并签署响应文件的可不填写）</w:t>
      </w:r>
    </w:p>
    <w:p w14:paraId="3E804785">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（附：法定代表人身份证正反面复印件）</w:t>
      </w:r>
    </w:p>
    <w:p w14:paraId="1B33230E">
      <w:pPr>
        <w:tabs>
          <w:tab w:val="left" w:pos="6300"/>
        </w:tabs>
        <w:snapToGrid w:val="0"/>
        <w:spacing w:line="500" w:lineRule="exact"/>
        <w:ind w:firstLine="570"/>
        <w:rPr>
          <w:rFonts w:ascii="宋体" w:hAnsi="宋体" w:cs="宋体"/>
          <w:color w:val="auto"/>
          <w:sz w:val="24"/>
          <w:szCs w:val="24"/>
          <w:highlight w:val="none"/>
        </w:rPr>
      </w:pPr>
    </w:p>
    <w:p w14:paraId="5FF30A7B">
      <w:pPr>
        <w:tabs>
          <w:tab w:val="left" w:pos="6300"/>
        </w:tabs>
        <w:snapToGrid w:val="0"/>
        <w:spacing w:line="500" w:lineRule="exact"/>
        <w:ind w:firstLine="570"/>
        <w:rPr>
          <w:rFonts w:ascii="宋体" w:hAnsi="宋体" w:cs="宋体"/>
          <w:color w:val="auto"/>
          <w:sz w:val="24"/>
          <w:szCs w:val="24"/>
          <w:highlight w:val="none"/>
        </w:rPr>
      </w:pPr>
    </w:p>
    <w:p w14:paraId="1165B10E">
      <w:pPr>
        <w:tabs>
          <w:tab w:val="left" w:pos="6300"/>
        </w:tabs>
        <w:snapToGrid w:val="0"/>
        <w:spacing w:line="500" w:lineRule="exact"/>
        <w:ind w:firstLine="570"/>
        <w:rPr>
          <w:rFonts w:ascii="宋体" w:hAnsi="宋体" w:cs="宋体"/>
          <w:color w:val="auto"/>
          <w:sz w:val="24"/>
          <w:szCs w:val="24"/>
          <w:highlight w:val="none"/>
        </w:rPr>
      </w:pPr>
    </w:p>
    <w:p w14:paraId="790C01FE">
      <w:pPr>
        <w:tabs>
          <w:tab w:val="left" w:pos="6300"/>
        </w:tabs>
        <w:snapToGrid w:val="0"/>
        <w:spacing w:line="500" w:lineRule="exact"/>
        <w:ind w:firstLine="570"/>
        <w:rPr>
          <w:rFonts w:ascii="宋体" w:hAnsi="宋体" w:cs="宋体"/>
          <w:color w:val="auto"/>
          <w:sz w:val="24"/>
          <w:szCs w:val="24"/>
          <w:highlight w:val="none"/>
        </w:rPr>
      </w:pPr>
    </w:p>
    <w:p w14:paraId="6A213DB4">
      <w:pPr>
        <w:tabs>
          <w:tab w:val="left" w:pos="6300"/>
        </w:tabs>
        <w:snapToGrid w:val="0"/>
        <w:spacing w:line="500" w:lineRule="exact"/>
        <w:ind w:firstLine="570"/>
        <w:rPr>
          <w:rFonts w:ascii="宋体" w:hAnsi="宋体" w:cs="宋体"/>
          <w:color w:val="auto"/>
          <w:sz w:val="24"/>
          <w:szCs w:val="24"/>
          <w:highlight w:val="none"/>
        </w:rPr>
      </w:pPr>
    </w:p>
    <w:p w14:paraId="536DAFD1">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br w:type="column"/>
      </w:r>
      <w:r>
        <w:rPr>
          <w:rFonts w:hint="eastAsia" w:ascii="宋体" w:hAnsi="宋体" w:cs="宋体"/>
          <w:color w:val="auto"/>
          <w:sz w:val="24"/>
          <w:szCs w:val="24"/>
          <w:highlight w:val="none"/>
        </w:rPr>
        <w:t>（三）法定代表人授权委托书（格式）</w:t>
      </w:r>
    </w:p>
    <w:p w14:paraId="39F95F68">
      <w:pPr>
        <w:tabs>
          <w:tab w:val="left" w:pos="6300"/>
        </w:tabs>
        <w:snapToGrid w:val="0"/>
        <w:spacing w:line="500" w:lineRule="exact"/>
        <w:ind w:firstLine="570"/>
        <w:rPr>
          <w:rFonts w:ascii="宋体" w:hAnsi="宋体" w:cs="宋体"/>
          <w:color w:val="auto"/>
          <w:sz w:val="24"/>
          <w:szCs w:val="24"/>
          <w:highlight w:val="none"/>
        </w:rPr>
      </w:pPr>
    </w:p>
    <w:p w14:paraId="3483E883">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p>
    <w:p w14:paraId="2D0E1025">
      <w:pPr>
        <w:tabs>
          <w:tab w:val="left" w:pos="6300"/>
        </w:tabs>
        <w:snapToGrid w:val="0"/>
        <w:spacing w:line="500" w:lineRule="exact"/>
        <w:rPr>
          <w:rFonts w:ascii="宋体" w:hAnsi="宋体" w:cs="宋体"/>
          <w:color w:val="auto"/>
          <w:sz w:val="24"/>
          <w:szCs w:val="24"/>
          <w:highlight w:val="none"/>
        </w:rPr>
      </w:pPr>
    </w:p>
    <w:p w14:paraId="259F3DBC">
      <w:pPr>
        <w:tabs>
          <w:tab w:val="left" w:pos="6300"/>
        </w:tabs>
        <w:snapToGrid w:val="0"/>
        <w:spacing w:line="500" w:lineRule="exact"/>
        <w:ind w:firstLine="570"/>
        <w:rPr>
          <w:rFonts w:ascii="宋体" w:hAnsi="宋体" w:cs="宋体"/>
          <w:color w:val="auto"/>
          <w:sz w:val="24"/>
          <w:szCs w:val="24"/>
          <w:highlight w:val="none"/>
        </w:rPr>
      </w:pPr>
    </w:p>
    <w:p w14:paraId="50401698">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致：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3A153411">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（供应商法定代表人名称）是</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（供应商名称）的法定代表人，特授权</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（被授权人姓名及身份证号码）代表我单位全权办理上述项目的磋商、签约等具体工作，并签署全部有关文件、协议及合同。</w:t>
      </w:r>
    </w:p>
    <w:p w14:paraId="0D1260CF">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我单位对被授权人的签署负全部责任。</w:t>
      </w:r>
    </w:p>
    <w:p w14:paraId="55651E3E">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在</w:t>
      </w:r>
      <w:r>
        <w:rPr>
          <w:rFonts w:hint="eastAsia" w:ascii="宋体" w:hAnsi="宋体" w:cs="宋体"/>
          <w:color w:val="auto"/>
          <w:sz w:val="24"/>
          <w:szCs w:val="24"/>
          <w:highlight w:val="none"/>
          <w:lang w:eastAsia="zh-CN"/>
        </w:rPr>
        <w:t>撤销</w:t>
      </w:r>
      <w:r>
        <w:rPr>
          <w:rFonts w:hint="eastAsia" w:ascii="宋体" w:hAnsi="宋体" w:cs="宋体"/>
          <w:color w:val="auto"/>
          <w:sz w:val="24"/>
          <w:szCs w:val="24"/>
          <w:highlight w:val="none"/>
        </w:rPr>
        <w:t>授权的书面通知以前，本授权书一直有效。被授权人在授权书有效期内签署的所有文件不因授权</w:t>
      </w:r>
      <w:r>
        <w:rPr>
          <w:rFonts w:hint="eastAsia" w:ascii="宋体" w:hAnsi="宋体" w:cs="宋体"/>
          <w:color w:val="auto"/>
          <w:sz w:val="24"/>
          <w:szCs w:val="24"/>
          <w:highlight w:val="none"/>
          <w:lang w:eastAsia="zh-CN"/>
        </w:rPr>
        <w:t>的撤销</w:t>
      </w:r>
      <w:r>
        <w:rPr>
          <w:rFonts w:hint="eastAsia" w:ascii="宋体" w:hAnsi="宋体" w:cs="宋体"/>
          <w:color w:val="auto"/>
          <w:sz w:val="24"/>
          <w:szCs w:val="24"/>
          <w:highlight w:val="none"/>
        </w:rPr>
        <w:t>而失效。</w:t>
      </w:r>
    </w:p>
    <w:p w14:paraId="6671A395">
      <w:pPr>
        <w:tabs>
          <w:tab w:val="left" w:pos="6300"/>
        </w:tabs>
        <w:snapToGrid w:val="0"/>
        <w:spacing w:line="500" w:lineRule="exact"/>
        <w:ind w:firstLine="570"/>
        <w:rPr>
          <w:rFonts w:ascii="宋体" w:hAnsi="宋体" w:cs="宋体"/>
          <w:color w:val="auto"/>
          <w:sz w:val="24"/>
          <w:szCs w:val="24"/>
          <w:highlight w:val="none"/>
        </w:rPr>
      </w:pPr>
    </w:p>
    <w:p w14:paraId="35662D38">
      <w:pPr>
        <w:tabs>
          <w:tab w:val="left" w:pos="6300"/>
        </w:tabs>
        <w:snapToGrid w:val="0"/>
        <w:spacing w:line="500" w:lineRule="exact"/>
        <w:ind w:firstLine="570"/>
        <w:rPr>
          <w:rFonts w:ascii="宋体" w:hAnsi="宋体" w:cs="宋体"/>
          <w:color w:val="auto"/>
          <w:sz w:val="24"/>
          <w:szCs w:val="24"/>
          <w:highlight w:val="none"/>
        </w:rPr>
      </w:pPr>
    </w:p>
    <w:p w14:paraId="50992462">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被授权人：                                 供应商法定代表人：</w:t>
      </w:r>
    </w:p>
    <w:p w14:paraId="2D252B7B">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（签署或盖章）                                （签署或盖章）</w:t>
      </w:r>
    </w:p>
    <w:p w14:paraId="2BD6EAE0">
      <w:pPr>
        <w:tabs>
          <w:tab w:val="left" w:pos="6300"/>
        </w:tabs>
        <w:snapToGrid w:val="0"/>
        <w:spacing w:line="500" w:lineRule="exact"/>
        <w:ind w:firstLine="570"/>
        <w:rPr>
          <w:rFonts w:ascii="宋体" w:hAnsi="宋体" w:cs="宋体"/>
          <w:color w:val="auto"/>
          <w:sz w:val="24"/>
          <w:szCs w:val="24"/>
          <w:highlight w:val="none"/>
        </w:rPr>
      </w:pPr>
    </w:p>
    <w:p w14:paraId="6CFA98DB">
      <w:pPr>
        <w:tabs>
          <w:tab w:val="left" w:pos="6300"/>
        </w:tabs>
        <w:snapToGrid w:val="0"/>
        <w:spacing w:line="500" w:lineRule="exact"/>
        <w:ind w:firstLine="570"/>
        <w:rPr>
          <w:rFonts w:ascii="宋体" w:hAnsi="宋体" w:cs="宋体"/>
          <w:color w:val="auto"/>
          <w:sz w:val="24"/>
          <w:szCs w:val="24"/>
          <w:highlight w:val="none"/>
        </w:rPr>
      </w:pPr>
    </w:p>
    <w:p w14:paraId="08C53479">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（附：被授权人身份证正反面复印件）</w:t>
      </w:r>
    </w:p>
    <w:p w14:paraId="3F677884">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758BBE71">
      <w:pPr>
        <w:tabs>
          <w:tab w:val="left" w:pos="6300"/>
        </w:tabs>
        <w:snapToGrid w:val="0"/>
        <w:spacing w:line="500" w:lineRule="exact"/>
        <w:rPr>
          <w:rFonts w:ascii="宋体" w:hAnsi="宋体" w:cs="宋体"/>
          <w:color w:val="auto"/>
          <w:sz w:val="24"/>
          <w:szCs w:val="24"/>
          <w:highlight w:val="none"/>
        </w:rPr>
      </w:pPr>
    </w:p>
    <w:p w14:paraId="602D7278">
      <w:pPr>
        <w:tabs>
          <w:tab w:val="left" w:pos="6300"/>
        </w:tabs>
        <w:snapToGrid w:val="0"/>
        <w:spacing w:line="500" w:lineRule="exact"/>
        <w:ind w:right="480"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424485E9">
      <w:pPr>
        <w:tabs>
          <w:tab w:val="left" w:pos="6300"/>
        </w:tabs>
        <w:snapToGrid w:val="0"/>
        <w:spacing w:line="500" w:lineRule="exact"/>
        <w:ind w:right="480"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1A9D0B97">
      <w:pPr>
        <w:tabs>
          <w:tab w:val="left" w:pos="6300"/>
        </w:tabs>
        <w:snapToGrid w:val="0"/>
        <w:spacing w:line="500" w:lineRule="exact"/>
        <w:ind w:right="480" w:firstLine="570"/>
        <w:jc w:val="left"/>
        <w:rPr>
          <w:rFonts w:ascii="宋体" w:hAnsi="宋体" w:cs="宋体"/>
          <w:color w:val="auto"/>
          <w:sz w:val="24"/>
          <w:szCs w:val="24"/>
          <w:highlight w:val="none"/>
        </w:rPr>
      </w:pPr>
      <w:r>
        <w:rPr>
          <w:rFonts w:hint="eastAsia" w:ascii="宋体" w:hAnsi="宋体" w:cs="宋体"/>
          <w:color w:val="auto"/>
          <w:sz w:val="24"/>
          <w:szCs w:val="24"/>
          <w:highlight w:val="none"/>
        </w:rPr>
        <w:t>被授权人电话：XXXXXXX     电子邮箱：XXXXXX@XXXXX（若法定代表人办理并签署响应文件的可不填写）</w:t>
      </w:r>
    </w:p>
    <w:p w14:paraId="7A01F212">
      <w:pPr>
        <w:tabs>
          <w:tab w:val="left" w:pos="6300"/>
        </w:tabs>
        <w:snapToGrid w:val="0"/>
        <w:spacing w:line="500" w:lineRule="exact"/>
        <w:ind w:right="480" w:firstLine="570"/>
        <w:jc w:val="left"/>
        <w:rPr>
          <w:rFonts w:ascii="宋体" w:hAnsi="宋体" w:cs="宋体"/>
          <w:color w:val="auto"/>
          <w:sz w:val="24"/>
          <w:szCs w:val="24"/>
          <w:highlight w:val="none"/>
        </w:rPr>
      </w:pPr>
    </w:p>
    <w:p w14:paraId="382E3F02">
      <w:pPr>
        <w:tabs>
          <w:tab w:val="left" w:pos="6300"/>
        </w:tabs>
        <w:snapToGrid w:val="0"/>
        <w:spacing w:line="500" w:lineRule="exact"/>
        <w:ind w:right="480" w:firstLine="570"/>
        <w:jc w:val="left"/>
        <w:rPr>
          <w:rFonts w:ascii="宋体" w:hAnsi="宋体" w:cs="宋体"/>
          <w:color w:val="auto"/>
          <w:sz w:val="24"/>
          <w:szCs w:val="24"/>
          <w:highlight w:val="none"/>
        </w:rPr>
      </w:pPr>
      <w:r>
        <w:rPr>
          <w:rFonts w:hint="eastAsia" w:ascii="宋体" w:hAnsi="宋体" w:cs="宋体"/>
          <w:color w:val="auto"/>
          <w:sz w:val="24"/>
          <w:szCs w:val="24"/>
          <w:highlight w:val="none"/>
        </w:rPr>
        <w:t>注：若为法定代表人办理并签署响应文件的，不提供此文件。</w:t>
      </w:r>
    </w:p>
    <w:p w14:paraId="572BE5F3">
      <w:pPr>
        <w:tabs>
          <w:tab w:val="left" w:pos="6300"/>
        </w:tabs>
        <w:snapToGrid w:val="0"/>
        <w:spacing w:line="5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br w:type="column"/>
      </w:r>
      <w:r>
        <w:rPr>
          <w:rFonts w:hint="eastAsia" w:ascii="宋体" w:hAnsi="宋体" w:cs="宋体"/>
          <w:color w:val="auto"/>
          <w:sz w:val="24"/>
          <w:szCs w:val="24"/>
          <w:highlight w:val="none"/>
        </w:rPr>
        <w:t>（四）基本资格条件承诺函（格式）</w:t>
      </w:r>
    </w:p>
    <w:p w14:paraId="290318A3">
      <w:pPr>
        <w:tabs>
          <w:tab w:val="left" w:pos="6300"/>
        </w:tabs>
        <w:snapToGrid w:val="0"/>
        <w:spacing w:line="500" w:lineRule="exact"/>
        <w:ind w:firstLine="570"/>
        <w:jc w:val="left"/>
        <w:rPr>
          <w:rFonts w:ascii="宋体" w:hAnsi="宋体" w:cs="宋体"/>
          <w:color w:val="auto"/>
          <w:sz w:val="24"/>
          <w:szCs w:val="24"/>
          <w:highlight w:val="none"/>
        </w:rPr>
      </w:pPr>
    </w:p>
    <w:p w14:paraId="15FBD381">
      <w:pPr>
        <w:tabs>
          <w:tab w:val="left" w:pos="6300"/>
        </w:tabs>
        <w:snapToGrid w:val="0"/>
        <w:spacing w:line="500" w:lineRule="exact"/>
        <w:ind w:firstLine="570"/>
        <w:rPr>
          <w:rFonts w:ascii="宋体" w:hAnsi="宋体" w:cs="宋体"/>
          <w:color w:val="auto"/>
          <w:sz w:val="24"/>
          <w:szCs w:val="24"/>
          <w:highlight w:val="none"/>
        </w:rPr>
      </w:pPr>
    </w:p>
    <w:p w14:paraId="4C95D797">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67BD1AD1">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（供应商名称）郑重承诺：</w:t>
      </w:r>
    </w:p>
    <w:p w14:paraId="2D86DB30">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1.我方具有良好的商业信誉和健全的财务会计制度，具有履行合同所必需的设备和专业技术能力，具</w:t>
      </w:r>
      <w:r>
        <w:rPr>
          <w:rFonts w:hint="eastAsia" w:ascii="宋体" w:hAnsi="宋体" w:cs="宋体"/>
          <w:color w:val="auto"/>
          <w:sz w:val="24"/>
          <w:szCs w:val="24"/>
          <w:highlight w:val="none"/>
          <w:lang w:val="zh-CN"/>
        </w:rPr>
        <w:t>有依法缴纳税收和社会保障金的良好记录</w:t>
      </w:r>
      <w:r>
        <w:rPr>
          <w:rFonts w:hint="eastAsia" w:ascii="宋体" w:hAnsi="宋体" w:cs="宋体"/>
          <w:color w:val="auto"/>
          <w:sz w:val="24"/>
          <w:szCs w:val="24"/>
          <w:highlight w:val="none"/>
        </w:rPr>
        <w:t>，参加本项目采购活动前三年内无重大违法活动记录。</w:t>
      </w:r>
    </w:p>
    <w:p w14:paraId="303F0E7A">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2.我方未列入在信用中国网站（www.creditchina.gov.cn）“失信被执行人”、“重大税收违法案件当事人名单”中，也未列入中国政府采购网（www.ccgp.gov.cn）“政府采购严重违法失信行为记录名单”中。</w:t>
      </w:r>
    </w:p>
    <w:p w14:paraId="0EF1C22D">
      <w:pPr>
        <w:tabs>
          <w:tab w:val="left" w:pos="6300"/>
        </w:tabs>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3.我方在采购项目评审（评标）环节结束后，随时接受采购人、采购代理机构的检查验证，配合提供相关证明材料，证明符合《中华人民共和国政府采购法》规定的投标人基本资格条件。</w:t>
      </w:r>
    </w:p>
    <w:p w14:paraId="57F8BE2B">
      <w:pPr>
        <w:tabs>
          <w:tab w:val="left" w:pos="6300"/>
        </w:tabs>
        <w:snapToGrid w:val="0"/>
        <w:spacing w:line="360" w:lineRule="auto"/>
        <w:ind w:firstLine="480" w:firstLineChars="200"/>
        <w:rPr>
          <w:rFonts w:hint="default"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lang w:val="en-US" w:eastAsia="zh-CN"/>
        </w:rPr>
        <w:t>4、供应商关联企业情况（包括但不限于与供应商单位负责人为同一人或者存在控股、管理关系的不同单位）：</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w:t>
      </w:r>
    </w:p>
    <w:p w14:paraId="52949848">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我方对以上承诺负全部法律责任。</w:t>
      </w:r>
    </w:p>
    <w:p w14:paraId="109D60DB">
      <w:pPr>
        <w:tabs>
          <w:tab w:val="left" w:pos="6300"/>
        </w:tabs>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2B14FE5C">
      <w:pPr>
        <w:tabs>
          <w:tab w:val="left" w:pos="6300"/>
        </w:tabs>
        <w:snapToGrid w:val="0"/>
        <w:spacing w:line="360" w:lineRule="auto"/>
        <w:ind w:firstLine="480" w:firstLineChars="200"/>
        <w:rPr>
          <w:rFonts w:ascii="宋体" w:hAnsi="宋体" w:cs="宋体"/>
          <w:color w:val="auto"/>
          <w:sz w:val="24"/>
          <w:szCs w:val="24"/>
          <w:highlight w:val="none"/>
        </w:rPr>
      </w:pPr>
    </w:p>
    <w:p w14:paraId="6E7CB73A">
      <w:pPr>
        <w:tabs>
          <w:tab w:val="left" w:pos="6300"/>
        </w:tabs>
        <w:snapToGrid w:val="0"/>
        <w:spacing w:line="360" w:lineRule="auto"/>
        <w:ind w:firstLine="480" w:firstLineChars="200"/>
        <w:jc w:val="right"/>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4AE41243">
      <w:pPr>
        <w:tabs>
          <w:tab w:val="left" w:pos="6300"/>
        </w:tabs>
        <w:snapToGrid w:val="0"/>
        <w:spacing w:line="380" w:lineRule="exact"/>
        <w:ind w:firstLine="2760" w:firstLineChars="1150"/>
        <w:jc w:val="right"/>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50148254">
      <w:pPr>
        <w:tabs>
          <w:tab w:val="left" w:pos="6300"/>
        </w:tabs>
        <w:snapToGrid w:val="0"/>
        <w:spacing w:line="380" w:lineRule="exact"/>
        <w:ind w:firstLine="2760" w:firstLineChars="1150"/>
        <w:rPr>
          <w:rFonts w:ascii="宋体" w:hAnsi="宋体" w:cs="宋体"/>
          <w:color w:val="auto"/>
          <w:sz w:val="24"/>
          <w:szCs w:val="24"/>
          <w:highlight w:val="none"/>
        </w:rPr>
      </w:pPr>
    </w:p>
    <w:p w14:paraId="5920406C">
      <w:pPr>
        <w:tabs>
          <w:tab w:val="left" w:pos="6300"/>
        </w:tabs>
        <w:snapToGrid w:val="0"/>
        <w:spacing w:line="380" w:lineRule="exact"/>
        <w:ind w:firstLine="2760" w:firstLineChars="1150"/>
        <w:rPr>
          <w:rFonts w:ascii="宋体" w:hAnsi="宋体" w:cs="宋体"/>
          <w:color w:val="auto"/>
          <w:sz w:val="24"/>
          <w:szCs w:val="24"/>
          <w:highlight w:val="none"/>
        </w:rPr>
      </w:pPr>
    </w:p>
    <w:p w14:paraId="3508B22B">
      <w:pPr>
        <w:tabs>
          <w:tab w:val="left" w:pos="6300"/>
        </w:tabs>
        <w:snapToGrid w:val="0"/>
        <w:spacing w:line="380" w:lineRule="exact"/>
        <w:ind w:firstLine="2760" w:firstLineChars="1150"/>
        <w:rPr>
          <w:rFonts w:ascii="宋体" w:hAnsi="宋体" w:cs="宋体"/>
          <w:color w:val="auto"/>
          <w:sz w:val="24"/>
          <w:szCs w:val="24"/>
          <w:highlight w:val="none"/>
        </w:rPr>
      </w:pPr>
    </w:p>
    <w:p w14:paraId="55474425">
      <w:pPr>
        <w:tabs>
          <w:tab w:val="left" w:pos="6300"/>
        </w:tabs>
        <w:snapToGrid w:val="0"/>
        <w:spacing w:line="380" w:lineRule="exact"/>
        <w:ind w:firstLine="2760" w:firstLineChars="1150"/>
        <w:rPr>
          <w:rFonts w:ascii="宋体" w:hAnsi="宋体" w:cs="宋体"/>
          <w:color w:val="auto"/>
          <w:sz w:val="24"/>
          <w:szCs w:val="24"/>
          <w:highlight w:val="none"/>
        </w:rPr>
      </w:pPr>
    </w:p>
    <w:p w14:paraId="23F9A61B">
      <w:pPr>
        <w:tabs>
          <w:tab w:val="left" w:pos="6300"/>
        </w:tabs>
        <w:snapToGrid w:val="0"/>
        <w:spacing w:line="380" w:lineRule="exact"/>
        <w:ind w:firstLine="2760" w:firstLineChars="1150"/>
        <w:rPr>
          <w:rFonts w:ascii="宋体" w:hAnsi="宋体" w:cs="宋体"/>
          <w:color w:val="auto"/>
          <w:sz w:val="24"/>
          <w:szCs w:val="24"/>
          <w:highlight w:val="none"/>
        </w:rPr>
      </w:pPr>
    </w:p>
    <w:p w14:paraId="577F647F">
      <w:pPr>
        <w:pStyle w:val="55"/>
        <w:rPr>
          <w:rFonts w:cs="宋体"/>
          <w:color w:val="auto"/>
          <w:szCs w:val="24"/>
          <w:highlight w:val="none"/>
        </w:rPr>
      </w:pPr>
    </w:p>
    <w:p w14:paraId="4CDC8B53">
      <w:pPr>
        <w:pStyle w:val="55"/>
        <w:rPr>
          <w:rFonts w:cs="宋体"/>
          <w:color w:val="auto"/>
          <w:szCs w:val="24"/>
          <w:highlight w:val="none"/>
        </w:rPr>
      </w:pPr>
    </w:p>
    <w:p w14:paraId="7874F98D">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（五）特定资格条件证明文件（如有）</w:t>
      </w:r>
    </w:p>
    <w:p w14:paraId="25E26968">
      <w:pPr>
        <w:tabs>
          <w:tab w:val="left" w:pos="6300"/>
        </w:tabs>
        <w:snapToGrid w:val="0"/>
        <w:spacing w:line="500" w:lineRule="exact"/>
        <w:ind w:firstLine="480" w:firstLineChars="200"/>
        <w:rPr>
          <w:rFonts w:ascii="宋体" w:hAnsi="宋体" w:cs="宋体"/>
          <w:color w:val="auto"/>
          <w:sz w:val="24"/>
          <w:szCs w:val="24"/>
          <w:highlight w:val="none"/>
        </w:rPr>
      </w:pPr>
    </w:p>
    <w:p w14:paraId="4AE89BD9">
      <w:pPr>
        <w:pStyle w:val="22"/>
        <w:rPr>
          <w:rFonts w:ascii="宋体" w:hAnsi="宋体" w:cs="宋体"/>
          <w:color w:val="auto"/>
          <w:sz w:val="24"/>
          <w:szCs w:val="24"/>
          <w:highlight w:val="none"/>
        </w:rPr>
      </w:pPr>
    </w:p>
    <w:p w14:paraId="5751170A">
      <w:pPr>
        <w:tabs>
          <w:tab w:val="left" w:pos="6300"/>
        </w:tabs>
        <w:snapToGrid w:val="0"/>
        <w:spacing w:line="500" w:lineRule="exact"/>
        <w:ind w:firstLine="480" w:firstLineChars="200"/>
        <w:rPr>
          <w:rFonts w:ascii="宋体" w:hAnsi="宋体" w:cs="宋体"/>
          <w:color w:val="auto"/>
          <w:sz w:val="24"/>
          <w:szCs w:val="24"/>
          <w:highlight w:val="none"/>
        </w:rPr>
      </w:pPr>
    </w:p>
    <w:p w14:paraId="6AA6F6D9">
      <w:pPr>
        <w:tabs>
          <w:tab w:val="left" w:pos="6300"/>
        </w:tabs>
        <w:snapToGrid w:val="0"/>
        <w:spacing w:line="500" w:lineRule="exact"/>
        <w:ind w:firstLine="480" w:firstLineChars="200"/>
        <w:rPr>
          <w:rFonts w:ascii="宋体" w:hAnsi="宋体" w:cs="宋体"/>
          <w:color w:val="auto"/>
          <w:sz w:val="24"/>
          <w:szCs w:val="24"/>
          <w:highlight w:val="none"/>
        </w:rPr>
      </w:pPr>
    </w:p>
    <w:p w14:paraId="5F7EC555">
      <w:pPr>
        <w:tabs>
          <w:tab w:val="left" w:pos="6300"/>
        </w:tabs>
        <w:snapToGrid w:val="0"/>
        <w:spacing w:line="500" w:lineRule="exact"/>
        <w:ind w:firstLine="480" w:firstLineChars="200"/>
        <w:rPr>
          <w:rFonts w:ascii="宋体" w:hAnsi="宋体" w:cs="宋体"/>
          <w:color w:val="auto"/>
          <w:sz w:val="24"/>
          <w:szCs w:val="24"/>
          <w:highlight w:val="none"/>
        </w:rPr>
      </w:pPr>
    </w:p>
    <w:p w14:paraId="04AE671D">
      <w:pPr>
        <w:tabs>
          <w:tab w:val="left" w:pos="6300"/>
        </w:tabs>
        <w:snapToGrid w:val="0"/>
        <w:spacing w:line="500" w:lineRule="exact"/>
        <w:ind w:firstLine="480" w:firstLineChars="200"/>
        <w:rPr>
          <w:rFonts w:ascii="宋体" w:hAnsi="宋体" w:cs="宋体"/>
          <w:color w:val="auto"/>
          <w:sz w:val="24"/>
          <w:szCs w:val="24"/>
          <w:highlight w:val="none"/>
        </w:rPr>
      </w:pPr>
    </w:p>
    <w:p w14:paraId="50A63190">
      <w:pPr>
        <w:tabs>
          <w:tab w:val="left" w:pos="6300"/>
        </w:tabs>
        <w:snapToGrid w:val="0"/>
        <w:spacing w:line="500" w:lineRule="exact"/>
        <w:ind w:firstLine="480" w:firstLineChars="200"/>
        <w:rPr>
          <w:rFonts w:ascii="宋体" w:hAnsi="宋体" w:cs="宋体"/>
          <w:color w:val="auto"/>
          <w:sz w:val="24"/>
          <w:szCs w:val="24"/>
          <w:highlight w:val="none"/>
        </w:rPr>
      </w:pPr>
    </w:p>
    <w:p w14:paraId="4342CF46">
      <w:pPr>
        <w:tabs>
          <w:tab w:val="left" w:pos="6300"/>
        </w:tabs>
        <w:snapToGrid w:val="0"/>
        <w:spacing w:line="500" w:lineRule="exact"/>
        <w:ind w:firstLine="480" w:firstLineChars="200"/>
        <w:rPr>
          <w:rFonts w:ascii="宋体" w:hAnsi="宋体" w:cs="宋体"/>
          <w:color w:val="auto"/>
          <w:sz w:val="24"/>
          <w:szCs w:val="24"/>
          <w:highlight w:val="none"/>
        </w:rPr>
      </w:pPr>
    </w:p>
    <w:p w14:paraId="55F89300">
      <w:pPr>
        <w:tabs>
          <w:tab w:val="left" w:pos="6300"/>
        </w:tabs>
        <w:snapToGrid w:val="0"/>
        <w:spacing w:line="500" w:lineRule="exact"/>
        <w:ind w:firstLine="480" w:firstLineChars="200"/>
        <w:rPr>
          <w:rFonts w:ascii="宋体" w:hAnsi="宋体" w:cs="宋体"/>
          <w:color w:val="auto"/>
          <w:sz w:val="24"/>
          <w:szCs w:val="24"/>
          <w:highlight w:val="none"/>
        </w:rPr>
      </w:pPr>
    </w:p>
    <w:p w14:paraId="35DA4DBC">
      <w:pPr>
        <w:tabs>
          <w:tab w:val="left" w:pos="6300"/>
        </w:tabs>
        <w:snapToGrid w:val="0"/>
        <w:spacing w:line="500" w:lineRule="exact"/>
        <w:ind w:firstLine="480" w:firstLineChars="200"/>
        <w:rPr>
          <w:rFonts w:ascii="宋体" w:hAnsi="宋体" w:cs="宋体"/>
          <w:color w:val="auto"/>
          <w:sz w:val="24"/>
          <w:szCs w:val="24"/>
          <w:highlight w:val="none"/>
        </w:rPr>
      </w:pPr>
    </w:p>
    <w:p w14:paraId="6ACE7BA0">
      <w:pPr>
        <w:tabs>
          <w:tab w:val="left" w:pos="6300"/>
        </w:tabs>
        <w:snapToGrid w:val="0"/>
        <w:spacing w:line="500" w:lineRule="exact"/>
        <w:ind w:firstLine="480" w:firstLineChars="200"/>
        <w:rPr>
          <w:rFonts w:ascii="宋体" w:hAnsi="宋体" w:cs="宋体"/>
          <w:color w:val="auto"/>
          <w:sz w:val="24"/>
          <w:szCs w:val="24"/>
          <w:highlight w:val="none"/>
        </w:rPr>
      </w:pPr>
    </w:p>
    <w:p w14:paraId="68588C10">
      <w:pPr>
        <w:tabs>
          <w:tab w:val="left" w:pos="6300"/>
        </w:tabs>
        <w:snapToGrid w:val="0"/>
        <w:spacing w:line="500" w:lineRule="exact"/>
        <w:ind w:firstLine="480" w:firstLineChars="200"/>
        <w:rPr>
          <w:rFonts w:ascii="宋体" w:hAnsi="宋体" w:cs="宋体"/>
          <w:color w:val="auto"/>
          <w:sz w:val="24"/>
          <w:szCs w:val="24"/>
          <w:highlight w:val="none"/>
        </w:rPr>
      </w:pPr>
    </w:p>
    <w:p w14:paraId="48726E78">
      <w:pPr>
        <w:tabs>
          <w:tab w:val="left" w:pos="6300"/>
        </w:tabs>
        <w:snapToGrid w:val="0"/>
        <w:spacing w:line="500" w:lineRule="exact"/>
        <w:ind w:firstLine="480" w:firstLineChars="200"/>
        <w:rPr>
          <w:rFonts w:ascii="宋体" w:hAnsi="宋体" w:cs="宋体"/>
          <w:color w:val="auto"/>
          <w:sz w:val="24"/>
          <w:szCs w:val="24"/>
          <w:highlight w:val="none"/>
        </w:rPr>
      </w:pPr>
    </w:p>
    <w:p w14:paraId="0497033E">
      <w:pPr>
        <w:tabs>
          <w:tab w:val="left" w:pos="6300"/>
        </w:tabs>
        <w:snapToGrid w:val="0"/>
        <w:spacing w:line="500" w:lineRule="exact"/>
        <w:ind w:firstLine="480" w:firstLineChars="200"/>
        <w:rPr>
          <w:rFonts w:ascii="宋体" w:hAnsi="宋体" w:cs="宋体"/>
          <w:color w:val="auto"/>
          <w:sz w:val="24"/>
          <w:szCs w:val="24"/>
          <w:highlight w:val="none"/>
        </w:rPr>
      </w:pPr>
    </w:p>
    <w:p w14:paraId="214172B3">
      <w:pPr>
        <w:tabs>
          <w:tab w:val="left" w:pos="6300"/>
        </w:tabs>
        <w:snapToGrid w:val="0"/>
        <w:spacing w:line="500" w:lineRule="exact"/>
        <w:ind w:firstLine="480" w:firstLineChars="200"/>
        <w:rPr>
          <w:rFonts w:ascii="宋体" w:hAnsi="宋体" w:cs="宋体"/>
          <w:color w:val="auto"/>
          <w:sz w:val="24"/>
          <w:szCs w:val="24"/>
          <w:highlight w:val="none"/>
        </w:rPr>
      </w:pPr>
    </w:p>
    <w:p w14:paraId="76162C5B">
      <w:pPr>
        <w:tabs>
          <w:tab w:val="left" w:pos="6300"/>
        </w:tabs>
        <w:snapToGrid w:val="0"/>
        <w:spacing w:line="500" w:lineRule="exact"/>
        <w:ind w:firstLine="480" w:firstLineChars="200"/>
        <w:rPr>
          <w:rFonts w:ascii="宋体" w:hAnsi="宋体" w:cs="宋体"/>
          <w:color w:val="auto"/>
          <w:sz w:val="24"/>
          <w:szCs w:val="24"/>
          <w:highlight w:val="none"/>
        </w:rPr>
      </w:pPr>
    </w:p>
    <w:p w14:paraId="347CA046">
      <w:pPr>
        <w:tabs>
          <w:tab w:val="left" w:pos="6300"/>
        </w:tabs>
        <w:snapToGrid w:val="0"/>
        <w:spacing w:line="500" w:lineRule="exact"/>
        <w:ind w:firstLine="480" w:firstLineChars="200"/>
        <w:rPr>
          <w:rFonts w:ascii="宋体" w:hAnsi="宋体" w:cs="宋体"/>
          <w:color w:val="auto"/>
          <w:sz w:val="24"/>
          <w:szCs w:val="24"/>
          <w:highlight w:val="none"/>
        </w:rPr>
      </w:pPr>
    </w:p>
    <w:p w14:paraId="44BFE2BB">
      <w:pPr>
        <w:tabs>
          <w:tab w:val="left" w:pos="6300"/>
        </w:tabs>
        <w:snapToGrid w:val="0"/>
        <w:spacing w:line="500" w:lineRule="exact"/>
        <w:ind w:firstLine="480" w:firstLineChars="200"/>
        <w:rPr>
          <w:rFonts w:ascii="宋体" w:hAnsi="宋体" w:cs="宋体"/>
          <w:color w:val="auto"/>
          <w:sz w:val="24"/>
          <w:szCs w:val="24"/>
          <w:highlight w:val="none"/>
        </w:rPr>
      </w:pPr>
    </w:p>
    <w:p w14:paraId="22A6DD8B">
      <w:pPr>
        <w:tabs>
          <w:tab w:val="left" w:pos="6300"/>
        </w:tabs>
        <w:snapToGrid w:val="0"/>
        <w:spacing w:line="500" w:lineRule="exact"/>
        <w:ind w:firstLine="480" w:firstLineChars="200"/>
        <w:rPr>
          <w:rFonts w:ascii="宋体" w:hAnsi="宋体" w:cs="宋体"/>
          <w:color w:val="auto"/>
          <w:sz w:val="24"/>
          <w:szCs w:val="24"/>
          <w:highlight w:val="none"/>
        </w:rPr>
      </w:pPr>
    </w:p>
    <w:p w14:paraId="3F5B031B">
      <w:pPr>
        <w:tabs>
          <w:tab w:val="left" w:pos="6300"/>
        </w:tabs>
        <w:snapToGrid w:val="0"/>
        <w:spacing w:line="500" w:lineRule="exact"/>
        <w:ind w:firstLine="480" w:firstLineChars="200"/>
        <w:rPr>
          <w:rFonts w:ascii="宋体" w:hAnsi="宋体" w:cs="宋体"/>
          <w:color w:val="auto"/>
          <w:sz w:val="24"/>
          <w:szCs w:val="24"/>
          <w:highlight w:val="none"/>
        </w:rPr>
      </w:pPr>
    </w:p>
    <w:p w14:paraId="374A5C5A">
      <w:pPr>
        <w:tabs>
          <w:tab w:val="left" w:pos="6300"/>
        </w:tabs>
        <w:snapToGrid w:val="0"/>
        <w:spacing w:line="500" w:lineRule="exact"/>
        <w:ind w:firstLine="480" w:firstLineChars="200"/>
        <w:rPr>
          <w:rFonts w:ascii="宋体" w:hAnsi="宋体" w:cs="宋体"/>
          <w:color w:val="auto"/>
          <w:sz w:val="24"/>
          <w:szCs w:val="24"/>
          <w:highlight w:val="none"/>
        </w:rPr>
      </w:pPr>
    </w:p>
    <w:p w14:paraId="0A2A0932">
      <w:pPr>
        <w:tabs>
          <w:tab w:val="left" w:pos="6300"/>
        </w:tabs>
        <w:snapToGrid w:val="0"/>
        <w:spacing w:line="500" w:lineRule="exact"/>
        <w:ind w:firstLine="480" w:firstLineChars="200"/>
        <w:rPr>
          <w:rFonts w:ascii="宋体" w:hAnsi="宋体" w:cs="宋体"/>
          <w:color w:val="auto"/>
          <w:sz w:val="24"/>
          <w:szCs w:val="24"/>
          <w:highlight w:val="none"/>
        </w:rPr>
      </w:pPr>
    </w:p>
    <w:p w14:paraId="1F007ED1">
      <w:pPr>
        <w:tabs>
          <w:tab w:val="left" w:pos="6300"/>
        </w:tabs>
        <w:snapToGrid w:val="0"/>
        <w:spacing w:line="500" w:lineRule="exact"/>
        <w:ind w:firstLine="480" w:firstLineChars="200"/>
        <w:rPr>
          <w:rFonts w:ascii="宋体" w:hAnsi="宋体" w:cs="宋体"/>
          <w:color w:val="auto"/>
          <w:sz w:val="24"/>
          <w:szCs w:val="24"/>
          <w:highlight w:val="none"/>
        </w:rPr>
      </w:pPr>
    </w:p>
    <w:p w14:paraId="28630EDA">
      <w:pPr>
        <w:tabs>
          <w:tab w:val="left" w:pos="6300"/>
        </w:tabs>
        <w:snapToGrid w:val="0"/>
        <w:spacing w:line="500" w:lineRule="exact"/>
        <w:ind w:firstLine="480" w:firstLineChars="200"/>
        <w:rPr>
          <w:rFonts w:ascii="宋体" w:hAnsi="宋体" w:cs="宋体"/>
          <w:color w:val="auto"/>
          <w:sz w:val="24"/>
          <w:szCs w:val="24"/>
          <w:highlight w:val="none"/>
        </w:rPr>
      </w:pPr>
    </w:p>
    <w:p w14:paraId="0FEFDA0E">
      <w:pPr>
        <w:tabs>
          <w:tab w:val="left" w:pos="6300"/>
        </w:tabs>
        <w:snapToGrid w:val="0"/>
        <w:spacing w:line="500" w:lineRule="exact"/>
        <w:ind w:firstLine="480" w:firstLineChars="200"/>
        <w:rPr>
          <w:rFonts w:ascii="宋体" w:hAnsi="宋体" w:cs="宋体"/>
          <w:color w:val="auto"/>
          <w:sz w:val="24"/>
          <w:szCs w:val="24"/>
          <w:highlight w:val="none"/>
        </w:rPr>
      </w:pPr>
    </w:p>
    <w:p w14:paraId="75CF84C1">
      <w:pPr>
        <w:rPr>
          <w:rFonts w:ascii="宋体" w:hAnsi="宋体" w:cs="宋体"/>
          <w:color w:val="auto"/>
          <w:sz w:val="24"/>
          <w:szCs w:val="24"/>
          <w:highlight w:val="none"/>
        </w:rPr>
      </w:pPr>
      <w:bookmarkStart w:id="154" w:name="_Toc499576268"/>
      <w:bookmarkStart w:id="155" w:name="_Toc14422"/>
    </w:p>
    <w:p w14:paraId="5D553246">
      <w:pPr>
        <w:rPr>
          <w:rFonts w:hint="eastAsia" w:ascii="宋体" w:hAnsi="宋体" w:eastAsia="宋体" w:cs="宋体"/>
          <w:color w:val="auto"/>
          <w:sz w:val="24"/>
          <w:szCs w:val="24"/>
          <w:highlight w:val="none"/>
        </w:rPr>
      </w:pPr>
      <w:bookmarkStart w:id="156" w:name="_Toc28583"/>
      <w:r>
        <w:rPr>
          <w:rFonts w:hint="eastAsia" w:ascii="宋体" w:hAnsi="宋体" w:eastAsia="宋体" w:cs="宋体"/>
          <w:color w:val="auto"/>
          <w:sz w:val="24"/>
          <w:szCs w:val="24"/>
          <w:highlight w:val="none"/>
        </w:rPr>
        <w:br w:type="page"/>
      </w:r>
    </w:p>
    <w:p w14:paraId="69E8F971">
      <w:pPr>
        <w:pStyle w:val="3"/>
        <w:spacing w:before="0" w:after="0" w:line="360" w:lineRule="auto"/>
        <w:rPr>
          <w:rFonts w:ascii="宋体" w:hAnsi="宋体" w:eastAsia="宋体" w:cs="宋体"/>
          <w:color w:val="auto"/>
          <w:sz w:val="24"/>
          <w:szCs w:val="24"/>
          <w:highlight w:val="none"/>
        </w:rPr>
      </w:pPr>
      <w:bookmarkStart w:id="157" w:name="_Toc12181"/>
      <w:r>
        <w:rPr>
          <w:rFonts w:hint="eastAsia" w:ascii="宋体" w:hAnsi="宋体" w:eastAsia="宋体" w:cs="宋体"/>
          <w:color w:val="auto"/>
          <w:sz w:val="24"/>
          <w:szCs w:val="24"/>
          <w:highlight w:val="none"/>
        </w:rPr>
        <w:t>五、其他应提供的资料</w:t>
      </w:r>
      <w:bookmarkEnd w:id="154"/>
      <w:bookmarkEnd w:id="155"/>
      <w:bookmarkEnd w:id="156"/>
      <w:bookmarkEnd w:id="157"/>
    </w:p>
    <w:p w14:paraId="2901B66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（一）其他资料</w:t>
      </w:r>
    </w:p>
    <w:p w14:paraId="2EB5442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1、其他与项目有关的资料（自附）：供应商总体情况介绍、其他与本项目有关的资料</w:t>
      </w:r>
    </w:p>
    <w:p w14:paraId="6B9F2B66">
      <w:pPr>
        <w:spacing w:line="360" w:lineRule="auto"/>
        <w:jc w:val="center"/>
        <w:rPr>
          <w:rFonts w:ascii="宋体" w:hAnsi="宋体" w:cs="宋体"/>
          <w:color w:val="auto"/>
          <w:sz w:val="24"/>
          <w:szCs w:val="24"/>
          <w:highlight w:val="none"/>
        </w:rPr>
      </w:pPr>
    </w:p>
    <w:p w14:paraId="72464E8F">
      <w:pPr>
        <w:spacing w:line="360" w:lineRule="auto"/>
        <w:jc w:val="center"/>
        <w:rPr>
          <w:rFonts w:ascii="宋体" w:hAnsi="宋体" w:cs="宋体"/>
          <w:color w:val="auto"/>
          <w:sz w:val="24"/>
          <w:szCs w:val="24"/>
          <w:highlight w:val="none"/>
        </w:rPr>
      </w:pPr>
    </w:p>
    <w:p w14:paraId="5BDF5FAD">
      <w:pPr>
        <w:spacing w:line="360" w:lineRule="auto"/>
        <w:jc w:val="center"/>
        <w:rPr>
          <w:rFonts w:ascii="宋体" w:hAnsi="宋体" w:cs="宋体"/>
          <w:color w:val="auto"/>
          <w:sz w:val="24"/>
          <w:szCs w:val="24"/>
          <w:highlight w:val="none"/>
        </w:rPr>
      </w:pPr>
    </w:p>
    <w:p w14:paraId="18D97EAE">
      <w:pPr>
        <w:spacing w:line="360" w:lineRule="auto"/>
        <w:jc w:val="center"/>
        <w:rPr>
          <w:rFonts w:ascii="宋体" w:hAnsi="宋体" w:cs="宋体"/>
          <w:color w:val="auto"/>
          <w:sz w:val="24"/>
          <w:szCs w:val="24"/>
          <w:highlight w:val="none"/>
        </w:rPr>
      </w:pPr>
    </w:p>
    <w:p w14:paraId="0FFF35F6">
      <w:pPr>
        <w:spacing w:line="360" w:lineRule="auto"/>
        <w:jc w:val="center"/>
        <w:rPr>
          <w:rFonts w:ascii="宋体" w:hAnsi="宋体" w:cs="宋体"/>
          <w:color w:val="auto"/>
          <w:sz w:val="24"/>
          <w:szCs w:val="24"/>
          <w:highlight w:val="none"/>
        </w:rPr>
      </w:pPr>
    </w:p>
    <w:p w14:paraId="61D5A873">
      <w:pPr>
        <w:spacing w:line="360" w:lineRule="auto"/>
        <w:jc w:val="center"/>
        <w:rPr>
          <w:rFonts w:ascii="宋体" w:hAnsi="宋体" w:cs="宋体"/>
          <w:color w:val="auto"/>
          <w:sz w:val="24"/>
          <w:szCs w:val="24"/>
          <w:highlight w:val="none"/>
        </w:rPr>
      </w:pPr>
    </w:p>
    <w:p w14:paraId="3005B25D">
      <w:pPr>
        <w:spacing w:line="360" w:lineRule="auto"/>
        <w:jc w:val="center"/>
        <w:rPr>
          <w:rFonts w:ascii="宋体" w:hAnsi="宋体" w:cs="宋体"/>
          <w:color w:val="auto"/>
          <w:sz w:val="24"/>
          <w:szCs w:val="24"/>
          <w:highlight w:val="none"/>
        </w:rPr>
      </w:pPr>
    </w:p>
    <w:p w14:paraId="447271A8">
      <w:pPr>
        <w:spacing w:line="360" w:lineRule="auto"/>
        <w:jc w:val="center"/>
        <w:rPr>
          <w:rFonts w:ascii="宋体" w:hAnsi="宋体" w:cs="宋体"/>
          <w:color w:val="auto"/>
          <w:sz w:val="24"/>
          <w:szCs w:val="24"/>
          <w:highlight w:val="none"/>
        </w:rPr>
      </w:pPr>
    </w:p>
    <w:p w14:paraId="517D6456">
      <w:pPr>
        <w:spacing w:line="360" w:lineRule="auto"/>
        <w:jc w:val="center"/>
        <w:rPr>
          <w:rFonts w:ascii="宋体" w:hAnsi="宋体" w:cs="宋体"/>
          <w:color w:val="auto"/>
          <w:sz w:val="24"/>
          <w:szCs w:val="24"/>
          <w:highlight w:val="none"/>
        </w:rPr>
      </w:pPr>
    </w:p>
    <w:p w14:paraId="77A29BAD">
      <w:pPr>
        <w:spacing w:line="360" w:lineRule="auto"/>
        <w:jc w:val="center"/>
        <w:rPr>
          <w:rFonts w:ascii="宋体" w:hAnsi="宋体" w:cs="宋体"/>
          <w:color w:val="auto"/>
          <w:sz w:val="24"/>
          <w:szCs w:val="24"/>
          <w:highlight w:val="none"/>
        </w:rPr>
      </w:pPr>
    </w:p>
    <w:p w14:paraId="49D9A1D9">
      <w:pPr>
        <w:spacing w:line="360" w:lineRule="auto"/>
        <w:jc w:val="center"/>
        <w:rPr>
          <w:rFonts w:ascii="宋体" w:hAnsi="宋体" w:cs="宋体"/>
          <w:color w:val="auto"/>
          <w:sz w:val="24"/>
          <w:szCs w:val="24"/>
          <w:highlight w:val="none"/>
        </w:rPr>
      </w:pPr>
    </w:p>
    <w:p w14:paraId="28D30D99">
      <w:pPr>
        <w:spacing w:line="360" w:lineRule="auto"/>
        <w:jc w:val="center"/>
        <w:rPr>
          <w:rFonts w:ascii="宋体" w:hAnsi="宋体" w:cs="宋体"/>
          <w:color w:val="auto"/>
          <w:sz w:val="24"/>
          <w:szCs w:val="24"/>
          <w:highlight w:val="none"/>
        </w:rPr>
      </w:pPr>
    </w:p>
    <w:p w14:paraId="7C573425">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（结束）</w:t>
      </w:r>
    </w:p>
    <w:p w14:paraId="149A3829">
      <w:pPr>
        <w:spacing w:line="360" w:lineRule="auto"/>
        <w:jc w:val="center"/>
        <w:rPr>
          <w:rFonts w:ascii="宋体" w:hAnsi="宋体" w:cs="宋体"/>
          <w:color w:val="auto"/>
          <w:sz w:val="24"/>
          <w:szCs w:val="24"/>
          <w:highlight w:val="none"/>
        </w:rPr>
      </w:pPr>
    </w:p>
    <w:sectPr>
      <w:headerReference r:id="rId17" w:type="default"/>
      <w:footerReference r:id="rId18" w:type="default"/>
      <w:pgSz w:w="11907" w:h="16840"/>
      <w:pgMar w:top="1134" w:right="1191" w:bottom="1134" w:left="1304" w:header="851" w:footer="992" w:gutter="0"/>
      <w:cols w:space="720" w:num="1"/>
      <w:rtlGutter w:val="1"/>
      <w:docGrid w:type="line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1" w:fontKey="{F37669DF-22C4-4AB3-AEB3-9E21C4F57B41}"/>
  </w:font>
  <w:font w:name="Verdana">
    <w:panose1 w:val="020B0604030504040204"/>
    <w:charset w:val="00"/>
    <w:family w:val="swiss"/>
    <w:pitch w:val="default"/>
    <w:sig w:usb0="A00006FF" w:usb1="4000205B" w:usb2="00000010" w:usb3="00000000" w:csb0="2000019F" w:csb1="00000000"/>
  </w:font>
  <w:font w:name="文鼎粗黑">
    <w:altName w:val="新宋体"/>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2" w:fontKey="{9FB40846-B46B-4028-9922-7EEED1B7D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70758">
    <w:pPr>
      <w:pStyle w:val="35"/>
      <w:framePr w:wrap="around" w:vAnchor="text" w:hAnchor="margin" w:xAlign="center" w:y="1"/>
      <w:rPr>
        <w:rStyle w:val="61"/>
      </w:rPr>
    </w:pPr>
    <w:r>
      <w:fldChar w:fldCharType="begin"/>
    </w:r>
    <w:r>
      <w:rPr>
        <w:rStyle w:val="61"/>
      </w:rPr>
      <w:instrText xml:space="preserve">PAGE  </w:instrText>
    </w:r>
    <w:r>
      <w:fldChar w:fldCharType="end"/>
    </w:r>
  </w:p>
  <w:p w14:paraId="43BBE4DA">
    <w:pPr>
      <w:pStyle w:val="3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A4109">
    <w:pPr>
      <w:pStyle w:val="35"/>
      <w:jc w:val="center"/>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23F28">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38</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B123F28">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38</w:t>
                    </w:r>
                    <w:r>
                      <w:rPr>
                        <w:rFonts w:ascii="宋体" w:hAns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C873E">
    <w:pPr>
      <w:pStyle w:val="35"/>
      <w:framePr w:wrap="around" w:vAnchor="text" w:hAnchor="margin" w:xAlign="center" w:y="1"/>
      <w:rPr>
        <w:rStyle w:val="61"/>
      </w:rPr>
    </w:pPr>
  </w:p>
  <w:p w14:paraId="19F93A2B">
    <w:pPr>
      <w:pStyle w:val="35"/>
      <w:jc w:val="center"/>
      <w:rPr>
        <w:rFonts w:ascii="宋体" w:hAnsi="宋体"/>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875F9">
    <w:pPr>
      <w:pStyle w:val="3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290BA">
                          <w:pPr>
                            <w:pStyle w:val="35"/>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5</w:t>
                          </w:r>
                          <w:r>
                            <w:rPr>
                              <w:rFonts w:asci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77290BA">
                    <w:pPr>
                      <w:pStyle w:val="35"/>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5</w:t>
                    </w:r>
                    <w:r>
                      <w:rPr>
                        <w:rFonts w:ascii="宋体"/>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843A3">
    <w:pPr>
      <w:pStyle w:val="35"/>
      <w:jc w:val="center"/>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AF8D4">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14</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9EAF8D4">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14</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59FA">
    <w:pPr>
      <w:pStyle w:val="35"/>
      <w:jc w:val="center"/>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4AB85">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18</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124AB85">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18</w:t>
                    </w:r>
                    <w:r>
                      <w:rPr>
                        <w:rFonts w:ascii="宋体" w:hAnsi="宋体"/>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1730F">
    <w:pPr>
      <w:pStyle w:val="35"/>
      <w:framePr w:wrap="around" w:vAnchor="text" w:hAnchor="margin" w:xAlign="center" w:y="1"/>
      <w:rPr>
        <w:rStyle w:val="61"/>
      </w:rPr>
    </w:pPr>
    <w:r>
      <w:fldChar w:fldCharType="begin"/>
    </w:r>
    <w:r>
      <w:rPr>
        <w:rStyle w:val="61"/>
      </w:rPr>
      <w:instrText xml:space="preserve">PAGE  </w:instrText>
    </w:r>
    <w:r>
      <w:fldChar w:fldCharType="end"/>
    </w:r>
  </w:p>
  <w:p w14:paraId="392063F5">
    <w:pPr>
      <w:pStyle w:val="3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8075A">
    <w:pPr>
      <w:pStyle w:val="3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705F5">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43705F5">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E3DDA">
    <w:pPr>
      <w:pStyle w:val="35"/>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08324">
                          <w:pPr>
                            <w:pStyle w:val="3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0308324">
                    <w:pPr>
                      <w:pStyle w:val="35"/>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D12A4">
    <w:pPr>
      <w:pStyle w:val="35"/>
      <w:jc w:val="center"/>
      <w:rPr>
        <w:rFonts w:ascii="宋体" w:hAnsi="宋体"/>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C7FD7">
                          <w:pPr>
                            <w:pStyle w:val="3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5BC7FD7">
                    <w:pPr>
                      <w:pStyle w:val="3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E99D5">
    <w:pPr>
      <w:pStyle w:val="36"/>
      <w:jc w:val="both"/>
      <w:rPr>
        <w:rFonts w:ascii="仿宋" w:hAnsi="仿宋" w:eastAsia="仿宋"/>
        <w:sz w:val="21"/>
        <w:szCs w:val="21"/>
      </w:rPr>
    </w:pPr>
    <w:r>
      <w:rPr>
        <w:rFonts w:hint="eastAsia" w:ascii="仿宋" w:hAnsi="仿宋" w:eastAsia="仿宋"/>
        <w:sz w:val="21"/>
        <w:szCs w:val="21"/>
      </w:rPr>
      <w:t>重庆</w:t>
    </w:r>
    <w:r>
      <w:rPr>
        <w:rFonts w:hint="eastAsia" w:ascii="仿宋" w:hAnsi="仿宋" w:eastAsia="仿宋"/>
        <w:sz w:val="21"/>
        <w:szCs w:val="21"/>
        <w:lang w:eastAsia="zh-CN"/>
      </w:rPr>
      <w:t>龙锐工程咨询</w:t>
    </w:r>
    <w:r>
      <w:rPr>
        <w:rFonts w:hint="eastAsia" w:ascii="仿宋" w:hAnsi="仿宋" w:eastAsia="仿宋"/>
        <w:sz w:val="21"/>
        <w:szCs w:val="21"/>
      </w:rPr>
      <w:t>有限公司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BECB5">
    <w:pPr>
      <w:pStyle w:val="36"/>
      <w:jc w:val="both"/>
    </w:pPr>
    <w:r>
      <w:rPr>
        <w:rFonts w:hint="eastAsia" w:ascii="仿宋" w:hAnsi="仿宋" w:eastAsia="仿宋"/>
        <w:sz w:val="21"/>
        <w:szCs w:val="21"/>
        <w:lang w:eastAsia="zh-CN"/>
      </w:rPr>
      <w:t>重庆龙锐工程咨询有限公司</w:t>
    </w:r>
    <w:r>
      <w:rPr>
        <w:rFonts w:hint="eastAsia" w:ascii="仿宋" w:hAnsi="仿宋" w:eastAsia="仿宋"/>
        <w:sz w:val="21"/>
        <w:szCs w:val="21"/>
      </w:rPr>
      <w:t xml:space="preserve">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58EEC">
    <w:pPr>
      <w:pStyle w:val="36"/>
      <w:jc w:val="both"/>
      <w:rPr>
        <w:rFonts w:ascii="仿宋" w:hAnsi="仿宋" w:eastAsia="仿宋"/>
        <w:sz w:val="21"/>
        <w:szCs w:val="21"/>
      </w:rPr>
    </w:pPr>
  </w:p>
  <w:p w14:paraId="5ADD15F8">
    <w:pPr>
      <w:pStyle w:val="36"/>
      <w:jc w:val="both"/>
    </w:pPr>
    <w:r>
      <w:rPr>
        <w:rFonts w:hint="eastAsia" w:ascii="仿宋" w:hAnsi="仿宋" w:eastAsia="仿宋"/>
        <w:sz w:val="21"/>
        <w:szCs w:val="21"/>
        <w:lang w:eastAsia="zh-CN"/>
      </w:rPr>
      <w:t>重庆龙锐工程咨询有限公司</w:t>
    </w:r>
    <w:r>
      <w:rPr>
        <w:rFonts w:hint="eastAsia" w:ascii="仿宋" w:hAnsi="仿宋" w:eastAsia="仿宋"/>
        <w:sz w:val="21"/>
        <w:szCs w:val="21"/>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5A19F">
    <w:pPr>
      <w:pStyle w:val="36"/>
      <w:jc w:val="both"/>
      <w:rPr>
        <w:rFonts w:ascii="宋体" w:hAnsi="宋体" w:cs="宋体"/>
        <w:sz w:val="21"/>
        <w:szCs w:val="21"/>
      </w:rPr>
    </w:pPr>
    <w:r>
      <w:rPr>
        <w:rFonts w:hint="eastAsia" w:ascii="宋体" w:hAnsi="宋体" w:cs="宋体"/>
        <w:sz w:val="21"/>
        <w:szCs w:val="21"/>
        <w:lang w:eastAsia="zh-CN"/>
      </w:rPr>
      <w:t>重庆龙锐工程咨询有限公司</w:t>
    </w:r>
    <w:r>
      <w:rPr>
        <w:rFonts w:hint="eastAsia" w:ascii="宋体" w:hAnsi="宋体" w:cs="宋体"/>
        <w:sz w:val="21"/>
        <w:szCs w:val="21"/>
      </w:rPr>
      <w:t xml:space="preserve">    </w:t>
    </w:r>
    <w:r>
      <w:rPr>
        <w:rFonts w:hint="eastAsia" w:ascii="方正仿宋_GBK" w:eastAsia="方正仿宋_GBK"/>
        <w:sz w:val="21"/>
        <w:szCs w:val="21"/>
      </w:rPr>
      <w:t xml:space="preserve">                                           </w:t>
    </w:r>
    <w:r>
      <w:rPr>
        <w:rFonts w:hint="eastAsia" w:ascii="宋体" w:hAnsi="宋体" w:cs="宋体"/>
        <w:sz w:val="21"/>
        <w:szCs w:val="21"/>
      </w:rPr>
      <w:t xml:space="preserve">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0BA21">
    <w:pPr>
      <w:pStyle w:val="36"/>
      <w:jc w:val="both"/>
      <w:rPr>
        <w:rFonts w:ascii="宋体" w:hAnsi="宋体" w:cs="宋体"/>
        <w:sz w:val="21"/>
        <w:szCs w:val="21"/>
      </w:rPr>
    </w:pPr>
    <w:r>
      <w:rPr>
        <w:rFonts w:hint="eastAsia" w:ascii="宋体" w:hAnsi="宋体" w:cs="宋体"/>
        <w:sz w:val="21"/>
        <w:szCs w:val="21"/>
        <w:lang w:eastAsia="zh-CN"/>
      </w:rPr>
      <w:t>重庆龙锐工程咨询有限公司</w:t>
    </w:r>
    <w:r>
      <w:rPr>
        <w:rFonts w:hint="eastAsia" w:ascii="宋体" w:hAnsi="宋体" w:cs="宋体"/>
        <w:sz w:val="21"/>
        <w:szCs w:val="21"/>
      </w:rPr>
      <w:t xml:space="preserve">                                                  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0AB3E">
    <w:pPr>
      <w:pStyle w:val="36"/>
      <w:jc w:val="both"/>
      <w:rPr>
        <w:rFonts w:ascii="仿宋" w:hAnsi="仿宋" w:eastAsia="仿宋"/>
        <w:sz w:val="21"/>
        <w:szCs w:val="21"/>
      </w:rPr>
    </w:pPr>
    <w:r>
      <w:rPr>
        <w:rFonts w:hint="eastAsia" w:ascii="仿宋" w:hAnsi="仿宋" w:eastAsia="仿宋"/>
        <w:sz w:val="21"/>
        <w:szCs w:val="21"/>
        <w:lang w:eastAsia="zh-CN"/>
      </w:rPr>
      <w:t>重庆龙锐工程咨询有限公司</w:t>
    </w:r>
    <w:r>
      <w:rPr>
        <w:rFonts w:hint="eastAsia" w:ascii="仿宋" w:hAnsi="仿宋" w:eastAsia="仿宋"/>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BDC7B3"/>
    <w:multiLevelType w:val="singleLevel"/>
    <w:tmpl w:val="C0BDC7B3"/>
    <w:lvl w:ilvl="0" w:tentative="0">
      <w:start w:val="1"/>
      <w:numFmt w:val="decimal"/>
      <w:suff w:val="nothing"/>
      <w:lvlText w:val="（%1）"/>
      <w:lvlJc w:val="left"/>
    </w:lvl>
  </w:abstractNum>
  <w:abstractNum w:abstractNumId="1">
    <w:nsid w:val="D1A00428"/>
    <w:multiLevelType w:val="singleLevel"/>
    <w:tmpl w:val="D1A00428"/>
    <w:lvl w:ilvl="0" w:tentative="0">
      <w:start w:val="2"/>
      <w:numFmt w:val="chineseCounting"/>
      <w:suff w:val="space"/>
      <w:lvlText w:val="第%1篇"/>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2N2RlNDhjOTUxMjliOWUzYTY3Y2EzZmI1OWQ1ZDkifQ=="/>
  </w:docVars>
  <w:rsids>
    <w:rsidRoot w:val="00172A27"/>
    <w:rsid w:val="000120A2"/>
    <w:rsid w:val="00030C5A"/>
    <w:rsid w:val="000566A1"/>
    <w:rsid w:val="000739C8"/>
    <w:rsid w:val="0008423B"/>
    <w:rsid w:val="0008708B"/>
    <w:rsid w:val="000B68AA"/>
    <w:rsid w:val="000D3C74"/>
    <w:rsid w:val="000D500B"/>
    <w:rsid w:val="000F126B"/>
    <w:rsid w:val="000F1F13"/>
    <w:rsid w:val="0011260F"/>
    <w:rsid w:val="0013562B"/>
    <w:rsid w:val="00137850"/>
    <w:rsid w:val="00172A27"/>
    <w:rsid w:val="0018056A"/>
    <w:rsid w:val="001978C8"/>
    <w:rsid w:val="001A0223"/>
    <w:rsid w:val="001B56BE"/>
    <w:rsid w:val="001C6FC4"/>
    <w:rsid w:val="001E7D04"/>
    <w:rsid w:val="001F33D4"/>
    <w:rsid w:val="00236038"/>
    <w:rsid w:val="00237493"/>
    <w:rsid w:val="002460FA"/>
    <w:rsid w:val="00252953"/>
    <w:rsid w:val="00256C73"/>
    <w:rsid w:val="00295CDD"/>
    <w:rsid w:val="002A4EED"/>
    <w:rsid w:val="002C369E"/>
    <w:rsid w:val="002C5DB9"/>
    <w:rsid w:val="002E6C3D"/>
    <w:rsid w:val="00304137"/>
    <w:rsid w:val="00330D6D"/>
    <w:rsid w:val="00333FEB"/>
    <w:rsid w:val="00346BD3"/>
    <w:rsid w:val="00355721"/>
    <w:rsid w:val="00357435"/>
    <w:rsid w:val="00376217"/>
    <w:rsid w:val="00382A07"/>
    <w:rsid w:val="003867F1"/>
    <w:rsid w:val="0040020E"/>
    <w:rsid w:val="00422B5B"/>
    <w:rsid w:val="00442827"/>
    <w:rsid w:val="004458F2"/>
    <w:rsid w:val="00450D61"/>
    <w:rsid w:val="0045743C"/>
    <w:rsid w:val="0046590E"/>
    <w:rsid w:val="00470508"/>
    <w:rsid w:val="00475065"/>
    <w:rsid w:val="00481305"/>
    <w:rsid w:val="0048429A"/>
    <w:rsid w:val="004904ED"/>
    <w:rsid w:val="004C1DA1"/>
    <w:rsid w:val="004C1EC4"/>
    <w:rsid w:val="004D1A39"/>
    <w:rsid w:val="004D556F"/>
    <w:rsid w:val="004E266F"/>
    <w:rsid w:val="004E747D"/>
    <w:rsid w:val="005452D4"/>
    <w:rsid w:val="00550B4B"/>
    <w:rsid w:val="0055272A"/>
    <w:rsid w:val="0056303B"/>
    <w:rsid w:val="00563E4E"/>
    <w:rsid w:val="00564C86"/>
    <w:rsid w:val="00573AF1"/>
    <w:rsid w:val="00582582"/>
    <w:rsid w:val="005838E6"/>
    <w:rsid w:val="005A14C0"/>
    <w:rsid w:val="005C771B"/>
    <w:rsid w:val="005F1ABB"/>
    <w:rsid w:val="006051BD"/>
    <w:rsid w:val="006064F0"/>
    <w:rsid w:val="00606741"/>
    <w:rsid w:val="0064424F"/>
    <w:rsid w:val="00650358"/>
    <w:rsid w:val="00673E34"/>
    <w:rsid w:val="0068600F"/>
    <w:rsid w:val="00690DF6"/>
    <w:rsid w:val="0069545E"/>
    <w:rsid w:val="006A2D6E"/>
    <w:rsid w:val="006E0898"/>
    <w:rsid w:val="006E5BAF"/>
    <w:rsid w:val="006F3086"/>
    <w:rsid w:val="00734493"/>
    <w:rsid w:val="00781C91"/>
    <w:rsid w:val="00782C2F"/>
    <w:rsid w:val="00792144"/>
    <w:rsid w:val="007A72B9"/>
    <w:rsid w:val="007D21A6"/>
    <w:rsid w:val="007D333F"/>
    <w:rsid w:val="00802DF4"/>
    <w:rsid w:val="00846E9E"/>
    <w:rsid w:val="00871DF8"/>
    <w:rsid w:val="0087444B"/>
    <w:rsid w:val="00877B8A"/>
    <w:rsid w:val="008B0DC5"/>
    <w:rsid w:val="008B3868"/>
    <w:rsid w:val="008B5614"/>
    <w:rsid w:val="008C152F"/>
    <w:rsid w:val="008D1E0F"/>
    <w:rsid w:val="008D352F"/>
    <w:rsid w:val="008E478C"/>
    <w:rsid w:val="00904482"/>
    <w:rsid w:val="009076CC"/>
    <w:rsid w:val="00921EAA"/>
    <w:rsid w:val="00940A9B"/>
    <w:rsid w:val="00946006"/>
    <w:rsid w:val="00960C8B"/>
    <w:rsid w:val="009A7342"/>
    <w:rsid w:val="009C58E4"/>
    <w:rsid w:val="00A057D3"/>
    <w:rsid w:val="00A160E3"/>
    <w:rsid w:val="00A203D7"/>
    <w:rsid w:val="00A24653"/>
    <w:rsid w:val="00A5142C"/>
    <w:rsid w:val="00A56CB1"/>
    <w:rsid w:val="00A62046"/>
    <w:rsid w:val="00A64F7E"/>
    <w:rsid w:val="00A65F7E"/>
    <w:rsid w:val="00A86CB2"/>
    <w:rsid w:val="00A9386F"/>
    <w:rsid w:val="00AA44DE"/>
    <w:rsid w:val="00AC6B69"/>
    <w:rsid w:val="00AD0130"/>
    <w:rsid w:val="00AE6CE8"/>
    <w:rsid w:val="00AF10C6"/>
    <w:rsid w:val="00B175E9"/>
    <w:rsid w:val="00B314CC"/>
    <w:rsid w:val="00B435D7"/>
    <w:rsid w:val="00B76948"/>
    <w:rsid w:val="00B81AE9"/>
    <w:rsid w:val="00B93997"/>
    <w:rsid w:val="00BB6450"/>
    <w:rsid w:val="00BB7457"/>
    <w:rsid w:val="00BC23B1"/>
    <w:rsid w:val="00BE60C2"/>
    <w:rsid w:val="00BF0051"/>
    <w:rsid w:val="00BF4EB5"/>
    <w:rsid w:val="00C002B8"/>
    <w:rsid w:val="00C13205"/>
    <w:rsid w:val="00C26D86"/>
    <w:rsid w:val="00C45D7A"/>
    <w:rsid w:val="00C85C01"/>
    <w:rsid w:val="00C952A2"/>
    <w:rsid w:val="00CC4113"/>
    <w:rsid w:val="00CD4EB7"/>
    <w:rsid w:val="00CE166B"/>
    <w:rsid w:val="00D10EED"/>
    <w:rsid w:val="00D2538D"/>
    <w:rsid w:val="00D4258A"/>
    <w:rsid w:val="00D437B3"/>
    <w:rsid w:val="00D47C1C"/>
    <w:rsid w:val="00D7453C"/>
    <w:rsid w:val="00DB167F"/>
    <w:rsid w:val="00DB4B49"/>
    <w:rsid w:val="00DB6218"/>
    <w:rsid w:val="00DB6B3A"/>
    <w:rsid w:val="00DE42C1"/>
    <w:rsid w:val="00DE46DF"/>
    <w:rsid w:val="00DF55F1"/>
    <w:rsid w:val="00DF7B2D"/>
    <w:rsid w:val="00E0279E"/>
    <w:rsid w:val="00E07730"/>
    <w:rsid w:val="00E14AAC"/>
    <w:rsid w:val="00E16BC2"/>
    <w:rsid w:val="00E223C0"/>
    <w:rsid w:val="00E22D8F"/>
    <w:rsid w:val="00E30E26"/>
    <w:rsid w:val="00E5183C"/>
    <w:rsid w:val="00E76CBA"/>
    <w:rsid w:val="00E959FC"/>
    <w:rsid w:val="00EA31BE"/>
    <w:rsid w:val="00EB2496"/>
    <w:rsid w:val="00ED1913"/>
    <w:rsid w:val="00ED7FEF"/>
    <w:rsid w:val="00EE6EC1"/>
    <w:rsid w:val="00EF30ED"/>
    <w:rsid w:val="00F06EAA"/>
    <w:rsid w:val="00F30869"/>
    <w:rsid w:val="00F44428"/>
    <w:rsid w:val="00F44D1F"/>
    <w:rsid w:val="00F512D2"/>
    <w:rsid w:val="00F543B8"/>
    <w:rsid w:val="00F616BA"/>
    <w:rsid w:val="00F74EBD"/>
    <w:rsid w:val="00FD181D"/>
    <w:rsid w:val="00FD2920"/>
    <w:rsid w:val="00FE3B26"/>
    <w:rsid w:val="00FE403F"/>
    <w:rsid w:val="00FF3CDE"/>
    <w:rsid w:val="01122D3A"/>
    <w:rsid w:val="012A7464"/>
    <w:rsid w:val="0160084E"/>
    <w:rsid w:val="01644C1C"/>
    <w:rsid w:val="016F7E96"/>
    <w:rsid w:val="01710365"/>
    <w:rsid w:val="017443D9"/>
    <w:rsid w:val="017B5688"/>
    <w:rsid w:val="019B55D1"/>
    <w:rsid w:val="019D1959"/>
    <w:rsid w:val="019F03BC"/>
    <w:rsid w:val="01B12E58"/>
    <w:rsid w:val="01C20BC1"/>
    <w:rsid w:val="01D63375"/>
    <w:rsid w:val="01DE1773"/>
    <w:rsid w:val="01E46D89"/>
    <w:rsid w:val="01EC3E90"/>
    <w:rsid w:val="01ED4746"/>
    <w:rsid w:val="01FF7EAF"/>
    <w:rsid w:val="02027657"/>
    <w:rsid w:val="02111D80"/>
    <w:rsid w:val="0213623D"/>
    <w:rsid w:val="02181129"/>
    <w:rsid w:val="023B0973"/>
    <w:rsid w:val="0241242E"/>
    <w:rsid w:val="026F1557"/>
    <w:rsid w:val="02716E90"/>
    <w:rsid w:val="02811BAD"/>
    <w:rsid w:val="02853582"/>
    <w:rsid w:val="029321C1"/>
    <w:rsid w:val="02954528"/>
    <w:rsid w:val="029C56A3"/>
    <w:rsid w:val="02A3744C"/>
    <w:rsid w:val="02A429BD"/>
    <w:rsid w:val="02AC7DD9"/>
    <w:rsid w:val="02BD3B45"/>
    <w:rsid w:val="02D17D09"/>
    <w:rsid w:val="02F86670"/>
    <w:rsid w:val="0309061F"/>
    <w:rsid w:val="032D0373"/>
    <w:rsid w:val="03346E3D"/>
    <w:rsid w:val="033E071B"/>
    <w:rsid w:val="03407D3F"/>
    <w:rsid w:val="03457CFC"/>
    <w:rsid w:val="03663920"/>
    <w:rsid w:val="038553B5"/>
    <w:rsid w:val="03991DF6"/>
    <w:rsid w:val="03AE694C"/>
    <w:rsid w:val="03C9676C"/>
    <w:rsid w:val="03CC7C7C"/>
    <w:rsid w:val="03DB29EC"/>
    <w:rsid w:val="03F36199"/>
    <w:rsid w:val="03F37758"/>
    <w:rsid w:val="03FB0B7A"/>
    <w:rsid w:val="03FE7EAB"/>
    <w:rsid w:val="040B46B3"/>
    <w:rsid w:val="041F679F"/>
    <w:rsid w:val="04201766"/>
    <w:rsid w:val="045A2BC2"/>
    <w:rsid w:val="04603111"/>
    <w:rsid w:val="04722D72"/>
    <w:rsid w:val="047B6613"/>
    <w:rsid w:val="048B5BE2"/>
    <w:rsid w:val="04AA42A1"/>
    <w:rsid w:val="04B2316F"/>
    <w:rsid w:val="04BD38C2"/>
    <w:rsid w:val="05046E9E"/>
    <w:rsid w:val="053563BD"/>
    <w:rsid w:val="053E77AB"/>
    <w:rsid w:val="05522FF8"/>
    <w:rsid w:val="05676809"/>
    <w:rsid w:val="05681A5A"/>
    <w:rsid w:val="05685F23"/>
    <w:rsid w:val="05726DA2"/>
    <w:rsid w:val="05856AD5"/>
    <w:rsid w:val="058708BB"/>
    <w:rsid w:val="05A125FF"/>
    <w:rsid w:val="05CD222A"/>
    <w:rsid w:val="05E173A0"/>
    <w:rsid w:val="05EF03F3"/>
    <w:rsid w:val="05EF2449"/>
    <w:rsid w:val="05F36FE1"/>
    <w:rsid w:val="05F41A51"/>
    <w:rsid w:val="062A62FB"/>
    <w:rsid w:val="06323A19"/>
    <w:rsid w:val="06475B39"/>
    <w:rsid w:val="065974FD"/>
    <w:rsid w:val="066D0F2F"/>
    <w:rsid w:val="066F0F20"/>
    <w:rsid w:val="06974D37"/>
    <w:rsid w:val="069963F4"/>
    <w:rsid w:val="069F24D4"/>
    <w:rsid w:val="06CC6E45"/>
    <w:rsid w:val="06D575E9"/>
    <w:rsid w:val="06DC4FC4"/>
    <w:rsid w:val="06E33486"/>
    <w:rsid w:val="06E91F0F"/>
    <w:rsid w:val="06F30A54"/>
    <w:rsid w:val="06F85085"/>
    <w:rsid w:val="07091A73"/>
    <w:rsid w:val="073C1416"/>
    <w:rsid w:val="073E1381"/>
    <w:rsid w:val="0746238C"/>
    <w:rsid w:val="074825C3"/>
    <w:rsid w:val="07644CF8"/>
    <w:rsid w:val="077E0B02"/>
    <w:rsid w:val="077E59DE"/>
    <w:rsid w:val="07911761"/>
    <w:rsid w:val="079E1CC8"/>
    <w:rsid w:val="07A9580E"/>
    <w:rsid w:val="07B33180"/>
    <w:rsid w:val="07C2410E"/>
    <w:rsid w:val="07CD02C0"/>
    <w:rsid w:val="07D01B5E"/>
    <w:rsid w:val="07D23B28"/>
    <w:rsid w:val="07DC741A"/>
    <w:rsid w:val="07DF027A"/>
    <w:rsid w:val="0803722C"/>
    <w:rsid w:val="08265F2F"/>
    <w:rsid w:val="082779D0"/>
    <w:rsid w:val="084D655E"/>
    <w:rsid w:val="08517143"/>
    <w:rsid w:val="08677CDA"/>
    <w:rsid w:val="08682CA6"/>
    <w:rsid w:val="08752E31"/>
    <w:rsid w:val="087E4495"/>
    <w:rsid w:val="088E49A5"/>
    <w:rsid w:val="08966904"/>
    <w:rsid w:val="08AA23AF"/>
    <w:rsid w:val="08BF4B31"/>
    <w:rsid w:val="08C22108"/>
    <w:rsid w:val="08CC0577"/>
    <w:rsid w:val="08CD4642"/>
    <w:rsid w:val="08F31FA8"/>
    <w:rsid w:val="09026204"/>
    <w:rsid w:val="091D145D"/>
    <w:rsid w:val="092211B5"/>
    <w:rsid w:val="093C4D3E"/>
    <w:rsid w:val="09517944"/>
    <w:rsid w:val="096D3B08"/>
    <w:rsid w:val="097A6225"/>
    <w:rsid w:val="09864881"/>
    <w:rsid w:val="099C43EE"/>
    <w:rsid w:val="09A25DF9"/>
    <w:rsid w:val="09AC314B"/>
    <w:rsid w:val="09B0594A"/>
    <w:rsid w:val="09B80559"/>
    <w:rsid w:val="09E366F4"/>
    <w:rsid w:val="09EB0ED1"/>
    <w:rsid w:val="09F85E2D"/>
    <w:rsid w:val="09FE29DD"/>
    <w:rsid w:val="0A140792"/>
    <w:rsid w:val="0A2F7010"/>
    <w:rsid w:val="0A340F11"/>
    <w:rsid w:val="0A465AD7"/>
    <w:rsid w:val="0A7121DA"/>
    <w:rsid w:val="0A793A2E"/>
    <w:rsid w:val="0A833421"/>
    <w:rsid w:val="0A884A5E"/>
    <w:rsid w:val="0A8C7FBE"/>
    <w:rsid w:val="0A8F0952"/>
    <w:rsid w:val="0A8F6C9F"/>
    <w:rsid w:val="0A98404C"/>
    <w:rsid w:val="0A9F2459"/>
    <w:rsid w:val="0AB22970"/>
    <w:rsid w:val="0AC959DA"/>
    <w:rsid w:val="0AF816C4"/>
    <w:rsid w:val="0B040301"/>
    <w:rsid w:val="0B1968C3"/>
    <w:rsid w:val="0B494101"/>
    <w:rsid w:val="0B4A3AFE"/>
    <w:rsid w:val="0B684B4F"/>
    <w:rsid w:val="0B777D29"/>
    <w:rsid w:val="0B900784"/>
    <w:rsid w:val="0B9F6C4F"/>
    <w:rsid w:val="0BAB3064"/>
    <w:rsid w:val="0BB302DA"/>
    <w:rsid w:val="0BB923D0"/>
    <w:rsid w:val="0BC11EE9"/>
    <w:rsid w:val="0BC126B3"/>
    <w:rsid w:val="0BD51A2C"/>
    <w:rsid w:val="0BDE2A9B"/>
    <w:rsid w:val="0BEA5720"/>
    <w:rsid w:val="0BEC5E46"/>
    <w:rsid w:val="0BF57904"/>
    <w:rsid w:val="0BFC1B7A"/>
    <w:rsid w:val="0BFF7D26"/>
    <w:rsid w:val="0C0624F3"/>
    <w:rsid w:val="0C143188"/>
    <w:rsid w:val="0C144DE8"/>
    <w:rsid w:val="0C4867FB"/>
    <w:rsid w:val="0C654F6B"/>
    <w:rsid w:val="0C6D2071"/>
    <w:rsid w:val="0C6F0CD2"/>
    <w:rsid w:val="0C767178"/>
    <w:rsid w:val="0C811298"/>
    <w:rsid w:val="0C914FCC"/>
    <w:rsid w:val="0C937D2A"/>
    <w:rsid w:val="0CAE5598"/>
    <w:rsid w:val="0CB54492"/>
    <w:rsid w:val="0CBB42C5"/>
    <w:rsid w:val="0CCE3126"/>
    <w:rsid w:val="0CE1432D"/>
    <w:rsid w:val="0CF06F2A"/>
    <w:rsid w:val="0CFE294D"/>
    <w:rsid w:val="0D1962EE"/>
    <w:rsid w:val="0D2B56A9"/>
    <w:rsid w:val="0D3E3574"/>
    <w:rsid w:val="0D551D79"/>
    <w:rsid w:val="0D712717"/>
    <w:rsid w:val="0D7567FF"/>
    <w:rsid w:val="0D766835"/>
    <w:rsid w:val="0D7758B2"/>
    <w:rsid w:val="0D7A74D8"/>
    <w:rsid w:val="0D7C07BE"/>
    <w:rsid w:val="0D852AF6"/>
    <w:rsid w:val="0D862816"/>
    <w:rsid w:val="0D914897"/>
    <w:rsid w:val="0D92543C"/>
    <w:rsid w:val="0D930889"/>
    <w:rsid w:val="0D951880"/>
    <w:rsid w:val="0D986DC4"/>
    <w:rsid w:val="0DA8437F"/>
    <w:rsid w:val="0DAD4E1B"/>
    <w:rsid w:val="0DC13155"/>
    <w:rsid w:val="0DC904E4"/>
    <w:rsid w:val="0DCD2DC7"/>
    <w:rsid w:val="0DD71C05"/>
    <w:rsid w:val="0DD759F4"/>
    <w:rsid w:val="0DE00C0B"/>
    <w:rsid w:val="0DE42C75"/>
    <w:rsid w:val="0DF875DC"/>
    <w:rsid w:val="0DF94DB5"/>
    <w:rsid w:val="0E046A11"/>
    <w:rsid w:val="0E060087"/>
    <w:rsid w:val="0E172295"/>
    <w:rsid w:val="0E1D25CB"/>
    <w:rsid w:val="0E252709"/>
    <w:rsid w:val="0E2C6D18"/>
    <w:rsid w:val="0E300D44"/>
    <w:rsid w:val="0E7E40C2"/>
    <w:rsid w:val="0E7F7A41"/>
    <w:rsid w:val="0ECA08C4"/>
    <w:rsid w:val="0ECC7CCA"/>
    <w:rsid w:val="0ECF0DC1"/>
    <w:rsid w:val="0EF05683"/>
    <w:rsid w:val="0F0916B4"/>
    <w:rsid w:val="0F102926"/>
    <w:rsid w:val="0F182768"/>
    <w:rsid w:val="0F2D68E9"/>
    <w:rsid w:val="0F3160CD"/>
    <w:rsid w:val="0F5B4A89"/>
    <w:rsid w:val="0F5E2190"/>
    <w:rsid w:val="0F6A0D0D"/>
    <w:rsid w:val="0F6D28A4"/>
    <w:rsid w:val="0F8A6A96"/>
    <w:rsid w:val="0F911FA0"/>
    <w:rsid w:val="0F9526BB"/>
    <w:rsid w:val="0FA91498"/>
    <w:rsid w:val="0FB84AA1"/>
    <w:rsid w:val="0FF860F6"/>
    <w:rsid w:val="100E51E0"/>
    <w:rsid w:val="10212377"/>
    <w:rsid w:val="10353C8C"/>
    <w:rsid w:val="10392892"/>
    <w:rsid w:val="10587BA8"/>
    <w:rsid w:val="105C4535"/>
    <w:rsid w:val="105D7C7D"/>
    <w:rsid w:val="109A0FCA"/>
    <w:rsid w:val="10A218E0"/>
    <w:rsid w:val="10B477B0"/>
    <w:rsid w:val="10CA5CE4"/>
    <w:rsid w:val="10CB3C62"/>
    <w:rsid w:val="10D25671"/>
    <w:rsid w:val="10DC52BB"/>
    <w:rsid w:val="10EC4AC5"/>
    <w:rsid w:val="10F70FED"/>
    <w:rsid w:val="110A7E8F"/>
    <w:rsid w:val="110E3E23"/>
    <w:rsid w:val="112C386F"/>
    <w:rsid w:val="115069B4"/>
    <w:rsid w:val="115F4C11"/>
    <w:rsid w:val="11724107"/>
    <w:rsid w:val="11741C87"/>
    <w:rsid w:val="117B3BCF"/>
    <w:rsid w:val="119E3600"/>
    <w:rsid w:val="11AC53EA"/>
    <w:rsid w:val="11C0223B"/>
    <w:rsid w:val="11D37E37"/>
    <w:rsid w:val="11F71C03"/>
    <w:rsid w:val="12280F14"/>
    <w:rsid w:val="123A29F6"/>
    <w:rsid w:val="12482604"/>
    <w:rsid w:val="125A3098"/>
    <w:rsid w:val="127E3EAB"/>
    <w:rsid w:val="12957AAF"/>
    <w:rsid w:val="12A8795F"/>
    <w:rsid w:val="12C00BB8"/>
    <w:rsid w:val="12CA3D79"/>
    <w:rsid w:val="12D00551"/>
    <w:rsid w:val="12D03193"/>
    <w:rsid w:val="12D26571"/>
    <w:rsid w:val="12D64474"/>
    <w:rsid w:val="12D757F2"/>
    <w:rsid w:val="12DA4388"/>
    <w:rsid w:val="12E12E71"/>
    <w:rsid w:val="12E442B7"/>
    <w:rsid w:val="12FD414F"/>
    <w:rsid w:val="130D6E0C"/>
    <w:rsid w:val="13101EF5"/>
    <w:rsid w:val="132D3965"/>
    <w:rsid w:val="134A17F3"/>
    <w:rsid w:val="134D635B"/>
    <w:rsid w:val="137A43BD"/>
    <w:rsid w:val="137D2B9A"/>
    <w:rsid w:val="1383225E"/>
    <w:rsid w:val="13915246"/>
    <w:rsid w:val="13963C5C"/>
    <w:rsid w:val="13A138F5"/>
    <w:rsid w:val="13AA75CC"/>
    <w:rsid w:val="13AC347F"/>
    <w:rsid w:val="13C70DD3"/>
    <w:rsid w:val="13CE50AA"/>
    <w:rsid w:val="13D45240"/>
    <w:rsid w:val="13E26AEA"/>
    <w:rsid w:val="13FB7B3E"/>
    <w:rsid w:val="141352AC"/>
    <w:rsid w:val="141564A3"/>
    <w:rsid w:val="14213DDE"/>
    <w:rsid w:val="14227F10"/>
    <w:rsid w:val="1426739E"/>
    <w:rsid w:val="144D6EBF"/>
    <w:rsid w:val="145A66DC"/>
    <w:rsid w:val="147F686F"/>
    <w:rsid w:val="14972381"/>
    <w:rsid w:val="14A63623"/>
    <w:rsid w:val="14A960ED"/>
    <w:rsid w:val="14D111CA"/>
    <w:rsid w:val="14FD7172"/>
    <w:rsid w:val="150115A9"/>
    <w:rsid w:val="152621DE"/>
    <w:rsid w:val="15273705"/>
    <w:rsid w:val="1553683E"/>
    <w:rsid w:val="15712BD2"/>
    <w:rsid w:val="15741E6C"/>
    <w:rsid w:val="15826839"/>
    <w:rsid w:val="158D362A"/>
    <w:rsid w:val="15AA505D"/>
    <w:rsid w:val="15B63683"/>
    <w:rsid w:val="15CA3338"/>
    <w:rsid w:val="15E409F3"/>
    <w:rsid w:val="160C4FAC"/>
    <w:rsid w:val="16182AF5"/>
    <w:rsid w:val="161A5018"/>
    <w:rsid w:val="161B48EC"/>
    <w:rsid w:val="161F43DC"/>
    <w:rsid w:val="16273400"/>
    <w:rsid w:val="16333A59"/>
    <w:rsid w:val="165351B0"/>
    <w:rsid w:val="165A5414"/>
    <w:rsid w:val="165D78E5"/>
    <w:rsid w:val="166B0912"/>
    <w:rsid w:val="16713374"/>
    <w:rsid w:val="16AA639C"/>
    <w:rsid w:val="16AF5E3C"/>
    <w:rsid w:val="16B94831"/>
    <w:rsid w:val="16CE753C"/>
    <w:rsid w:val="16E11DAC"/>
    <w:rsid w:val="16E233EE"/>
    <w:rsid w:val="16F52FA0"/>
    <w:rsid w:val="170D76B7"/>
    <w:rsid w:val="1715252F"/>
    <w:rsid w:val="1739317C"/>
    <w:rsid w:val="17397720"/>
    <w:rsid w:val="17466FDE"/>
    <w:rsid w:val="174C7883"/>
    <w:rsid w:val="17882BA0"/>
    <w:rsid w:val="178D5376"/>
    <w:rsid w:val="17A415E0"/>
    <w:rsid w:val="17B24926"/>
    <w:rsid w:val="17D9163C"/>
    <w:rsid w:val="17EC0D07"/>
    <w:rsid w:val="17F2157E"/>
    <w:rsid w:val="18382CA8"/>
    <w:rsid w:val="184D5BF1"/>
    <w:rsid w:val="18516BBD"/>
    <w:rsid w:val="18575D38"/>
    <w:rsid w:val="185F31B6"/>
    <w:rsid w:val="18674E76"/>
    <w:rsid w:val="1868279A"/>
    <w:rsid w:val="186A617B"/>
    <w:rsid w:val="186F26E9"/>
    <w:rsid w:val="187327BD"/>
    <w:rsid w:val="187B6D1D"/>
    <w:rsid w:val="18985E50"/>
    <w:rsid w:val="189A2440"/>
    <w:rsid w:val="18A55CE3"/>
    <w:rsid w:val="18C96881"/>
    <w:rsid w:val="18D12DF5"/>
    <w:rsid w:val="18D3325C"/>
    <w:rsid w:val="18ED5880"/>
    <w:rsid w:val="190206B8"/>
    <w:rsid w:val="19127222"/>
    <w:rsid w:val="191F64A1"/>
    <w:rsid w:val="195D501F"/>
    <w:rsid w:val="19707CF9"/>
    <w:rsid w:val="197377E3"/>
    <w:rsid w:val="198D4A9F"/>
    <w:rsid w:val="199307E0"/>
    <w:rsid w:val="19A96A13"/>
    <w:rsid w:val="19D81CA1"/>
    <w:rsid w:val="19E91876"/>
    <w:rsid w:val="19F851C2"/>
    <w:rsid w:val="1A15357B"/>
    <w:rsid w:val="1A282DDA"/>
    <w:rsid w:val="1A2B301F"/>
    <w:rsid w:val="1A2B7454"/>
    <w:rsid w:val="1A43273A"/>
    <w:rsid w:val="1A522C57"/>
    <w:rsid w:val="1A82798C"/>
    <w:rsid w:val="1A8C55EC"/>
    <w:rsid w:val="1A930EF5"/>
    <w:rsid w:val="1A9354DB"/>
    <w:rsid w:val="1AAC0209"/>
    <w:rsid w:val="1AE238A6"/>
    <w:rsid w:val="1AED2AF7"/>
    <w:rsid w:val="1AED4AA9"/>
    <w:rsid w:val="1AF370ED"/>
    <w:rsid w:val="1AFE5477"/>
    <w:rsid w:val="1B0C559F"/>
    <w:rsid w:val="1B121581"/>
    <w:rsid w:val="1B2D5678"/>
    <w:rsid w:val="1B3D4B35"/>
    <w:rsid w:val="1B4D19EC"/>
    <w:rsid w:val="1B5F527B"/>
    <w:rsid w:val="1B601C65"/>
    <w:rsid w:val="1B631991"/>
    <w:rsid w:val="1B662AAD"/>
    <w:rsid w:val="1B9403E7"/>
    <w:rsid w:val="1B98469D"/>
    <w:rsid w:val="1B9C027D"/>
    <w:rsid w:val="1BA84479"/>
    <w:rsid w:val="1BAA2ED2"/>
    <w:rsid w:val="1BB02AA0"/>
    <w:rsid w:val="1BB11FF0"/>
    <w:rsid w:val="1BC814F3"/>
    <w:rsid w:val="1BCD4A66"/>
    <w:rsid w:val="1BD6553D"/>
    <w:rsid w:val="1BDB2164"/>
    <w:rsid w:val="1BDE2883"/>
    <w:rsid w:val="1BE95E1D"/>
    <w:rsid w:val="1BF14125"/>
    <w:rsid w:val="1C004178"/>
    <w:rsid w:val="1C01076B"/>
    <w:rsid w:val="1C034AE3"/>
    <w:rsid w:val="1C1C4F1A"/>
    <w:rsid w:val="1C1E6EE4"/>
    <w:rsid w:val="1C397355"/>
    <w:rsid w:val="1C3A3714"/>
    <w:rsid w:val="1C5D11C3"/>
    <w:rsid w:val="1C744D56"/>
    <w:rsid w:val="1C7D4CB4"/>
    <w:rsid w:val="1C844F99"/>
    <w:rsid w:val="1CF10155"/>
    <w:rsid w:val="1D014A37"/>
    <w:rsid w:val="1D175E0D"/>
    <w:rsid w:val="1D4407E5"/>
    <w:rsid w:val="1D70551D"/>
    <w:rsid w:val="1D826775"/>
    <w:rsid w:val="1D954E62"/>
    <w:rsid w:val="1D976F4E"/>
    <w:rsid w:val="1D981CC2"/>
    <w:rsid w:val="1DBB6019"/>
    <w:rsid w:val="1DC01597"/>
    <w:rsid w:val="1DCF0496"/>
    <w:rsid w:val="1DD937A9"/>
    <w:rsid w:val="1DDD5FDB"/>
    <w:rsid w:val="1DDF2596"/>
    <w:rsid w:val="1DF728C4"/>
    <w:rsid w:val="1DF95513"/>
    <w:rsid w:val="1E253E9A"/>
    <w:rsid w:val="1E4E1D03"/>
    <w:rsid w:val="1E4F1475"/>
    <w:rsid w:val="1E622558"/>
    <w:rsid w:val="1E6351D9"/>
    <w:rsid w:val="1E882ABA"/>
    <w:rsid w:val="1E963FB8"/>
    <w:rsid w:val="1E9A4F48"/>
    <w:rsid w:val="1ED209AE"/>
    <w:rsid w:val="1EE019A3"/>
    <w:rsid w:val="1F070103"/>
    <w:rsid w:val="1F0A0BDF"/>
    <w:rsid w:val="1F51312D"/>
    <w:rsid w:val="1F980D5B"/>
    <w:rsid w:val="1FAE5D19"/>
    <w:rsid w:val="1FB06E2D"/>
    <w:rsid w:val="1FB82A1C"/>
    <w:rsid w:val="1FBC7D9F"/>
    <w:rsid w:val="1FCB0B65"/>
    <w:rsid w:val="1FCB7383"/>
    <w:rsid w:val="1FCD0A84"/>
    <w:rsid w:val="1FCD49A6"/>
    <w:rsid w:val="1FD9439E"/>
    <w:rsid w:val="1FF40126"/>
    <w:rsid w:val="2023790B"/>
    <w:rsid w:val="203D5420"/>
    <w:rsid w:val="20601879"/>
    <w:rsid w:val="2079749D"/>
    <w:rsid w:val="20B52A86"/>
    <w:rsid w:val="20BB73F7"/>
    <w:rsid w:val="20E51212"/>
    <w:rsid w:val="20EB7906"/>
    <w:rsid w:val="20EE50D7"/>
    <w:rsid w:val="20F669B0"/>
    <w:rsid w:val="20F7254C"/>
    <w:rsid w:val="2105635C"/>
    <w:rsid w:val="21102A49"/>
    <w:rsid w:val="21124499"/>
    <w:rsid w:val="21134B3E"/>
    <w:rsid w:val="21472A39"/>
    <w:rsid w:val="21617F9F"/>
    <w:rsid w:val="216B517B"/>
    <w:rsid w:val="216B6E08"/>
    <w:rsid w:val="216C5203"/>
    <w:rsid w:val="216D4A20"/>
    <w:rsid w:val="216D6770"/>
    <w:rsid w:val="21717AB6"/>
    <w:rsid w:val="217378A3"/>
    <w:rsid w:val="217E7BB1"/>
    <w:rsid w:val="21903690"/>
    <w:rsid w:val="219E2041"/>
    <w:rsid w:val="21AD399F"/>
    <w:rsid w:val="21B7404D"/>
    <w:rsid w:val="21BA6164"/>
    <w:rsid w:val="21C61BB0"/>
    <w:rsid w:val="21CC09CA"/>
    <w:rsid w:val="21DA229E"/>
    <w:rsid w:val="21DF40A1"/>
    <w:rsid w:val="22105C22"/>
    <w:rsid w:val="222F26CF"/>
    <w:rsid w:val="2233393B"/>
    <w:rsid w:val="225704F2"/>
    <w:rsid w:val="225F2408"/>
    <w:rsid w:val="226C1BBE"/>
    <w:rsid w:val="227C4964"/>
    <w:rsid w:val="227F6C94"/>
    <w:rsid w:val="228213E7"/>
    <w:rsid w:val="228B08AF"/>
    <w:rsid w:val="22A7590B"/>
    <w:rsid w:val="22AE51A6"/>
    <w:rsid w:val="22B4528F"/>
    <w:rsid w:val="22D16A5E"/>
    <w:rsid w:val="22D838CF"/>
    <w:rsid w:val="22DD5403"/>
    <w:rsid w:val="22EB141E"/>
    <w:rsid w:val="22F042F8"/>
    <w:rsid w:val="22F32E79"/>
    <w:rsid w:val="22F825DB"/>
    <w:rsid w:val="22FD20FA"/>
    <w:rsid w:val="231F77C7"/>
    <w:rsid w:val="2332720B"/>
    <w:rsid w:val="23374475"/>
    <w:rsid w:val="233B0914"/>
    <w:rsid w:val="234B4BA4"/>
    <w:rsid w:val="23592A54"/>
    <w:rsid w:val="23752C79"/>
    <w:rsid w:val="237C59BB"/>
    <w:rsid w:val="2383244E"/>
    <w:rsid w:val="23A1627E"/>
    <w:rsid w:val="23AD74CB"/>
    <w:rsid w:val="23BF2464"/>
    <w:rsid w:val="23C12F77"/>
    <w:rsid w:val="23EB3B50"/>
    <w:rsid w:val="23F3488A"/>
    <w:rsid w:val="240B057D"/>
    <w:rsid w:val="2419704D"/>
    <w:rsid w:val="24273B58"/>
    <w:rsid w:val="243B3EB7"/>
    <w:rsid w:val="24551FD1"/>
    <w:rsid w:val="2456084C"/>
    <w:rsid w:val="245C2C9F"/>
    <w:rsid w:val="246B6A3F"/>
    <w:rsid w:val="247474EF"/>
    <w:rsid w:val="24A63957"/>
    <w:rsid w:val="24BD3AED"/>
    <w:rsid w:val="24C50845"/>
    <w:rsid w:val="24C60186"/>
    <w:rsid w:val="24C6775F"/>
    <w:rsid w:val="24E02971"/>
    <w:rsid w:val="24EC4023"/>
    <w:rsid w:val="25037DCE"/>
    <w:rsid w:val="250C4825"/>
    <w:rsid w:val="251304A2"/>
    <w:rsid w:val="2513335E"/>
    <w:rsid w:val="252B7FC4"/>
    <w:rsid w:val="253966E9"/>
    <w:rsid w:val="2554099F"/>
    <w:rsid w:val="25602216"/>
    <w:rsid w:val="25675458"/>
    <w:rsid w:val="256F2A8D"/>
    <w:rsid w:val="25701C27"/>
    <w:rsid w:val="25A315A3"/>
    <w:rsid w:val="25A7235C"/>
    <w:rsid w:val="25AB5124"/>
    <w:rsid w:val="25B22AFD"/>
    <w:rsid w:val="25B406FF"/>
    <w:rsid w:val="25F628C4"/>
    <w:rsid w:val="26060955"/>
    <w:rsid w:val="261C26E6"/>
    <w:rsid w:val="261F72E0"/>
    <w:rsid w:val="26334D6D"/>
    <w:rsid w:val="2640356F"/>
    <w:rsid w:val="264C6FBD"/>
    <w:rsid w:val="264E443C"/>
    <w:rsid w:val="26767805"/>
    <w:rsid w:val="2684187D"/>
    <w:rsid w:val="269C0568"/>
    <w:rsid w:val="26C50688"/>
    <w:rsid w:val="26E5476C"/>
    <w:rsid w:val="26F942CB"/>
    <w:rsid w:val="271A6FB4"/>
    <w:rsid w:val="27205B2B"/>
    <w:rsid w:val="272A5FB2"/>
    <w:rsid w:val="273E5DB4"/>
    <w:rsid w:val="27464E08"/>
    <w:rsid w:val="275300D2"/>
    <w:rsid w:val="27554102"/>
    <w:rsid w:val="275E755E"/>
    <w:rsid w:val="2767225B"/>
    <w:rsid w:val="276830CB"/>
    <w:rsid w:val="277609EB"/>
    <w:rsid w:val="27795441"/>
    <w:rsid w:val="27AA2C77"/>
    <w:rsid w:val="27B25CEA"/>
    <w:rsid w:val="27BC40CB"/>
    <w:rsid w:val="27CA31AC"/>
    <w:rsid w:val="27D9637B"/>
    <w:rsid w:val="27E40FE2"/>
    <w:rsid w:val="280959C5"/>
    <w:rsid w:val="28123DA1"/>
    <w:rsid w:val="282835C4"/>
    <w:rsid w:val="283D0F68"/>
    <w:rsid w:val="28410F23"/>
    <w:rsid w:val="28522780"/>
    <w:rsid w:val="286A110A"/>
    <w:rsid w:val="288B25DE"/>
    <w:rsid w:val="28B409B4"/>
    <w:rsid w:val="28D73DEB"/>
    <w:rsid w:val="28F91A39"/>
    <w:rsid w:val="29051210"/>
    <w:rsid w:val="29105273"/>
    <w:rsid w:val="291A29AB"/>
    <w:rsid w:val="291D0C4F"/>
    <w:rsid w:val="29235B3A"/>
    <w:rsid w:val="294B4B4D"/>
    <w:rsid w:val="29605B23"/>
    <w:rsid w:val="29A70519"/>
    <w:rsid w:val="29B5109E"/>
    <w:rsid w:val="2A166FF5"/>
    <w:rsid w:val="2A824925"/>
    <w:rsid w:val="2A84522F"/>
    <w:rsid w:val="2AA14CA8"/>
    <w:rsid w:val="2AB033FD"/>
    <w:rsid w:val="2AC222E0"/>
    <w:rsid w:val="2AD81AEC"/>
    <w:rsid w:val="2B487332"/>
    <w:rsid w:val="2B4C581C"/>
    <w:rsid w:val="2B4E732B"/>
    <w:rsid w:val="2B590F2D"/>
    <w:rsid w:val="2B6A1916"/>
    <w:rsid w:val="2B6D7540"/>
    <w:rsid w:val="2B702AF7"/>
    <w:rsid w:val="2B82123D"/>
    <w:rsid w:val="2B832919"/>
    <w:rsid w:val="2BA63403"/>
    <w:rsid w:val="2BAE3C9C"/>
    <w:rsid w:val="2BB40375"/>
    <w:rsid w:val="2BB45DD9"/>
    <w:rsid w:val="2BB533C1"/>
    <w:rsid w:val="2BB56560"/>
    <w:rsid w:val="2BB708BD"/>
    <w:rsid w:val="2BBF7A42"/>
    <w:rsid w:val="2BCB3BBA"/>
    <w:rsid w:val="2BE7456D"/>
    <w:rsid w:val="2BE83786"/>
    <w:rsid w:val="2BE956E1"/>
    <w:rsid w:val="2BEE1BAF"/>
    <w:rsid w:val="2BF51A0F"/>
    <w:rsid w:val="2C18302D"/>
    <w:rsid w:val="2C1A50E5"/>
    <w:rsid w:val="2C1D24D1"/>
    <w:rsid w:val="2C3A3F1C"/>
    <w:rsid w:val="2C5F5583"/>
    <w:rsid w:val="2C722C06"/>
    <w:rsid w:val="2C730B86"/>
    <w:rsid w:val="2C9A6113"/>
    <w:rsid w:val="2CAA73ED"/>
    <w:rsid w:val="2CB27900"/>
    <w:rsid w:val="2CC85B24"/>
    <w:rsid w:val="2D087964"/>
    <w:rsid w:val="2D0D34B7"/>
    <w:rsid w:val="2D102879"/>
    <w:rsid w:val="2D15735F"/>
    <w:rsid w:val="2D1E4F96"/>
    <w:rsid w:val="2D367E96"/>
    <w:rsid w:val="2D4B4662"/>
    <w:rsid w:val="2D5A7A44"/>
    <w:rsid w:val="2D5C1638"/>
    <w:rsid w:val="2D6F3C91"/>
    <w:rsid w:val="2D766C76"/>
    <w:rsid w:val="2D79041E"/>
    <w:rsid w:val="2D890CD5"/>
    <w:rsid w:val="2D99286E"/>
    <w:rsid w:val="2DBA45BF"/>
    <w:rsid w:val="2DD974A8"/>
    <w:rsid w:val="2DED648E"/>
    <w:rsid w:val="2E033D3C"/>
    <w:rsid w:val="2E0559B4"/>
    <w:rsid w:val="2E24482E"/>
    <w:rsid w:val="2E3B56D4"/>
    <w:rsid w:val="2E482812"/>
    <w:rsid w:val="2E4C697C"/>
    <w:rsid w:val="2E5B353C"/>
    <w:rsid w:val="2E866EE3"/>
    <w:rsid w:val="2E956E19"/>
    <w:rsid w:val="2E964979"/>
    <w:rsid w:val="2E9A7907"/>
    <w:rsid w:val="2EA7164B"/>
    <w:rsid w:val="2EAA3725"/>
    <w:rsid w:val="2EAE5B84"/>
    <w:rsid w:val="2EB536D8"/>
    <w:rsid w:val="2ED53072"/>
    <w:rsid w:val="2EEF10A1"/>
    <w:rsid w:val="2F0055D5"/>
    <w:rsid w:val="2F00589C"/>
    <w:rsid w:val="2F017C73"/>
    <w:rsid w:val="2F0445BA"/>
    <w:rsid w:val="2F193000"/>
    <w:rsid w:val="2F296B60"/>
    <w:rsid w:val="2F4475F2"/>
    <w:rsid w:val="2F462582"/>
    <w:rsid w:val="2F4A3E20"/>
    <w:rsid w:val="2F7B5787"/>
    <w:rsid w:val="2F8452BB"/>
    <w:rsid w:val="2F8856E8"/>
    <w:rsid w:val="2F8A246F"/>
    <w:rsid w:val="2F931F3E"/>
    <w:rsid w:val="2F9E02E9"/>
    <w:rsid w:val="2FA20543"/>
    <w:rsid w:val="2FB5399F"/>
    <w:rsid w:val="2FBB2F70"/>
    <w:rsid w:val="2FC040E2"/>
    <w:rsid w:val="2FC82F97"/>
    <w:rsid w:val="2FF24B3E"/>
    <w:rsid w:val="2FFA3A98"/>
    <w:rsid w:val="300246FB"/>
    <w:rsid w:val="30180C70"/>
    <w:rsid w:val="30316E1F"/>
    <w:rsid w:val="303F6FFD"/>
    <w:rsid w:val="30536D05"/>
    <w:rsid w:val="30554766"/>
    <w:rsid w:val="306453B6"/>
    <w:rsid w:val="30793B1F"/>
    <w:rsid w:val="307A6406"/>
    <w:rsid w:val="308246D4"/>
    <w:rsid w:val="30B009C8"/>
    <w:rsid w:val="30B01A9A"/>
    <w:rsid w:val="30BA6B3E"/>
    <w:rsid w:val="30C01930"/>
    <w:rsid w:val="30EB003C"/>
    <w:rsid w:val="3112096E"/>
    <w:rsid w:val="31127C75"/>
    <w:rsid w:val="3114107D"/>
    <w:rsid w:val="31171CD7"/>
    <w:rsid w:val="31242C11"/>
    <w:rsid w:val="312C253A"/>
    <w:rsid w:val="31311FBE"/>
    <w:rsid w:val="31374878"/>
    <w:rsid w:val="31392548"/>
    <w:rsid w:val="31456F95"/>
    <w:rsid w:val="31533344"/>
    <w:rsid w:val="316F625B"/>
    <w:rsid w:val="31796C3F"/>
    <w:rsid w:val="317A4765"/>
    <w:rsid w:val="31A1797F"/>
    <w:rsid w:val="31A65132"/>
    <w:rsid w:val="31B71515"/>
    <w:rsid w:val="31B87642"/>
    <w:rsid w:val="31C00EF8"/>
    <w:rsid w:val="31CC5364"/>
    <w:rsid w:val="31D623CF"/>
    <w:rsid w:val="31E050B0"/>
    <w:rsid w:val="31E22A36"/>
    <w:rsid w:val="31F2254D"/>
    <w:rsid w:val="320D4E6E"/>
    <w:rsid w:val="321E3A0A"/>
    <w:rsid w:val="322E4BAF"/>
    <w:rsid w:val="323413C5"/>
    <w:rsid w:val="323572F6"/>
    <w:rsid w:val="323963CE"/>
    <w:rsid w:val="323E0A30"/>
    <w:rsid w:val="3246608B"/>
    <w:rsid w:val="324B3E79"/>
    <w:rsid w:val="325167B6"/>
    <w:rsid w:val="326266B4"/>
    <w:rsid w:val="3273120E"/>
    <w:rsid w:val="32753D0B"/>
    <w:rsid w:val="327F7554"/>
    <w:rsid w:val="32A74051"/>
    <w:rsid w:val="32B60A23"/>
    <w:rsid w:val="32C76AFB"/>
    <w:rsid w:val="32D85BE7"/>
    <w:rsid w:val="32DB2081"/>
    <w:rsid w:val="32F32879"/>
    <w:rsid w:val="32F42D9E"/>
    <w:rsid w:val="3301513E"/>
    <w:rsid w:val="3304078A"/>
    <w:rsid w:val="33054D39"/>
    <w:rsid w:val="33305A23"/>
    <w:rsid w:val="33395349"/>
    <w:rsid w:val="333D477F"/>
    <w:rsid w:val="334943EF"/>
    <w:rsid w:val="334E5EA9"/>
    <w:rsid w:val="33504B51"/>
    <w:rsid w:val="33572FB0"/>
    <w:rsid w:val="335D3F73"/>
    <w:rsid w:val="33713C78"/>
    <w:rsid w:val="337771AE"/>
    <w:rsid w:val="33802506"/>
    <w:rsid w:val="33831376"/>
    <w:rsid w:val="3384184F"/>
    <w:rsid w:val="338A3D83"/>
    <w:rsid w:val="338B4A07"/>
    <w:rsid w:val="33956234"/>
    <w:rsid w:val="33956A0B"/>
    <w:rsid w:val="33A04618"/>
    <w:rsid w:val="33AA1058"/>
    <w:rsid w:val="33AF6CE8"/>
    <w:rsid w:val="33BA52ED"/>
    <w:rsid w:val="33C1005A"/>
    <w:rsid w:val="33EB1C56"/>
    <w:rsid w:val="34076784"/>
    <w:rsid w:val="340A02ED"/>
    <w:rsid w:val="341113B0"/>
    <w:rsid w:val="34363B90"/>
    <w:rsid w:val="343D21A6"/>
    <w:rsid w:val="344069F0"/>
    <w:rsid w:val="344E794B"/>
    <w:rsid w:val="345D45F6"/>
    <w:rsid w:val="346F1413"/>
    <w:rsid w:val="34733E19"/>
    <w:rsid w:val="3491604D"/>
    <w:rsid w:val="34A17D4A"/>
    <w:rsid w:val="34C1512F"/>
    <w:rsid w:val="34CF4905"/>
    <w:rsid w:val="34F91ACC"/>
    <w:rsid w:val="35031DA7"/>
    <w:rsid w:val="350D23A0"/>
    <w:rsid w:val="35243C45"/>
    <w:rsid w:val="35414E0B"/>
    <w:rsid w:val="35905D41"/>
    <w:rsid w:val="35906305"/>
    <w:rsid w:val="35B17626"/>
    <w:rsid w:val="35BB3E7D"/>
    <w:rsid w:val="35D6028F"/>
    <w:rsid w:val="35E74616"/>
    <w:rsid w:val="35EB69CC"/>
    <w:rsid w:val="35EE30CD"/>
    <w:rsid w:val="35F77C74"/>
    <w:rsid w:val="35F87B3C"/>
    <w:rsid w:val="36035EE7"/>
    <w:rsid w:val="360867F6"/>
    <w:rsid w:val="36140CE4"/>
    <w:rsid w:val="36160F00"/>
    <w:rsid w:val="361B02C4"/>
    <w:rsid w:val="36264A5B"/>
    <w:rsid w:val="36452A76"/>
    <w:rsid w:val="36455341"/>
    <w:rsid w:val="364F7F6E"/>
    <w:rsid w:val="365A29B6"/>
    <w:rsid w:val="36717D84"/>
    <w:rsid w:val="36845780"/>
    <w:rsid w:val="3689036D"/>
    <w:rsid w:val="368A323C"/>
    <w:rsid w:val="36A22794"/>
    <w:rsid w:val="36B4589B"/>
    <w:rsid w:val="36B85A18"/>
    <w:rsid w:val="36C6432F"/>
    <w:rsid w:val="36DF7544"/>
    <w:rsid w:val="36E42EB5"/>
    <w:rsid w:val="36E92171"/>
    <w:rsid w:val="36EC6637"/>
    <w:rsid w:val="36EF52AD"/>
    <w:rsid w:val="36FA1069"/>
    <w:rsid w:val="370A058B"/>
    <w:rsid w:val="37117919"/>
    <w:rsid w:val="371511B8"/>
    <w:rsid w:val="371708EF"/>
    <w:rsid w:val="3734069D"/>
    <w:rsid w:val="37465815"/>
    <w:rsid w:val="37495673"/>
    <w:rsid w:val="37557806"/>
    <w:rsid w:val="3757357E"/>
    <w:rsid w:val="37734130"/>
    <w:rsid w:val="377834E6"/>
    <w:rsid w:val="3782347A"/>
    <w:rsid w:val="379160EA"/>
    <w:rsid w:val="37A8604A"/>
    <w:rsid w:val="37A934D2"/>
    <w:rsid w:val="37A95DA4"/>
    <w:rsid w:val="37A97B52"/>
    <w:rsid w:val="37BC3392"/>
    <w:rsid w:val="37C036A0"/>
    <w:rsid w:val="37C103D6"/>
    <w:rsid w:val="37CE1367"/>
    <w:rsid w:val="37E529E9"/>
    <w:rsid w:val="37FE6E39"/>
    <w:rsid w:val="38055562"/>
    <w:rsid w:val="380B4515"/>
    <w:rsid w:val="381572B8"/>
    <w:rsid w:val="38536701"/>
    <w:rsid w:val="38587EAA"/>
    <w:rsid w:val="385B0E4C"/>
    <w:rsid w:val="385E3204"/>
    <w:rsid w:val="3862667F"/>
    <w:rsid w:val="38677C80"/>
    <w:rsid w:val="38783A10"/>
    <w:rsid w:val="387A1DB3"/>
    <w:rsid w:val="388760E5"/>
    <w:rsid w:val="388B11B0"/>
    <w:rsid w:val="38B873E2"/>
    <w:rsid w:val="38F67F51"/>
    <w:rsid w:val="39044BAD"/>
    <w:rsid w:val="391A778D"/>
    <w:rsid w:val="394D42A6"/>
    <w:rsid w:val="397321C6"/>
    <w:rsid w:val="39880367"/>
    <w:rsid w:val="398919E9"/>
    <w:rsid w:val="39897C3B"/>
    <w:rsid w:val="39AD3B91"/>
    <w:rsid w:val="39C26CD1"/>
    <w:rsid w:val="39CD70E9"/>
    <w:rsid w:val="39FB6819"/>
    <w:rsid w:val="3A1535FE"/>
    <w:rsid w:val="3A2C61C1"/>
    <w:rsid w:val="3A3A057F"/>
    <w:rsid w:val="3A4128EF"/>
    <w:rsid w:val="3A465B2C"/>
    <w:rsid w:val="3A5169AB"/>
    <w:rsid w:val="3A741088"/>
    <w:rsid w:val="3A751F6D"/>
    <w:rsid w:val="3A8B1558"/>
    <w:rsid w:val="3A964F46"/>
    <w:rsid w:val="3A983F48"/>
    <w:rsid w:val="3A9B336A"/>
    <w:rsid w:val="3AB40CE8"/>
    <w:rsid w:val="3AD2116E"/>
    <w:rsid w:val="3ADE77C1"/>
    <w:rsid w:val="3AEF1480"/>
    <w:rsid w:val="3B027E69"/>
    <w:rsid w:val="3B3566A7"/>
    <w:rsid w:val="3B6256D4"/>
    <w:rsid w:val="3B6808F8"/>
    <w:rsid w:val="3B6B2D07"/>
    <w:rsid w:val="3B893F22"/>
    <w:rsid w:val="3BB05953"/>
    <w:rsid w:val="3BC14543"/>
    <w:rsid w:val="3BC1657B"/>
    <w:rsid w:val="3BDA29D0"/>
    <w:rsid w:val="3BE316E1"/>
    <w:rsid w:val="3BE45A1E"/>
    <w:rsid w:val="3BEB4966"/>
    <w:rsid w:val="3BF31BF6"/>
    <w:rsid w:val="3C18641D"/>
    <w:rsid w:val="3C1C6307"/>
    <w:rsid w:val="3C2B322B"/>
    <w:rsid w:val="3C4E6795"/>
    <w:rsid w:val="3C53008C"/>
    <w:rsid w:val="3C6D114E"/>
    <w:rsid w:val="3C823E34"/>
    <w:rsid w:val="3C940DD1"/>
    <w:rsid w:val="3C9A4E75"/>
    <w:rsid w:val="3CBE6029"/>
    <w:rsid w:val="3CCD42E3"/>
    <w:rsid w:val="3CD87AFA"/>
    <w:rsid w:val="3CD91AB9"/>
    <w:rsid w:val="3CE80C00"/>
    <w:rsid w:val="3CF41DDE"/>
    <w:rsid w:val="3D1122D9"/>
    <w:rsid w:val="3D12298F"/>
    <w:rsid w:val="3D1C7E93"/>
    <w:rsid w:val="3D261787"/>
    <w:rsid w:val="3D4225DB"/>
    <w:rsid w:val="3D4C4C97"/>
    <w:rsid w:val="3D501BC3"/>
    <w:rsid w:val="3D532A3A"/>
    <w:rsid w:val="3D647F2A"/>
    <w:rsid w:val="3D6F5BDB"/>
    <w:rsid w:val="3D7911CF"/>
    <w:rsid w:val="3D824ED6"/>
    <w:rsid w:val="3D8A7708"/>
    <w:rsid w:val="3D9F5C7F"/>
    <w:rsid w:val="3DA212CB"/>
    <w:rsid w:val="3DB66B25"/>
    <w:rsid w:val="3DB86D41"/>
    <w:rsid w:val="3DBD1AD6"/>
    <w:rsid w:val="3DC01751"/>
    <w:rsid w:val="3DEA0B21"/>
    <w:rsid w:val="3E171E42"/>
    <w:rsid w:val="3E194D65"/>
    <w:rsid w:val="3E384D3D"/>
    <w:rsid w:val="3E520EF9"/>
    <w:rsid w:val="3E71765C"/>
    <w:rsid w:val="3E76777E"/>
    <w:rsid w:val="3E8949ED"/>
    <w:rsid w:val="3EAA423E"/>
    <w:rsid w:val="3EC309B7"/>
    <w:rsid w:val="3EE55509"/>
    <w:rsid w:val="3EF70D0A"/>
    <w:rsid w:val="3EF72EC9"/>
    <w:rsid w:val="3EFD2FB4"/>
    <w:rsid w:val="3F055974"/>
    <w:rsid w:val="3F083A54"/>
    <w:rsid w:val="3F385E31"/>
    <w:rsid w:val="3F467593"/>
    <w:rsid w:val="3F516B05"/>
    <w:rsid w:val="3F6958BC"/>
    <w:rsid w:val="3F760C61"/>
    <w:rsid w:val="3F7E3672"/>
    <w:rsid w:val="3F8668E2"/>
    <w:rsid w:val="3F8769CB"/>
    <w:rsid w:val="3F8844F1"/>
    <w:rsid w:val="3F8A350A"/>
    <w:rsid w:val="3FBD4F5B"/>
    <w:rsid w:val="3FD84629"/>
    <w:rsid w:val="3FFB2F15"/>
    <w:rsid w:val="400D4F69"/>
    <w:rsid w:val="40183AC7"/>
    <w:rsid w:val="401E65CC"/>
    <w:rsid w:val="4022602E"/>
    <w:rsid w:val="40251D40"/>
    <w:rsid w:val="40390F76"/>
    <w:rsid w:val="40532CA8"/>
    <w:rsid w:val="4065280A"/>
    <w:rsid w:val="40661121"/>
    <w:rsid w:val="40763B34"/>
    <w:rsid w:val="407F77F1"/>
    <w:rsid w:val="40935BB3"/>
    <w:rsid w:val="40A2785A"/>
    <w:rsid w:val="40AB5F66"/>
    <w:rsid w:val="40B2745F"/>
    <w:rsid w:val="40BA2F5B"/>
    <w:rsid w:val="40D70761"/>
    <w:rsid w:val="40E7064C"/>
    <w:rsid w:val="40E816EB"/>
    <w:rsid w:val="40F85993"/>
    <w:rsid w:val="410F4E53"/>
    <w:rsid w:val="41154A97"/>
    <w:rsid w:val="4119041B"/>
    <w:rsid w:val="412627D7"/>
    <w:rsid w:val="412D6014"/>
    <w:rsid w:val="41305C37"/>
    <w:rsid w:val="4132693C"/>
    <w:rsid w:val="41393CF5"/>
    <w:rsid w:val="413D33EF"/>
    <w:rsid w:val="413E2D18"/>
    <w:rsid w:val="41456B3D"/>
    <w:rsid w:val="414B08D8"/>
    <w:rsid w:val="414E240B"/>
    <w:rsid w:val="415E19AD"/>
    <w:rsid w:val="41A3369B"/>
    <w:rsid w:val="41AC2B40"/>
    <w:rsid w:val="41B24C4F"/>
    <w:rsid w:val="41CD13FD"/>
    <w:rsid w:val="41DC0929"/>
    <w:rsid w:val="41F405DF"/>
    <w:rsid w:val="420C6134"/>
    <w:rsid w:val="42296069"/>
    <w:rsid w:val="422C1AAB"/>
    <w:rsid w:val="422F7D49"/>
    <w:rsid w:val="423746D8"/>
    <w:rsid w:val="42411497"/>
    <w:rsid w:val="42564F55"/>
    <w:rsid w:val="426113CD"/>
    <w:rsid w:val="42852229"/>
    <w:rsid w:val="428B79C2"/>
    <w:rsid w:val="42927B60"/>
    <w:rsid w:val="42B52A5A"/>
    <w:rsid w:val="42BB5A65"/>
    <w:rsid w:val="42BE0955"/>
    <w:rsid w:val="42C47367"/>
    <w:rsid w:val="42F00D2B"/>
    <w:rsid w:val="431069A9"/>
    <w:rsid w:val="4312153B"/>
    <w:rsid w:val="43207F29"/>
    <w:rsid w:val="43251AA8"/>
    <w:rsid w:val="436C6FFF"/>
    <w:rsid w:val="4371578D"/>
    <w:rsid w:val="438B5990"/>
    <w:rsid w:val="43AC6A00"/>
    <w:rsid w:val="43B27935"/>
    <w:rsid w:val="43BA4D4F"/>
    <w:rsid w:val="43BE4985"/>
    <w:rsid w:val="43FB1735"/>
    <w:rsid w:val="440D63F0"/>
    <w:rsid w:val="441C4F4E"/>
    <w:rsid w:val="443426E9"/>
    <w:rsid w:val="445539FA"/>
    <w:rsid w:val="446F2D4A"/>
    <w:rsid w:val="44741DB7"/>
    <w:rsid w:val="447D44D3"/>
    <w:rsid w:val="447E5E2A"/>
    <w:rsid w:val="44841EBD"/>
    <w:rsid w:val="449D243B"/>
    <w:rsid w:val="44C05078"/>
    <w:rsid w:val="44C522AB"/>
    <w:rsid w:val="44DA134B"/>
    <w:rsid w:val="44ED471A"/>
    <w:rsid w:val="45045908"/>
    <w:rsid w:val="45114A51"/>
    <w:rsid w:val="451259F2"/>
    <w:rsid w:val="451705C1"/>
    <w:rsid w:val="45240E10"/>
    <w:rsid w:val="452E0344"/>
    <w:rsid w:val="4534265D"/>
    <w:rsid w:val="453C3DB3"/>
    <w:rsid w:val="456E5B41"/>
    <w:rsid w:val="456F631B"/>
    <w:rsid w:val="4574179F"/>
    <w:rsid w:val="45793CAC"/>
    <w:rsid w:val="45917DF8"/>
    <w:rsid w:val="45921175"/>
    <w:rsid w:val="45AB480C"/>
    <w:rsid w:val="45B6495D"/>
    <w:rsid w:val="45C738DC"/>
    <w:rsid w:val="45DD47DF"/>
    <w:rsid w:val="45E3036C"/>
    <w:rsid w:val="45F65C17"/>
    <w:rsid w:val="460022EF"/>
    <w:rsid w:val="461611FF"/>
    <w:rsid w:val="46197B2C"/>
    <w:rsid w:val="461C1E7F"/>
    <w:rsid w:val="46302237"/>
    <w:rsid w:val="4648420D"/>
    <w:rsid w:val="4694476B"/>
    <w:rsid w:val="46955A09"/>
    <w:rsid w:val="469A6794"/>
    <w:rsid w:val="469C0B8D"/>
    <w:rsid w:val="46A14C12"/>
    <w:rsid w:val="46AC6974"/>
    <w:rsid w:val="46B100E9"/>
    <w:rsid w:val="46D71FE6"/>
    <w:rsid w:val="46DA1AD6"/>
    <w:rsid w:val="46DC2184"/>
    <w:rsid w:val="46E754A3"/>
    <w:rsid w:val="46E90656"/>
    <w:rsid w:val="4703605D"/>
    <w:rsid w:val="4714717D"/>
    <w:rsid w:val="4724163E"/>
    <w:rsid w:val="47264769"/>
    <w:rsid w:val="4735602C"/>
    <w:rsid w:val="474D2E3F"/>
    <w:rsid w:val="475A2C17"/>
    <w:rsid w:val="47633BD9"/>
    <w:rsid w:val="47652830"/>
    <w:rsid w:val="47805912"/>
    <w:rsid w:val="47860F1E"/>
    <w:rsid w:val="4794342F"/>
    <w:rsid w:val="479E4EDD"/>
    <w:rsid w:val="47A866C0"/>
    <w:rsid w:val="47BC567F"/>
    <w:rsid w:val="47DD0DA2"/>
    <w:rsid w:val="47EF48EE"/>
    <w:rsid w:val="48500230"/>
    <w:rsid w:val="48647E91"/>
    <w:rsid w:val="48830434"/>
    <w:rsid w:val="48AC1250"/>
    <w:rsid w:val="48C22822"/>
    <w:rsid w:val="48C808A0"/>
    <w:rsid w:val="48D7799B"/>
    <w:rsid w:val="48EA7135"/>
    <w:rsid w:val="49007B4D"/>
    <w:rsid w:val="491518EB"/>
    <w:rsid w:val="494A344A"/>
    <w:rsid w:val="49686565"/>
    <w:rsid w:val="49752D84"/>
    <w:rsid w:val="49893EBD"/>
    <w:rsid w:val="49945647"/>
    <w:rsid w:val="49AA63AF"/>
    <w:rsid w:val="49D13819"/>
    <w:rsid w:val="49D14229"/>
    <w:rsid w:val="49D15412"/>
    <w:rsid w:val="49D547D7"/>
    <w:rsid w:val="49E71892"/>
    <w:rsid w:val="4A0D4229"/>
    <w:rsid w:val="4A235C65"/>
    <w:rsid w:val="4A5676C5"/>
    <w:rsid w:val="4A92473F"/>
    <w:rsid w:val="4AA17221"/>
    <w:rsid w:val="4AA83CE8"/>
    <w:rsid w:val="4AB16FF2"/>
    <w:rsid w:val="4AC62A9D"/>
    <w:rsid w:val="4AE01685"/>
    <w:rsid w:val="4AEC002A"/>
    <w:rsid w:val="4B004A60"/>
    <w:rsid w:val="4B1E0FC4"/>
    <w:rsid w:val="4B2934FB"/>
    <w:rsid w:val="4B2C0576"/>
    <w:rsid w:val="4B3B68BB"/>
    <w:rsid w:val="4B661768"/>
    <w:rsid w:val="4B6651FE"/>
    <w:rsid w:val="4B9A00F4"/>
    <w:rsid w:val="4BA44E82"/>
    <w:rsid w:val="4BA91B23"/>
    <w:rsid w:val="4BB46342"/>
    <w:rsid w:val="4BCA7C07"/>
    <w:rsid w:val="4BCF3EB6"/>
    <w:rsid w:val="4BE53CA8"/>
    <w:rsid w:val="4BEB6533"/>
    <w:rsid w:val="4BF413A3"/>
    <w:rsid w:val="4BFF6F6D"/>
    <w:rsid w:val="4C095499"/>
    <w:rsid w:val="4C0A317C"/>
    <w:rsid w:val="4C2919FF"/>
    <w:rsid w:val="4C2D7392"/>
    <w:rsid w:val="4C636C07"/>
    <w:rsid w:val="4C7B1F02"/>
    <w:rsid w:val="4C813BDE"/>
    <w:rsid w:val="4C997D3D"/>
    <w:rsid w:val="4C9D62E0"/>
    <w:rsid w:val="4CC255AB"/>
    <w:rsid w:val="4CD84CB4"/>
    <w:rsid w:val="4CEA5CFA"/>
    <w:rsid w:val="4CF23BDE"/>
    <w:rsid w:val="4CFD1306"/>
    <w:rsid w:val="4CFD651E"/>
    <w:rsid w:val="4D01600E"/>
    <w:rsid w:val="4D0413E0"/>
    <w:rsid w:val="4D0B0C3B"/>
    <w:rsid w:val="4D0E4287"/>
    <w:rsid w:val="4D2770F7"/>
    <w:rsid w:val="4D3637DE"/>
    <w:rsid w:val="4D3A1520"/>
    <w:rsid w:val="4D4948D1"/>
    <w:rsid w:val="4D5048A0"/>
    <w:rsid w:val="4D601DFC"/>
    <w:rsid w:val="4D754306"/>
    <w:rsid w:val="4D8752B8"/>
    <w:rsid w:val="4D8D163E"/>
    <w:rsid w:val="4D9549A9"/>
    <w:rsid w:val="4D957FE3"/>
    <w:rsid w:val="4D9C7AE5"/>
    <w:rsid w:val="4DAE15C6"/>
    <w:rsid w:val="4DBB70C5"/>
    <w:rsid w:val="4DC13C49"/>
    <w:rsid w:val="4DD63967"/>
    <w:rsid w:val="4DE9049B"/>
    <w:rsid w:val="4DEF79C6"/>
    <w:rsid w:val="4DF01BDF"/>
    <w:rsid w:val="4E0336C0"/>
    <w:rsid w:val="4E2B0DEE"/>
    <w:rsid w:val="4E2D5DA7"/>
    <w:rsid w:val="4E4A1E4D"/>
    <w:rsid w:val="4E5008D0"/>
    <w:rsid w:val="4E565121"/>
    <w:rsid w:val="4E5F55FC"/>
    <w:rsid w:val="4E7C2C07"/>
    <w:rsid w:val="4E894504"/>
    <w:rsid w:val="4EA26238"/>
    <w:rsid w:val="4EB01370"/>
    <w:rsid w:val="4EEC61D3"/>
    <w:rsid w:val="4F0959C6"/>
    <w:rsid w:val="4F1528D9"/>
    <w:rsid w:val="4F1B24A1"/>
    <w:rsid w:val="4F1B4C77"/>
    <w:rsid w:val="4F1D53C9"/>
    <w:rsid w:val="4F391364"/>
    <w:rsid w:val="4F3E2CE2"/>
    <w:rsid w:val="4F4108D9"/>
    <w:rsid w:val="4F5159D7"/>
    <w:rsid w:val="4F5330C0"/>
    <w:rsid w:val="4F550CF0"/>
    <w:rsid w:val="4F570D38"/>
    <w:rsid w:val="4F5C18E6"/>
    <w:rsid w:val="4F6302EE"/>
    <w:rsid w:val="4F816161"/>
    <w:rsid w:val="4F9C359E"/>
    <w:rsid w:val="4FBB7FCB"/>
    <w:rsid w:val="4FCB7117"/>
    <w:rsid w:val="50011E81"/>
    <w:rsid w:val="50111814"/>
    <w:rsid w:val="50132EF6"/>
    <w:rsid w:val="50224539"/>
    <w:rsid w:val="50587752"/>
    <w:rsid w:val="505C7454"/>
    <w:rsid w:val="506765FE"/>
    <w:rsid w:val="506B7335"/>
    <w:rsid w:val="507C2FF8"/>
    <w:rsid w:val="50BB0282"/>
    <w:rsid w:val="50C81C3A"/>
    <w:rsid w:val="50CB22FD"/>
    <w:rsid w:val="50EB1E2D"/>
    <w:rsid w:val="510102A6"/>
    <w:rsid w:val="5133250E"/>
    <w:rsid w:val="51354906"/>
    <w:rsid w:val="51426BF5"/>
    <w:rsid w:val="51621B49"/>
    <w:rsid w:val="51654349"/>
    <w:rsid w:val="516B0B3C"/>
    <w:rsid w:val="51897A7A"/>
    <w:rsid w:val="518A613E"/>
    <w:rsid w:val="51904371"/>
    <w:rsid w:val="519535B1"/>
    <w:rsid w:val="519D3E2C"/>
    <w:rsid w:val="51A73F12"/>
    <w:rsid w:val="51BB5A53"/>
    <w:rsid w:val="51DB7A5C"/>
    <w:rsid w:val="51E952C3"/>
    <w:rsid w:val="51FD2761"/>
    <w:rsid w:val="521D27E0"/>
    <w:rsid w:val="5253749C"/>
    <w:rsid w:val="527E6A7D"/>
    <w:rsid w:val="528374C6"/>
    <w:rsid w:val="528F19C6"/>
    <w:rsid w:val="52BF0D37"/>
    <w:rsid w:val="52C32DB3"/>
    <w:rsid w:val="52C5583B"/>
    <w:rsid w:val="52D715BF"/>
    <w:rsid w:val="52D972C4"/>
    <w:rsid w:val="52E07084"/>
    <w:rsid w:val="52E50D30"/>
    <w:rsid w:val="52ED6907"/>
    <w:rsid w:val="530B0ED3"/>
    <w:rsid w:val="532A7941"/>
    <w:rsid w:val="533E04DE"/>
    <w:rsid w:val="53542382"/>
    <w:rsid w:val="53623718"/>
    <w:rsid w:val="538232D9"/>
    <w:rsid w:val="53874D6C"/>
    <w:rsid w:val="53A9297F"/>
    <w:rsid w:val="53D02BF5"/>
    <w:rsid w:val="53E82F40"/>
    <w:rsid w:val="54041F40"/>
    <w:rsid w:val="5407402D"/>
    <w:rsid w:val="54154DC9"/>
    <w:rsid w:val="54284282"/>
    <w:rsid w:val="543365B2"/>
    <w:rsid w:val="545221AF"/>
    <w:rsid w:val="546426FE"/>
    <w:rsid w:val="5464711F"/>
    <w:rsid w:val="54676969"/>
    <w:rsid w:val="54733E51"/>
    <w:rsid w:val="547779B4"/>
    <w:rsid w:val="54832B57"/>
    <w:rsid w:val="548B5C6E"/>
    <w:rsid w:val="54A110B1"/>
    <w:rsid w:val="54B45541"/>
    <w:rsid w:val="54B55930"/>
    <w:rsid w:val="54D73AF9"/>
    <w:rsid w:val="54DD5E2B"/>
    <w:rsid w:val="54EA658D"/>
    <w:rsid w:val="54F60DF7"/>
    <w:rsid w:val="54FE2E33"/>
    <w:rsid w:val="55125391"/>
    <w:rsid w:val="55184DE5"/>
    <w:rsid w:val="55196BF7"/>
    <w:rsid w:val="552503C0"/>
    <w:rsid w:val="552E1A3E"/>
    <w:rsid w:val="553D4707"/>
    <w:rsid w:val="553E76D4"/>
    <w:rsid w:val="55436A98"/>
    <w:rsid w:val="554612E7"/>
    <w:rsid w:val="55546EF7"/>
    <w:rsid w:val="55556188"/>
    <w:rsid w:val="555A5BF8"/>
    <w:rsid w:val="55661DE1"/>
    <w:rsid w:val="55733821"/>
    <w:rsid w:val="55896F47"/>
    <w:rsid w:val="558F0587"/>
    <w:rsid w:val="55921A1A"/>
    <w:rsid w:val="559355FE"/>
    <w:rsid w:val="559419A6"/>
    <w:rsid w:val="55A90FF1"/>
    <w:rsid w:val="55AB4B2E"/>
    <w:rsid w:val="55CE6126"/>
    <w:rsid w:val="55F06C20"/>
    <w:rsid w:val="560C332E"/>
    <w:rsid w:val="563207FD"/>
    <w:rsid w:val="563E0449"/>
    <w:rsid w:val="56490E7E"/>
    <w:rsid w:val="565F4159"/>
    <w:rsid w:val="56785D5C"/>
    <w:rsid w:val="567E0163"/>
    <w:rsid w:val="56856B95"/>
    <w:rsid w:val="569037CB"/>
    <w:rsid w:val="56935F0D"/>
    <w:rsid w:val="56E36785"/>
    <w:rsid w:val="56FB1720"/>
    <w:rsid w:val="57122BC6"/>
    <w:rsid w:val="57157376"/>
    <w:rsid w:val="574504A8"/>
    <w:rsid w:val="574834BD"/>
    <w:rsid w:val="57575901"/>
    <w:rsid w:val="577601D3"/>
    <w:rsid w:val="57884849"/>
    <w:rsid w:val="57B8376D"/>
    <w:rsid w:val="57C22B3C"/>
    <w:rsid w:val="57C43775"/>
    <w:rsid w:val="57D20E08"/>
    <w:rsid w:val="57E8171B"/>
    <w:rsid w:val="57E9601D"/>
    <w:rsid w:val="57F4051E"/>
    <w:rsid w:val="57F549C2"/>
    <w:rsid w:val="58086806"/>
    <w:rsid w:val="58484D86"/>
    <w:rsid w:val="58486899"/>
    <w:rsid w:val="586918CE"/>
    <w:rsid w:val="589F66DB"/>
    <w:rsid w:val="58B34DDC"/>
    <w:rsid w:val="58CE70F0"/>
    <w:rsid w:val="58E1680A"/>
    <w:rsid w:val="58E67606"/>
    <w:rsid w:val="58FE78A6"/>
    <w:rsid w:val="59036E1D"/>
    <w:rsid w:val="59373F23"/>
    <w:rsid w:val="596552F0"/>
    <w:rsid w:val="597C4F99"/>
    <w:rsid w:val="59AA24D9"/>
    <w:rsid w:val="59CD006E"/>
    <w:rsid w:val="59E36A9C"/>
    <w:rsid w:val="5A015962"/>
    <w:rsid w:val="5A0A3797"/>
    <w:rsid w:val="5A137381"/>
    <w:rsid w:val="5A1530F9"/>
    <w:rsid w:val="5A1D590D"/>
    <w:rsid w:val="5A35655C"/>
    <w:rsid w:val="5A45472E"/>
    <w:rsid w:val="5A4E660B"/>
    <w:rsid w:val="5A540645"/>
    <w:rsid w:val="5A6B17E6"/>
    <w:rsid w:val="5A6B3AB0"/>
    <w:rsid w:val="5A763D4F"/>
    <w:rsid w:val="5A8037CA"/>
    <w:rsid w:val="5A823E74"/>
    <w:rsid w:val="5A8E2EAB"/>
    <w:rsid w:val="5A9023E4"/>
    <w:rsid w:val="5A930966"/>
    <w:rsid w:val="5ABF3E93"/>
    <w:rsid w:val="5AD1449C"/>
    <w:rsid w:val="5AD325D0"/>
    <w:rsid w:val="5AD84CB1"/>
    <w:rsid w:val="5AEE394A"/>
    <w:rsid w:val="5AEF5CC8"/>
    <w:rsid w:val="5AF16AC3"/>
    <w:rsid w:val="5AFE6A93"/>
    <w:rsid w:val="5B0B3F55"/>
    <w:rsid w:val="5B0C1E13"/>
    <w:rsid w:val="5B104291"/>
    <w:rsid w:val="5B246903"/>
    <w:rsid w:val="5B2E52F1"/>
    <w:rsid w:val="5B3947D4"/>
    <w:rsid w:val="5B3A13AB"/>
    <w:rsid w:val="5B406AF5"/>
    <w:rsid w:val="5B4377F2"/>
    <w:rsid w:val="5B630F3C"/>
    <w:rsid w:val="5B735FB2"/>
    <w:rsid w:val="5B757E7A"/>
    <w:rsid w:val="5B765E19"/>
    <w:rsid w:val="5B9A555D"/>
    <w:rsid w:val="5BA10EBA"/>
    <w:rsid w:val="5BA305BE"/>
    <w:rsid w:val="5BAE3CCB"/>
    <w:rsid w:val="5BC52978"/>
    <w:rsid w:val="5BD54BE1"/>
    <w:rsid w:val="5BDC5206"/>
    <w:rsid w:val="5BDF7095"/>
    <w:rsid w:val="5BE27313"/>
    <w:rsid w:val="5BF94355"/>
    <w:rsid w:val="5C030663"/>
    <w:rsid w:val="5C0A6562"/>
    <w:rsid w:val="5C13413A"/>
    <w:rsid w:val="5C14118E"/>
    <w:rsid w:val="5C290D9D"/>
    <w:rsid w:val="5C56031C"/>
    <w:rsid w:val="5C5E240A"/>
    <w:rsid w:val="5C6312A0"/>
    <w:rsid w:val="5C717056"/>
    <w:rsid w:val="5C750170"/>
    <w:rsid w:val="5C886C5A"/>
    <w:rsid w:val="5C89392A"/>
    <w:rsid w:val="5C901911"/>
    <w:rsid w:val="5C9C0F22"/>
    <w:rsid w:val="5CAB5196"/>
    <w:rsid w:val="5CAD62E8"/>
    <w:rsid w:val="5CDA3FE2"/>
    <w:rsid w:val="5CFE30FF"/>
    <w:rsid w:val="5D0B54DD"/>
    <w:rsid w:val="5D102783"/>
    <w:rsid w:val="5D347D3A"/>
    <w:rsid w:val="5D504448"/>
    <w:rsid w:val="5D583D5A"/>
    <w:rsid w:val="5D5B245A"/>
    <w:rsid w:val="5D5D40E3"/>
    <w:rsid w:val="5D5E0913"/>
    <w:rsid w:val="5D5E4873"/>
    <w:rsid w:val="5D711CEE"/>
    <w:rsid w:val="5D8044B4"/>
    <w:rsid w:val="5D8C4409"/>
    <w:rsid w:val="5D953969"/>
    <w:rsid w:val="5DAD53F7"/>
    <w:rsid w:val="5DB81DEE"/>
    <w:rsid w:val="5DBB74DD"/>
    <w:rsid w:val="5DCF1811"/>
    <w:rsid w:val="5E0278AC"/>
    <w:rsid w:val="5E0C5D98"/>
    <w:rsid w:val="5E0F7D36"/>
    <w:rsid w:val="5E153089"/>
    <w:rsid w:val="5E194310"/>
    <w:rsid w:val="5E1B46B2"/>
    <w:rsid w:val="5E214E60"/>
    <w:rsid w:val="5E416E7D"/>
    <w:rsid w:val="5E44774B"/>
    <w:rsid w:val="5E4D7989"/>
    <w:rsid w:val="5E947447"/>
    <w:rsid w:val="5E9509D6"/>
    <w:rsid w:val="5EB32EE1"/>
    <w:rsid w:val="5EB8002A"/>
    <w:rsid w:val="5EB8640C"/>
    <w:rsid w:val="5EC90269"/>
    <w:rsid w:val="5EC92295"/>
    <w:rsid w:val="5ECD756E"/>
    <w:rsid w:val="5ED052C1"/>
    <w:rsid w:val="5EDB66AD"/>
    <w:rsid w:val="5F075342"/>
    <w:rsid w:val="5F090D52"/>
    <w:rsid w:val="5F0B16F5"/>
    <w:rsid w:val="5F12099B"/>
    <w:rsid w:val="5F2035EB"/>
    <w:rsid w:val="5F211BFF"/>
    <w:rsid w:val="5F4B198F"/>
    <w:rsid w:val="5F4E560C"/>
    <w:rsid w:val="5F5F037F"/>
    <w:rsid w:val="5F66592C"/>
    <w:rsid w:val="5F6D0154"/>
    <w:rsid w:val="5F9A6357"/>
    <w:rsid w:val="5FA1065E"/>
    <w:rsid w:val="5FA22B96"/>
    <w:rsid w:val="5FA92A04"/>
    <w:rsid w:val="5FBA7BDF"/>
    <w:rsid w:val="5FC058B5"/>
    <w:rsid w:val="5FC2179B"/>
    <w:rsid w:val="5FD15F43"/>
    <w:rsid w:val="5FDB4C83"/>
    <w:rsid w:val="5FDE3600"/>
    <w:rsid w:val="5FE1413B"/>
    <w:rsid w:val="5FE1781D"/>
    <w:rsid w:val="5FE95FAC"/>
    <w:rsid w:val="5FF67517"/>
    <w:rsid w:val="601B2AEB"/>
    <w:rsid w:val="601C6864"/>
    <w:rsid w:val="602120CC"/>
    <w:rsid w:val="60243FCD"/>
    <w:rsid w:val="602C2F4B"/>
    <w:rsid w:val="603665CD"/>
    <w:rsid w:val="603B51FC"/>
    <w:rsid w:val="603E25AC"/>
    <w:rsid w:val="603E4A2C"/>
    <w:rsid w:val="604F07E6"/>
    <w:rsid w:val="606D2C19"/>
    <w:rsid w:val="607F7CF7"/>
    <w:rsid w:val="609A466B"/>
    <w:rsid w:val="60A22F40"/>
    <w:rsid w:val="60A9027A"/>
    <w:rsid w:val="60AC7BE7"/>
    <w:rsid w:val="60BF0A9B"/>
    <w:rsid w:val="60BF5B6D"/>
    <w:rsid w:val="60F63558"/>
    <w:rsid w:val="611322D1"/>
    <w:rsid w:val="61291C00"/>
    <w:rsid w:val="612A7A57"/>
    <w:rsid w:val="613E5314"/>
    <w:rsid w:val="6147286C"/>
    <w:rsid w:val="615C33BC"/>
    <w:rsid w:val="615E05C0"/>
    <w:rsid w:val="616E30EF"/>
    <w:rsid w:val="61851719"/>
    <w:rsid w:val="618D0FF6"/>
    <w:rsid w:val="61D90E17"/>
    <w:rsid w:val="61F07F5C"/>
    <w:rsid w:val="61FF059B"/>
    <w:rsid w:val="62011C4B"/>
    <w:rsid w:val="6220088D"/>
    <w:rsid w:val="624D53FA"/>
    <w:rsid w:val="625D5F50"/>
    <w:rsid w:val="627446D0"/>
    <w:rsid w:val="628E64AF"/>
    <w:rsid w:val="62901B14"/>
    <w:rsid w:val="62967221"/>
    <w:rsid w:val="62A063FC"/>
    <w:rsid w:val="62A908BB"/>
    <w:rsid w:val="62B677E1"/>
    <w:rsid w:val="62BC3405"/>
    <w:rsid w:val="62C92CD3"/>
    <w:rsid w:val="62CE7D97"/>
    <w:rsid w:val="62D56C04"/>
    <w:rsid w:val="62EE0E1F"/>
    <w:rsid w:val="62EE4265"/>
    <w:rsid w:val="63207C93"/>
    <w:rsid w:val="635E2806"/>
    <w:rsid w:val="635F1034"/>
    <w:rsid w:val="636E5BB0"/>
    <w:rsid w:val="637639ED"/>
    <w:rsid w:val="63770981"/>
    <w:rsid w:val="637F5A87"/>
    <w:rsid w:val="63995D4B"/>
    <w:rsid w:val="639C016B"/>
    <w:rsid w:val="63A241EF"/>
    <w:rsid w:val="63C977DC"/>
    <w:rsid w:val="63D062E3"/>
    <w:rsid w:val="63F13145"/>
    <w:rsid w:val="64157664"/>
    <w:rsid w:val="6425270D"/>
    <w:rsid w:val="643A375C"/>
    <w:rsid w:val="64420C2A"/>
    <w:rsid w:val="64790924"/>
    <w:rsid w:val="647B7FFD"/>
    <w:rsid w:val="648669A1"/>
    <w:rsid w:val="64947310"/>
    <w:rsid w:val="64A357A5"/>
    <w:rsid w:val="64A6696C"/>
    <w:rsid w:val="64B4710A"/>
    <w:rsid w:val="64C004D8"/>
    <w:rsid w:val="64C129D2"/>
    <w:rsid w:val="64C5259F"/>
    <w:rsid w:val="64EA0FCF"/>
    <w:rsid w:val="64F03C88"/>
    <w:rsid w:val="6513703B"/>
    <w:rsid w:val="65137984"/>
    <w:rsid w:val="65181CEF"/>
    <w:rsid w:val="653603C7"/>
    <w:rsid w:val="65424019"/>
    <w:rsid w:val="655167CA"/>
    <w:rsid w:val="655A2903"/>
    <w:rsid w:val="656C491B"/>
    <w:rsid w:val="65876E75"/>
    <w:rsid w:val="65A00D84"/>
    <w:rsid w:val="65AC2438"/>
    <w:rsid w:val="65B72A86"/>
    <w:rsid w:val="65D976D1"/>
    <w:rsid w:val="66086B65"/>
    <w:rsid w:val="66346A66"/>
    <w:rsid w:val="663A7A43"/>
    <w:rsid w:val="66527633"/>
    <w:rsid w:val="6665593C"/>
    <w:rsid w:val="66997C73"/>
    <w:rsid w:val="66B80478"/>
    <w:rsid w:val="66B842FB"/>
    <w:rsid w:val="66BD5E1B"/>
    <w:rsid w:val="66D46ED4"/>
    <w:rsid w:val="66D954AE"/>
    <w:rsid w:val="66D95553"/>
    <w:rsid w:val="66DC2CFB"/>
    <w:rsid w:val="66F00016"/>
    <w:rsid w:val="67025E48"/>
    <w:rsid w:val="671602AC"/>
    <w:rsid w:val="67250883"/>
    <w:rsid w:val="674D64E7"/>
    <w:rsid w:val="6751418F"/>
    <w:rsid w:val="676B4015"/>
    <w:rsid w:val="677700E3"/>
    <w:rsid w:val="677B4D48"/>
    <w:rsid w:val="6784366C"/>
    <w:rsid w:val="67A1303C"/>
    <w:rsid w:val="67AB6E4B"/>
    <w:rsid w:val="67BF3E7A"/>
    <w:rsid w:val="67D266B3"/>
    <w:rsid w:val="67D70B7C"/>
    <w:rsid w:val="67DA0018"/>
    <w:rsid w:val="680A3E47"/>
    <w:rsid w:val="680F2DCE"/>
    <w:rsid w:val="682A7F22"/>
    <w:rsid w:val="6841155D"/>
    <w:rsid w:val="68550701"/>
    <w:rsid w:val="686730F2"/>
    <w:rsid w:val="686A0AB4"/>
    <w:rsid w:val="686C2DA0"/>
    <w:rsid w:val="68756FA8"/>
    <w:rsid w:val="68891983"/>
    <w:rsid w:val="689478DF"/>
    <w:rsid w:val="689E4D14"/>
    <w:rsid w:val="68CA50AF"/>
    <w:rsid w:val="68D73C6F"/>
    <w:rsid w:val="68EF720B"/>
    <w:rsid w:val="68F25091"/>
    <w:rsid w:val="690305C1"/>
    <w:rsid w:val="690976D0"/>
    <w:rsid w:val="69140F1B"/>
    <w:rsid w:val="691919B8"/>
    <w:rsid w:val="692C5D69"/>
    <w:rsid w:val="69313380"/>
    <w:rsid w:val="6932580C"/>
    <w:rsid w:val="693E4168"/>
    <w:rsid w:val="694456E3"/>
    <w:rsid w:val="69555CD9"/>
    <w:rsid w:val="69681605"/>
    <w:rsid w:val="6971437A"/>
    <w:rsid w:val="69735746"/>
    <w:rsid w:val="697D4736"/>
    <w:rsid w:val="697F058F"/>
    <w:rsid w:val="69A71894"/>
    <w:rsid w:val="69AA3EF3"/>
    <w:rsid w:val="69AC7BFD"/>
    <w:rsid w:val="69DE1666"/>
    <w:rsid w:val="69E44896"/>
    <w:rsid w:val="69E9120E"/>
    <w:rsid w:val="69EA4C26"/>
    <w:rsid w:val="69F96630"/>
    <w:rsid w:val="6A08390A"/>
    <w:rsid w:val="6A0960AB"/>
    <w:rsid w:val="6A186A78"/>
    <w:rsid w:val="6A2941FD"/>
    <w:rsid w:val="6A2A34B1"/>
    <w:rsid w:val="6A3550F2"/>
    <w:rsid w:val="6A3613AC"/>
    <w:rsid w:val="6A38564B"/>
    <w:rsid w:val="6A8E1684"/>
    <w:rsid w:val="6A9B06AB"/>
    <w:rsid w:val="6AC27EAE"/>
    <w:rsid w:val="6AD2581B"/>
    <w:rsid w:val="6AE71120"/>
    <w:rsid w:val="6AF945FC"/>
    <w:rsid w:val="6AF96C15"/>
    <w:rsid w:val="6B365CD7"/>
    <w:rsid w:val="6B376C47"/>
    <w:rsid w:val="6B4F52D2"/>
    <w:rsid w:val="6B581A5F"/>
    <w:rsid w:val="6B764244"/>
    <w:rsid w:val="6B850DDA"/>
    <w:rsid w:val="6B8665E7"/>
    <w:rsid w:val="6B91280C"/>
    <w:rsid w:val="6BA72125"/>
    <w:rsid w:val="6BAC76F1"/>
    <w:rsid w:val="6BE0108D"/>
    <w:rsid w:val="6C0859F8"/>
    <w:rsid w:val="6C3A3D44"/>
    <w:rsid w:val="6C410FEA"/>
    <w:rsid w:val="6CB17E7C"/>
    <w:rsid w:val="6CBA368C"/>
    <w:rsid w:val="6CBF3486"/>
    <w:rsid w:val="6CCE7137"/>
    <w:rsid w:val="6CE1330F"/>
    <w:rsid w:val="6CF50469"/>
    <w:rsid w:val="6D150464"/>
    <w:rsid w:val="6D1B5C7E"/>
    <w:rsid w:val="6D2E5797"/>
    <w:rsid w:val="6D317DF2"/>
    <w:rsid w:val="6D3A657B"/>
    <w:rsid w:val="6D480C98"/>
    <w:rsid w:val="6D58130D"/>
    <w:rsid w:val="6D5E7BE9"/>
    <w:rsid w:val="6D7D0F66"/>
    <w:rsid w:val="6D7D377F"/>
    <w:rsid w:val="6DA5609A"/>
    <w:rsid w:val="6DBA3368"/>
    <w:rsid w:val="6DBC0596"/>
    <w:rsid w:val="6DD37288"/>
    <w:rsid w:val="6DE224F6"/>
    <w:rsid w:val="6DEB7E8D"/>
    <w:rsid w:val="6E0B4071"/>
    <w:rsid w:val="6E0B551E"/>
    <w:rsid w:val="6E113780"/>
    <w:rsid w:val="6E1B2B27"/>
    <w:rsid w:val="6E2D2C92"/>
    <w:rsid w:val="6E2E712C"/>
    <w:rsid w:val="6E383197"/>
    <w:rsid w:val="6E5B2B88"/>
    <w:rsid w:val="6E774028"/>
    <w:rsid w:val="6E8B4035"/>
    <w:rsid w:val="6E8D72AA"/>
    <w:rsid w:val="6E9817AB"/>
    <w:rsid w:val="6EA91348"/>
    <w:rsid w:val="6EB63D5D"/>
    <w:rsid w:val="6EBD1288"/>
    <w:rsid w:val="6ECC2946"/>
    <w:rsid w:val="6EE862ED"/>
    <w:rsid w:val="6F0B6010"/>
    <w:rsid w:val="6F114A9A"/>
    <w:rsid w:val="6F1725DE"/>
    <w:rsid w:val="6F983B5E"/>
    <w:rsid w:val="6FA7614A"/>
    <w:rsid w:val="6FBF1C12"/>
    <w:rsid w:val="6FC77A0F"/>
    <w:rsid w:val="6FD5763E"/>
    <w:rsid w:val="70163CF3"/>
    <w:rsid w:val="701C6F6C"/>
    <w:rsid w:val="703A11E9"/>
    <w:rsid w:val="703F2826"/>
    <w:rsid w:val="70506008"/>
    <w:rsid w:val="70592BD0"/>
    <w:rsid w:val="705B4992"/>
    <w:rsid w:val="70691153"/>
    <w:rsid w:val="706C685F"/>
    <w:rsid w:val="708906D1"/>
    <w:rsid w:val="70934920"/>
    <w:rsid w:val="70A72179"/>
    <w:rsid w:val="70A96CEB"/>
    <w:rsid w:val="70C76100"/>
    <w:rsid w:val="70ED0E4E"/>
    <w:rsid w:val="70FE2DD7"/>
    <w:rsid w:val="713734FD"/>
    <w:rsid w:val="714E385F"/>
    <w:rsid w:val="71593B40"/>
    <w:rsid w:val="715E70FD"/>
    <w:rsid w:val="71681909"/>
    <w:rsid w:val="71754026"/>
    <w:rsid w:val="717C7162"/>
    <w:rsid w:val="719B3B6B"/>
    <w:rsid w:val="71A22818"/>
    <w:rsid w:val="71AF59F3"/>
    <w:rsid w:val="71B70534"/>
    <w:rsid w:val="71B763EC"/>
    <w:rsid w:val="71BB48E8"/>
    <w:rsid w:val="71C23755"/>
    <w:rsid w:val="71C468BD"/>
    <w:rsid w:val="71CF2D9C"/>
    <w:rsid w:val="71D70292"/>
    <w:rsid w:val="71F32BFA"/>
    <w:rsid w:val="71F413EE"/>
    <w:rsid w:val="71F47640"/>
    <w:rsid w:val="71F71872"/>
    <w:rsid w:val="71FD1FC9"/>
    <w:rsid w:val="72005FE5"/>
    <w:rsid w:val="7242215A"/>
    <w:rsid w:val="72435ED2"/>
    <w:rsid w:val="72451C4A"/>
    <w:rsid w:val="72481A7D"/>
    <w:rsid w:val="72575570"/>
    <w:rsid w:val="727E1F3E"/>
    <w:rsid w:val="7295497F"/>
    <w:rsid w:val="72C53EAC"/>
    <w:rsid w:val="72CC487C"/>
    <w:rsid w:val="72E2393D"/>
    <w:rsid w:val="72EE6634"/>
    <w:rsid w:val="72F774F5"/>
    <w:rsid w:val="73041B05"/>
    <w:rsid w:val="73552881"/>
    <w:rsid w:val="738404B6"/>
    <w:rsid w:val="738F7333"/>
    <w:rsid w:val="73A71F64"/>
    <w:rsid w:val="74097BB1"/>
    <w:rsid w:val="74104207"/>
    <w:rsid w:val="74145D78"/>
    <w:rsid w:val="741C6A3A"/>
    <w:rsid w:val="74235D34"/>
    <w:rsid w:val="74322AFF"/>
    <w:rsid w:val="74424693"/>
    <w:rsid w:val="745717D5"/>
    <w:rsid w:val="745A5E80"/>
    <w:rsid w:val="745D0172"/>
    <w:rsid w:val="74652F40"/>
    <w:rsid w:val="74850A24"/>
    <w:rsid w:val="74A42E21"/>
    <w:rsid w:val="74C82A05"/>
    <w:rsid w:val="74CF151E"/>
    <w:rsid w:val="74D379E1"/>
    <w:rsid w:val="74D56578"/>
    <w:rsid w:val="74DD0B56"/>
    <w:rsid w:val="74F008B3"/>
    <w:rsid w:val="74FD680C"/>
    <w:rsid w:val="75091655"/>
    <w:rsid w:val="751D4246"/>
    <w:rsid w:val="75272066"/>
    <w:rsid w:val="752D3A4F"/>
    <w:rsid w:val="753362C5"/>
    <w:rsid w:val="755B2AF5"/>
    <w:rsid w:val="756B1BA3"/>
    <w:rsid w:val="75703482"/>
    <w:rsid w:val="75822A16"/>
    <w:rsid w:val="758331B5"/>
    <w:rsid w:val="7592164A"/>
    <w:rsid w:val="759B5A5A"/>
    <w:rsid w:val="75D02172"/>
    <w:rsid w:val="75D20971"/>
    <w:rsid w:val="75F25C45"/>
    <w:rsid w:val="75F33F9B"/>
    <w:rsid w:val="75F61EF0"/>
    <w:rsid w:val="75F80645"/>
    <w:rsid w:val="75FA40F8"/>
    <w:rsid w:val="75FA59FA"/>
    <w:rsid w:val="760D46D0"/>
    <w:rsid w:val="7610431D"/>
    <w:rsid w:val="762768F9"/>
    <w:rsid w:val="76325E2A"/>
    <w:rsid w:val="76361484"/>
    <w:rsid w:val="76392F90"/>
    <w:rsid w:val="76426BCC"/>
    <w:rsid w:val="76465F91"/>
    <w:rsid w:val="76577D91"/>
    <w:rsid w:val="76A80C09"/>
    <w:rsid w:val="76AF7559"/>
    <w:rsid w:val="76B24594"/>
    <w:rsid w:val="76B92C06"/>
    <w:rsid w:val="76DD1A19"/>
    <w:rsid w:val="76DD34B1"/>
    <w:rsid w:val="76FB4FCD"/>
    <w:rsid w:val="7703645F"/>
    <w:rsid w:val="77043E82"/>
    <w:rsid w:val="773504DF"/>
    <w:rsid w:val="77522230"/>
    <w:rsid w:val="77523C27"/>
    <w:rsid w:val="775B3AB5"/>
    <w:rsid w:val="77692D92"/>
    <w:rsid w:val="77890EB7"/>
    <w:rsid w:val="77905FE5"/>
    <w:rsid w:val="77954689"/>
    <w:rsid w:val="779B18FC"/>
    <w:rsid w:val="77B21B30"/>
    <w:rsid w:val="77BB691C"/>
    <w:rsid w:val="77D702A8"/>
    <w:rsid w:val="77E67A2B"/>
    <w:rsid w:val="77EB3293"/>
    <w:rsid w:val="780370D4"/>
    <w:rsid w:val="78306EF8"/>
    <w:rsid w:val="783B7D77"/>
    <w:rsid w:val="784B788E"/>
    <w:rsid w:val="785C1A9B"/>
    <w:rsid w:val="7876004E"/>
    <w:rsid w:val="787C73F9"/>
    <w:rsid w:val="787D4DEF"/>
    <w:rsid w:val="78957683"/>
    <w:rsid w:val="789A4628"/>
    <w:rsid w:val="789B1872"/>
    <w:rsid w:val="78B673FD"/>
    <w:rsid w:val="78C36D18"/>
    <w:rsid w:val="78CC4E73"/>
    <w:rsid w:val="78DF1533"/>
    <w:rsid w:val="78F46B40"/>
    <w:rsid w:val="79062627"/>
    <w:rsid w:val="791E4FA3"/>
    <w:rsid w:val="79216733"/>
    <w:rsid w:val="792175C5"/>
    <w:rsid w:val="7924080B"/>
    <w:rsid w:val="79303C51"/>
    <w:rsid w:val="79450781"/>
    <w:rsid w:val="79513C6B"/>
    <w:rsid w:val="795E4766"/>
    <w:rsid w:val="795F1582"/>
    <w:rsid w:val="79804EF7"/>
    <w:rsid w:val="79910EBB"/>
    <w:rsid w:val="79992A19"/>
    <w:rsid w:val="799D3616"/>
    <w:rsid w:val="79A566FF"/>
    <w:rsid w:val="79E058C9"/>
    <w:rsid w:val="79FC207B"/>
    <w:rsid w:val="7A173A4F"/>
    <w:rsid w:val="7A242F20"/>
    <w:rsid w:val="7A5661C7"/>
    <w:rsid w:val="7A5E6609"/>
    <w:rsid w:val="7A991FA0"/>
    <w:rsid w:val="7A9D43F0"/>
    <w:rsid w:val="7AA7239D"/>
    <w:rsid w:val="7ABD3455"/>
    <w:rsid w:val="7AD32C5B"/>
    <w:rsid w:val="7AD37ED3"/>
    <w:rsid w:val="7B016906"/>
    <w:rsid w:val="7B160627"/>
    <w:rsid w:val="7B225C6F"/>
    <w:rsid w:val="7B2956D5"/>
    <w:rsid w:val="7B2B3FE0"/>
    <w:rsid w:val="7B4C30E7"/>
    <w:rsid w:val="7B752A79"/>
    <w:rsid w:val="7B78720F"/>
    <w:rsid w:val="7B7D3CEE"/>
    <w:rsid w:val="7B86755B"/>
    <w:rsid w:val="7BAE260E"/>
    <w:rsid w:val="7BB3231A"/>
    <w:rsid w:val="7BC77B74"/>
    <w:rsid w:val="7BD001F1"/>
    <w:rsid w:val="7BD5086A"/>
    <w:rsid w:val="7BE44BE8"/>
    <w:rsid w:val="7BF73FB5"/>
    <w:rsid w:val="7C0A68D7"/>
    <w:rsid w:val="7C0B6412"/>
    <w:rsid w:val="7C2F4BDD"/>
    <w:rsid w:val="7C35250D"/>
    <w:rsid w:val="7C357419"/>
    <w:rsid w:val="7C3C5E6C"/>
    <w:rsid w:val="7C52568F"/>
    <w:rsid w:val="7C576919"/>
    <w:rsid w:val="7C613FE3"/>
    <w:rsid w:val="7C6E0CB7"/>
    <w:rsid w:val="7C74301B"/>
    <w:rsid w:val="7C772A93"/>
    <w:rsid w:val="7C8E41ED"/>
    <w:rsid w:val="7CB53846"/>
    <w:rsid w:val="7CC320E9"/>
    <w:rsid w:val="7CC61BD9"/>
    <w:rsid w:val="7CCA3477"/>
    <w:rsid w:val="7CD4499B"/>
    <w:rsid w:val="7CDE6F23"/>
    <w:rsid w:val="7D127985"/>
    <w:rsid w:val="7D1B6666"/>
    <w:rsid w:val="7D226853"/>
    <w:rsid w:val="7D4165A6"/>
    <w:rsid w:val="7D493B6A"/>
    <w:rsid w:val="7D660923"/>
    <w:rsid w:val="7D690EE2"/>
    <w:rsid w:val="7D7B6AD8"/>
    <w:rsid w:val="7D823D52"/>
    <w:rsid w:val="7DA261A2"/>
    <w:rsid w:val="7DAC0DCF"/>
    <w:rsid w:val="7DAD41B9"/>
    <w:rsid w:val="7DBE5F66"/>
    <w:rsid w:val="7DC15F5D"/>
    <w:rsid w:val="7DD064C2"/>
    <w:rsid w:val="7DD11339"/>
    <w:rsid w:val="7DD14F2E"/>
    <w:rsid w:val="7DD43CC2"/>
    <w:rsid w:val="7DD87E43"/>
    <w:rsid w:val="7DFA52F7"/>
    <w:rsid w:val="7E001EAC"/>
    <w:rsid w:val="7E002B1A"/>
    <w:rsid w:val="7E230656"/>
    <w:rsid w:val="7E2629B5"/>
    <w:rsid w:val="7E314F2A"/>
    <w:rsid w:val="7E41185C"/>
    <w:rsid w:val="7E4436FD"/>
    <w:rsid w:val="7E682F48"/>
    <w:rsid w:val="7E6D4839"/>
    <w:rsid w:val="7E6F61CB"/>
    <w:rsid w:val="7E775881"/>
    <w:rsid w:val="7E8A7070"/>
    <w:rsid w:val="7ECC061A"/>
    <w:rsid w:val="7ED22BF9"/>
    <w:rsid w:val="7EF742CC"/>
    <w:rsid w:val="7EFC7494"/>
    <w:rsid w:val="7F016EF9"/>
    <w:rsid w:val="7F1466C2"/>
    <w:rsid w:val="7F313C82"/>
    <w:rsid w:val="7F3E1D30"/>
    <w:rsid w:val="7F477001"/>
    <w:rsid w:val="7F5A6F9E"/>
    <w:rsid w:val="7F6F4F13"/>
    <w:rsid w:val="7F7378B0"/>
    <w:rsid w:val="7F7621C7"/>
    <w:rsid w:val="7F764D90"/>
    <w:rsid w:val="7F7C38D3"/>
    <w:rsid w:val="7F7F41A0"/>
    <w:rsid w:val="7FC8211E"/>
    <w:rsid w:val="7FD14B1D"/>
    <w:rsid w:val="7FE42AA2"/>
    <w:rsid w:val="7FF94C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71"/>
    <w:qFormat/>
    <w:uiPriority w:val="0"/>
    <w:pPr>
      <w:keepNext/>
      <w:snapToGrid w:val="0"/>
      <w:spacing w:line="360" w:lineRule="atLeast"/>
      <w:outlineLvl w:val="0"/>
    </w:pPr>
    <w:rPr>
      <w:rFonts w:ascii="宋体"/>
    </w:rPr>
  </w:style>
  <w:style w:type="paragraph" w:styleId="3">
    <w:name w:val="heading 2"/>
    <w:basedOn w:val="1"/>
    <w:next w:val="1"/>
    <w:link w:val="75"/>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72"/>
    <w:qFormat/>
    <w:uiPriority w:val="0"/>
    <w:pPr>
      <w:keepNext/>
      <w:keepLines/>
      <w:spacing w:before="260" w:after="260" w:line="413" w:lineRule="auto"/>
      <w:outlineLvl w:val="2"/>
    </w:pPr>
    <w:rPr>
      <w:b/>
      <w:sz w:val="32"/>
    </w:rPr>
  </w:style>
  <w:style w:type="paragraph" w:styleId="5">
    <w:name w:val="heading 4"/>
    <w:basedOn w:val="1"/>
    <w:next w:val="1"/>
    <w:link w:val="76"/>
    <w:qFormat/>
    <w:uiPriority w:val="0"/>
    <w:pPr>
      <w:keepNext/>
      <w:keepLines/>
      <w:spacing w:before="280" w:after="290" w:line="372" w:lineRule="auto"/>
      <w:outlineLvl w:val="3"/>
    </w:pPr>
    <w:rPr>
      <w:rFonts w:ascii="Arial" w:hAnsi="Arial" w:eastAsia="黑体"/>
      <w:b/>
    </w:rPr>
  </w:style>
  <w:style w:type="paragraph" w:styleId="6">
    <w:name w:val="heading 5"/>
    <w:basedOn w:val="1"/>
    <w:next w:val="1"/>
    <w:link w:val="77"/>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link w:val="78"/>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link w:val="79"/>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link w:val="80"/>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link w:val="8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tabs>
        <w:tab w:val="left" w:pos="780"/>
      </w:tabs>
      <w:spacing w:line="360" w:lineRule="auto"/>
      <w:ind w:left="425" w:hanging="425"/>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link w:val="170"/>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149"/>
    <w:qFormat/>
    <w:uiPriority w:val="0"/>
    <w:pPr>
      <w:adjustRightInd w:val="0"/>
      <w:spacing w:line="360" w:lineRule="atLeast"/>
      <w:jc w:val="left"/>
      <w:textAlignment w:val="baseline"/>
    </w:pPr>
    <w:rPr>
      <w:rFonts w:asciiTheme="minorHAnsi" w:hAnsiTheme="minorHAnsi" w:eastAsiaTheme="minorEastAsia" w:cstheme="minorBidi"/>
      <w:sz w:val="24"/>
      <w:szCs w:val="22"/>
    </w:rPr>
  </w:style>
  <w:style w:type="paragraph" w:styleId="20">
    <w:name w:val="Body Text 3"/>
    <w:basedOn w:val="1"/>
    <w:link w:val="186"/>
    <w:qFormat/>
    <w:uiPriority w:val="0"/>
    <w:pPr>
      <w:adjustRightInd w:val="0"/>
      <w:snapToGrid w:val="0"/>
      <w:spacing w:after="120" w:line="360" w:lineRule="auto"/>
    </w:pPr>
    <w:rPr>
      <w:sz w:val="16"/>
    </w:rPr>
  </w:style>
  <w:style w:type="paragraph" w:styleId="21">
    <w:name w:val="List Bullet 3"/>
    <w:basedOn w:val="1"/>
    <w:qFormat/>
    <w:uiPriority w:val="0"/>
    <w:pPr>
      <w:tabs>
        <w:tab w:val="left" w:pos="1200"/>
      </w:tabs>
      <w:adjustRightInd w:val="0"/>
      <w:snapToGrid w:val="0"/>
      <w:spacing w:line="360" w:lineRule="auto"/>
      <w:ind w:left="1200" w:hanging="360"/>
    </w:pPr>
    <w:rPr>
      <w:sz w:val="24"/>
    </w:rPr>
  </w:style>
  <w:style w:type="paragraph" w:styleId="22">
    <w:name w:val="Body Text"/>
    <w:basedOn w:val="1"/>
    <w:next w:val="1"/>
    <w:link w:val="143"/>
    <w:unhideWhenUsed/>
    <w:qFormat/>
    <w:uiPriority w:val="0"/>
    <w:pPr>
      <w:spacing w:after="120"/>
    </w:pPr>
  </w:style>
  <w:style w:type="paragraph" w:styleId="23">
    <w:name w:val="Body Text Indent"/>
    <w:basedOn w:val="1"/>
    <w:link w:val="138"/>
    <w:unhideWhenUsed/>
    <w:qFormat/>
    <w:uiPriority w:val="0"/>
    <w:pPr>
      <w:spacing w:after="120"/>
      <w:ind w:left="420" w:leftChars="200"/>
    </w:p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tabs>
        <w:tab w:val="left" w:pos="780"/>
      </w:tabs>
      <w:adjustRightInd w:val="0"/>
      <w:snapToGrid w:val="0"/>
      <w:spacing w:line="360" w:lineRule="auto"/>
      <w:ind w:left="780" w:hanging="360"/>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127"/>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158"/>
    <w:qFormat/>
    <w:uiPriority w:val="0"/>
    <w:rPr>
      <w:rFonts w:asciiTheme="minorHAnsi" w:hAnsiTheme="minorHAnsi" w:eastAsiaTheme="minorEastAsia" w:cstheme="minorBidi"/>
      <w:szCs w:val="22"/>
    </w:rPr>
  </w:style>
  <w:style w:type="paragraph" w:styleId="33">
    <w:name w:val="Body Text Indent 2"/>
    <w:basedOn w:val="1"/>
    <w:link w:val="175"/>
    <w:qFormat/>
    <w:uiPriority w:val="0"/>
    <w:pPr>
      <w:snapToGrid w:val="0"/>
      <w:spacing w:line="560" w:lineRule="atLeast"/>
      <w:ind w:firstLine="540"/>
    </w:pPr>
    <w:rPr>
      <w:rFonts w:asciiTheme="minorHAnsi" w:hAnsiTheme="minorHAnsi" w:eastAsiaTheme="minorEastAsia" w:cstheme="minorBidi"/>
      <w:szCs w:val="22"/>
    </w:rPr>
  </w:style>
  <w:style w:type="paragraph" w:styleId="34">
    <w:name w:val="Balloon Text"/>
    <w:basedOn w:val="1"/>
    <w:link w:val="155"/>
    <w:qFormat/>
    <w:uiPriority w:val="0"/>
    <w:rPr>
      <w:sz w:val="18"/>
    </w:rPr>
  </w:style>
  <w:style w:type="paragraph" w:styleId="35">
    <w:name w:val="footer"/>
    <w:basedOn w:val="1"/>
    <w:link w:val="182"/>
    <w:qFormat/>
    <w:uiPriority w:val="0"/>
    <w:pPr>
      <w:tabs>
        <w:tab w:val="center" w:pos="4153"/>
        <w:tab w:val="right" w:pos="8306"/>
      </w:tabs>
      <w:snapToGrid w:val="0"/>
      <w:jc w:val="left"/>
    </w:pPr>
    <w:rPr>
      <w:sz w:val="18"/>
    </w:rPr>
  </w:style>
  <w:style w:type="paragraph" w:styleId="36">
    <w:name w:val="header"/>
    <w:basedOn w:val="1"/>
    <w:link w:val="17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0"/>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179"/>
    <w:qFormat/>
    <w:uiPriority w:val="0"/>
    <w:pPr>
      <w:spacing w:line="360" w:lineRule="auto"/>
    </w:pPr>
    <w:rPr>
      <w:rFonts w:asciiTheme="minorHAnsi" w:hAnsiTheme="minorHAnsi" w:eastAsiaTheme="minorEastAsia" w:cstheme="minorBidi"/>
      <w:sz w:val="18"/>
      <w:szCs w:val="22"/>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link w:val="166"/>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link w:val="145"/>
    <w:qFormat/>
    <w:uiPriority w:val="0"/>
    <w:pPr>
      <w:adjustRightInd w:val="0"/>
      <w:snapToGrid w:val="0"/>
      <w:spacing w:after="12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line="360" w:lineRule="auto"/>
      <w:ind w:left="840" w:leftChars="400"/>
    </w:pPr>
    <w:rPr>
      <w:sz w:val="24"/>
    </w:rPr>
  </w:style>
  <w:style w:type="paragraph" w:styleId="50">
    <w:name w:val="Normal (Web)"/>
    <w:basedOn w:val="1"/>
    <w:qFormat/>
    <w:uiPriority w:val="99"/>
    <w:pPr>
      <w:widowControl/>
      <w:spacing w:before="100" w:beforeAutospacing="1" w:after="100" w:afterAutospacing="1"/>
      <w:jc w:val="left"/>
    </w:pPr>
    <w:rPr>
      <w:rFonts w:ascii="宋体" w:hAnsi="宋体"/>
      <w:kern w:val="0"/>
      <w:sz w:val="24"/>
    </w:rPr>
  </w:style>
  <w:style w:type="paragraph" w:styleId="51">
    <w:name w:val="List Continue 3"/>
    <w:basedOn w:val="1"/>
    <w:qFormat/>
    <w:uiPriority w:val="0"/>
    <w:pPr>
      <w:adjustRightInd w:val="0"/>
      <w:snapToGrid w:val="0"/>
      <w:spacing w:after="12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link w:val="121"/>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163"/>
    <w:qFormat/>
    <w:uiPriority w:val="0"/>
    <w:pPr>
      <w:adjustRightInd/>
      <w:spacing w:line="240" w:lineRule="auto"/>
      <w:textAlignment w:val="auto"/>
    </w:pPr>
  </w:style>
  <w:style w:type="paragraph" w:styleId="55">
    <w:name w:val="Body Text First Indent"/>
    <w:basedOn w:val="22"/>
    <w:next w:val="1"/>
    <w:link w:val="144"/>
    <w:qFormat/>
    <w:uiPriority w:val="0"/>
    <w:pPr>
      <w:spacing w:line="360" w:lineRule="auto"/>
      <w:ind w:firstLine="420"/>
    </w:pPr>
    <w:rPr>
      <w:rFonts w:ascii="宋体" w:hAnsi="宋体"/>
      <w:sz w:val="24"/>
    </w:rPr>
  </w:style>
  <w:style w:type="paragraph" w:styleId="56">
    <w:name w:val="Body Text First Indent 2"/>
    <w:basedOn w:val="23"/>
    <w:link w:val="139"/>
    <w:qFormat/>
    <w:uiPriority w:val="0"/>
    <w:pPr>
      <w:ind w:firstLine="420" w:firstLineChars="200"/>
    </w:pPr>
    <w:rPr>
      <w:rFonts w:asciiTheme="minorHAnsi" w:hAnsiTheme="minorHAnsi" w:eastAsiaTheme="minorEastAsia" w:cstheme="minorBidi"/>
      <w:sz w:val="44"/>
      <w:szCs w:val="22"/>
    </w:rPr>
  </w:style>
  <w:style w:type="table" w:styleId="58">
    <w:name w:val="Table Grid"/>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basedOn w:val="59"/>
    <w:qFormat/>
    <w:uiPriority w:val="22"/>
    <w:rPr>
      <w:b/>
    </w:rPr>
  </w:style>
  <w:style w:type="character" w:styleId="61">
    <w:name w:val="page number"/>
    <w:basedOn w:val="59"/>
    <w:qFormat/>
    <w:uiPriority w:val="0"/>
  </w:style>
  <w:style w:type="character" w:styleId="62">
    <w:name w:val="FollowedHyperlink"/>
    <w:basedOn w:val="59"/>
    <w:qFormat/>
    <w:uiPriority w:val="0"/>
    <w:rPr>
      <w:color w:val="1890FF"/>
      <w:u w:val="none"/>
    </w:rPr>
  </w:style>
  <w:style w:type="character" w:styleId="63">
    <w:name w:val="Emphasis"/>
    <w:qFormat/>
    <w:uiPriority w:val="0"/>
    <w:rPr>
      <w:i/>
    </w:rPr>
  </w:style>
  <w:style w:type="character" w:styleId="64">
    <w:name w:val="HTML Definition"/>
    <w:basedOn w:val="59"/>
    <w:unhideWhenUsed/>
    <w:qFormat/>
    <w:uiPriority w:val="99"/>
    <w:rPr>
      <w:i/>
      <w:bdr w:val="single" w:color="D9D9D9" w:sz="6" w:space="0"/>
      <w:shd w:val="clear" w:color="auto" w:fill="FFFFFF"/>
    </w:rPr>
  </w:style>
  <w:style w:type="character" w:styleId="65">
    <w:name w:val="Hyperlink"/>
    <w:basedOn w:val="59"/>
    <w:qFormat/>
    <w:uiPriority w:val="99"/>
    <w:rPr>
      <w:color w:val="1890FF"/>
      <w:u w:val="none"/>
    </w:rPr>
  </w:style>
  <w:style w:type="character" w:styleId="66">
    <w:name w:val="HTML Code"/>
    <w:basedOn w:val="59"/>
    <w:unhideWhenUsed/>
    <w:qFormat/>
    <w:uiPriority w:val="99"/>
    <w:rPr>
      <w:rFonts w:hint="default" w:ascii="Consolas" w:hAnsi="Consolas" w:eastAsia="Consolas" w:cs="Consolas"/>
      <w:sz w:val="21"/>
      <w:szCs w:val="21"/>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character" w:styleId="69">
    <w:name w:val="HTML Keyboard"/>
    <w:basedOn w:val="59"/>
    <w:unhideWhenUsed/>
    <w:qFormat/>
    <w:uiPriority w:val="99"/>
    <w:rPr>
      <w:rFonts w:ascii="Consolas" w:hAnsi="Consolas" w:eastAsia="Consolas" w:cs="Consolas"/>
      <w:sz w:val="21"/>
      <w:szCs w:val="21"/>
    </w:rPr>
  </w:style>
  <w:style w:type="character" w:styleId="70">
    <w:name w:val="HTML Sample"/>
    <w:basedOn w:val="59"/>
    <w:unhideWhenUsed/>
    <w:qFormat/>
    <w:uiPriority w:val="99"/>
    <w:rPr>
      <w:rFonts w:hint="default" w:ascii="Consolas" w:hAnsi="Consolas" w:eastAsia="Consolas" w:cs="Consolas"/>
      <w:sz w:val="21"/>
      <w:szCs w:val="21"/>
    </w:rPr>
  </w:style>
  <w:style w:type="character" w:customStyle="1" w:styleId="71">
    <w:name w:val="标题 1 字符"/>
    <w:basedOn w:val="59"/>
    <w:link w:val="2"/>
    <w:qFormat/>
    <w:uiPriority w:val="0"/>
    <w:rPr>
      <w:rFonts w:ascii="宋体" w:hAnsi="Times New Roman" w:eastAsia="宋体" w:cs="Times New Roman"/>
      <w:sz w:val="28"/>
      <w:szCs w:val="20"/>
    </w:rPr>
  </w:style>
  <w:style w:type="character" w:customStyle="1" w:styleId="72">
    <w:name w:val="标题 3 字符"/>
    <w:basedOn w:val="59"/>
    <w:link w:val="4"/>
    <w:qFormat/>
    <w:uiPriority w:val="0"/>
    <w:rPr>
      <w:rFonts w:ascii="Times New Roman" w:hAnsi="Times New Roman" w:eastAsia="宋体" w:cs="Times New Roman"/>
      <w:b/>
      <w:sz w:val="32"/>
      <w:szCs w:val="20"/>
    </w:rPr>
  </w:style>
  <w:style w:type="paragraph" w:customStyle="1" w:styleId="73">
    <w:name w:val="Default"/>
    <w:next w:val="1"/>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74">
    <w:name w:val="无间隔1"/>
    <w:qFormat/>
    <w:uiPriority w:val="0"/>
    <w:rPr>
      <w:rFonts w:ascii="Times New Roman" w:hAnsi="Times New Roman" w:eastAsia="宋体" w:cs="Times New Roman"/>
      <w:sz w:val="22"/>
      <w:szCs w:val="22"/>
      <w:lang w:val="en-US" w:eastAsia="zh-CN" w:bidi="ar-SA"/>
    </w:rPr>
  </w:style>
  <w:style w:type="character" w:customStyle="1" w:styleId="75">
    <w:name w:val="标题 2 字符"/>
    <w:basedOn w:val="59"/>
    <w:link w:val="3"/>
    <w:qFormat/>
    <w:uiPriority w:val="0"/>
    <w:rPr>
      <w:rFonts w:ascii="Arial" w:hAnsi="Arial" w:eastAsia="黑体" w:cs="Times New Roman"/>
      <w:b/>
      <w:sz w:val="32"/>
      <w:szCs w:val="20"/>
    </w:rPr>
  </w:style>
  <w:style w:type="character" w:customStyle="1" w:styleId="76">
    <w:name w:val="标题 4 字符"/>
    <w:basedOn w:val="59"/>
    <w:link w:val="5"/>
    <w:qFormat/>
    <w:uiPriority w:val="0"/>
    <w:rPr>
      <w:rFonts w:ascii="Arial" w:hAnsi="Arial" w:eastAsia="黑体" w:cs="Times New Roman"/>
      <w:b/>
      <w:sz w:val="28"/>
      <w:szCs w:val="20"/>
    </w:rPr>
  </w:style>
  <w:style w:type="character" w:customStyle="1" w:styleId="77">
    <w:name w:val="标题 5 字符"/>
    <w:basedOn w:val="59"/>
    <w:link w:val="6"/>
    <w:qFormat/>
    <w:uiPriority w:val="0"/>
    <w:rPr>
      <w:rFonts w:ascii="Times New Roman" w:hAnsi="Times New Roman" w:eastAsia="宋体" w:cs="Times New Roman"/>
      <w:b/>
      <w:sz w:val="28"/>
      <w:szCs w:val="20"/>
    </w:rPr>
  </w:style>
  <w:style w:type="character" w:customStyle="1" w:styleId="78">
    <w:name w:val="标题 6 字符"/>
    <w:basedOn w:val="59"/>
    <w:link w:val="7"/>
    <w:qFormat/>
    <w:uiPriority w:val="0"/>
    <w:rPr>
      <w:rFonts w:ascii="Arial" w:hAnsi="Arial" w:eastAsia="黑体" w:cs="Times New Roman"/>
      <w:b/>
      <w:sz w:val="24"/>
      <w:szCs w:val="20"/>
    </w:rPr>
  </w:style>
  <w:style w:type="character" w:customStyle="1" w:styleId="79">
    <w:name w:val="标题 7 字符"/>
    <w:basedOn w:val="59"/>
    <w:link w:val="8"/>
    <w:qFormat/>
    <w:uiPriority w:val="0"/>
    <w:rPr>
      <w:rFonts w:ascii="Arial" w:hAnsi="Arial" w:eastAsia="黑体" w:cs="Times New Roman"/>
      <w:b/>
      <w:sz w:val="24"/>
      <w:szCs w:val="20"/>
    </w:rPr>
  </w:style>
  <w:style w:type="character" w:customStyle="1" w:styleId="80">
    <w:name w:val="标题 8 字符"/>
    <w:basedOn w:val="59"/>
    <w:link w:val="9"/>
    <w:qFormat/>
    <w:uiPriority w:val="0"/>
    <w:rPr>
      <w:rFonts w:ascii="Arial" w:hAnsi="Arial" w:eastAsia="黑体" w:cs="Times New Roman"/>
      <w:b/>
      <w:sz w:val="24"/>
      <w:szCs w:val="20"/>
    </w:rPr>
  </w:style>
  <w:style w:type="character" w:customStyle="1" w:styleId="81">
    <w:name w:val="标题 9 字符"/>
    <w:basedOn w:val="59"/>
    <w:link w:val="10"/>
    <w:qFormat/>
    <w:uiPriority w:val="0"/>
    <w:rPr>
      <w:rFonts w:ascii="Arial" w:hAnsi="Arial" w:eastAsia="黑体" w:cs="Times New Roman"/>
      <w:b/>
      <w:sz w:val="24"/>
      <w:szCs w:val="20"/>
    </w:rPr>
  </w:style>
  <w:style w:type="character" w:customStyle="1" w:styleId="82">
    <w:name w:val="正文文本缩进 Char"/>
    <w:qFormat/>
    <w:uiPriority w:val="0"/>
    <w:rPr>
      <w:kern w:val="2"/>
      <w:sz w:val="44"/>
    </w:rPr>
  </w:style>
  <w:style w:type="character" w:customStyle="1" w:styleId="83">
    <w:name w:val="Table Heading Char Char"/>
    <w:qFormat/>
    <w:uiPriority w:val="0"/>
    <w:rPr>
      <w:rFonts w:ascii="Arial" w:hAnsi="Arial" w:eastAsia="黑体"/>
      <w:kern w:val="2"/>
      <w:sz w:val="18"/>
      <w:lang w:val="en-US" w:eastAsia="zh-CN"/>
    </w:rPr>
  </w:style>
  <w:style w:type="character" w:customStyle="1" w:styleId="84">
    <w:name w:val="样式 宋体"/>
    <w:qFormat/>
    <w:uiPriority w:val="0"/>
    <w:rPr>
      <w:rFonts w:ascii="宋体" w:hAnsi="宋体" w:eastAsia="宋体"/>
      <w:sz w:val="28"/>
    </w:rPr>
  </w:style>
  <w:style w:type="character" w:customStyle="1" w:styleId="85">
    <w:name w:val="Char Char4"/>
    <w:qFormat/>
    <w:uiPriority w:val="0"/>
    <w:rPr>
      <w:rFonts w:eastAsia="宋体"/>
      <w:b/>
      <w:kern w:val="2"/>
      <w:sz w:val="21"/>
      <w:lang w:val="en-US" w:eastAsia="zh-CN"/>
    </w:rPr>
  </w:style>
  <w:style w:type="character" w:customStyle="1" w:styleId="86">
    <w:name w:val="title_emph1"/>
    <w:qFormat/>
    <w:uiPriority w:val="0"/>
    <w:rPr>
      <w:rFonts w:hint="default" w:ascii="Arial" w:hAnsi="Arial"/>
      <w:b/>
      <w:sz w:val="20"/>
    </w:rPr>
  </w:style>
  <w:style w:type="character" w:customStyle="1" w:styleId="87">
    <w:name w:val="文字 Char"/>
    <w:link w:val="88"/>
    <w:qFormat/>
    <w:uiPriority w:val="0"/>
    <w:rPr>
      <w:rFonts w:ascii="宋体"/>
      <w:sz w:val="28"/>
    </w:rPr>
  </w:style>
  <w:style w:type="paragraph" w:customStyle="1" w:styleId="88">
    <w:name w:val="文字"/>
    <w:basedOn w:val="1"/>
    <w:link w:val="87"/>
    <w:qFormat/>
    <w:uiPriority w:val="0"/>
    <w:pPr>
      <w:tabs>
        <w:tab w:val="left" w:pos="8520"/>
      </w:tabs>
      <w:spacing w:line="312" w:lineRule="auto"/>
      <w:ind w:right="-210" w:firstLine="556"/>
    </w:pPr>
    <w:rPr>
      <w:rFonts w:ascii="宋体" w:hAnsiTheme="minorHAnsi" w:eastAsiaTheme="minorEastAsia" w:cstheme="minorBidi"/>
      <w:szCs w:val="22"/>
    </w:rPr>
  </w:style>
  <w:style w:type="character" w:customStyle="1" w:styleId="89">
    <w:name w:val="正文文本缩进 2 Char"/>
    <w:qFormat/>
    <w:uiPriority w:val="0"/>
    <w:rPr>
      <w:sz w:val="28"/>
    </w:rPr>
  </w:style>
  <w:style w:type="character" w:customStyle="1" w:styleId="90">
    <w:name w:val="Char Char11"/>
    <w:qFormat/>
    <w:uiPriority w:val="0"/>
    <w:rPr>
      <w:rFonts w:ascii="宋体"/>
      <w:kern w:val="2"/>
      <w:sz w:val="28"/>
    </w:rPr>
  </w:style>
  <w:style w:type="character" w:customStyle="1" w:styleId="91">
    <w:name w:val="批注文字 Char"/>
    <w:qFormat/>
    <w:uiPriority w:val="0"/>
    <w:rPr>
      <w:sz w:val="24"/>
    </w:rPr>
  </w:style>
  <w:style w:type="character" w:customStyle="1" w:styleId="92">
    <w:name w:val="Char Char6"/>
    <w:qFormat/>
    <w:uiPriority w:val="0"/>
    <w:rPr>
      <w:rFonts w:ascii="仿宋_GB2312" w:eastAsia="仿宋_GB2312"/>
      <w:kern w:val="2"/>
      <w:sz w:val="32"/>
    </w:rPr>
  </w:style>
  <w:style w:type="character" w:customStyle="1" w:styleId="93">
    <w:name w:val="正文 + 三号 Char"/>
    <w:qFormat/>
    <w:uiPriority w:val="0"/>
    <w:rPr>
      <w:rFonts w:eastAsia="宋体"/>
      <w:kern w:val="2"/>
      <w:sz w:val="21"/>
      <w:lang w:val="en-US" w:eastAsia="zh-CN"/>
    </w:rPr>
  </w:style>
  <w:style w:type="character" w:customStyle="1" w:styleId="94">
    <w:name w:val="脚注文本 Char"/>
    <w:qFormat/>
    <w:uiPriority w:val="0"/>
    <w:rPr>
      <w:sz w:val="18"/>
    </w:rPr>
  </w:style>
  <w:style w:type="character" w:customStyle="1" w:styleId="95">
    <w:name w:val="Table Text Char1 Char"/>
    <w:qFormat/>
    <w:uiPriority w:val="0"/>
    <w:rPr>
      <w:rFonts w:ascii="Arial" w:hAnsi="Arial"/>
      <w:kern w:val="2"/>
      <w:sz w:val="18"/>
      <w:lang w:val="en-US" w:eastAsia="zh-CN" w:bidi="ar-SA"/>
    </w:rPr>
  </w:style>
  <w:style w:type="character" w:customStyle="1" w:styleId="96">
    <w:name w:val="v151"/>
    <w:qFormat/>
    <w:uiPriority w:val="0"/>
    <w:rPr>
      <w:sz w:val="18"/>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未命名11"/>
    <w:qFormat/>
    <w:uiPriority w:val="0"/>
    <w:rPr>
      <w:color w:val="77FFFF"/>
      <w:sz w:val="24"/>
    </w:rPr>
  </w:style>
  <w:style w:type="character" w:customStyle="1" w:styleId="99">
    <w:name w:val="Char Char"/>
    <w:qFormat/>
    <w:uiPriority w:val="0"/>
    <w:rPr>
      <w:rFonts w:ascii="宋体" w:hAnsi="宋体" w:eastAsia="宋体"/>
      <w:kern w:val="2"/>
      <w:sz w:val="24"/>
      <w:lang w:val="en-US" w:eastAsia="zh-CN" w:bidi="ar-SA"/>
    </w:rPr>
  </w:style>
  <w:style w:type="character" w:customStyle="1" w:styleId="100">
    <w:name w:val="Char Char5"/>
    <w:qFormat/>
    <w:uiPriority w:val="0"/>
    <w:rPr>
      <w:rFonts w:ascii="Arial" w:hAnsi="Arial" w:eastAsia="宋体"/>
      <w:b/>
      <w:smallCaps/>
      <w:kern w:val="28"/>
      <w:sz w:val="36"/>
      <w:lang w:val="en-US" w:eastAsia="en-US"/>
    </w:rPr>
  </w:style>
  <w:style w:type="character" w:customStyle="1" w:styleId="101">
    <w:name w:val="标书正文:  0.74 厘米 Char1"/>
    <w:qFormat/>
    <w:uiPriority w:val="0"/>
    <w:rPr>
      <w:rFonts w:eastAsia="宋体"/>
      <w:kern w:val="2"/>
      <w:sz w:val="24"/>
      <w:lang w:val="en-US" w:eastAsia="zh-CN"/>
    </w:rPr>
  </w:style>
  <w:style w:type="character" w:customStyle="1" w:styleId="102">
    <w:name w:val="Char Char2"/>
    <w:qFormat/>
    <w:uiPriority w:val="0"/>
    <w:rPr>
      <w:rFonts w:eastAsia="宋体"/>
      <w:kern w:val="2"/>
      <w:sz w:val="18"/>
      <w:lang w:val="en-US" w:eastAsia="zh-CN"/>
    </w:rPr>
  </w:style>
  <w:style w:type="character" w:customStyle="1" w:styleId="103">
    <w:name w:val="top-det1"/>
    <w:qFormat/>
    <w:uiPriority w:val="0"/>
    <w:rPr>
      <w:b/>
      <w:color w:val="000000"/>
    </w:rPr>
  </w:style>
  <w:style w:type="character" w:customStyle="1" w:styleId="104">
    <w:name w:val="日期 Char"/>
    <w:qFormat/>
    <w:uiPriority w:val="0"/>
    <w:rPr>
      <w:sz w:val="28"/>
    </w:rPr>
  </w:style>
  <w:style w:type="character" w:customStyle="1" w:styleId="105">
    <w:name w:val="批注主题 Char"/>
    <w:basedOn w:val="91"/>
    <w:qFormat/>
    <w:uiPriority w:val="0"/>
    <w:rPr>
      <w:sz w:val="24"/>
    </w:rPr>
  </w:style>
  <w:style w:type="character" w:customStyle="1" w:styleId="106">
    <w:name w:val="Char Char3"/>
    <w:qFormat/>
    <w:uiPriority w:val="0"/>
    <w:rPr>
      <w:rFonts w:eastAsia="宋体"/>
      <w:kern w:val="2"/>
      <w:sz w:val="18"/>
      <w:lang w:val="en-US" w:eastAsia="zh-CN"/>
    </w:rPr>
  </w:style>
  <w:style w:type="character" w:customStyle="1" w:styleId="107">
    <w:name w:val="Table Text Char"/>
    <w:link w:val="108"/>
    <w:qFormat/>
    <w:uiPriority w:val="0"/>
    <w:rPr>
      <w:rFonts w:ascii="Arial" w:hAnsi="Arial"/>
      <w:sz w:val="18"/>
    </w:rPr>
  </w:style>
  <w:style w:type="paragraph" w:customStyle="1" w:styleId="108">
    <w:name w:val="Table Text"/>
    <w:link w:val="107"/>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9">
    <w:name w:val="crowed11"/>
    <w:qFormat/>
    <w:uiPriority w:val="0"/>
    <w:rPr>
      <w:rFonts w:hint="default"/>
      <w:sz w:val="24"/>
    </w:rPr>
  </w:style>
  <w:style w:type="character" w:customStyle="1" w:styleId="110">
    <w:name w:val="font1"/>
    <w:qFormat/>
    <w:uiPriority w:val="0"/>
    <w:rPr>
      <w:color w:val="000000"/>
      <w:sz w:val="18"/>
    </w:rPr>
  </w:style>
  <w:style w:type="character" w:customStyle="1" w:styleId="111">
    <w:name w:val="Table Text Char Char Char Char"/>
    <w:link w:val="112"/>
    <w:qFormat/>
    <w:uiPriority w:val="0"/>
    <w:rPr>
      <w:rFonts w:ascii="Arial" w:hAnsi="Arial"/>
      <w:sz w:val="18"/>
    </w:rPr>
  </w:style>
  <w:style w:type="paragraph" w:customStyle="1" w:styleId="112">
    <w:name w:val="Table Text Char Char Char"/>
    <w:link w:val="111"/>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13">
    <w:name w:val="H2 Char"/>
    <w:qFormat/>
    <w:uiPriority w:val="0"/>
    <w:rPr>
      <w:rFonts w:ascii="Arial" w:hAnsi="Arial" w:eastAsia="宋体"/>
      <w:kern w:val="2"/>
      <w:sz w:val="28"/>
      <w:lang w:val="en-US" w:eastAsia="zh-CN"/>
    </w:rPr>
  </w:style>
  <w:style w:type="character" w:customStyle="1" w:styleId="114">
    <w:name w:val="content-white1"/>
    <w:qFormat/>
    <w:uiPriority w:val="0"/>
    <w:rPr>
      <w:color w:val="auto"/>
      <w:sz w:val="18"/>
      <w:u w:val="none"/>
    </w:rPr>
  </w:style>
  <w:style w:type="character" w:customStyle="1" w:styleId="115">
    <w:name w:val="正文首行缩进 2 Char"/>
    <w:basedOn w:val="82"/>
    <w:qFormat/>
    <w:uiPriority w:val="0"/>
    <w:rPr>
      <w:kern w:val="2"/>
      <w:sz w:val="44"/>
    </w:rPr>
  </w:style>
  <w:style w:type="character" w:customStyle="1" w:styleId="116">
    <w:name w:val="Char Char7"/>
    <w:qFormat/>
    <w:uiPriority w:val="0"/>
    <w:rPr>
      <w:rFonts w:ascii="宋体" w:hAnsi="宋体" w:eastAsia="宋体"/>
      <w:kern w:val="2"/>
      <w:sz w:val="28"/>
    </w:rPr>
  </w:style>
  <w:style w:type="paragraph" w:customStyle="1" w:styleId="117">
    <w:name w:val="样式 首行缩进:  0.74 厘米"/>
    <w:basedOn w:val="1"/>
    <w:qFormat/>
    <w:uiPriority w:val="0"/>
    <w:pPr>
      <w:spacing w:line="360" w:lineRule="auto"/>
      <w:ind w:firstLine="420"/>
    </w:pPr>
    <w:rPr>
      <w:sz w:val="24"/>
    </w:rPr>
  </w:style>
  <w:style w:type="paragraph" w:customStyle="1" w:styleId="118">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19">
    <w:name w:val="表号"/>
    <w:basedOn w:val="1"/>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120">
    <w:name w:val="正文 + 三号"/>
    <w:basedOn w:val="1"/>
    <w:qFormat/>
    <w:uiPriority w:val="0"/>
    <w:rPr>
      <w:sz w:val="21"/>
    </w:rPr>
  </w:style>
  <w:style w:type="character" w:customStyle="1" w:styleId="121">
    <w:name w:val="标题 字符"/>
    <w:basedOn w:val="59"/>
    <w:link w:val="53"/>
    <w:qFormat/>
    <w:uiPriority w:val="0"/>
    <w:rPr>
      <w:rFonts w:ascii="Arial" w:hAnsi="Arial" w:eastAsia="宋体" w:cs="Times New Roman"/>
      <w:b/>
      <w:smallCaps/>
      <w:kern w:val="28"/>
      <w:sz w:val="36"/>
      <w:szCs w:val="20"/>
      <w:lang w:eastAsia="en-US"/>
    </w:rPr>
  </w:style>
  <w:style w:type="paragraph" w:customStyle="1" w:styleId="122">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23">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24">
    <w:name w:val="样式 正文缩进正文（首行缩进两字）表正文正文非缩进特点标题4段1 + 首行缩进:  2 字符"/>
    <w:basedOn w:val="15"/>
    <w:qFormat/>
    <w:uiPriority w:val="0"/>
    <w:pPr>
      <w:ind w:firstLine="480" w:firstLineChars="200"/>
    </w:pPr>
  </w:style>
  <w:style w:type="paragraph" w:customStyle="1" w:styleId="125">
    <w:name w:val="1.正文"/>
    <w:basedOn w:val="1"/>
    <w:qFormat/>
    <w:uiPriority w:val="0"/>
    <w:pPr>
      <w:spacing w:line="360" w:lineRule="auto"/>
      <w:ind w:left="540" w:leftChars="225" w:firstLine="540" w:firstLineChars="225"/>
    </w:pPr>
    <w:rPr>
      <w:sz w:val="24"/>
    </w:rPr>
  </w:style>
  <w:style w:type="paragraph" w:customStyle="1" w:styleId="126">
    <w:name w:val="正文4"/>
    <w:basedOn w:val="1"/>
    <w:qFormat/>
    <w:uiPriority w:val="0"/>
    <w:pPr>
      <w:tabs>
        <w:tab w:val="left" w:pos="1275"/>
      </w:tabs>
      <w:spacing w:before="60" w:after="60" w:line="360" w:lineRule="auto"/>
      <w:ind w:left="820" w:leftChars="400" w:hanging="705"/>
    </w:pPr>
    <w:rPr>
      <w:sz w:val="24"/>
    </w:rPr>
  </w:style>
  <w:style w:type="character" w:customStyle="1" w:styleId="127">
    <w:name w:val="纯文本 字符"/>
    <w:basedOn w:val="59"/>
    <w:link w:val="30"/>
    <w:qFormat/>
    <w:uiPriority w:val="0"/>
    <w:rPr>
      <w:rFonts w:ascii="宋体" w:hAnsi="Courier New" w:eastAsia="宋体" w:cs="Times New Roman"/>
      <w:szCs w:val="20"/>
    </w:rPr>
  </w:style>
  <w:style w:type="paragraph" w:customStyle="1" w:styleId="128">
    <w:name w:val="Char"/>
    <w:basedOn w:val="1"/>
    <w:qFormat/>
    <w:uiPriority w:val="0"/>
    <w:pPr>
      <w:spacing w:line="240" w:lineRule="atLeast"/>
      <w:ind w:left="420" w:firstLine="420"/>
    </w:pPr>
    <w:rPr>
      <w:kern w:val="0"/>
      <w:sz w:val="21"/>
    </w:rPr>
  </w:style>
  <w:style w:type="paragraph" w:customStyle="1" w:styleId="12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30">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1">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32">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33">
    <w:name w:val="Char2"/>
    <w:basedOn w:val="1"/>
    <w:qFormat/>
    <w:uiPriority w:val="0"/>
    <w:pPr>
      <w:spacing w:line="240" w:lineRule="atLeast"/>
      <w:ind w:left="420" w:firstLine="420"/>
    </w:pPr>
    <w:rPr>
      <w:kern w:val="0"/>
      <w:sz w:val="21"/>
    </w:rPr>
  </w:style>
  <w:style w:type="paragraph" w:customStyle="1" w:styleId="13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5">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6">
    <w:name w:val="文章正文"/>
    <w:basedOn w:val="1"/>
    <w:qFormat/>
    <w:uiPriority w:val="0"/>
    <w:pPr>
      <w:ind w:firstLine="560" w:firstLineChars="200"/>
    </w:pPr>
    <w:rPr>
      <w:rFonts w:ascii="仿宋_GB2312" w:hAnsi="宋体" w:eastAsia="仿宋_GB2312"/>
      <w:color w:val="000000"/>
    </w:rPr>
  </w:style>
  <w:style w:type="paragraph" w:customStyle="1" w:styleId="137">
    <w:name w:val="表头文本"/>
    <w:qFormat/>
    <w:uiPriority w:val="0"/>
    <w:pPr>
      <w:jc w:val="center"/>
    </w:pPr>
    <w:rPr>
      <w:rFonts w:ascii="Arial" w:hAnsi="Arial" w:eastAsia="宋体" w:cs="Times New Roman"/>
      <w:b/>
      <w:sz w:val="21"/>
      <w:lang w:val="en-US" w:eastAsia="zh-CN" w:bidi="ar-SA"/>
    </w:rPr>
  </w:style>
  <w:style w:type="character" w:customStyle="1" w:styleId="138">
    <w:name w:val="正文文本缩进 字符"/>
    <w:basedOn w:val="59"/>
    <w:link w:val="23"/>
    <w:semiHidden/>
    <w:qFormat/>
    <w:uiPriority w:val="99"/>
    <w:rPr>
      <w:rFonts w:ascii="Times New Roman" w:hAnsi="Times New Roman" w:eastAsia="宋体" w:cs="Times New Roman"/>
      <w:sz w:val="28"/>
      <w:szCs w:val="20"/>
    </w:rPr>
  </w:style>
  <w:style w:type="character" w:customStyle="1" w:styleId="139">
    <w:name w:val="正文首行缩进 2 字符"/>
    <w:basedOn w:val="138"/>
    <w:link w:val="56"/>
    <w:semiHidden/>
    <w:qFormat/>
    <w:uiPriority w:val="99"/>
    <w:rPr>
      <w:rFonts w:ascii="Times New Roman" w:hAnsi="Times New Roman" w:eastAsia="宋体" w:cs="Times New Roman"/>
      <w:sz w:val="28"/>
      <w:szCs w:val="20"/>
    </w:rPr>
  </w:style>
  <w:style w:type="paragraph" w:customStyle="1" w:styleId="140">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41">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42">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character" w:customStyle="1" w:styleId="143">
    <w:name w:val="正文文本 字符"/>
    <w:basedOn w:val="59"/>
    <w:link w:val="22"/>
    <w:semiHidden/>
    <w:qFormat/>
    <w:uiPriority w:val="99"/>
    <w:rPr>
      <w:rFonts w:ascii="Times New Roman" w:hAnsi="Times New Roman" w:eastAsia="宋体" w:cs="Times New Roman"/>
      <w:sz w:val="28"/>
      <w:szCs w:val="20"/>
    </w:rPr>
  </w:style>
  <w:style w:type="character" w:customStyle="1" w:styleId="144">
    <w:name w:val="正文首行缩进 字符"/>
    <w:basedOn w:val="143"/>
    <w:link w:val="55"/>
    <w:qFormat/>
    <w:uiPriority w:val="0"/>
    <w:rPr>
      <w:rFonts w:ascii="宋体" w:hAnsi="宋体" w:eastAsia="宋体" w:cs="Times New Roman"/>
      <w:sz w:val="24"/>
      <w:szCs w:val="20"/>
    </w:rPr>
  </w:style>
  <w:style w:type="character" w:customStyle="1" w:styleId="145">
    <w:name w:val="正文文本 2 字符"/>
    <w:basedOn w:val="59"/>
    <w:link w:val="47"/>
    <w:qFormat/>
    <w:uiPriority w:val="0"/>
    <w:rPr>
      <w:rFonts w:ascii="Times New Roman" w:hAnsi="Times New Roman" w:eastAsia="宋体" w:cs="Times New Roman"/>
      <w:sz w:val="24"/>
      <w:szCs w:val="20"/>
    </w:rPr>
  </w:style>
  <w:style w:type="paragraph" w:customStyle="1" w:styleId="146">
    <w:name w:val="Char Char14 Char Char"/>
    <w:basedOn w:val="1"/>
    <w:qFormat/>
    <w:uiPriority w:val="0"/>
    <w:rPr>
      <w:sz w:val="21"/>
      <w:szCs w:val="24"/>
    </w:rPr>
  </w:style>
  <w:style w:type="paragraph" w:customStyle="1" w:styleId="147">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8">
    <w:name w:val="Char Char Char"/>
    <w:basedOn w:val="1"/>
    <w:qFormat/>
    <w:uiPriority w:val="0"/>
    <w:rPr>
      <w:rFonts w:ascii="Tahoma" w:hAnsi="Tahoma"/>
      <w:sz w:val="24"/>
    </w:rPr>
  </w:style>
  <w:style w:type="character" w:customStyle="1" w:styleId="149">
    <w:name w:val="批注文字 字符"/>
    <w:basedOn w:val="59"/>
    <w:link w:val="19"/>
    <w:semiHidden/>
    <w:qFormat/>
    <w:uiPriority w:val="99"/>
    <w:rPr>
      <w:rFonts w:ascii="Times New Roman" w:hAnsi="Times New Roman" w:eastAsia="宋体" w:cs="Times New Roman"/>
      <w:sz w:val="28"/>
      <w:szCs w:val="20"/>
    </w:rPr>
  </w:style>
  <w:style w:type="paragraph" w:customStyle="1" w:styleId="150">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51">
    <w:name w:val="样式4"/>
    <w:basedOn w:val="5"/>
    <w:qFormat/>
    <w:uiPriority w:val="0"/>
    <w:pPr>
      <w:adjustRightInd w:val="0"/>
      <w:snapToGrid w:val="0"/>
    </w:pPr>
  </w:style>
  <w:style w:type="paragraph" w:customStyle="1" w:styleId="152">
    <w:name w:val="编号正文"/>
    <w:basedOn w:val="129"/>
    <w:qFormat/>
    <w:uiPriority w:val="0"/>
    <w:pPr>
      <w:snapToGrid/>
      <w:spacing w:line="360" w:lineRule="auto"/>
      <w:ind w:left="1407" w:hanging="1047"/>
      <w:jc w:val="left"/>
    </w:pPr>
    <w:rPr>
      <w:rFonts w:eastAsia="仿宋_GB2312"/>
    </w:rPr>
  </w:style>
  <w:style w:type="paragraph" w:customStyle="1" w:styleId="153">
    <w:name w:val="Char1 Char Char Char"/>
    <w:basedOn w:val="1"/>
    <w:qFormat/>
    <w:uiPriority w:val="0"/>
    <w:rPr>
      <w:rFonts w:ascii="Tahoma" w:hAnsi="Tahoma"/>
      <w:sz w:val="24"/>
    </w:rPr>
  </w:style>
  <w:style w:type="paragraph" w:customStyle="1" w:styleId="154">
    <w:name w:val="正文1"/>
    <w:basedOn w:val="1"/>
    <w:qFormat/>
    <w:uiPriority w:val="0"/>
    <w:pPr>
      <w:spacing w:line="300" w:lineRule="auto"/>
      <w:ind w:firstLine="200" w:firstLineChars="200"/>
    </w:pPr>
    <w:rPr>
      <w:sz w:val="24"/>
    </w:rPr>
  </w:style>
  <w:style w:type="character" w:customStyle="1" w:styleId="155">
    <w:name w:val="批注框文本 字符"/>
    <w:basedOn w:val="59"/>
    <w:link w:val="34"/>
    <w:qFormat/>
    <w:uiPriority w:val="0"/>
    <w:rPr>
      <w:rFonts w:ascii="Times New Roman" w:hAnsi="Times New Roman" w:eastAsia="宋体" w:cs="Times New Roman"/>
      <w:sz w:val="18"/>
      <w:szCs w:val="20"/>
    </w:rPr>
  </w:style>
  <w:style w:type="paragraph" w:customStyle="1" w:styleId="156">
    <w:name w:val="af"/>
    <w:basedOn w:val="1"/>
    <w:qFormat/>
    <w:uiPriority w:val="0"/>
    <w:pPr>
      <w:widowControl/>
      <w:spacing w:line="300" w:lineRule="atLeast"/>
      <w:jc w:val="left"/>
    </w:pPr>
    <w:rPr>
      <w:rFonts w:ascii="宋体" w:hAnsi="宋体"/>
      <w:kern w:val="0"/>
      <w:sz w:val="18"/>
    </w:rPr>
  </w:style>
  <w:style w:type="paragraph" w:customStyle="1" w:styleId="157">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character" w:customStyle="1" w:styleId="158">
    <w:name w:val="日期 字符"/>
    <w:basedOn w:val="59"/>
    <w:link w:val="32"/>
    <w:semiHidden/>
    <w:qFormat/>
    <w:uiPriority w:val="99"/>
    <w:rPr>
      <w:rFonts w:ascii="Times New Roman" w:hAnsi="Times New Roman" w:eastAsia="宋体" w:cs="Times New Roman"/>
      <w:sz w:val="28"/>
      <w:szCs w:val="20"/>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62">
    <w:name w:val="正文文本 21"/>
    <w:basedOn w:val="1"/>
    <w:qFormat/>
    <w:uiPriority w:val="0"/>
    <w:pPr>
      <w:adjustRightInd w:val="0"/>
      <w:spacing w:before="120" w:line="360" w:lineRule="auto"/>
      <w:ind w:firstLine="480"/>
      <w:textAlignment w:val="baseline"/>
    </w:pPr>
    <w:rPr>
      <w:sz w:val="24"/>
    </w:rPr>
  </w:style>
  <w:style w:type="character" w:customStyle="1" w:styleId="163">
    <w:name w:val="批注主题 字符"/>
    <w:basedOn w:val="149"/>
    <w:link w:val="54"/>
    <w:semiHidden/>
    <w:qFormat/>
    <w:uiPriority w:val="99"/>
    <w:rPr>
      <w:rFonts w:ascii="Times New Roman" w:hAnsi="Times New Roman" w:eastAsia="宋体" w:cs="Times New Roman"/>
      <w:b/>
      <w:bCs/>
      <w:sz w:val="28"/>
      <w:szCs w:val="20"/>
    </w:rPr>
  </w:style>
  <w:style w:type="paragraph" w:customStyle="1" w:styleId="164">
    <w:name w:val="一级条标题"/>
    <w:basedOn w:val="165"/>
    <w:next w:val="134"/>
    <w:qFormat/>
    <w:uiPriority w:val="0"/>
    <w:pPr>
      <w:ind w:left="525"/>
      <w:outlineLvl w:val="2"/>
    </w:pPr>
    <w:rPr>
      <w:sz w:val="21"/>
    </w:rPr>
  </w:style>
  <w:style w:type="paragraph" w:customStyle="1" w:styleId="165">
    <w:name w:val="章标题"/>
    <w:next w:val="1"/>
    <w:qFormat/>
    <w:uiPriority w:val="0"/>
    <w:pPr>
      <w:spacing w:beforeLines="50" w:afterLines="50"/>
      <w:jc w:val="both"/>
      <w:outlineLvl w:val="1"/>
    </w:pPr>
    <w:rPr>
      <w:rFonts w:ascii="黑体" w:hAnsi="Times New Roman" w:eastAsia="黑体" w:cs="Times New Roman"/>
      <w:sz w:val="24"/>
      <w:lang w:val="en-US" w:eastAsia="zh-CN" w:bidi="ar-SA"/>
    </w:rPr>
  </w:style>
  <w:style w:type="character" w:customStyle="1" w:styleId="166">
    <w:name w:val="正文文本缩进 3 字符"/>
    <w:basedOn w:val="59"/>
    <w:link w:val="43"/>
    <w:qFormat/>
    <w:uiPriority w:val="0"/>
    <w:rPr>
      <w:rFonts w:ascii="黑体" w:hAnsi="Times New Roman" w:eastAsia="黑体" w:cs="Times New Roman"/>
      <w:sz w:val="28"/>
      <w:szCs w:val="20"/>
    </w:rPr>
  </w:style>
  <w:style w:type="paragraph" w:customStyle="1" w:styleId="167">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68">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69">
    <w:name w:val="可研正文"/>
    <w:basedOn w:val="22"/>
    <w:qFormat/>
    <w:uiPriority w:val="0"/>
    <w:pPr>
      <w:adjustRightInd w:val="0"/>
      <w:snapToGrid w:val="0"/>
      <w:spacing w:after="0" w:line="440" w:lineRule="exact"/>
      <w:ind w:firstLine="567"/>
    </w:pPr>
    <w:rPr>
      <w:rFonts w:ascii="仿宋_GB2312" w:eastAsia="仿宋_GB2312"/>
    </w:rPr>
  </w:style>
  <w:style w:type="character" w:customStyle="1" w:styleId="170">
    <w:name w:val="文档结构图 字符"/>
    <w:basedOn w:val="59"/>
    <w:link w:val="17"/>
    <w:qFormat/>
    <w:uiPriority w:val="0"/>
    <w:rPr>
      <w:rFonts w:ascii="Times New Roman" w:hAnsi="Times New Roman" w:eastAsia="宋体" w:cs="Times New Roman"/>
      <w:sz w:val="28"/>
      <w:szCs w:val="20"/>
      <w:shd w:val="clear" w:color="auto" w:fill="000080"/>
    </w:rPr>
  </w:style>
  <w:style w:type="character" w:customStyle="1" w:styleId="171">
    <w:name w:val="页眉 字符"/>
    <w:basedOn w:val="59"/>
    <w:link w:val="36"/>
    <w:qFormat/>
    <w:uiPriority w:val="0"/>
    <w:rPr>
      <w:rFonts w:ascii="Times New Roman" w:hAnsi="Times New Roman" w:eastAsia="宋体" w:cs="Times New Roman"/>
      <w:sz w:val="18"/>
      <w:szCs w:val="20"/>
    </w:rPr>
  </w:style>
  <w:style w:type="paragraph" w:customStyle="1" w:styleId="172">
    <w:name w:val="标题无"/>
    <w:basedOn w:val="1"/>
    <w:qFormat/>
    <w:uiPriority w:val="0"/>
    <w:pPr>
      <w:spacing w:line="360" w:lineRule="auto"/>
    </w:pPr>
    <w:rPr>
      <w:sz w:val="24"/>
    </w:rPr>
  </w:style>
  <w:style w:type="paragraph" w:customStyle="1" w:styleId="173">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74">
    <w:name w:val="Char Char1 Char"/>
    <w:basedOn w:val="1"/>
    <w:qFormat/>
    <w:uiPriority w:val="0"/>
    <w:rPr>
      <w:rFonts w:ascii="Tahoma" w:hAnsi="Tahoma"/>
      <w:sz w:val="24"/>
      <w:szCs w:val="24"/>
    </w:rPr>
  </w:style>
  <w:style w:type="character" w:customStyle="1" w:styleId="175">
    <w:name w:val="正文文本缩进 2 字符"/>
    <w:basedOn w:val="59"/>
    <w:link w:val="33"/>
    <w:semiHidden/>
    <w:qFormat/>
    <w:uiPriority w:val="99"/>
    <w:rPr>
      <w:rFonts w:ascii="Times New Roman" w:hAnsi="Times New Roman" w:eastAsia="宋体" w:cs="Times New Roman"/>
      <w:sz w:val="28"/>
      <w:szCs w:val="20"/>
    </w:rPr>
  </w:style>
  <w:style w:type="paragraph" w:customStyle="1" w:styleId="176">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77">
    <w:name w:val="操作步骤"/>
    <w:basedOn w:val="1"/>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178">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character" w:customStyle="1" w:styleId="179">
    <w:name w:val="脚注文本 字符"/>
    <w:basedOn w:val="59"/>
    <w:link w:val="40"/>
    <w:semiHidden/>
    <w:qFormat/>
    <w:uiPriority w:val="99"/>
    <w:rPr>
      <w:rFonts w:ascii="Times New Roman" w:hAnsi="Times New Roman" w:eastAsia="宋体" w:cs="Times New Roman"/>
      <w:sz w:val="18"/>
      <w:szCs w:val="18"/>
    </w:rPr>
  </w:style>
  <w:style w:type="paragraph" w:customStyle="1" w:styleId="180">
    <w:name w:val="00"/>
    <w:basedOn w:val="1"/>
    <w:qFormat/>
    <w:uiPriority w:val="0"/>
    <w:pPr>
      <w:autoSpaceDE w:val="0"/>
      <w:autoSpaceDN w:val="0"/>
      <w:adjustRightInd w:val="0"/>
      <w:jc w:val="left"/>
    </w:pPr>
    <w:rPr>
      <w:rFonts w:ascii="黑体" w:eastAsia="黑体"/>
      <w:b/>
      <w:kern w:val="0"/>
      <w:sz w:val="20"/>
    </w:rPr>
  </w:style>
  <w:style w:type="paragraph" w:customStyle="1" w:styleId="181">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character" w:customStyle="1" w:styleId="182">
    <w:name w:val="页脚 字符"/>
    <w:basedOn w:val="59"/>
    <w:link w:val="35"/>
    <w:qFormat/>
    <w:uiPriority w:val="0"/>
    <w:rPr>
      <w:rFonts w:ascii="Times New Roman" w:hAnsi="Times New Roman" w:eastAsia="宋体" w:cs="Times New Roman"/>
      <w:sz w:val="18"/>
      <w:szCs w:val="20"/>
    </w:rPr>
  </w:style>
  <w:style w:type="paragraph" w:customStyle="1" w:styleId="183">
    <w:name w:val="正文（首行不缩进）"/>
    <w:basedOn w:val="1"/>
    <w:qFormat/>
    <w:uiPriority w:val="0"/>
    <w:pPr>
      <w:autoSpaceDE w:val="0"/>
      <w:autoSpaceDN w:val="0"/>
      <w:adjustRightInd w:val="0"/>
      <w:spacing w:line="360" w:lineRule="auto"/>
      <w:jc w:val="left"/>
    </w:pPr>
    <w:rPr>
      <w:kern w:val="0"/>
      <w:sz w:val="21"/>
    </w:rPr>
  </w:style>
  <w:style w:type="paragraph" w:customStyle="1" w:styleId="184">
    <w:name w:val="Title - Revision"/>
    <w:basedOn w:val="53"/>
    <w:qFormat/>
    <w:uiPriority w:val="0"/>
    <w:pPr>
      <w:spacing w:before="720"/>
    </w:pPr>
  </w:style>
  <w:style w:type="paragraph" w:customStyle="1" w:styleId="185">
    <w:name w:val="首行缩进 1"/>
    <w:basedOn w:val="1"/>
    <w:qFormat/>
    <w:uiPriority w:val="0"/>
    <w:pPr>
      <w:spacing w:after="120" w:line="360" w:lineRule="auto"/>
      <w:ind w:firstLine="200" w:firstLineChars="200"/>
    </w:pPr>
    <w:rPr>
      <w:sz w:val="24"/>
    </w:rPr>
  </w:style>
  <w:style w:type="character" w:customStyle="1" w:styleId="186">
    <w:name w:val="正文文本 3 字符"/>
    <w:basedOn w:val="59"/>
    <w:link w:val="20"/>
    <w:qFormat/>
    <w:uiPriority w:val="0"/>
    <w:rPr>
      <w:rFonts w:ascii="Times New Roman" w:hAnsi="Times New Roman" w:eastAsia="宋体" w:cs="Times New Roman"/>
      <w:sz w:val="16"/>
      <w:szCs w:val="20"/>
    </w:rPr>
  </w:style>
  <w:style w:type="paragraph" w:customStyle="1" w:styleId="187">
    <w:name w:val="Char Char Char Char Char Char Char Char Char Char Char Char Char Char Char Char"/>
    <w:basedOn w:val="1"/>
    <w:qFormat/>
    <w:uiPriority w:val="0"/>
    <w:pPr>
      <w:tabs>
        <w:tab w:val="left" w:pos="360"/>
      </w:tabs>
    </w:pPr>
    <w:rPr>
      <w:sz w:val="24"/>
    </w:rPr>
  </w:style>
  <w:style w:type="paragraph" w:customStyle="1" w:styleId="188">
    <w:name w:val="二级列表"/>
    <w:basedOn w:val="189"/>
    <w:next w:val="189"/>
    <w:qFormat/>
    <w:uiPriority w:val="0"/>
    <w:pPr>
      <w:tabs>
        <w:tab w:val="left" w:pos="2120"/>
      </w:tabs>
      <w:ind w:firstLine="0" w:firstLineChars="0"/>
    </w:pPr>
    <w:rPr>
      <w:b/>
    </w:rPr>
  </w:style>
  <w:style w:type="paragraph" w:customStyle="1" w:styleId="189">
    <w:name w:val="段落正文"/>
    <w:basedOn w:val="1"/>
    <w:qFormat/>
    <w:uiPriority w:val="0"/>
    <w:pPr>
      <w:spacing w:beforeLines="50" w:line="360" w:lineRule="auto"/>
      <w:ind w:firstLine="200" w:firstLineChars="200"/>
    </w:pPr>
    <w:rPr>
      <w:spacing w:val="2"/>
      <w:sz w:val="24"/>
    </w:rPr>
  </w:style>
  <w:style w:type="paragraph" w:customStyle="1" w:styleId="190">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9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93">
    <w:name w:val="标书正文:  0.74 厘米"/>
    <w:basedOn w:val="1"/>
    <w:qFormat/>
    <w:uiPriority w:val="0"/>
    <w:pPr>
      <w:snapToGrid w:val="0"/>
      <w:spacing w:line="360" w:lineRule="auto"/>
      <w:ind w:firstLine="420"/>
    </w:pPr>
    <w:rPr>
      <w:sz w:val="24"/>
    </w:rPr>
  </w:style>
  <w:style w:type="paragraph" w:customStyle="1" w:styleId="194">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95">
    <w:name w:val="正文文本缩进 21"/>
    <w:basedOn w:val="1"/>
    <w:qFormat/>
    <w:uiPriority w:val="0"/>
    <w:pPr>
      <w:adjustRightInd w:val="0"/>
      <w:spacing w:before="120"/>
      <w:ind w:firstLine="420"/>
      <w:textAlignment w:val="baseline"/>
    </w:pPr>
    <w:rPr>
      <w:sz w:val="24"/>
    </w:rPr>
  </w:style>
  <w:style w:type="paragraph" w:customStyle="1" w:styleId="196">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97">
    <w:name w:val="_Style 1"/>
    <w:basedOn w:val="1"/>
    <w:qFormat/>
    <w:uiPriority w:val="0"/>
    <w:pPr>
      <w:ind w:firstLine="420" w:firstLineChars="200"/>
    </w:pPr>
    <w:rPr>
      <w:rFonts w:ascii="Calibri" w:hAnsi="Calibri"/>
      <w:sz w:val="21"/>
      <w:szCs w:val="24"/>
    </w:rPr>
  </w:style>
  <w:style w:type="paragraph" w:customStyle="1" w:styleId="198">
    <w:name w:val="表格内文字"/>
    <w:basedOn w:val="30"/>
    <w:qFormat/>
    <w:uiPriority w:val="0"/>
    <w:pPr>
      <w:adjustRightInd w:val="0"/>
    </w:pPr>
    <w:rPr>
      <w:color w:val="000000"/>
      <w:lang w:val="en-GB"/>
    </w:rPr>
  </w:style>
  <w:style w:type="paragraph" w:customStyle="1" w:styleId="199">
    <w:name w:val="Title - Date"/>
    <w:basedOn w:val="53"/>
    <w:next w:val="1"/>
    <w:qFormat/>
    <w:uiPriority w:val="0"/>
    <w:pPr>
      <w:spacing w:before="240" w:after="720"/>
    </w:pPr>
    <w:rPr>
      <w:sz w:val="28"/>
    </w:rPr>
  </w:style>
  <w:style w:type="paragraph" w:customStyle="1" w:styleId="200">
    <w:name w:val="默认段落字体 Para Char Char Char Char Char Char Char"/>
    <w:basedOn w:val="1"/>
    <w:qFormat/>
    <w:uiPriority w:val="0"/>
    <w:rPr>
      <w:rFonts w:ascii="Tahoma" w:hAnsi="Tahoma"/>
      <w:sz w:val="24"/>
    </w:rPr>
  </w:style>
  <w:style w:type="paragraph" w:customStyle="1" w:styleId="201">
    <w:name w:val="Item Step in Table"/>
    <w:qFormat/>
    <w:uiPriority w:val="0"/>
    <w:pPr>
      <w:tabs>
        <w:tab w:val="left" w:pos="397"/>
      </w:tabs>
      <w:spacing w:before="40" w:after="40"/>
      <w:jc w:val="both"/>
    </w:pPr>
    <w:rPr>
      <w:rFonts w:ascii="Arial" w:hAnsi="Arial" w:eastAsia="宋体" w:cs="Times New Roman"/>
      <w:sz w:val="18"/>
      <w:lang w:val="en-US" w:eastAsia="zh-CN" w:bidi="ar-SA"/>
    </w:rPr>
  </w:style>
  <w:style w:type="paragraph" w:customStyle="1" w:styleId="202">
    <w:name w:val="Table Contents"/>
    <w:basedOn w:val="22"/>
    <w:qFormat/>
    <w:uiPriority w:val="0"/>
    <w:pPr>
      <w:suppressAutoHyphens/>
      <w:spacing w:after="0"/>
      <w:jc w:val="left"/>
    </w:pPr>
    <w:rPr>
      <w:rFonts w:eastAsia="Times New Roman"/>
      <w:kern w:val="0"/>
      <w:sz w:val="24"/>
    </w:rPr>
  </w:style>
  <w:style w:type="paragraph" w:customStyle="1" w:styleId="203">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4">
    <w:name w:val="Char Char Char Char Char Char"/>
    <w:basedOn w:val="1"/>
    <w:qFormat/>
    <w:uiPriority w:val="0"/>
    <w:pPr>
      <w:widowControl/>
      <w:spacing w:after="160" w:line="240" w:lineRule="exact"/>
      <w:jc w:val="left"/>
    </w:pPr>
  </w:style>
  <w:style w:type="paragraph" w:customStyle="1" w:styleId="205">
    <w:name w:val="标准正文"/>
    <w:basedOn w:val="23"/>
    <w:qFormat/>
    <w:uiPriority w:val="0"/>
    <w:pPr>
      <w:spacing w:before="60" w:after="60" w:line="360" w:lineRule="auto"/>
      <w:ind w:left="0" w:leftChars="0" w:firstLine="482"/>
    </w:pPr>
    <w:rPr>
      <w:rFonts w:ascii="Arial" w:hAnsi="Arial"/>
      <w:sz w:val="24"/>
    </w:rPr>
  </w:style>
  <w:style w:type="paragraph" w:customStyle="1" w:styleId="206">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07">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08">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209">
    <w:name w:val="Item List"/>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210">
    <w:name w:val="1"/>
    <w:basedOn w:val="1"/>
    <w:next w:val="30"/>
    <w:qFormat/>
    <w:uiPriority w:val="0"/>
    <w:rPr>
      <w:rFonts w:ascii="宋体" w:hAnsi="Courier New"/>
      <w:sz w:val="21"/>
    </w:rPr>
  </w:style>
  <w:style w:type="paragraph" w:customStyle="1" w:styleId="211">
    <w:name w:val="图片文字"/>
    <w:basedOn w:val="1"/>
    <w:qFormat/>
    <w:uiPriority w:val="0"/>
    <w:pPr>
      <w:spacing w:line="240" w:lineRule="atLeast"/>
      <w:jc w:val="center"/>
    </w:pPr>
    <w:rPr>
      <w:sz w:val="21"/>
    </w:rPr>
  </w:style>
  <w:style w:type="paragraph" w:customStyle="1" w:styleId="212">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13">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1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15">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16">
    <w:name w:val="Note"/>
    <w:basedOn w:val="1"/>
    <w:qFormat/>
    <w:uiPriority w:val="0"/>
    <w:pPr>
      <w:pBdr>
        <w:top w:val="single" w:color="auto" w:sz="12" w:space="3"/>
        <w:bottom w:val="single" w:color="auto" w:sz="12" w:space="3"/>
      </w:pBdr>
      <w:spacing w:line="360" w:lineRule="auto"/>
    </w:pPr>
    <w:rPr>
      <w:sz w:val="24"/>
    </w:rPr>
  </w:style>
  <w:style w:type="paragraph" w:customStyle="1" w:styleId="217">
    <w:name w:val="Char Char 字元 字元 字元 Char Char Char Char"/>
    <w:basedOn w:val="1"/>
    <w:qFormat/>
    <w:uiPriority w:val="0"/>
    <w:pPr>
      <w:adjustRightInd w:val="0"/>
      <w:spacing w:line="360" w:lineRule="auto"/>
    </w:pPr>
    <w:rPr>
      <w:kern w:val="0"/>
      <w:sz w:val="24"/>
    </w:rPr>
  </w:style>
  <w:style w:type="paragraph" w:customStyle="1" w:styleId="218">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19">
    <w:name w:val="样式 正文首行缩进 2 + 首行缩进:  2 字符"/>
    <w:basedOn w:val="1"/>
    <w:qFormat/>
    <w:uiPriority w:val="0"/>
    <w:pPr>
      <w:tabs>
        <w:tab w:val="left" w:pos="987"/>
      </w:tabs>
      <w:adjustRightInd w:val="0"/>
      <w:snapToGrid w:val="0"/>
      <w:spacing w:line="360" w:lineRule="auto"/>
      <w:ind w:left="987" w:hanging="420"/>
    </w:pPr>
    <w:rPr>
      <w:rFonts w:ascii="Arial" w:hAnsi="Arial"/>
      <w:b/>
      <w:sz w:val="24"/>
    </w:rPr>
  </w:style>
  <w:style w:type="paragraph" w:customStyle="1" w:styleId="22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1">
    <w:name w:val="表文字"/>
    <w:qFormat/>
    <w:uiPriority w:val="0"/>
    <w:rPr>
      <w:rFonts w:ascii="宋体" w:hAnsi="Times New Roman" w:eastAsia="宋体" w:cs="Times New Roman"/>
      <w:kern w:val="2"/>
      <w:lang w:val="en-US" w:eastAsia="zh-CN" w:bidi="ar-SA"/>
    </w:rPr>
  </w:style>
  <w:style w:type="paragraph" w:customStyle="1" w:styleId="222">
    <w:name w:val="样式 行距: 1.5 倍行距1"/>
    <w:basedOn w:val="1"/>
    <w:qFormat/>
    <w:uiPriority w:val="0"/>
    <w:pPr>
      <w:snapToGrid w:val="0"/>
    </w:pPr>
    <w:rPr>
      <w:sz w:val="21"/>
    </w:rPr>
  </w:style>
  <w:style w:type="paragraph" w:customStyle="1" w:styleId="223">
    <w:name w:val="样式2"/>
    <w:basedOn w:val="5"/>
    <w:qFormat/>
    <w:uiPriority w:val="0"/>
    <w:pPr>
      <w:tabs>
        <w:tab w:val="left" w:pos="720"/>
      </w:tabs>
      <w:spacing w:before="560" w:line="400" w:lineRule="exact"/>
      <w:ind w:left="420" w:hanging="420"/>
      <w:jc w:val="center"/>
      <w:outlineLvl w:val="0"/>
    </w:pPr>
    <w:rPr>
      <w:b w:val="0"/>
      <w:sz w:val="44"/>
    </w:rPr>
  </w:style>
  <w:style w:type="paragraph" w:customStyle="1" w:styleId="224">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25">
    <w:name w:val="默认段落字体 Para Char Char Char Char Char Char Char Char Char1 Char Char Char Char"/>
    <w:basedOn w:val="1"/>
    <w:qFormat/>
    <w:uiPriority w:val="0"/>
    <w:rPr>
      <w:rFonts w:ascii="Tahoma" w:hAnsi="Tahoma"/>
      <w:sz w:val="24"/>
    </w:rPr>
  </w:style>
  <w:style w:type="paragraph" w:customStyle="1" w:styleId="226">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27">
    <w:name w:val="表头样式"/>
    <w:basedOn w:val="1"/>
    <w:qFormat/>
    <w:uiPriority w:val="0"/>
    <w:pPr>
      <w:autoSpaceDE w:val="0"/>
      <w:autoSpaceDN w:val="0"/>
      <w:adjustRightInd w:val="0"/>
      <w:spacing w:line="360" w:lineRule="auto"/>
      <w:jc w:val="left"/>
    </w:pPr>
    <w:rPr>
      <w:b/>
      <w:kern w:val="0"/>
      <w:sz w:val="21"/>
    </w:rPr>
  </w:style>
  <w:style w:type="paragraph" w:customStyle="1" w:styleId="228">
    <w:name w:val="IN Feature"/>
    <w:next w:val="229"/>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29">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30">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31">
    <w:name w:val="列表项目"/>
    <w:basedOn w:val="1"/>
    <w:qFormat/>
    <w:uiPriority w:val="0"/>
    <w:pPr>
      <w:tabs>
        <w:tab w:val="left" w:pos="420"/>
      </w:tabs>
      <w:spacing w:line="288" w:lineRule="auto"/>
      <w:ind w:left="840" w:leftChars="200" w:hanging="420" w:hangingChars="200"/>
    </w:pPr>
    <w:rPr>
      <w:sz w:val="21"/>
    </w:rPr>
  </w:style>
  <w:style w:type="paragraph" w:customStyle="1" w:styleId="232">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33">
    <w:name w:val="简单回函地址"/>
    <w:basedOn w:val="1"/>
    <w:qFormat/>
    <w:uiPriority w:val="0"/>
    <w:pPr>
      <w:adjustRightInd w:val="0"/>
      <w:snapToGrid w:val="0"/>
      <w:spacing w:line="360" w:lineRule="auto"/>
    </w:pPr>
    <w:rPr>
      <w:sz w:val="24"/>
    </w:rPr>
  </w:style>
  <w:style w:type="paragraph" w:customStyle="1" w:styleId="234">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35">
    <w:name w:val="摘要"/>
    <w:basedOn w:val="1"/>
    <w:next w:val="3"/>
    <w:qFormat/>
    <w:uiPriority w:val="0"/>
    <w:pPr>
      <w:spacing w:line="360" w:lineRule="auto"/>
    </w:pPr>
    <w:rPr>
      <w:rFonts w:eastAsia="黑体"/>
      <w:sz w:val="20"/>
    </w:rPr>
  </w:style>
  <w:style w:type="paragraph" w:customStyle="1" w:styleId="236">
    <w:name w:val="表格文本"/>
    <w:qFormat/>
    <w:uiPriority w:val="0"/>
    <w:pPr>
      <w:tabs>
        <w:tab w:val="decimal" w:pos="0"/>
      </w:tabs>
    </w:pPr>
    <w:rPr>
      <w:rFonts w:ascii="Arial" w:hAnsi="Arial" w:eastAsia="宋体" w:cs="Times New Roman"/>
      <w:sz w:val="21"/>
      <w:lang w:val="en-US" w:eastAsia="zh-CN" w:bidi="ar-SA"/>
    </w:rPr>
  </w:style>
  <w:style w:type="paragraph" w:customStyle="1" w:styleId="237">
    <w:name w:val="Char2 Char Char Char Char Char Char"/>
    <w:basedOn w:val="1"/>
    <w:qFormat/>
    <w:uiPriority w:val="0"/>
    <w:rPr>
      <w:rFonts w:ascii="仿宋_GB2312"/>
      <w:b/>
      <w:sz w:val="30"/>
    </w:rPr>
  </w:style>
  <w:style w:type="paragraph" w:customStyle="1" w:styleId="238">
    <w:name w:val="文本框样式1"/>
    <w:basedOn w:val="1"/>
    <w:qFormat/>
    <w:uiPriority w:val="0"/>
    <w:pPr>
      <w:adjustRightInd w:val="0"/>
      <w:snapToGrid w:val="0"/>
      <w:spacing w:before="60" w:line="180" w:lineRule="exact"/>
      <w:jc w:val="center"/>
    </w:pPr>
    <w:rPr>
      <w:sz w:val="21"/>
    </w:rPr>
  </w:style>
  <w:style w:type="paragraph" w:customStyle="1" w:styleId="239">
    <w:name w:val="没有缩进（为图形使用）"/>
    <w:basedOn w:val="1"/>
    <w:qFormat/>
    <w:uiPriority w:val="0"/>
    <w:pPr>
      <w:spacing w:before="120" w:after="120" w:line="360" w:lineRule="auto"/>
    </w:pPr>
    <w:rPr>
      <w:sz w:val="24"/>
    </w:rPr>
  </w:style>
  <w:style w:type="paragraph" w:customStyle="1" w:styleId="240">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241">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42">
    <w:name w:val="_"/>
    <w:basedOn w:val="1"/>
    <w:qFormat/>
    <w:uiPriority w:val="0"/>
    <w:pPr>
      <w:adjustRightInd w:val="0"/>
      <w:spacing w:line="360" w:lineRule="auto"/>
      <w:ind w:left="480" w:firstLine="200" w:firstLineChars="200"/>
      <w:textAlignment w:val="baseline"/>
    </w:pPr>
    <w:rPr>
      <w:kern w:val="0"/>
      <w:sz w:val="24"/>
    </w:rPr>
  </w:style>
  <w:style w:type="paragraph" w:customStyle="1" w:styleId="243">
    <w:name w:val="内容标题"/>
    <w:basedOn w:val="17"/>
    <w:qFormat/>
    <w:uiPriority w:val="0"/>
    <w:rPr>
      <w:rFonts w:ascii="Tahoma" w:hAnsi="Tahoma"/>
      <w:sz w:val="24"/>
    </w:rPr>
  </w:style>
  <w:style w:type="paragraph" w:customStyle="1" w:styleId="244">
    <w:name w:val="二级条标题"/>
    <w:basedOn w:val="164"/>
    <w:next w:val="134"/>
    <w:qFormat/>
    <w:uiPriority w:val="0"/>
    <w:pPr>
      <w:ind w:left="840"/>
      <w:outlineLvl w:val="3"/>
    </w:pPr>
  </w:style>
  <w:style w:type="paragraph" w:customStyle="1" w:styleId="24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46">
    <w:name w:val="文本1"/>
    <w:basedOn w:val="1"/>
    <w:qFormat/>
    <w:uiPriority w:val="0"/>
    <w:pPr>
      <w:adjustRightInd w:val="0"/>
      <w:spacing w:line="312" w:lineRule="atLeast"/>
      <w:jc w:val="center"/>
      <w:textAlignment w:val="baseline"/>
    </w:pPr>
    <w:rPr>
      <w:kern w:val="0"/>
      <w:sz w:val="18"/>
    </w:rPr>
  </w:style>
  <w:style w:type="paragraph" w:customStyle="1" w:styleId="247">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48">
    <w:name w:val="Char Char Char Char Char"/>
    <w:basedOn w:val="1"/>
    <w:qFormat/>
    <w:uiPriority w:val="0"/>
    <w:pPr>
      <w:tabs>
        <w:tab w:val="left" w:pos="425"/>
      </w:tabs>
      <w:ind w:left="1620" w:hanging="360"/>
    </w:pPr>
    <w:rPr>
      <w:rFonts w:ascii="Tahoma" w:hAnsi="Tahoma"/>
      <w:sz w:val="24"/>
    </w:rPr>
  </w:style>
  <w:style w:type="paragraph" w:customStyle="1" w:styleId="249">
    <w:name w:val="样式 样式 首行缩进:  2 字符 + 首行缩进:  2 字符"/>
    <w:basedOn w:val="1"/>
    <w:qFormat/>
    <w:uiPriority w:val="0"/>
    <w:pPr>
      <w:spacing w:line="360" w:lineRule="auto"/>
      <w:ind w:firstLine="480" w:firstLineChars="200"/>
    </w:pPr>
    <w:rPr>
      <w:sz w:val="24"/>
    </w:rPr>
  </w:style>
  <w:style w:type="paragraph" w:customStyle="1" w:styleId="250">
    <w:name w:val="关键词"/>
    <w:basedOn w:val="1"/>
    <w:next w:val="1"/>
    <w:qFormat/>
    <w:uiPriority w:val="0"/>
    <w:pPr>
      <w:spacing w:line="360" w:lineRule="auto"/>
    </w:pPr>
    <w:rPr>
      <w:rFonts w:eastAsia="黑体"/>
      <w:sz w:val="20"/>
    </w:rPr>
  </w:style>
  <w:style w:type="paragraph" w:customStyle="1" w:styleId="251">
    <w:name w:val="正文字缩2字"/>
    <w:basedOn w:val="1"/>
    <w:qFormat/>
    <w:uiPriority w:val="0"/>
    <w:pPr>
      <w:spacing w:before="60" w:after="60" w:line="360" w:lineRule="auto"/>
      <w:ind w:left="200" w:leftChars="200" w:firstLine="200" w:firstLineChars="200"/>
    </w:pPr>
    <w:rPr>
      <w:sz w:val="24"/>
    </w:rPr>
  </w:style>
  <w:style w:type="paragraph" w:customStyle="1" w:styleId="252">
    <w:name w:val="正文表格"/>
    <w:basedOn w:val="1"/>
    <w:qFormat/>
    <w:uiPriority w:val="0"/>
    <w:pPr>
      <w:adjustRightInd w:val="0"/>
      <w:spacing w:before="40" w:after="40"/>
    </w:pPr>
    <w:rPr>
      <w:sz w:val="24"/>
    </w:rPr>
  </w:style>
  <w:style w:type="paragraph" w:customStyle="1" w:styleId="253">
    <w:name w:val="Char Char Char Char Char Char Char"/>
    <w:basedOn w:val="17"/>
    <w:qFormat/>
    <w:uiPriority w:val="0"/>
    <w:rPr>
      <w:rFonts w:ascii="宋体" w:hAnsi="Tahoma"/>
    </w:rPr>
  </w:style>
  <w:style w:type="paragraph" w:customStyle="1" w:styleId="254">
    <w:name w:val="CSS1级正文 Char"/>
    <w:basedOn w:val="22"/>
    <w:qFormat/>
    <w:uiPriority w:val="0"/>
    <w:pPr>
      <w:adjustRightInd w:val="0"/>
      <w:snapToGrid w:val="0"/>
      <w:spacing w:after="0" w:line="360" w:lineRule="auto"/>
      <w:ind w:firstLine="480"/>
    </w:pPr>
    <w:rPr>
      <w:sz w:val="24"/>
    </w:rPr>
  </w:style>
  <w:style w:type="paragraph" w:customStyle="1" w:styleId="255">
    <w:name w:val="样式 宋体 五号 行距: 单倍行距"/>
    <w:basedOn w:val="1"/>
    <w:qFormat/>
    <w:uiPriority w:val="0"/>
    <w:pPr>
      <w:adjustRightInd w:val="0"/>
      <w:jc w:val="left"/>
    </w:pPr>
    <w:rPr>
      <w:rFonts w:ascii="宋体" w:hAnsi="宋体"/>
      <w:kern w:val="0"/>
      <w:sz w:val="21"/>
    </w:rPr>
  </w:style>
  <w:style w:type="paragraph" w:customStyle="1" w:styleId="25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57">
    <w:name w:val="图例"/>
    <w:basedOn w:val="1"/>
    <w:qFormat/>
    <w:uiPriority w:val="0"/>
    <w:pPr>
      <w:spacing w:before="120" w:after="120" w:line="360" w:lineRule="auto"/>
      <w:jc w:val="center"/>
    </w:pPr>
    <w:rPr>
      <w:rFonts w:eastAsia="仿宋_GB2312"/>
      <w:b/>
      <w:sz w:val="24"/>
    </w:rPr>
  </w:style>
  <w:style w:type="paragraph" w:customStyle="1" w:styleId="258">
    <w:name w:val="附录3"/>
    <w:basedOn w:val="1"/>
    <w:next w:val="1"/>
    <w:qFormat/>
    <w:uiPriority w:val="0"/>
    <w:pPr>
      <w:tabs>
        <w:tab w:val="left" w:pos="851"/>
      </w:tabs>
      <w:ind w:left="425" w:hanging="425"/>
      <w:outlineLvl w:val="2"/>
    </w:pPr>
    <w:rPr>
      <w:rFonts w:eastAsia="黑体"/>
      <w:b/>
      <w:sz w:val="32"/>
    </w:rPr>
  </w:style>
  <w:style w:type="paragraph" w:customStyle="1" w:styleId="259">
    <w:name w:val="Style Heading 3h3Heading 3 - oldLevel 3 HeadH3level_3PIM 3se..."/>
    <w:basedOn w:val="4"/>
    <w:qFormat/>
    <w:uiPriority w:val="0"/>
    <w:pPr>
      <w:tabs>
        <w:tab w:val="left" w:pos="709"/>
        <w:tab w:val="left" w:pos="1620"/>
      </w:tabs>
      <w:ind w:left="1620" w:hanging="360"/>
    </w:pPr>
  </w:style>
  <w:style w:type="paragraph" w:customStyle="1" w:styleId="260">
    <w:name w:val="首行缩进"/>
    <w:basedOn w:val="1"/>
    <w:qFormat/>
    <w:uiPriority w:val="0"/>
    <w:pPr>
      <w:tabs>
        <w:tab w:val="left" w:pos="540"/>
      </w:tabs>
      <w:spacing w:line="360" w:lineRule="auto"/>
      <w:ind w:left="540"/>
    </w:pPr>
    <w:rPr>
      <w:rFonts w:eastAsia="仿宋_GB2312"/>
    </w:rPr>
  </w:style>
  <w:style w:type="paragraph" w:customStyle="1" w:styleId="26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62">
    <w:name w:val="Char1 Char Char Char1"/>
    <w:basedOn w:val="1"/>
    <w:qFormat/>
    <w:uiPriority w:val="0"/>
    <w:rPr>
      <w:rFonts w:ascii="Tahoma" w:hAnsi="Tahoma"/>
      <w:sz w:val="30"/>
    </w:rPr>
  </w:style>
  <w:style w:type="paragraph" w:customStyle="1" w:styleId="263">
    <w:name w:val="Char Char Char Char Char Char Char1"/>
    <w:basedOn w:val="1"/>
    <w:qFormat/>
    <w:uiPriority w:val="0"/>
    <w:rPr>
      <w:rFonts w:ascii="Tahoma" w:hAnsi="Tahoma"/>
      <w:sz w:val="24"/>
    </w:rPr>
  </w:style>
  <w:style w:type="paragraph" w:customStyle="1" w:styleId="264">
    <w:name w:val="标题3——2"/>
    <w:basedOn w:val="4"/>
    <w:next w:val="55"/>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65">
    <w:name w:val="修订1"/>
    <w:qFormat/>
    <w:uiPriority w:val="0"/>
    <w:rPr>
      <w:rFonts w:ascii="Times New Roman" w:hAnsi="Times New Roman" w:eastAsia="宋体" w:cs="Times New Roman"/>
      <w:kern w:val="2"/>
      <w:sz w:val="21"/>
      <w:lang w:val="en-US" w:eastAsia="zh-CN" w:bidi="ar-SA"/>
    </w:rPr>
  </w:style>
  <w:style w:type="paragraph" w:customStyle="1" w:styleId="266">
    <w:name w:val="Char1"/>
    <w:basedOn w:val="1"/>
    <w:qFormat/>
    <w:uiPriority w:val="0"/>
    <w:rPr>
      <w:sz w:val="21"/>
    </w:rPr>
  </w:style>
  <w:style w:type="paragraph" w:customStyle="1" w:styleId="267">
    <w:name w:val="样式1"/>
    <w:basedOn w:val="5"/>
    <w:qFormat/>
    <w:uiPriority w:val="0"/>
    <w:pPr>
      <w:tabs>
        <w:tab w:val="left" w:pos="720"/>
      </w:tabs>
      <w:spacing w:before="500" w:after="260" w:line="560" w:lineRule="atLeast"/>
      <w:ind w:left="420" w:hanging="420"/>
    </w:pPr>
  </w:style>
  <w:style w:type="paragraph" w:customStyle="1" w:styleId="268">
    <w:name w:val="修订2"/>
    <w:hidden/>
    <w:unhideWhenUsed/>
    <w:qFormat/>
    <w:uiPriority w:val="99"/>
    <w:rPr>
      <w:rFonts w:ascii="Times New Roman" w:hAnsi="Times New Roman" w:eastAsia="宋体" w:cs="Times New Roman"/>
      <w:kern w:val="2"/>
      <w:sz w:val="28"/>
      <w:lang w:val="en-US" w:eastAsia="zh-CN" w:bidi="ar-SA"/>
    </w:rPr>
  </w:style>
  <w:style w:type="character" w:customStyle="1" w:styleId="269">
    <w:name w:val="ant-tree-switcher"/>
    <w:basedOn w:val="59"/>
    <w:qFormat/>
    <w:uiPriority w:val="0"/>
  </w:style>
  <w:style w:type="character" w:customStyle="1" w:styleId="270">
    <w:name w:val="ant-tree-iconele"/>
    <w:basedOn w:val="59"/>
    <w:qFormat/>
    <w:uiPriority w:val="0"/>
  </w:style>
  <w:style w:type="character" w:customStyle="1" w:styleId="271">
    <w:name w:val="hover16"/>
    <w:basedOn w:val="59"/>
    <w:qFormat/>
    <w:uiPriority w:val="0"/>
    <w:rPr>
      <w:color w:val="23527C"/>
    </w:rPr>
  </w:style>
  <w:style w:type="character" w:customStyle="1" w:styleId="272">
    <w:name w:val="ant-tree-checkbox"/>
    <w:basedOn w:val="59"/>
    <w:qFormat/>
    <w:uiPriority w:val="0"/>
  </w:style>
  <w:style w:type="character" w:customStyle="1" w:styleId="273">
    <w:name w:val="ant-select-tree-switcher"/>
    <w:basedOn w:val="59"/>
    <w:qFormat/>
    <w:uiPriority w:val="0"/>
  </w:style>
  <w:style w:type="character" w:customStyle="1" w:styleId="274">
    <w:name w:val="isover"/>
    <w:basedOn w:val="59"/>
    <w:qFormat/>
    <w:uiPriority w:val="0"/>
  </w:style>
  <w:style w:type="character" w:customStyle="1" w:styleId="275">
    <w:name w:val="ant-transfer-list-search-action"/>
    <w:basedOn w:val="59"/>
    <w:qFormat/>
    <w:uiPriority w:val="0"/>
  </w:style>
  <w:style w:type="character" w:customStyle="1" w:styleId="276">
    <w:name w:val="ant-select-tree-checkbox2"/>
    <w:basedOn w:val="59"/>
    <w:qFormat/>
    <w:uiPriority w:val="0"/>
  </w:style>
  <w:style w:type="character" w:customStyle="1" w:styleId="277">
    <w:name w:val="ant-select-tree-iconele"/>
    <w:basedOn w:val="59"/>
    <w:qFormat/>
    <w:uiPriority w:val="0"/>
  </w:style>
  <w:style w:type="character" w:customStyle="1" w:styleId="278">
    <w:name w:val="running"/>
    <w:basedOn w:val="59"/>
    <w:qFormat/>
    <w:uiPriority w:val="0"/>
  </w:style>
  <w:style w:type="character" w:customStyle="1" w:styleId="279">
    <w:name w:val="button"/>
    <w:basedOn w:val="59"/>
    <w:qFormat/>
    <w:uiPriority w:val="0"/>
  </w:style>
  <w:style w:type="character" w:customStyle="1" w:styleId="280">
    <w:name w:val="tmpztreemove_arrow"/>
    <w:basedOn w:val="59"/>
    <w:qFormat/>
    <w:uiPriority w:val="0"/>
  </w:style>
  <w:style w:type="paragraph" w:customStyle="1" w:styleId="281">
    <w:name w:val="list-group-item-text"/>
    <w:basedOn w:val="1"/>
    <w:qFormat/>
    <w:uiPriority w:val="0"/>
    <w:pPr>
      <w:pBdr>
        <w:top w:val="dotted" w:color="E0E0E0" w:sz="6" w:space="11"/>
      </w:pBdr>
      <w:jc w:val="left"/>
    </w:pPr>
    <w:rPr>
      <w:kern w:val="0"/>
    </w:rPr>
  </w:style>
  <w:style w:type="paragraph" w:customStyle="1" w:styleId="282">
    <w:name w:val="Table Paragraph"/>
    <w:basedOn w:val="1"/>
    <w:unhideWhenUsed/>
    <w:qFormat/>
    <w:uiPriority w:val="1"/>
    <w:rPr>
      <w:sz w:val="24"/>
    </w:rPr>
  </w:style>
  <w:style w:type="paragraph" w:customStyle="1" w:styleId="283">
    <w:name w:val="FDY表格内"/>
    <w:basedOn w:val="1"/>
    <w:next w:val="284"/>
    <w:unhideWhenUsed/>
    <w:qFormat/>
    <w:uiPriority w:val="0"/>
    <w:pPr>
      <w:snapToGrid w:val="0"/>
      <w:spacing w:line="240" w:lineRule="atLeast"/>
      <w:jc w:val="center"/>
    </w:pPr>
    <w:rPr>
      <w:sz w:val="24"/>
    </w:rPr>
  </w:style>
  <w:style w:type="paragraph" w:customStyle="1" w:styleId="284">
    <w:name w:val="D正文"/>
    <w:basedOn w:val="1"/>
    <w:unhideWhenUsed/>
    <w:qFormat/>
    <w:uiPriority w:val="0"/>
    <w:pPr>
      <w:spacing w:line="384" w:lineRule="auto"/>
      <w:ind w:firstLine="200" w:firstLineChars="200"/>
    </w:pPr>
    <w:rPr>
      <w:sz w:val="24"/>
    </w:rPr>
  </w:style>
  <w:style w:type="character" w:customStyle="1" w:styleId="285">
    <w:name w:val="无"/>
    <w:qFormat/>
    <w:uiPriority w:val="0"/>
  </w:style>
  <w:style w:type="character" w:customStyle="1" w:styleId="286">
    <w:name w:val="font21"/>
    <w:basedOn w:val="59"/>
    <w:qFormat/>
    <w:uiPriority w:val="0"/>
    <w:rPr>
      <w:rFonts w:hint="eastAsia" w:ascii="宋体" w:hAnsi="宋体" w:eastAsia="宋体" w:cs="宋体"/>
      <w:color w:val="000000"/>
      <w:sz w:val="20"/>
      <w:szCs w:val="20"/>
      <w:u w:val="none"/>
    </w:rPr>
  </w:style>
  <w:style w:type="character" w:customStyle="1" w:styleId="287">
    <w:name w:val="font01"/>
    <w:basedOn w:val="59"/>
    <w:qFormat/>
    <w:uiPriority w:val="0"/>
    <w:rPr>
      <w:rFonts w:hint="eastAsia" w:ascii="宋体" w:hAnsi="宋体" w:eastAsia="宋体" w:cs="宋体"/>
      <w:color w:val="000000"/>
      <w:sz w:val="21"/>
      <w:szCs w:val="21"/>
      <w:u w:val="none"/>
    </w:rPr>
  </w:style>
  <w:style w:type="character" w:customStyle="1" w:styleId="288">
    <w:name w:val="font41"/>
    <w:basedOn w:val="59"/>
    <w:qFormat/>
    <w:uiPriority w:val="0"/>
    <w:rPr>
      <w:rFonts w:hint="eastAsia" w:ascii="宋体" w:hAnsi="宋体" w:eastAsia="宋体" w:cs="宋体"/>
      <w:color w:val="000000"/>
      <w:sz w:val="20"/>
      <w:szCs w:val="20"/>
      <w:u w:val="none"/>
    </w:rPr>
  </w:style>
  <w:style w:type="character" w:customStyle="1" w:styleId="289">
    <w:name w:val="font11"/>
    <w:basedOn w:val="59"/>
    <w:qFormat/>
    <w:uiPriority w:val="0"/>
    <w:rPr>
      <w:rFonts w:hint="eastAsia" w:ascii="宋体" w:hAnsi="宋体" w:eastAsia="宋体" w:cs="宋体"/>
      <w:color w:val="000000"/>
      <w:sz w:val="18"/>
      <w:szCs w:val="18"/>
      <w:u w:val="none"/>
    </w:rPr>
  </w:style>
  <w:style w:type="character" w:customStyle="1" w:styleId="290">
    <w:name w:val="font71"/>
    <w:basedOn w:val="59"/>
    <w:qFormat/>
    <w:uiPriority w:val="0"/>
    <w:rPr>
      <w:rFonts w:hint="eastAsia" w:ascii="宋体" w:hAnsi="宋体" w:eastAsia="宋体" w:cs="宋体"/>
      <w:color w:val="000000"/>
      <w:sz w:val="18"/>
      <w:szCs w:val="18"/>
      <w:u w:val="none"/>
    </w:rPr>
  </w:style>
  <w:style w:type="character" w:customStyle="1" w:styleId="291">
    <w:name w:val="font81"/>
    <w:basedOn w:val="59"/>
    <w:qFormat/>
    <w:uiPriority w:val="0"/>
    <w:rPr>
      <w:rFonts w:hint="eastAsia" w:ascii="宋体" w:hAnsi="宋体" w:eastAsia="宋体" w:cs="宋体"/>
      <w:color w:val="000000"/>
      <w:sz w:val="18"/>
      <w:szCs w:val="18"/>
      <w:u w:val="none"/>
      <w:vertAlign w:val="superscript"/>
    </w:rPr>
  </w:style>
  <w:style w:type="character" w:customStyle="1" w:styleId="292">
    <w:name w:val="font31"/>
    <w:basedOn w:val="59"/>
    <w:qFormat/>
    <w:uiPriority w:val="0"/>
    <w:rPr>
      <w:rFonts w:hint="eastAsia" w:ascii="宋体" w:hAnsi="宋体" w:eastAsia="宋体" w:cs="宋体"/>
      <w:color w:val="000000"/>
      <w:sz w:val="18"/>
      <w:szCs w:val="18"/>
      <w:u w:val="none"/>
    </w:rPr>
  </w:style>
  <w:style w:type="paragraph" w:styleId="293">
    <w:name w:val="List Paragraph"/>
    <w:basedOn w:val="1"/>
    <w:qFormat/>
    <w:uiPriority w:val="0"/>
    <w:pPr>
      <w:ind w:firstLine="420" w:firstLineChars="200"/>
    </w:pPr>
    <w:rPr>
      <w:rFonts w:ascii="Calibri" w:hAnsi="Calibri"/>
      <w:sz w:val="21"/>
      <w:szCs w:val="24"/>
    </w:rPr>
  </w:style>
  <w:style w:type="table" w:customStyle="1" w:styleId="294">
    <w:name w:val="网格型1"/>
    <w:basedOn w:val="57"/>
    <w:unhideWhenUsed/>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5">
    <w:name w:val="1111正文"/>
    <w:basedOn w:val="1"/>
    <w:qFormat/>
    <w:uiPriority w:val="0"/>
    <w:pPr>
      <w:spacing w:line="460" w:lineRule="exact"/>
    </w:pPr>
    <w:rPr>
      <w:rFonts w:ascii="宋体" w:hAnsi="宋体" w:cs="宋体"/>
      <w:color w:val="000000" w:themeColor="text1"/>
      <w:sz w:val="24"/>
      <w14:textFill>
        <w14:solidFill>
          <w14:schemeClr w14:val="tx1"/>
        </w14:solidFill>
      </w14:textFill>
    </w:rPr>
  </w:style>
  <w:style w:type="character" w:customStyle="1" w:styleId="296">
    <w:name w:val="NormalCharacter"/>
    <w:link w:val="297"/>
    <w:qFormat/>
    <w:uiPriority w:val="0"/>
    <w:rPr>
      <w:rFonts w:ascii="Times New Roman" w:hAnsi="Times New Roman"/>
      <w:kern w:val="0"/>
      <w:sz w:val="20"/>
      <w:szCs w:val="20"/>
    </w:rPr>
  </w:style>
  <w:style w:type="paragraph" w:customStyle="1" w:styleId="297">
    <w:name w:val="UserStyle_2"/>
    <w:basedOn w:val="1"/>
    <w:link w:val="296"/>
    <w:qFormat/>
    <w:uiPriority w:val="0"/>
    <w:pPr>
      <w:widowControl/>
      <w:spacing w:after="160" w:line="240" w:lineRule="exact"/>
      <w:jc w:val="left"/>
      <w:textAlignment w:val="baseline"/>
    </w:pPr>
    <w:rPr>
      <w:kern w:val="0"/>
      <w:sz w:val="20"/>
    </w:rPr>
  </w:style>
  <w:style w:type="paragraph" w:customStyle="1" w:styleId="298">
    <w:name w:val="样式 首行缩进:  2 字符"/>
    <w:basedOn w:val="1"/>
    <w:qFormat/>
    <w:uiPriority w:val="0"/>
    <w:pPr>
      <w:spacing w:line="400" w:lineRule="exact"/>
      <w:ind w:firstLine="200" w:firstLineChars="200"/>
    </w:pPr>
    <w:rPr>
      <w:rFonts w:cs="宋体"/>
      <w:sz w:val="24"/>
      <w:szCs w:val="24"/>
    </w:rPr>
  </w:style>
  <w:style w:type="paragraph" w:customStyle="1" w:styleId="299">
    <w:name w:val="BodyText"/>
    <w:basedOn w:val="1"/>
    <w:next w:val="300"/>
    <w:qFormat/>
    <w:uiPriority w:val="0"/>
    <w:pPr>
      <w:textAlignment w:val="baseline"/>
    </w:pPr>
    <w:rPr>
      <w:rFonts w:ascii="仿宋_GB2312" w:eastAsia="仿宋_GB2312"/>
      <w:sz w:val="32"/>
    </w:rPr>
  </w:style>
  <w:style w:type="paragraph" w:customStyle="1" w:styleId="300">
    <w:name w:val="BodyTextIndent"/>
    <w:basedOn w:val="1"/>
    <w:qFormat/>
    <w:uiPriority w:val="0"/>
    <w:pPr>
      <w:spacing w:line="700" w:lineRule="exact"/>
      <w:ind w:left="960"/>
      <w:textAlignment w:val="baseline"/>
    </w:pPr>
    <w:rPr>
      <w:sz w:val="44"/>
    </w:rPr>
  </w:style>
  <w:style w:type="paragraph" w:customStyle="1" w:styleId="301">
    <w:name w:val="Heading3"/>
    <w:basedOn w:val="1"/>
    <w:next w:val="1"/>
    <w:qFormat/>
    <w:uiPriority w:val="0"/>
    <w:pPr>
      <w:keepNext/>
      <w:keepLines/>
      <w:spacing w:before="260" w:after="260" w:line="413" w:lineRule="auto"/>
      <w:textAlignment w:val="baseline"/>
    </w:pPr>
    <w:rPr>
      <w:b/>
      <w:sz w:val="32"/>
    </w:rPr>
  </w:style>
  <w:style w:type="paragraph" w:customStyle="1" w:styleId="302">
    <w:name w:val="无间隔2"/>
    <w:qFormat/>
    <w:uiPriority w:val="1"/>
    <w:pPr>
      <w:widowControl w:val="0"/>
      <w:jc w:val="center"/>
    </w:pPr>
    <w:rPr>
      <w:rFonts w:ascii="Times New Roman" w:hAnsi="Times New Roman" w:eastAsia="宋体" w:cstheme="minorBidi"/>
      <w:kern w:val="2"/>
      <w:sz w:val="18"/>
      <w:szCs w:val="22"/>
      <w:lang w:val="en-US" w:eastAsia="zh-CN" w:bidi="ar-SA"/>
    </w:rPr>
  </w:style>
  <w:style w:type="paragraph" w:styleId="303">
    <w:name w:val="No Spacing"/>
    <w:qFormat/>
    <w:uiPriority w:val="1"/>
    <w:pPr>
      <w:widowControl w:val="0"/>
      <w:jc w:val="center"/>
    </w:pPr>
    <w:rPr>
      <w:rFonts w:ascii="Times New Roman" w:hAnsi="Times New Roman" w:eastAsia="方正仿宋_GBK" w:cstheme="minorBidi"/>
      <w:kern w:val="2"/>
      <w:sz w:val="21"/>
      <w:szCs w:val="22"/>
      <w:lang w:val="en-US" w:eastAsia="zh-CN" w:bidi="ar-SA"/>
    </w:rPr>
  </w:style>
  <w:style w:type="paragraph" w:customStyle="1" w:styleId="304">
    <w:name w:val="小表1"/>
    <w:basedOn w:val="1"/>
    <w:qFormat/>
    <w:uiPriority w:val="0"/>
    <w:pPr>
      <w:adjustRightInd w:val="0"/>
      <w:snapToGrid w:val="0"/>
      <w:spacing w:line="240" w:lineRule="atLeast"/>
      <w:jc w:val="center"/>
    </w:pPr>
    <w:rPr>
      <w:rFonts w:ascii="Calibri" w:hAnsi="Calibri"/>
      <w:color w:val="000000"/>
      <w:spacing w:val="-10"/>
      <w:sz w:val="22"/>
    </w:rPr>
  </w:style>
  <w:style w:type="table" w:customStyle="1" w:styleId="305">
    <w:name w:val="Table Normal"/>
    <w:basedOn w:val="57"/>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306">
    <w:name w:val="标书正文1"/>
    <w:basedOn w:val="1"/>
    <w:qFormat/>
    <w:uiPriority w:val="0"/>
    <w:pPr>
      <w:spacing w:line="520" w:lineRule="exact"/>
      <w:ind w:firstLine="64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59</Pages>
  <Words>12947</Words>
  <Characters>13592</Characters>
  <Lines>174</Lines>
  <Paragraphs>49</Paragraphs>
  <TotalTime>1</TotalTime>
  <ScaleCrop>false</ScaleCrop>
  <LinksUpToDate>false</LinksUpToDate>
  <CharactersWithSpaces>13811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2023-06-09T06:52:00Z</dcterms:created>
  <dc:creator>acer</dc:creator>
  <cp:lastModifiedBy>苟利平</cp:lastModifiedBy>
  <cp:lastPrinted>2025-05-15T03:32:00Z</cp:lastPrinted>
  <dcterms:modified xsi:type="dcterms:W3CDTF">2025-07-07T03:44:34Z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24F3B505474F476F8C5F593E199EB4B9_13</vt:lpwstr>
  </property>
  <property fmtid="{D5CDD505-2E9C-101B-9397-08002B2CF9AE}" pid="4" name="commondata">
    <vt:lpwstr>eyJoZGlkIjoiODY3MmU3ODQ2NDAzZWVmMjMxZjg4OWU5NDc2YWM4ZmEifQ==</vt:lpwstr>
  </property>
  <property fmtid="{D5CDD505-2E9C-101B-9397-08002B2CF9AE}" pid="5" name="KSOTemplateDocerSaveRecord">
    <vt:lpwstr>eyJoZGlkIjoiOWM4NzJhM2JhN2U4MTUwNDNjYjAwZGFlOGIzMjRlNTIiLCJ1c2VySWQiOiIxNTk5NTc0OTM1In0=</vt:lpwstr>
  </property>
</Properties>
</file>