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B0F10">
      <w:pPr>
        <w:pStyle w:val="7"/>
        <w:ind w:firstLine="2000"/>
        <w:rPr>
          <w:rFonts w:ascii="Times New Roman" w:eastAsia="宋体"/>
          <w:color w:val="auto"/>
          <w:sz w:val="100"/>
          <w:highlight w:val="none"/>
        </w:rPr>
      </w:pPr>
    </w:p>
    <w:p w14:paraId="2B1766AA">
      <w:pPr>
        <w:ind w:firstLine="560"/>
        <w:rPr>
          <w:color w:val="auto"/>
          <w:highlight w:val="none"/>
        </w:rPr>
      </w:pPr>
    </w:p>
    <w:p w14:paraId="0F6D7CAB">
      <w:pPr>
        <w:spacing w:line="480" w:lineRule="auto"/>
        <w:jc w:val="center"/>
        <w:rPr>
          <w:b/>
          <w:color w:val="auto"/>
          <w:sz w:val="144"/>
          <w:szCs w:val="21"/>
          <w:highlight w:val="none"/>
        </w:rPr>
      </w:pPr>
      <w:r>
        <w:rPr>
          <w:rFonts w:hint="eastAsia"/>
          <w:b/>
          <w:color w:val="auto"/>
          <w:sz w:val="144"/>
          <w:szCs w:val="21"/>
          <w:highlight w:val="none"/>
        </w:rPr>
        <w:t>询 比</w:t>
      </w:r>
      <w:r>
        <w:rPr>
          <w:b/>
          <w:color w:val="auto"/>
          <w:sz w:val="144"/>
          <w:szCs w:val="21"/>
          <w:highlight w:val="none"/>
        </w:rPr>
        <w:t xml:space="preserve"> 文 件</w:t>
      </w:r>
    </w:p>
    <w:p w14:paraId="263329E9">
      <w:pPr>
        <w:pStyle w:val="7"/>
        <w:spacing w:line="440" w:lineRule="exact"/>
        <w:jc w:val="center"/>
        <w:rPr>
          <w:rFonts w:ascii="Times New Roman" w:eastAsia="宋体"/>
          <w:b/>
          <w:color w:val="auto"/>
          <w:highlight w:val="none"/>
        </w:rPr>
      </w:pPr>
    </w:p>
    <w:p w14:paraId="3715151B">
      <w:pPr>
        <w:ind w:firstLine="562"/>
        <w:rPr>
          <w:b/>
          <w:color w:val="auto"/>
          <w:highlight w:val="none"/>
        </w:rPr>
      </w:pPr>
    </w:p>
    <w:p w14:paraId="01467529">
      <w:pPr>
        <w:ind w:firstLine="562"/>
        <w:rPr>
          <w:b/>
          <w:color w:val="auto"/>
          <w:highlight w:val="none"/>
        </w:rPr>
      </w:pPr>
    </w:p>
    <w:p w14:paraId="14F37F0C">
      <w:pPr>
        <w:pStyle w:val="7"/>
        <w:ind w:firstLine="640"/>
        <w:rPr>
          <w:rFonts w:ascii="Times New Roman" w:eastAsia="宋体"/>
          <w:color w:val="auto"/>
          <w:highlight w:val="none"/>
        </w:rPr>
      </w:pPr>
    </w:p>
    <w:p w14:paraId="1E6BE1D1">
      <w:pPr>
        <w:pStyle w:val="7"/>
        <w:spacing w:line="440" w:lineRule="exact"/>
        <w:jc w:val="center"/>
        <w:rPr>
          <w:rFonts w:ascii="Times New Roman" w:eastAsia="宋体"/>
          <w:b/>
          <w:color w:val="auto"/>
          <w:highlight w:val="none"/>
        </w:rPr>
      </w:pPr>
    </w:p>
    <w:p w14:paraId="6472F785">
      <w:pPr>
        <w:pStyle w:val="7"/>
        <w:spacing w:line="440" w:lineRule="exact"/>
        <w:ind w:firstLine="1404" w:firstLineChars="437"/>
        <w:jc w:val="center"/>
        <w:rPr>
          <w:rFonts w:ascii="Times New Roman" w:eastAsia="宋体"/>
          <w:b/>
          <w:color w:val="auto"/>
          <w:highlight w:val="none"/>
        </w:rPr>
      </w:pPr>
    </w:p>
    <w:p w14:paraId="00BB8AD4">
      <w:pPr>
        <w:spacing w:line="360" w:lineRule="auto"/>
        <w:ind w:firstLine="1119" w:firstLineChars="311"/>
        <w:outlineLvl w:val="0"/>
        <w:rPr>
          <w:rFonts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采购执行编号：CTBU-JZ2025148</w:t>
      </w:r>
    </w:p>
    <w:p w14:paraId="6D38A86A">
      <w:pPr>
        <w:spacing w:line="360" w:lineRule="auto"/>
        <w:ind w:left="3601" w:leftChars="386" w:hanging="2520" w:hangingChars="700"/>
        <w:outlineLvl w:val="0"/>
        <w:rPr>
          <w:rFonts w:ascii="方正小标宋_GBK" w:eastAsia="方正小标宋_GBK"/>
          <w:color w:val="auto"/>
          <w:sz w:val="32"/>
          <w:highlight w:val="none"/>
        </w:rPr>
      </w:pPr>
      <w:r>
        <w:rPr>
          <w:rFonts w:hint="eastAsia" w:ascii="方正小标宋_GBK" w:hAnsi="宋体" w:eastAsia="方正小标宋_GBK"/>
          <w:color w:val="auto"/>
          <w:sz w:val="36"/>
          <w:szCs w:val="36"/>
          <w:highlight w:val="none"/>
        </w:rPr>
        <w:t>询比项目名称：重庆干部网络学院履职能力、知识培训类网络课程包</w:t>
      </w:r>
    </w:p>
    <w:p w14:paraId="53B0E9BC">
      <w:pPr>
        <w:pStyle w:val="9"/>
        <w:spacing w:line="500" w:lineRule="exact"/>
        <w:ind w:left="0" w:firstLine="640"/>
        <w:jc w:val="center"/>
        <w:rPr>
          <w:rFonts w:ascii="方正小标宋_GBK" w:eastAsia="方正小标宋_GBK"/>
          <w:color w:val="auto"/>
          <w:sz w:val="32"/>
          <w:highlight w:val="none"/>
        </w:rPr>
      </w:pPr>
    </w:p>
    <w:p w14:paraId="0302CAF1">
      <w:pPr>
        <w:pStyle w:val="9"/>
        <w:spacing w:line="500" w:lineRule="exact"/>
        <w:ind w:left="0" w:firstLine="640"/>
        <w:jc w:val="center"/>
        <w:rPr>
          <w:rFonts w:ascii="方正小标宋_GBK" w:eastAsia="方正小标宋_GBK"/>
          <w:color w:val="auto"/>
          <w:sz w:val="32"/>
          <w:highlight w:val="none"/>
        </w:rPr>
      </w:pPr>
    </w:p>
    <w:p w14:paraId="4D62980A">
      <w:pPr>
        <w:spacing w:line="500" w:lineRule="exact"/>
        <w:ind w:firstLine="720"/>
        <w:jc w:val="center"/>
        <w:rPr>
          <w:rFonts w:ascii="方正小标宋_GBK" w:eastAsia="方正小标宋_GBK"/>
          <w:color w:val="auto"/>
          <w:sz w:val="36"/>
          <w:szCs w:val="36"/>
          <w:highlight w:val="none"/>
        </w:rPr>
      </w:pPr>
    </w:p>
    <w:p w14:paraId="22D9D974">
      <w:pPr>
        <w:spacing w:line="500" w:lineRule="exact"/>
        <w:ind w:firstLine="720"/>
        <w:jc w:val="center"/>
        <w:rPr>
          <w:rFonts w:ascii="方正小标宋_GBK" w:eastAsia="方正小标宋_GBK"/>
          <w:color w:val="auto"/>
          <w:sz w:val="36"/>
          <w:szCs w:val="36"/>
          <w:highlight w:val="none"/>
        </w:rPr>
      </w:pPr>
    </w:p>
    <w:p w14:paraId="43195127">
      <w:pPr>
        <w:spacing w:line="500" w:lineRule="exact"/>
        <w:ind w:firstLine="720"/>
        <w:jc w:val="center"/>
        <w:outlineLvl w:val="0"/>
        <w:rPr>
          <w:rFonts w:ascii="方正小标宋_GBK" w:eastAsia="方正小标宋_GBK"/>
          <w:color w:val="auto"/>
          <w:sz w:val="36"/>
          <w:szCs w:val="36"/>
          <w:highlight w:val="none"/>
        </w:rPr>
      </w:pPr>
    </w:p>
    <w:p w14:paraId="4FCAA98D">
      <w:pPr>
        <w:spacing w:line="500" w:lineRule="exact"/>
        <w:ind w:firstLine="720"/>
        <w:jc w:val="center"/>
        <w:outlineLvl w:val="0"/>
        <w:rPr>
          <w:rFonts w:ascii="方正小标宋_GBK" w:eastAsia="方正小标宋_GBK"/>
          <w:color w:val="auto"/>
          <w:sz w:val="36"/>
          <w:szCs w:val="36"/>
          <w:highlight w:val="none"/>
        </w:rPr>
      </w:pPr>
      <w:r>
        <w:rPr>
          <w:rFonts w:hint="eastAsia" w:ascii="方正小标宋_GBK" w:eastAsia="方正小标宋_GBK"/>
          <w:color w:val="auto"/>
          <w:sz w:val="36"/>
          <w:szCs w:val="36"/>
          <w:highlight w:val="none"/>
        </w:rPr>
        <w:t>采购人：</w:t>
      </w:r>
      <w:r>
        <w:rPr>
          <w:rFonts w:hint="eastAsia" w:ascii="方正小标宋_GBK" w:hAnsi="宋体" w:eastAsia="方正小标宋_GBK"/>
          <w:color w:val="auto"/>
          <w:sz w:val="36"/>
          <w:szCs w:val="36"/>
          <w:highlight w:val="none"/>
        </w:rPr>
        <w:t>重庆工商大学</w:t>
      </w:r>
    </w:p>
    <w:p w14:paraId="71F4DCE6">
      <w:pPr>
        <w:snapToGrid w:val="0"/>
        <w:spacing w:line="500" w:lineRule="exact"/>
        <w:ind w:firstLine="720"/>
        <w:jc w:val="center"/>
        <w:rPr>
          <w:rFonts w:ascii="方正小标宋_GBK" w:eastAsia="方正小标宋_GBK"/>
          <w:color w:val="auto"/>
          <w:sz w:val="36"/>
          <w:szCs w:val="36"/>
          <w:highlight w:val="none"/>
        </w:rPr>
      </w:pPr>
    </w:p>
    <w:p w14:paraId="33FFC2ED">
      <w:pPr>
        <w:snapToGrid w:val="0"/>
        <w:spacing w:line="500" w:lineRule="exact"/>
        <w:ind w:firstLine="720"/>
        <w:jc w:val="center"/>
        <w:rPr>
          <w:rFonts w:ascii="方正仿宋_GBK" w:eastAsia="方正仿宋_GBK"/>
          <w:color w:val="auto"/>
          <w:sz w:val="36"/>
          <w:szCs w:val="36"/>
          <w:highlight w:val="none"/>
        </w:rPr>
      </w:pPr>
      <w:r>
        <w:rPr>
          <w:rFonts w:hint="eastAsia" w:ascii="方正小标宋_GBK" w:eastAsia="方正小标宋_GBK"/>
          <w:color w:val="auto"/>
          <w:sz w:val="36"/>
          <w:szCs w:val="36"/>
          <w:highlight w:val="none"/>
        </w:rPr>
        <w:t>二○二五年十月</w:t>
      </w:r>
    </w:p>
    <w:p w14:paraId="52F2C2F2">
      <w:pPr>
        <w:snapToGrid w:val="0"/>
        <w:spacing w:line="500" w:lineRule="exact"/>
        <w:ind w:firstLine="880"/>
        <w:rPr>
          <w:rFonts w:ascii="方正仿宋_GBK" w:eastAsia="方正仿宋_GBK"/>
          <w:color w:val="auto"/>
          <w:sz w:val="44"/>
          <w:highlight w:val="none"/>
        </w:rPr>
        <w:sectPr>
          <w:headerReference r:id="rId4" w:type="first"/>
          <w:headerReference r:id="rId3" w:type="default"/>
          <w:footerReference r:id="rId5" w:type="default"/>
          <w:footerReference r:id="rId6" w:type="even"/>
          <w:pgSz w:w="11907" w:h="16840"/>
          <w:pgMar w:top="1134" w:right="1191" w:bottom="1134" w:left="1304" w:header="964" w:footer="992" w:gutter="0"/>
          <w:pgNumType w:start="1"/>
          <w:cols w:space="720" w:num="1"/>
          <w:titlePg/>
          <w:docGrid w:linePitch="312" w:charSpace="0"/>
        </w:sectPr>
      </w:pPr>
    </w:p>
    <w:p w14:paraId="4F7D19E2">
      <w:pPr>
        <w:snapToGrid w:val="0"/>
        <w:spacing w:line="500" w:lineRule="exact"/>
        <w:ind w:firstLine="880"/>
        <w:jc w:val="center"/>
        <w:rPr>
          <w:rFonts w:eastAsiaTheme="minorEastAsia"/>
          <w:color w:val="auto"/>
          <w:sz w:val="44"/>
          <w:szCs w:val="44"/>
          <w:highlight w:val="none"/>
        </w:rPr>
      </w:pPr>
      <w:r>
        <w:rPr>
          <w:rFonts w:eastAsiaTheme="minorEastAsia"/>
          <w:color w:val="auto"/>
          <w:sz w:val="44"/>
          <w:szCs w:val="44"/>
          <w:highlight w:val="none"/>
        </w:rPr>
        <w:t>目  录</w:t>
      </w:r>
    </w:p>
    <w:p w14:paraId="52005891">
      <w:pPr>
        <w:pStyle w:val="16"/>
        <w:tabs>
          <w:tab w:val="right" w:leader="dot" w:pos="9412"/>
          <w:tab w:val="clear" w:pos="1260"/>
          <w:tab w:val="clear" w:pos="1685"/>
          <w:tab w:val="clear" w:pos="8400"/>
        </w:tabs>
        <w:ind w:firstLine="240"/>
        <w:rPr>
          <w:color w:val="auto"/>
          <w:highlight w:val="none"/>
        </w:rPr>
      </w:pPr>
      <w:r>
        <w:rPr>
          <w:rFonts w:eastAsiaTheme="minorEastAsia"/>
          <w:color w:val="auto"/>
          <w:sz w:val="24"/>
          <w:szCs w:val="24"/>
          <w:highlight w:val="none"/>
        </w:rPr>
        <w:fldChar w:fldCharType="begin"/>
      </w:r>
      <w:r>
        <w:rPr>
          <w:rFonts w:eastAsiaTheme="minorEastAsia"/>
          <w:color w:val="auto"/>
          <w:sz w:val="24"/>
          <w:szCs w:val="24"/>
          <w:highlight w:val="none"/>
        </w:rPr>
        <w:instrText xml:space="preserve"> TOC \o "1-2" \h \z </w:instrText>
      </w:r>
      <w:r>
        <w:rPr>
          <w:rFonts w:eastAsiaTheme="minorEastAsia"/>
          <w:color w:val="auto"/>
          <w:sz w:val="24"/>
          <w:szCs w:val="24"/>
          <w:highlight w:val="none"/>
        </w:rPr>
        <w:fldChar w:fldCharType="separate"/>
      </w:r>
      <w:r>
        <w:rPr>
          <w:color w:val="auto"/>
          <w:highlight w:val="none"/>
        </w:rPr>
        <w:fldChar w:fldCharType="begin"/>
      </w:r>
      <w:r>
        <w:rPr>
          <w:color w:val="auto"/>
          <w:highlight w:val="none"/>
        </w:rPr>
        <w:instrText xml:space="preserve"> HYPERLINK \l "_Toc15315" </w:instrText>
      </w:r>
      <w:r>
        <w:rPr>
          <w:color w:val="auto"/>
          <w:highlight w:val="none"/>
        </w:rPr>
        <w:fldChar w:fldCharType="separate"/>
      </w:r>
      <w:r>
        <w:rPr>
          <w:rFonts w:eastAsiaTheme="minorEastAsia"/>
          <w:color w:val="auto"/>
          <w:szCs w:val="44"/>
          <w:highlight w:val="none"/>
        </w:rPr>
        <w:t xml:space="preserve">第一篇  </w:t>
      </w:r>
      <w:r>
        <w:rPr>
          <w:rFonts w:hint="eastAsia" w:eastAsiaTheme="minorEastAsia"/>
          <w:color w:val="auto"/>
          <w:szCs w:val="44"/>
          <w:highlight w:val="none"/>
        </w:rPr>
        <w:t>询比</w:t>
      </w:r>
      <w:r>
        <w:rPr>
          <w:rFonts w:eastAsiaTheme="minorEastAsia"/>
          <w:color w:val="auto"/>
          <w:szCs w:val="44"/>
          <w:highlight w:val="none"/>
        </w:rPr>
        <w:t>邀请书</w:t>
      </w:r>
      <w:r>
        <w:rPr>
          <w:color w:val="auto"/>
          <w:highlight w:val="none"/>
        </w:rPr>
        <w:tab/>
      </w:r>
      <w:r>
        <w:rPr>
          <w:color w:val="auto"/>
          <w:highlight w:val="none"/>
        </w:rPr>
        <w:fldChar w:fldCharType="begin"/>
      </w:r>
      <w:r>
        <w:rPr>
          <w:color w:val="auto"/>
          <w:highlight w:val="none"/>
        </w:rPr>
        <w:instrText xml:space="preserve"> PAGEREF _Toc15315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2A486E77">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"_Toc19371" </w:instrText>
      </w:r>
      <w:r>
        <w:rPr>
          <w:color w:val="auto"/>
          <w:highlight w:val="none"/>
        </w:rPr>
        <w:fldChar w:fldCharType="separate"/>
      </w:r>
      <w:r>
        <w:rPr>
          <w:bCs/>
          <w:color w:val="auto"/>
          <w:szCs w:val="24"/>
          <w:highlight w:val="none"/>
        </w:rPr>
        <w:t>一、</w:t>
      </w:r>
      <w:r>
        <w:rPr>
          <w:rFonts w:hint="eastAsia"/>
          <w:bCs/>
          <w:color w:val="auto"/>
          <w:szCs w:val="24"/>
          <w:highlight w:val="none"/>
        </w:rPr>
        <w:t>询比项目</w:t>
      </w:r>
      <w:r>
        <w:rPr>
          <w:bCs/>
          <w:color w:val="auto"/>
          <w:szCs w:val="24"/>
          <w:highlight w:val="none"/>
        </w:rPr>
        <w:t>内容</w:t>
      </w:r>
      <w:r>
        <w:rPr>
          <w:color w:val="auto"/>
          <w:highlight w:val="none"/>
        </w:rPr>
        <w:tab/>
      </w:r>
      <w:r>
        <w:rPr>
          <w:color w:val="auto"/>
          <w:highlight w:val="none"/>
        </w:rPr>
        <w:fldChar w:fldCharType="begin"/>
      </w:r>
      <w:r>
        <w:rPr>
          <w:color w:val="auto"/>
          <w:highlight w:val="none"/>
        </w:rPr>
        <w:instrText xml:space="preserve"> PAGEREF _Toc19371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5F93D800">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"_Toc7979" </w:instrText>
      </w:r>
      <w:r>
        <w:rPr>
          <w:color w:val="auto"/>
          <w:highlight w:val="none"/>
        </w:rPr>
        <w:fldChar w:fldCharType="separate"/>
      </w:r>
      <w:r>
        <w:rPr>
          <w:rFonts w:hint="eastAsia"/>
          <w:bCs/>
          <w:color w:val="auto"/>
          <w:szCs w:val="24"/>
          <w:highlight w:val="none"/>
        </w:rPr>
        <w:t>二、资金性质</w:t>
      </w:r>
      <w:r>
        <w:rPr>
          <w:color w:val="auto"/>
          <w:highlight w:val="none"/>
        </w:rPr>
        <w:tab/>
      </w:r>
      <w:r>
        <w:rPr>
          <w:color w:val="auto"/>
          <w:highlight w:val="none"/>
        </w:rPr>
        <w:fldChar w:fldCharType="begin"/>
      </w:r>
      <w:r>
        <w:rPr>
          <w:color w:val="auto"/>
          <w:highlight w:val="none"/>
        </w:rPr>
        <w:instrText xml:space="preserve"> PAGEREF _Toc7979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4003EA16">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"_Toc17279" </w:instrText>
      </w:r>
      <w:r>
        <w:rPr>
          <w:color w:val="auto"/>
          <w:highlight w:val="none"/>
        </w:rPr>
        <w:fldChar w:fldCharType="separate"/>
      </w:r>
      <w:r>
        <w:rPr>
          <w:rFonts w:hint="eastAsia"/>
          <w:bCs/>
          <w:color w:val="auto"/>
          <w:szCs w:val="24"/>
          <w:highlight w:val="none"/>
        </w:rPr>
        <w:t>三、供应商资格要求</w:t>
      </w:r>
      <w:r>
        <w:rPr>
          <w:color w:val="auto"/>
          <w:highlight w:val="none"/>
        </w:rPr>
        <w:tab/>
      </w:r>
      <w:r>
        <w:rPr>
          <w:color w:val="auto"/>
          <w:highlight w:val="none"/>
        </w:rPr>
        <w:fldChar w:fldCharType="begin"/>
      </w:r>
      <w:r>
        <w:rPr>
          <w:color w:val="auto"/>
          <w:highlight w:val="none"/>
        </w:rPr>
        <w:instrText xml:space="preserve"> PAGEREF _Toc17279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3D67BB7B">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"_Toc16951" </w:instrText>
      </w:r>
      <w:r>
        <w:rPr>
          <w:color w:val="auto"/>
          <w:highlight w:val="none"/>
        </w:rPr>
        <w:fldChar w:fldCharType="separate"/>
      </w:r>
      <w:r>
        <w:rPr>
          <w:rFonts w:hint="eastAsia"/>
          <w:bCs/>
          <w:color w:val="auto"/>
          <w:szCs w:val="24"/>
          <w:highlight w:val="none"/>
        </w:rPr>
        <w:t>四、询比有关说明</w:t>
      </w:r>
      <w:r>
        <w:rPr>
          <w:color w:val="auto"/>
          <w:highlight w:val="none"/>
        </w:rPr>
        <w:tab/>
      </w:r>
      <w:r>
        <w:rPr>
          <w:color w:val="auto"/>
          <w:highlight w:val="none"/>
        </w:rPr>
        <w:fldChar w:fldCharType="begin"/>
      </w:r>
      <w:r>
        <w:rPr>
          <w:color w:val="auto"/>
          <w:highlight w:val="none"/>
        </w:rPr>
        <w:instrText xml:space="preserve"> PAGEREF _Toc16951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632B2E74">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"_Toc27238" </w:instrText>
      </w:r>
      <w:r>
        <w:rPr>
          <w:color w:val="auto"/>
          <w:highlight w:val="none"/>
        </w:rPr>
        <w:fldChar w:fldCharType="separate"/>
      </w:r>
      <w:r>
        <w:rPr>
          <w:rFonts w:hint="eastAsia"/>
          <w:bCs/>
          <w:color w:val="auto"/>
          <w:szCs w:val="24"/>
          <w:highlight w:val="none"/>
        </w:rPr>
        <w:t>五、询比文件购买费、询比保证金</w:t>
      </w:r>
      <w:r>
        <w:rPr>
          <w:color w:val="auto"/>
          <w:highlight w:val="none"/>
        </w:rPr>
        <w:tab/>
      </w:r>
      <w:r>
        <w:rPr>
          <w:color w:val="auto"/>
          <w:highlight w:val="none"/>
        </w:rPr>
        <w:fldChar w:fldCharType="begin"/>
      </w:r>
      <w:r>
        <w:rPr>
          <w:color w:val="auto"/>
          <w:highlight w:val="none"/>
        </w:rPr>
        <w:instrText xml:space="preserve"> PAGEREF _Toc27238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4874804B">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"_Toc3717" </w:instrText>
      </w:r>
      <w:r>
        <w:rPr>
          <w:color w:val="auto"/>
          <w:highlight w:val="none"/>
        </w:rPr>
        <w:fldChar w:fldCharType="separate"/>
      </w:r>
      <w:r>
        <w:rPr>
          <w:rFonts w:hint="eastAsia"/>
          <w:bCs/>
          <w:color w:val="auto"/>
          <w:szCs w:val="24"/>
          <w:highlight w:val="none"/>
        </w:rPr>
        <w:t>六、询比有关规定</w:t>
      </w:r>
      <w:r>
        <w:rPr>
          <w:color w:val="auto"/>
          <w:highlight w:val="none"/>
        </w:rPr>
        <w:tab/>
      </w:r>
      <w:r>
        <w:rPr>
          <w:color w:val="auto"/>
          <w:highlight w:val="none"/>
        </w:rPr>
        <w:fldChar w:fldCharType="begin"/>
      </w:r>
      <w:r>
        <w:rPr>
          <w:color w:val="auto"/>
          <w:highlight w:val="none"/>
        </w:rPr>
        <w:instrText xml:space="preserve"> PAGEREF _Toc3717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6A5599D0">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"_Toc28435" </w:instrText>
      </w:r>
      <w:r>
        <w:rPr>
          <w:color w:val="auto"/>
          <w:highlight w:val="none"/>
        </w:rPr>
        <w:fldChar w:fldCharType="separate"/>
      </w:r>
      <w:r>
        <w:rPr>
          <w:rFonts w:hint="eastAsia"/>
          <w:bCs/>
          <w:color w:val="auto"/>
          <w:szCs w:val="24"/>
          <w:highlight w:val="none"/>
        </w:rPr>
        <w:t>七、联系方式</w:t>
      </w:r>
      <w:r>
        <w:rPr>
          <w:color w:val="auto"/>
          <w:highlight w:val="none"/>
        </w:rPr>
        <w:tab/>
      </w:r>
      <w:r>
        <w:rPr>
          <w:color w:val="auto"/>
          <w:highlight w:val="none"/>
        </w:rPr>
        <w:fldChar w:fldCharType="begin"/>
      </w:r>
      <w:r>
        <w:rPr>
          <w:color w:val="auto"/>
          <w:highlight w:val="none"/>
        </w:rPr>
        <w:instrText xml:space="preserve"> PAGEREF _Toc28435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57915254">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"_Toc15829" </w:instrText>
      </w:r>
      <w:r>
        <w:rPr>
          <w:color w:val="auto"/>
          <w:highlight w:val="none"/>
        </w:rPr>
        <w:fldChar w:fldCharType="separate"/>
      </w:r>
      <w:r>
        <w:rPr>
          <w:rFonts w:hint="eastAsia"/>
          <w:color w:val="auto"/>
          <w:highlight w:val="none"/>
        </w:rPr>
        <w:t>八、其他要求</w:t>
      </w:r>
      <w:r>
        <w:rPr>
          <w:color w:val="auto"/>
          <w:highlight w:val="none"/>
        </w:rPr>
        <w:tab/>
      </w:r>
      <w:r>
        <w:rPr>
          <w:color w:val="auto"/>
          <w:highlight w:val="none"/>
        </w:rPr>
        <w:fldChar w:fldCharType="begin"/>
      </w:r>
      <w:r>
        <w:rPr>
          <w:color w:val="auto"/>
          <w:highlight w:val="none"/>
        </w:rPr>
        <w:instrText xml:space="preserve"> PAGEREF _Toc15829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0FA50EB4">
      <w:pPr>
        <w:pStyle w:val="16"/>
        <w:tabs>
          <w:tab w:val="right" w:leader="dot" w:pos="9412"/>
          <w:tab w:val="clear" w:pos="1260"/>
          <w:tab w:val="clear" w:pos="1685"/>
          <w:tab w:val="clear" w:pos="8400"/>
        </w:tabs>
        <w:rPr>
          <w:color w:val="auto"/>
          <w:highlight w:val="none"/>
        </w:rPr>
      </w:pPr>
      <w:r>
        <w:rPr>
          <w:color w:val="auto"/>
          <w:highlight w:val="none"/>
        </w:rPr>
        <w:fldChar w:fldCharType="begin"/>
      </w:r>
      <w:r>
        <w:rPr>
          <w:color w:val="auto"/>
          <w:highlight w:val="none"/>
        </w:rPr>
        <w:instrText xml:space="preserve"> HYPERLINK \l "_Toc15036" </w:instrText>
      </w:r>
      <w:r>
        <w:rPr>
          <w:color w:val="auto"/>
          <w:highlight w:val="none"/>
        </w:rPr>
        <w:fldChar w:fldCharType="separate"/>
      </w:r>
      <w:r>
        <w:rPr>
          <w:rFonts w:hint="eastAsia"/>
          <w:color w:val="auto"/>
          <w:szCs w:val="44"/>
          <w:highlight w:val="none"/>
        </w:rPr>
        <w:t>第二篇</w:t>
      </w:r>
      <w:r>
        <w:rPr>
          <w:color w:val="auto"/>
          <w:szCs w:val="44"/>
          <w:highlight w:val="none"/>
        </w:rPr>
        <w:t xml:space="preserve">  </w:t>
      </w:r>
      <w:r>
        <w:rPr>
          <w:rFonts w:hint="eastAsia"/>
          <w:color w:val="auto"/>
          <w:szCs w:val="44"/>
          <w:highlight w:val="none"/>
        </w:rPr>
        <w:t>项目服务需求</w:t>
      </w:r>
      <w:r>
        <w:rPr>
          <w:color w:val="auto"/>
          <w:highlight w:val="none"/>
        </w:rPr>
        <w:tab/>
      </w:r>
      <w:r>
        <w:rPr>
          <w:color w:val="auto"/>
          <w:highlight w:val="none"/>
        </w:rPr>
        <w:fldChar w:fldCharType="begin"/>
      </w:r>
      <w:r>
        <w:rPr>
          <w:color w:val="auto"/>
          <w:highlight w:val="none"/>
        </w:rPr>
        <w:instrText xml:space="preserve"> PAGEREF _Toc15036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73D8E879">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"_Toc6449" </w:instrText>
      </w:r>
      <w:r>
        <w:rPr>
          <w:color w:val="auto"/>
          <w:highlight w:val="none"/>
        </w:rPr>
        <w:fldChar w:fldCharType="separate"/>
      </w:r>
      <w:r>
        <w:rPr>
          <w:rFonts w:hint="eastAsia"/>
          <w:bCs/>
          <w:color w:val="auto"/>
          <w:szCs w:val="24"/>
          <w:highlight w:val="none"/>
        </w:rPr>
        <w:t>一、询比项目一览表</w:t>
      </w:r>
      <w:r>
        <w:rPr>
          <w:color w:val="auto"/>
          <w:highlight w:val="none"/>
        </w:rPr>
        <w:tab/>
      </w:r>
      <w:r>
        <w:rPr>
          <w:color w:val="auto"/>
          <w:highlight w:val="none"/>
        </w:rPr>
        <w:fldChar w:fldCharType="begin"/>
      </w:r>
      <w:r>
        <w:rPr>
          <w:color w:val="auto"/>
          <w:highlight w:val="none"/>
        </w:rPr>
        <w:instrText xml:space="preserve"> PAGEREF _Toc6449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7DF40C47">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"_Toc3139" </w:instrText>
      </w:r>
      <w:r>
        <w:rPr>
          <w:color w:val="auto"/>
          <w:highlight w:val="none"/>
        </w:rPr>
        <w:fldChar w:fldCharType="separate"/>
      </w:r>
      <w:r>
        <w:rPr>
          <w:rFonts w:hint="eastAsia" w:cs="宋体"/>
          <w:color w:val="auto"/>
          <w:szCs w:val="24"/>
          <w:highlight w:val="none"/>
        </w:rPr>
        <w:t>二、项目总体概况</w:t>
      </w:r>
      <w:r>
        <w:rPr>
          <w:color w:val="auto"/>
          <w:highlight w:val="none"/>
        </w:rPr>
        <w:tab/>
      </w:r>
      <w:r>
        <w:rPr>
          <w:color w:val="auto"/>
          <w:highlight w:val="none"/>
        </w:rPr>
        <w:fldChar w:fldCharType="begin"/>
      </w:r>
      <w:r>
        <w:rPr>
          <w:color w:val="auto"/>
          <w:highlight w:val="none"/>
        </w:rPr>
        <w:instrText xml:space="preserve"> PAGEREF _Toc3139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49596669">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"_Toc7660" </w:instrText>
      </w:r>
      <w:r>
        <w:rPr>
          <w:color w:val="auto"/>
          <w:highlight w:val="none"/>
        </w:rPr>
        <w:fldChar w:fldCharType="separate"/>
      </w:r>
      <w:r>
        <w:rPr>
          <w:rFonts w:hint="eastAsia" w:cs="宋体"/>
          <w:color w:val="auto"/>
          <w:szCs w:val="24"/>
          <w:highlight w:val="none"/>
        </w:rPr>
        <w:t>三、项目服务技术要求</w:t>
      </w:r>
      <w:r>
        <w:rPr>
          <w:color w:val="auto"/>
          <w:highlight w:val="none"/>
        </w:rPr>
        <w:tab/>
      </w:r>
      <w:r>
        <w:rPr>
          <w:color w:val="auto"/>
          <w:highlight w:val="none"/>
        </w:rPr>
        <w:fldChar w:fldCharType="begin"/>
      </w:r>
      <w:r>
        <w:rPr>
          <w:color w:val="auto"/>
          <w:highlight w:val="none"/>
        </w:rPr>
        <w:instrText xml:space="preserve"> PAGEREF _Toc7660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1407CED3">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"_Toc9664" </w:instrText>
      </w:r>
      <w:r>
        <w:rPr>
          <w:color w:val="auto"/>
          <w:highlight w:val="none"/>
        </w:rPr>
        <w:fldChar w:fldCharType="separate"/>
      </w:r>
      <w:r>
        <w:rPr>
          <w:rFonts w:hint="eastAsia"/>
          <w:color w:val="auto"/>
          <w:szCs w:val="24"/>
          <w:highlight w:val="none"/>
        </w:rPr>
        <w:t>四、其它技术要求</w:t>
      </w:r>
      <w:r>
        <w:rPr>
          <w:color w:val="auto"/>
          <w:highlight w:val="none"/>
        </w:rPr>
        <w:tab/>
      </w:r>
      <w:r>
        <w:rPr>
          <w:color w:val="auto"/>
          <w:highlight w:val="none"/>
        </w:rPr>
        <w:fldChar w:fldCharType="begin"/>
      </w:r>
      <w:r>
        <w:rPr>
          <w:color w:val="auto"/>
          <w:highlight w:val="none"/>
        </w:rPr>
        <w:instrText xml:space="preserve"> PAGEREF _Toc9664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7B38A076">
      <w:pPr>
        <w:pStyle w:val="16"/>
        <w:tabs>
          <w:tab w:val="right" w:leader="dot" w:pos="9412"/>
          <w:tab w:val="clear" w:pos="1260"/>
          <w:tab w:val="clear" w:pos="1685"/>
          <w:tab w:val="clear" w:pos="8400"/>
        </w:tabs>
        <w:rPr>
          <w:color w:val="auto"/>
          <w:highlight w:val="none"/>
        </w:rPr>
      </w:pPr>
      <w:r>
        <w:rPr>
          <w:rFonts w:hint="eastAsia" w:eastAsiaTheme="minorEastAsia"/>
          <w:color w:val="auto"/>
          <w:szCs w:val="24"/>
          <w:highlight w:val="none"/>
        </w:rPr>
        <w:t>第</w:t>
      </w:r>
      <w:r>
        <w:rPr>
          <w:color w:val="auto"/>
          <w:highlight w:val="none"/>
        </w:rPr>
        <w:fldChar w:fldCharType="begin"/>
      </w:r>
      <w:r>
        <w:rPr>
          <w:color w:val="auto"/>
          <w:highlight w:val="none"/>
        </w:rPr>
        <w:instrText xml:space="preserve"> HYPERLINK \l "_Toc8073" </w:instrText>
      </w:r>
      <w:r>
        <w:rPr>
          <w:color w:val="auto"/>
          <w:highlight w:val="none"/>
        </w:rPr>
        <w:fldChar w:fldCharType="separate"/>
      </w:r>
      <w:r>
        <w:rPr>
          <w:rFonts w:hint="eastAsia"/>
          <w:color w:val="auto"/>
          <w:highlight w:val="none"/>
        </w:rPr>
        <w:t>三篇</w:t>
      </w:r>
      <w:r>
        <w:rPr>
          <w:color w:val="auto"/>
          <w:highlight w:val="none"/>
        </w:rPr>
        <w:t xml:space="preserve">  </w:t>
      </w:r>
      <w:r>
        <w:rPr>
          <w:rFonts w:hint="eastAsia"/>
          <w:color w:val="auto"/>
          <w:highlight w:val="none"/>
        </w:rPr>
        <w:t>项目商务需求</w:t>
      </w:r>
      <w:r>
        <w:rPr>
          <w:color w:val="auto"/>
          <w:highlight w:val="none"/>
        </w:rPr>
        <w:tab/>
      </w:r>
      <w:r>
        <w:rPr>
          <w:color w:val="auto"/>
          <w:highlight w:val="none"/>
        </w:rPr>
        <w:fldChar w:fldCharType="begin"/>
      </w:r>
      <w:r>
        <w:rPr>
          <w:color w:val="auto"/>
          <w:highlight w:val="none"/>
        </w:rPr>
        <w:instrText xml:space="preserve"> PAGEREF _Toc8073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6CD4872C">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"_Toc26446" </w:instrText>
      </w:r>
      <w:r>
        <w:rPr>
          <w:color w:val="auto"/>
          <w:highlight w:val="none"/>
        </w:rPr>
        <w:fldChar w:fldCharType="separate"/>
      </w:r>
      <w:r>
        <w:rPr>
          <w:rFonts w:hint="eastAsia"/>
          <w:color w:val="auto"/>
          <w:highlight w:val="none"/>
        </w:rPr>
        <w:t>一、交货期、交货地点及验收方式</w:t>
      </w:r>
      <w:r>
        <w:rPr>
          <w:color w:val="auto"/>
          <w:highlight w:val="none"/>
        </w:rPr>
        <w:tab/>
      </w:r>
      <w:r>
        <w:rPr>
          <w:color w:val="auto"/>
          <w:highlight w:val="none"/>
        </w:rPr>
        <w:fldChar w:fldCharType="begin"/>
      </w:r>
      <w:r>
        <w:rPr>
          <w:color w:val="auto"/>
          <w:highlight w:val="none"/>
        </w:rPr>
        <w:instrText xml:space="preserve"> PAGEREF _Toc26446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7EDFFF6E">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"_Toc30160" </w:instrText>
      </w:r>
      <w:r>
        <w:rPr>
          <w:color w:val="auto"/>
          <w:highlight w:val="none"/>
        </w:rPr>
        <w:fldChar w:fldCharType="separate"/>
      </w:r>
      <w:r>
        <w:rPr>
          <w:rFonts w:hint="eastAsia"/>
          <w:color w:val="auto"/>
          <w:szCs w:val="22"/>
          <w:highlight w:val="none"/>
        </w:rPr>
        <w:t>二、报价要求</w:t>
      </w:r>
      <w:r>
        <w:rPr>
          <w:color w:val="auto"/>
          <w:highlight w:val="none"/>
        </w:rPr>
        <w:tab/>
      </w:r>
      <w:r>
        <w:rPr>
          <w:color w:val="auto"/>
          <w:highlight w:val="none"/>
        </w:rPr>
        <w:fldChar w:fldCharType="begin"/>
      </w:r>
      <w:r>
        <w:rPr>
          <w:color w:val="auto"/>
          <w:highlight w:val="none"/>
        </w:rPr>
        <w:instrText xml:space="preserve"> PAGEREF _Toc30160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625014B6">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"_Toc18759" </w:instrText>
      </w:r>
      <w:r>
        <w:rPr>
          <w:color w:val="auto"/>
          <w:highlight w:val="none"/>
        </w:rPr>
        <w:fldChar w:fldCharType="separate"/>
      </w:r>
      <w:r>
        <w:rPr>
          <w:rFonts w:hint="eastAsia"/>
          <w:color w:val="auto"/>
          <w:szCs w:val="22"/>
          <w:highlight w:val="none"/>
        </w:rPr>
        <w:t>三、质量保证及售后服务</w:t>
      </w:r>
      <w:r>
        <w:rPr>
          <w:color w:val="auto"/>
          <w:highlight w:val="none"/>
        </w:rPr>
        <w:tab/>
      </w:r>
      <w:r>
        <w:rPr>
          <w:color w:val="auto"/>
          <w:highlight w:val="none"/>
        </w:rPr>
        <w:fldChar w:fldCharType="begin"/>
      </w:r>
      <w:r>
        <w:rPr>
          <w:color w:val="auto"/>
          <w:highlight w:val="none"/>
        </w:rPr>
        <w:instrText xml:space="preserve"> PAGEREF _Toc18759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71BFD977">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"_Toc159" </w:instrText>
      </w:r>
      <w:r>
        <w:rPr>
          <w:color w:val="auto"/>
          <w:highlight w:val="none"/>
        </w:rPr>
        <w:fldChar w:fldCharType="separate"/>
      </w:r>
      <w:r>
        <w:rPr>
          <w:rFonts w:hint="eastAsia"/>
          <w:color w:val="auto"/>
          <w:kern w:val="0"/>
          <w:szCs w:val="24"/>
          <w:highlight w:val="none"/>
        </w:rPr>
        <w:t>四、付款方式</w:t>
      </w:r>
      <w:r>
        <w:rPr>
          <w:color w:val="auto"/>
          <w:highlight w:val="none"/>
        </w:rPr>
        <w:tab/>
      </w:r>
      <w:r>
        <w:rPr>
          <w:color w:val="auto"/>
          <w:highlight w:val="none"/>
        </w:rPr>
        <w:fldChar w:fldCharType="begin"/>
      </w:r>
      <w:r>
        <w:rPr>
          <w:color w:val="auto"/>
          <w:highlight w:val="none"/>
        </w:rPr>
        <w:instrText xml:space="preserve"> PAGEREF _Toc159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326623F3">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"_Toc31056" </w:instrText>
      </w:r>
      <w:r>
        <w:rPr>
          <w:color w:val="auto"/>
          <w:highlight w:val="none"/>
        </w:rPr>
        <w:fldChar w:fldCharType="separate"/>
      </w:r>
      <w:r>
        <w:rPr>
          <w:rFonts w:hint="eastAsia"/>
          <w:color w:val="auto"/>
          <w:kern w:val="0"/>
          <w:szCs w:val="24"/>
          <w:highlight w:val="none"/>
        </w:rPr>
        <w:t>五、履约保证金（缴至重庆工商大学指定账户）</w:t>
      </w:r>
      <w:r>
        <w:rPr>
          <w:color w:val="auto"/>
          <w:highlight w:val="none"/>
        </w:rPr>
        <w:tab/>
      </w:r>
      <w:r>
        <w:rPr>
          <w:color w:val="auto"/>
          <w:highlight w:val="none"/>
        </w:rPr>
        <w:fldChar w:fldCharType="begin"/>
      </w:r>
      <w:r>
        <w:rPr>
          <w:color w:val="auto"/>
          <w:highlight w:val="none"/>
        </w:rPr>
        <w:instrText xml:space="preserve"> PAGEREF _Toc31056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6433A77B">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"_Toc22333" </w:instrText>
      </w:r>
      <w:r>
        <w:rPr>
          <w:color w:val="auto"/>
          <w:highlight w:val="none"/>
        </w:rPr>
        <w:fldChar w:fldCharType="separate"/>
      </w:r>
      <w:r>
        <w:rPr>
          <w:color w:val="auto"/>
          <w:highlight w:val="none"/>
        </w:rPr>
        <w:t>六、</w:t>
      </w:r>
      <w:r>
        <w:rPr>
          <w:color w:val="auto"/>
          <w:kern w:val="0"/>
          <w:szCs w:val="24"/>
          <w:highlight w:val="none"/>
        </w:rPr>
        <w:t>知识产权</w:t>
      </w:r>
      <w:r>
        <w:rPr>
          <w:color w:val="auto"/>
          <w:highlight w:val="none"/>
        </w:rPr>
        <w:tab/>
      </w:r>
      <w:r>
        <w:rPr>
          <w:color w:val="auto"/>
          <w:highlight w:val="none"/>
        </w:rPr>
        <w:fldChar w:fldCharType="begin"/>
      </w:r>
      <w:r>
        <w:rPr>
          <w:color w:val="auto"/>
          <w:highlight w:val="none"/>
        </w:rPr>
        <w:instrText xml:space="preserve"> PAGEREF _Toc22333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1E2F3FC7">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"_Toc14571" </w:instrText>
      </w:r>
      <w:r>
        <w:rPr>
          <w:color w:val="auto"/>
          <w:highlight w:val="none"/>
        </w:rPr>
        <w:fldChar w:fldCharType="separate"/>
      </w:r>
      <w:r>
        <w:rPr>
          <w:rFonts w:hint="eastAsia"/>
          <w:color w:val="auto"/>
          <w:szCs w:val="22"/>
          <w:highlight w:val="none"/>
        </w:rPr>
        <w:t>七、培训及二次开发</w:t>
      </w:r>
      <w:r>
        <w:rPr>
          <w:color w:val="auto"/>
          <w:highlight w:val="none"/>
        </w:rPr>
        <w:tab/>
      </w:r>
      <w:r>
        <w:rPr>
          <w:color w:val="auto"/>
          <w:highlight w:val="none"/>
        </w:rPr>
        <w:fldChar w:fldCharType="begin"/>
      </w:r>
      <w:r>
        <w:rPr>
          <w:color w:val="auto"/>
          <w:highlight w:val="none"/>
        </w:rPr>
        <w:instrText xml:space="preserve"> PAGEREF _Toc14571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41D0625A">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"_Toc26416" </w:instrText>
      </w:r>
      <w:r>
        <w:rPr>
          <w:color w:val="auto"/>
          <w:highlight w:val="none"/>
        </w:rPr>
        <w:fldChar w:fldCharType="separate"/>
      </w:r>
      <w:r>
        <w:rPr>
          <w:rFonts w:hint="eastAsia"/>
          <w:color w:val="auto"/>
          <w:szCs w:val="22"/>
          <w:highlight w:val="none"/>
        </w:rPr>
        <w:t>八、违约</w:t>
      </w:r>
      <w:r>
        <w:rPr>
          <w:rFonts w:hint="eastAsia"/>
          <w:color w:val="auto"/>
          <w:kern w:val="0"/>
          <w:szCs w:val="24"/>
          <w:highlight w:val="none"/>
        </w:rPr>
        <w:t>责任</w:t>
      </w:r>
      <w:r>
        <w:rPr>
          <w:color w:val="auto"/>
          <w:highlight w:val="none"/>
        </w:rPr>
        <w:tab/>
      </w:r>
      <w:r>
        <w:rPr>
          <w:color w:val="auto"/>
          <w:highlight w:val="none"/>
        </w:rPr>
        <w:fldChar w:fldCharType="begin"/>
      </w:r>
      <w:r>
        <w:rPr>
          <w:color w:val="auto"/>
          <w:highlight w:val="none"/>
        </w:rPr>
        <w:instrText xml:space="preserve"> PAGEREF _Toc26416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5541CCD2">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"_Toc20837" </w:instrText>
      </w:r>
      <w:r>
        <w:rPr>
          <w:color w:val="auto"/>
          <w:highlight w:val="none"/>
        </w:rPr>
        <w:fldChar w:fldCharType="separate"/>
      </w:r>
      <w:r>
        <w:rPr>
          <w:rFonts w:hint="eastAsia"/>
          <w:color w:val="auto"/>
          <w:szCs w:val="22"/>
          <w:highlight w:val="none"/>
        </w:rPr>
        <w:t>九、其他商务要求内容</w:t>
      </w:r>
      <w:r>
        <w:rPr>
          <w:color w:val="auto"/>
          <w:highlight w:val="none"/>
        </w:rPr>
        <w:tab/>
      </w:r>
      <w:r>
        <w:rPr>
          <w:color w:val="auto"/>
          <w:highlight w:val="none"/>
        </w:rPr>
        <w:fldChar w:fldCharType="begin"/>
      </w:r>
      <w:r>
        <w:rPr>
          <w:color w:val="auto"/>
          <w:highlight w:val="none"/>
        </w:rPr>
        <w:instrText xml:space="preserve"> PAGEREF _Toc20837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7F1B0679">
      <w:pPr>
        <w:pStyle w:val="16"/>
        <w:tabs>
          <w:tab w:val="right" w:leader="dot" w:pos="9412"/>
          <w:tab w:val="clear" w:pos="1260"/>
          <w:tab w:val="clear" w:pos="1685"/>
          <w:tab w:val="clear" w:pos="8400"/>
        </w:tabs>
        <w:rPr>
          <w:color w:val="auto"/>
          <w:highlight w:val="none"/>
        </w:rPr>
      </w:pPr>
      <w:r>
        <w:rPr>
          <w:color w:val="auto"/>
          <w:highlight w:val="none"/>
        </w:rPr>
        <w:fldChar w:fldCharType="begin"/>
      </w:r>
      <w:r>
        <w:rPr>
          <w:color w:val="auto"/>
          <w:highlight w:val="none"/>
        </w:rPr>
        <w:instrText xml:space="preserve"> HYPERLINK \l "_Toc9963" </w:instrText>
      </w:r>
      <w:r>
        <w:rPr>
          <w:color w:val="auto"/>
          <w:highlight w:val="none"/>
        </w:rPr>
        <w:fldChar w:fldCharType="separate"/>
      </w:r>
      <w:r>
        <w:rPr>
          <w:rFonts w:hint="eastAsia"/>
          <w:color w:val="auto"/>
          <w:highlight w:val="none"/>
        </w:rPr>
        <w:t>第四篇</w:t>
      </w:r>
      <w:r>
        <w:rPr>
          <w:color w:val="auto"/>
          <w:highlight w:val="none"/>
        </w:rPr>
        <w:t xml:space="preserve">  </w:t>
      </w:r>
      <w:r>
        <w:rPr>
          <w:rFonts w:hint="eastAsia"/>
          <w:color w:val="auto"/>
          <w:highlight w:val="none"/>
        </w:rPr>
        <w:t>资格审查及评审办法</w:t>
      </w:r>
      <w:r>
        <w:rPr>
          <w:color w:val="auto"/>
          <w:highlight w:val="none"/>
        </w:rPr>
        <w:tab/>
      </w:r>
      <w:r>
        <w:rPr>
          <w:color w:val="auto"/>
          <w:highlight w:val="none"/>
        </w:rPr>
        <w:fldChar w:fldCharType="begin"/>
      </w:r>
      <w:r>
        <w:rPr>
          <w:color w:val="auto"/>
          <w:highlight w:val="none"/>
        </w:rPr>
        <w:instrText xml:space="preserve"> PAGEREF _Toc9963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5C6FAE85">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"_Toc20566" </w:instrText>
      </w:r>
      <w:r>
        <w:rPr>
          <w:color w:val="auto"/>
          <w:highlight w:val="none"/>
        </w:rPr>
        <w:fldChar w:fldCharType="separate"/>
      </w:r>
      <w:r>
        <w:rPr>
          <w:rFonts w:hint="eastAsia" w:cs="宋体"/>
          <w:color w:val="auto"/>
          <w:highlight w:val="none"/>
        </w:rPr>
        <w:t>一、资格审查及符合性审查</w:t>
      </w:r>
      <w:r>
        <w:rPr>
          <w:color w:val="auto"/>
          <w:highlight w:val="none"/>
        </w:rPr>
        <w:tab/>
      </w:r>
      <w:r>
        <w:rPr>
          <w:color w:val="auto"/>
          <w:highlight w:val="none"/>
        </w:rPr>
        <w:fldChar w:fldCharType="begin"/>
      </w:r>
      <w:r>
        <w:rPr>
          <w:color w:val="auto"/>
          <w:highlight w:val="none"/>
        </w:rPr>
        <w:instrText xml:space="preserve"> PAGEREF _Toc20566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144B6E17">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"_Toc25299" </w:instrText>
      </w:r>
      <w:r>
        <w:rPr>
          <w:color w:val="auto"/>
          <w:highlight w:val="none"/>
        </w:rPr>
        <w:fldChar w:fldCharType="separate"/>
      </w:r>
      <w:r>
        <w:rPr>
          <w:rFonts w:hint="eastAsia" w:cs="宋体"/>
          <w:color w:val="auto"/>
          <w:highlight w:val="none"/>
        </w:rPr>
        <w:t>二、评审方法</w:t>
      </w:r>
      <w:r>
        <w:rPr>
          <w:color w:val="auto"/>
          <w:highlight w:val="none"/>
        </w:rPr>
        <w:tab/>
      </w:r>
      <w:r>
        <w:rPr>
          <w:color w:val="auto"/>
          <w:highlight w:val="none"/>
        </w:rPr>
        <w:fldChar w:fldCharType="begin"/>
      </w:r>
      <w:r>
        <w:rPr>
          <w:color w:val="auto"/>
          <w:highlight w:val="none"/>
        </w:rPr>
        <w:instrText xml:space="preserve"> PAGEREF _Toc25299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0ED2B3DF">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"_Toc6417" </w:instrText>
      </w:r>
      <w:r>
        <w:rPr>
          <w:color w:val="auto"/>
          <w:highlight w:val="none"/>
        </w:rPr>
        <w:fldChar w:fldCharType="separate"/>
      </w:r>
      <w:r>
        <w:rPr>
          <w:rFonts w:hint="eastAsia" w:cs="宋体"/>
          <w:color w:val="auto"/>
          <w:highlight w:val="none"/>
        </w:rPr>
        <w:t>三、评分标准</w:t>
      </w:r>
      <w:r>
        <w:rPr>
          <w:color w:val="auto"/>
          <w:highlight w:val="none"/>
        </w:rPr>
        <w:tab/>
      </w:r>
      <w:r>
        <w:rPr>
          <w:color w:val="auto"/>
          <w:highlight w:val="none"/>
        </w:rPr>
        <w:fldChar w:fldCharType="begin"/>
      </w:r>
      <w:r>
        <w:rPr>
          <w:color w:val="auto"/>
          <w:highlight w:val="none"/>
        </w:rPr>
        <w:instrText xml:space="preserve"> PAGEREF _Toc6417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15CAC652">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"_Toc8034" </w:instrText>
      </w:r>
      <w:r>
        <w:rPr>
          <w:color w:val="auto"/>
          <w:highlight w:val="none"/>
        </w:rPr>
        <w:fldChar w:fldCharType="separate"/>
      </w:r>
      <w:r>
        <w:rPr>
          <w:rFonts w:hint="eastAsia"/>
          <w:bCs/>
          <w:color w:val="auto"/>
          <w:szCs w:val="24"/>
          <w:highlight w:val="none"/>
        </w:rPr>
        <w:t>四、无效响应条款</w:t>
      </w:r>
      <w:r>
        <w:rPr>
          <w:color w:val="auto"/>
          <w:highlight w:val="none"/>
        </w:rPr>
        <w:tab/>
      </w:r>
      <w:r>
        <w:rPr>
          <w:color w:val="auto"/>
          <w:highlight w:val="none"/>
        </w:rPr>
        <w:fldChar w:fldCharType="begin"/>
      </w:r>
      <w:r>
        <w:rPr>
          <w:color w:val="auto"/>
          <w:highlight w:val="none"/>
        </w:rPr>
        <w:instrText xml:space="preserve"> PAGEREF _Toc8034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5B8288C1">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"_Toc31421" </w:instrText>
      </w:r>
      <w:r>
        <w:rPr>
          <w:color w:val="auto"/>
          <w:highlight w:val="none"/>
        </w:rPr>
        <w:fldChar w:fldCharType="separate"/>
      </w:r>
      <w:r>
        <w:rPr>
          <w:rFonts w:hint="eastAsia"/>
          <w:bCs/>
          <w:color w:val="auto"/>
          <w:szCs w:val="24"/>
          <w:highlight w:val="none"/>
        </w:rPr>
        <w:t>五、废标条款</w:t>
      </w:r>
      <w:r>
        <w:rPr>
          <w:color w:val="auto"/>
          <w:highlight w:val="none"/>
        </w:rPr>
        <w:tab/>
      </w:r>
      <w:r>
        <w:rPr>
          <w:color w:val="auto"/>
          <w:highlight w:val="none"/>
        </w:rPr>
        <w:fldChar w:fldCharType="begin"/>
      </w:r>
      <w:r>
        <w:rPr>
          <w:color w:val="auto"/>
          <w:highlight w:val="none"/>
        </w:rPr>
        <w:instrText xml:space="preserve"> PAGEREF _Toc31421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76B118F2">
      <w:pPr>
        <w:pStyle w:val="16"/>
        <w:tabs>
          <w:tab w:val="right" w:leader="dot" w:pos="9412"/>
          <w:tab w:val="clear" w:pos="1260"/>
          <w:tab w:val="clear" w:pos="1685"/>
          <w:tab w:val="clear" w:pos="8400"/>
        </w:tabs>
        <w:rPr>
          <w:color w:val="auto"/>
          <w:highlight w:val="none"/>
        </w:rPr>
      </w:pPr>
      <w:r>
        <w:rPr>
          <w:color w:val="auto"/>
          <w:highlight w:val="none"/>
        </w:rPr>
        <w:fldChar w:fldCharType="begin"/>
      </w:r>
      <w:r>
        <w:rPr>
          <w:color w:val="auto"/>
          <w:highlight w:val="none"/>
        </w:rPr>
        <w:instrText xml:space="preserve"> HYPERLINK \l "_Toc8566" </w:instrText>
      </w:r>
      <w:r>
        <w:rPr>
          <w:color w:val="auto"/>
          <w:highlight w:val="none"/>
        </w:rPr>
        <w:fldChar w:fldCharType="separate"/>
      </w:r>
      <w:r>
        <w:rPr>
          <w:rFonts w:hint="eastAsia"/>
          <w:color w:val="auto"/>
          <w:highlight w:val="none"/>
        </w:rPr>
        <w:t>第五篇</w:t>
      </w:r>
      <w:r>
        <w:rPr>
          <w:color w:val="auto"/>
          <w:highlight w:val="none"/>
        </w:rPr>
        <w:t xml:space="preserve">  </w:t>
      </w:r>
      <w:r>
        <w:rPr>
          <w:rFonts w:hint="eastAsia"/>
          <w:color w:val="auto"/>
          <w:highlight w:val="none"/>
        </w:rPr>
        <w:t>供应商须知</w:t>
      </w:r>
      <w:r>
        <w:rPr>
          <w:color w:val="auto"/>
          <w:highlight w:val="none"/>
        </w:rPr>
        <w:tab/>
      </w:r>
      <w:r>
        <w:rPr>
          <w:color w:val="auto"/>
          <w:highlight w:val="none"/>
        </w:rPr>
        <w:fldChar w:fldCharType="begin"/>
      </w:r>
      <w:r>
        <w:rPr>
          <w:color w:val="auto"/>
          <w:highlight w:val="none"/>
        </w:rPr>
        <w:instrText xml:space="preserve"> PAGEREF _Toc8566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2D9929AA">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"_Toc14304" </w:instrText>
      </w:r>
      <w:r>
        <w:rPr>
          <w:color w:val="auto"/>
          <w:highlight w:val="none"/>
        </w:rPr>
        <w:fldChar w:fldCharType="separate"/>
      </w:r>
      <w:r>
        <w:rPr>
          <w:rFonts w:hint="eastAsia"/>
          <w:color w:val="auto"/>
          <w:szCs w:val="24"/>
          <w:highlight w:val="none"/>
        </w:rPr>
        <w:t>一、供应商</w:t>
      </w:r>
      <w:r>
        <w:rPr>
          <w:color w:val="auto"/>
          <w:highlight w:val="none"/>
        </w:rPr>
        <w:tab/>
      </w:r>
      <w:r>
        <w:rPr>
          <w:color w:val="auto"/>
          <w:highlight w:val="none"/>
        </w:rPr>
        <w:fldChar w:fldCharType="begin"/>
      </w:r>
      <w:r>
        <w:rPr>
          <w:color w:val="auto"/>
          <w:highlight w:val="none"/>
        </w:rPr>
        <w:instrText xml:space="preserve"> PAGEREF _Toc14304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4C9B1853">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"_Toc30224" </w:instrText>
      </w:r>
      <w:r>
        <w:rPr>
          <w:color w:val="auto"/>
          <w:highlight w:val="none"/>
        </w:rPr>
        <w:fldChar w:fldCharType="separate"/>
      </w:r>
      <w:r>
        <w:rPr>
          <w:rFonts w:hint="eastAsia"/>
          <w:color w:val="auto"/>
          <w:szCs w:val="24"/>
          <w:highlight w:val="none"/>
        </w:rPr>
        <w:t>二、询比文件</w:t>
      </w:r>
      <w:r>
        <w:rPr>
          <w:color w:val="auto"/>
          <w:highlight w:val="none"/>
        </w:rPr>
        <w:tab/>
      </w:r>
      <w:r>
        <w:rPr>
          <w:color w:val="auto"/>
          <w:highlight w:val="none"/>
        </w:rPr>
        <w:fldChar w:fldCharType="begin"/>
      </w:r>
      <w:r>
        <w:rPr>
          <w:color w:val="auto"/>
          <w:highlight w:val="none"/>
        </w:rPr>
        <w:instrText xml:space="preserve"> PAGEREF _Toc30224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02AA42CB">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"_Toc5034" </w:instrText>
      </w:r>
      <w:r>
        <w:rPr>
          <w:color w:val="auto"/>
          <w:highlight w:val="none"/>
        </w:rPr>
        <w:fldChar w:fldCharType="separate"/>
      </w:r>
      <w:r>
        <w:rPr>
          <w:rFonts w:hint="eastAsia"/>
          <w:color w:val="auto"/>
          <w:szCs w:val="24"/>
          <w:highlight w:val="none"/>
        </w:rPr>
        <w:t>三、响应文件</w:t>
      </w:r>
      <w:r>
        <w:rPr>
          <w:color w:val="auto"/>
          <w:highlight w:val="none"/>
        </w:rPr>
        <w:tab/>
      </w:r>
      <w:r>
        <w:rPr>
          <w:color w:val="auto"/>
          <w:highlight w:val="none"/>
        </w:rPr>
        <w:fldChar w:fldCharType="begin"/>
      </w:r>
      <w:r>
        <w:rPr>
          <w:color w:val="auto"/>
          <w:highlight w:val="none"/>
        </w:rPr>
        <w:instrText xml:space="preserve"> PAGEREF _Toc5034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3E28EF15">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"_Toc23819" </w:instrText>
      </w:r>
      <w:r>
        <w:rPr>
          <w:color w:val="auto"/>
          <w:highlight w:val="none"/>
        </w:rPr>
        <w:fldChar w:fldCharType="separate"/>
      </w:r>
      <w:r>
        <w:rPr>
          <w:rFonts w:hint="eastAsia"/>
          <w:color w:val="auto"/>
          <w:szCs w:val="24"/>
          <w:highlight w:val="none"/>
        </w:rPr>
        <w:t>四、开标</w:t>
      </w:r>
      <w:r>
        <w:rPr>
          <w:color w:val="auto"/>
          <w:highlight w:val="none"/>
        </w:rPr>
        <w:tab/>
      </w:r>
      <w:r>
        <w:rPr>
          <w:color w:val="auto"/>
          <w:highlight w:val="none"/>
        </w:rPr>
        <w:fldChar w:fldCharType="begin"/>
      </w:r>
      <w:r>
        <w:rPr>
          <w:color w:val="auto"/>
          <w:highlight w:val="none"/>
        </w:rPr>
        <w:instrText xml:space="preserve"> PAGEREF _Toc23819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14:paraId="24F2F40D">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"_Toc23113" </w:instrText>
      </w:r>
      <w:r>
        <w:rPr>
          <w:color w:val="auto"/>
          <w:highlight w:val="none"/>
        </w:rPr>
        <w:fldChar w:fldCharType="separate"/>
      </w:r>
      <w:r>
        <w:rPr>
          <w:rFonts w:hint="eastAsia"/>
          <w:color w:val="auto"/>
          <w:szCs w:val="24"/>
          <w:highlight w:val="none"/>
        </w:rPr>
        <w:t>五、评审</w:t>
      </w:r>
      <w:r>
        <w:rPr>
          <w:color w:val="auto"/>
          <w:highlight w:val="none"/>
        </w:rPr>
        <w:tab/>
      </w:r>
      <w:r>
        <w:rPr>
          <w:color w:val="auto"/>
          <w:highlight w:val="none"/>
        </w:rPr>
        <w:fldChar w:fldCharType="begin"/>
      </w:r>
      <w:r>
        <w:rPr>
          <w:color w:val="auto"/>
          <w:highlight w:val="none"/>
        </w:rPr>
        <w:instrText xml:space="preserve"> PAGEREF _Toc23113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0D8AADEA">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"_Toc22169" </w:instrText>
      </w:r>
      <w:r>
        <w:rPr>
          <w:color w:val="auto"/>
          <w:highlight w:val="none"/>
        </w:rPr>
        <w:fldChar w:fldCharType="separate"/>
      </w:r>
      <w:r>
        <w:rPr>
          <w:rFonts w:hint="eastAsia"/>
          <w:color w:val="auto"/>
          <w:szCs w:val="24"/>
          <w:highlight w:val="none"/>
        </w:rPr>
        <w:t>六、定标</w:t>
      </w:r>
      <w:r>
        <w:rPr>
          <w:color w:val="auto"/>
          <w:highlight w:val="none"/>
        </w:rPr>
        <w:tab/>
      </w:r>
      <w:r>
        <w:rPr>
          <w:color w:val="auto"/>
          <w:highlight w:val="none"/>
        </w:rPr>
        <w:fldChar w:fldCharType="begin"/>
      </w:r>
      <w:r>
        <w:rPr>
          <w:color w:val="auto"/>
          <w:highlight w:val="none"/>
        </w:rPr>
        <w:instrText xml:space="preserve"> PAGEREF _Toc22169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2AEF9AD2">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"_Toc17663" </w:instrText>
      </w:r>
      <w:r>
        <w:rPr>
          <w:color w:val="auto"/>
          <w:highlight w:val="none"/>
        </w:rPr>
        <w:fldChar w:fldCharType="separate"/>
      </w:r>
      <w:r>
        <w:rPr>
          <w:rFonts w:hint="eastAsia"/>
          <w:color w:val="auto"/>
          <w:szCs w:val="24"/>
          <w:highlight w:val="none"/>
        </w:rPr>
        <w:t>七、成交</w:t>
      </w:r>
      <w:r>
        <w:rPr>
          <w:color w:val="auto"/>
          <w:highlight w:val="none"/>
        </w:rPr>
        <w:tab/>
      </w:r>
      <w:r>
        <w:rPr>
          <w:color w:val="auto"/>
          <w:highlight w:val="none"/>
        </w:rPr>
        <w:fldChar w:fldCharType="begin"/>
      </w:r>
      <w:r>
        <w:rPr>
          <w:color w:val="auto"/>
          <w:highlight w:val="none"/>
        </w:rPr>
        <w:instrText xml:space="preserve"> PAGEREF _Toc17663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585CF997">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"_Toc20863" </w:instrText>
      </w:r>
      <w:r>
        <w:rPr>
          <w:color w:val="auto"/>
          <w:highlight w:val="none"/>
        </w:rPr>
        <w:fldChar w:fldCharType="separate"/>
      </w:r>
      <w:r>
        <w:rPr>
          <w:rFonts w:hint="eastAsia"/>
          <w:color w:val="auto"/>
          <w:szCs w:val="24"/>
          <w:highlight w:val="none"/>
        </w:rPr>
        <w:t>八、询问、质疑和投诉</w:t>
      </w:r>
      <w:r>
        <w:rPr>
          <w:color w:val="auto"/>
          <w:highlight w:val="none"/>
        </w:rPr>
        <w:tab/>
      </w:r>
      <w:r>
        <w:rPr>
          <w:color w:val="auto"/>
          <w:highlight w:val="none"/>
        </w:rPr>
        <w:fldChar w:fldCharType="begin"/>
      </w:r>
      <w:r>
        <w:rPr>
          <w:color w:val="auto"/>
          <w:highlight w:val="none"/>
        </w:rPr>
        <w:instrText xml:space="preserve"> PAGEREF _Toc20863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1CF29CA9">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"_Toc24536" </w:instrText>
      </w:r>
      <w:r>
        <w:rPr>
          <w:color w:val="auto"/>
          <w:highlight w:val="none"/>
        </w:rPr>
        <w:fldChar w:fldCharType="separate"/>
      </w:r>
      <w:r>
        <w:rPr>
          <w:rFonts w:hint="eastAsia"/>
          <w:color w:val="auto"/>
          <w:szCs w:val="24"/>
          <w:highlight w:val="none"/>
        </w:rPr>
        <w:t>九、交易服务费</w:t>
      </w:r>
      <w:r>
        <w:rPr>
          <w:color w:val="auto"/>
          <w:highlight w:val="none"/>
        </w:rPr>
        <w:tab/>
      </w:r>
      <w:r>
        <w:rPr>
          <w:color w:val="auto"/>
          <w:highlight w:val="none"/>
        </w:rPr>
        <w:fldChar w:fldCharType="begin"/>
      </w:r>
      <w:r>
        <w:rPr>
          <w:color w:val="auto"/>
          <w:highlight w:val="none"/>
        </w:rPr>
        <w:instrText xml:space="preserve"> PAGEREF _Toc24536 \h </w:instrText>
      </w:r>
      <w:r>
        <w:rPr>
          <w:color w:val="auto"/>
          <w:highlight w:val="none"/>
        </w:rPr>
        <w:fldChar w:fldCharType="separate"/>
      </w:r>
      <w:r>
        <w:rPr>
          <w:color w:val="auto"/>
          <w:highlight w:val="none"/>
        </w:rPr>
        <w:t>- 24 -</w:t>
      </w:r>
      <w:r>
        <w:rPr>
          <w:color w:val="auto"/>
          <w:highlight w:val="none"/>
        </w:rPr>
        <w:fldChar w:fldCharType="end"/>
      </w:r>
      <w:r>
        <w:rPr>
          <w:color w:val="auto"/>
          <w:highlight w:val="none"/>
        </w:rPr>
        <w:fldChar w:fldCharType="end"/>
      </w:r>
    </w:p>
    <w:p w14:paraId="6F51DFA3">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"_Toc10350" </w:instrText>
      </w:r>
      <w:r>
        <w:rPr>
          <w:color w:val="auto"/>
          <w:highlight w:val="none"/>
        </w:rPr>
        <w:fldChar w:fldCharType="separate"/>
      </w:r>
      <w:r>
        <w:rPr>
          <w:rFonts w:hint="eastAsia"/>
          <w:color w:val="auto"/>
          <w:szCs w:val="24"/>
          <w:highlight w:val="none"/>
        </w:rPr>
        <w:t>十、签订合同</w:t>
      </w:r>
      <w:r>
        <w:rPr>
          <w:color w:val="auto"/>
          <w:highlight w:val="none"/>
        </w:rPr>
        <w:tab/>
      </w:r>
      <w:r>
        <w:rPr>
          <w:color w:val="auto"/>
          <w:highlight w:val="none"/>
        </w:rPr>
        <w:fldChar w:fldCharType="begin"/>
      </w:r>
      <w:r>
        <w:rPr>
          <w:color w:val="auto"/>
          <w:highlight w:val="none"/>
        </w:rPr>
        <w:instrText xml:space="preserve"> PAGEREF _Toc10350 \h </w:instrText>
      </w:r>
      <w:r>
        <w:rPr>
          <w:color w:val="auto"/>
          <w:highlight w:val="none"/>
        </w:rPr>
        <w:fldChar w:fldCharType="separate"/>
      </w:r>
      <w:r>
        <w:rPr>
          <w:color w:val="auto"/>
          <w:highlight w:val="none"/>
        </w:rPr>
        <w:t>- 24 -</w:t>
      </w:r>
      <w:r>
        <w:rPr>
          <w:color w:val="auto"/>
          <w:highlight w:val="none"/>
        </w:rPr>
        <w:fldChar w:fldCharType="end"/>
      </w:r>
      <w:r>
        <w:rPr>
          <w:color w:val="auto"/>
          <w:highlight w:val="none"/>
        </w:rPr>
        <w:fldChar w:fldCharType="end"/>
      </w:r>
    </w:p>
    <w:p w14:paraId="6F84F849">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"_Toc1592" </w:instrText>
      </w:r>
      <w:r>
        <w:rPr>
          <w:color w:val="auto"/>
          <w:highlight w:val="none"/>
        </w:rPr>
        <w:fldChar w:fldCharType="separate"/>
      </w:r>
      <w:r>
        <w:rPr>
          <w:rFonts w:hint="eastAsia"/>
          <w:color w:val="auto"/>
          <w:szCs w:val="24"/>
          <w:highlight w:val="none"/>
        </w:rPr>
        <w:t>十一、其他</w:t>
      </w:r>
      <w:r>
        <w:rPr>
          <w:color w:val="auto"/>
          <w:highlight w:val="none"/>
        </w:rPr>
        <w:tab/>
      </w:r>
      <w:r>
        <w:rPr>
          <w:color w:val="auto"/>
          <w:highlight w:val="none"/>
        </w:rPr>
        <w:fldChar w:fldCharType="begin"/>
      </w:r>
      <w:r>
        <w:rPr>
          <w:color w:val="auto"/>
          <w:highlight w:val="none"/>
        </w:rPr>
        <w:instrText xml:space="preserve"> PAGEREF _Toc1592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49DA6FC7">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"_Toc20204" </w:instrText>
      </w:r>
      <w:r>
        <w:rPr>
          <w:color w:val="auto"/>
          <w:highlight w:val="none"/>
        </w:rPr>
        <w:fldChar w:fldCharType="separate"/>
      </w:r>
      <w:r>
        <w:rPr>
          <w:bCs/>
          <w:color w:val="auto"/>
          <w:szCs w:val="44"/>
          <w:highlight w:val="none"/>
        </w:rPr>
        <w:t>第六篇  合同主要条款和格式合同（样本）</w:t>
      </w:r>
      <w:r>
        <w:rPr>
          <w:color w:val="auto"/>
          <w:highlight w:val="none"/>
        </w:rPr>
        <w:tab/>
      </w:r>
      <w:r>
        <w:rPr>
          <w:color w:val="auto"/>
          <w:highlight w:val="none"/>
        </w:rPr>
        <w:fldChar w:fldCharType="begin"/>
      </w:r>
      <w:r>
        <w:rPr>
          <w:color w:val="auto"/>
          <w:highlight w:val="none"/>
        </w:rPr>
        <w:instrText xml:space="preserve"> PAGEREF _Toc20204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4B4CF266">
      <w:pPr>
        <w:pStyle w:val="16"/>
        <w:tabs>
          <w:tab w:val="right" w:leader="dot" w:pos="9412"/>
          <w:tab w:val="clear" w:pos="1260"/>
          <w:tab w:val="clear" w:pos="1685"/>
          <w:tab w:val="clear" w:pos="8400"/>
        </w:tabs>
        <w:rPr>
          <w:color w:val="auto"/>
          <w:highlight w:val="none"/>
        </w:rPr>
      </w:pPr>
      <w:r>
        <w:rPr>
          <w:color w:val="auto"/>
          <w:highlight w:val="none"/>
        </w:rPr>
        <w:fldChar w:fldCharType="begin"/>
      </w:r>
      <w:r>
        <w:rPr>
          <w:color w:val="auto"/>
          <w:highlight w:val="none"/>
        </w:rPr>
        <w:instrText xml:space="preserve"> HYPERLINK \l "_Toc21153" </w:instrText>
      </w:r>
      <w:r>
        <w:rPr>
          <w:color w:val="auto"/>
          <w:highlight w:val="none"/>
        </w:rPr>
        <w:fldChar w:fldCharType="separate"/>
      </w:r>
      <w:r>
        <w:rPr>
          <w:rFonts w:hint="eastAsia"/>
          <w:color w:val="auto"/>
          <w:highlight w:val="none"/>
        </w:rPr>
        <w:t>第七篇</w:t>
      </w:r>
      <w:r>
        <w:rPr>
          <w:color w:val="auto"/>
          <w:highlight w:val="none"/>
        </w:rPr>
        <w:t xml:space="preserve">  </w:t>
      </w:r>
      <w:r>
        <w:rPr>
          <w:rFonts w:hint="eastAsia"/>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_Toc21153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7385503F">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"_Toc8432" </w:instrText>
      </w:r>
      <w:r>
        <w:rPr>
          <w:color w:val="auto"/>
          <w:highlight w:val="none"/>
        </w:rPr>
        <w:fldChar w:fldCharType="separate"/>
      </w:r>
      <w:r>
        <w:rPr>
          <w:rFonts w:hint="eastAsia"/>
          <w:color w:val="auto"/>
          <w:highlight w:val="none"/>
        </w:rPr>
        <w:t>一、经济文件</w:t>
      </w:r>
      <w:r>
        <w:rPr>
          <w:color w:val="auto"/>
          <w:highlight w:val="none"/>
        </w:rPr>
        <w:tab/>
      </w:r>
      <w:r>
        <w:rPr>
          <w:color w:val="auto"/>
          <w:highlight w:val="none"/>
        </w:rPr>
        <w:fldChar w:fldCharType="begin"/>
      </w:r>
      <w:r>
        <w:rPr>
          <w:color w:val="auto"/>
          <w:highlight w:val="none"/>
        </w:rPr>
        <w:instrText xml:space="preserve"> PAGEREF _Toc8432 \h </w:instrText>
      </w:r>
      <w:r>
        <w:rPr>
          <w:color w:val="auto"/>
          <w:highlight w:val="none"/>
        </w:rPr>
        <w:fldChar w:fldCharType="separate"/>
      </w:r>
      <w:r>
        <w:rPr>
          <w:color w:val="auto"/>
          <w:highlight w:val="none"/>
        </w:rPr>
        <w:t>- 31 -</w:t>
      </w:r>
      <w:r>
        <w:rPr>
          <w:color w:val="auto"/>
          <w:highlight w:val="none"/>
        </w:rPr>
        <w:fldChar w:fldCharType="end"/>
      </w:r>
      <w:r>
        <w:rPr>
          <w:color w:val="auto"/>
          <w:highlight w:val="none"/>
        </w:rPr>
        <w:fldChar w:fldCharType="end"/>
      </w:r>
    </w:p>
    <w:p w14:paraId="67B09735">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"_Toc15375" </w:instrText>
      </w:r>
      <w:r>
        <w:rPr>
          <w:color w:val="auto"/>
          <w:highlight w:val="none"/>
        </w:rPr>
        <w:fldChar w:fldCharType="separate"/>
      </w:r>
      <w:r>
        <w:rPr>
          <w:rFonts w:hint="eastAsia" w:cs="宋体"/>
          <w:color w:val="auto"/>
          <w:szCs w:val="28"/>
          <w:highlight w:val="none"/>
        </w:rPr>
        <w:t>二、服务文件</w:t>
      </w:r>
      <w:r>
        <w:rPr>
          <w:color w:val="auto"/>
          <w:highlight w:val="none"/>
        </w:rPr>
        <w:tab/>
      </w:r>
      <w:r>
        <w:rPr>
          <w:color w:val="auto"/>
          <w:highlight w:val="none"/>
        </w:rPr>
        <w:fldChar w:fldCharType="begin"/>
      </w:r>
      <w:r>
        <w:rPr>
          <w:color w:val="auto"/>
          <w:highlight w:val="none"/>
        </w:rPr>
        <w:instrText xml:space="preserve"> PAGEREF _Toc15375 \h </w:instrText>
      </w:r>
      <w:r>
        <w:rPr>
          <w:color w:val="auto"/>
          <w:highlight w:val="none"/>
        </w:rPr>
        <w:fldChar w:fldCharType="separate"/>
      </w:r>
      <w:r>
        <w:rPr>
          <w:color w:val="auto"/>
          <w:highlight w:val="none"/>
        </w:rPr>
        <w:t>- 33 -</w:t>
      </w:r>
      <w:r>
        <w:rPr>
          <w:color w:val="auto"/>
          <w:highlight w:val="none"/>
        </w:rPr>
        <w:fldChar w:fldCharType="end"/>
      </w:r>
      <w:r>
        <w:rPr>
          <w:color w:val="auto"/>
          <w:highlight w:val="none"/>
        </w:rPr>
        <w:fldChar w:fldCharType="end"/>
      </w:r>
    </w:p>
    <w:p w14:paraId="5CD74182">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"_Toc22911" </w:instrText>
      </w:r>
      <w:r>
        <w:rPr>
          <w:color w:val="auto"/>
          <w:highlight w:val="none"/>
        </w:rPr>
        <w:fldChar w:fldCharType="separate"/>
      </w:r>
      <w:r>
        <w:rPr>
          <w:rFonts w:hint="eastAsia" w:cs="宋体"/>
          <w:color w:val="auto"/>
          <w:szCs w:val="28"/>
          <w:highlight w:val="none"/>
        </w:rPr>
        <w:t>三、商务文件</w:t>
      </w:r>
      <w:r>
        <w:rPr>
          <w:color w:val="auto"/>
          <w:highlight w:val="none"/>
        </w:rPr>
        <w:tab/>
      </w:r>
      <w:r>
        <w:rPr>
          <w:color w:val="auto"/>
          <w:highlight w:val="none"/>
        </w:rPr>
        <w:fldChar w:fldCharType="begin"/>
      </w:r>
      <w:r>
        <w:rPr>
          <w:color w:val="auto"/>
          <w:highlight w:val="none"/>
        </w:rPr>
        <w:instrText xml:space="preserve"> PAGEREF _Toc22911 \h </w:instrText>
      </w:r>
      <w:r>
        <w:rPr>
          <w:color w:val="auto"/>
          <w:highlight w:val="none"/>
        </w:rPr>
        <w:fldChar w:fldCharType="separate"/>
      </w:r>
      <w:r>
        <w:rPr>
          <w:color w:val="auto"/>
          <w:highlight w:val="none"/>
        </w:rPr>
        <w:t>- 35 -</w:t>
      </w:r>
      <w:r>
        <w:rPr>
          <w:color w:val="auto"/>
          <w:highlight w:val="none"/>
        </w:rPr>
        <w:fldChar w:fldCharType="end"/>
      </w:r>
      <w:r>
        <w:rPr>
          <w:color w:val="auto"/>
          <w:highlight w:val="none"/>
        </w:rPr>
        <w:fldChar w:fldCharType="end"/>
      </w:r>
    </w:p>
    <w:p w14:paraId="7577A693">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"_Toc29176" </w:instrText>
      </w:r>
      <w:r>
        <w:rPr>
          <w:color w:val="auto"/>
          <w:highlight w:val="none"/>
        </w:rPr>
        <w:fldChar w:fldCharType="separate"/>
      </w:r>
      <w:r>
        <w:rPr>
          <w:rFonts w:hint="eastAsia" w:cs="宋体"/>
          <w:color w:val="auto"/>
          <w:szCs w:val="28"/>
          <w:highlight w:val="none"/>
        </w:rPr>
        <w:t>四、其他</w:t>
      </w:r>
      <w:r>
        <w:rPr>
          <w:color w:val="auto"/>
          <w:highlight w:val="none"/>
        </w:rPr>
        <w:tab/>
      </w:r>
      <w:r>
        <w:rPr>
          <w:color w:val="auto"/>
          <w:highlight w:val="none"/>
        </w:rPr>
        <w:fldChar w:fldCharType="begin"/>
      </w:r>
      <w:r>
        <w:rPr>
          <w:color w:val="auto"/>
          <w:highlight w:val="none"/>
        </w:rPr>
        <w:instrText xml:space="preserve"> PAGEREF _Toc29176 \h </w:instrText>
      </w:r>
      <w:r>
        <w:rPr>
          <w:color w:val="auto"/>
          <w:highlight w:val="none"/>
        </w:rPr>
        <w:fldChar w:fldCharType="separate"/>
      </w:r>
      <w:r>
        <w:rPr>
          <w:color w:val="auto"/>
          <w:highlight w:val="none"/>
        </w:rPr>
        <w:t>- 38 -</w:t>
      </w:r>
      <w:r>
        <w:rPr>
          <w:color w:val="auto"/>
          <w:highlight w:val="none"/>
        </w:rPr>
        <w:fldChar w:fldCharType="end"/>
      </w:r>
      <w:r>
        <w:rPr>
          <w:color w:val="auto"/>
          <w:highlight w:val="none"/>
        </w:rPr>
        <w:fldChar w:fldCharType="end"/>
      </w:r>
    </w:p>
    <w:p w14:paraId="08DA0160">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"_Toc24230" </w:instrText>
      </w:r>
      <w:r>
        <w:rPr>
          <w:color w:val="auto"/>
          <w:highlight w:val="none"/>
        </w:rPr>
        <w:fldChar w:fldCharType="separate"/>
      </w:r>
      <w:r>
        <w:rPr>
          <w:rFonts w:hint="eastAsia" w:cs="宋体"/>
          <w:color w:val="auto"/>
          <w:szCs w:val="28"/>
          <w:highlight w:val="none"/>
        </w:rPr>
        <w:t>五、资格文件</w:t>
      </w:r>
      <w:r>
        <w:rPr>
          <w:color w:val="auto"/>
          <w:highlight w:val="none"/>
        </w:rPr>
        <w:tab/>
      </w:r>
      <w:r>
        <w:rPr>
          <w:color w:val="auto"/>
          <w:highlight w:val="none"/>
        </w:rPr>
        <w:fldChar w:fldCharType="begin"/>
      </w:r>
      <w:r>
        <w:rPr>
          <w:color w:val="auto"/>
          <w:highlight w:val="none"/>
        </w:rPr>
        <w:instrText xml:space="preserve"> PAGEREF _Toc24230 \h </w:instrText>
      </w:r>
      <w:r>
        <w:rPr>
          <w:color w:val="auto"/>
          <w:highlight w:val="none"/>
        </w:rPr>
        <w:fldChar w:fldCharType="separate"/>
      </w:r>
      <w:r>
        <w:rPr>
          <w:color w:val="auto"/>
          <w:highlight w:val="none"/>
        </w:rPr>
        <w:t>- 39 -</w:t>
      </w:r>
      <w:r>
        <w:rPr>
          <w:color w:val="auto"/>
          <w:highlight w:val="none"/>
        </w:rPr>
        <w:fldChar w:fldCharType="end"/>
      </w:r>
      <w:r>
        <w:rPr>
          <w:color w:val="auto"/>
          <w:highlight w:val="none"/>
        </w:rPr>
        <w:fldChar w:fldCharType="end"/>
      </w:r>
    </w:p>
    <w:p w14:paraId="15E1CB4E">
      <w:pPr>
        <w:pStyle w:val="17"/>
        <w:tabs>
          <w:tab w:val="right" w:leader="dot" w:pos="9412"/>
          <w:tab w:val="clear" w:pos="8400"/>
        </w:tabs>
        <w:ind w:right="-255"/>
        <w:rPr>
          <w:color w:val="auto"/>
          <w:highlight w:val="none"/>
        </w:rPr>
      </w:pPr>
      <w:r>
        <w:rPr>
          <w:color w:val="auto"/>
          <w:highlight w:val="none"/>
        </w:rPr>
        <w:fldChar w:fldCharType="begin"/>
      </w:r>
      <w:r>
        <w:rPr>
          <w:color w:val="auto"/>
          <w:highlight w:val="none"/>
        </w:rPr>
        <w:instrText xml:space="preserve"> HYPERLINK \l "_Toc7420" </w:instrText>
      </w:r>
      <w:r>
        <w:rPr>
          <w:color w:val="auto"/>
          <w:highlight w:val="none"/>
        </w:rPr>
        <w:fldChar w:fldCharType="separate"/>
      </w:r>
      <w:r>
        <w:rPr>
          <w:rFonts w:hint="eastAsia"/>
          <w:bCs/>
          <w:color w:val="auto"/>
          <w:highlight w:val="none"/>
        </w:rPr>
        <w:t>六、其他与项目有关的资料</w:t>
      </w:r>
      <w:r>
        <w:rPr>
          <w:color w:val="auto"/>
          <w:highlight w:val="none"/>
        </w:rPr>
        <w:tab/>
      </w:r>
      <w:r>
        <w:rPr>
          <w:color w:val="auto"/>
          <w:highlight w:val="none"/>
        </w:rPr>
        <w:fldChar w:fldCharType="begin"/>
      </w:r>
      <w:r>
        <w:rPr>
          <w:color w:val="auto"/>
          <w:highlight w:val="none"/>
        </w:rPr>
        <w:instrText xml:space="preserve"> PAGEREF _Toc7420 \h </w:instrText>
      </w:r>
      <w:r>
        <w:rPr>
          <w:color w:val="auto"/>
          <w:highlight w:val="none"/>
        </w:rPr>
        <w:fldChar w:fldCharType="separate"/>
      </w:r>
      <w:r>
        <w:rPr>
          <w:color w:val="auto"/>
          <w:highlight w:val="none"/>
        </w:rPr>
        <w:t>- 44 -</w:t>
      </w:r>
      <w:r>
        <w:rPr>
          <w:color w:val="auto"/>
          <w:highlight w:val="none"/>
        </w:rPr>
        <w:fldChar w:fldCharType="end"/>
      </w:r>
      <w:r>
        <w:rPr>
          <w:color w:val="auto"/>
          <w:highlight w:val="none"/>
        </w:rPr>
        <w:fldChar w:fldCharType="end"/>
      </w:r>
    </w:p>
    <w:p w14:paraId="2265BE26">
      <w:pPr>
        <w:pStyle w:val="16"/>
        <w:ind w:firstLine="0" w:firstLineChars="0"/>
        <w:rPr>
          <w:rFonts w:eastAsiaTheme="minorEastAsia"/>
          <w:color w:val="auto"/>
          <w:sz w:val="24"/>
          <w:szCs w:val="24"/>
          <w:highlight w:val="none"/>
        </w:rPr>
        <w:sectPr>
          <w:pgSz w:w="11907" w:h="16840"/>
          <w:pgMar w:top="1134" w:right="1191" w:bottom="1134" w:left="1304" w:header="964" w:footer="992" w:gutter="0"/>
          <w:pgNumType w:fmt="numberInDash" w:start="1"/>
          <w:cols w:space="720" w:num="1"/>
          <w:docGrid w:linePitch="312" w:charSpace="0"/>
        </w:sectPr>
      </w:pPr>
      <w:r>
        <w:rPr>
          <w:rFonts w:eastAsiaTheme="minorEastAsia"/>
          <w:color w:val="auto"/>
          <w:szCs w:val="24"/>
          <w:highlight w:val="none"/>
        </w:rPr>
        <w:fldChar w:fldCharType="end"/>
      </w:r>
    </w:p>
    <w:p w14:paraId="20278D4A">
      <w:pPr>
        <w:pStyle w:val="2"/>
        <w:spacing w:before="0" w:beforeLines="0" w:after="0" w:afterLines="0" w:line="360" w:lineRule="auto"/>
        <w:rPr>
          <w:rFonts w:eastAsiaTheme="minorEastAsia"/>
          <w:b/>
          <w:color w:val="auto"/>
          <w:szCs w:val="44"/>
          <w:highlight w:val="none"/>
        </w:rPr>
      </w:pPr>
      <w:bookmarkStart w:id="0" w:name="_Toc16178"/>
      <w:bookmarkStart w:id="1" w:name="_Toc21468"/>
      <w:bookmarkStart w:id="2" w:name="_Toc31300"/>
      <w:bookmarkStart w:id="3" w:name="_Toc1386"/>
      <w:bookmarkStart w:id="4" w:name="_Toc19468"/>
      <w:bookmarkStart w:id="5" w:name="_Toc4502"/>
      <w:bookmarkStart w:id="6" w:name="_Toc15315"/>
      <w:bookmarkStart w:id="7" w:name="_Toc21693"/>
      <w:bookmarkStart w:id="8" w:name="_Toc2977"/>
      <w:bookmarkStart w:id="9" w:name="_Toc6967"/>
      <w:bookmarkStart w:id="10" w:name="_Toc25832"/>
      <w:bookmarkStart w:id="11" w:name="_Toc14366"/>
      <w:bookmarkStart w:id="12" w:name="_Toc5896"/>
      <w:bookmarkStart w:id="13" w:name="_Toc21631"/>
      <w:bookmarkStart w:id="14" w:name="_Toc5284"/>
      <w:bookmarkStart w:id="15" w:name="_Toc75793495"/>
      <w:r>
        <w:rPr>
          <w:rFonts w:eastAsiaTheme="minorEastAsia"/>
          <w:b/>
          <w:color w:val="auto"/>
          <w:szCs w:val="44"/>
          <w:highlight w:val="none"/>
        </w:rPr>
        <w:t xml:space="preserve">第一篇  </w:t>
      </w:r>
      <w:r>
        <w:rPr>
          <w:rFonts w:hint="eastAsia" w:eastAsiaTheme="minorEastAsia"/>
          <w:b/>
          <w:color w:val="auto"/>
          <w:szCs w:val="44"/>
          <w:highlight w:val="none"/>
        </w:rPr>
        <w:t>询比</w:t>
      </w:r>
      <w:r>
        <w:rPr>
          <w:rFonts w:eastAsiaTheme="minorEastAsia"/>
          <w:b/>
          <w:color w:val="auto"/>
          <w:szCs w:val="44"/>
          <w:highlight w:val="none"/>
        </w:rPr>
        <w:t>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69BCF90">
      <w:pPr>
        <w:spacing w:before="36" w:beforeLines="15" w:after="36" w:afterLines="15" w:line="360" w:lineRule="auto"/>
        <w:ind w:firstLine="480" w:firstLineChars="200"/>
        <w:rPr>
          <w:color w:val="auto"/>
          <w:sz w:val="24"/>
          <w:szCs w:val="24"/>
          <w:highlight w:val="none"/>
        </w:rPr>
      </w:pPr>
      <w:r>
        <w:rPr>
          <w:rFonts w:hint="eastAsia"/>
          <w:color w:val="auto"/>
          <w:sz w:val="24"/>
          <w:szCs w:val="24"/>
          <w:highlight w:val="none"/>
        </w:rPr>
        <w:t>重庆干部网络学院履职能力、知识培训类网络课程包</w:t>
      </w:r>
      <w:r>
        <w:rPr>
          <w:color w:val="auto"/>
          <w:sz w:val="24"/>
          <w:szCs w:val="24"/>
          <w:highlight w:val="none"/>
        </w:rPr>
        <w:t>(采购</w:t>
      </w:r>
      <w:r>
        <w:rPr>
          <w:rFonts w:hint="eastAsia"/>
          <w:color w:val="auto"/>
          <w:sz w:val="24"/>
          <w:szCs w:val="24"/>
          <w:highlight w:val="none"/>
        </w:rPr>
        <w:t>项目编号</w:t>
      </w:r>
      <w:r>
        <w:rPr>
          <w:rFonts w:hint="eastAsia" w:ascii="宋体" w:hAnsi="宋体" w:cs="宋体"/>
          <w:color w:val="auto"/>
          <w:sz w:val="24"/>
          <w:szCs w:val="24"/>
          <w:highlight w:val="none"/>
        </w:rPr>
        <w:t>：CTBU-JZ2025148)</w:t>
      </w:r>
      <w:r>
        <w:rPr>
          <w:color w:val="auto"/>
          <w:sz w:val="24"/>
          <w:szCs w:val="24"/>
          <w:highlight w:val="none"/>
        </w:rPr>
        <w:t>项目进行</w:t>
      </w:r>
      <w:r>
        <w:rPr>
          <w:rFonts w:hint="eastAsia"/>
          <w:color w:val="auto"/>
          <w:sz w:val="24"/>
          <w:szCs w:val="24"/>
          <w:highlight w:val="none"/>
        </w:rPr>
        <w:t>询比采购</w:t>
      </w:r>
      <w:r>
        <w:rPr>
          <w:color w:val="auto"/>
          <w:sz w:val="24"/>
          <w:szCs w:val="24"/>
          <w:highlight w:val="none"/>
        </w:rPr>
        <w:t>，欢迎有资格的</w:t>
      </w:r>
      <w:r>
        <w:rPr>
          <w:rFonts w:hint="eastAsia"/>
          <w:color w:val="auto"/>
          <w:sz w:val="24"/>
          <w:szCs w:val="24"/>
          <w:highlight w:val="none"/>
        </w:rPr>
        <w:t>供应商</w:t>
      </w:r>
      <w:r>
        <w:rPr>
          <w:color w:val="auto"/>
          <w:sz w:val="24"/>
          <w:szCs w:val="24"/>
          <w:highlight w:val="none"/>
        </w:rPr>
        <w:t>参加。</w:t>
      </w:r>
      <w:r>
        <w:rPr>
          <w:rFonts w:hint="eastAsia"/>
          <w:color w:val="auto"/>
          <w:sz w:val="24"/>
          <w:szCs w:val="24"/>
          <w:highlight w:val="none"/>
        </w:rPr>
        <w:t>本项目不属于政府采购项目，非强制性适用政府采购相关法律规定，仅在询比文件中提及的相关部分参照执行，最终按重庆工商大学采购内控制度解释并管理。</w:t>
      </w:r>
    </w:p>
    <w:p w14:paraId="6C8507D7">
      <w:pPr>
        <w:pStyle w:val="3"/>
        <w:ind w:firstLine="560"/>
        <w:rPr>
          <w:b/>
          <w:bCs/>
          <w:color w:val="auto"/>
          <w:sz w:val="24"/>
          <w:szCs w:val="24"/>
          <w:highlight w:val="none"/>
        </w:rPr>
      </w:pPr>
      <w:bookmarkStart w:id="16" w:name="_Toc16810"/>
      <w:bookmarkStart w:id="17" w:name="_Toc19219"/>
      <w:bookmarkStart w:id="18" w:name="_Toc2284"/>
      <w:bookmarkStart w:id="19" w:name="_Toc19371"/>
      <w:bookmarkStart w:id="20" w:name="_Toc19648"/>
      <w:bookmarkStart w:id="21" w:name="_Toc75793496"/>
      <w:bookmarkStart w:id="22" w:name="_Toc11858"/>
      <w:bookmarkStart w:id="23" w:name="_Toc14081"/>
      <w:bookmarkStart w:id="24" w:name="_Toc27035"/>
      <w:bookmarkStart w:id="25" w:name="_Toc9774"/>
      <w:bookmarkStart w:id="26" w:name="_Toc10092"/>
      <w:bookmarkStart w:id="27" w:name="_Toc9233"/>
      <w:bookmarkStart w:id="28" w:name="_Toc25391"/>
      <w:bookmarkStart w:id="29" w:name="_Toc398"/>
      <w:bookmarkStart w:id="30" w:name="_Toc19082"/>
      <w:bookmarkStart w:id="31" w:name="_Toc8806"/>
      <w:r>
        <w:rPr>
          <w:b/>
          <w:bCs/>
          <w:color w:val="auto"/>
          <w:sz w:val="24"/>
          <w:szCs w:val="24"/>
          <w:highlight w:val="none"/>
        </w:rPr>
        <w:t>一、</w:t>
      </w:r>
      <w:r>
        <w:rPr>
          <w:rFonts w:hint="eastAsia"/>
          <w:b/>
          <w:bCs/>
          <w:color w:val="auto"/>
          <w:sz w:val="24"/>
          <w:szCs w:val="24"/>
          <w:highlight w:val="none"/>
        </w:rPr>
        <w:t>询比项目</w:t>
      </w:r>
      <w:r>
        <w:rPr>
          <w:b/>
          <w:bCs/>
          <w:color w:val="auto"/>
          <w:sz w:val="24"/>
          <w:szCs w:val="24"/>
          <w:highlight w:val="none"/>
        </w:rPr>
        <w:t>内容</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Style w:val="22"/>
        <w:tblW w:w="47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340"/>
        <w:gridCol w:w="1959"/>
        <w:gridCol w:w="1762"/>
        <w:gridCol w:w="1627"/>
      </w:tblGrid>
      <w:tr w14:paraId="41BA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563CE303">
            <w:pPr>
              <w:pStyle w:val="9"/>
              <w:spacing w:line="240" w:lineRule="auto"/>
              <w:ind w:left="0"/>
              <w:outlineLvl w:val="0"/>
              <w:rPr>
                <w:b/>
                <w:color w:val="auto"/>
                <w:sz w:val="24"/>
                <w:szCs w:val="24"/>
                <w:highlight w:val="none"/>
              </w:rPr>
            </w:pPr>
            <w:r>
              <w:rPr>
                <w:rFonts w:hint="eastAsia"/>
                <w:b/>
                <w:color w:val="auto"/>
                <w:sz w:val="24"/>
                <w:szCs w:val="24"/>
                <w:highlight w:val="none"/>
              </w:rPr>
              <w:t>包号</w:t>
            </w:r>
          </w:p>
        </w:tc>
        <w:tc>
          <w:tcPr>
            <w:tcW w:w="3344" w:type="dxa"/>
            <w:vAlign w:val="center"/>
          </w:tcPr>
          <w:p w14:paraId="593F6C73">
            <w:pPr>
              <w:pStyle w:val="9"/>
              <w:spacing w:line="240" w:lineRule="auto"/>
              <w:ind w:left="0"/>
              <w:jc w:val="center"/>
              <w:outlineLvl w:val="0"/>
              <w:rPr>
                <w:b/>
                <w:color w:val="auto"/>
                <w:sz w:val="24"/>
                <w:szCs w:val="24"/>
                <w:highlight w:val="none"/>
              </w:rPr>
            </w:pPr>
            <w:r>
              <w:rPr>
                <w:b/>
                <w:color w:val="auto"/>
                <w:sz w:val="24"/>
                <w:szCs w:val="24"/>
                <w:highlight w:val="none"/>
              </w:rPr>
              <w:t>名称</w:t>
            </w:r>
          </w:p>
        </w:tc>
        <w:tc>
          <w:tcPr>
            <w:tcW w:w="1960" w:type="dxa"/>
            <w:vAlign w:val="center"/>
          </w:tcPr>
          <w:p w14:paraId="651D9256">
            <w:pPr>
              <w:pStyle w:val="9"/>
              <w:spacing w:line="240" w:lineRule="auto"/>
              <w:ind w:left="0"/>
              <w:jc w:val="center"/>
              <w:outlineLvl w:val="0"/>
              <w:rPr>
                <w:b/>
                <w:color w:val="auto"/>
                <w:sz w:val="24"/>
                <w:szCs w:val="24"/>
                <w:highlight w:val="none"/>
              </w:rPr>
            </w:pPr>
            <w:r>
              <w:rPr>
                <w:rFonts w:hint="eastAsia"/>
                <w:b/>
                <w:color w:val="auto"/>
                <w:sz w:val="24"/>
                <w:szCs w:val="24"/>
                <w:highlight w:val="none"/>
              </w:rPr>
              <w:t>总价</w:t>
            </w:r>
            <w:r>
              <w:rPr>
                <w:b/>
                <w:color w:val="auto"/>
                <w:sz w:val="24"/>
                <w:szCs w:val="24"/>
                <w:highlight w:val="none"/>
              </w:rPr>
              <w:t>最高限价</w:t>
            </w:r>
          </w:p>
          <w:p w14:paraId="37F4D91C">
            <w:pPr>
              <w:pStyle w:val="9"/>
              <w:spacing w:line="240" w:lineRule="auto"/>
              <w:ind w:left="0"/>
              <w:jc w:val="center"/>
              <w:outlineLvl w:val="0"/>
              <w:rPr>
                <w:b/>
                <w:color w:val="auto"/>
                <w:sz w:val="24"/>
                <w:szCs w:val="24"/>
                <w:highlight w:val="none"/>
              </w:rPr>
            </w:pPr>
            <w:r>
              <w:rPr>
                <w:b/>
                <w:color w:val="auto"/>
                <w:sz w:val="24"/>
                <w:szCs w:val="24"/>
                <w:highlight w:val="none"/>
              </w:rPr>
              <w:t>（万元）</w:t>
            </w:r>
          </w:p>
        </w:tc>
        <w:tc>
          <w:tcPr>
            <w:tcW w:w="1762" w:type="dxa"/>
            <w:vAlign w:val="center"/>
          </w:tcPr>
          <w:p w14:paraId="04B542DB">
            <w:pPr>
              <w:pStyle w:val="9"/>
              <w:spacing w:line="240" w:lineRule="auto"/>
              <w:ind w:left="0"/>
              <w:jc w:val="center"/>
              <w:outlineLvl w:val="0"/>
              <w:rPr>
                <w:b/>
                <w:color w:val="auto"/>
                <w:sz w:val="24"/>
                <w:szCs w:val="24"/>
                <w:highlight w:val="none"/>
              </w:rPr>
            </w:pPr>
            <w:r>
              <w:rPr>
                <w:rFonts w:hint="eastAsia"/>
                <w:b/>
                <w:color w:val="auto"/>
                <w:sz w:val="24"/>
                <w:szCs w:val="24"/>
                <w:highlight w:val="none"/>
              </w:rPr>
              <w:t>询比保证金</w:t>
            </w:r>
          </w:p>
          <w:p w14:paraId="15E0E56E">
            <w:pPr>
              <w:pStyle w:val="9"/>
              <w:spacing w:line="240" w:lineRule="auto"/>
              <w:ind w:left="0"/>
              <w:jc w:val="center"/>
              <w:outlineLvl w:val="0"/>
              <w:rPr>
                <w:b/>
                <w:color w:val="auto"/>
                <w:sz w:val="24"/>
                <w:szCs w:val="24"/>
                <w:highlight w:val="none"/>
              </w:rPr>
            </w:pPr>
            <w:r>
              <w:rPr>
                <w:b/>
                <w:color w:val="auto"/>
                <w:sz w:val="24"/>
                <w:szCs w:val="24"/>
                <w:highlight w:val="none"/>
              </w:rPr>
              <w:t>（</w:t>
            </w:r>
            <w:r>
              <w:rPr>
                <w:rFonts w:hint="eastAsia"/>
                <w:b/>
                <w:color w:val="auto"/>
                <w:sz w:val="24"/>
                <w:szCs w:val="24"/>
                <w:highlight w:val="none"/>
              </w:rPr>
              <w:t>万</w:t>
            </w:r>
            <w:r>
              <w:rPr>
                <w:b/>
                <w:color w:val="auto"/>
                <w:sz w:val="24"/>
                <w:szCs w:val="24"/>
                <w:highlight w:val="none"/>
              </w:rPr>
              <w:t>元）</w:t>
            </w:r>
          </w:p>
        </w:tc>
        <w:tc>
          <w:tcPr>
            <w:tcW w:w="1626" w:type="dxa"/>
            <w:vAlign w:val="center"/>
          </w:tcPr>
          <w:p w14:paraId="0624491C">
            <w:pPr>
              <w:pStyle w:val="9"/>
              <w:spacing w:line="240" w:lineRule="auto"/>
              <w:ind w:left="0"/>
              <w:jc w:val="center"/>
              <w:outlineLvl w:val="0"/>
              <w:rPr>
                <w:b/>
                <w:color w:val="auto"/>
                <w:sz w:val="24"/>
                <w:szCs w:val="24"/>
                <w:highlight w:val="none"/>
              </w:rPr>
            </w:pPr>
            <w:r>
              <w:rPr>
                <w:rFonts w:hint="eastAsia"/>
                <w:b/>
                <w:color w:val="auto"/>
                <w:sz w:val="24"/>
                <w:szCs w:val="24"/>
                <w:highlight w:val="none"/>
                <w:lang w:eastAsia="zh-CN"/>
              </w:rPr>
              <w:t>成交供应商</w:t>
            </w:r>
            <w:r>
              <w:rPr>
                <w:b/>
                <w:color w:val="auto"/>
                <w:sz w:val="24"/>
                <w:szCs w:val="24"/>
                <w:highlight w:val="none"/>
              </w:rPr>
              <w:t>数量（名）</w:t>
            </w:r>
          </w:p>
        </w:tc>
      </w:tr>
      <w:tr w14:paraId="30EB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15" w:type="dxa"/>
            <w:vAlign w:val="center"/>
          </w:tcPr>
          <w:p w14:paraId="5F37EE3C">
            <w:pPr>
              <w:adjustRightInd w:val="0"/>
              <w:snapToGrid w:val="0"/>
              <w:spacing w:line="400" w:lineRule="exact"/>
              <w:jc w:val="center"/>
              <w:rPr>
                <w:color w:val="auto"/>
                <w:sz w:val="24"/>
                <w:szCs w:val="24"/>
                <w:highlight w:val="none"/>
              </w:rPr>
            </w:pPr>
            <w:r>
              <w:rPr>
                <w:color w:val="auto"/>
                <w:sz w:val="24"/>
                <w:szCs w:val="24"/>
                <w:highlight w:val="none"/>
              </w:rPr>
              <w:t>1</w:t>
            </w:r>
          </w:p>
        </w:tc>
        <w:tc>
          <w:tcPr>
            <w:tcW w:w="3344" w:type="dxa"/>
            <w:vAlign w:val="center"/>
          </w:tcPr>
          <w:p w14:paraId="19E5AFD8">
            <w:pPr>
              <w:pStyle w:val="9"/>
              <w:spacing w:line="240" w:lineRule="auto"/>
              <w:ind w:left="0"/>
              <w:jc w:val="center"/>
              <w:outlineLvl w:val="0"/>
              <w:rPr>
                <w:color w:val="auto"/>
                <w:sz w:val="24"/>
                <w:szCs w:val="24"/>
                <w:highlight w:val="none"/>
              </w:rPr>
            </w:pPr>
            <w:r>
              <w:rPr>
                <w:rFonts w:hint="eastAsia"/>
                <w:color w:val="auto"/>
                <w:sz w:val="24"/>
                <w:szCs w:val="24"/>
                <w:highlight w:val="none"/>
              </w:rPr>
              <w:t>重庆干部网络学院履职能力、知识培训类网络课程包</w:t>
            </w:r>
          </w:p>
        </w:tc>
        <w:tc>
          <w:tcPr>
            <w:tcW w:w="1960" w:type="dxa"/>
            <w:vAlign w:val="center"/>
          </w:tcPr>
          <w:p w14:paraId="14F70FAB">
            <w:pPr>
              <w:pStyle w:val="9"/>
              <w:spacing w:line="240" w:lineRule="auto"/>
              <w:ind w:left="0"/>
              <w:jc w:val="center"/>
              <w:outlineLvl w:val="0"/>
              <w:rPr>
                <w:color w:val="auto"/>
                <w:sz w:val="24"/>
                <w:szCs w:val="24"/>
                <w:highlight w:val="none"/>
              </w:rPr>
            </w:pPr>
            <w:r>
              <w:rPr>
                <w:rFonts w:ascii="宋体" w:hAnsi="宋体" w:cs="宋体"/>
                <w:color w:val="auto"/>
                <w:sz w:val="24"/>
                <w:szCs w:val="24"/>
                <w:highlight w:val="none"/>
              </w:rPr>
              <w:t>14</w:t>
            </w:r>
          </w:p>
        </w:tc>
        <w:tc>
          <w:tcPr>
            <w:tcW w:w="1762" w:type="dxa"/>
            <w:vAlign w:val="center"/>
          </w:tcPr>
          <w:p w14:paraId="35B9E1FC">
            <w:pPr>
              <w:pStyle w:val="5"/>
              <w:spacing w:line="240" w:lineRule="auto"/>
              <w:ind w:firstLine="0"/>
              <w:jc w:val="center"/>
              <w:outlineLvl w:val="0"/>
              <w:rPr>
                <w:color w:val="auto"/>
                <w:szCs w:val="24"/>
                <w:highlight w:val="none"/>
              </w:rPr>
            </w:pPr>
            <w:r>
              <w:rPr>
                <w:rFonts w:hint="eastAsia" w:ascii="宋体" w:hAnsi="宋体" w:cs="宋体"/>
                <w:color w:val="auto"/>
                <w:szCs w:val="24"/>
                <w:highlight w:val="none"/>
              </w:rPr>
              <w:t>0.28</w:t>
            </w:r>
          </w:p>
        </w:tc>
        <w:tc>
          <w:tcPr>
            <w:tcW w:w="1626" w:type="dxa"/>
            <w:vAlign w:val="center"/>
          </w:tcPr>
          <w:p w14:paraId="7A9618DC">
            <w:pPr>
              <w:pStyle w:val="5"/>
              <w:spacing w:line="240" w:lineRule="auto"/>
              <w:ind w:firstLine="0"/>
              <w:jc w:val="center"/>
              <w:outlineLvl w:val="0"/>
              <w:rPr>
                <w:color w:val="auto"/>
                <w:szCs w:val="24"/>
                <w:highlight w:val="none"/>
              </w:rPr>
            </w:pPr>
            <w:r>
              <w:rPr>
                <w:rFonts w:hint="eastAsia" w:ascii="宋体" w:hAnsi="宋体" w:cs="宋体"/>
                <w:color w:val="auto"/>
                <w:szCs w:val="24"/>
                <w:highlight w:val="none"/>
              </w:rPr>
              <w:t>1</w:t>
            </w:r>
          </w:p>
        </w:tc>
      </w:tr>
    </w:tbl>
    <w:p w14:paraId="6F10CBBF">
      <w:pPr>
        <w:pStyle w:val="3"/>
        <w:ind w:firstLine="560"/>
        <w:rPr>
          <w:b/>
          <w:bCs/>
          <w:color w:val="auto"/>
          <w:sz w:val="24"/>
          <w:szCs w:val="24"/>
          <w:highlight w:val="none"/>
        </w:rPr>
      </w:pPr>
      <w:bookmarkStart w:id="32" w:name="_Toc856"/>
      <w:bookmarkStart w:id="33" w:name="_Toc7121"/>
      <w:bookmarkStart w:id="34" w:name="_Toc75793497"/>
      <w:bookmarkStart w:id="35" w:name="_Toc15664"/>
      <w:bookmarkStart w:id="36" w:name="_Toc9736"/>
      <w:bookmarkStart w:id="37" w:name="_Toc22549"/>
      <w:bookmarkStart w:id="38" w:name="_Toc15272"/>
      <w:bookmarkStart w:id="39" w:name="_Toc26507"/>
      <w:bookmarkStart w:id="40" w:name="_Toc26284"/>
      <w:bookmarkStart w:id="41" w:name="_Toc22327"/>
      <w:bookmarkStart w:id="42" w:name="_Toc29240"/>
      <w:bookmarkStart w:id="43" w:name="_Toc31180"/>
      <w:bookmarkStart w:id="44" w:name="_Toc26540"/>
      <w:bookmarkStart w:id="45" w:name="_Toc12298"/>
      <w:bookmarkStart w:id="46" w:name="_Toc31390"/>
      <w:bookmarkStart w:id="47" w:name="_Toc7979"/>
      <w:r>
        <w:rPr>
          <w:rFonts w:hint="eastAsia"/>
          <w:b/>
          <w:bCs/>
          <w:color w:val="auto"/>
          <w:sz w:val="24"/>
          <w:szCs w:val="24"/>
          <w:highlight w:val="none"/>
        </w:rPr>
        <w:t>二、资金</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rFonts w:hint="eastAsia"/>
          <w:b/>
          <w:bCs/>
          <w:color w:val="auto"/>
          <w:sz w:val="24"/>
          <w:szCs w:val="24"/>
          <w:highlight w:val="none"/>
        </w:rPr>
        <w:t>性质</w:t>
      </w:r>
      <w:bookmarkEnd w:id="47"/>
    </w:p>
    <w:p w14:paraId="4AC597C6">
      <w:pPr>
        <w:spacing w:before="36" w:beforeLines="15" w:after="36" w:afterLines="15" w:line="324" w:lineRule="auto"/>
        <w:ind w:firstLine="480" w:firstLineChars="200"/>
        <w:rPr>
          <w:color w:val="auto"/>
          <w:sz w:val="24"/>
          <w:szCs w:val="24"/>
          <w:highlight w:val="none"/>
        </w:rPr>
      </w:pPr>
      <w:r>
        <w:rPr>
          <w:color w:val="auto"/>
          <w:sz w:val="24"/>
          <w:szCs w:val="24"/>
          <w:highlight w:val="none"/>
        </w:rPr>
        <w:t>学校自筹资金，预算金额为14万元。</w:t>
      </w:r>
    </w:p>
    <w:p w14:paraId="394708CA">
      <w:pPr>
        <w:pStyle w:val="3"/>
        <w:ind w:firstLine="560"/>
        <w:rPr>
          <w:b/>
          <w:bCs/>
          <w:color w:val="auto"/>
          <w:sz w:val="24"/>
          <w:szCs w:val="24"/>
          <w:highlight w:val="none"/>
        </w:rPr>
      </w:pPr>
      <w:bookmarkStart w:id="48" w:name="_Toc20925"/>
      <w:bookmarkStart w:id="49" w:name="_Toc2256"/>
      <w:bookmarkStart w:id="50" w:name="_Toc28070"/>
      <w:bookmarkStart w:id="51" w:name="_Toc17279"/>
      <w:bookmarkStart w:id="52" w:name="_Toc682"/>
      <w:bookmarkStart w:id="53" w:name="_Toc21668"/>
      <w:bookmarkStart w:id="54" w:name="_Toc75793498"/>
      <w:bookmarkStart w:id="55" w:name="_Toc21210"/>
      <w:bookmarkStart w:id="56" w:name="_Toc29468"/>
      <w:bookmarkStart w:id="57" w:name="_Toc23472"/>
      <w:bookmarkStart w:id="58" w:name="_Toc4504"/>
      <w:bookmarkStart w:id="59" w:name="_Toc7983"/>
      <w:bookmarkStart w:id="60" w:name="_Toc11835"/>
      <w:bookmarkStart w:id="61" w:name="_Toc4356"/>
      <w:bookmarkStart w:id="62" w:name="_Toc12813"/>
      <w:bookmarkStart w:id="63" w:name="_Toc20698"/>
      <w:r>
        <w:rPr>
          <w:rFonts w:hint="eastAsia"/>
          <w:b/>
          <w:bCs/>
          <w:color w:val="auto"/>
          <w:sz w:val="24"/>
          <w:szCs w:val="24"/>
          <w:highlight w:val="none"/>
        </w:rPr>
        <w:t>三、供应商资格要求</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32EA1E1">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（一）满足《中华人民共和国法》第二十二条规定；</w:t>
      </w:r>
    </w:p>
    <w:p w14:paraId="6DF19935">
      <w:pPr>
        <w:spacing w:line="380" w:lineRule="exact"/>
        <w:ind w:firstLine="480" w:firstLineChars="200"/>
        <w:rPr>
          <w:color w:val="auto"/>
          <w:sz w:val="24"/>
          <w:szCs w:val="24"/>
          <w:highlight w:val="none"/>
        </w:rPr>
      </w:pPr>
      <w:r>
        <w:rPr>
          <w:color w:val="auto"/>
          <w:sz w:val="24"/>
          <w:szCs w:val="24"/>
          <w:highlight w:val="none"/>
        </w:rPr>
        <w:t>（</w:t>
      </w:r>
      <w:r>
        <w:rPr>
          <w:rFonts w:hint="eastAsia"/>
          <w:color w:val="auto"/>
          <w:sz w:val="24"/>
          <w:szCs w:val="24"/>
          <w:highlight w:val="none"/>
        </w:rPr>
        <w:t>二</w:t>
      </w:r>
      <w:r>
        <w:rPr>
          <w:color w:val="auto"/>
          <w:sz w:val="24"/>
          <w:szCs w:val="24"/>
          <w:highlight w:val="none"/>
        </w:rPr>
        <w:t>）本项目的特定资格要求：</w:t>
      </w:r>
      <w:r>
        <w:rPr>
          <w:rFonts w:hint="eastAsia"/>
          <w:color w:val="auto"/>
          <w:sz w:val="24"/>
          <w:szCs w:val="24"/>
          <w:highlight w:val="none"/>
        </w:rPr>
        <w:t>无</w:t>
      </w:r>
    </w:p>
    <w:p w14:paraId="544DA490">
      <w:pPr>
        <w:pStyle w:val="3"/>
        <w:ind w:firstLine="560"/>
        <w:rPr>
          <w:b/>
          <w:bCs/>
          <w:color w:val="auto"/>
          <w:sz w:val="24"/>
          <w:szCs w:val="24"/>
          <w:highlight w:val="none"/>
        </w:rPr>
      </w:pPr>
      <w:bookmarkStart w:id="64" w:name="_Toc27732"/>
      <w:bookmarkStart w:id="65" w:name="_Toc8255"/>
      <w:bookmarkStart w:id="66" w:name="_Toc13076"/>
      <w:bookmarkStart w:id="67" w:name="_Toc11276"/>
      <w:bookmarkStart w:id="68" w:name="_Toc9335"/>
      <w:bookmarkStart w:id="69" w:name="_Toc11987"/>
      <w:bookmarkStart w:id="70" w:name="_Toc28188"/>
      <w:bookmarkStart w:id="71" w:name="_Toc75793499"/>
      <w:bookmarkStart w:id="72" w:name="_Toc12680"/>
      <w:bookmarkStart w:id="73" w:name="_Toc5414"/>
      <w:bookmarkStart w:id="74" w:name="_Toc22464"/>
      <w:bookmarkStart w:id="75" w:name="_Toc15980"/>
      <w:bookmarkStart w:id="76" w:name="_Toc27442"/>
      <w:bookmarkStart w:id="77" w:name="_Toc1132"/>
      <w:bookmarkStart w:id="78" w:name="_Toc24618"/>
      <w:bookmarkStart w:id="79" w:name="_Toc16951"/>
      <w:r>
        <w:rPr>
          <w:rFonts w:hint="eastAsia"/>
          <w:b/>
          <w:bCs/>
          <w:color w:val="auto"/>
          <w:sz w:val="24"/>
          <w:szCs w:val="24"/>
          <w:highlight w:val="none"/>
        </w:rPr>
        <w:t>四、询比有关说明</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D4E3FA4">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（一）凡有意参加</w:t>
      </w:r>
      <w:r>
        <w:rPr>
          <w:rFonts w:hint="eastAsia" w:ascii="宋体" w:hAnsi="宋体" w:cs="宋体"/>
          <w:color w:val="auto"/>
          <w:sz w:val="24"/>
          <w:szCs w:val="24"/>
          <w:highlight w:val="none"/>
        </w:rPr>
        <w:t>询比</w:t>
      </w:r>
      <w:r>
        <w:rPr>
          <w:rFonts w:ascii="宋体" w:hAnsi="宋体" w:cs="宋体"/>
          <w:color w:val="auto"/>
          <w:sz w:val="24"/>
          <w:szCs w:val="24"/>
          <w:highlight w:val="none"/>
        </w:rPr>
        <w:t>的</w:t>
      </w:r>
      <w:r>
        <w:rPr>
          <w:rFonts w:hint="eastAsia" w:ascii="宋体" w:hAnsi="宋体" w:cs="宋体"/>
          <w:color w:val="auto"/>
          <w:sz w:val="24"/>
          <w:szCs w:val="24"/>
          <w:highlight w:val="none"/>
        </w:rPr>
        <w:t>供应商</w:t>
      </w:r>
      <w:r>
        <w:rPr>
          <w:rFonts w:ascii="宋体" w:hAnsi="宋体" w:cs="宋体"/>
          <w:color w:val="auto"/>
          <w:sz w:val="24"/>
          <w:szCs w:val="24"/>
          <w:highlight w:val="none"/>
        </w:rPr>
        <w:t>，请到重庆工商大学</w:t>
      </w:r>
      <w:r>
        <w:rPr>
          <w:rFonts w:hint="eastAsia" w:ascii="宋体" w:hAnsi="宋体" w:cs="宋体"/>
          <w:color w:val="auto"/>
          <w:sz w:val="24"/>
          <w:szCs w:val="24"/>
          <w:highlight w:val="none"/>
        </w:rPr>
        <w:t>招投标</w:t>
      </w:r>
      <w:r>
        <w:rPr>
          <w:rFonts w:ascii="宋体" w:hAnsi="宋体" w:cs="宋体"/>
          <w:color w:val="auto"/>
          <w:sz w:val="24"/>
          <w:szCs w:val="24"/>
          <w:highlight w:val="none"/>
        </w:rPr>
        <w:t>信息网</w:t>
      </w:r>
      <w:r>
        <w:rPr>
          <w:rFonts w:hint="eastAsia" w:ascii="宋体" w:hAnsi="宋体" w:cs="宋体"/>
          <w:color w:val="auto"/>
          <w:sz w:val="24"/>
          <w:szCs w:val="24"/>
          <w:highlight w:val="none"/>
        </w:rPr>
        <w:t>和行采家网</w:t>
      </w:r>
      <w:r>
        <w:rPr>
          <w:rFonts w:ascii="宋体" w:hAnsi="宋体" w:cs="宋体"/>
          <w:color w:val="auto"/>
          <w:sz w:val="24"/>
          <w:szCs w:val="24"/>
          <w:highlight w:val="none"/>
        </w:rPr>
        <w:t>上下载本项目</w:t>
      </w:r>
      <w:r>
        <w:rPr>
          <w:rFonts w:hint="eastAsia" w:ascii="宋体" w:hAnsi="宋体" w:cs="宋体"/>
          <w:color w:val="auto"/>
          <w:sz w:val="24"/>
          <w:szCs w:val="24"/>
          <w:highlight w:val="none"/>
        </w:rPr>
        <w:t>询比文件</w:t>
      </w:r>
      <w:r>
        <w:rPr>
          <w:rFonts w:ascii="宋体" w:hAnsi="宋体" w:cs="宋体"/>
          <w:color w:val="auto"/>
          <w:sz w:val="24"/>
          <w:szCs w:val="24"/>
          <w:highlight w:val="none"/>
        </w:rPr>
        <w:t>、图纸、澄清等开标前公布的所有项目资料，无论</w:t>
      </w:r>
      <w:r>
        <w:rPr>
          <w:rFonts w:hint="eastAsia" w:ascii="宋体" w:hAnsi="宋体" w:cs="宋体"/>
          <w:color w:val="auto"/>
          <w:sz w:val="24"/>
          <w:szCs w:val="24"/>
          <w:highlight w:val="none"/>
        </w:rPr>
        <w:t>供应商</w:t>
      </w:r>
      <w:r>
        <w:rPr>
          <w:rFonts w:ascii="宋体" w:hAnsi="宋体" w:cs="宋体"/>
          <w:color w:val="auto"/>
          <w:sz w:val="24"/>
          <w:szCs w:val="24"/>
          <w:highlight w:val="none"/>
        </w:rPr>
        <w:t>领取或下载与否，均视为已知晓所有</w:t>
      </w:r>
      <w:r>
        <w:rPr>
          <w:rFonts w:hint="eastAsia" w:ascii="宋体" w:hAnsi="宋体" w:cs="宋体"/>
          <w:color w:val="auto"/>
          <w:sz w:val="24"/>
          <w:szCs w:val="24"/>
          <w:highlight w:val="none"/>
        </w:rPr>
        <w:t>询比</w:t>
      </w:r>
      <w:r>
        <w:rPr>
          <w:rFonts w:ascii="宋体" w:hAnsi="宋体" w:cs="宋体"/>
          <w:color w:val="auto"/>
          <w:sz w:val="24"/>
          <w:szCs w:val="24"/>
          <w:highlight w:val="none"/>
        </w:rPr>
        <w:t>内容。</w:t>
      </w:r>
    </w:p>
    <w:p w14:paraId="7EC1691E">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（二）</w:t>
      </w:r>
      <w:r>
        <w:rPr>
          <w:rFonts w:hint="eastAsia" w:ascii="宋体" w:hAnsi="宋体" w:cs="宋体"/>
          <w:color w:val="auto"/>
          <w:sz w:val="24"/>
          <w:szCs w:val="24"/>
          <w:highlight w:val="none"/>
        </w:rPr>
        <w:t>询比文件</w:t>
      </w:r>
      <w:r>
        <w:rPr>
          <w:rFonts w:ascii="宋体" w:hAnsi="宋体" w:cs="宋体"/>
          <w:color w:val="auto"/>
          <w:sz w:val="24"/>
          <w:szCs w:val="24"/>
          <w:highlight w:val="none"/>
        </w:rPr>
        <w:t>公告期限：自</w:t>
      </w:r>
      <w:r>
        <w:rPr>
          <w:rFonts w:hint="eastAsia" w:ascii="宋体" w:hAnsi="宋体" w:cs="宋体"/>
          <w:color w:val="auto"/>
          <w:sz w:val="24"/>
          <w:szCs w:val="24"/>
          <w:highlight w:val="none"/>
        </w:rPr>
        <w:t>询比公告</w:t>
      </w:r>
      <w:r>
        <w:rPr>
          <w:rFonts w:ascii="宋体" w:hAnsi="宋体" w:cs="宋体"/>
          <w:color w:val="auto"/>
          <w:sz w:val="24"/>
          <w:szCs w:val="24"/>
          <w:highlight w:val="none"/>
        </w:rPr>
        <w:t>发布之日（</w:t>
      </w:r>
      <w:r>
        <w:rPr>
          <w:rFonts w:ascii="宋体" w:hAnsi="宋体" w:cs="宋体"/>
          <w:color w:val="auto"/>
          <w:sz w:val="24"/>
          <w:szCs w:val="24"/>
          <w:highlight w:val="none"/>
        </w:rPr>
        <w:t>2025年</w:t>
      </w:r>
      <w:r>
        <w:rPr>
          <w:rFonts w:hint="eastAsia" w:ascii="宋体" w:hAnsi="宋体" w:cs="宋体"/>
          <w:color w:val="auto"/>
          <w:sz w:val="24"/>
          <w:szCs w:val="24"/>
          <w:highlight w:val="none"/>
        </w:rPr>
        <w:t>10</w:t>
      </w:r>
      <w:r>
        <w:rPr>
          <w:rFonts w:ascii="宋体" w:hAnsi="宋体" w:cs="宋体"/>
          <w:color w:val="auto"/>
          <w:sz w:val="24"/>
          <w:szCs w:val="24"/>
          <w:highlight w:val="none"/>
        </w:rPr>
        <w:t>月</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日）</w:t>
      </w:r>
      <w:r>
        <w:rPr>
          <w:rFonts w:ascii="宋体" w:hAnsi="宋体" w:cs="宋体"/>
          <w:color w:val="auto"/>
          <w:sz w:val="24"/>
          <w:szCs w:val="24"/>
          <w:highlight w:val="none"/>
        </w:rPr>
        <w:t>起</w:t>
      </w:r>
      <w:r>
        <w:rPr>
          <w:rFonts w:hint="eastAsia" w:ascii="宋体" w:hAnsi="宋体" w:cs="宋体"/>
          <w:color w:val="auto"/>
          <w:sz w:val="24"/>
          <w:szCs w:val="24"/>
          <w:highlight w:val="none"/>
        </w:rPr>
        <w:t>三</w:t>
      </w:r>
      <w:r>
        <w:rPr>
          <w:rFonts w:ascii="宋体" w:hAnsi="宋体" w:cs="宋体"/>
          <w:color w:val="auto"/>
          <w:sz w:val="24"/>
          <w:szCs w:val="24"/>
          <w:highlight w:val="none"/>
        </w:rPr>
        <w:t>个工作日。</w:t>
      </w:r>
    </w:p>
    <w:p w14:paraId="207DA055">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（三）询比文件提供期限</w:t>
      </w:r>
    </w:p>
    <w:p w14:paraId="702C6716">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1.询比文件提供期限：同询比文件公告期限。</w:t>
      </w:r>
    </w:p>
    <w:p w14:paraId="24865ED5">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2.报名方式：无需报名。</w:t>
      </w:r>
    </w:p>
    <w:p w14:paraId="45EBFA5E">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rPr>
        <w:t>四</w:t>
      </w:r>
      <w:r>
        <w:rPr>
          <w:rFonts w:ascii="宋体" w:hAnsi="宋体" w:cs="宋体"/>
          <w:color w:val="auto"/>
          <w:sz w:val="24"/>
          <w:szCs w:val="24"/>
          <w:highlight w:val="none"/>
        </w:rPr>
        <w:t>）</w:t>
      </w:r>
      <w:r>
        <w:rPr>
          <w:rFonts w:hint="eastAsia" w:ascii="宋体" w:hAnsi="宋体" w:cs="宋体"/>
          <w:color w:val="auto"/>
          <w:sz w:val="24"/>
          <w:szCs w:val="24"/>
          <w:highlight w:val="none"/>
        </w:rPr>
        <w:t>响应文件递交</w:t>
      </w:r>
      <w:r>
        <w:rPr>
          <w:rFonts w:ascii="宋体" w:hAnsi="宋体" w:cs="宋体"/>
          <w:color w:val="auto"/>
          <w:sz w:val="24"/>
          <w:szCs w:val="24"/>
          <w:highlight w:val="none"/>
        </w:rPr>
        <w:t>地点：重庆工商大学南岸校区厚德楼8002室。</w:t>
      </w:r>
    </w:p>
    <w:p w14:paraId="34808C30">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rPr>
        <w:t>五</w:t>
      </w:r>
      <w:r>
        <w:rPr>
          <w:rFonts w:ascii="宋体" w:hAnsi="宋体" w:cs="宋体"/>
          <w:color w:val="auto"/>
          <w:sz w:val="24"/>
          <w:szCs w:val="24"/>
          <w:highlight w:val="none"/>
        </w:rPr>
        <w:t>）</w:t>
      </w:r>
      <w:r>
        <w:rPr>
          <w:rFonts w:hint="eastAsia" w:ascii="宋体" w:hAnsi="宋体" w:cs="宋体"/>
          <w:color w:val="auto"/>
          <w:sz w:val="24"/>
          <w:szCs w:val="24"/>
          <w:highlight w:val="none"/>
        </w:rPr>
        <w:t>递交响应文件</w:t>
      </w:r>
      <w:r>
        <w:rPr>
          <w:rFonts w:ascii="宋体" w:hAnsi="宋体" w:cs="宋体"/>
          <w:color w:val="auto"/>
          <w:sz w:val="24"/>
          <w:szCs w:val="24"/>
          <w:highlight w:val="none"/>
        </w:rPr>
        <w:t>开始时间：2025年</w:t>
      </w:r>
      <w:r>
        <w:rPr>
          <w:rFonts w:hint="eastAsia" w:ascii="宋体" w:hAnsi="宋体" w:cs="宋体"/>
          <w:color w:val="auto"/>
          <w:sz w:val="24"/>
          <w:szCs w:val="24"/>
          <w:highlight w:val="none"/>
          <w:lang w:val="en-US" w:eastAsia="zh-CN"/>
        </w:rPr>
        <w:t>10</w:t>
      </w:r>
      <w:r>
        <w:rPr>
          <w:rFonts w:ascii="宋体" w:hAnsi="宋体" w:cs="宋体"/>
          <w:color w:val="auto"/>
          <w:sz w:val="24"/>
          <w:szCs w:val="24"/>
          <w:highlight w:val="none"/>
        </w:rPr>
        <w:t>月</w:t>
      </w:r>
      <w:r>
        <w:rPr>
          <w:rFonts w:hint="eastAsia" w:ascii="宋体" w:hAnsi="宋体" w:cs="宋体"/>
          <w:color w:val="auto"/>
          <w:sz w:val="24"/>
          <w:szCs w:val="24"/>
          <w:highlight w:val="none"/>
          <w:lang w:val="en-US" w:eastAsia="zh-CN"/>
        </w:rPr>
        <w:t>28</w:t>
      </w:r>
      <w:r>
        <w:rPr>
          <w:rFonts w:ascii="宋体" w:hAnsi="宋体" w:cs="宋体"/>
          <w:color w:val="auto"/>
          <w:sz w:val="24"/>
          <w:szCs w:val="24"/>
          <w:highlight w:val="none"/>
        </w:rPr>
        <w:t>日</w:t>
      </w:r>
      <w:r>
        <w:rPr>
          <w:rFonts w:hint="eastAsia" w:ascii="宋体" w:hAnsi="宋体" w:cs="宋体"/>
          <w:color w:val="auto"/>
          <w:sz w:val="24"/>
          <w:szCs w:val="24"/>
          <w:highlight w:val="none"/>
        </w:rPr>
        <w:t>14：</w:t>
      </w:r>
      <w:r>
        <w:rPr>
          <w:rFonts w:ascii="宋体" w:hAnsi="宋体" w:cs="宋体"/>
          <w:color w:val="auto"/>
          <w:sz w:val="24"/>
          <w:szCs w:val="24"/>
          <w:highlight w:val="none"/>
        </w:rPr>
        <w:t>00。</w:t>
      </w:r>
    </w:p>
    <w:p w14:paraId="1E9453FD">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rPr>
        <w:t>六</w:t>
      </w:r>
      <w:r>
        <w:rPr>
          <w:rFonts w:ascii="宋体" w:hAnsi="宋体" w:cs="宋体"/>
          <w:color w:val="auto"/>
          <w:sz w:val="24"/>
          <w:szCs w:val="24"/>
          <w:highlight w:val="none"/>
        </w:rPr>
        <w:t>）</w:t>
      </w:r>
      <w:r>
        <w:rPr>
          <w:rFonts w:hint="eastAsia" w:ascii="宋体" w:hAnsi="宋体" w:cs="宋体"/>
          <w:color w:val="auto"/>
          <w:sz w:val="24"/>
          <w:szCs w:val="24"/>
          <w:highlight w:val="none"/>
        </w:rPr>
        <w:t>递交响应文件截止</w:t>
      </w:r>
      <w:r>
        <w:rPr>
          <w:rFonts w:ascii="宋体" w:hAnsi="宋体" w:cs="宋体"/>
          <w:color w:val="auto"/>
          <w:sz w:val="24"/>
          <w:szCs w:val="24"/>
          <w:highlight w:val="none"/>
        </w:rPr>
        <w:t>时间：2025年</w:t>
      </w:r>
      <w:r>
        <w:rPr>
          <w:rFonts w:hint="eastAsia" w:ascii="宋体" w:hAnsi="宋体" w:cs="宋体"/>
          <w:color w:val="auto"/>
          <w:sz w:val="24"/>
          <w:szCs w:val="24"/>
          <w:highlight w:val="none"/>
          <w:lang w:val="en-US" w:eastAsia="zh-CN"/>
        </w:rPr>
        <w:t>10</w:t>
      </w:r>
      <w:r>
        <w:rPr>
          <w:rFonts w:ascii="宋体" w:hAnsi="宋体" w:cs="宋体"/>
          <w:color w:val="auto"/>
          <w:sz w:val="24"/>
          <w:szCs w:val="24"/>
          <w:highlight w:val="none"/>
        </w:rPr>
        <w:t>月</w:t>
      </w:r>
      <w:r>
        <w:rPr>
          <w:rFonts w:hint="eastAsia" w:ascii="宋体" w:hAnsi="宋体" w:cs="宋体"/>
          <w:color w:val="auto"/>
          <w:sz w:val="24"/>
          <w:szCs w:val="24"/>
          <w:highlight w:val="none"/>
          <w:lang w:val="en-US" w:eastAsia="zh-CN"/>
        </w:rPr>
        <w:t>28</w:t>
      </w:r>
      <w:r>
        <w:rPr>
          <w:rFonts w:ascii="宋体" w:hAnsi="宋体" w:cs="宋体"/>
          <w:color w:val="auto"/>
          <w:sz w:val="24"/>
          <w:szCs w:val="24"/>
          <w:highlight w:val="none"/>
        </w:rPr>
        <w:t>日</w:t>
      </w:r>
      <w:r>
        <w:rPr>
          <w:rFonts w:hint="eastAsia" w:ascii="宋体" w:hAnsi="宋体" w:cs="宋体"/>
          <w:color w:val="auto"/>
          <w:sz w:val="24"/>
          <w:szCs w:val="24"/>
          <w:highlight w:val="none"/>
        </w:rPr>
        <w:t>14：</w:t>
      </w:r>
      <w:r>
        <w:rPr>
          <w:rFonts w:ascii="宋体" w:hAnsi="宋体" w:cs="宋体"/>
          <w:color w:val="auto"/>
          <w:sz w:val="24"/>
          <w:szCs w:val="24"/>
          <w:highlight w:val="none"/>
        </w:rPr>
        <w:t>30。</w:t>
      </w:r>
    </w:p>
    <w:p w14:paraId="0A912CC2">
      <w:pPr>
        <w:pStyle w:val="3"/>
        <w:ind w:firstLine="560"/>
        <w:rPr>
          <w:b/>
          <w:bCs/>
          <w:color w:val="auto"/>
          <w:sz w:val="24"/>
          <w:szCs w:val="24"/>
          <w:highlight w:val="none"/>
        </w:rPr>
      </w:pPr>
      <w:bookmarkStart w:id="80" w:name="_Toc15717"/>
      <w:bookmarkStart w:id="81" w:name="_Toc24604"/>
      <w:bookmarkStart w:id="82" w:name="_Toc12663"/>
      <w:bookmarkStart w:id="83" w:name="_Toc18100"/>
      <w:bookmarkStart w:id="84" w:name="_Toc9290"/>
      <w:bookmarkStart w:id="85" w:name="_Toc22111"/>
      <w:bookmarkStart w:id="86" w:name="_Toc3476"/>
      <w:bookmarkStart w:id="87" w:name="_Toc12090"/>
      <w:bookmarkStart w:id="88" w:name="_Toc177496252"/>
      <w:bookmarkStart w:id="89" w:name="_Toc23960"/>
      <w:bookmarkStart w:id="90" w:name="_Toc75793500"/>
      <w:bookmarkStart w:id="91" w:name="_Toc30895"/>
      <w:bookmarkStart w:id="92" w:name="_Toc7836"/>
      <w:bookmarkStart w:id="93" w:name="_Toc11844"/>
      <w:bookmarkStart w:id="94" w:name="_Toc524"/>
      <w:bookmarkStart w:id="95" w:name="_Toc25854"/>
      <w:bookmarkStart w:id="96" w:name="_Toc27238"/>
      <w:r>
        <w:rPr>
          <w:rFonts w:hint="eastAsia"/>
          <w:b/>
          <w:bCs/>
          <w:color w:val="auto"/>
          <w:sz w:val="24"/>
          <w:szCs w:val="24"/>
          <w:highlight w:val="none"/>
        </w:rPr>
        <w:t>五、询比文件购买费、</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hint="eastAsia"/>
          <w:b/>
          <w:bCs/>
          <w:color w:val="auto"/>
          <w:sz w:val="24"/>
          <w:szCs w:val="24"/>
          <w:highlight w:val="none"/>
        </w:rPr>
        <w:t>询比保证金</w:t>
      </w:r>
      <w:bookmarkEnd w:id="96"/>
    </w:p>
    <w:p w14:paraId="5E532DC2">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ascii="宋体" w:hAnsi="宋体" w:cs="宋体"/>
          <w:color w:val="auto"/>
          <w:sz w:val="24"/>
          <w:szCs w:val="24"/>
          <w:highlight w:val="none"/>
        </w:rPr>
        <w:t>缴纳方式</w:t>
      </w:r>
    </w:p>
    <w:p w14:paraId="2C8247D3">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ascii="宋体" w:hAnsi="宋体" w:cs="宋体"/>
          <w:color w:val="auto"/>
          <w:sz w:val="24"/>
          <w:szCs w:val="24"/>
          <w:highlight w:val="none"/>
        </w:rPr>
        <w:t>须按本项目规定的</w:t>
      </w:r>
      <w:r>
        <w:rPr>
          <w:rFonts w:hint="eastAsia" w:ascii="宋体" w:hAnsi="宋体" w:cs="宋体"/>
          <w:color w:val="auto"/>
          <w:sz w:val="24"/>
          <w:szCs w:val="24"/>
          <w:highlight w:val="none"/>
        </w:rPr>
        <w:t>询比文件</w:t>
      </w:r>
      <w:r>
        <w:rPr>
          <w:rFonts w:ascii="宋体" w:hAnsi="宋体" w:cs="宋体"/>
          <w:color w:val="auto"/>
          <w:sz w:val="24"/>
          <w:szCs w:val="24"/>
          <w:highlight w:val="none"/>
        </w:rPr>
        <w:t>购买费（200元）、</w:t>
      </w:r>
      <w:r>
        <w:rPr>
          <w:rFonts w:hint="eastAsia" w:ascii="宋体" w:hAnsi="宋体" w:cs="宋体"/>
          <w:color w:val="auto"/>
          <w:sz w:val="24"/>
          <w:szCs w:val="24"/>
          <w:highlight w:val="none"/>
        </w:rPr>
        <w:t>询比保证金</w:t>
      </w:r>
      <w:r>
        <w:rPr>
          <w:rFonts w:ascii="宋体" w:hAnsi="宋体" w:cs="宋体"/>
          <w:color w:val="auto"/>
          <w:sz w:val="24"/>
          <w:szCs w:val="24"/>
          <w:highlight w:val="none"/>
        </w:rPr>
        <w:t>（</w:t>
      </w:r>
      <w:r>
        <w:rPr>
          <w:rFonts w:hint="eastAsia" w:ascii="宋体" w:hAnsi="宋体" w:cs="宋体"/>
          <w:color w:val="auto"/>
          <w:sz w:val="24"/>
          <w:szCs w:val="24"/>
          <w:highlight w:val="none"/>
        </w:rPr>
        <w:t>28</w:t>
      </w:r>
      <w:r>
        <w:rPr>
          <w:rFonts w:ascii="宋体" w:hAnsi="宋体" w:cs="宋体"/>
          <w:color w:val="auto"/>
          <w:sz w:val="24"/>
          <w:szCs w:val="24"/>
          <w:highlight w:val="none"/>
        </w:rPr>
        <w:t>00元）进行缴纳，由</w:t>
      </w:r>
      <w:r>
        <w:rPr>
          <w:rFonts w:hint="eastAsia" w:ascii="宋体" w:hAnsi="宋体" w:cs="宋体"/>
          <w:color w:val="auto"/>
          <w:sz w:val="24"/>
          <w:szCs w:val="24"/>
          <w:highlight w:val="none"/>
        </w:rPr>
        <w:t>供应商</w:t>
      </w:r>
      <w:r>
        <w:rPr>
          <w:rFonts w:ascii="宋体" w:hAnsi="宋体" w:cs="宋体"/>
          <w:color w:val="auto"/>
          <w:sz w:val="24"/>
          <w:szCs w:val="24"/>
          <w:highlight w:val="none"/>
        </w:rPr>
        <w:t>从其基本账户将</w:t>
      </w:r>
      <w:r>
        <w:rPr>
          <w:rFonts w:hint="eastAsia" w:ascii="宋体" w:hAnsi="宋体" w:cs="宋体"/>
          <w:color w:val="auto"/>
          <w:sz w:val="24"/>
          <w:szCs w:val="24"/>
          <w:highlight w:val="none"/>
        </w:rPr>
        <w:t>询比文件</w:t>
      </w:r>
      <w:r>
        <w:rPr>
          <w:rFonts w:ascii="宋体" w:hAnsi="宋体" w:cs="宋体"/>
          <w:color w:val="auto"/>
          <w:sz w:val="24"/>
          <w:szCs w:val="24"/>
          <w:highlight w:val="none"/>
        </w:rPr>
        <w:t>购买费、</w:t>
      </w:r>
      <w:r>
        <w:rPr>
          <w:rFonts w:hint="eastAsia" w:ascii="宋体" w:hAnsi="宋体" w:cs="宋体"/>
          <w:color w:val="auto"/>
          <w:sz w:val="24"/>
          <w:szCs w:val="24"/>
          <w:highlight w:val="none"/>
        </w:rPr>
        <w:t>询比保证金</w:t>
      </w:r>
      <w:r>
        <w:rPr>
          <w:rFonts w:ascii="宋体" w:hAnsi="宋体" w:cs="宋体"/>
          <w:color w:val="auto"/>
          <w:sz w:val="24"/>
          <w:szCs w:val="24"/>
          <w:highlight w:val="none"/>
        </w:rPr>
        <w:t>（</w:t>
      </w:r>
      <w:r>
        <w:rPr>
          <w:rFonts w:ascii="宋体" w:hAnsi="宋体" w:cs="宋体"/>
          <w:b/>
          <w:color w:val="auto"/>
          <w:sz w:val="24"/>
          <w:szCs w:val="24"/>
          <w:highlight w:val="none"/>
        </w:rPr>
        <w:t>同一分包下的</w:t>
      </w:r>
      <w:r>
        <w:rPr>
          <w:rFonts w:hint="eastAsia" w:ascii="宋体" w:hAnsi="宋体" w:cs="宋体"/>
          <w:b/>
          <w:color w:val="auto"/>
          <w:sz w:val="24"/>
          <w:szCs w:val="24"/>
          <w:highlight w:val="none"/>
        </w:rPr>
        <w:t>询比文件</w:t>
      </w:r>
      <w:r>
        <w:rPr>
          <w:rFonts w:ascii="宋体" w:hAnsi="宋体" w:cs="宋体"/>
          <w:b/>
          <w:color w:val="auto"/>
          <w:sz w:val="24"/>
          <w:szCs w:val="24"/>
          <w:highlight w:val="none"/>
        </w:rPr>
        <w:t>购买费和</w:t>
      </w:r>
      <w:r>
        <w:rPr>
          <w:rFonts w:hint="eastAsia" w:ascii="宋体" w:hAnsi="宋体" w:cs="宋体"/>
          <w:b/>
          <w:color w:val="auto"/>
          <w:sz w:val="24"/>
          <w:szCs w:val="24"/>
          <w:highlight w:val="none"/>
        </w:rPr>
        <w:t>询比保证金</w:t>
      </w:r>
      <w:r>
        <w:rPr>
          <w:rFonts w:ascii="宋体" w:hAnsi="宋体" w:cs="宋体"/>
          <w:b/>
          <w:color w:val="auto"/>
          <w:sz w:val="24"/>
          <w:szCs w:val="24"/>
          <w:highlight w:val="none"/>
        </w:rPr>
        <w:t>须分开缴纳</w:t>
      </w:r>
      <w:r>
        <w:rPr>
          <w:rFonts w:ascii="宋体" w:hAnsi="宋体" w:cs="宋体"/>
          <w:color w:val="auto"/>
          <w:sz w:val="24"/>
          <w:szCs w:val="24"/>
          <w:highlight w:val="none"/>
        </w:rPr>
        <w:t>）</w:t>
      </w:r>
      <w:r>
        <w:rPr>
          <w:rFonts w:ascii="宋体" w:hAnsi="宋体" w:cs="宋体"/>
          <w:b/>
          <w:color w:val="auto"/>
          <w:sz w:val="24"/>
          <w:szCs w:val="24"/>
          <w:highlight w:val="none"/>
        </w:rPr>
        <w:t>分别汇至以下账户，到账截止时间为开标时间。</w:t>
      </w:r>
    </w:p>
    <w:p w14:paraId="2832A55F">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ascii="宋体" w:hAnsi="宋体" w:cs="宋体"/>
          <w:color w:val="auto"/>
          <w:sz w:val="24"/>
          <w:szCs w:val="24"/>
          <w:highlight w:val="none"/>
        </w:rPr>
        <w:t>重庆工商大学</w:t>
      </w:r>
      <w:r>
        <w:rPr>
          <w:rFonts w:hint="eastAsia" w:ascii="宋体" w:hAnsi="宋体" w:cs="宋体"/>
          <w:color w:val="auto"/>
          <w:sz w:val="24"/>
          <w:szCs w:val="24"/>
          <w:highlight w:val="none"/>
        </w:rPr>
        <w:t>询比文件</w:t>
      </w:r>
      <w:r>
        <w:rPr>
          <w:rFonts w:ascii="宋体" w:hAnsi="宋体" w:cs="宋体"/>
          <w:color w:val="auto"/>
          <w:sz w:val="24"/>
          <w:szCs w:val="24"/>
          <w:highlight w:val="none"/>
        </w:rPr>
        <w:t>购买费及</w:t>
      </w:r>
      <w:r>
        <w:rPr>
          <w:rFonts w:hint="eastAsia" w:ascii="宋体" w:hAnsi="宋体" w:cs="宋体"/>
          <w:color w:val="auto"/>
          <w:sz w:val="24"/>
          <w:szCs w:val="24"/>
          <w:highlight w:val="none"/>
        </w:rPr>
        <w:t>询比保证金</w:t>
      </w:r>
    </w:p>
    <w:p w14:paraId="0F719954">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户  名：重庆工商大学</w:t>
      </w:r>
    </w:p>
    <w:p w14:paraId="52127E69">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账  号：9558853100753300080</w:t>
      </w:r>
    </w:p>
    <w:p w14:paraId="0C7BC76C">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开户行：工行重庆南岸学府支行</w:t>
      </w:r>
    </w:p>
    <w:p w14:paraId="2F3B560F">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（1）汇款的</w:t>
      </w:r>
      <w:r>
        <w:rPr>
          <w:rFonts w:hint="eastAsia" w:ascii="宋体" w:hAnsi="宋体" w:cs="宋体"/>
          <w:color w:val="auto"/>
          <w:sz w:val="24"/>
          <w:szCs w:val="24"/>
          <w:highlight w:val="none"/>
        </w:rPr>
        <w:t>供应商</w:t>
      </w:r>
      <w:r>
        <w:rPr>
          <w:rFonts w:ascii="宋体" w:hAnsi="宋体" w:cs="宋体"/>
          <w:color w:val="auto"/>
          <w:sz w:val="24"/>
          <w:szCs w:val="24"/>
          <w:highlight w:val="none"/>
        </w:rPr>
        <w:t>须在付款凭证摘要/用途中填写“</w:t>
      </w:r>
      <w:r>
        <w:rPr>
          <w:rFonts w:hint="eastAsia" w:ascii="宋体" w:hAnsi="宋体" w:cs="宋体"/>
          <w:color w:val="auto"/>
          <w:sz w:val="24"/>
          <w:szCs w:val="24"/>
          <w:highlight w:val="none"/>
        </w:rPr>
        <w:t>CTBU-JZ2025148</w:t>
      </w:r>
      <w:r>
        <w:rPr>
          <w:rFonts w:ascii="宋体" w:hAnsi="宋体" w:cs="宋体"/>
          <w:bCs/>
          <w:color w:val="auto"/>
          <w:sz w:val="24"/>
          <w:szCs w:val="24"/>
          <w:highlight w:val="none"/>
        </w:rPr>
        <w:t>”</w:t>
      </w:r>
      <w:r>
        <w:rPr>
          <w:rFonts w:ascii="宋体" w:hAnsi="宋体" w:cs="宋体"/>
          <w:color w:val="auto"/>
          <w:sz w:val="24"/>
          <w:szCs w:val="24"/>
          <w:highlight w:val="none"/>
        </w:rPr>
        <w:t>，并在</w:t>
      </w:r>
      <w:r>
        <w:rPr>
          <w:rFonts w:hint="eastAsia" w:ascii="宋体" w:hAnsi="宋体" w:cs="宋体"/>
          <w:color w:val="auto"/>
          <w:sz w:val="24"/>
          <w:szCs w:val="24"/>
          <w:highlight w:val="none"/>
        </w:rPr>
        <w:t>响应文件</w:t>
      </w:r>
      <w:r>
        <w:rPr>
          <w:rFonts w:ascii="宋体" w:hAnsi="宋体" w:cs="宋体"/>
          <w:color w:val="auto"/>
          <w:sz w:val="24"/>
          <w:szCs w:val="24"/>
          <w:highlight w:val="none"/>
        </w:rPr>
        <w:t>中附纸质的转账凭证复印件。缴纳情况以采购人查询结果为准。</w:t>
      </w:r>
    </w:p>
    <w:p w14:paraId="1669EE4E">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供应商</w:t>
      </w:r>
      <w:r>
        <w:rPr>
          <w:rFonts w:ascii="宋体" w:hAnsi="宋体" w:cs="宋体"/>
          <w:color w:val="auto"/>
          <w:sz w:val="24"/>
          <w:szCs w:val="24"/>
          <w:highlight w:val="none"/>
        </w:rPr>
        <w:t>在缴纳</w:t>
      </w:r>
      <w:r>
        <w:rPr>
          <w:rFonts w:hint="eastAsia" w:ascii="宋体" w:hAnsi="宋体" w:cs="宋体"/>
          <w:color w:val="auto"/>
          <w:sz w:val="24"/>
          <w:szCs w:val="24"/>
          <w:highlight w:val="none"/>
        </w:rPr>
        <w:t>询比文件</w:t>
      </w:r>
      <w:r>
        <w:rPr>
          <w:rFonts w:ascii="宋体" w:hAnsi="宋体" w:cs="宋体"/>
          <w:color w:val="auto"/>
          <w:sz w:val="24"/>
          <w:szCs w:val="24"/>
          <w:highlight w:val="none"/>
        </w:rPr>
        <w:t>购买费和</w:t>
      </w:r>
      <w:r>
        <w:rPr>
          <w:rFonts w:hint="eastAsia" w:ascii="宋体" w:hAnsi="宋体" w:cs="宋体"/>
          <w:color w:val="auto"/>
          <w:sz w:val="24"/>
          <w:szCs w:val="24"/>
          <w:highlight w:val="none"/>
        </w:rPr>
        <w:t>询比保证金</w:t>
      </w:r>
      <w:r>
        <w:rPr>
          <w:rFonts w:ascii="宋体" w:hAnsi="宋体" w:cs="宋体"/>
          <w:color w:val="auto"/>
          <w:sz w:val="24"/>
          <w:szCs w:val="24"/>
          <w:highlight w:val="none"/>
        </w:rPr>
        <w:t>时，到款账户为上述指定的专用账户，来款账户必须为</w:t>
      </w:r>
      <w:r>
        <w:rPr>
          <w:rFonts w:hint="eastAsia" w:ascii="宋体" w:hAnsi="宋体" w:cs="宋体"/>
          <w:color w:val="auto"/>
          <w:sz w:val="24"/>
          <w:szCs w:val="24"/>
          <w:highlight w:val="none"/>
        </w:rPr>
        <w:t>供应商</w:t>
      </w:r>
      <w:r>
        <w:rPr>
          <w:rFonts w:ascii="宋体" w:hAnsi="宋体" w:cs="宋体"/>
          <w:color w:val="auto"/>
          <w:sz w:val="24"/>
          <w:szCs w:val="24"/>
          <w:highlight w:val="none"/>
        </w:rPr>
        <w:t>基本账户。</w:t>
      </w:r>
    </w:p>
    <w:p w14:paraId="43A4C764">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供应商</w:t>
      </w:r>
      <w:r>
        <w:rPr>
          <w:rFonts w:ascii="宋体" w:hAnsi="宋体" w:cs="宋体"/>
          <w:color w:val="auto"/>
          <w:sz w:val="24"/>
          <w:szCs w:val="24"/>
          <w:highlight w:val="none"/>
        </w:rPr>
        <w:t>在银行转账（电汇）时，须充分考虑银行转账（电汇）的时间差风险，如同城转账、异地转账或汇款、跨行转账或电汇的时间要求。</w:t>
      </w:r>
    </w:p>
    <w:p w14:paraId="074A1A70">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4）缴纳至其它账户、缴纳金额错误、未按时缴纳</w:t>
      </w:r>
      <w:bookmarkStart w:id="437" w:name="_GoBack"/>
      <w:bookmarkEnd w:id="437"/>
      <w:r>
        <w:rPr>
          <w:rFonts w:ascii="宋体" w:hAnsi="宋体" w:cs="宋体"/>
          <w:color w:val="auto"/>
          <w:sz w:val="24"/>
          <w:szCs w:val="24"/>
          <w:highlight w:val="none"/>
        </w:rPr>
        <w:t>等未按上述要求缴纳相关费用的情形，均视为未按</w:t>
      </w:r>
      <w:r>
        <w:rPr>
          <w:rFonts w:hint="eastAsia" w:ascii="宋体" w:hAnsi="宋体" w:cs="宋体"/>
          <w:color w:val="auto"/>
          <w:sz w:val="24"/>
          <w:szCs w:val="24"/>
          <w:highlight w:val="none"/>
        </w:rPr>
        <w:t>询比文件要求响应，资格审查不合格。</w:t>
      </w:r>
    </w:p>
    <w:p w14:paraId="41DE02A1">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（三）</w:t>
      </w:r>
      <w:r>
        <w:rPr>
          <w:rFonts w:hint="eastAsia" w:ascii="宋体" w:hAnsi="宋体" w:cs="宋体"/>
          <w:color w:val="auto"/>
          <w:sz w:val="24"/>
          <w:szCs w:val="24"/>
          <w:highlight w:val="none"/>
        </w:rPr>
        <w:t>询比保证金</w:t>
      </w:r>
      <w:r>
        <w:rPr>
          <w:rFonts w:ascii="宋体" w:hAnsi="宋体" w:cs="宋体"/>
          <w:color w:val="auto"/>
          <w:sz w:val="24"/>
          <w:szCs w:val="24"/>
          <w:highlight w:val="none"/>
        </w:rPr>
        <w:t>退还方式</w:t>
      </w:r>
    </w:p>
    <w:p w14:paraId="0F7A29F9">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（1）未成交的</w:t>
      </w:r>
      <w:r>
        <w:rPr>
          <w:rFonts w:hint="eastAsia" w:ascii="宋体" w:hAnsi="宋体" w:cs="宋体"/>
          <w:color w:val="auto"/>
          <w:sz w:val="24"/>
          <w:szCs w:val="24"/>
          <w:highlight w:val="none"/>
        </w:rPr>
        <w:t>供应商</w:t>
      </w:r>
      <w:r>
        <w:rPr>
          <w:rFonts w:ascii="宋体" w:hAnsi="宋体" w:cs="宋体"/>
          <w:color w:val="auto"/>
          <w:sz w:val="24"/>
          <w:szCs w:val="24"/>
          <w:highlight w:val="none"/>
        </w:rPr>
        <w:t>的</w:t>
      </w:r>
      <w:r>
        <w:rPr>
          <w:rFonts w:hint="eastAsia" w:ascii="宋体" w:hAnsi="宋体" w:cs="宋体"/>
          <w:color w:val="auto"/>
          <w:sz w:val="24"/>
          <w:szCs w:val="24"/>
          <w:highlight w:val="none"/>
        </w:rPr>
        <w:t>询比保证金</w:t>
      </w:r>
      <w:r>
        <w:rPr>
          <w:rFonts w:ascii="宋体" w:hAnsi="宋体" w:cs="宋体"/>
          <w:color w:val="auto"/>
          <w:sz w:val="24"/>
          <w:szCs w:val="24"/>
          <w:highlight w:val="none"/>
        </w:rPr>
        <w:t>，在成交通知书发放后，采购人在五个工作日内按来款渠道全额无息直接退还。</w:t>
      </w:r>
    </w:p>
    <w:p w14:paraId="44CDE2A5">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eastAsia="zh-CN"/>
        </w:rPr>
        <w:t>成交供应商</w:t>
      </w:r>
      <w:r>
        <w:rPr>
          <w:rFonts w:ascii="宋体" w:hAnsi="宋体" w:cs="宋体"/>
          <w:color w:val="auto"/>
          <w:sz w:val="24"/>
          <w:szCs w:val="24"/>
          <w:highlight w:val="none"/>
        </w:rPr>
        <w:t>的</w:t>
      </w:r>
      <w:r>
        <w:rPr>
          <w:rFonts w:hint="eastAsia" w:ascii="宋体" w:hAnsi="宋体" w:cs="宋体"/>
          <w:color w:val="auto"/>
          <w:sz w:val="24"/>
          <w:szCs w:val="24"/>
          <w:highlight w:val="none"/>
        </w:rPr>
        <w:t>询比保证金</w:t>
      </w:r>
      <w:r>
        <w:rPr>
          <w:rFonts w:ascii="宋体" w:hAnsi="宋体" w:cs="宋体"/>
          <w:color w:val="auto"/>
          <w:sz w:val="24"/>
          <w:szCs w:val="24"/>
          <w:highlight w:val="none"/>
        </w:rPr>
        <w:t>，在</w:t>
      </w:r>
      <w:r>
        <w:rPr>
          <w:rFonts w:hint="eastAsia" w:ascii="宋体" w:hAnsi="宋体" w:cs="宋体"/>
          <w:color w:val="auto"/>
          <w:sz w:val="24"/>
          <w:szCs w:val="24"/>
          <w:highlight w:val="none"/>
          <w:lang w:eastAsia="zh-CN"/>
        </w:rPr>
        <w:t>成交供应商</w:t>
      </w:r>
      <w:r>
        <w:rPr>
          <w:rFonts w:ascii="宋体" w:hAnsi="宋体" w:cs="宋体"/>
          <w:color w:val="auto"/>
          <w:sz w:val="24"/>
          <w:szCs w:val="24"/>
          <w:highlight w:val="none"/>
        </w:rPr>
        <w:t>与采购人签订合同后，采购人在五个工作日内按资金来款渠道全额无息直接退还。</w:t>
      </w:r>
    </w:p>
    <w:p w14:paraId="565B0C36">
      <w:pPr>
        <w:snapToGrid w:val="0"/>
        <w:spacing w:before="36" w:beforeLines="15" w:after="36" w:afterLines="15" w:line="324" w:lineRule="auto"/>
        <w:ind w:firstLine="482" w:firstLineChars="200"/>
        <w:rPr>
          <w:b/>
          <w:color w:val="auto"/>
          <w:sz w:val="24"/>
          <w:szCs w:val="24"/>
          <w:highlight w:val="none"/>
        </w:rPr>
      </w:pPr>
      <w:r>
        <w:rPr>
          <w:rFonts w:hint="eastAsia"/>
          <w:b/>
          <w:color w:val="auto"/>
          <w:sz w:val="24"/>
          <w:szCs w:val="24"/>
          <w:highlight w:val="none"/>
        </w:rPr>
        <w:t>注：如遇寒暑假或国家重大事件，则顺延至开学或条件允许后退还。</w:t>
      </w:r>
    </w:p>
    <w:p w14:paraId="69DEFBE9">
      <w:pPr>
        <w:pStyle w:val="3"/>
        <w:ind w:firstLine="560"/>
        <w:rPr>
          <w:b/>
          <w:bCs/>
          <w:color w:val="auto"/>
          <w:sz w:val="24"/>
          <w:szCs w:val="24"/>
          <w:highlight w:val="none"/>
        </w:rPr>
      </w:pPr>
      <w:bookmarkStart w:id="97" w:name="_Toc26837"/>
      <w:bookmarkStart w:id="98" w:name="_Toc30165"/>
      <w:bookmarkStart w:id="99" w:name="_Toc3717"/>
      <w:r>
        <w:rPr>
          <w:rFonts w:hint="eastAsia"/>
          <w:b/>
          <w:bCs/>
          <w:color w:val="auto"/>
          <w:sz w:val="24"/>
          <w:szCs w:val="24"/>
          <w:highlight w:val="none"/>
        </w:rPr>
        <w:t>六、询比有关规定</w:t>
      </w:r>
      <w:bookmarkEnd w:id="97"/>
      <w:bookmarkEnd w:id="98"/>
      <w:bookmarkEnd w:id="99"/>
    </w:p>
    <w:p w14:paraId="20C15285">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（一）单位负责人为同一人或者存在直接控股、管理关系的不同</w:t>
      </w:r>
      <w:r>
        <w:rPr>
          <w:rFonts w:hint="eastAsia" w:ascii="宋体" w:hAnsi="宋体" w:cs="宋体"/>
          <w:color w:val="auto"/>
          <w:sz w:val="24"/>
          <w:szCs w:val="24"/>
          <w:highlight w:val="none"/>
        </w:rPr>
        <w:t>供应商</w:t>
      </w:r>
      <w:r>
        <w:rPr>
          <w:rFonts w:ascii="宋体" w:hAnsi="宋体" w:cs="宋体"/>
          <w:color w:val="auto"/>
          <w:sz w:val="24"/>
          <w:szCs w:val="24"/>
          <w:highlight w:val="none"/>
        </w:rPr>
        <w:t>，不得参加同一合同项（包）下的政府采购活动。</w:t>
      </w:r>
    </w:p>
    <w:p w14:paraId="743E0819">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（二）为采购项目提供整体设计、规范编制或者项目管理、监理、检测等服务的</w:t>
      </w:r>
      <w:r>
        <w:rPr>
          <w:rFonts w:hint="eastAsia" w:ascii="宋体" w:hAnsi="宋体" w:cs="宋体"/>
          <w:color w:val="auto"/>
          <w:sz w:val="24"/>
          <w:szCs w:val="24"/>
          <w:highlight w:val="none"/>
        </w:rPr>
        <w:t>供应商</w:t>
      </w:r>
      <w:r>
        <w:rPr>
          <w:rFonts w:ascii="宋体" w:hAnsi="宋体" w:cs="宋体"/>
          <w:color w:val="auto"/>
          <w:sz w:val="24"/>
          <w:szCs w:val="24"/>
          <w:highlight w:val="none"/>
        </w:rPr>
        <w:t>，不得再参加该采购项目的其他采购活动。</w:t>
      </w:r>
    </w:p>
    <w:p w14:paraId="496DDF2C">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（三）本项目若有澄清文件一律在</w:t>
      </w:r>
      <w:r>
        <w:rPr>
          <w:rFonts w:hint="eastAsia" w:ascii="宋体" w:hAnsi="宋体" w:cs="宋体"/>
          <w:color w:val="auto"/>
          <w:sz w:val="24"/>
          <w:szCs w:val="24"/>
          <w:highlight w:val="none"/>
        </w:rPr>
        <w:t>重庆工商大学招投标信息网和行采家网</w:t>
      </w:r>
      <w:r>
        <w:rPr>
          <w:rFonts w:ascii="宋体" w:hAnsi="宋体" w:cs="宋体"/>
          <w:color w:val="auto"/>
          <w:sz w:val="24"/>
          <w:szCs w:val="24"/>
          <w:highlight w:val="none"/>
        </w:rPr>
        <w:t>上发布，请各</w:t>
      </w:r>
      <w:r>
        <w:rPr>
          <w:rFonts w:hint="eastAsia" w:ascii="宋体" w:hAnsi="宋体" w:cs="宋体"/>
          <w:color w:val="auto"/>
          <w:sz w:val="24"/>
          <w:szCs w:val="24"/>
          <w:highlight w:val="none"/>
        </w:rPr>
        <w:t>供应商</w:t>
      </w:r>
      <w:r>
        <w:rPr>
          <w:rFonts w:ascii="宋体" w:hAnsi="宋体" w:cs="宋体"/>
          <w:color w:val="auto"/>
          <w:sz w:val="24"/>
          <w:szCs w:val="24"/>
          <w:highlight w:val="none"/>
        </w:rPr>
        <w:t>注意下载；无论</w:t>
      </w:r>
      <w:r>
        <w:rPr>
          <w:rFonts w:hint="eastAsia" w:ascii="宋体" w:hAnsi="宋体" w:cs="宋体"/>
          <w:color w:val="auto"/>
          <w:sz w:val="24"/>
          <w:szCs w:val="24"/>
          <w:highlight w:val="none"/>
        </w:rPr>
        <w:t>供应商</w:t>
      </w:r>
      <w:r>
        <w:rPr>
          <w:rFonts w:ascii="宋体" w:hAnsi="宋体" w:cs="宋体"/>
          <w:color w:val="auto"/>
          <w:sz w:val="24"/>
          <w:szCs w:val="24"/>
          <w:highlight w:val="none"/>
        </w:rPr>
        <w:t>下载与否，均视同</w:t>
      </w:r>
      <w:r>
        <w:rPr>
          <w:rFonts w:hint="eastAsia" w:ascii="宋体" w:hAnsi="宋体" w:cs="宋体"/>
          <w:color w:val="auto"/>
          <w:sz w:val="24"/>
          <w:szCs w:val="24"/>
          <w:highlight w:val="none"/>
        </w:rPr>
        <w:t>供应商</w:t>
      </w:r>
      <w:r>
        <w:rPr>
          <w:rFonts w:ascii="宋体" w:hAnsi="宋体" w:cs="宋体"/>
          <w:color w:val="auto"/>
          <w:sz w:val="24"/>
          <w:szCs w:val="24"/>
          <w:highlight w:val="none"/>
        </w:rPr>
        <w:t>已知晓本项目澄清文件的内容。</w:t>
      </w:r>
    </w:p>
    <w:p w14:paraId="65F37DB1">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（四）超过</w:t>
      </w:r>
      <w:r>
        <w:rPr>
          <w:rFonts w:hint="eastAsia" w:ascii="宋体" w:hAnsi="宋体" w:cs="宋体"/>
          <w:color w:val="auto"/>
          <w:sz w:val="24"/>
          <w:szCs w:val="24"/>
          <w:highlight w:val="none"/>
        </w:rPr>
        <w:t>询比</w:t>
      </w:r>
      <w:r>
        <w:rPr>
          <w:rFonts w:ascii="宋体" w:hAnsi="宋体" w:cs="宋体"/>
          <w:color w:val="auto"/>
          <w:sz w:val="24"/>
          <w:szCs w:val="24"/>
          <w:highlight w:val="none"/>
        </w:rPr>
        <w:t>截止时间递交的</w:t>
      </w:r>
      <w:r>
        <w:rPr>
          <w:rFonts w:hint="eastAsia" w:ascii="宋体" w:hAnsi="宋体" w:cs="宋体"/>
          <w:color w:val="auto"/>
          <w:sz w:val="24"/>
          <w:szCs w:val="24"/>
          <w:highlight w:val="none"/>
        </w:rPr>
        <w:t>响应文件</w:t>
      </w:r>
      <w:r>
        <w:rPr>
          <w:rFonts w:ascii="宋体" w:hAnsi="宋体" w:cs="宋体"/>
          <w:color w:val="auto"/>
          <w:sz w:val="24"/>
          <w:szCs w:val="24"/>
          <w:highlight w:val="none"/>
        </w:rPr>
        <w:t>，恕不接收。</w:t>
      </w:r>
    </w:p>
    <w:p w14:paraId="250ECCF4">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（五）</w:t>
      </w:r>
      <w:r>
        <w:rPr>
          <w:rFonts w:hint="eastAsia" w:ascii="宋体" w:hAnsi="宋体" w:cs="宋体"/>
          <w:color w:val="auto"/>
          <w:sz w:val="24"/>
          <w:szCs w:val="24"/>
          <w:highlight w:val="none"/>
        </w:rPr>
        <w:t>询比</w:t>
      </w:r>
      <w:r>
        <w:rPr>
          <w:rFonts w:ascii="宋体" w:hAnsi="宋体" w:cs="宋体"/>
          <w:color w:val="auto"/>
          <w:sz w:val="24"/>
          <w:szCs w:val="24"/>
          <w:highlight w:val="none"/>
        </w:rPr>
        <w:t>费用：无论</w:t>
      </w:r>
      <w:r>
        <w:rPr>
          <w:rFonts w:hint="eastAsia" w:ascii="宋体" w:hAnsi="宋体" w:cs="宋体"/>
          <w:color w:val="auto"/>
          <w:sz w:val="24"/>
          <w:szCs w:val="24"/>
          <w:highlight w:val="none"/>
        </w:rPr>
        <w:t>响应</w:t>
      </w:r>
      <w:r>
        <w:rPr>
          <w:rFonts w:ascii="宋体" w:hAnsi="宋体" w:cs="宋体"/>
          <w:color w:val="auto"/>
          <w:sz w:val="24"/>
          <w:szCs w:val="24"/>
          <w:highlight w:val="none"/>
        </w:rPr>
        <w:t>结果如何，</w:t>
      </w:r>
      <w:r>
        <w:rPr>
          <w:rFonts w:hint="eastAsia" w:ascii="宋体" w:hAnsi="宋体" w:cs="宋体"/>
          <w:color w:val="auto"/>
          <w:sz w:val="24"/>
          <w:szCs w:val="24"/>
          <w:highlight w:val="none"/>
        </w:rPr>
        <w:t>供应商</w:t>
      </w:r>
      <w:r>
        <w:rPr>
          <w:rFonts w:ascii="宋体" w:hAnsi="宋体" w:cs="宋体"/>
          <w:color w:val="auto"/>
          <w:sz w:val="24"/>
          <w:szCs w:val="24"/>
          <w:highlight w:val="none"/>
        </w:rPr>
        <w:t>参与本项目</w:t>
      </w:r>
      <w:r>
        <w:rPr>
          <w:rFonts w:hint="eastAsia" w:ascii="宋体" w:hAnsi="宋体" w:cs="宋体"/>
          <w:color w:val="auto"/>
          <w:sz w:val="24"/>
          <w:szCs w:val="24"/>
          <w:highlight w:val="none"/>
        </w:rPr>
        <w:t>响应</w:t>
      </w:r>
      <w:r>
        <w:rPr>
          <w:rFonts w:ascii="宋体" w:hAnsi="宋体" w:cs="宋体"/>
          <w:color w:val="auto"/>
          <w:sz w:val="24"/>
          <w:szCs w:val="24"/>
          <w:highlight w:val="none"/>
        </w:rPr>
        <w:t>的所有费用均应由</w:t>
      </w:r>
      <w:r>
        <w:rPr>
          <w:rFonts w:hint="eastAsia" w:ascii="宋体" w:hAnsi="宋体" w:cs="宋体"/>
          <w:color w:val="auto"/>
          <w:sz w:val="24"/>
          <w:szCs w:val="24"/>
          <w:highlight w:val="none"/>
        </w:rPr>
        <w:t>供应商</w:t>
      </w:r>
      <w:r>
        <w:rPr>
          <w:rFonts w:ascii="宋体" w:hAnsi="宋体" w:cs="宋体"/>
          <w:color w:val="auto"/>
          <w:sz w:val="24"/>
          <w:szCs w:val="24"/>
          <w:highlight w:val="none"/>
        </w:rPr>
        <w:t>自行承担。</w:t>
      </w:r>
    </w:p>
    <w:p w14:paraId="47F96149">
      <w:pPr>
        <w:spacing w:line="380" w:lineRule="exact"/>
        <w:ind w:firstLine="482" w:firstLineChars="200"/>
        <w:rPr>
          <w:rFonts w:ascii="宋体" w:hAnsi="宋体" w:cs="宋体"/>
          <w:b/>
          <w:color w:val="auto"/>
          <w:sz w:val="24"/>
          <w:szCs w:val="24"/>
          <w:highlight w:val="none"/>
        </w:rPr>
      </w:pPr>
      <w:r>
        <w:rPr>
          <w:rFonts w:ascii="宋体" w:hAnsi="宋体" w:cs="宋体"/>
          <w:b/>
          <w:color w:val="auto"/>
          <w:sz w:val="24"/>
          <w:szCs w:val="24"/>
          <w:highlight w:val="none"/>
        </w:rPr>
        <w:t>（六）本项目不接受联合体参与</w:t>
      </w:r>
      <w:r>
        <w:rPr>
          <w:rFonts w:hint="eastAsia" w:ascii="宋体" w:hAnsi="宋体" w:cs="宋体"/>
          <w:b/>
          <w:color w:val="auto"/>
          <w:sz w:val="24"/>
          <w:szCs w:val="24"/>
          <w:highlight w:val="none"/>
        </w:rPr>
        <w:t>响应</w:t>
      </w:r>
      <w:r>
        <w:rPr>
          <w:rFonts w:ascii="宋体" w:hAnsi="宋体" w:cs="宋体"/>
          <w:b/>
          <w:color w:val="auto"/>
          <w:sz w:val="24"/>
          <w:szCs w:val="24"/>
          <w:highlight w:val="none"/>
        </w:rPr>
        <w:t>，否则按无效</w:t>
      </w:r>
      <w:r>
        <w:rPr>
          <w:rFonts w:hint="eastAsia" w:ascii="宋体" w:hAnsi="宋体" w:cs="宋体"/>
          <w:b/>
          <w:color w:val="auto"/>
          <w:sz w:val="24"/>
          <w:szCs w:val="24"/>
          <w:highlight w:val="none"/>
        </w:rPr>
        <w:t>响应</w:t>
      </w:r>
      <w:r>
        <w:rPr>
          <w:rFonts w:ascii="宋体" w:hAnsi="宋体" w:cs="宋体"/>
          <w:b/>
          <w:color w:val="auto"/>
          <w:sz w:val="24"/>
          <w:szCs w:val="24"/>
          <w:highlight w:val="none"/>
        </w:rPr>
        <w:t>处理。</w:t>
      </w:r>
    </w:p>
    <w:p w14:paraId="38DACE8A">
      <w:pPr>
        <w:spacing w:line="380" w:lineRule="exact"/>
        <w:ind w:firstLine="482" w:firstLineChars="200"/>
        <w:rPr>
          <w:rFonts w:ascii="宋体" w:hAnsi="宋体" w:cs="宋体"/>
          <w:b/>
          <w:color w:val="auto"/>
          <w:sz w:val="24"/>
          <w:szCs w:val="24"/>
          <w:highlight w:val="none"/>
        </w:rPr>
      </w:pPr>
      <w:r>
        <w:rPr>
          <w:rFonts w:ascii="宋体" w:hAnsi="宋体" w:cs="宋体"/>
          <w:b/>
          <w:color w:val="auto"/>
          <w:sz w:val="24"/>
          <w:szCs w:val="24"/>
          <w:highlight w:val="none"/>
        </w:rPr>
        <w:t>（七）本项目不接受合同分包，否则按无效</w:t>
      </w:r>
      <w:r>
        <w:rPr>
          <w:rFonts w:hint="eastAsia" w:ascii="宋体" w:hAnsi="宋体" w:cs="宋体"/>
          <w:b/>
          <w:color w:val="auto"/>
          <w:sz w:val="24"/>
          <w:szCs w:val="24"/>
          <w:highlight w:val="none"/>
        </w:rPr>
        <w:t>响应</w:t>
      </w:r>
      <w:r>
        <w:rPr>
          <w:rFonts w:ascii="宋体" w:hAnsi="宋体" w:cs="宋体"/>
          <w:b/>
          <w:color w:val="auto"/>
          <w:sz w:val="24"/>
          <w:szCs w:val="24"/>
          <w:highlight w:val="none"/>
        </w:rPr>
        <w:t>处理。</w:t>
      </w:r>
    </w:p>
    <w:p w14:paraId="04248893">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（八）按照《财政部关于在政府采购活动中查询及使用信用记录有关问题的通知》财库〔2016〕125号，</w:t>
      </w:r>
      <w:r>
        <w:rPr>
          <w:rFonts w:hint="eastAsia" w:ascii="宋体" w:hAnsi="宋体" w:cs="宋体"/>
          <w:color w:val="auto"/>
          <w:sz w:val="24"/>
          <w:szCs w:val="24"/>
          <w:highlight w:val="none"/>
        </w:rPr>
        <w:t>供应商</w:t>
      </w:r>
      <w:r>
        <w:rPr>
          <w:rFonts w:ascii="宋体" w:hAnsi="宋体" w:cs="宋体"/>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cs="宋体"/>
          <w:color w:val="auto"/>
          <w:sz w:val="24"/>
          <w:szCs w:val="24"/>
          <w:highlight w:val="none"/>
        </w:rPr>
        <w:t>供应商</w:t>
      </w:r>
      <w:r>
        <w:rPr>
          <w:rFonts w:ascii="宋体" w:hAnsi="宋体" w:cs="宋体"/>
          <w:color w:val="auto"/>
          <w:sz w:val="24"/>
          <w:szCs w:val="24"/>
          <w:highlight w:val="none"/>
        </w:rPr>
        <w:t>，将拒绝其参与政府采购活动。</w:t>
      </w:r>
    </w:p>
    <w:p w14:paraId="1B34870C">
      <w:pPr>
        <w:pStyle w:val="3"/>
        <w:ind w:firstLine="560"/>
        <w:rPr>
          <w:b/>
          <w:bCs/>
          <w:color w:val="auto"/>
          <w:sz w:val="24"/>
          <w:szCs w:val="24"/>
          <w:highlight w:val="none"/>
        </w:rPr>
      </w:pPr>
      <w:bookmarkStart w:id="100" w:name="_Toc21526"/>
      <w:bookmarkStart w:id="101" w:name="_Toc28435"/>
      <w:bookmarkStart w:id="102" w:name="_Toc31726"/>
      <w:r>
        <w:rPr>
          <w:rFonts w:hint="eastAsia"/>
          <w:b/>
          <w:bCs/>
          <w:color w:val="auto"/>
          <w:sz w:val="24"/>
          <w:szCs w:val="24"/>
          <w:highlight w:val="none"/>
        </w:rPr>
        <w:t>七、联系方式</w:t>
      </w:r>
      <w:bookmarkEnd w:id="100"/>
      <w:bookmarkEnd w:id="101"/>
      <w:bookmarkEnd w:id="102"/>
    </w:p>
    <w:p w14:paraId="060C3390">
      <w:pPr>
        <w:spacing w:line="380" w:lineRule="exact"/>
        <w:ind w:firstLine="480" w:firstLineChars="200"/>
        <w:rPr>
          <w:rFonts w:ascii="宋体" w:hAnsi="宋体" w:cs="宋体"/>
          <w:color w:val="auto"/>
          <w:sz w:val="24"/>
          <w:szCs w:val="24"/>
          <w:highlight w:val="none"/>
        </w:rPr>
      </w:pPr>
      <w:bookmarkStart w:id="103" w:name="_Toc102227313"/>
      <w:r>
        <w:rPr>
          <w:rFonts w:ascii="宋体" w:hAnsi="宋体" w:cs="宋体"/>
          <w:color w:val="auto"/>
          <w:sz w:val="24"/>
          <w:szCs w:val="24"/>
          <w:highlight w:val="none"/>
        </w:rPr>
        <w:t>（一）采购人：重庆工商大学</w:t>
      </w:r>
    </w:p>
    <w:p w14:paraId="7A257F8A">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联系人：</w:t>
      </w:r>
      <w:r>
        <w:rPr>
          <w:rFonts w:hint="eastAsia" w:ascii="宋体" w:hAnsi="宋体" w:cs="宋体"/>
          <w:color w:val="auto"/>
          <w:sz w:val="24"/>
          <w:szCs w:val="24"/>
          <w:highlight w:val="none"/>
        </w:rPr>
        <w:t>阎老师</w:t>
      </w:r>
    </w:p>
    <w:p w14:paraId="1EB2904E">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电  话：023-62769774</w:t>
      </w:r>
    </w:p>
    <w:p w14:paraId="021120FC">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地  址：重庆市南岸区学府大道19号</w:t>
      </w:r>
    </w:p>
    <w:p w14:paraId="659A60A6">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（二）技术咨询</w:t>
      </w:r>
    </w:p>
    <w:bookmarkEnd w:id="103"/>
    <w:p w14:paraId="364C7062">
      <w:pPr>
        <w:spacing w:line="380" w:lineRule="exact"/>
        <w:ind w:firstLine="480" w:firstLineChars="200"/>
        <w:rPr>
          <w:rFonts w:ascii="宋体" w:hAnsi="宋体" w:cs="宋体"/>
          <w:color w:val="auto"/>
          <w:sz w:val="24"/>
          <w:szCs w:val="24"/>
          <w:highlight w:val="none"/>
        </w:rPr>
      </w:pPr>
      <w:bookmarkStart w:id="104" w:name="_Toc129178866"/>
      <w:bookmarkStart w:id="105" w:name="_Toc144218493"/>
      <w:bookmarkStart w:id="106" w:name="_Toc115877691"/>
      <w:bookmarkStart w:id="107" w:name="_Toc177496256"/>
      <w:bookmarkStart w:id="108" w:name="_Toc6597"/>
      <w:r>
        <w:rPr>
          <w:rFonts w:hint="eastAsia" w:ascii="宋体" w:hAnsi="宋体" w:cs="宋体"/>
          <w:color w:val="auto"/>
          <w:sz w:val="24"/>
          <w:szCs w:val="24"/>
          <w:highlight w:val="none"/>
        </w:rPr>
        <w:t xml:space="preserve">联系人：胡老师 </w:t>
      </w:r>
    </w:p>
    <w:p w14:paraId="103E04BB">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  话：13588209857</w:t>
      </w:r>
    </w:p>
    <w:p w14:paraId="495AA497">
      <w:pPr>
        <w:pStyle w:val="3"/>
        <w:spacing w:line="380" w:lineRule="exact"/>
        <w:ind w:firstLine="482"/>
        <w:rPr>
          <w:rFonts w:ascii="Times New Roman" w:hAnsi="Times New Roman"/>
          <w:b/>
          <w:color w:val="auto"/>
          <w:sz w:val="24"/>
          <w:highlight w:val="none"/>
        </w:rPr>
      </w:pPr>
      <w:bookmarkStart w:id="109" w:name="_Toc15829"/>
      <w:r>
        <w:rPr>
          <w:rFonts w:hint="eastAsia" w:ascii="Times New Roman" w:hAnsi="Times New Roman"/>
          <w:b/>
          <w:color w:val="auto"/>
          <w:sz w:val="24"/>
          <w:highlight w:val="none"/>
        </w:rPr>
        <w:t>八、其他要求</w:t>
      </w:r>
      <w:bookmarkEnd w:id="104"/>
      <w:bookmarkEnd w:id="105"/>
      <w:bookmarkEnd w:id="106"/>
      <w:bookmarkEnd w:id="107"/>
      <w:bookmarkEnd w:id="108"/>
      <w:bookmarkEnd w:id="109"/>
    </w:p>
    <w:p w14:paraId="550E7986">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ascii="宋体" w:hAnsi="宋体" w:cs="宋体"/>
          <w:color w:val="auto"/>
          <w:sz w:val="24"/>
          <w:szCs w:val="24"/>
          <w:highlight w:val="none"/>
        </w:rPr>
        <w:t>请在提交</w:t>
      </w:r>
      <w:r>
        <w:rPr>
          <w:rFonts w:hint="eastAsia" w:ascii="宋体" w:hAnsi="宋体" w:cs="宋体"/>
          <w:color w:val="auto"/>
          <w:sz w:val="24"/>
          <w:szCs w:val="24"/>
          <w:highlight w:val="none"/>
        </w:rPr>
        <w:t>响应文件</w:t>
      </w:r>
      <w:r>
        <w:rPr>
          <w:rFonts w:ascii="宋体" w:hAnsi="宋体" w:cs="宋体"/>
          <w:color w:val="auto"/>
          <w:sz w:val="24"/>
          <w:szCs w:val="24"/>
          <w:highlight w:val="none"/>
        </w:rPr>
        <w:t>的规定时段从重庆工商大学南岸校区（西门）（重庆市南岸区学府大道19号）进入，请主动向门卫出示本人有效身份证件，同时请及时向门卫通报采购项目名称（同时出示</w:t>
      </w:r>
      <w:r>
        <w:rPr>
          <w:rFonts w:hint="eastAsia" w:ascii="宋体" w:hAnsi="宋体" w:cs="宋体"/>
          <w:color w:val="auto"/>
          <w:sz w:val="24"/>
          <w:szCs w:val="24"/>
          <w:highlight w:val="none"/>
        </w:rPr>
        <w:t>响应文件</w:t>
      </w:r>
      <w:r>
        <w:rPr>
          <w:rFonts w:ascii="宋体" w:hAnsi="宋体" w:cs="宋体"/>
          <w:color w:val="auto"/>
          <w:sz w:val="24"/>
          <w:szCs w:val="24"/>
          <w:highlight w:val="none"/>
        </w:rPr>
        <w:t>等证明材料），以便门卫核查报备信息。</w:t>
      </w:r>
      <w:r>
        <w:rPr>
          <w:rFonts w:hint="eastAsia" w:ascii="宋体" w:hAnsi="宋体" w:cs="宋体"/>
          <w:color w:val="auto"/>
          <w:sz w:val="24"/>
          <w:szCs w:val="24"/>
          <w:highlight w:val="none"/>
        </w:rPr>
        <w:t>响应文件</w:t>
      </w:r>
      <w:r>
        <w:rPr>
          <w:rFonts w:ascii="宋体" w:hAnsi="宋体" w:cs="宋体"/>
          <w:color w:val="auto"/>
          <w:sz w:val="24"/>
          <w:szCs w:val="24"/>
          <w:highlight w:val="none"/>
        </w:rPr>
        <w:t>提交结束后，请</w:t>
      </w:r>
      <w:r>
        <w:rPr>
          <w:rFonts w:hint="eastAsia" w:ascii="宋体" w:hAnsi="宋体" w:cs="宋体"/>
          <w:color w:val="auto"/>
          <w:sz w:val="24"/>
          <w:szCs w:val="24"/>
          <w:highlight w:val="none"/>
        </w:rPr>
        <w:t>供应商</w:t>
      </w:r>
      <w:r>
        <w:rPr>
          <w:rFonts w:ascii="宋体" w:hAnsi="宋体" w:cs="宋体"/>
          <w:color w:val="auto"/>
          <w:sz w:val="24"/>
          <w:szCs w:val="24"/>
          <w:highlight w:val="none"/>
        </w:rPr>
        <w:t>及时离校，不停留不逗留（注：</w:t>
      </w:r>
      <w:r>
        <w:rPr>
          <w:rFonts w:hint="eastAsia" w:ascii="宋体" w:hAnsi="宋体" w:cs="宋体"/>
          <w:color w:val="auto"/>
          <w:sz w:val="24"/>
          <w:szCs w:val="24"/>
          <w:highlight w:val="none"/>
        </w:rPr>
        <w:t>供应商</w:t>
      </w:r>
      <w:r>
        <w:rPr>
          <w:rFonts w:ascii="宋体" w:hAnsi="宋体" w:cs="宋体"/>
          <w:color w:val="auto"/>
          <w:sz w:val="24"/>
          <w:szCs w:val="24"/>
          <w:highlight w:val="none"/>
        </w:rPr>
        <w:t>来校人数原则上不超过2人）。</w:t>
      </w:r>
    </w:p>
    <w:p w14:paraId="1EEE48B4">
      <w:pPr>
        <w:spacing w:line="3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若未按上述要求操作，造成提交</w:t>
      </w:r>
      <w:r>
        <w:rPr>
          <w:rFonts w:hint="eastAsia" w:ascii="宋体" w:hAnsi="宋体" w:cs="宋体"/>
          <w:color w:val="auto"/>
          <w:sz w:val="24"/>
          <w:szCs w:val="24"/>
          <w:highlight w:val="none"/>
        </w:rPr>
        <w:t>响应文件</w:t>
      </w:r>
      <w:r>
        <w:rPr>
          <w:rFonts w:ascii="宋体" w:hAnsi="宋体" w:cs="宋体"/>
          <w:color w:val="auto"/>
          <w:sz w:val="24"/>
          <w:szCs w:val="24"/>
          <w:highlight w:val="none"/>
        </w:rPr>
        <w:t>时间延误的，后果自负。若因此扰乱学校正常秩序的，由</w:t>
      </w:r>
      <w:r>
        <w:rPr>
          <w:rFonts w:hint="eastAsia" w:ascii="宋体" w:hAnsi="宋体" w:cs="宋体"/>
          <w:color w:val="auto"/>
          <w:sz w:val="24"/>
          <w:szCs w:val="24"/>
          <w:highlight w:val="none"/>
        </w:rPr>
        <w:t>供应商</w:t>
      </w:r>
      <w:r>
        <w:rPr>
          <w:rFonts w:ascii="宋体" w:hAnsi="宋体" w:cs="宋体"/>
          <w:color w:val="auto"/>
          <w:sz w:val="24"/>
          <w:szCs w:val="24"/>
          <w:highlight w:val="none"/>
        </w:rPr>
        <w:t>承担全部责任。</w:t>
      </w:r>
    </w:p>
    <w:p w14:paraId="7C60868A">
      <w:pPr>
        <w:pStyle w:val="2"/>
        <w:spacing w:before="0" w:beforeLines="0" w:after="0" w:afterLines="0" w:line="440" w:lineRule="exact"/>
        <w:ind w:firstLine="480"/>
        <w:rPr>
          <w:rFonts w:eastAsia="宋体"/>
          <w:b/>
          <w:color w:val="auto"/>
          <w:szCs w:val="44"/>
          <w:highlight w:val="none"/>
        </w:rPr>
      </w:pPr>
      <w:r>
        <w:rPr>
          <w:rFonts w:eastAsia="宋体"/>
          <w:color w:val="auto"/>
          <w:sz w:val="24"/>
          <w:szCs w:val="24"/>
          <w:highlight w:val="none"/>
        </w:rPr>
        <w:br w:type="page"/>
      </w:r>
      <w:bookmarkStart w:id="110" w:name="_Toc2070"/>
      <w:bookmarkStart w:id="111" w:name="_Toc23143"/>
      <w:bookmarkStart w:id="112" w:name="_Toc8649"/>
      <w:bookmarkStart w:id="113" w:name="_Toc1492"/>
      <w:bookmarkStart w:id="114" w:name="_Toc725"/>
      <w:bookmarkStart w:id="115" w:name="_Toc5461"/>
      <w:bookmarkStart w:id="116" w:name="_Toc19886"/>
      <w:bookmarkStart w:id="117" w:name="_Toc26176"/>
      <w:bookmarkStart w:id="118" w:name="_Toc11017"/>
      <w:bookmarkStart w:id="119" w:name="_Toc2422"/>
      <w:bookmarkStart w:id="120" w:name="_Toc25639"/>
      <w:bookmarkStart w:id="121" w:name="_Toc1625"/>
      <w:bookmarkStart w:id="122" w:name="_Toc32686"/>
      <w:bookmarkStart w:id="123" w:name="_Toc75793504"/>
      <w:bookmarkStart w:id="124" w:name="_Toc12959"/>
      <w:bookmarkStart w:id="125" w:name="_Toc15036"/>
      <w:r>
        <w:rPr>
          <w:rFonts w:hint="eastAsia" w:eastAsia="宋体"/>
          <w:b/>
          <w:color w:val="auto"/>
          <w:szCs w:val="44"/>
          <w:highlight w:val="none"/>
        </w:rPr>
        <w:t>第二篇</w:t>
      </w:r>
      <w:r>
        <w:rPr>
          <w:rFonts w:eastAsia="宋体"/>
          <w:b/>
          <w:color w:val="auto"/>
          <w:szCs w:val="44"/>
          <w:highlight w:val="none"/>
        </w:rPr>
        <w:t xml:space="preserve"> </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eastAsia="宋体"/>
          <w:b/>
          <w:color w:val="auto"/>
          <w:szCs w:val="44"/>
          <w:highlight w:val="none"/>
        </w:rPr>
        <w:t xml:space="preserve"> </w:t>
      </w:r>
      <w:r>
        <w:rPr>
          <w:rFonts w:hint="eastAsia" w:eastAsia="宋体"/>
          <w:b/>
          <w:color w:val="auto"/>
          <w:szCs w:val="44"/>
          <w:highlight w:val="none"/>
        </w:rPr>
        <w:t>项目服务需求</w:t>
      </w:r>
      <w:bookmarkEnd w:id="125"/>
    </w:p>
    <w:p w14:paraId="3B179351">
      <w:pPr>
        <w:adjustRightInd w:val="0"/>
        <w:snapToGrid w:val="0"/>
        <w:spacing w:line="400" w:lineRule="exact"/>
        <w:ind w:firstLine="482" w:firstLineChars="200"/>
        <w:rPr>
          <w:rFonts w:ascii="宋体" w:hAnsi="宋体" w:cs="宋体"/>
          <w:b/>
          <w:bCs/>
          <w:color w:val="auto"/>
          <w:sz w:val="24"/>
          <w:szCs w:val="24"/>
          <w:highlight w:val="none"/>
          <w:lang w:eastAsia="zh-Hans"/>
        </w:rPr>
      </w:pPr>
      <w:bookmarkStart w:id="126" w:name="_Toc11703"/>
      <w:bookmarkStart w:id="127" w:name="_Toc23656"/>
      <w:bookmarkStart w:id="128" w:name="_Toc4519"/>
      <w:bookmarkStart w:id="129" w:name="_Toc688"/>
      <w:bookmarkStart w:id="130" w:name="_Toc4913"/>
      <w:bookmarkStart w:id="131" w:name="_Toc9261"/>
      <w:bookmarkStart w:id="132" w:name="_Toc7027"/>
      <w:bookmarkStart w:id="133" w:name="_Toc75793505"/>
      <w:bookmarkStart w:id="134" w:name="_Toc22910"/>
      <w:bookmarkStart w:id="135" w:name="_Toc8370"/>
      <w:bookmarkStart w:id="136" w:name="_Toc19238"/>
      <w:bookmarkStart w:id="137" w:name="_Toc20979"/>
      <w:bookmarkStart w:id="138" w:name="_Toc29985"/>
      <w:bookmarkStart w:id="139" w:name="_Toc23504"/>
      <w:bookmarkStart w:id="140" w:name="_Toc4531"/>
      <w:r>
        <w:rPr>
          <w:rFonts w:hint="eastAsia" w:ascii="宋体" w:hAnsi="宋体" w:cs="宋体"/>
          <w:b/>
          <w:bCs/>
          <w:color w:val="auto"/>
          <w:sz w:val="24"/>
          <w:szCs w:val="24"/>
          <w:highlight w:val="none"/>
          <w:lang w:eastAsia="zh-Hans"/>
        </w:rPr>
        <w:t>“▲”标注的技术需求为重要技术需求，若不满足将按照评标因素中相关规定处理。</w:t>
      </w:r>
    </w:p>
    <w:p w14:paraId="6E10BF1C">
      <w:pPr>
        <w:adjustRightInd w:val="0"/>
        <w:snapToGrid w:val="0"/>
        <w:spacing w:line="400" w:lineRule="exact"/>
        <w:ind w:firstLine="482" w:firstLineChars="200"/>
        <w:rPr>
          <w:rFonts w:ascii="宋体" w:hAnsi="宋体" w:cs="宋体"/>
          <w:b/>
          <w:bCs/>
          <w:color w:val="auto"/>
          <w:sz w:val="24"/>
          <w:szCs w:val="24"/>
          <w:highlight w:val="none"/>
          <w:lang w:eastAsia="zh-Hans"/>
        </w:rPr>
      </w:pPr>
      <w:r>
        <w:rPr>
          <w:rFonts w:hint="eastAsia" w:ascii="宋体" w:hAnsi="宋体" w:cs="宋体"/>
          <w:b/>
          <w:bCs/>
          <w:color w:val="auto"/>
          <w:sz w:val="24"/>
          <w:szCs w:val="24"/>
          <w:highlight w:val="none"/>
          <w:lang w:eastAsia="zh-Hans"/>
        </w:rPr>
        <w:t>“○”标注的技术需求为一般技术需求，若不满足将按照评标因素中相关规定处理。</w:t>
      </w:r>
    </w:p>
    <w:p w14:paraId="2FA3EB9D">
      <w:pPr>
        <w:adjustRightInd w:val="0"/>
        <w:snapToGrid w:val="0"/>
        <w:spacing w:line="400" w:lineRule="exact"/>
        <w:ind w:firstLine="482" w:firstLineChars="200"/>
        <w:rPr>
          <w:rFonts w:ascii="宋体" w:hAnsi="宋体" w:cs="宋体"/>
          <w:b/>
          <w:bCs/>
          <w:color w:val="auto"/>
          <w:sz w:val="24"/>
          <w:szCs w:val="24"/>
          <w:highlight w:val="none"/>
          <w:lang w:eastAsia="zh-Hans"/>
        </w:rPr>
      </w:pPr>
      <w:r>
        <w:rPr>
          <w:rFonts w:hint="eastAsia" w:ascii="宋体" w:hAnsi="宋体" w:cs="宋体"/>
          <w:b/>
          <w:bCs/>
          <w:color w:val="auto"/>
          <w:sz w:val="24"/>
          <w:szCs w:val="24"/>
          <w:highlight w:val="none"/>
          <w:lang w:eastAsia="zh-Hans"/>
        </w:rPr>
        <w:t>“※”标注的技术需求为符合性审查中的实质性要求，若不满足按无效投标处理。</w:t>
      </w:r>
    </w:p>
    <w:p w14:paraId="7D2D7F05">
      <w:pPr>
        <w:pStyle w:val="3"/>
        <w:spacing w:line="440" w:lineRule="exact"/>
        <w:ind w:firstLine="560"/>
        <w:rPr>
          <w:b/>
          <w:bCs/>
          <w:color w:val="auto"/>
          <w:sz w:val="24"/>
          <w:szCs w:val="24"/>
          <w:highlight w:val="none"/>
        </w:rPr>
      </w:pPr>
      <w:bookmarkStart w:id="141" w:name="_Toc6449"/>
      <w:r>
        <w:rPr>
          <w:rFonts w:hint="eastAsia" w:cs="宋体"/>
          <w:b/>
          <w:bCs/>
          <w:color w:val="auto"/>
          <w:sz w:val="24"/>
          <w:szCs w:val="24"/>
          <w:highlight w:val="none"/>
          <w:lang w:eastAsia="zh-Hans"/>
        </w:rPr>
        <w:t>※</w:t>
      </w:r>
      <w:r>
        <w:rPr>
          <w:rFonts w:hint="eastAsia"/>
          <w:b/>
          <w:bCs/>
          <w:color w:val="auto"/>
          <w:sz w:val="24"/>
          <w:szCs w:val="24"/>
          <w:highlight w:val="none"/>
        </w:rPr>
        <w:t>一、询比项目一览表</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tbl>
      <w:tblPr>
        <w:tblStyle w:val="22"/>
        <w:tblW w:w="5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4"/>
        <w:gridCol w:w="2633"/>
        <w:gridCol w:w="5452"/>
      </w:tblGrid>
      <w:tr w14:paraId="43CA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809" w:type="dxa"/>
            <w:vAlign w:val="center"/>
          </w:tcPr>
          <w:p w14:paraId="66D762FD">
            <w:pPr>
              <w:pStyle w:val="9"/>
              <w:spacing w:line="240" w:lineRule="auto"/>
              <w:ind w:left="0"/>
              <w:jc w:val="center"/>
              <w:outlineLvl w:val="0"/>
              <w:rPr>
                <w:rFonts w:ascii="宋体" w:hAnsi="宋体" w:cs="宋体"/>
                <w:b/>
                <w:color w:val="auto"/>
                <w:sz w:val="24"/>
                <w:szCs w:val="24"/>
                <w:highlight w:val="none"/>
              </w:rPr>
            </w:pPr>
            <w:bookmarkStart w:id="142" w:name="_Toc63431458"/>
            <w:r>
              <w:rPr>
                <w:rFonts w:hint="eastAsia" w:ascii="宋体" w:hAnsi="宋体" w:cs="宋体"/>
                <w:b/>
                <w:color w:val="auto"/>
                <w:sz w:val="24"/>
                <w:szCs w:val="24"/>
                <w:highlight w:val="none"/>
              </w:rPr>
              <w:t>服务内容</w:t>
            </w:r>
          </w:p>
        </w:tc>
        <w:tc>
          <w:tcPr>
            <w:tcW w:w="2573" w:type="dxa"/>
          </w:tcPr>
          <w:p w14:paraId="4B44B452">
            <w:pPr>
              <w:pStyle w:val="9"/>
              <w:spacing w:line="240" w:lineRule="auto"/>
              <w:ind w:left="0"/>
              <w:jc w:val="center"/>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服务期</w:t>
            </w:r>
          </w:p>
        </w:tc>
        <w:tc>
          <w:tcPr>
            <w:tcW w:w="5329" w:type="dxa"/>
            <w:vAlign w:val="center"/>
          </w:tcPr>
          <w:p w14:paraId="1F09DC33">
            <w:pPr>
              <w:pStyle w:val="9"/>
              <w:spacing w:line="240" w:lineRule="auto"/>
              <w:ind w:left="0"/>
              <w:jc w:val="center"/>
              <w:outlineLvl w:val="0"/>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r>
      <w:tr w14:paraId="2B51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809" w:type="dxa"/>
            <w:vAlign w:val="center"/>
          </w:tcPr>
          <w:p w14:paraId="37456BA8">
            <w:pPr>
              <w:pStyle w:val="5"/>
              <w:spacing w:line="240" w:lineRule="auto"/>
              <w:ind w:firstLine="0"/>
              <w:outlineLvl w:val="0"/>
              <w:rPr>
                <w:rFonts w:ascii="宋体" w:hAnsi="宋体" w:cs="宋体"/>
                <w:color w:val="auto"/>
                <w:szCs w:val="24"/>
                <w:highlight w:val="none"/>
                <w:lang w:eastAsia="zh-Hans"/>
              </w:rPr>
            </w:pPr>
            <w:r>
              <w:rPr>
                <w:rFonts w:hint="eastAsia" w:ascii="宋体" w:hAnsi="宋体" w:cs="宋体"/>
                <w:color w:val="auto"/>
                <w:szCs w:val="24"/>
                <w:highlight w:val="none"/>
                <w:lang w:eastAsia="zh-Hans"/>
              </w:rPr>
              <w:t>重庆干部网络学院履职能力、知识培训类网络课程包</w:t>
            </w:r>
          </w:p>
        </w:tc>
        <w:tc>
          <w:tcPr>
            <w:tcW w:w="2573" w:type="dxa"/>
            <w:vAlign w:val="center"/>
          </w:tcPr>
          <w:p w14:paraId="4C1FFF3B">
            <w:pPr>
              <w:pStyle w:val="5"/>
              <w:spacing w:line="240" w:lineRule="auto"/>
              <w:ind w:firstLine="0"/>
              <w:jc w:val="center"/>
              <w:outlineLvl w:val="0"/>
              <w:rPr>
                <w:rFonts w:hint="eastAsia" w:ascii="宋体" w:hAnsi="宋体" w:cs="宋体"/>
                <w:color w:val="auto"/>
                <w:szCs w:val="24"/>
                <w:highlight w:val="none"/>
                <w:lang w:eastAsia="zh-Hans"/>
              </w:rPr>
            </w:pPr>
            <w:r>
              <w:rPr>
                <w:rFonts w:hint="eastAsia" w:ascii="宋体" w:hAnsi="宋体" w:cs="宋体"/>
                <w:color w:val="auto"/>
                <w:kern w:val="0"/>
                <w:highlight w:val="none"/>
              </w:rPr>
              <w:t>合同签订之日起至2</w:t>
            </w:r>
            <w:r>
              <w:rPr>
                <w:rFonts w:ascii="宋体" w:hAnsi="宋体" w:cs="宋体"/>
                <w:color w:val="auto"/>
                <w:kern w:val="0"/>
                <w:highlight w:val="none"/>
              </w:rPr>
              <w:t>025</w:t>
            </w:r>
            <w:r>
              <w:rPr>
                <w:rFonts w:hint="eastAsia" w:ascii="宋体" w:hAnsi="宋体" w:cs="宋体"/>
                <w:color w:val="auto"/>
                <w:kern w:val="0"/>
                <w:highlight w:val="none"/>
              </w:rPr>
              <w:t>年1</w:t>
            </w:r>
            <w:r>
              <w:rPr>
                <w:rFonts w:ascii="宋体" w:hAnsi="宋体" w:cs="宋体"/>
                <w:color w:val="auto"/>
                <w:kern w:val="0"/>
                <w:highlight w:val="none"/>
              </w:rPr>
              <w:t>2</w:t>
            </w:r>
            <w:r>
              <w:rPr>
                <w:rFonts w:hint="eastAsia" w:ascii="宋体" w:hAnsi="宋体" w:cs="宋体"/>
                <w:color w:val="auto"/>
                <w:kern w:val="0"/>
                <w:highlight w:val="none"/>
              </w:rPr>
              <w:t>月3</w:t>
            </w:r>
            <w:r>
              <w:rPr>
                <w:rFonts w:ascii="宋体" w:hAnsi="宋体" w:cs="宋体"/>
                <w:color w:val="auto"/>
                <w:kern w:val="0"/>
                <w:highlight w:val="none"/>
              </w:rPr>
              <w:t>1</w:t>
            </w:r>
            <w:r>
              <w:rPr>
                <w:rFonts w:hint="eastAsia" w:ascii="宋体" w:hAnsi="宋体" w:cs="宋体"/>
                <w:color w:val="auto"/>
                <w:kern w:val="0"/>
                <w:highlight w:val="none"/>
              </w:rPr>
              <w:t>日止</w:t>
            </w:r>
          </w:p>
        </w:tc>
        <w:tc>
          <w:tcPr>
            <w:tcW w:w="5329" w:type="dxa"/>
            <w:vAlign w:val="center"/>
          </w:tcPr>
          <w:p w14:paraId="0ABB600F">
            <w:pPr>
              <w:pStyle w:val="5"/>
              <w:spacing w:line="240" w:lineRule="auto"/>
              <w:ind w:firstLine="0"/>
              <w:outlineLvl w:val="0"/>
              <w:rPr>
                <w:rFonts w:ascii="宋体" w:hAnsi="宋体" w:cs="宋体"/>
                <w:color w:val="auto"/>
                <w:szCs w:val="24"/>
                <w:highlight w:val="none"/>
                <w:lang w:eastAsia="zh-Hans"/>
              </w:rPr>
            </w:pPr>
            <w:r>
              <w:rPr>
                <w:rFonts w:hint="eastAsia" w:ascii="宋体" w:hAnsi="宋体" w:cs="宋体"/>
                <w:color w:val="auto"/>
                <w:szCs w:val="24"/>
                <w:highlight w:val="none"/>
                <w:lang w:eastAsia="zh-Hans"/>
              </w:rPr>
              <w:t>网络课程包课程内容必须符合党政领导干部学习的特点和要求，兼顾企业经营管理者及专业技术人才的需求，</w:t>
            </w:r>
            <w:bookmarkStart w:id="143" w:name="_Hlk211436809"/>
            <w:r>
              <w:rPr>
                <w:rFonts w:hint="eastAsia" w:ascii="宋体" w:hAnsi="宋体" w:cs="宋体"/>
                <w:color w:val="auto"/>
                <w:szCs w:val="24"/>
                <w:highlight w:val="none"/>
                <w:lang w:eastAsia="zh-Hans"/>
              </w:rPr>
              <w:t>聚焦履职能力和知识培训分类，必须遵循新修订的《干部教育培训工作条例》对履职能力和知识培训内容的要求。</w:t>
            </w:r>
            <w:bookmarkEnd w:id="143"/>
            <w:r>
              <w:rPr>
                <w:rFonts w:hint="eastAsia" w:ascii="宋体" w:hAnsi="宋体" w:cs="宋体"/>
                <w:color w:val="auto"/>
                <w:szCs w:val="24"/>
                <w:highlight w:val="none"/>
                <w:lang w:eastAsia="zh-Hans"/>
              </w:rPr>
              <w:t>课程包总学时不少于200学时。每门课程含一个或多个视频课件，每个课件必须不少于0.5学时。特别说明；1学时课件时长大于30分钟，0.5学时课件时长必须大于15分钟且小于等于30分钟。</w:t>
            </w:r>
          </w:p>
        </w:tc>
      </w:tr>
    </w:tbl>
    <w:p w14:paraId="55C884FF">
      <w:pPr>
        <w:pStyle w:val="3"/>
        <w:spacing w:line="400" w:lineRule="exact"/>
        <w:ind w:firstLine="482" w:firstLineChars="200"/>
        <w:rPr>
          <w:rFonts w:cs="宋体"/>
          <w:b/>
          <w:color w:val="auto"/>
          <w:sz w:val="24"/>
          <w:szCs w:val="24"/>
          <w:highlight w:val="none"/>
        </w:rPr>
      </w:pPr>
      <w:bookmarkStart w:id="144" w:name="_Toc6378"/>
      <w:bookmarkStart w:id="145" w:name="_Toc3139"/>
      <w:r>
        <w:rPr>
          <w:rFonts w:hint="eastAsia"/>
          <w:b/>
          <w:color w:val="auto"/>
          <w:kern w:val="0"/>
          <w:sz w:val="24"/>
          <w:szCs w:val="24"/>
          <w:highlight w:val="none"/>
        </w:rPr>
        <w:t>※</w:t>
      </w:r>
      <w:r>
        <w:rPr>
          <w:rFonts w:hint="eastAsia" w:cs="宋体"/>
          <w:b/>
          <w:color w:val="auto"/>
          <w:sz w:val="24"/>
          <w:szCs w:val="24"/>
          <w:highlight w:val="none"/>
        </w:rPr>
        <w:t>二、</w:t>
      </w:r>
      <w:bookmarkEnd w:id="142"/>
      <w:r>
        <w:rPr>
          <w:rFonts w:hint="eastAsia" w:cs="宋体"/>
          <w:b/>
          <w:color w:val="auto"/>
          <w:sz w:val="24"/>
          <w:szCs w:val="24"/>
          <w:highlight w:val="none"/>
        </w:rPr>
        <w:t>项目总体</w:t>
      </w:r>
      <w:bookmarkEnd w:id="144"/>
      <w:r>
        <w:rPr>
          <w:rFonts w:hint="eastAsia" w:cs="宋体"/>
          <w:b/>
          <w:color w:val="auto"/>
          <w:sz w:val="24"/>
          <w:szCs w:val="24"/>
          <w:highlight w:val="none"/>
        </w:rPr>
        <w:t>概况</w:t>
      </w:r>
      <w:bookmarkEnd w:id="145"/>
    </w:p>
    <w:p w14:paraId="0371F224">
      <w:pPr>
        <w:adjustRightInd w:val="0"/>
        <w:snapToGrid w:val="0"/>
        <w:spacing w:line="400" w:lineRule="exact"/>
        <w:ind w:firstLine="480" w:firstLineChars="200"/>
        <w:rPr>
          <w:rFonts w:ascii="宋体" w:hAnsi="宋体" w:cs="宋体"/>
          <w:color w:val="auto"/>
          <w:sz w:val="24"/>
          <w:szCs w:val="24"/>
          <w:highlight w:val="none"/>
          <w:lang w:eastAsia="zh-Hans"/>
        </w:rPr>
      </w:pPr>
      <w:r>
        <w:rPr>
          <w:rFonts w:ascii="宋体" w:hAnsi="宋体" w:cs="宋体"/>
          <w:color w:val="auto"/>
          <w:sz w:val="24"/>
          <w:szCs w:val="24"/>
          <w:highlight w:val="none"/>
          <w:lang w:eastAsia="zh-Hans"/>
        </w:rPr>
        <w:t>重庆干部网络学院面向全市公务员以及参照公务员管理法的工作人员、市属高等院校管理人员和市属重点国有企业领导人员，实名制、全覆盖、常态化开展网络培训，常态在线约1800学时网络培训课程供干部选学。为确保网络课程更新率，</w:t>
      </w:r>
      <w:r>
        <w:rPr>
          <w:rFonts w:hint="eastAsia" w:ascii="宋体" w:hAnsi="宋体" w:cs="宋体"/>
          <w:color w:val="auto"/>
          <w:sz w:val="24"/>
          <w:szCs w:val="24"/>
          <w:highlight w:val="none"/>
          <w:lang w:eastAsia="zh-Hans"/>
        </w:rPr>
        <w:t>购买履职能力、知识培训类课程不少于200学时。</w:t>
      </w:r>
      <w:r>
        <w:rPr>
          <w:rFonts w:ascii="宋体" w:hAnsi="宋体" w:cs="宋体"/>
          <w:color w:val="auto"/>
          <w:sz w:val="24"/>
          <w:szCs w:val="24"/>
          <w:highlight w:val="none"/>
          <w:lang w:eastAsia="zh-Hans"/>
        </w:rPr>
        <w:t>此次采购的网络课程为2025年重庆干部网络学院课程更新的主要来源</w:t>
      </w:r>
      <w:r>
        <w:rPr>
          <w:rFonts w:hint="eastAsia" w:ascii="宋体" w:hAnsi="宋体" w:cs="宋体"/>
          <w:color w:val="auto"/>
          <w:sz w:val="24"/>
          <w:szCs w:val="24"/>
          <w:highlight w:val="none"/>
          <w:lang w:eastAsia="zh-Hans"/>
        </w:rPr>
        <w:t>之一</w:t>
      </w:r>
      <w:r>
        <w:rPr>
          <w:rFonts w:ascii="宋体" w:hAnsi="宋体" w:cs="宋体"/>
          <w:color w:val="auto"/>
          <w:sz w:val="24"/>
          <w:szCs w:val="24"/>
          <w:highlight w:val="none"/>
          <w:lang w:eastAsia="zh-Hans"/>
        </w:rPr>
        <w:t xml:space="preserve">，用于重庆干部网络学院平台，所有平台注册学员均可以通过PC端和渝快政端进行在线学习。 </w:t>
      </w:r>
    </w:p>
    <w:p w14:paraId="4E7B8A30">
      <w:pPr>
        <w:pStyle w:val="3"/>
        <w:spacing w:line="400" w:lineRule="exact"/>
        <w:ind w:firstLine="482" w:firstLineChars="200"/>
        <w:rPr>
          <w:rFonts w:cs="宋体"/>
          <w:b/>
          <w:color w:val="auto"/>
          <w:sz w:val="24"/>
          <w:szCs w:val="24"/>
          <w:highlight w:val="none"/>
        </w:rPr>
      </w:pPr>
      <w:bookmarkStart w:id="146" w:name="_Toc7660"/>
      <w:bookmarkStart w:id="147" w:name="_Toc11868"/>
      <w:r>
        <w:rPr>
          <w:rFonts w:hint="eastAsia" w:cs="宋体"/>
          <w:b/>
          <w:color w:val="auto"/>
          <w:sz w:val="24"/>
          <w:szCs w:val="24"/>
          <w:highlight w:val="none"/>
        </w:rPr>
        <w:t>三、项目服务技术要求</w:t>
      </w:r>
      <w:bookmarkEnd w:id="146"/>
      <w:bookmarkEnd w:id="147"/>
    </w:p>
    <w:p w14:paraId="6481BC1E">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（一）总体要求</w:t>
      </w:r>
    </w:p>
    <w:p w14:paraId="72086B04">
      <w:pPr>
        <w:adjustRightInd w:val="0"/>
        <w:snapToGrid w:val="0"/>
        <w:spacing w:line="400" w:lineRule="exact"/>
        <w:ind w:firstLine="482" w:firstLineChars="200"/>
        <w:rPr>
          <w:rFonts w:ascii="宋体" w:hAnsi="宋体" w:cs="宋体"/>
          <w:color w:val="auto"/>
          <w:sz w:val="24"/>
          <w:szCs w:val="24"/>
          <w:highlight w:val="none"/>
          <w:lang w:eastAsia="zh-Hans"/>
        </w:rPr>
      </w:pPr>
      <w:r>
        <w:rPr>
          <w:rFonts w:hint="eastAsia" w:ascii="宋体" w:hAnsi="宋体" w:cs="宋体"/>
          <w:b/>
          <w:bCs/>
          <w:color w:val="auto"/>
          <w:sz w:val="24"/>
          <w:szCs w:val="24"/>
          <w:highlight w:val="none"/>
          <w:lang w:eastAsia="zh-Hans"/>
        </w:rPr>
        <w:t>▲</w:t>
      </w:r>
      <w:r>
        <w:rPr>
          <w:rFonts w:hint="eastAsia" w:ascii="宋体" w:hAnsi="宋体" w:cs="宋体"/>
          <w:color w:val="auto"/>
          <w:sz w:val="24"/>
          <w:szCs w:val="24"/>
          <w:highlight w:val="none"/>
          <w:lang w:eastAsia="zh-Hans"/>
        </w:rPr>
        <w:t>1</w:t>
      </w:r>
      <w:r>
        <w:rPr>
          <w:rFonts w:ascii="宋体" w:hAnsi="宋体" w:cs="宋体"/>
          <w:color w:val="auto"/>
          <w:sz w:val="24"/>
          <w:szCs w:val="24"/>
          <w:highlight w:val="none"/>
          <w:lang w:eastAsia="zh-Hans"/>
        </w:rPr>
        <w:t>.</w:t>
      </w:r>
      <w:r>
        <w:rPr>
          <w:rFonts w:hint="eastAsia" w:ascii="宋体" w:hAnsi="宋体" w:cs="宋体"/>
          <w:color w:val="auto"/>
          <w:sz w:val="24"/>
          <w:szCs w:val="24"/>
          <w:highlight w:val="none"/>
          <w:lang w:eastAsia="zh-Hans"/>
        </w:rPr>
        <w:t>课程内容须符合党的方针政策，具有较强的时效性，与当前社会经济发展趋势相吻合，须为</w:t>
      </w:r>
      <w:r>
        <w:rPr>
          <w:rFonts w:ascii="宋体" w:hAnsi="宋体" w:cs="宋体"/>
          <w:color w:val="auto"/>
          <w:sz w:val="24"/>
          <w:szCs w:val="24"/>
          <w:highlight w:val="none"/>
          <w:lang w:eastAsia="zh-Hans"/>
        </w:rPr>
        <w:t>2025</w:t>
      </w:r>
      <w:r>
        <w:rPr>
          <w:rFonts w:hint="eastAsia" w:ascii="宋体" w:hAnsi="宋体" w:cs="宋体"/>
          <w:color w:val="auto"/>
          <w:sz w:val="24"/>
          <w:szCs w:val="24"/>
          <w:highlight w:val="none"/>
          <w:lang w:eastAsia="zh-Hans"/>
        </w:rPr>
        <w:t>年1月1日以后录制的课程。</w:t>
      </w:r>
    </w:p>
    <w:p w14:paraId="6F2684A3">
      <w:pPr>
        <w:adjustRightInd w:val="0"/>
        <w:snapToGrid w:val="0"/>
        <w:spacing w:line="400" w:lineRule="exact"/>
        <w:ind w:firstLine="482" w:firstLineChars="200"/>
        <w:rPr>
          <w:rFonts w:ascii="宋体" w:hAnsi="宋体" w:cs="宋体"/>
          <w:color w:val="auto"/>
          <w:sz w:val="24"/>
          <w:szCs w:val="24"/>
          <w:highlight w:val="none"/>
        </w:rPr>
      </w:pPr>
      <w:bookmarkStart w:id="148" w:name="_Hlk211438482"/>
      <w:r>
        <w:rPr>
          <w:rFonts w:hint="eastAsia" w:ascii="宋体" w:hAnsi="宋体" w:cs="宋体"/>
          <w:b/>
          <w:bCs/>
          <w:color w:val="auto"/>
          <w:sz w:val="24"/>
          <w:szCs w:val="24"/>
          <w:highlight w:val="none"/>
          <w:lang w:eastAsia="zh-Hans"/>
        </w:rPr>
        <w:t>▲</w:t>
      </w:r>
      <w:bookmarkEnd w:id="148"/>
      <w:r>
        <w:rPr>
          <w:rFonts w:ascii="宋体" w:hAnsi="宋体" w:cs="宋体"/>
          <w:color w:val="auto"/>
          <w:sz w:val="24"/>
          <w:szCs w:val="24"/>
          <w:highlight w:val="none"/>
        </w:rPr>
        <w:t>2.</w:t>
      </w:r>
      <w:r>
        <w:rPr>
          <w:rFonts w:hint="eastAsia" w:ascii="宋体" w:hAnsi="宋体" w:cs="宋体"/>
          <w:color w:val="auto"/>
          <w:sz w:val="24"/>
          <w:szCs w:val="24"/>
          <w:highlight w:val="none"/>
        </w:rPr>
        <w:t>审核要求：</w:t>
      </w:r>
      <w:r>
        <w:rPr>
          <w:rFonts w:hint="eastAsia" w:ascii="宋体" w:hAnsi="宋体" w:cs="宋体"/>
          <w:color w:val="auto"/>
          <w:sz w:val="24"/>
          <w:szCs w:val="24"/>
          <w:highlight w:val="none"/>
          <w:lang w:eastAsia="zh-Hans"/>
        </w:rPr>
        <w:t>供应商提供的网络课程所包含的视频、文本、图片以及相应的配套资源，均需进行“三审三校”，内容准确、政治方向正确；不得有任何意识形态风险和版权纠纷，</w:t>
      </w:r>
      <w:r>
        <w:rPr>
          <w:rFonts w:hint="eastAsia" w:ascii="宋体" w:hAnsi="宋体" w:cs="宋体"/>
          <w:color w:val="auto"/>
          <w:sz w:val="24"/>
          <w:szCs w:val="24"/>
          <w:highlight w:val="none"/>
        </w:rPr>
        <w:t>不涉及国家机密，不含错误、含混的政治观点。</w:t>
      </w:r>
      <w:r>
        <w:rPr>
          <w:rFonts w:hint="eastAsia" w:ascii="宋体" w:hAnsi="宋体" w:cs="宋体"/>
          <w:b/>
          <w:bCs/>
          <w:color w:val="auto"/>
          <w:sz w:val="24"/>
          <w:szCs w:val="24"/>
          <w:highlight w:val="none"/>
        </w:rPr>
        <w:t>需提供加盖供应商公章的承诺书，承诺函格式详见本询比文件第七篇。</w:t>
      </w:r>
    </w:p>
    <w:p w14:paraId="4A308C5E">
      <w:pPr>
        <w:adjustRightInd w:val="0"/>
        <w:snapToGrid w:val="0"/>
        <w:spacing w:line="4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eastAsia="zh-Hans"/>
        </w:rPr>
        <w:t>▲</w:t>
      </w:r>
      <w:r>
        <w:rPr>
          <w:rFonts w:ascii="宋体" w:hAnsi="宋体" w:cs="宋体"/>
          <w:color w:val="auto"/>
          <w:sz w:val="24"/>
          <w:szCs w:val="24"/>
          <w:highlight w:val="none"/>
        </w:rPr>
        <w:t>3.</w:t>
      </w:r>
      <w:r>
        <w:rPr>
          <w:rFonts w:hint="eastAsia" w:ascii="宋体" w:hAnsi="宋体" w:cs="宋体"/>
          <w:color w:val="auto"/>
          <w:sz w:val="24"/>
          <w:szCs w:val="24"/>
          <w:highlight w:val="none"/>
        </w:rPr>
        <w:t>课程内容必须符合党政领导干部学习的特点和要求，兼顾企业经营管理者及专业技术人才的需求，聚焦履职能力和知识培训分类，必须遵循新修订的《干部教育培训工作条例》对履职能力和知识培训内容的要求。</w:t>
      </w:r>
      <w:r>
        <w:rPr>
          <w:rFonts w:hint="eastAsia" w:ascii="宋体" w:hAnsi="宋体" w:cs="宋体"/>
          <w:b/>
          <w:bCs/>
          <w:color w:val="auto"/>
          <w:sz w:val="24"/>
          <w:szCs w:val="24"/>
          <w:highlight w:val="none"/>
        </w:rPr>
        <w:t>需提供加盖供应商公章的承诺书，承诺函格式详见本询比文件第七篇。</w:t>
      </w:r>
    </w:p>
    <w:p w14:paraId="30840C9B">
      <w:pPr>
        <w:adjustRightInd w:val="0"/>
        <w:snapToGrid w:val="0"/>
        <w:spacing w:line="40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lang w:eastAsia="zh-Hans"/>
        </w:rPr>
        <w:t>○</w:t>
      </w:r>
      <w:r>
        <w:rPr>
          <w:rFonts w:ascii="宋体" w:hAnsi="宋体" w:cs="宋体"/>
          <w:color w:val="auto"/>
          <w:sz w:val="24"/>
          <w:szCs w:val="24"/>
          <w:highlight w:val="none"/>
        </w:rPr>
        <w:t>4.</w:t>
      </w:r>
      <w:r>
        <w:rPr>
          <w:rFonts w:hint="eastAsia" w:ascii="宋体" w:hAnsi="宋体" w:cs="宋体"/>
          <w:color w:val="auto"/>
          <w:sz w:val="24"/>
          <w:szCs w:val="24"/>
          <w:highlight w:val="none"/>
        </w:rPr>
        <w:t>授课师资应在国内相关专业中具有较高知名度、认可度，并在该领域具有较强权威性，以保证课程内容的权威性。师资要求为国家部委、中共中央党校（国家行政学院）、知名高等院校、干部学院、部门行业培训机构、国有企业培训机构等专家教授。</w:t>
      </w:r>
    </w:p>
    <w:p w14:paraId="072314A3">
      <w:pPr>
        <w:adjustRightInd w:val="0"/>
        <w:snapToGrid w:val="0"/>
        <w:spacing w:line="40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lang w:eastAsia="zh-Hans"/>
        </w:rPr>
        <w:t>○</w:t>
      </w:r>
      <w:r>
        <w:rPr>
          <w:rFonts w:ascii="宋体" w:hAnsi="宋体" w:cs="宋体"/>
          <w:color w:val="auto"/>
          <w:sz w:val="24"/>
          <w:szCs w:val="24"/>
          <w:highlight w:val="none"/>
        </w:rPr>
        <w:t>5.</w:t>
      </w:r>
      <w:r>
        <w:rPr>
          <w:rFonts w:hint="eastAsia" w:ascii="宋体" w:hAnsi="宋体" w:cs="宋体"/>
          <w:color w:val="auto"/>
          <w:sz w:val="24"/>
          <w:szCs w:val="24"/>
          <w:highlight w:val="none"/>
        </w:rPr>
        <w:t>选课方式：供应商须按约定的时间将更新的课程清单分类整理发送给采购人，采购人确定选用的课程后，供应商将课程包完整资料通过双方约定的方式提供给采购人，供采购人在重庆干部网络学院使用。</w:t>
      </w:r>
      <w:bookmarkStart w:id="149" w:name="_Toc23518"/>
    </w:p>
    <w:bookmarkEnd w:id="149"/>
    <w:p w14:paraId="00502891">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（二）具体组件及设计要求</w:t>
      </w:r>
    </w:p>
    <w:p w14:paraId="5195016B">
      <w:pPr>
        <w:adjustRightInd w:val="0"/>
        <w:snapToGrid w:val="0"/>
        <w:spacing w:line="400" w:lineRule="exact"/>
        <w:ind w:firstLine="482" w:firstLineChars="200"/>
        <w:rPr>
          <w:rFonts w:ascii="宋体" w:hAnsi="宋体" w:cs="宋体"/>
          <w:color w:val="auto"/>
          <w:sz w:val="24"/>
          <w:szCs w:val="24"/>
          <w:highlight w:val="none"/>
          <w:lang w:eastAsia="zh-Hans"/>
        </w:rPr>
      </w:pPr>
      <w:r>
        <w:rPr>
          <w:rFonts w:hint="eastAsia" w:ascii="宋体" w:hAnsi="宋体" w:cs="宋体"/>
          <w:b/>
          <w:bCs/>
          <w:color w:val="auto"/>
          <w:sz w:val="24"/>
          <w:szCs w:val="24"/>
          <w:highlight w:val="none"/>
          <w:lang w:eastAsia="zh-Hans"/>
        </w:rPr>
        <w:t>▲</w:t>
      </w:r>
      <w:r>
        <w:rPr>
          <w:rFonts w:ascii="宋体" w:hAnsi="宋体" w:cs="宋体"/>
          <w:color w:val="auto"/>
          <w:sz w:val="24"/>
          <w:szCs w:val="24"/>
          <w:highlight w:val="none"/>
        </w:rPr>
        <w:t>1.</w:t>
      </w:r>
      <w:r>
        <w:rPr>
          <w:rFonts w:hint="eastAsia" w:ascii="宋体" w:hAnsi="宋体" w:cs="宋体"/>
          <w:color w:val="auto"/>
          <w:sz w:val="24"/>
          <w:szCs w:val="24"/>
          <w:highlight w:val="none"/>
        </w:rPr>
        <w:t>完整课程包内容包含：成品视频课件（.MP4格式）、课程（课件）封面、1</w:t>
      </w:r>
      <w:r>
        <w:rPr>
          <w:rFonts w:ascii="宋体" w:hAnsi="宋体" w:cs="宋体"/>
          <w:color w:val="auto"/>
          <w:sz w:val="24"/>
          <w:szCs w:val="24"/>
          <w:highlight w:val="none"/>
        </w:rPr>
        <w:t>00-300</w:t>
      </w:r>
      <w:r>
        <w:rPr>
          <w:rFonts w:hint="eastAsia" w:ascii="宋体" w:hAnsi="宋体" w:cs="宋体"/>
          <w:color w:val="auto"/>
          <w:sz w:val="24"/>
          <w:szCs w:val="24"/>
          <w:highlight w:val="none"/>
        </w:rPr>
        <w:t>字的课程简介（.DOC格式）、教师简介（.DOC格式）、测试题（.DOC格式）及答案（.DOC格式）。</w:t>
      </w:r>
      <w:r>
        <w:rPr>
          <w:rFonts w:hint="eastAsia" w:ascii="宋体" w:hAnsi="宋体" w:cs="宋体"/>
          <w:color w:val="auto"/>
          <w:sz w:val="24"/>
          <w:szCs w:val="24"/>
          <w:highlight w:val="none"/>
          <w:lang w:eastAsia="zh-Hans"/>
        </w:rPr>
        <w:t>每门课程包含一个或多个视频课件，每个课件必须不少于0.5学时。特别说明：1学时课件时长大于30分钟，0.5学时课件时长必须大于15分钟且小于等于30分钟。</w:t>
      </w:r>
    </w:p>
    <w:p w14:paraId="5E41B1F4">
      <w:pPr>
        <w:adjustRightInd w:val="0"/>
        <w:snapToGrid w:val="0"/>
        <w:spacing w:line="40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lang w:eastAsia="zh-Hans"/>
        </w:rPr>
        <w:t>▲</w:t>
      </w:r>
      <w:r>
        <w:rPr>
          <w:rFonts w:ascii="宋体" w:hAnsi="宋体" w:cs="宋体"/>
          <w:color w:val="auto"/>
          <w:sz w:val="24"/>
          <w:szCs w:val="24"/>
          <w:highlight w:val="none"/>
          <w:lang w:eastAsia="zh-Hans"/>
        </w:rPr>
        <w:t>2.</w:t>
      </w:r>
      <w:r>
        <w:rPr>
          <w:rFonts w:hint="eastAsia" w:ascii="宋体" w:hAnsi="宋体" w:cs="宋体"/>
          <w:color w:val="auto"/>
          <w:sz w:val="24"/>
          <w:szCs w:val="24"/>
          <w:highlight w:val="none"/>
          <w:lang w:eastAsia="zh-Hans"/>
        </w:rPr>
        <w:t>课程设计须符合相关主题风格，同一门课程的多个课件页面风格须统一，色彩协调。</w:t>
      </w:r>
      <w:r>
        <w:rPr>
          <w:rFonts w:hint="eastAsia" w:ascii="宋体" w:hAnsi="宋体" w:cs="宋体"/>
          <w:color w:val="auto"/>
          <w:sz w:val="24"/>
          <w:szCs w:val="24"/>
          <w:highlight w:val="none"/>
        </w:rPr>
        <w:t>每个视频课程包含的课件采用模块化设计，须包含课件封面、内容目录、理论讲解、核心知识点呈现、课件封底等组件。“课件封面”要求包含如下信息：课程名称或节次【如课程（上）或课程（一）】、主讲人及主讲人的职务、职称。课件视频画面必须包含授课教师授课画面，主要知识点、相关内容图片等按照授课需要适时呈现。</w:t>
      </w:r>
      <w:r>
        <w:rPr>
          <w:rFonts w:ascii="宋体" w:hAnsi="宋体" w:cs="宋体"/>
          <w:color w:val="auto"/>
          <w:sz w:val="24"/>
          <w:szCs w:val="24"/>
          <w:highlight w:val="none"/>
        </w:rPr>
        <w:t xml:space="preserve"> </w:t>
      </w:r>
    </w:p>
    <w:p w14:paraId="28CA6415">
      <w:pPr>
        <w:adjustRightInd w:val="0"/>
        <w:snapToGrid w:val="0"/>
        <w:spacing w:line="40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lang w:eastAsia="zh-Hans"/>
        </w:rPr>
        <w:t>○</w:t>
      </w:r>
      <w:r>
        <w:rPr>
          <w:rFonts w:ascii="宋体" w:hAnsi="宋体" w:cs="宋体"/>
          <w:color w:val="auto"/>
          <w:sz w:val="24"/>
          <w:szCs w:val="24"/>
          <w:highlight w:val="none"/>
        </w:rPr>
        <w:t>3.</w:t>
      </w:r>
      <w:r>
        <w:rPr>
          <w:rFonts w:hint="eastAsia" w:ascii="宋体" w:hAnsi="宋体" w:cs="宋体"/>
          <w:color w:val="auto"/>
          <w:sz w:val="24"/>
          <w:szCs w:val="24"/>
          <w:highlight w:val="none"/>
        </w:rPr>
        <w:t>课程所有资料禁止附带任何与课件播放无关的文件、病毒和恶意代码。</w:t>
      </w:r>
    </w:p>
    <w:p w14:paraId="780CF3FD">
      <w:pPr>
        <w:adjustRightInd w:val="0"/>
        <w:snapToGrid w:val="0"/>
        <w:spacing w:line="400" w:lineRule="exact"/>
        <w:ind w:firstLine="480" w:firstLineChars="200"/>
        <w:rPr>
          <w:color w:val="auto"/>
          <w:highlight w:val="none"/>
        </w:rPr>
      </w:pPr>
      <w:bookmarkStart w:id="150" w:name="_Hlk205891258"/>
      <w:r>
        <w:rPr>
          <w:rFonts w:hint="eastAsia" w:cs="宋体"/>
          <w:color w:val="auto"/>
          <w:sz w:val="24"/>
          <w:szCs w:val="24"/>
          <w:highlight w:val="none"/>
        </w:rPr>
        <w:t>（三）</w:t>
      </w:r>
      <w:r>
        <w:rPr>
          <w:rFonts w:hint="eastAsia" w:ascii="宋体" w:hAnsi="宋体" w:cs="宋体"/>
          <w:color w:val="auto"/>
          <w:sz w:val="24"/>
          <w:szCs w:val="24"/>
          <w:highlight w:val="none"/>
        </w:rPr>
        <w:t>视频</w:t>
      </w:r>
      <w:r>
        <w:rPr>
          <w:rFonts w:hint="eastAsia" w:cs="宋体"/>
          <w:color w:val="auto"/>
          <w:sz w:val="24"/>
          <w:szCs w:val="24"/>
          <w:highlight w:val="none"/>
        </w:rPr>
        <w:t>课件画面要求</w:t>
      </w:r>
    </w:p>
    <w:p w14:paraId="183355FF">
      <w:pPr>
        <w:adjustRightInd w:val="0"/>
        <w:snapToGrid w:val="0"/>
        <w:spacing w:line="40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lang w:eastAsia="zh-Hans"/>
        </w:rPr>
        <w:t>▲</w:t>
      </w:r>
      <w:r>
        <w:rPr>
          <w:rFonts w:hint="eastAsia" w:ascii="宋体" w:hAnsi="宋体" w:cs="宋体"/>
          <w:color w:val="auto"/>
          <w:sz w:val="24"/>
          <w:szCs w:val="24"/>
          <w:highlight w:val="none"/>
        </w:rPr>
        <w:t>1.视频分辨率</w:t>
      </w:r>
    </w:p>
    <w:p w14:paraId="4D2ACC9C">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分辨率为1280</w:t>
      </w:r>
      <w:r>
        <w:rPr>
          <w:rFonts w:ascii="宋体" w:hAnsi="宋体" w:cs="宋体"/>
          <w:color w:val="auto"/>
          <w:sz w:val="24"/>
          <w:szCs w:val="24"/>
          <w:highlight w:val="none"/>
        </w:rPr>
        <w:t>*</w:t>
      </w:r>
      <w:r>
        <w:rPr>
          <w:rFonts w:hint="eastAsia" w:ascii="宋体" w:hAnsi="宋体" w:cs="宋体"/>
          <w:color w:val="auto"/>
          <w:sz w:val="24"/>
          <w:szCs w:val="24"/>
          <w:highlight w:val="none"/>
        </w:rPr>
        <w:t>720（16:9）或1920</w:t>
      </w:r>
      <w:r>
        <w:rPr>
          <w:rFonts w:ascii="宋体" w:hAnsi="宋体" w:cs="宋体"/>
          <w:color w:val="auto"/>
          <w:sz w:val="24"/>
          <w:szCs w:val="24"/>
          <w:highlight w:val="none"/>
        </w:rPr>
        <w:t>*</w:t>
      </w:r>
      <w:r>
        <w:rPr>
          <w:rFonts w:hint="eastAsia" w:ascii="宋体" w:hAnsi="宋体" w:cs="宋体"/>
          <w:color w:val="auto"/>
          <w:sz w:val="24"/>
          <w:szCs w:val="24"/>
          <w:highlight w:val="none"/>
        </w:rPr>
        <w:t>1080（16:9），确保画面清晰、细节丰富。</w:t>
      </w:r>
    </w:p>
    <w:p w14:paraId="6DC6EA15">
      <w:pPr>
        <w:adjustRightInd w:val="0"/>
        <w:snapToGrid w:val="0"/>
        <w:spacing w:line="40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lang w:eastAsia="zh-Hans"/>
        </w:rPr>
        <w:t>▲</w:t>
      </w:r>
      <w:r>
        <w:rPr>
          <w:rFonts w:hint="eastAsia" w:ascii="宋体" w:hAnsi="宋体" w:cs="宋体"/>
          <w:color w:val="auto"/>
          <w:sz w:val="24"/>
          <w:szCs w:val="24"/>
          <w:highlight w:val="none"/>
        </w:rPr>
        <w:t>2.帧率</w:t>
      </w:r>
    </w:p>
    <w:p w14:paraId="252DCB2C">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视频帧率统一设置为25帧/秒（PAL制）或30帧/秒（NTSC制），保证画面流畅，避免卡顿或拖影现象。</w:t>
      </w:r>
    </w:p>
    <w:p w14:paraId="53AB1B59">
      <w:pPr>
        <w:adjustRightInd w:val="0"/>
        <w:snapToGrid w:val="0"/>
        <w:spacing w:line="40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lang w:eastAsia="zh-Hans"/>
        </w:rPr>
        <w:t>▲</w:t>
      </w:r>
      <w:r>
        <w:rPr>
          <w:rFonts w:hint="eastAsia" w:ascii="宋体" w:hAnsi="宋体" w:cs="宋体"/>
          <w:color w:val="auto"/>
          <w:sz w:val="24"/>
          <w:szCs w:val="24"/>
          <w:highlight w:val="none"/>
        </w:rPr>
        <w:t>3.视频编码格式</w:t>
      </w:r>
    </w:p>
    <w:p w14:paraId="492530BF">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采用H264/AVC编码格式，视频码率根据分辨率设置在0.9-5Mbps。</w:t>
      </w:r>
    </w:p>
    <w:p w14:paraId="388AC2AE">
      <w:pPr>
        <w:adjustRightInd w:val="0"/>
        <w:snapToGrid w:val="0"/>
        <w:spacing w:line="40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lang w:eastAsia="zh-Hans"/>
        </w:rPr>
        <w:t>○</w:t>
      </w:r>
      <w:r>
        <w:rPr>
          <w:rFonts w:hint="eastAsia" w:ascii="宋体" w:hAnsi="宋体" w:cs="宋体"/>
          <w:color w:val="auto"/>
          <w:sz w:val="24"/>
          <w:szCs w:val="24"/>
          <w:highlight w:val="none"/>
        </w:rPr>
        <w:t>4. 画面构图与色彩</w:t>
      </w:r>
    </w:p>
    <w:p w14:paraId="170FE1F9">
      <w:pPr>
        <w:adjustRightInd w:val="0"/>
        <w:snapToGrid w:val="0"/>
        <w:spacing w:line="400" w:lineRule="exact"/>
        <w:ind w:firstLine="480" w:firstLineChars="200"/>
        <w:rPr>
          <w:rFonts w:ascii="宋体" w:hAnsi="宋体" w:cs="宋体"/>
          <w:color w:val="auto"/>
          <w:sz w:val="24"/>
          <w:szCs w:val="24"/>
          <w:highlight w:val="none"/>
          <w:lang w:eastAsia="zh-Hans"/>
        </w:rPr>
      </w:pPr>
      <w:r>
        <w:rPr>
          <w:rFonts w:hint="eastAsia" w:ascii="宋体" w:hAnsi="宋体" w:cs="宋体"/>
          <w:color w:val="auto"/>
          <w:sz w:val="24"/>
          <w:szCs w:val="24"/>
          <w:highlight w:val="none"/>
          <w:lang w:eastAsia="zh-Hans"/>
        </w:rPr>
        <w:t>构图：遵循三分法、对称构图等基本原则，确保主体突出，画面平衡。人物讲解类视频，人物位于画面中央或黄金分割点位置。</w:t>
      </w:r>
    </w:p>
    <w:p w14:paraId="50AFC4E3">
      <w:pPr>
        <w:adjustRightInd w:val="0"/>
        <w:snapToGrid w:val="0"/>
        <w:spacing w:line="400" w:lineRule="exact"/>
        <w:ind w:firstLine="480" w:firstLineChars="200"/>
        <w:rPr>
          <w:rFonts w:ascii="宋体" w:hAnsi="宋体" w:cs="宋体"/>
          <w:color w:val="auto"/>
          <w:sz w:val="24"/>
          <w:szCs w:val="24"/>
          <w:highlight w:val="none"/>
          <w:lang w:eastAsia="zh-Hans"/>
        </w:rPr>
      </w:pPr>
      <w:r>
        <w:rPr>
          <w:rFonts w:hint="eastAsia" w:ascii="宋体" w:hAnsi="宋体" w:cs="宋体"/>
          <w:color w:val="auto"/>
          <w:sz w:val="24"/>
          <w:szCs w:val="24"/>
          <w:highlight w:val="none"/>
          <w:lang w:eastAsia="zh-Hans"/>
        </w:rPr>
        <w:t>色彩：色彩还原准确，对比度适中，避免过亮或过暗。根据课程主题调整色调，如科技类课程可采用冷色调，人文类课程采用暖色调，营造合适的视觉氛围。</w:t>
      </w:r>
    </w:p>
    <w:bookmarkEnd w:id="150"/>
    <w:p w14:paraId="191585C0">
      <w:pPr>
        <w:adjustRightInd w:val="0"/>
        <w:snapToGrid w:val="0"/>
        <w:spacing w:line="400" w:lineRule="exact"/>
        <w:ind w:firstLine="480" w:firstLineChars="200"/>
        <w:rPr>
          <w:color w:val="auto"/>
          <w:highlight w:val="none"/>
        </w:rPr>
      </w:pPr>
      <w:r>
        <w:rPr>
          <w:rFonts w:hint="eastAsia" w:cs="宋体"/>
          <w:color w:val="auto"/>
          <w:sz w:val="24"/>
          <w:szCs w:val="24"/>
          <w:highlight w:val="none"/>
        </w:rPr>
        <w:t>（四）视频课件</w:t>
      </w:r>
      <w:r>
        <w:rPr>
          <w:rFonts w:hint="eastAsia" w:ascii="宋体" w:hAnsi="宋体" w:cs="宋体"/>
          <w:color w:val="auto"/>
          <w:sz w:val="24"/>
          <w:szCs w:val="24"/>
          <w:highlight w:val="none"/>
        </w:rPr>
        <w:t>音频</w:t>
      </w:r>
      <w:r>
        <w:rPr>
          <w:rFonts w:hint="eastAsia" w:cs="宋体"/>
          <w:color w:val="auto"/>
          <w:sz w:val="24"/>
          <w:szCs w:val="24"/>
          <w:highlight w:val="none"/>
        </w:rPr>
        <w:t>要求</w:t>
      </w:r>
    </w:p>
    <w:p w14:paraId="1DB32343">
      <w:pPr>
        <w:adjustRightInd w:val="0"/>
        <w:snapToGrid w:val="0"/>
        <w:spacing w:line="40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lang w:eastAsia="zh-Hans"/>
        </w:rPr>
        <w:t>▲</w:t>
      </w:r>
      <w:r>
        <w:rPr>
          <w:rFonts w:hint="eastAsia" w:ascii="宋体" w:hAnsi="宋体" w:cs="宋体"/>
          <w:color w:val="auto"/>
          <w:sz w:val="24"/>
          <w:szCs w:val="24"/>
          <w:highlight w:val="none"/>
        </w:rPr>
        <w:t>1.音频</w:t>
      </w:r>
      <w:r>
        <w:rPr>
          <w:rFonts w:hint="eastAsia" w:ascii="宋体" w:hAnsi="宋体" w:cs="宋体"/>
          <w:color w:val="auto"/>
          <w:sz w:val="24"/>
          <w:szCs w:val="24"/>
          <w:highlight w:val="none"/>
          <w:lang w:eastAsia="zh-Hans"/>
        </w:rPr>
        <w:t>采样率</w:t>
      </w:r>
    </w:p>
    <w:p w14:paraId="58EB8A8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课件音频采样率不低于</w:t>
      </w:r>
      <w:r>
        <w:rPr>
          <w:rFonts w:ascii="宋体" w:hAnsi="宋体" w:cs="宋体"/>
          <w:color w:val="auto"/>
          <w:sz w:val="24"/>
          <w:szCs w:val="24"/>
          <w:highlight w:val="none"/>
        </w:rPr>
        <w:t>44.1</w:t>
      </w:r>
      <w:r>
        <w:rPr>
          <w:rFonts w:hint="eastAsia" w:ascii="宋体" w:hAnsi="宋体" w:cs="宋体"/>
          <w:color w:val="auto"/>
          <w:sz w:val="24"/>
          <w:szCs w:val="24"/>
          <w:highlight w:val="none"/>
        </w:rPr>
        <w:t>kHz，保证音频质量，还原声音细节。</w:t>
      </w:r>
    </w:p>
    <w:p w14:paraId="5B18333A">
      <w:pPr>
        <w:spacing w:line="40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lang w:eastAsia="zh-Hans"/>
        </w:rPr>
        <w:t>▲</w:t>
      </w:r>
      <w:r>
        <w:rPr>
          <w:rFonts w:hint="eastAsia" w:ascii="宋体" w:hAnsi="宋体" w:cs="宋体"/>
          <w:color w:val="auto"/>
          <w:sz w:val="24"/>
          <w:szCs w:val="24"/>
          <w:highlight w:val="none"/>
        </w:rPr>
        <w:t>2</w:t>
      </w:r>
      <w:r>
        <w:rPr>
          <w:rFonts w:ascii="宋体" w:hAnsi="宋体" w:cs="宋体"/>
          <w:color w:val="auto"/>
          <w:sz w:val="24"/>
          <w:szCs w:val="24"/>
          <w:highlight w:val="none"/>
        </w:rPr>
        <w:t>.</w:t>
      </w:r>
      <w:r>
        <w:rPr>
          <w:rFonts w:hint="eastAsia" w:ascii="宋体" w:hAnsi="宋体" w:cs="宋体"/>
          <w:color w:val="auto"/>
          <w:sz w:val="24"/>
          <w:szCs w:val="24"/>
          <w:highlight w:val="none"/>
        </w:rPr>
        <w:t>音频编码格式</w:t>
      </w:r>
    </w:p>
    <w:p w14:paraId="40ED98B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 AAC 编码格式，该格式具有良好的音质表现和压缩效率，适用于网络视频传输。音频码率设置为128kbps-320kbps，确保音频清晰、无杂音。</w:t>
      </w:r>
    </w:p>
    <w:p w14:paraId="08E8F2BE">
      <w:pPr>
        <w:spacing w:line="40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lang w:eastAsia="zh-Hans"/>
        </w:rPr>
        <w:t>▲</w:t>
      </w:r>
      <w:r>
        <w:rPr>
          <w:rFonts w:hint="eastAsia" w:ascii="宋体" w:hAnsi="宋体" w:cs="宋体"/>
          <w:color w:val="auto"/>
          <w:sz w:val="24"/>
          <w:szCs w:val="24"/>
          <w:highlight w:val="none"/>
        </w:rPr>
        <w:t>3</w:t>
      </w:r>
      <w:r>
        <w:rPr>
          <w:rFonts w:ascii="宋体" w:hAnsi="宋体" w:cs="宋体"/>
          <w:color w:val="auto"/>
          <w:sz w:val="24"/>
          <w:szCs w:val="24"/>
          <w:highlight w:val="none"/>
        </w:rPr>
        <w:t>.</w:t>
      </w:r>
      <w:r>
        <w:rPr>
          <w:rFonts w:hint="eastAsia" w:ascii="宋体" w:hAnsi="宋体" w:cs="宋体"/>
          <w:color w:val="auto"/>
          <w:sz w:val="24"/>
          <w:szCs w:val="24"/>
          <w:highlight w:val="none"/>
        </w:rPr>
        <w:t>声道设置</w:t>
      </w:r>
    </w:p>
    <w:p w14:paraId="450A703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统一采用双声道（立体声）设置，增强声音的空间感和层次感。</w:t>
      </w:r>
    </w:p>
    <w:p w14:paraId="79B402CE">
      <w:pPr>
        <w:spacing w:line="40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lang w:eastAsia="zh-Hans"/>
        </w:rPr>
        <w:t>○</w:t>
      </w:r>
      <w:r>
        <w:rPr>
          <w:rFonts w:hint="eastAsia" w:ascii="宋体" w:hAnsi="宋体" w:cs="宋体"/>
          <w:color w:val="auto"/>
          <w:sz w:val="24"/>
          <w:szCs w:val="24"/>
          <w:highlight w:val="none"/>
        </w:rPr>
        <w:t>4</w:t>
      </w:r>
      <w:r>
        <w:rPr>
          <w:rFonts w:ascii="宋体" w:hAnsi="宋体" w:cs="宋体"/>
          <w:color w:val="auto"/>
          <w:sz w:val="24"/>
          <w:szCs w:val="24"/>
          <w:highlight w:val="none"/>
        </w:rPr>
        <w:t>.</w:t>
      </w:r>
      <w:r>
        <w:rPr>
          <w:rFonts w:hint="eastAsia" w:ascii="宋体" w:hAnsi="宋体" w:cs="宋体"/>
          <w:color w:val="auto"/>
          <w:sz w:val="24"/>
          <w:szCs w:val="24"/>
          <w:highlight w:val="none"/>
        </w:rPr>
        <w:t>音频录制与处理</w:t>
      </w:r>
    </w:p>
    <w:p w14:paraId="0801C9A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使用专业麦克风进行音频录制，录制环境保持安静，避免外界噪音干扰。并对音频进行降噪、均衡、压缩等处理，去除杂音，调整音量平衡，使音频质量达到较好的接收效果。</w:t>
      </w:r>
    </w:p>
    <w:p w14:paraId="721193AE">
      <w:pPr>
        <w:spacing w:line="40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lang w:eastAsia="zh-Hans"/>
        </w:rPr>
        <w:t>▲</w:t>
      </w:r>
      <w:r>
        <w:rPr>
          <w:rFonts w:hint="eastAsia" w:ascii="宋体" w:hAnsi="宋体" w:cs="宋体"/>
          <w:color w:val="auto"/>
          <w:sz w:val="24"/>
          <w:szCs w:val="24"/>
          <w:highlight w:val="none"/>
        </w:rPr>
        <w:t>5</w:t>
      </w:r>
      <w:r>
        <w:rPr>
          <w:rFonts w:ascii="宋体" w:hAnsi="宋体" w:cs="宋体"/>
          <w:color w:val="auto"/>
          <w:sz w:val="24"/>
          <w:szCs w:val="24"/>
          <w:highlight w:val="none"/>
        </w:rPr>
        <w:t>.</w:t>
      </w:r>
      <w:r>
        <w:rPr>
          <w:rFonts w:hint="eastAsia" w:ascii="宋体" w:hAnsi="宋体" w:cs="宋体"/>
          <w:color w:val="auto"/>
          <w:sz w:val="24"/>
          <w:szCs w:val="24"/>
          <w:highlight w:val="none"/>
        </w:rPr>
        <w:t>音频与视频同步</w:t>
      </w:r>
    </w:p>
    <w:p w14:paraId="6D9016B1">
      <w:pPr>
        <w:spacing w:line="400" w:lineRule="exact"/>
        <w:ind w:firstLine="240" w:firstLineChars="100"/>
        <w:rPr>
          <w:color w:val="auto"/>
          <w:highlight w:val="none"/>
        </w:rPr>
      </w:pPr>
      <w:r>
        <w:rPr>
          <w:rFonts w:hint="eastAsia" w:ascii="宋体" w:hAnsi="宋体" w:cs="宋体"/>
          <w:color w:val="auto"/>
          <w:sz w:val="24"/>
          <w:szCs w:val="24"/>
          <w:highlight w:val="none"/>
        </w:rPr>
        <w:t>音频与视频需精确同步，误差不超过50毫秒，确保观看视频时声画同步。</w:t>
      </w:r>
    </w:p>
    <w:p w14:paraId="6630D570">
      <w:pPr>
        <w:pStyle w:val="3"/>
        <w:spacing w:line="400" w:lineRule="exact"/>
        <w:ind w:firstLine="482" w:firstLineChars="200"/>
        <w:rPr>
          <w:b/>
          <w:color w:val="auto"/>
          <w:sz w:val="24"/>
          <w:szCs w:val="24"/>
          <w:highlight w:val="none"/>
        </w:rPr>
      </w:pPr>
      <w:bookmarkStart w:id="151" w:name="_Toc8279"/>
      <w:bookmarkStart w:id="152" w:name="_Toc30837"/>
      <w:bookmarkStart w:id="153" w:name="_Toc9664"/>
      <w:bookmarkStart w:id="154" w:name="_Toc32277"/>
      <w:r>
        <w:rPr>
          <w:rFonts w:hint="eastAsia" w:cs="宋体"/>
          <w:b/>
          <w:bCs/>
          <w:color w:val="auto"/>
          <w:sz w:val="24"/>
          <w:szCs w:val="24"/>
          <w:highlight w:val="none"/>
          <w:lang w:eastAsia="zh-Hans"/>
        </w:rPr>
        <w:t>○</w:t>
      </w:r>
      <w:r>
        <w:rPr>
          <w:rFonts w:hint="eastAsia"/>
          <w:b/>
          <w:color w:val="auto"/>
          <w:sz w:val="24"/>
          <w:szCs w:val="24"/>
          <w:highlight w:val="none"/>
        </w:rPr>
        <w:t>四、其它</w:t>
      </w:r>
      <w:bookmarkEnd w:id="151"/>
      <w:bookmarkEnd w:id="152"/>
      <w:r>
        <w:rPr>
          <w:rFonts w:hint="eastAsia"/>
          <w:b/>
          <w:color w:val="auto"/>
          <w:sz w:val="24"/>
          <w:szCs w:val="24"/>
          <w:highlight w:val="none"/>
        </w:rPr>
        <w:t>技术要求</w:t>
      </w:r>
      <w:bookmarkEnd w:id="153"/>
      <w:bookmarkEnd w:id="154"/>
    </w:p>
    <w:p w14:paraId="6C91BDB0">
      <w:pPr>
        <w:spacing w:line="400" w:lineRule="exact"/>
        <w:ind w:firstLine="240" w:firstLineChars="100"/>
        <w:rPr>
          <w:rFonts w:ascii="宋体" w:hAnsi="宋体" w:cs="宋体"/>
          <w:color w:val="auto"/>
          <w:sz w:val="24"/>
          <w:szCs w:val="24"/>
          <w:highlight w:val="none"/>
        </w:rPr>
      </w:pPr>
      <w:bookmarkStart w:id="155" w:name="_Toc286666326"/>
      <w:bookmarkStart w:id="156" w:name="_Toc277946559"/>
      <w:bookmarkStart w:id="157" w:name="_Toc357789254"/>
      <w:r>
        <w:rPr>
          <w:rFonts w:hint="eastAsia" w:ascii="宋体" w:hAnsi="宋体" w:cs="宋体"/>
          <w:color w:val="auto"/>
          <w:sz w:val="24"/>
          <w:szCs w:val="24"/>
          <w:highlight w:val="none"/>
        </w:rPr>
        <w:t>必须按照技术要求提供课件，如所提供的视频课件在平台上不能正常运行将作为无效课件。</w:t>
      </w:r>
    </w:p>
    <w:bookmarkEnd w:id="155"/>
    <w:bookmarkEnd w:id="156"/>
    <w:bookmarkEnd w:id="157"/>
    <w:p w14:paraId="7B50B6B8">
      <w:pPr>
        <w:pStyle w:val="5"/>
        <w:ind w:firstLine="480"/>
        <w:rPr>
          <w:color w:val="auto"/>
          <w:highlight w:val="none"/>
        </w:rPr>
        <w:sectPr>
          <w:footerReference r:id="rId7" w:type="default"/>
          <w:type w:val="nextColumn"/>
          <w:pgSz w:w="11907" w:h="16840"/>
          <w:pgMar w:top="1440" w:right="1080" w:bottom="1440" w:left="1080" w:header="964" w:footer="992" w:gutter="0"/>
          <w:pgNumType w:fmt="numberInDash"/>
          <w:cols w:space="720" w:num="1"/>
          <w:docGrid w:linePitch="381" w:charSpace="0"/>
        </w:sectPr>
      </w:pPr>
    </w:p>
    <w:p w14:paraId="421C8895">
      <w:pPr>
        <w:pStyle w:val="2"/>
        <w:spacing w:before="120" w:beforeLines="50" w:after="120" w:line="440" w:lineRule="exact"/>
        <w:ind w:firstLine="883"/>
        <w:rPr>
          <w:rFonts w:eastAsia="宋体"/>
          <w:b/>
          <w:color w:val="auto"/>
          <w:highlight w:val="none"/>
        </w:rPr>
      </w:pPr>
      <w:bookmarkStart w:id="158" w:name="_Toc27166"/>
      <w:bookmarkStart w:id="159" w:name="_Toc97913104"/>
      <w:bookmarkStart w:id="160" w:name="_Toc27952"/>
      <w:bookmarkStart w:id="161" w:name="_Toc8073"/>
      <w:r>
        <w:rPr>
          <w:rFonts w:hint="eastAsia" w:eastAsia="宋体"/>
          <w:b/>
          <w:color w:val="auto"/>
          <w:highlight w:val="none"/>
        </w:rPr>
        <w:t>第三篇</w:t>
      </w:r>
      <w:r>
        <w:rPr>
          <w:rFonts w:eastAsia="宋体"/>
          <w:b/>
          <w:color w:val="auto"/>
          <w:highlight w:val="none"/>
        </w:rPr>
        <w:t xml:space="preserve">  </w:t>
      </w:r>
      <w:r>
        <w:rPr>
          <w:rFonts w:hint="eastAsia" w:eastAsia="宋体"/>
          <w:b/>
          <w:color w:val="auto"/>
          <w:highlight w:val="none"/>
        </w:rPr>
        <w:t>项目</w:t>
      </w:r>
      <w:bookmarkEnd w:id="158"/>
      <w:bookmarkEnd w:id="159"/>
      <w:bookmarkEnd w:id="160"/>
      <w:r>
        <w:rPr>
          <w:rFonts w:hint="eastAsia" w:eastAsia="宋体"/>
          <w:b/>
          <w:color w:val="auto"/>
          <w:highlight w:val="none"/>
        </w:rPr>
        <w:t>商务需求</w:t>
      </w:r>
      <w:bookmarkEnd w:id="161"/>
    </w:p>
    <w:p w14:paraId="548BD5BD">
      <w:pPr>
        <w:snapToGrid w:val="0"/>
        <w:spacing w:line="400" w:lineRule="exact"/>
        <w:ind w:firstLine="482" w:firstLineChars="200"/>
        <w:rPr>
          <w:b/>
          <w:bCs/>
          <w:color w:val="auto"/>
          <w:kern w:val="0"/>
          <w:sz w:val="24"/>
          <w:szCs w:val="24"/>
          <w:highlight w:val="none"/>
        </w:rPr>
      </w:pPr>
      <w:bookmarkStart w:id="162" w:name="_Toc267320049"/>
      <w:r>
        <w:rPr>
          <w:b/>
          <w:color w:val="auto"/>
          <w:sz w:val="24"/>
          <w:szCs w:val="24"/>
          <w:highlight w:val="none"/>
        </w:rPr>
        <w:t>“</w:t>
      </w:r>
      <w:bookmarkStart w:id="163" w:name="_Hlk206150666"/>
      <w:r>
        <w:rPr>
          <w:rFonts w:hint="eastAsia"/>
          <w:b/>
          <w:color w:val="auto"/>
          <w:kern w:val="0"/>
          <w:sz w:val="24"/>
          <w:szCs w:val="24"/>
          <w:highlight w:val="none"/>
        </w:rPr>
        <w:t>※</w:t>
      </w:r>
      <w:bookmarkEnd w:id="163"/>
      <w:r>
        <w:rPr>
          <w:b/>
          <w:color w:val="auto"/>
          <w:sz w:val="24"/>
          <w:szCs w:val="24"/>
          <w:highlight w:val="none"/>
        </w:rPr>
        <w:t>”</w:t>
      </w:r>
      <w:r>
        <w:rPr>
          <w:rFonts w:hint="eastAsia"/>
          <w:b/>
          <w:color w:val="auto"/>
          <w:sz w:val="24"/>
          <w:szCs w:val="24"/>
          <w:highlight w:val="none"/>
        </w:rPr>
        <w:t>标注的商务需求为符合性审查中的实质性要求，若不满足按无效响应处理。</w:t>
      </w:r>
    </w:p>
    <w:bookmarkEnd w:id="162"/>
    <w:p w14:paraId="3AD9E4AF">
      <w:pPr>
        <w:pStyle w:val="3"/>
        <w:spacing w:line="500" w:lineRule="exact"/>
        <w:ind w:firstLine="482" w:firstLineChars="200"/>
        <w:rPr>
          <w:b/>
          <w:color w:val="auto"/>
          <w:sz w:val="24"/>
          <w:highlight w:val="none"/>
        </w:rPr>
      </w:pPr>
      <w:bookmarkStart w:id="164" w:name="_Toc23551"/>
      <w:bookmarkStart w:id="165" w:name="_Toc420"/>
      <w:bookmarkStart w:id="166" w:name="_Toc8752"/>
      <w:bookmarkStart w:id="167" w:name="_Toc29610"/>
      <w:bookmarkStart w:id="168" w:name="_Toc26446"/>
      <w:bookmarkStart w:id="169" w:name="_Toc5018"/>
      <w:bookmarkStart w:id="170" w:name="_Toc1610"/>
      <w:bookmarkStart w:id="171" w:name="_Toc23961"/>
      <w:bookmarkStart w:id="172" w:name="_Toc267320050"/>
      <w:bookmarkStart w:id="173" w:name="_Toc10929"/>
      <w:bookmarkStart w:id="174" w:name="_Toc30681"/>
      <w:r>
        <w:rPr>
          <w:rFonts w:hint="eastAsia"/>
          <w:b/>
          <w:color w:val="auto"/>
          <w:kern w:val="0"/>
          <w:sz w:val="24"/>
          <w:szCs w:val="24"/>
          <w:highlight w:val="none"/>
        </w:rPr>
        <w:t>※</w:t>
      </w:r>
      <w:r>
        <w:rPr>
          <w:rFonts w:hint="eastAsia"/>
          <w:b/>
          <w:color w:val="auto"/>
          <w:sz w:val="24"/>
          <w:highlight w:val="none"/>
        </w:rPr>
        <w:t>一、交货期、交货地点及验收方式</w:t>
      </w:r>
      <w:bookmarkEnd w:id="164"/>
      <w:bookmarkEnd w:id="165"/>
      <w:bookmarkEnd w:id="166"/>
      <w:bookmarkEnd w:id="167"/>
      <w:bookmarkEnd w:id="168"/>
      <w:bookmarkEnd w:id="169"/>
      <w:bookmarkEnd w:id="170"/>
      <w:bookmarkEnd w:id="171"/>
    </w:p>
    <w:p w14:paraId="732AB3DC">
      <w:pPr>
        <w:snapToGrid w:val="0"/>
        <w:spacing w:line="44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（一）服务期：</w:t>
      </w:r>
    </w:p>
    <w:p w14:paraId="63E0628E">
      <w:pPr>
        <w:snapToGrid w:val="0"/>
        <w:spacing w:line="440" w:lineRule="exact"/>
        <w:ind w:firstLine="480" w:firstLineChars="200"/>
        <w:rPr>
          <w:rFonts w:ascii="宋体" w:hAnsi="宋体" w:cs="宋体"/>
          <w:color w:val="auto"/>
          <w:sz w:val="24"/>
          <w:szCs w:val="24"/>
          <w:highlight w:val="none"/>
        </w:rPr>
      </w:pPr>
      <w:bookmarkStart w:id="175" w:name="_Hlk206008197"/>
      <w:r>
        <w:rPr>
          <w:rFonts w:hint="eastAsia" w:ascii="宋体" w:hAnsi="宋体" w:cs="宋体"/>
          <w:color w:val="auto"/>
          <w:kern w:val="0"/>
          <w:sz w:val="24"/>
          <w:highlight w:val="none"/>
          <w:lang w:eastAsia="zh-CN"/>
        </w:rPr>
        <w:t>成交供应商</w:t>
      </w:r>
      <w:r>
        <w:rPr>
          <w:rFonts w:hint="eastAsia" w:ascii="宋体" w:hAnsi="宋体" w:cs="宋体"/>
          <w:color w:val="auto"/>
          <w:kern w:val="0"/>
          <w:sz w:val="24"/>
          <w:highlight w:val="none"/>
        </w:rPr>
        <w:t>服务期从采购合同签订之日起至2</w:t>
      </w:r>
      <w:r>
        <w:rPr>
          <w:rFonts w:ascii="宋体" w:hAnsi="宋体" w:cs="宋体"/>
          <w:color w:val="auto"/>
          <w:kern w:val="0"/>
          <w:sz w:val="24"/>
          <w:highlight w:val="none"/>
        </w:rPr>
        <w:t>025</w:t>
      </w:r>
      <w:r>
        <w:rPr>
          <w:rFonts w:hint="eastAsia" w:ascii="宋体" w:hAnsi="宋体" w:cs="宋体"/>
          <w:color w:val="auto"/>
          <w:kern w:val="0"/>
          <w:sz w:val="24"/>
          <w:highlight w:val="none"/>
        </w:rPr>
        <w:t>年1</w:t>
      </w:r>
      <w:r>
        <w:rPr>
          <w:rFonts w:ascii="宋体" w:hAnsi="宋体" w:cs="宋体"/>
          <w:color w:val="auto"/>
          <w:kern w:val="0"/>
          <w:sz w:val="24"/>
          <w:highlight w:val="none"/>
        </w:rPr>
        <w:t>2</w:t>
      </w:r>
      <w:r>
        <w:rPr>
          <w:rFonts w:hint="eastAsia" w:ascii="宋体" w:hAnsi="宋体" w:cs="宋体"/>
          <w:color w:val="auto"/>
          <w:kern w:val="0"/>
          <w:sz w:val="24"/>
          <w:highlight w:val="none"/>
        </w:rPr>
        <w:t>月3</w:t>
      </w:r>
      <w:r>
        <w:rPr>
          <w:rFonts w:ascii="宋体" w:hAnsi="宋体" w:cs="宋体"/>
          <w:color w:val="auto"/>
          <w:kern w:val="0"/>
          <w:sz w:val="24"/>
          <w:highlight w:val="none"/>
        </w:rPr>
        <w:t>1</w:t>
      </w:r>
      <w:r>
        <w:rPr>
          <w:rFonts w:hint="eastAsia" w:ascii="宋体" w:hAnsi="宋体" w:cs="宋体"/>
          <w:color w:val="auto"/>
          <w:kern w:val="0"/>
          <w:sz w:val="24"/>
          <w:highlight w:val="none"/>
        </w:rPr>
        <w:t>日止。</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应在采购合同签订之日起</w:t>
      </w:r>
      <w:r>
        <w:rPr>
          <w:rFonts w:ascii="宋体" w:hAnsi="宋体" w:cs="宋体"/>
          <w:color w:val="auto"/>
          <w:sz w:val="24"/>
          <w:szCs w:val="24"/>
          <w:highlight w:val="none"/>
        </w:rPr>
        <w:t>15</w:t>
      </w:r>
      <w:r>
        <w:rPr>
          <w:rFonts w:hint="eastAsia" w:ascii="宋体" w:hAnsi="宋体" w:cs="宋体"/>
          <w:color w:val="auto"/>
          <w:sz w:val="24"/>
          <w:szCs w:val="24"/>
          <w:highlight w:val="none"/>
          <w:lang w:eastAsia="zh-Hans"/>
        </w:rPr>
        <w:t>个</w:t>
      </w:r>
      <w:r>
        <w:rPr>
          <w:rFonts w:hint="eastAsia" w:ascii="宋体" w:hAnsi="宋体" w:cs="宋体"/>
          <w:color w:val="auto"/>
          <w:sz w:val="24"/>
          <w:szCs w:val="24"/>
          <w:highlight w:val="none"/>
        </w:rPr>
        <w:t>日历日</w:t>
      </w:r>
      <w:r>
        <w:rPr>
          <w:rFonts w:hint="eastAsia" w:ascii="宋体" w:hAnsi="宋体" w:cs="宋体"/>
          <w:color w:val="auto"/>
          <w:sz w:val="24"/>
          <w:szCs w:val="24"/>
          <w:highlight w:val="none"/>
          <w:lang w:eastAsia="zh-Hans"/>
        </w:rPr>
        <w:t>内提供本年度</w:t>
      </w:r>
      <w:r>
        <w:rPr>
          <w:rFonts w:hint="eastAsia" w:ascii="宋体" w:hAnsi="宋体" w:cs="宋体"/>
          <w:color w:val="auto"/>
          <w:sz w:val="24"/>
          <w:szCs w:val="24"/>
          <w:highlight w:val="none"/>
        </w:rPr>
        <w:t>1</w:t>
      </w:r>
      <w:r>
        <w:rPr>
          <w:rFonts w:ascii="宋体" w:hAnsi="宋体" w:cs="宋体"/>
          <w:color w:val="auto"/>
          <w:sz w:val="24"/>
          <w:szCs w:val="24"/>
          <w:highlight w:val="none"/>
        </w:rPr>
        <w:t>-10</w:t>
      </w:r>
      <w:r>
        <w:rPr>
          <w:rFonts w:hint="eastAsia" w:ascii="宋体" w:hAnsi="宋体" w:cs="宋体"/>
          <w:color w:val="auto"/>
          <w:sz w:val="24"/>
          <w:szCs w:val="24"/>
          <w:highlight w:val="none"/>
        </w:rPr>
        <w:t>月网络课程及所有配套资料，1</w:t>
      </w:r>
      <w:r>
        <w:rPr>
          <w:rFonts w:ascii="宋体" w:hAnsi="宋体" w:cs="宋体"/>
          <w:color w:val="auto"/>
          <w:sz w:val="24"/>
          <w:szCs w:val="24"/>
          <w:highlight w:val="none"/>
        </w:rPr>
        <w:t>2</w:t>
      </w:r>
      <w:r>
        <w:rPr>
          <w:rFonts w:hint="eastAsia" w:ascii="宋体" w:hAnsi="宋体" w:cs="宋体"/>
          <w:color w:val="auto"/>
          <w:sz w:val="24"/>
          <w:szCs w:val="24"/>
          <w:highlight w:val="none"/>
        </w:rPr>
        <w:t>月向采购人分月度完成全年不少于</w:t>
      </w:r>
      <w:r>
        <w:rPr>
          <w:rFonts w:ascii="宋体" w:hAnsi="宋体" w:cs="宋体"/>
          <w:color w:val="auto"/>
          <w:sz w:val="24"/>
          <w:szCs w:val="24"/>
          <w:highlight w:val="none"/>
        </w:rPr>
        <w:t>200</w:t>
      </w:r>
      <w:r>
        <w:rPr>
          <w:rFonts w:hint="eastAsia" w:ascii="宋体" w:hAnsi="宋体" w:cs="宋体"/>
          <w:color w:val="auto"/>
          <w:sz w:val="24"/>
          <w:szCs w:val="24"/>
          <w:highlight w:val="none"/>
        </w:rPr>
        <w:t>学时的网络课程，在服务期内，</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配合采购人进行课程修改和协查。</w:t>
      </w:r>
    </w:p>
    <w:bookmarkEnd w:id="175"/>
    <w:p w14:paraId="3E2AB67D">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（二）服务地点：</w:t>
      </w:r>
      <w:bookmarkStart w:id="176" w:name="_Hlk206008214"/>
      <w:r>
        <w:rPr>
          <w:rFonts w:hint="eastAsia" w:ascii="宋体" w:hAnsi="宋体" w:cs="宋体"/>
          <w:color w:val="auto"/>
          <w:sz w:val="24"/>
          <w:szCs w:val="24"/>
          <w:highlight w:val="none"/>
        </w:rPr>
        <w:t>采购人指定地点</w:t>
      </w:r>
      <w:bookmarkEnd w:id="176"/>
      <w:r>
        <w:rPr>
          <w:rFonts w:hint="eastAsia" w:ascii="宋体" w:hAnsi="宋体" w:cs="宋体"/>
          <w:color w:val="auto"/>
          <w:sz w:val="24"/>
          <w:szCs w:val="24"/>
          <w:highlight w:val="none"/>
        </w:rPr>
        <w:t>。</w:t>
      </w:r>
    </w:p>
    <w:p w14:paraId="12505CB4">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（三）验收方式</w:t>
      </w:r>
    </w:p>
    <w:p w14:paraId="3045B633">
      <w:pPr>
        <w:snapToGrid w:val="0"/>
        <w:spacing w:line="440" w:lineRule="exact"/>
        <w:ind w:firstLine="540"/>
        <w:rPr>
          <w:rFonts w:ascii="宋体" w:hAnsi="宋体" w:cs="宋体"/>
          <w:color w:val="auto"/>
          <w:sz w:val="24"/>
          <w:szCs w:val="24"/>
          <w:highlight w:val="none"/>
        </w:rPr>
      </w:pPr>
      <w:bookmarkStart w:id="177" w:name="_Hlk206008234"/>
      <w:r>
        <w:rPr>
          <w:rFonts w:hint="eastAsia" w:ascii="宋体" w:hAnsi="宋体" w:cs="宋体"/>
          <w:color w:val="auto"/>
          <w:sz w:val="24"/>
          <w:szCs w:val="24"/>
          <w:highlight w:val="none"/>
        </w:rPr>
        <w:t>由采购人组织专业团队进行内容审核、学时核对与技术测试，课程包资源符合国家相关标准和行业相关标准，总学时准确且能在指定环境正常学习使用，视为验收合格</w:t>
      </w:r>
      <w:bookmarkEnd w:id="177"/>
      <w:r>
        <w:rPr>
          <w:rFonts w:hint="eastAsia" w:ascii="宋体" w:hAnsi="宋体" w:cs="宋体"/>
          <w:color w:val="auto"/>
          <w:sz w:val="24"/>
          <w:szCs w:val="24"/>
          <w:highlight w:val="none"/>
        </w:rPr>
        <w:t>。</w:t>
      </w:r>
    </w:p>
    <w:p w14:paraId="657AA5B3">
      <w:pPr>
        <w:pStyle w:val="3"/>
        <w:spacing w:line="500" w:lineRule="exact"/>
        <w:ind w:firstLine="482" w:firstLineChars="200"/>
        <w:jc w:val="left"/>
        <w:rPr>
          <w:b/>
          <w:color w:val="auto"/>
          <w:sz w:val="24"/>
          <w:szCs w:val="22"/>
          <w:highlight w:val="none"/>
        </w:rPr>
      </w:pPr>
      <w:bookmarkStart w:id="178" w:name="_Toc344475121"/>
      <w:bookmarkStart w:id="179" w:name="_Toc8786"/>
      <w:bookmarkStart w:id="180" w:name="_Toc19355"/>
      <w:bookmarkStart w:id="181" w:name="_Toc13238"/>
      <w:bookmarkStart w:id="182" w:name="_Toc16520"/>
      <w:bookmarkStart w:id="183" w:name="_Toc25258"/>
      <w:bookmarkStart w:id="184" w:name="_Toc30160"/>
      <w:bookmarkStart w:id="185" w:name="_Toc30757"/>
      <w:bookmarkStart w:id="186" w:name="_Toc466546914"/>
      <w:r>
        <w:rPr>
          <w:rFonts w:hint="eastAsia"/>
          <w:b/>
          <w:color w:val="auto"/>
          <w:kern w:val="0"/>
          <w:sz w:val="24"/>
          <w:szCs w:val="24"/>
          <w:highlight w:val="none"/>
        </w:rPr>
        <w:t>※</w:t>
      </w:r>
      <w:r>
        <w:rPr>
          <w:rFonts w:hint="eastAsia"/>
          <w:b/>
          <w:color w:val="auto"/>
          <w:sz w:val="24"/>
          <w:szCs w:val="22"/>
          <w:highlight w:val="none"/>
        </w:rPr>
        <w:t>二、</w:t>
      </w:r>
      <w:bookmarkEnd w:id="178"/>
      <w:r>
        <w:rPr>
          <w:rFonts w:hint="eastAsia"/>
          <w:b/>
          <w:color w:val="auto"/>
          <w:sz w:val="24"/>
          <w:szCs w:val="22"/>
          <w:highlight w:val="none"/>
        </w:rPr>
        <w:t>报价要求</w:t>
      </w:r>
      <w:bookmarkEnd w:id="179"/>
      <w:bookmarkEnd w:id="180"/>
      <w:bookmarkEnd w:id="181"/>
      <w:bookmarkEnd w:id="182"/>
      <w:bookmarkEnd w:id="183"/>
      <w:bookmarkEnd w:id="184"/>
      <w:bookmarkEnd w:id="185"/>
      <w:bookmarkEnd w:id="186"/>
    </w:p>
    <w:p w14:paraId="76FAEC03">
      <w:pPr>
        <w:spacing w:line="440" w:lineRule="exact"/>
        <w:ind w:firstLine="480" w:firstLineChars="200"/>
        <w:rPr>
          <w:rFonts w:ascii="宋体" w:hAnsi="宋体" w:cs="宋体"/>
          <w:bCs/>
          <w:color w:val="auto"/>
          <w:kern w:val="0"/>
          <w:sz w:val="24"/>
          <w:szCs w:val="24"/>
          <w:highlight w:val="none"/>
        </w:rPr>
      </w:pPr>
      <w:bookmarkStart w:id="187" w:name="_Toc12648"/>
      <w:bookmarkStart w:id="188" w:name="_Toc466546915"/>
      <w:bookmarkStart w:id="189" w:name="_Toc4595"/>
      <w:r>
        <w:rPr>
          <w:rFonts w:hint="eastAsia" w:ascii="宋体" w:hAnsi="宋体" w:cs="宋体"/>
          <w:bCs/>
          <w:color w:val="auto"/>
          <w:kern w:val="0"/>
          <w:sz w:val="24"/>
          <w:szCs w:val="24"/>
          <w:highlight w:val="none"/>
        </w:rPr>
        <w:t>投标报价须为人民币报价，包括完成本项目所确定的全部工作内容的包干价。包含：建设费、服务费、数据接口费、调研费、劳务费、安装调试费、税费、培训费、耗材费、加班费、劳动保险费、劳保用品、易耗工具、机械使用费、服务地点内垃圾清运、安全措施费、交通组织费、管理费、政策性文件规定及合同包含的所有风险费，利润、税金等履行完本项目的所有费用，采购人不再追加其他费用。</w:t>
      </w:r>
      <w:bookmarkEnd w:id="187"/>
      <w:bookmarkEnd w:id="188"/>
      <w:bookmarkEnd w:id="189"/>
    </w:p>
    <w:p w14:paraId="4241DC90">
      <w:pPr>
        <w:pStyle w:val="3"/>
        <w:spacing w:line="500" w:lineRule="exact"/>
        <w:ind w:firstLine="482" w:firstLineChars="200"/>
        <w:jc w:val="left"/>
        <w:rPr>
          <w:b/>
          <w:color w:val="auto"/>
          <w:sz w:val="24"/>
          <w:szCs w:val="22"/>
          <w:highlight w:val="none"/>
        </w:rPr>
      </w:pPr>
      <w:bookmarkStart w:id="190" w:name="_Toc12455"/>
      <w:bookmarkStart w:id="191" w:name="_Toc18759"/>
      <w:bookmarkStart w:id="192" w:name="_Toc30782"/>
      <w:bookmarkStart w:id="193" w:name="_Toc10768"/>
      <w:bookmarkStart w:id="194" w:name="_Toc22375"/>
      <w:bookmarkStart w:id="195" w:name="_Toc20615"/>
      <w:bookmarkStart w:id="196" w:name="_Toc20473"/>
      <w:r>
        <w:rPr>
          <w:rFonts w:hint="eastAsia"/>
          <w:b/>
          <w:color w:val="auto"/>
          <w:kern w:val="0"/>
          <w:sz w:val="24"/>
          <w:szCs w:val="24"/>
          <w:highlight w:val="none"/>
        </w:rPr>
        <w:t>※</w:t>
      </w:r>
      <w:r>
        <w:rPr>
          <w:rFonts w:hint="eastAsia"/>
          <w:b/>
          <w:color w:val="auto"/>
          <w:sz w:val="24"/>
          <w:szCs w:val="22"/>
          <w:highlight w:val="none"/>
        </w:rPr>
        <w:t>三、质量保证及售后服务</w:t>
      </w:r>
      <w:bookmarkEnd w:id="190"/>
      <w:bookmarkEnd w:id="191"/>
      <w:bookmarkEnd w:id="192"/>
      <w:bookmarkEnd w:id="193"/>
      <w:bookmarkEnd w:id="194"/>
      <w:bookmarkEnd w:id="195"/>
      <w:bookmarkEnd w:id="196"/>
    </w:p>
    <w:p w14:paraId="22A754FC">
      <w:pPr>
        <w:snapToGrid w:val="0"/>
        <w:spacing w:line="48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（一）产品质量保证</w:t>
      </w:r>
    </w:p>
    <w:p w14:paraId="09578721">
      <w:pPr>
        <w:snapToGrid w:val="0"/>
        <w:spacing w:line="480" w:lineRule="exact"/>
        <w:ind w:firstLine="480" w:firstLineChars="200"/>
        <w:rPr>
          <w:rFonts w:ascii="宋体" w:hAnsi="宋体" w:cs="宋体"/>
          <w:color w:val="auto"/>
          <w:kern w:val="0"/>
          <w:sz w:val="24"/>
          <w:szCs w:val="24"/>
          <w:highlight w:val="none"/>
          <w:lang w:eastAsia="zh-Hans"/>
        </w:rPr>
      </w:pPr>
      <w:bookmarkStart w:id="197" w:name="_Hlk206008270"/>
      <w:r>
        <w:rPr>
          <w:rFonts w:hint="eastAsia" w:ascii="宋体" w:hAnsi="宋体" w:cs="宋体"/>
          <w:color w:val="auto"/>
          <w:kern w:val="0"/>
          <w:sz w:val="24"/>
          <w:szCs w:val="24"/>
          <w:highlight w:val="none"/>
          <w:lang w:eastAsia="zh-Hans"/>
        </w:rPr>
        <w:t>自验收合格之日起，</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lang w:eastAsia="zh-Hans"/>
        </w:rPr>
        <w:t>提供的所有网络课程质量保证期为终身质保。在此保证期内，如在正常使用过程中出现的质量问题，供应商须负责免费维修或调换。免费质量保证期自项目验收合格之日起计算。</w:t>
      </w:r>
    </w:p>
    <w:bookmarkEnd w:id="197"/>
    <w:p w14:paraId="34EE955B">
      <w:pPr>
        <w:snapToGrid w:val="0"/>
        <w:spacing w:line="48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（二）售后服务内容</w:t>
      </w:r>
    </w:p>
    <w:p w14:paraId="5186DE88">
      <w:pPr>
        <w:snapToGrid w:val="0"/>
        <w:spacing w:line="480" w:lineRule="exact"/>
        <w:ind w:firstLine="480" w:firstLineChars="200"/>
        <w:rPr>
          <w:rFonts w:ascii="宋体" w:hAnsi="宋体" w:cs="宋体"/>
          <w:color w:val="auto"/>
          <w:kern w:val="0"/>
          <w:sz w:val="24"/>
          <w:szCs w:val="24"/>
          <w:highlight w:val="none"/>
        </w:rPr>
      </w:pPr>
      <w:bookmarkStart w:id="198" w:name="_Hlk206008307"/>
      <w:r>
        <w:rPr>
          <w:rFonts w:hint="eastAsia" w:ascii="宋体" w:hAnsi="宋体" w:cs="宋体"/>
          <w:color w:val="auto"/>
          <w:kern w:val="0"/>
          <w:sz w:val="24"/>
          <w:szCs w:val="24"/>
          <w:highlight w:val="none"/>
        </w:rPr>
        <w:t>1.质保期内服务要求</w:t>
      </w:r>
    </w:p>
    <w:p w14:paraId="24445C4E">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.1</w:t>
      </w:r>
      <w:r>
        <w:rPr>
          <w:rFonts w:hint="eastAsia" w:ascii="宋体" w:hAnsi="宋体" w:cs="宋体"/>
          <w:color w:val="auto"/>
          <w:sz w:val="24"/>
          <w:szCs w:val="24"/>
          <w:highlight w:val="none"/>
        </w:rPr>
        <w:t>所有网络课程自交付之日起，需要提供终身质保服务，确保视频课程课件产品在不同的媒介应用环境的统一性表现，负责纠正或出现的任何缺陷。</w:t>
      </w:r>
    </w:p>
    <w:p w14:paraId="73DEC118">
      <w:p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1.2</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36小时内对用户单位所提出的维护要求做出实质性反应，提供应急策略；如果出现技术性故障，供应商保证48小时内，解决问题（以报修时间算起）。</w:t>
      </w:r>
    </w:p>
    <w:p w14:paraId="7CDDE646">
      <w:p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w:t>
      </w:r>
      <w:r>
        <w:rPr>
          <w:rFonts w:hint="eastAsia" w:ascii="宋体" w:hAnsi="宋体" w:cs="宋体"/>
          <w:color w:val="auto"/>
          <w:sz w:val="24"/>
          <w:szCs w:val="24"/>
          <w:highlight w:val="none"/>
        </w:rPr>
        <w:t>如在发生适用法律法规、中央决策部署、政策依据变化时，</w:t>
      </w:r>
      <w:bookmarkStart w:id="199" w:name="_Hlk205998083"/>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应及时通过电话、E-mail，以及QQ、微信等即时通讯工具</w:t>
      </w:r>
      <w:bookmarkEnd w:id="199"/>
      <w:r>
        <w:rPr>
          <w:rFonts w:hint="eastAsia" w:ascii="宋体" w:hAnsi="宋体" w:cs="宋体"/>
          <w:color w:val="auto"/>
          <w:sz w:val="24"/>
          <w:szCs w:val="24"/>
          <w:highlight w:val="none"/>
        </w:rPr>
        <w:t>通知采购人做出课程下架提醒，并</w:t>
      </w:r>
      <w:bookmarkStart w:id="200" w:name="_Hlk205894230"/>
      <w:r>
        <w:rPr>
          <w:rFonts w:hint="eastAsia" w:ascii="宋体" w:hAnsi="宋体" w:cs="宋体"/>
          <w:color w:val="auto"/>
          <w:sz w:val="24"/>
          <w:szCs w:val="24"/>
          <w:highlight w:val="none"/>
        </w:rPr>
        <w:t>按照采购人的要求</w:t>
      </w:r>
      <w:bookmarkEnd w:id="200"/>
      <w:r>
        <w:rPr>
          <w:rFonts w:hint="eastAsia" w:ascii="宋体" w:hAnsi="宋体" w:cs="宋体"/>
          <w:color w:val="auto"/>
          <w:sz w:val="24"/>
          <w:szCs w:val="24"/>
          <w:highlight w:val="none"/>
        </w:rPr>
        <w:t>规定时间对课程内容进行修改，以确保内容合法；如主讲人或内容涉及人员出现违法违纪被查处等情况，</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应及时通过电话、E-mail，以及QQ、微信等即时通讯工具通知采购人做出课程下架提醒，并按照采购人的要求在规定时间内视情进行修改或相应处置，以确保课程适当。</w:t>
      </w:r>
    </w:p>
    <w:p w14:paraId="619C359B">
      <w:pPr>
        <w:snapToGrid w:val="0"/>
        <w:spacing w:line="48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提供完善的培训体系，应结合项目实施要求，通过现场、电话、E-mail，以及QQ、微信等即时通讯工具为采购人相关技术人员提供网络课程使用培训与答疑，保障采购人正常正确使用采购的网络课程。</w:t>
      </w:r>
    </w:p>
    <w:p w14:paraId="49462452">
      <w:pPr>
        <w:snapToGrid w:val="0"/>
        <w:spacing w:line="48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（四）若供应商有更优惠的售后服务，应当在响应文件中说明。</w:t>
      </w:r>
    </w:p>
    <w:bookmarkEnd w:id="198"/>
    <w:p w14:paraId="34526E2D">
      <w:pPr>
        <w:pStyle w:val="3"/>
        <w:spacing w:line="500" w:lineRule="exact"/>
        <w:ind w:firstLine="482" w:firstLineChars="200"/>
        <w:rPr>
          <w:b/>
          <w:color w:val="auto"/>
          <w:kern w:val="0"/>
          <w:sz w:val="24"/>
          <w:szCs w:val="24"/>
          <w:highlight w:val="none"/>
        </w:rPr>
      </w:pPr>
      <w:bookmarkStart w:id="201" w:name="_Toc6423"/>
      <w:bookmarkStart w:id="202" w:name="_Toc159"/>
      <w:bookmarkStart w:id="203" w:name="_Toc97817230"/>
      <w:bookmarkStart w:id="204" w:name="_Toc72311758"/>
      <w:r>
        <w:rPr>
          <w:rFonts w:hint="eastAsia"/>
          <w:b/>
          <w:color w:val="auto"/>
          <w:kern w:val="0"/>
          <w:sz w:val="24"/>
          <w:szCs w:val="24"/>
          <w:highlight w:val="none"/>
        </w:rPr>
        <w:t>※四、付款方式</w:t>
      </w:r>
      <w:bookmarkEnd w:id="201"/>
      <w:bookmarkEnd w:id="202"/>
      <w:bookmarkEnd w:id="203"/>
      <w:bookmarkEnd w:id="204"/>
    </w:p>
    <w:p w14:paraId="40558E86">
      <w:pPr>
        <w:snapToGrid w:val="0"/>
        <w:spacing w:line="480" w:lineRule="exact"/>
        <w:ind w:firstLine="480" w:firstLineChars="200"/>
        <w:rPr>
          <w:rFonts w:ascii="宋体" w:hAnsi="宋体" w:cs="宋体"/>
          <w:color w:val="auto"/>
          <w:kern w:val="0"/>
          <w:sz w:val="24"/>
          <w:szCs w:val="24"/>
          <w:highlight w:val="none"/>
        </w:rPr>
      </w:pPr>
      <w:bookmarkStart w:id="205" w:name="_Hlk206008357"/>
      <w:r>
        <w:rPr>
          <w:rFonts w:hint="eastAsia" w:ascii="宋体" w:hAnsi="宋体" w:cs="宋体"/>
          <w:color w:val="auto"/>
          <w:kern w:val="0"/>
          <w:sz w:val="24"/>
          <w:szCs w:val="24"/>
          <w:highlight w:val="none"/>
        </w:rPr>
        <w:t>（一）</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按采购合同交货并安装调试完成，经验收合格后由采购人出具项目验收报告。</w:t>
      </w:r>
    </w:p>
    <w:p w14:paraId="635FBD01">
      <w:pPr>
        <w:snapToGrid w:val="0"/>
        <w:spacing w:line="48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按采购人的要求，开具正规发票以及提供采购人办理财务事宜所要求的齐备资料，经采购人验收合格后，采购人以转账方式一次性向</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支付合同全款。</w:t>
      </w:r>
    </w:p>
    <w:bookmarkEnd w:id="205"/>
    <w:p w14:paraId="4D91600F">
      <w:pPr>
        <w:pStyle w:val="3"/>
        <w:spacing w:line="500" w:lineRule="exact"/>
        <w:ind w:firstLine="482" w:firstLineChars="200"/>
        <w:rPr>
          <w:b/>
          <w:color w:val="auto"/>
          <w:kern w:val="0"/>
          <w:sz w:val="24"/>
          <w:szCs w:val="24"/>
          <w:highlight w:val="none"/>
        </w:rPr>
      </w:pPr>
      <w:bookmarkStart w:id="206" w:name="_Toc31056"/>
      <w:bookmarkStart w:id="207" w:name="_Toc97817231"/>
      <w:bookmarkStart w:id="208" w:name="_Toc72311759"/>
      <w:bookmarkStart w:id="209" w:name="_Toc32335"/>
      <w:r>
        <w:rPr>
          <w:rFonts w:hint="eastAsia"/>
          <w:b/>
          <w:color w:val="auto"/>
          <w:kern w:val="0"/>
          <w:sz w:val="24"/>
          <w:szCs w:val="24"/>
          <w:highlight w:val="none"/>
        </w:rPr>
        <w:t>※五、履约保证金（缴至重庆工商大学指定账户）</w:t>
      </w:r>
      <w:bookmarkEnd w:id="206"/>
      <w:bookmarkEnd w:id="207"/>
      <w:bookmarkEnd w:id="208"/>
      <w:bookmarkEnd w:id="209"/>
    </w:p>
    <w:p w14:paraId="5B5C76B6">
      <w:pPr>
        <w:snapToGrid w:val="0"/>
        <w:spacing w:line="48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w:t>
      </w:r>
      <w:r>
        <w:rPr>
          <w:rFonts w:hint="eastAsia" w:ascii="宋体" w:hAnsi="宋体" w:cs="宋体"/>
          <w:color w:val="auto"/>
          <w:kern w:val="0"/>
          <w:sz w:val="24"/>
          <w:szCs w:val="24"/>
          <w:highlight w:val="none"/>
          <w:lang w:eastAsia="zh-CN"/>
        </w:rPr>
        <w:t>成交供应商</w:t>
      </w:r>
      <w:r>
        <w:rPr>
          <w:rFonts w:ascii="宋体" w:hAnsi="宋体" w:cs="宋体"/>
          <w:color w:val="auto"/>
          <w:kern w:val="0"/>
          <w:sz w:val="24"/>
          <w:szCs w:val="24"/>
          <w:highlight w:val="none"/>
        </w:rPr>
        <w:t>须在</w:t>
      </w:r>
      <w:r>
        <w:rPr>
          <w:rFonts w:hint="eastAsia" w:ascii="宋体" w:hAnsi="宋体" w:cs="宋体"/>
          <w:color w:val="auto"/>
          <w:kern w:val="0"/>
          <w:sz w:val="24"/>
          <w:szCs w:val="24"/>
          <w:highlight w:val="none"/>
        </w:rPr>
        <w:t>结果公告发布之日起1</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个工作日内</w:t>
      </w:r>
      <w:r>
        <w:rPr>
          <w:rFonts w:ascii="宋体" w:hAnsi="宋体" w:cs="宋体"/>
          <w:color w:val="auto"/>
          <w:kern w:val="0"/>
          <w:sz w:val="24"/>
          <w:szCs w:val="24"/>
          <w:highlight w:val="none"/>
        </w:rPr>
        <w:t>向采购人</w:t>
      </w:r>
      <w:r>
        <w:rPr>
          <w:rFonts w:hint="eastAsia" w:ascii="宋体" w:hAnsi="宋体" w:cs="宋体"/>
          <w:color w:val="auto"/>
          <w:kern w:val="0"/>
          <w:sz w:val="24"/>
          <w:szCs w:val="24"/>
          <w:highlight w:val="none"/>
        </w:rPr>
        <w:t>缴纳</w:t>
      </w:r>
      <w:r>
        <w:rPr>
          <w:rFonts w:ascii="宋体" w:hAnsi="宋体" w:cs="宋体"/>
          <w:color w:val="auto"/>
          <w:kern w:val="0"/>
          <w:sz w:val="24"/>
          <w:szCs w:val="24"/>
          <w:highlight w:val="none"/>
        </w:rPr>
        <w:t>合同总金额5%的履约保证金，确保项目按期、按质进行。</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按照询比文件相关规定缴纳履约保证金，是合同生效的必要前提（合同生效条件包含但不限于履约保证金缴纳的时间、金额及方式等），反之视为放弃成交，合同无效。</w:t>
      </w:r>
    </w:p>
    <w:p w14:paraId="1256140C">
      <w:pPr>
        <w:snapToGrid w:val="0"/>
        <w:spacing w:line="480" w:lineRule="exact"/>
        <w:ind w:firstLine="480" w:firstLineChars="200"/>
        <w:rPr>
          <w:b/>
          <w:color w:val="auto"/>
          <w:sz w:val="24"/>
          <w:szCs w:val="24"/>
          <w:highlight w:val="none"/>
        </w:rPr>
      </w:pPr>
      <w:r>
        <w:rPr>
          <w:rFonts w:hint="eastAsia" w:ascii="宋体" w:hAnsi="宋体" w:cs="宋体"/>
          <w:color w:val="auto"/>
          <w:kern w:val="0"/>
          <w:sz w:val="24"/>
          <w:szCs w:val="24"/>
          <w:highlight w:val="none"/>
        </w:rPr>
        <w:t>（二）</w:t>
      </w:r>
      <w:r>
        <w:rPr>
          <w:rFonts w:ascii="宋体" w:hAnsi="宋体" w:cs="宋体"/>
          <w:color w:val="auto"/>
          <w:kern w:val="0"/>
          <w:sz w:val="24"/>
          <w:szCs w:val="24"/>
          <w:highlight w:val="none"/>
        </w:rPr>
        <w:t>履约保证金缴纳方式：</w:t>
      </w:r>
      <w:r>
        <w:rPr>
          <w:rFonts w:hint="eastAsia" w:ascii="宋体" w:hAnsi="宋体" w:cs="宋体"/>
          <w:color w:val="auto"/>
          <w:kern w:val="0"/>
          <w:sz w:val="24"/>
          <w:szCs w:val="24"/>
          <w:highlight w:val="none"/>
          <w:lang w:eastAsia="zh-CN"/>
        </w:rPr>
        <w:t>成交供应商</w:t>
      </w:r>
      <w:r>
        <w:rPr>
          <w:rFonts w:ascii="宋体" w:hAnsi="宋体" w:cs="宋体"/>
          <w:color w:val="auto"/>
          <w:kern w:val="0"/>
          <w:sz w:val="24"/>
          <w:szCs w:val="24"/>
          <w:highlight w:val="none"/>
        </w:rPr>
        <w:t>以转账、电汇等方式交到重庆工商大学指定的银行基本账户，不得以现金或其他方式划入任何个人账户，否则由此产生的所有损失由供应商自行</w:t>
      </w:r>
      <w:r>
        <w:rPr>
          <w:color w:val="auto"/>
          <w:sz w:val="24"/>
          <w:szCs w:val="24"/>
          <w:highlight w:val="none"/>
        </w:rPr>
        <w:t>承担。</w:t>
      </w:r>
      <w:r>
        <w:rPr>
          <w:rFonts w:hint="eastAsia"/>
          <w:color w:val="auto"/>
          <w:sz w:val="24"/>
          <w:szCs w:val="24"/>
          <w:highlight w:val="none"/>
          <w:lang w:eastAsia="zh-CN"/>
        </w:rPr>
        <w:t>成交供应商</w:t>
      </w:r>
      <w:r>
        <w:rPr>
          <w:color w:val="auto"/>
          <w:sz w:val="24"/>
          <w:szCs w:val="24"/>
          <w:highlight w:val="none"/>
        </w:rPr>
        <w:t>务必在汇款凭证上注明投标项目名称及采购计划编号</w:t>
      </w:r>
      <w:r>
        <w:rPr>
          <w:b/>
          <w:color w:val="auto"/>
          <w:sz w:val="24"/>
          <w:szCs w:val="24"/>
          <w:highlight w:val="none"/>
        </w:rPr>
        <w:t>“</w:t>
      </w:r>
      <w:r>
        <w:rPr>
          <w:rFonts w:hint="eastAsia"/>
          <w:b/>
          <w:color w:val="auto"/>
          <w:sz w:val="24"/>
          <w:szCs w:val="24"/>
          <w:highlight w:val="none"/>
        </w:rPr>
        <w:t>CTBU-JZ2025148</w:t>
      </w:r>
      <w:r>
        <w:rPr>
          <w:b/>
          <w:color w:val="auto"/>
          <w:sz w:val="24"/>
          <w:szCs w:val="24"/>
          <w:highlight w:val="none"/>
        </w:rPr>
        <w:t>”。</w:t>
      </w:r>
    </w:p>
    <w:p w14:paraId="59B034D1">
      <w:pPr>
        <w:snapToGrid w:val="0"/>
        <w:spacing w:line="480" w:lineRule="exact"/>
        <w:ind w:firstLine="480" w:firstLineChars="200"/>
        <w:rPr>
          <w:color w:val="auto"/>
          <w:sz w:val="24"/>
          <w:szCs w:val="24"/>
          <w:highlight w:val="none"/>
        </w:rPr>
      </w:pPr>
      <w:r>
        <w:rPr>
          <w:rFonts w:hint="eastAsia"/>
          <w:color w:val="auto"/>
          <w:sz w:val="24"/>
          <w:szCs w:val="24"/>
          <w:highlight w:val="none"/>
        </w:rPr>
        <w:t>（三）</w:t>
      </w:r>
      <w:r>
        <w:rPr>
          <w:color w:val="auto"/>
          <w:sz w:val="24"/>
          <w:szCs w:val="24"/>
          <w:highlight w:val="none"/>
        </w:rPr>
        <w:t>履约保证金</w:t>
      </w:r>
      <w:r>
        <w:rPr>
          <w:rFonts w:ascii="宋体" w:hAnsi="宋体" w:cs="宋体"/>
          <w:color w:val="auto"/>
          <w:kern w:val="0"/>
          <w:sz w:val="24"/>
          <w:szCs w:val="24"/>
          <w:highlight w:val="none"/>
        </w:rPr>
        <w:t>指定</w:t>
      </w:r>
      <w:r>
        <w:rPr>
          <w:color w:val="auto"/>
          <w:sz w:val="24"/>
          <w:szCs w:val="24"/>
          <w:highlight w:val="none"/>
        </w:rPr>
        <w:t>收取账户</w:t>
      </w:r>
    </w:p>
    <w:p w14:paraId="457778D8">
      <w:pPr>
        <w:snapToGrid w:val="0"/>
        <w:spacing w:line="480" w:lineRule="exact"/>
        <w:ind w:firstLine="480" w:firstLineChars="200"/>
        <w:rPr>
          <w:color w:val="auto"/>
          <w:sz w:val="24"/>
          <w:szCs w:val="24"/>
          <w:highlight w:val="none"/>
        </w:rPr>
      </w:pPr>
      <w:r>
        <w:rPr>
          <w:color w:val="auto"/>
          <w:sz w:val="24"/>
          <w:szCs w:val="24"/>
          <w:highlight w:val="none"/>
        </w:rPr>
        <w:t>户名：</w:t>
      </w:r>
      <w:r>
        <w:rPr>
          <w:rFonts w:ascii="宋体" w:hAnsi="宋体" w:cs="宋体"/>
          <w:color w:val="auto"/>
          <w:kern w:val="0"/>
          <w:sz w:val="24"/>
          <w:szCs w:val="24"/>
          <w:highlight w:val="none"/>
        </w:rPr>
        <w:t>重庆工商大学</w:t>
      </w:r>
    </w:p>
    <w:p w14:paraId="435DD1CF">
      <w:pPr>
        <w:snapToGrid w:val="0"/>
        <w:spacing w:line="480" w:lineRule="exact"/>
        <w:ind w:firstLine="480" w:firstLineChars="200"/>
        <w:rPr>
          <w:color w:val="auto"/>
          <w:sz w:val="24"/>
          <w:szCs w:val="24"/>
          <w:highlight w:val="none"/>
        </w:rPr>
      </w:pPr>
      <w:r>
        <w:rPr>
          <w:color w:val="auto"/>
          <w:sz w:val="24"/>
          <w:szCs w:val="24"/>
          <w:highlight w:val="none"/>
        </w:rPr>
        <w:t>开户行：工行</w:t>
      </w:r>
      <w:r>
        <w:rPr>
          <w:rFonts w:ascii="宋体" w:hAnsi="宋体" w:cs="宋体"/>
          <w:color w:val="auto"/>
          <w:kern w:val="0"/>
          <w:sz w:val="24"/>
          <w:szCs w:val="24"/>
          <w:highlight w:val="none"/>
        </w:rPr>
        <w:t>重庆南岸学府支行</w:t>
      </w:r>
    </w:p>
    <w:p w14:paraId="31C577A0">
      <w:pPr>
        <w:snapToGrid w:val="0"/>
        <w:spacing w:line="480" w:lineRule="exact"/>
        <w:ind w:firstLine="480" w:firstLineChars="200"/>
        <w:rPr>
          <w:color w:val="auto"/>
          <w:sz w:val="24"/>
          <w:szCs w:val="24"/>
          <w:highlight w:val="none"/>
        </w:rPr>
      </w:pPr>
      <w:r>
        <w:rPr>
          <w:color w:val="auto"/>
          <w:sz w:val="24"/>
          <w:szCs w:val="24"/>
          <w:highlight w:val="none"/>
        </w:rPr>
        <w:t>账号：9558 8531 0075 3300 031</w:t>
      </w:r>
    </w:p>
    <w:p w14:paraId="485BEB7F">
      <w:pPr>
        <w:snapToGrid w:val="0"/>
        <w:spacing w:line="480" w:lineRule="exact"/>
        <w:ind w:firstLine="480" w:firstLineChars="200"/>
        <w:rPr>
          <w:color w:val="auto"/>
          <w:sz w:val="24"/>
          <w:szCs w:val="24"/>
          <w:highlight w:val="none"/>
        </w:rPr>
      </w:pPr>
      <w:r>
        <w:rPr>
          <w:color w:val="auto"/>
          <w:sz w:val="24"/>
          <w:szCs w:val="24"/>
          <w:highlight w:val="none"/>
        </w:rPr>
        <w:t>统一社会信用代码</w:t>
      </w:r>
      <w:r>
        <w:rPr>
          <w:rFonts w:hint="eastAsia"/>
          <w:color w:val="auto"/>
          <w:sz w:val="24"/>
          <w:szCs w:val="24"/>
          <w:highlight w:val="none"/>
        </w:rPr>
        <w:t>：</w:t>
      </w:r>
      <w:r>
        <w:rPr>
          <w:rFonts w:ascii="宋体" w:hAnsi="宋体" w:cs="宋体"/>
          <w:color w:val="auto"/>
          <w:kern w:val="0"/>
          <w:sz w:val="24"/>
          <w:szCs w:val="24"/>
          <w:highlight w:val="none"/>
        </w:rPr>
        <w:t>125000007428748822</w:t>
      </w:r>
    </w:p>
    <w:p w14:paraId="205E1390">
      <w:pPr>
        <w:snapToGrid w:val="0"/>
        <w:spacing w:line="480" w:lineRule="exact"/>
        <w:ind w:firstLine="480" w:firstLineChars="200"/>
        <w:rPr>
          <w:color w:val="auto"/>
          <w:sz w:val="24"/>
          <w:szCs w:val="24"/>
          <w:highlight w:val="none"/>
        </w:rPr>
      </w:pPr>
      <w:r>
        <w:rPr>
          <w:rFonts w:hint="eastAsia"/>
          <w:color w:val="auto"/>
          <w:sz w:val="24"/>
          <w:szCs w:val="24"/>
          <w:highlight w:val="none"/>
        </w:rPr>
        <w:t>（四）</w:t>
      </w:r>
      <w:r>
        <w:rPr>
          <w:color w:val="auto"/>
          <w:sz w:val="24"/>
          <w:szCs w:val="24"/>
          <w:highlight w:val="none"/>
        </w:rPr>
        <w:t>履约保证金退还方式</w:t>
      </w:r>
    </w:p>
    <w:p w14:paraId="4A7DBA9D">
      <w:pPr>
        <w:snapToGrid w:val="0"/>
        <w:spacing w:line="480" w:lineRule="exact"/>
        <w:ind w:firstLine="480" w:firstLineChars="200"/>
        <w:rPr>
          <w:color w:val="auto"/>
          <w:sz w:val="24"/>
          <w:szCs w:val="24"/>
          <w:highlight w:val="none"/>
        </w:rPr>
      </w:pPr>
      <w:r>
        <w:rPr>
          <w:color w:val="auto"/>
          <w:sz w:val="24"/>
          <w:szCs w:val="24"/>
          <w:highlight w:val="none"/>
        </w:rPr>
        <w:t>1、在验收合格后且无遗留</w:t>
      </w:r>
      <w:r>
        <w:rPr>
          <w:rFonts w:ascii="宋体" w:hAnsi="宋体" w:cs="宋体"/>
          <w:color w:val="auto"/>
          <w:kern w:val="0"/>
          <w:sz w:val="24"/>
          <w:szCs w:val="24"/>
          <w:highlight w:val="none"/>
        </w:rPr>
        <w:t>问题</w:t>
      </w:r>
      <w:r>
        <w:rPr>
          <w:color w:val="auto"/>
          <w:sz w:val="24"/>
          <w:szCs w:val="24"/>
          <w:highlight w:val="none"/>
        </w:rPr>
        <w:t>的前提下，</w:t>
      </w:r>
      <w:r>
        <w:rPr>
          <w:rFonts w:hint="eastAsia"/>
          <w:color w:val="auto"/>
          <w:sz w:val="24"/>
          <w:szCs w:val="24"/>
          <w:highlight w:val="none"/>
        </w:rPr>
        <w:t>服务期</w:t>
      </w:r>
      <w:r>
        <w:rPr>
          <w:color w:val="auto"/>
          <w:sz w:val="24"/>
          <w:szCs w:val="24"/>
          <w:highlight w:val="none"/>
        </w:rPr>
        <w:t>满且无遗留问题的前提下退还</w:t>
      </w:r>
      <w:r>
        <w:rPr>
          <w:rFonts w:hint="eastAsia"/>
          <w:color w:val="auto"/>
          <w:sz w:val="24"/>
          <w:szCs w:val="24"/>
          <w:highlight w:val="none"/>
        </w:rPr>
        <w:t>全额</w:t>
      </w:r>
      <w:r>
        <w:rPr>
          <w:color w:val="auto"/>
          <w:sz w:val="24"/>
          <w:szCs w:val="24"/>
          <w:highlight w:val="none"/>
        </w:rPr>
        <w:t>履约保证金（不计利息）。</w:t>
      </w:r>
    </w:p>
    <w:p w14:paraId="1C2193E3">
      <w:pPr>
        <w:snapToGrid w:val="0"/>
        <w:spacing w:line="480" w:lineRule="exact"/>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lang w:eastAsia="zh-CN"/>
        </w:rPr>
        <w:t>成交供应商</w:t>
      </w:r>
      <w:r>
        <w:rPr>
          <w:color w:val="auto"/>
          <w:sz w:val="24"/>
          <w:szCs w:val="24"/>
          <w:highlight w:val="none"/>
        </w:rPr>
        <w:t>申请退履约保证金时提供使用部门、资产管理处签署的《</w:t>
      </w:r>
      <w:r>
        <w:rPr>
          <w:rFonts w:hint="eastAsia"/>
          <w:color w:val="auto"/>
          <w:sz w:val="24"/>
          <w:szCs w:val="24"/>
          <w:highlight w:val="none"/>
        </w:rPr>
        <w:t>重庆工商大学货物及服务项目质量评估报告及履约保证金退还审核流程表</w:t>
      </w:r>
      <w:r>
        <w:rPr>
          <w:color w:val="auto"/>
          <w:sz w:val="24"/>
          <w:szCs w:val="24"/>
          <w:highlight w:val="none"/>
        </w:rPr>
        <w:t>》，下载网址：https://zbcg.ctbu.edu.cn/zlxz.htm。</w:t>
      </w:r>
      <w:bookmarkEnd w:id="172"/>
    </w:p>
    <w:p w14:paraId="2B0D5C42">
      <w:pPr>
        <w:pStyle w:val="3"/>
        <w:spacing w:line="500" w:lineRule="exact"/>
        <w:ind w:firstLine="482" w:firstLineChars="200"/>
        <w:rPr>
          <w:rFonts w:ascii="Times New Roman" w:hAnsi="Times New Roman"/>
          <w:b/>
          <w:color w:val="auto"/>
          <w:sz w:val="24"/>
          <w:highlight w:val="none"/>
        </w:rPr>
      </w:pPr>
      <w:bookmarkStart w:id="210" w:name="_Toc22593"/>
      <w:bookmarkStart w:id="211" w:name="_Toc267320052"/>
      <w:bookmarkStart w:id="212" w:name="_Toc22333"/>
      <w:bookmarkStart w:id="213" w:name="_Toc97817232"/>
      <w:r>
        <w:rPr>
          <w:rFonts w:hint="eastAsia"/>
          <w:b/>
          <w:color w:val="auto"/>
          <w:kern w:val="0"/>
          <w:sz w:val="24"/>
          <w:szCs w:val="24"/>
          <w:highlight w:val="none"/>
        </w:rPr>
        <w:t>※</w:t>
      </w:r>
      <w:r>
        <w:rPr>
          <w:rFonts w:ascii="Times New Roman" w:hAnsi="Times New Roman"/>
          <w:b/>
          <w:color w:val="auto"/>
          <w:sz w:val="24"/>
          <w:highlight w:val="none"/>
        </w:rPr>
        <w:t>六、</w:t>
      </w:r>
      <w:r>
        <w:rPr>
          <w:b/>
          <w:color w:val="auto"/>
          <w:kern w:val="0"/>
          <w:sz w:val="24"/>
          <w:szCs w:val="24"/>
          <w:highlight w:val="none"/>
        </w:rPr>
        <w:t>知识产权</w:t>
      </w:r>
      <w:bookmarkEnd w:id="210"/>
      <w:bookmarkEnd w:id="211"/>
      <w:bookmarkEnd w:id="212"/>
      <w:bookmarkEnd w:id="213"/>
    </w:p>
    <w:p w14:paraId="7ED72681">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（一）采购人在</w:t>
      </w:r>
      <w:r>
        <w:rPr>
          <w:rFonts w:hint="eastAsia" w:ascii="宋体" w:hAnsi="宋体" w:cs="宋体"/>
          <w:color w:val="auto"/>
          <w:kern w:val="0"/>
          <w:sz w:val="24"/>
          <w:szCs w:val="24"/>
          <w:highlight w:val="none"/>
        </w:rPr>
        <w:t>中华人民共和国</w:t>
      </w:r>
      <w:r>
        <w:rPr>
          <w:rFonts w:hint="eastAsia" w:ascii="宋体" w:hAnsi="宋体" w:cs="宋体"/>
          <w:color w:val="auto"/>
          <w:sz w:val="24"/>
          <w:szCs w:val="24"/>
          <w:highlight w:val="none"/>
        </w:rPr>
        <w:t>境内使用</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提供的货物及服务时免受第三方提出的侵犯其专利权或其它知识产权的起诉。如果第三方提出侵权指控，</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应承担由此而引起的一切法律责任和费用。</w:t>
      </w:r>
    </w:p>
    <w:p w14:paraId="7C641A13">
      <w:pPr>
        <w:pStyle w:val="3"/>
        <w:spacing w:line="500" w:lineRule="exact"/>
        <w:ind w:firstLine="482" w:firstLineChars="200"/>
        <w:rPr>
          <w:b/>
          <w:color w:val="auto"/>
          <w:sz w:val="24"/>
          <w:szCs w:val="22"/>
          <w:highlight w:val="none"/>
        </w:rPr>
      </w:pPr>
      <w:bookmarkStart w:id="214" w:name="_Toc533840966"/>
      <w:bookmarkStart w:id="215" w:name="_Toc30766"/>
      <w:bookmarkStart w:id="216" w:name="_Toc27146"/>
      <w:bookmarkStart w:id="217" w:name="_Toc26528"/>
      <w:bookmarkStart w:id="218" w:name="_Toc21581"/>
      <w:bookmarkStart w:id="219" w:name="_Toc18675"/>
      <w:bookmarkStart w:id="220" w:name="_Toc17094"/>
      <w:bookmarkStart w:id="221" w:name="_Toc14571"/>
      <w:r>
        <w:rPr>
          <w:rFonts w:hint="eastAsia"/>
          <w:b/>
          <w:color w:val="auto"/>
          <w:kern w:val="0"/>
          <w:sz w:val="24"/>
          <w:szCs w:val="24"/>
          <w:highlight w:val="none"/>
        </w:rPr>
        <w:t>※</w:t>
      </w:r>
      <w:r>
        <w:rPr>
          <w:rFonts w:hint="eastAsia"/>
          <w:b/>
          <w:color w:val="auto"/>
          <w:sz w:val="24"/>
          <w:szCs w:val="22"/>
          <w:highlight w:val="none"/>
        </w:rPr>
        <w:t>七、培训</w:t>
      </w:r>
      <w:bookmarkEnd w:id="214"/>
      <w:r>
        <w:rPr>
          <w:rFonts w:hint="eastAsia"/>
          <w:b/>
          <w:color w:val="auto"/>
          <w:sz w:val="24"/>
          <w:szCs w:val="22"/>
          <w:highlight w:val="none"/>
        </w:rPr>
        <w:t>及二次开发</w:t>
      </w:r>
      <w:bookmarkEnd w:id="215"/>
      <w:bookmarkEnd w:id="216"/>
      <w:bookmarkEnd w:id="217"/>
      <w:bookmarkEnd w:id="218"/>
      <w:bookmarkEnd w:id="219"/>
      <w:bookmarkEnd w:id="220"/>
      <w:bookmarkEnd w:id="221"/>
    </w:p>
    <w:p w14:paraId="01F2A57C">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对其提供产品的使用和操作应尽培训义务。供应商应提供对采购人的免费培训（提供培训纸质和电子文档），使采购人使用人员能够正常操作。</w:t>
      </w:r>
    </w:p>
    <w:p w14:paraId="038C94A7">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（二）网络课程使用产生的数据归采购人所有。</w:t>
      </w:r>
    </w:p>
    <w:p w14:paraId="6CB78658">
      <w:pPr>
        <w:pStyle w:val="3"/>
        <w:spacing w:line="500" w:lineRule="exact"/>
        <w:ind w:firstLine="482" w:firstLineChars="200"/>
        <w:rPr>
          <w:b/>
          <w:color w:val="auto"/>
          <w:sz w:val="24"/>
          <w:szCs w:val="22"/>
          <w:highlight w:val="none"/>
        </w:rPr>
      </w:pPr>
      <w:bookmarkStart w:id="222" w:name="_Toc267320053"/>
      <w:bookmarkStart w:id="223" w:name="_Toc524622133"/>
      <w:bookmarkStart w:id="224" w:name="_Toc26416"/>
      <w:bookmarkStart w:id="225" w:name="_Toc3699"/>
      <w:bookmarkStart w:id="226" w:name="_Toc97817233"/>
      <w:r>
        <w:rPr>
          <w:rFonts w:hint="eastAsia"/>
          <w:b/>
          <w:color w:val="auto"/>
          <w:kern w:val="0"/>
          <w:sz w:val="24"/>
          <w:szCs w:val="24"/>
          <w:highlight w:val="none"/>
        </w:rPr>
        <w:t>※</w:t>
      </w:r>
      <w:r>
        <w:rPr>
          <w:rFonts w:hint="eastAsia"/>
          <w:b/>
          <w:color w:val="auto"/>
          <w:sz w:val="24"/>
          <w:szCs w:val="22"/>
          <w:highlight w:val="none"/>
        </w:rPr>
        <w:t>八、</w:t>
      </w:r>
      <w:bookmarkEnd w:id="222"/>
      <w:bookmarkEnd w:id="223"/>
      <w:r>
        <w:rPr>
          <w:rFonts w:hint="eastAsia"/>
          <w:b/>
          <w:color w:val="auto"/>
          <w:sz w:val="24"/>
          <w:szCs w:val="22"/>
          <w:highlight w:val="none"/>
        </w:rPr>
        <w:t>违约</w:t>
      </w:r>
      <w:r>
        <w:rPr>
          <w:rFonts w:hint="eastAsia"/>
          <w:b/>
          <w:color w:val="auto"/>
          <w:kern w:val="0"/>
          <w:sz w:val="24"/>
          <w:szCs w:val="24"/>
          <w:highlight w:val="none"/>
        </w:rPr>
        <w:t>责任</w:t>
      </w:r>
      <w:bookmarkEnd w:id="224"/>
      <w:bookmarkEnd w:id="225"/>
      <w:bookmarkEnd w:id="226"/>
    </w:p>
    <w:p w14:paraId="21727A3B">
      <w:pPr>
        <w:snapToGrid w:val="0"/>
        <w:spacing w:line="400" w:lineRule="exact"/>
        <w:ind w:firstLine="480" w:firstLineChars="200"/>
        <w:rPr>
          <w:rFonts w:ascii="宋体" w:hAnsi="宋体" w:cs="宋体"/>
          <w:color w:val="auto"/>
          <w:kern w:val="0"/>
          <w:sz w:val="24"/>
          <w:szCs w:val="24"/>
          <w:highlight w:val="none"/>
        </w:rPr>
      </w:pPr>
      <w:bookmarkStart w:id="227" w:name="_Toc267320054"/>
      <w:bookmarkStart w:id="228" w:name="_Toc505608536"/>
      <w:bookmarkStart w:id="229" w:name="_Toc97817234"/>
      <w:bookmarkStart w:id="230" w:name="_Toc12627"/>
      <w:r>
        <w:rPr>
          <w:rFonts w:hint="eastAsia" w:ascii="宋体" w:hAnsi="宋体" w:cs="宋体"/>
          <w:color w:val="auto"/>
          <w:kern w:val="0"/>
          <w:sz w:val="24"/>
          <w:szCs w:val="24"/>
          <w:highlight w:val="none"/>
        </w:rPr>
        <w:t>1.采购人可通过现场考察、函询等多种方式对</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的响应文件响应情况予以核查，</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须无条件配合并提供有关证明材料，证明其响应内容的真实有效性。合同签订前，采购人若发现</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进行虚假响应或提供虚假材料的，有权取消</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的中标资格，全额没收投标保证金（如有）；合同签订后，采购人若查实</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进行虚假响应或提供虚假材料的，采购人有权单方面终止合同，全额没收履约保证金，采购人不承担任何责任。</w:t>
      </w:r>
    </w:p>
    <w:p w14:paraId="082F02B5">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2.若</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发生部分违约现象，采购人从履约保证金中扣除相应金额的违约金，</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应在5个工作日内补足履约保证金；若发现严重违约现象，采购人有充分理由没收其全额保证金并有权单方面解除合同，采购人不承担任何责任。</w:t>
      </w:r>
    </w:p>
    <w:p w14:paraId="6DCFCC12">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2.1非不可抗力情况下，因</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自身原因终止履行合同的，履约保证金全额不予退还；</w:t>
      </w:r>
    </w:p>
    <w:p w14:paraId="6B102DE4">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2.2若</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未能按合同和采购文件要求供货或提供服务的（包含但不限于</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提供的产品与合同、响应文件的品牌规格型号不一致等情形），履约保证金全额不予退还。其中，在质保期内采购人发现系统运行状态不符合合同质量要求的，若</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未及时整改到位，履约保证金全额不予退还；</w:t>
      </w:r>
    </w:p>
    <w:p w14:paraId="3D7B7B2B">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2.3非不可抗力情况下，因</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自身原因，超过合同交货期限仍未送货安装调试达到验收要求的，超期1天，采购人扣除</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履约保证金的3%作为违约惩罚，以此类推；</w:t>
      </w:r>
    </w:p>
    <w:p w14:paraId="56A4C163">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2.4因不可抗力，或采购人自身原因，致使交货期限延后的，</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不承担相应违约责任。但</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须提供采购人需求部门出具的同意延迟交货以及确定延迟交货期的书面情况说明，采购人需求部门负责人签字并加盖部门公章。</w:t>
      </w:r>
    </w:p>
    <w:p w14:paraId="5505FDE3">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2.5</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所供产品须为中国大陆关境内生产，若存在进口产品，采购人将拒绝验收，并有权解除合同，履约保证金全额不予退还，采购人不承担任何责任。</w:t>
      </w:r>
    </w:p>
    <w:p w14:paraId="1C401E59">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2.6</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未按合同要求完成送货、安装调试、提供服务，或未达到最终验收要求的，或未在规定时间内进行整改的，或整改后仍然无法达到招标文件或合同要求的，履约保证金全额不予退还，采购人有权单方面解除合同，采购人不承担任何责任。</w:t>
      </w:r>
    </w:p>
    <w:p w14:paraId="5B098684">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2.7</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在合同履约过程中有违约行为导致出现安全责任事故并造成严重影响的，或出现重大负面舆情给采购人声誉造成严重负面影响的，或严重影响采购人正常教学、生活秩序的，履约保证金全额不予退还，采购人有权单方面解除合同，采购人不承担任何责任。</w:t>
      </w:r>
    </w:p>
    <w:p w14:paraId="08873D27">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2.8</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对本项目进行分包、转包的（按照“落实政府采购政策需满足的资格要求”进行合同分包除外），履约保证金全额不予退还，采购人有权单方面解除合同，采购人不承担任何责任。</w:t>
      </w:r>
    </w:p>
    <w:p w14:paraId="7F06E6AF">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3.若</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在响应过程中有虚假响应或合同履约过程中有违约行为的，或正式验收或使用过程中，若经采购人或第三方检测机构验证不合格，除须承担相应的经济赔偿责任之外，采购人有权终止合同，采购人不承担任何责任，并报送至重庆市财政局，将其列入政府采购黑名单。</w:t>
      </w:r>
    </w:p>
    <w:p w14:paraId="5E4A7E8F">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4.供应商有下列情形之一的，列入采购人采招供应商黑名单，采购人视情况禁止供应商及关联关系方（指单位负责人为同一人或存在直接控股、关联关系的不同供应商）6个月至3年内参加采购人采招项目投标。</w:t>
      </w:r>
    </w:p>
    <w:p w14:paraId="3B12B57A">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4.1</w:t>
      </w:r>
      <w:r>
        <w:rPr>
          <w:rFonts w:hint="eastAsia" w:ascii="宋体" w:hAnsi="宋体" w:cs="宋体"/>
          <w:color w:val="auto"/>
          <w:kern w:val="0"/>
          <w:sz w:val="24"/>
          <w:szCs w:val="24"/>
          <w:highlight w:val="none"/>
          <w:lang w:eastAsia="zh-CN"/>
        </w:rPr>
        <w:t>竞标人</w:t>
      </w:r>
      <w:r>
        <w:rPr>
          <w:rFonts w:hint="eastAsia" w:ascii="宋体" w:hAnsi="宋体" w:cs="宋体"/>
          <w:color w:val="auto"/>
          <w:kern w:val="0"/>
          <w:sz w:val="24"/>
          <w:szCs w:val="24"/>
          <w:highlight w:val="none"/>
        </w:rPr>
        <w:t>在投标过程中有虚假投标、围标、串标行为的。</w:t>
      </w:r>
    </w:p>
    <w:p w14:paraId="347D1C61">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4.2不按规定提交履约保证金。</w:t>
      </w:r>
    </w:p>
    <w:p w14:paraId="31DDE8D7">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4.3非不可抗力原因，</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无故放弃项目中标资格的、或不与采购人签订合同的、或合同签订后拒绝履行合同义务的。</w:t>
      </w:r>
    </w:p>
    <w:p w14:paraId="64AF7327">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4.4</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在合同履约过程中有违约行为，整改后再次违约的。</w:t>
      </w:r>
    </w:p>
    <w:p w14:paraId="5E52886B">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4.5</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因自身原因未按合同约定完成送货、安装调试达到验收要求，给采购人造成负面影响的。</w:t>
      </w:r>
    </w:p>
    <w:p w14:paraId="2947099A">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4.6其他违反采购与招投标法律法规和采购人规章制度的。</w:t>
      </w:r>
    </w:p>
    <w:p w14:paraId="4DC71AC9">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5.其他未尽事宜按《中华人民共和国民法典》《政府采购法》执行。</w:t>
      </w:r>
    </w:p>
    <w:p w14:paraId="79E4DB47">
      <w:pPr>
        <w:pStyle w:val="3"/>
        <w:spacing w:line="500" w:lineRule="exact"/>
        <w:ind w:firstLine="482" w:firstLineChars="200"/>
        <w:rPr>
          <w:b/>
          <w:color w:val="auto"/>
          <w:sz w:val="24"/>
          <w:szCs w:val="22"/>
          <w:highlight w:val="none"/>
        </w:rPr>
      </w:pPr>
      <w:bookmarkStart w:id="231" w:name="_Toc20837"/>
      <w:r>
        <w:rPr>
          <w:rFonts w:hint="eastAsia"/>
          <w:b/>
          <w:color w:val="auto"/>
          <w:kern w:val="0"/>
          <w:sz w:val="24"/>
          <w:szCs w:val="24"/>
          <w:highlight w:val="none"/>
        </w:rPr>
        <w:t>※</w:t>
      </w:r>
      <w:r>
        <w:rPr>
          <w:rFonts w:hint="eastAsia"/>
          <w:b/>
          <w:color w:val="auto"/>
          <w:sz w:val="24"/>
          <w:szCs w:val="22"/>
          <w:highlight w:val="none"/>
        </w:rPr>
        <w:t>九、</w:t>
      </w:r>
      <w:bookmarkEnd w:id="227"/>
      <w:r>
        <w:rPr>
          <w:rFonts w:hint="eastAsia"/>
          <w:b/>
          <w:color w:val="auto"/>
          <w:sz w:val="24"/>
          <w:szCs w:val="22"/>
          <w:highlight w:val="none"/>
        </w:rPr>
        <w:t>其他商务要求内容</w:t>
      </w:r>
      <w:bookmarkEnd w:id="228"/>
      <w:bookmarkEnd w:id="229"/>
      <w:bookmarkEnd w:id="230"/>
      <w:bookmarkEnd w:id="231"/>
    </w:p>
    <w:p w14:paraId="11049EF2">
      <w:pPr>
        <w:snapToGrid w:val="0"/>
        <w:spacing w:line="360" w:lineRule="auto"/>
        <w:ind w:left="140" w:leftChars="50" w:firstLine="360" w:firstLineChars="150"/>
        <w:rPr>
          <w:color w:val="auto"/>
          <w:sz w:val="24"/>
          <w:highlight w:val="none"/>
        </w:rPr>
      </w:pPr>
      <w:r>
        <w:rPr>
          <w:color w:val="auto"/>
          <w:sz w:val="24"/>
          <w:highlight w:val="none"/>
        </w:rPr>
        <w:t>（一）供应商必须在响应文件中对以上条款和服务承诺明确列出，承诺内容必须达到本篇及招标文件其他条款的要求。</w:t>
      </w:r>
    </w:p>
    <w:p w14:paraId="093CD73D">
      <w:pPr>
        <w:snapToGrid w:val="0"/>
        <w:spacing w:line="360" w:lineRule="auto"/>
        <w:ind w:left="140" w:leftChars="50" w:firstLine="360" w:firstLineChars="150"/>
        <w:rPr>
          <w:b/>
          <w:color w:val="auto"/>
          <w:highlight w:val="none"/>
        </w:rPr>
      </w:pPr>
      <w:r>
        <w:rPr>
          <w:color w:val="auto"/>
          <w:sz w:val="24"/>
          <w:highlight w:val="none"/>
        </w:rPr>
        <w:t>（二）其他未尽事宜由供需双方在采购合同中详细约定</w:t>
      </w:r>
      <w:r>
        <w:rPr>
          <w:rFonts w:hint="eastAsia"/>
          <w:color w:val="auto"/>
          <w:sz w:val="24"/>
          <w:highlight w:val="none"/>
        </w:rPr>
        <w:t>。</w:t>
      </w:r>
      <w:r>
        <w:rPr>
          <w:rFonts w:hint="eastAsia"/>
          <w:b/>
          <w:color w:val="auto"/>
          <w:highlight w:val="none"/>
        </w:rPr>
        <w:br w:type="page"/>
      </w:r>
    </w:p>
    <w:p w14:paraId="5E3B87F5">
      <w:pPr>
        <w:pStyle w:val="2"/>
        <w:spacing w:before="120" w:beforeLines="50" w:after="120" w:line="440" w:lineRule="exact"/>
        <w:ind w:firstLine="883"/>
        <w:rPr>
          <w:rFonts w:eastAsia="宋体"/>
          <w:b/>
          <w:bCs/>
          <w:color w:val="auto"/>
          <w:highlight w:val="none"/>
        </w:rPr>
      </w:pPr>
      <w:bookmarkStart w:id="232" w:name="_Toc9963"/>
      <w:r>
        <w:rPr>
          <w:rFonts w:hint="eastAsia" w:eastAsia="宋体"/>
          <w:b/>
          <w:color w:val="auto"/>
          <w:highlight w:val="none"/>
        </w:rPr>
        <w:t>第四篇</w:t>
      </w:r>
      <w:r>
        <w:rPr>
          <w:rFonts w:eastAsia="宋体"/>
          <w:b/>
          <w:color w:val="auto"/>
          <w:highlight w:val="none"/>
        </w:rPr>
        <w:t xml:space="preserve">  </w:t>
      </w:r>
      <w:r>
        <w:rPr>
          <w:rFonts w:hint="eastAsia" w:eastAsia="宋体"/>
          <w:b/>
          <w:color w:val="auto"/>
          <w:highlight w:val="none"/>
        </w:rPr>
        <w:t>资格审查及</w:t>
      </w:r>
      <w:bookmarkEnd w:id="173"/>
      <w:bookmarkEnd w:id="174"/>
      <w:r>
        <w:rPr>
          <w:rFonts w:hint="eastAsia" w:eastAsia="宋体"/>
          <w:b/>
          <w:color w:val="auto"/>
          <w:highlight w:val="none"/>
        </w:rPr>
        <w:t>评审办法</w:t>
      </w:r>
      <w:bookmarkEnd w:id="232"/>
    </w:p>
    <w:p w14:paraId="5E0AA67D">
      <w:pPr>
        <w:pStyle w:val="3"/>
        <w:jc w:val="left"/>
        <w:rPr>
          <w:rFonts w:cs="宋体"/>
          <w:b/>
          <w:color w:val="auto"/>
          <w:sz w:val="24"/>
          <w:highlight w:val="none"/>
        </w:rPr>
      </w:pPr>
      <w:bookmarkStart w:id="233" w:name="_Toc21651"/>
      <w:bookmarkStart w:id="234" w:name="_Toc76387243"/>
      <w:bookmarkStart w:id="235" w:name="_Toc20566"/>
      <w:bookmarkStart w:id="236" w:name="_Toc171960086"/>
      <w:r>
        <w:rPr>
          <w:rFonts w:hint="eastAsia" w:cs="宋体"/>
          <w:b/>
          <w:color w:val="auto"/>
          <w:sz w:val="24"/>
          <w:highlight w:val="none"/>
        </w:rPr>
        <w:t>一、</w:t>
      </w:r>
      <w:bookmarkEnd w:id="233"/>
      <w:bookmarkEnd w:id="234"/>
      <w:r>
        <w:rPr>
          <w:rFonts w:hint="eastAsia" w:cs="宋体"/>
          <w:b/>
          <w:color w:val="auto"/>
          <w:sz w:val="24"/>
          <w:highlight w:val="none"/>
        </w:rPr>
        <w:t>资格审查及符合性审查</w:t>
      </w:r>
      <w:bookmarkEnd w:id="235"/>
      <w:bookmarkEnd w:id="236"/>
    </w:p>
    <w:p w14:paraId="1E49EA1B">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若未通过资格审查及符合性审查的响应文件，不进入评审环节。</w:t>
      </w:r>
    </w:p>
    <w:p w14:paraId="1F6B02F5">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（一）资格审查</w:t>
      </w:r>
    </w:p>
    <w:p w14:paraId="3B2DF675">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依据政府采购相关法律法规规定，由询比小组对响应文件中的资格证明文件进行审查。资格审查资料表如下：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5528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BC3B1FF">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50A48836">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4EF46745">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519B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817" w:type="dxa"/>
            <w:vMerge w:val="restart"/>
            <w:vAlign w:val="center"/>
          </w:tcPr>
          <w:p w14:paraId="0B90BC59">
            <w:pPr>
              <w:jc w:val="center"/>
              <w:rPr>
                <w:rFonts w:ascii="宋体" w:hAnsi="宋体" w:cs="宋体"/>
                <w:color w:val="auto"/>
                <w:sz w:val="21"/>
                <w:szCs w:val="21"/>
                <w:highlight w:val="none"/>
              </w:rPr>
            </w:pPr>
            <w:r>
              <w:rPr>
                <w:rFonts w:hint="eastAsia" w:ascii="宋体" w:hAnsi="宋体" w:cs="宋体"/>
                <w:color w:val="auto"/>
                <w:sz w:val="21"/>
                <w:szCs w:val="21"/>
                <w:highlight w:val="none"/>
              </w:rPr>
              <w:t>（一）</w:t>
            </w:r>
          </w:p>
        </w:tc>
        <w:tc>
          <w:tcPr>
            <w:tcW w:w="709" w:type="dxa"/>
            <w:vMerge w:val="restart"/>
            <w:vAlign w:val="center"/>
          </w:tcPr>
          <w:p w14:paraId="57B08517">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3118" w:type="dxa"/>
            <w:vAlign w:val="center"/>
          </w:tcPr>
          <w:p w14:paraId="616CE073">
            <w:pPr>
              <w:rPr>
                <w:rFonts w:ascii="宋体" w:hAnsi="宋体" w:cs="宋体"/>
                <w:color w:val="auto"/>
                <w:sz w:val="21"/>
                <w:szCs w:val="21"/>
                <w:highlight w:val="none"/>
              </w:rPr>
            </w:pPr>
            <w:r>
              <w:rPr>
                <w:rFonts w:ascii="宋体" w:hAnsi="宋体" w:cs="宋体"/>
                <w:color w:val="auto"/>
                <w:sz w:val="21"/>
                <w:szCs w:val="21"/>
                <w:highlight w:val="none"/>
              </w:rPr>
              <w:t>1.具有独立承担民事责任的能力</w:t>
            </w:r>
          </w:p>
        </w:tc>
        <w:tc>
          <w:tcPr>
            <w:tcW w:w="4984" w:type="dxa"/>
            <w:vAlign w:val="center"/>
          </w:tcPr>
          <w:p w14:paraId="192861BD">
            <w:pPr>
              <w:rPr>
                <w:rFonts w:ascii="宋体" w:hAnsi="宋体" w:cs="宋体"/>
                <w:color w:val="auto"/>
                <w:sz w:val="21"/>
                <w:szCs w:val="21"/>
                <w:highlight w:val="none"/>
              </w:rPr>
            </w:pPr>
            <w:r>
              <w:rPr>
                <w:rFonts w:ascii="宋体" w:hAnsi="宋体" w:cs="宋体"/>
                <w:b/>
                <w:bCs/>
                <w:color w:val="auto"/>
                <w:sz w:val="21"/>
                <w:szCs w:val="21"/>
                <w:highlight w:val="none"/>
              </w:rPr>
              <w:t>1.</w:t>
            </w:r>
            <w:r>
              <w:rPr>
                <w:rFonts w:hint="eastAsia" w:ascii="宋体" w:hAnsi="宋体" w:cs="宋体"/>
                <w:b/>
                <w:bCs/>
                <w:color w:val="auto"/>
                <w:sz w:val="21"/>
                <w:szCs w:val="21"/>
                <w:highlight w:val="none"/>
              </w:rPr>
              <w:t>供应商企业</w:t>
            </w:r>
            <w:r>
              <w:rPr>
                <w:rFonts w:ascii="宋体" w:hAnsi="宋体" w:cs="宋体"/>
                <w:b/>
                <w:bCs/>
                <w:color w:val="auto"/>
                <w:sz w:val="21"/>
                <w:szCs w:val="21"/>
                <w:highlight w:val="none"/>
              </w:rPr>
              <w:t>法人营业执照（副本）或事业单位法人证书（副本）。</w:t>
            </w:r>
          </w:p>
          <w:p w14:paraId="47B2D772">
            <w:pPr>
              <w:rPr>
                <w:rFonts w:ascii="宋体" w:hAnsi="宋体" w:cs="宋体"/>
                <w:color w:val="auto"/>
                <w:sz w:val="21"/>
                <w:szCs w:val="21"/>
                <w:highlight w:val="none"/>
              </w:rPr>
            </w:pPr>
            <w:r>
              <w:rPr>
                <w:rFonts w:ascii="宋体" w:hAnsi="宋体" w:cs="宋体"/>
                <w:color w:val="auto"/>
                <w:sz w:val="21"/>
                <w:szCs w:val="21"/>
                <w:highlight w:val="none"/>
              </w:rPr>
              <w:t>2.供应</w:t>
            </w:r>
            <w:r>
              <w:rPr>
                <w:rFonts w:hint="eastAsia" w:ascii="宋体" w:hAnsi="宋体" w:cs="宋体"/>
                <w:color w:val="auto"/>
                <w:sz w:val="21"/>
                <w:szCs w:val="21"/>
                <w:highlight w:val="none"/>
              </w:rPr>
              <w:t>商法定代表人身份证明和法定代表人授权代表委托书。</w:t>
            </w:r>
          </w:p>
        </w:tc>
      </w:tr>
      <w:tr w14:paraId="2945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D37EA45">
            <w:pPr>
              <w:jc w:val="center"/>
              <w:rPr>
                <w:rFonts w:ascii="宋体" w:hAnsi="宋体" w:cs="宋体"/>
                <w:color w:val="auto"/>
                <w:sz w:val="21"/>
                <w:szCs w:val="21"/>
                <w:highlight w:val="none"/>
              </w:rPr>
            </w:pPr>
          </w:p>
        </w:tc>
        <w:tc>
          <w:tcPr>
            <w:tcW w:w="709" w:type="dxa"/>
            <w:vMerge w:val="continue"/>
            <w:vAlign w:val="center"/>
          </w:tcPr>
          <w:p w14:paraId="29770F57">
            <w:pPr>
              <w:rPr>
                <w:rFonts w:ascii="宋体" w:hAnsi="宋体" w:cs="宋体"/>
                <w:color w:val="auto"/>
                <w:sz w:val="21"/>
                <w:szCs w:val="21"/>
                <w:highlight w:val="none"/>
                <w:lang w:val="zh-CN"/>
              </w:rPr>
            </w:pPr>
          </w:p>
        </w:tc>
        <w:tc>
          <w:tcPr>
            <w:tcW w:w="3118" w:type="dxa"/>
            <w:vAlign w:val="center"/>
          </w:tcPr>
          <w:p w14:paraId="38D5864F">
            <w:pPr>
              <w:rPr>
                <w:rFonts w:ascii="宋体" w:hAnsi="宋体" w:cs="宋体"/>
                <w:color w:val="auto"/>
                <w:sz w:val="21"/>
                <w:szCs w:val="21"/>
                <w:highlight w:val="none"/>
              </w:rPr>
            </w:pPr>
            <w:r>
              <w:rPr>
                <w:rFonts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4984" w:type="dxa"/>
            <w:vMerge w:val="restart"/>
            <w:vAlign w:val="center"/>
          </w:tcPr>
          <w:p w14:paraId="7231A654">
            <w:pPr>
              <w:rPr>
                <w:rFonts w:ascii="宋体" w:hAnsi="宋体" w:cs="宋体"/>
                <w:b/>
                <w:color w:val="auto"/>
                <w:sz w:val="21"/>
                <w:szCs w:val="21"/>
                <w:highlight w:val="none"/>
              </w:rPr>
            </w:pPr>
            <w:r>
              <w:rPr>
                <w:rFonts w:hint="eastAsia" w:ascii="宋体" w:hAnsi="宋体" w:cs="宋体"/>
                <w:b/>
                <w:color w:val="auto"/>
                <w:sz w:val="21"/>
                <w:szCs w:val="21"/>
                <w:highlight w:val="none"/>
              </w:rPr>
              <w:t>供应商提供“基本资格条件承诺函”（格式详见第七篇）</w:t>
            </w:r>
          </w:p>
        </w:tc>
      </w:tr>
      <w:tr w14:paraId="0BEA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74D9FD5">
            <w:pPr>
              <w:jc w:val="center"/>
              <w:rPr>
                <w:rFonts w:ascii="宋体" w:hAnsi="宋体" w:cs="宋体"/>
                <w:color w:val="auto"/>
                <w:sz w:val="21"/>
                <w:szCs w:val="21"/>
                <w:highlight w:val="none"/>
              </w:rPr>
            </w:pPr>
          </w:p>
        </w:tc>
        <w:tc>
          <w:tcPr>
            <w:tcW w:w="709" w:type="dxa"/>
            <w:vMerge w:val="continue"/>
            <w:vAlign w:val="center"/>
          </w:tcPr>
          <w:p w14:paraId="7D77C112">
            <w:pPr>
              <w:rPr>
                <w:rFonts w:ascii="宋体" w:hAnsi="宋体" w:cs="宋体"/>
                <w:color w:val="auto"/>
                <w:sz w:val="21"/>
                <w:szCs w:val="21"/>
                <w:highlight w:val="none"/>
                <w:lang w:val="zh-CN"/>
              </w:rPr>
            </w:pPr>
          </w:p>
        </w:tc>
        <w:tc>
          <w:tcPr>
            <w:tcW w:w="3118" w:type="dxa"/>
            <w:vAlign w:val="center"/>
          </w:tcPr>
          <w:p w14:paraId="0C364922">
            <w:pPr>
              <w:rPr>
                <w:rFonts w:ascii="宋体" w:hAnsi="宋体" w:cs="宋体"/>
                <w:color w:val="auto"/>
                <w:sz w:val="21"/>
                <w:szCs w:val="21"/>
                <w:highlight w:val="none"/>
                <w:lang w:val="zh-CN"/>
              </w:rPr>
            </w:pPr>
            <w:r>
              <w:rPr>
                <w:rFonts w:ascii="宋体" w:hAnsi="宋体" w:cs="宋体"/>
                <w:color w:val="auto"/>
                <w:sz w:val="21"/>
                <w:szCs w:val="21"/>
                <w:highlight w:val="none"/>
                <w:lang w:val="zh-CN"/>
              </w:rPr>
              <w:t>3.具有履行合同所必需的设备和专业技术能力</w:t>
            </w:r>
          </w:p>
        </w:tc>
        <w:tc>
          <w:tcPr>
            <w:tcW w:w="4984" w:type="dxa"/>
            <w:vMerge w:val="continue"/>
            <w:vAlign w:val="center"/>
          </w:tcPr>
          <w:p w14:paraId="0DC31399">
            <w:pPr>
              <w:rPr>
                <w:rFonts w:ascii="宋体" w:hAnsi="宋体" w:cs="宋体"/>
                <w:color w:val="auto"/>
                <w:sz w:val="21"/>
                <w:szCs w:val="21"/>
                <w:highlight w:val="none"/>
              </w:rPr>
            </w:pPr>
          </w:p>
        </w:tc>
      </w:tr>
      <w:tr w14:paraId="488C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FDBE198">
            <w:pPr>
              <w:jc w:val="center"/>
              <w:rPr>
                <w:rFonts w:ascii="宋体" w:hAnsi="宋体" w:cs="宋体"/>
                <w:color w:val="auto"/>
                <w:sz w:val="21"/>
                <w:szCs w:val="21"/>
                <w:highlight w:val="none"/>
              </w:rPr>
            </w:pPr>
          </w:p>
        </w:tc>
        <w:tc>
          <w:tcPr>
            <w:tcW w:w="709" w:type="dxa"/>
            <w:vMerge w:val="continue"/>
            <w:vAlign w:val="center"/>
          </w:tcPr>
          <w:p w14:paraId="44D4E712">
            <w:pPr>
              <w:rPr>
                <w:rFonts w:ascii="宋体" w:hAnsi="宋体" w:cs="宋体"/>
                <w:color w:val="auto"/>
                <w:sz w:val="21"/>
                <w:szCs w:val="21"/>
                <w:highlight w:val="none"/>
                <w:lang w:val="zh-CN"/>
              </w:rPr>
            </w:pPr>
          </w:p>
        </w:tc>
        <w:tc>
          <w:tcPr>
            <w:tcW w:w="3118" w:type="dxa"/>
            <w:vAlign w:val="center"/>
          </w:tcPr>
          <w:p w14:paraId="2A0E3C49">
            <w:pPr>
              <w:rPr>
                <w:rFonts w:ascii="宋体" w:hAnsi="宋体" w:cs="宋体"/>
                <w:color w:val="auto"/>
                <w:sz w:val="21"/>
                <w:szCs w:val="21"/>
                <w:highlight w:val="none"/>
                <w:lang w:val="zh-CN"/>
              </w:rPr>
            </w:pPr>
            <w:r>
              <w:rPr>
                <w:rFonts w:ascii="宋体" w:hAnsi="宋体" w:cs="宋体"/>
                <w:color w:val="auto"/>
                <w:sz w:val="21"/>
                <w:szCs w:val="21"/>
                <w:highlight w:val="none"/>
                <w:lang w:val="zh-CN"/>
              </w:rPr>
              <w:t>4.有依法缴纳税收和社会保障金的良好记录</w:t>
            </w:r>
          </w:p>
        </w:tc>
        <w:tc>
          <w:tcPr>
            <w:tcW w:w="4984" w:type="dxa"/>
            <w:vMerge w:val="continue"/>
            <w:vAlign w:val="center"/>
          </w:tcPr>
          <w:p w14:paraId="79628C3B">
            <w:pPr>
              <w:rPr>
                <w:rFonts w:ascii="宋体" w:hAnsi="宋体" w:cs="宋体"/>
                <w:color w:val="auto"/>
                <w:sz w:val="21"/>
                <w:szCs w:val="21"/>
                <w:highlight w:val="none"/>
              </w:rPr>
            </w:pPr>
          </w:p>
        </w:tc>
      </w:tr>
      <w:tr w14:paraId="1CBF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13C7155">
            <w:pPr>
              <w:jc w:val="center"/>
              <w:rPr>
                <w:rFonts w:ascii="宋体" w:hAnsi="宋体" w:cs="宋体"/>
                <w:color w:val="auto"/>
                <w:sz w:val="21"/>
                <w:szCs w:val="21"/>
                <w:highlight w:val="none"/>
              </w:rPr>
            </w:pPr>
          </w:p>
        </w:tc>
        <w:tc>
          <w:tcPr>
            <w:tcW w:w="709" w:type="dxa"/>
            <w:vMerge w:val="continue"/>
            <w:vAlign w:val="center"/>
          </w:tcPr>
          <w:p w14:paraId="148241F5">
            <w:pPr>
              <w:rPr>
                <w:rFonts w:ascii="宋体" w:hAnsi="宋体" w:cs="宋体"/>
                <w:color w:val="auto"/>
                <w:sz w:val="21"/>
                <w:szCs w:val="21"/>
                <w:highlight w:val="none"/>
                <w:lang w:val="zh-CN"/>
              </w:rPr>
            </w:pPr>
          </w:p>
        </w:tc>
        <w:tc>
          <w:tcPr>
            <w:tcW w:w="3118" w:type="dxa"/>
            <w:vAlign w:val="center"/>
          </w:tcPr>
          <w:p w14:paraId="6AA4A1FE">
            <w:pPr>
              <w:rPr>
                <w:rFonts w:ascii="宋体" w:hAnsi="宋体" w:cs="宋体"/>
                <w:color w:val="auto"/>
                <w:sz w:val="21"/>
                <w:szCs w:val="21"/>
                <w:highlight w:val="none"/>
                <w:lang w:val="zh-CN"/>
              </w:rPr>
            </w:pPr>
            <w:r>
              <w:rPr>
                <w:rFonts w:ascii="宋体" w:hAnsi="宋体" w:cs="宋体"/>
                <w:color w:val="auto"/>
                <w:sz w:val="21"/>
                <w:szCs w:val="21"/>
                <w:highlight w:val="none"/>
              </w:rPr>
              <w:t>5.参加政府采购活动前三年内，在经营活动中没有重大违法记录</w:t>
            </w:r>
          </w:p>
        </w:tc>
        <w:tc>
          <w:tcPr>
            <w:tcW w:w="4984" w:type="dxa"/>
            <w:vMerge w:val="continue"/>
            <w:vAlign w:val="center"/>
          </w:tcPr>
          <w:p w14:paraId="3D676141">
            <w:pPr>
              <w:rPr>
                <w:rFonts w:ascii="宋体" w:hAnsi="宋体" w:cs="宋体"/>
                <w:b/>
                <w:color w:val="auto"/>
                <w:sz w:val="21"/>
                <w:szCs w:val="21"/>
                <w:highlight w:val="none"/>
              </w:rPr>
            </w:pPr>
          </w:p>
        </w:tc>
      </w:tr>
      <w:tr w14:paraId="4300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F4CAD6F">
            <w:pPr>
              <w:jc w:val="center"/>
              <w:rPr>
                <w:rFonts w:ascii="宋体" w:hAnsi="宋体" w:cs="宋体"/>
                <w:color w:val="auto"/>
                <w:sz w:val="21"/>
                <w:szCs w:val="21"/>
                <w:highlight w:val="none"/>
              </w:rPr>
            </w:pPr>
          </w:p>
        </w:tc>
        <w:tc>
          <w:tcPr>
            <w:tcW w:w="709" w:type="dxa"/>
            <w:vMerge w:val="continue"/>
            <w:vAlign w:val="center"/>
          </w:tcPr>
          <w:p w14:paraId="51428822">
            <w:pPr>
              <w:rPr>
                <w:rFonts w:ascii="宋体" w:hAnsi="宋体" w:cs="宋体"/>
                <w:color w:val="auto"/>
                <w:sz w:val="21"/>
                <w:szCs w:val="21"/>
                <w:highlight w:val="none"/>
              </w:rPr>
            </w:pPr>
          </w:p>
        </w:tc>
        <w:tc>
          <w:tcPr>
            <w:tcW w:w="3118" w:type="dxa"/>
            <w:vAlign w:val="center"/>
          </w:tcPr>
          <w:p w14:paraId="4ACC34F2">
            <w:pPr>
              <w:rPr>
                <w:rFonts w:ascii="宋体" w:hAnsi="宋体" w:cs="宋体"/>
                <w:color w:val="auto"/>
                <w:sz w:val="21"/>
                <w:szCs w:val="21"/>
                <w:highlight w:val="none"/>
              </w:rPr>
            </w:pPr>
            <w:r>
              <w:rPr>
                <w:rFonts w:ascii="宋体" w:hAnsi="宋体" w:cs="宋体"/>
                <w:color w:val="auto"/>
                <w:sz w:val="21"/>
                <w:szCs w:val="21"/>
                <w:highlight w:val="none"/>
              </w:rPr>
              <w:t>6.法律、行政法规规定的其他条件</w:t>
            </w:r>
          </w:p>
        </w:tc>
        <w:tc>
          <w:tcPr>
            <w:tcW w:w="4984" w:type="dxa"/>
            <w:vAlign w:val="center"/>
          </w:tcPr>
          <w:p w14:paraId="25D8147D">
            <w:pPr>
              <w:rPr>
                <w:rFonts w:ascii="宋体" w:hAnsi="宋体" w:cs="宋体"/>
                <w:color w:val="auto"/>
                <w:sz w:val="21"/>
                <w:szCs w:val="21"/>
                <w:highlight w:val="none"/>
              </w:rPr>
            </w:pPr>
          </w:p>
        </w:tc>
      </w:tr>
      <w:tr w14:paraId="6DCD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C3C5C95">
            <w:pPr>
              <w:jc w:val="center"/>
              <w:rPr>
                <w:rFonts w:ascii="宋体" w:hAnsi="宋体" w:cs="宋体"/>
                <w:color w:val="auto"/>
                <w:sz w:val="21"/>
                <w:szCs w:val="21"/>
                <w:highlight w:val="none"/>
              </w:rPr>
            </w:pPr>
          </w:p>
        </w:tc>
        <w:tc>
          <w:tcPr>
            <w:tcW w:w="709" w:type="dxa"/>
            <w:vMerge w:val="continue"/>
            <w:vAlign w:val="center"/>
          </w:tcPr>
          <w:p w14:paraId="4C2F414A">
            <w:pPr>
              <w:rPr>
                <w:rFonts w:ascii="宋体" w:hAnsi="宋体" w:cs="宋体"/>
                <w:color w:val="auto"/>
                <w:sz w:val="21"/>
                <w:szCs w:val="21"/>
                <w:highlight w:val="none"/>
              </w:rPr>
            </w:pPr>
          </w:p>
        </w:tc>
        <w:tc>
          <w:tcPr>
            <w:tcW w:w="3118" w:type="dxa"/>
            <w:vAlign w:val="center"/>
          </w:tcPr>
          <w:p w14:paraId="6E4DC3B1">
            <w:pPr>
              <w:rPr>
                <w:rFonts w:ascii="宋体" w:hAnsi="宋体" w:cs="宋体"/>
                <w:color w:val="auto"/>
                <w:sz w:val="21"/>
                <w:szCs w:val="21"/>
                <w:highlight w:val="none"/>
              </w:rPr>
            </w:pPr>
            <w:r>
              <w:rPr>
                <w:rFonts w:ascii="宋体" w:hAnsi="宋体" w:cs="宋体"/>
                <w:color w:val="auto"/>
                <w:sz w:val="21"/>
                <w:szCs w:val="21"/>
                <w:highlight w:val="none"/>
              </w:rPr>
              <w:t>7.本项目的特定资格要求</w:t>
            </w:r>
          </w:p>
        </w:tc>
        <w:tc>
          <w:tcPr>
            <w:tcW w:w="4984" w:type="dxa"/>
            <w:vAlign w:val="center"/>
          </w:tcPr>
          <w:p w14:paraId="0F6BEBF2">
            <w:pPr>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按“第一篇三、供应商资格要求（三）本项目的特定资格要求”的要求提交。</w:t>
            </w:r>
          </w:p>
        </w:tc>
      </w:tr>
      <w:tr w14:paraId="36C0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BFFE38D">
            <w:pPr>
              <w:jc w:val="center"/>
              <w:rPr>
                <w:rFonts w:ascii="宋体" w:hAnsi="宋体" w:cs="宋体"/>
                <w:color w:val="auto"/>
                <w:sz w:val="21"/>
                <w:szCs w:val="21"/>
                <w:highlight w:val="none"/>
              </w:rPr>
            </w:pPr>
            <w:r>
              <w:rPr>
                <w:rFonts w:hint="eastAsia" w:ascii="宋体" w:hAnsi="宋体" w:cs="宋体"/>
                <w:color w:val="auto"/>
                <w:sz w:val="21"/>
                <w:szCs w:val="21"/>
                <w:highlight w:val="none"/>
              </w:rPr>
              <w:t>（二）</w:t>
            </w:r>
          </w:p>
        </w:tc>
        <w:tc>
          <w:tcPr>
            <w:tcW w:w="3827" w:type="dxa"/>
            <w:gridSpan w:val="2"/>
            <w:vAlign w:val="center"/>
          </w:tcPr>
          <w:p w14:paraId="495B646E">
            <w:pPr>
              <w:rPr>
                <w:rFonts w:ascii="宋体" w:hAnsi="宋体" w:cs="宋体"/>
                <w:color w:val="auto"/>
                <w:sz w:val="21"/>
                <w:szCs w:val="21"/>
                <w:highlight w:val="none"/>
              </w:rPr>
            </w:pPr>
            <w:r>
              <w:rPr>
                <w:rFonts w:hint="eastAsia" w:ascii="宋体" w:hAnsi="宋体" w:cs="宋体"/>
                <w:color w:val="auto"/>
                <w:sz w:val="21"/>
                <w:szCs w:val="21"/>
                <w:highlight w:val="none"/>
              </w:rPr>
              <w:t>落实政府采购政策需满足的资格要求</w:t>
            </w:r>
          </w:p>
        </w:tc>
        <w:tc>
          <w:tcPr>
            <w:tcW w:w="4984" w:type="dxa"/>
            <w:vAlign w:val="center"/>
          </w:tcPr>
          <w:p w14:paraId="735B5F99">
            <w:pPr>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按“第一篇三、供应商资格要求（二）落实政府采购政策需满足的资格要求”的要求提交。</w:t>
            </w:r>
          </w:p>
        </w:tc>
      </w:tr>
      <w:tr w14:paraId="5AC7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Align w:val="center"/>
          </w:tcPr>
          <w:p w14:paraId="554BA515">
            <w:pPr>
              <w:jc w:val="center"/>
              <w:rPr>
                <w:rFonts w:ascii="宋体" w:hAnsi="宋体" w:cs="宋体"/>
                <w:color w:val="auto"/>
                <w:sz w:val="21"/>
                <w:szCs w:val="21"/>
                <w:highlight w:val="none"/>
              </w:rPr>
            </w:pPr>
            <w:r>
              <w:rPr>
                <w:rFonts w:hint="eastAsia" w:ascii="宋体" w:hAnsi="宋体" w:cs="宋体"/>
                <w:color w:val="auto"/>
                <w:sz w:val="21"/>
                <w:szCs w:val="21"/>
                <w:highlight w:val="none"/>
              </w:rPr>
              <w:t>（三）</w:t>
            </w:r>
          </w:p>
        </w:tc>
        <w:tc>
          <w:tcPr>
            <w:tcW w:w="3827" w:type="dxa"/>
            <w:gridSpan w:val="2"/>
            <w:vAlign w:val="center"/>
          </w:tcPr>
          <w:p w14:paraId="1D61C4C7">
            <w:pPr>
              <w:rPr>
                <w:rFonts w:ascii="宋体" w:hAnsi="宋体" w:cs="宋体"/>
                <w:color w:val="auto"/>
                <w:sz w:val="21"/>
                <w:szCs w:val="21"/>
                <w:highlight w:val="none"/>
              </w:rPr>
            </w:pPr>
            <w:r>
              <w:rPr>
                <w:rFonts w:hint="eastAsia" w:ascii="宋体" w:hAnsi="宋体" w:cs="宋体"/>
                <w:color w:val="auto"/>
                <w:sz w:val="21"/>
                <w:szCs w:val="21"/>
                <w:highlight w:val="none"/>
              </w:rPr>
              <w:t>询比文件购买费和询比保证金</w:t>
            </w:r>
          </w:p>
        </w:tc>
        <w:tc>
          <w:tcPr>
            <w:tcW w:w="4984" w:type="dxa"/>
            <w:vAlign w:val="center"/>
          </w:tcPr>
          <w:p w14:paraId="5F1EC47D">
            <w:pPr>
              <w:rPr>
                <w:rFonts w:ascii="宋体" w:hAnsi="宋体" w:cs="宋体"/>
                <w:color w:val="auto"/>
                <w:sz w:val="21"/>
                <w:szCs w:val="21"/>
                <w:highlight w:val="none"/>
              </w:rPr>
            </w:pPr>
            <w:r>
              <w:rPr>
                <w:rFonts w:hint="eastAsia" w:ascii="宋体" w:hAnsi="宋体" w:cs="宋体"/>
                <w:color w:val="auto"/>
                <w:sz w:val="21"/>
                <w:szCs w:val="21"/>
                <w:highlight w:val="none"/>
              </w:rPr>
              <w:t>按照询比文件要求足额缴纳所投包的询比保证金。</w:t>
            </w:r>
          </w:p>
        </w:tc>
      </w:tr>
    </w:tbl>
    <w:p w14:paraId="79583C95">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w:t>
      </w:r>
      <w:r>
        <w:rPr>
          <w:rFonts w:ascii="宋体" w:hAnsi="宋体" w:cs="宋体"/>
          <w:color w:val="auto"/>
          <w:kern w:val="0"/>
          <w:sz w:val="24"/>
          <w:szCs w:val="24"/>
          <w:highlight w:val="none"/>
        </w:rPr>
        <w:t>2022〕3号）执行。供应商可于响应截止日期前通过“信用中国”网站(www.creditchina.gov.cn)、“中国政府采购网”(www.ccgp.gov.cn)等渠道查询信用记录。</w:t>
      </w:r>
    </w:p>
    <w:p w14:paraId="13A964B1">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（二）符合性审查</w:t>
      </w:r>
    </w:p>
    <w:p w14:paraId="4EC0CF1C">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询比小组应当对符合资格的供应商的响应文件进行符合性审查，以确定其是否满足询比文件的实质性要求。符合性审查资料表如下：</w:t>
      </w:r>
    </w:p>
    <w:tbl>
      <w:tblPr>
        <w:tblStyle w:val="22"/>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562"/>
        <w:gridCol w:w="1737"/>
        <w:gridCol w:w="5656"/>
      </w:tblGrid>
      <w:tr w14:paraId="74B0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32" w:type="dxa"/>
            <w:vAlign w:val="center"/>
          </w:tcPr>
          <w:p w14:paraId="6EE1F144">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299" w:type="dxa"/>
            <w:gridSpan w:val="2"/>
            <w:vAlign w:val="center"/>
          </w:tcPr>
          <w:p w14:paraId="212ABA02">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5656" w:type="dxa"/>
            <w:vAlign w:val="center"/>
          </w:tcPr>
          <w:p w14:paraId="2292D37A">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评审标准</w:t>
            </w:r>
          </w:p>
        </w:tc>
      </w:tr>
      <w:tr w14:paraId="268B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32" w:type="dxa"/>
            <w:vMerge w:val="restart"/>
            <w:vAlign w:val="center"/>
          </w:tcPr>
          <w:p w14:paraId="2896F9D5">
            <w:pPr>
              <w:jc w:val="center"/>
              <w:rPr>
                <w:rFonts w:ascii="宋体" w:hAnsi="宋体" w:cs="宋体"/>
                <w:color w:val="auto"/>
                <w:kern w:val="0"/>
                <w:sz w:val="24"/>
                <w:szCs w:val="24"/>
                <w:highlight w:val="none"/>
              </w:rPr>
            </w:pPr>
            <w:r>
              <w:rPr>
                <w:rFonts w:ascii="宋体" w:hAnsi="宋体" w:cs="宋体"/>
                <w:color w:val="auto"/>
                <w:kern w:val="0"/>
                <w:sz w:val="24"/>
                <w:szCs w:val="24"/>
                <w:highlight w:val="none"/>
              </w:rPr>
              <w:t>1</w:t>
            </w:r>
          </w:p>
        </w:tc>
        <w:tc>
          <w:tcPr>
            <w:tcW w:w="1562" w:type="dxa"/>
            <w:vMerge w:val="restart"/>
            <w:vAlign w:val="center"/>
          </w:tcPr>
          <w:p w14:paraId="7D236919">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有效性审查</w:t>
            </w:r>
          </w:p>
        </w:tc>
        <w:tc>
          <w:tcPr>
            <w:tcW w:w="1737" w:type="dxa"/>
            <w:vAlign w:val="center"/>
          </w:tcPr>
          <w:p w14:paraId="61CB0ED8">
            <w:pPr>
              <w:rPr>
                <w:rFonts w:ascii="宋体" w:hAnsi="宋体" w:cs="宋体"/>
                <w:color w:val="auto"/>
                <w:kern w:val="0"/>
                <w:sz w:val="24"/>
                <w:szCs w:val="24"/>
                <w:highlight w:val="none"/>
              </w:rPr>
            </w:pPr>
            <w:r>
              <w:rPr>
                <w:rFonts w:hint="eastAsia" w:ascii="宋体" w:hAnsi="宋体" w:cs="宋体"/>
                <w:color w:val="auto"/>
                <w:sz w:val="24"/>
                <w:szCs w:val="24"/>
                <w:highlight w:val="none"/>
              </w:rPr>
              <w:t>响应文件签署或盖章</w:t>
            </w:r>
          </w:p>
        </w:tc>
        <w:tc>
          <w:tcPr>
            <w:tcW w:w="5656" w:type="dxa"/>
            <w:vAlign w:val="center"/>
          </w:tcPr>
          <w:p w14:paraId="215BEA51">
            <w:pPr>
              <w:rPr>
                <w:rFonts w:ascii="宋体" w:hAnsi="宋体" w:cs="宋体"/>
                <w:color w:val="auto"/>
                <w:kern w:val="0"/>
                <w:sz w:val="24"/>
                <w:szCs w:val="24"/>
                <w:highlight w:val="none"/>
              </w:rPr>
            </w:pPr>
            <w:r>
              <w:rPr>
                <w:rFonts w:hint="eastAsia" w:ascii="宋体" w:hAnsi="宋体" w:cs="宋体"/>
                <w:color w:val="auto"/>
                <w:sz w:val="24"/>
                <w:szCs w:val="24"/>
                <w:highlight w:val="none"/>
              </w:rPr>
              <w:t>响应文件上法定代表人（或其授权代表）的签署或盖章齐全。</w:t>
            </w:r>
          </w:p>
        </w:tc>
      </w:tr>
      <w:tr w14:paraId="01E0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32" w:type="dxa"/>
            <w:vMerge w:val="continue"/>
            <w:vAlign w:val="center"/>
          </w:tcPr>
          <w:p w14:paraId="345E210C">
            <w:pPr>
              <w:jc w:val="center"/>
              <w:rPr>
                <w:rFonts w:ascii="宋体" w:hAnsi="宋体" w:cs="宋体"/>
                <w:color w:val="auto"/>
                <w:kern w:val="0"/>
                <w:sz w:val="24"/>
                <w:szCs w:val="24"/>
                <w:highlight w:val="none"/>
              </w:rPr>
            </w:pPr>
          </w:p>
        </w:tc>
        <w:tc>
          <w:tcPr>
            <w:tcW w:w="1562" w:type="dxa"/>
            <w:vMerge w:val="continue"/>
            <w:vAlign w:val="center"/>
          </w:tcPr>
          <w:p w14:paraId="793299F6">
            <w:pPr>
              <w:rPr>
                <w:rFonts w:ascii="宋体" w:hAnsi="宋体" w:cs="宋体"/>
                <w:color w:val="auto"/>
                <w:kern w:val="0"/>
                <w:sz w:val="24"/>
                <w:szCs w:val="24"/>
                <w:highlight w:val="none"/>
              </w:rPr>
            </w:pPr>
          </w:p>
        </w:tc>
        <w:tc>
          <w:tcPr>
            <w:tcW w:w="1737" w:type="dxa"/>
            <w:vAlign w:val="center"/>
          </w:tcPr>
          <w:p w14:paraId="0034A44F">
            <w:p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响应方案</w:t>
            </w:r>
          </w:p>
        </w:tc>
        <w:tc>
          <w:tcPr>
            <w:tcW w:w="5656" w:type="dxa"/>
            <w:vAlign w:val="center"/>
          </w:tcPr>
          <w:p w14:paraId="18BD40FB">
            <w:pPr>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每个包只能有一个方案响应。</w:t>
            </w:r>
          </w:p>
        </w:tc>
      </w:tr>
      <w:tr w14:paraId="5F0B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2" w:type="dxa"/>
            <w:vMerge w:val="continue"/>
            <w:vAlign w:val="center"/>
          </w:tcPr>
          <w:p w14:paraId="37056078">
            <w:pPr>
              <w:jc w:val="center"/>
              <w:rPr>
                <w:rFonts w:ascii="宋体" w:hAnsi="宋体" w:cs="宋体"/>
                <w:color w:val="auto"/>
                <w:kern w:val="0"/>
                <w:sz w:val="24"/>
                <w:szCs w:val="24"/>
                <w:highlight w:val="none"/>
              </w:rPr>
            </w:pPr>
          </w:p>
        </w:tc>
        <w:tc>
          <w:tcPr>
            <w:tcW w:w="1562" w:type="dxa"/>
            <w:vMerge w:val="continue"/>
            <w:vAlign w:val="center"/>
          </w:tcPr>
          <w:p w14:paraId="12D056E1">
            <w:pPr>
              <w:rPr>
                <w:rFonts w:ascii="宋体" w:hAnsi="宋体" w:cs="宋体"/>
                <w:color w:val="auto"/>
                <w:kern w:val="0"/>
                <w:sz w:val="24"/>
                <w:szCs w:val="24"/>
                <w:highlight w:val="none"/>
              </w:rPr>
            </w:pPr>
          </w:p>
        </w:tc>
        <w:tc>
          <w:tcPr>
            <w:tcW w:w="1737" w:type="dxa"/>
            <w:vAlign w:val="center"/>
          </w:tcPr>
          <w:p w14:paraId="2BF25250">
            <w:pPr>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5656" w:type="dxa"/>
            <w:vAlign w:val="center"/>
          </w:tcPr>
          <w:p w14:paraId="2981D660">
            <w:pPr>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只能在预算金额和最高限价内报价，</w:t>
            </w:r>
            <w:r>
              <w:rPr>
                <w:rFonts w:hint="eastAsia" w:ascii="宋体" w:hAnsi="宋体" w:cs="宋体"/>
                <w:color w:val="auto"/>
                <w:sz w:val="24"/>
                <w:szCs w:val="24"/>
                <w:highlight w:val="none"/>
              </w:rPr>
              <w:t>只能有一个有效报价，不得提交选择性报价。</w:t>
            </w:r>
          </w:p>
        </w:tc>
      </w:tr>
      <w:tr w14:paraId="0507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32" w:type="dxa"/>
            <w:vAlign w:val="center"/>
          </w:tcPr>
          <w:p w14:paraId="62BC671E">
            <w:pPr>
              <w:jc w:val="center"/>
              <w:rPr>
                <w:rFonts w:ascii="宋体" w:hAnsi="宋体" w:cs="宋体"/>
                <w:color w:val="auto"/>
                <w:kern w:val="0"/>
                <w:sz w:val="24"/>
                <w:szCs w:val="24"/>
                <w:highlight w:val="none"/>
              </w:rPr>
            </w:pPr>
            <w:r>
              <w:rPr>
                <w:rFonts w:ascii="宋体" w:hAnsi="宋体" w:cs="宋体"/>
                <w:color w:val="auto"/>
                <w:kern w:val="0"/>
                <w:sz w:val="24"/>
                <w:szCs w:val="24"/>
                <w:highlight w:val="none"/>
              </w:rPr>
              <w:t>2</w:t>
            </w:r>
          </w:p>
        </w:tc>
        <w:tc>
          <w:tcPr>
            <w:tcW w:w="1562" w:type="dxa"/>
            <w:vAlign w:val="center"/>
          </w:tcPr>
          <w:p w14:paraId="713D39A9">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完整性审查</w:t>
            </w:r>
          </w:p>
        </w:tc>
        <w:tc>
          <w:tcPr>
            <w:tcW w:w="1737" w:type="dxa"/>
            <w:vAlign w:val="center"/>
          </w:tcPr>
          <w:p w14:paraId="776C1189">
            <w:pPr>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响应文件份数</w:t>
            </w:r>
          </w:p>
        </w:tc>
        <w:tc>
          <w:tcPr>
            <w:tcW w:w="5656" w:type="dxa"/>
            <w:vAlign w:val="center"/>
          </w:tcPr>
          <w:p w14:paraId="55EBA5F5">
            <w:pPr>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响应文件正、副本数量（含电子文档）符合询比文件要求。</w:t>
            </w:r>
          </w:p>
        </w:tc>
      </w:tr>
      <w:tr w14:paraId="14C2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32" w:type="dxa"/>
            <w:vAlign w:val="center"/>
          </w:tcPr>
          <w:p w14:paraId="4A54BE63">
            <w:pPr>
              <w:jc w:val="center"/>
              <w:rPr>
                <w:rFonts w:ascii="宋体" w:hAnsi="宋体" w:cs="宋体"/>
                <w:color w:val="auto"/>
                <w:kern w:val="0"/>
                <w:sz w:val="24"/>
                <w:szCs w:val="24"/>
                <w:highlight w:val="none"/>
              </w:rPr>
            </w:pPr>
            <w:r>
              <w:rPr>
                <w:rFonts w:ascii="宋体" w:hAnsi="宋体" w:cs="宋体"/>
                <w:color w:val="auto"/>
                <w:kern w:val="0"/>
                <w:sz w:val="24"/>
                <w:szCs w:val="24"/>
                <w:highlight w:val="none"/>
              </w:rPr>
              <w:t>3</w:t>
            </w:r>
          </w:p>
        </w:tc>
        <w:tc>
          <w:tcPr>
            <w:tcW w:w="1562" w:type="dxa"/>
            <w:vAlign w:val="center"/>
          </w:tcPr>
          <w:p w14:paraId="009A78F4">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服务部分</w:t>
            </w:r>
          </w:p>
        </w:tc>
        <w:tc>
          <w:tcPr>
            <w:tcW w:w="1737" w:type="dxa"/>
            <w:vAlign w:val="center"/>
          </w:tcPr>
          <w:p w14:paraId="2E2E5F94">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响应文件内容</w:t>
            </w:r>
          </w:p>
        </w:tc>
        <w:tc>
          <w:tcPr>
            <w:tcW w:w="5656" w:type="dxa"/>
            <w:vAlign w:val="center"/>
          </w:tcPr>
          <w:p w14:paraId="71343A90">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本询比文件第二篇中（※）号标注的部分。</w:t>
            </w:r>
          </w:p>
        </w:tc>
      </w:tr>
      <w:tr w14:paraId="3DF7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32" w:type="dxa"/>
            <w:vAlign w:val="center"/>
          </w:tcPr>
          <w:p w14:paraId="65B64C56">
            <w:pPr>
              <w:jc w:val="center"/>
              <w:rPr>
                <w:rFonts w:ascii="宋体" w:hAnsi="宋体" w:cs="宋体"/>
                <w:color w:val="auto"/>
                <w:kern w:val="0"/>
                <w:sz w:val="24"/>
                <w:szCs w:val="24"/>
                <w:highlight w:val="none"/>
              </w:rPr>
            </w:pPr>
            <w:r>
              <w:rPr>
                <w:rFonts w:ascii="宋体" w:hAnsi="宋体" w:cs="宋体"/>
                <w:color w:val="auto"/>
                <w:kern w:val="0"/>
                <w:sz w:val="24"/>
                <w:szCs w:val="24"/>
                <w:highlight w:val="none"/>
              </w:rPr>
              <w:t>4</w:t>
            </w:r>
          </w:p>
        </w:tc>
        <w:tc>
          <w:tcPr>
            <w:tcW w:w="1562" w:type="dxa"/>
            <w:vAlign w:val="center"/>
          </w:tcPr>
          <w:p w14:paraId="7C6DDABE">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商务部分</w:t>
            </w:r>
          </w:p>
        </w:tc>
        <w:tc>
          <w:tcPr>
            <w:tcW w:w="1737" w:type="dxa"/>
            <w:vAlign w:val="center"/>
          </w:tcPr>
          <w:p w14:paraId="44BECD4B">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响应文件内容</w:t>
            </w:r>
          </w:p>
        </w:tc>
        <w:tc>
          <w:tcPr>
            <w:tcW w:w="5656" w:type="dxa"/>
            <w:vAlign w:val="center"/>
          </w:tcPr>
          <w:p w14:paraId="139C5061">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本询比文件第三篇中（※）号标注的部分。</w:t>
            </w:r>
          </w:p>
        </w:tc>
      </w:tr>
      <w:tr w14:paraId="3BC3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32" w:type="dxa"/>
            <w:vAlign w:val="center"/>
          </w:tcPr>
          <w:p w14:paraId="4CA323C3">
            <w:pPr>
              <w:jc w:val="center"/>
              <w:rPr>
                <w:rFonts w:ascii="宋体" w:hAnsi="宋体" w:cs="宋体"/>
                <w:color w:val="auto"/>
                <w:kern w:val="0"/>
                <w:sz w:val="24"/>
                <w:szCs w:val="24"/>
                <w:highlight w:val="none"/>
              </w:rPr>
            </w:pPr>
            <w:r>
              <w:rPr>
                <w:rFonts w:ascii="宋体" w:hAnsi="宋体" w:cs="宋体"/>
                <w:color w:val="auto"/>
                <w:kern w:val="0"/>
                <w:sz w:val="24"/>
                <w:szCs w:val="24"/>
                <w:highlight w:val="none"/>
              </w:rPr>
              <w:t>5</w:t>
            </w:r>
          </w:p>
        </w:tc>
        <w:tc>
          <w:tcPr>
            <w:tcW w:w="1562" w:type="dxa"/>
            <w:vAlign w:val="center"/>
          </w:tcPr>
          <w:p w14:paraId="2EFE1271">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响应有效期</w:t>
            </w:r>
          </w:p>
        </w:tc>
        <w:tc>
          <w:tcPr>
            <w:tcW w:w="1737" w:type="dxa"/>
            <w:vAlign w:val="center"/>
          </w:tcPr>
          <w:p w14:paraId="4EEA94B2">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响应文件内容</w:t>
            </w:r>
          </w:p>
        </w:tc>
        <w:tc>
          <w:tcPr>
            <w:tcW w:w="5656" w:type="dxa"/>
            <w:vAlign w:val="center"/>
          </w:tcPr>
          <w:p w14:paraId="3C171DB4">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响应有效期为响应截止时间起</w:t>
            </w:r>
            <w:r>
              <w:rPr>
                <w:rFonts w:ascii="宋体" w:hAnsi="宋体" w:cs="宋体"/>
                <w:color w:val="auto"/>
                <w:kern w:val="0"/>
                <w:sz w:val="24"/>
                <w:szCs w:val="24"/>
                <w:highlight w:val="none"/>
              </w:rPr>
              <w:t>90天。</w:t>
            </w:r>
          </w:p>
        </w:tc>
      </w:tr>
    </w:tbl>
    <w:p w14:paraId="1A68C201">
      <w:pPr>
        <w:pStyle w:val="3"/>
        <w:jc w:val="left"/>
        <w:rPr>
          <w:rFonts w:cs="宋体"/>
          <w:b/>
          <w:color w:val="auto"/>
          <w:sz w:val="24"/>
          <w:highlight w:val="none"/>
        </w:rPr>
      </w:pPr>
      <w:bookmarkStart w:id="237" w:name="_Toc171960087"/>
      <w:bookmarkStart w:id="238" w:name="_Toc25299"/>
      <w:bookmarkStart w:id="239" w:name="_Toc76387244"/>
      <w:bookmarkStart w:id="240" w:name="_Toc7454"/>
      <w:r>
        <w:rPr>
          <w:rFonts w:hint="eastAsia" w:cs="宋体"/>
          <w:b/>
          <w:color w:val="auto"/>
          <w:sz w:val="24"/>
          <w:highlight w:val="none"/>
        </w:rPr>
        <w:t>二、评审方法</w:t>
      </w:r>
      <w:bookmarkEnd w:id="237"/>
      <w:bookmarkEnd w:id="238"/>
      <w:bookmarkEnd w:id="239"/>
      <w:bookmarkEnd w:id="240"/>
    </w:p>
    <w:p w14:paraId="10CE489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本项目采用综合评分法进行评审。</w:t>
      </w:r>
    </w:p>
    <w:p w14:paraId="6059E66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综合评分法，是指响应文件满足询比文件全部实质性要求且按照评审因素的量化指标评审得分最高的供应商为成交候选人的评审方法。供应商总得分为价格、商务、服务等评定因素分别按照相应权重值计算分项得分后相加，满分为</w:t>
      </w:r>
      <w:r>
        <w:rPr>
          <w:rFonts w:ascii="宋体" w:hAnsi="宋体" w:cs="宋体"/>
          <w:color w:val="auto"/>
          <w:sz w:val="24"/>
          <w:szCs w:val="24"/>
          <w:highlight w:val="none"/>
        </w:rPr>
        <w:t>100分。</w:t>
      </w:r>
    </w:p>
    <w:p w14:paraId="45741BDE">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澄清有关问题。对响应文件中含义不明确、同类问题表述不一致或者有明显文字和计算错误的内容，询比小组可以书面形式（应当由询比小组成员签字）要求供应商作出必要澄清、说明或者补正。供应商的澄清、说明或者补正应当采用书面形式，由其法定代表人（或其授权代表），其澄清的内容不得超出响应文件的范围或者改变响应文件的实质性内容。</w:t>
      </w:r>
    </w:p>
    <w:p w14:paraId="6DCC594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（一）比较与评价。按询比文件中规定的评审方法和标准，对资格审查和符合性审查合格的响应文件进行商务和服务评估。</w:t>
      </w:r>
    </w:p>
    <w:p w14:paraId="2D57F7C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询比小组各成员独立对每个有效供应商（通过资格审查、符合性审查的供应商）的响应文件进行评价、打分，然后由询比小组对各成员打分情况进行核查及复核，个别成员对同一供应商同一评分项的打分偏离较大的，应对供应商的响应文件进行再次核对，确属打分有误的，应及时进行修正。</w:t>
      </w:r>
    </w:p>
    <w:p w14:paraId="59E83FF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复核后，询比小组汇总每个供应商每项评分因素的得分。</w:t>
      </w:r>
    </w:p>
    <w:p w14:paraId="25683CA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（二）推荐成交候选人名单。</w:t>
      </w:r>
    </w:p>
    <w:p w14:paraId="0034124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按评审后得分由高到低的排列顺序推荐综合得分排名前三的供应商为本包（项目）成交候选人，排名第一的为第一成交候选人。得分相同的，按响应报价由低到高顺序排列。得分且响应报价相同的并列。服务部分得分为</w:t>
      </w:r>
      <w:r>
        <w:rPr>
          <w:rFonts w:ascii="宋体" w:hAnsi="宋体" w:cs="宋体"/>
          <w:color w:val="auto"/>
          <w:sz w:val="24"/>
          <w:szCs w:val="24"/>
          <w:highlight w:val="none"/>
        </w:rPr>
        <w:t>0分的供应商，将失去成为成交候选人的资格。</w:t>
      </w:r>
    </w:p>
    <w:p w14:paraId="24CDD7E3">
      <w:pPr>
        <w:pStyle w:val="3"/>
        <w:jc w:val="left"/>
        <w:rPr>
          <w:rFonts w:cs="宋体"/>
          <w:b/>
          <w:color w:val="auto"/>
          <w:sz w:val="24"/>
          <w:highlight w:val="none"/>
        </w:rPr>
      </w:pPr>
      <w:bookmarkStart w:id="241" w:name="_Toc6417"/>
      <w:bookmarkStart w:id="242" w:name="_Toc1465"/>
      <w:bookmarkStart w:id="243" w:name="_Toc171960088"/>
      <w:bookmarkStart w:id="244" w:name="_Toc267320057"/>
      <w:bookmarkStart w:id="245" w:name="_Toc76387245"/>
      <w:r>
        <w:rPr>
          <w:rFonts w:hint="eastAsia" w:cs="宋体"/>
          <w:b/>
          <w:color w:val="auto"/>
          <w:sz w:val="24"/>
          <w:highlight w:val="none"/>
        </w:rPr>
        <w:t>三、评分标准</w:t>
      </w:r>
      <w:bookmarkEnd w:id="241"/>
      <w:bookmarkEnd w:id="242"/>
      <w:bookmarkEnd w:id="243"/>
      <w:bookmarkEnd w:id="244"/>
      <w:bookmarkEnd w:id="245"/>
    </w:p>
    <w:p w14:paraId="39017F8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（一）评审因素</w:t>
      </w:r>
    </w:p>
    <w:tbl>
      <w:tblPr>
        <w:tblStyle w:val="22"/>
        <w:tblW w:w="10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88"/>
        <w:gridCol w:w="791"/>
        <w:gridCol w:w="485"/>
        <w:gridCol w:w="5212"/>
        <w:gridCol w:w="2303"/>
      </w:tblGrid>
      <w:tr w14:paraId="38C9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55E2BC31">
            <w:pPr>
              <w:spacing w:line="360" w:lineRule="exact"/>
              <w:ind w:firstLine="28"/>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779" w:type="dxa"/>
            <w:gridSpan w:val="2"/>
            <w:tcBorders>
              <w:top w:val="single" w:color="auto" w:sz="4" w:space="0"/>
              <w:left w:val="single" w:color="auto" w:sz="4" w:space="0"/>
              <w:bottom w:val="single" w:color="auto" w:sz="4" w:space="0"/>
              <w:right w:val="single" w:color="auto" w:sz="4" w:space="0"/>
            </w:tcBorders>
            <w:vAlign w:val="center"/>
          </w:tcPr>
          <w:p w14:paraId="3B9E73C6">
            <w:pPr>
              <w:spacing w:line="360" w:lineRule="exact"/>
              <w:ind w:firstLine="28"/>
              <w:jc w:val="center"/>
              <w:rPr>
                <w:rFonts w:ascii="宋体" w:hAnsi="宋体" w:cs="宋体"/>
                <w:b/>
                <w:color w:val="auto"/>
                <w:sz w:val="24"/>
                <w:szCs w:val="24"/>
                <w:highlight w:val="none"/>
              </w:rPr>
            </w:pPr>
            <w:r>
              <w:rPr>
                <w:rFonts w:hint="eastAsia" w:ascii="宋体" w:hAnsi="宋体" w:cs="宋体"/>
                <w:b/>
                <w:color w:val="auto"/>
                <w:sz w:val="24"/>
                <w:szCs w:val="24"/>
                <w:highlight w:val="none"/>
              </w:rPr>
              <w:t>评分因素及</w:t>
            </w:r>
          </w:p>
          <w:p w14:paraId="4C262E16">
            <w:pPr>
              <w:spacing w:line="360" w:lineRule="exact"/>
              <w:ind w:firstLine="28"/>
              <w:jc w:val="center"/>
              <w:rPr>
                <w:rFonts w:ascii="宋体" w:hAnsi="宋体" w:cs="宋体"/>
                <w:b/>
                <w:color w:val="auto"/>
                <w:sz w:val="24"/>
                <w:szCs w:val="24"/>
                <w:highlight w:val="none"/>
              </w:rPr>
            </w:pPr>
            <w:r>
              <w:rPr>
                <w:rFonts w:hint="eastAsia" w:ascii="宋体" w:hAnsi="宋体" w:cs="宋体"/>
                <w:b/>
                <w:color w:val="auto"/>
                <w:sz w:val="24"/>
                <w:szCs w:val="24"/>
                <w:highlight w:val="none"/>
              </w:rPr>
              <w:t>权值</w:t>
            </w:r>
          </w:p>
        </w:tc>
        <w:tc>
          <w:tcPr>
            <w:tcW w:w="485" w:type="dxa"/>
            <w:tcBorders>
              <w:top w:val="single" w:color="auto" w:sz="4" w:space="0"/>
              <w:left w:val="single" w:color="auto" w:sz="4" w:space="0"/>
              <w:bottom w:val="single" w:color="auto" w:sz="4" w:space="0"/>
              <w:right w:val="single" w:color="auto" w:sz="4" w:space="0"/>
            </w:tcBorders>
            <w:vAlign w:val="center"/>
          </w:tcPr>
          <w:p w14:paraId="34171A06">
            <w:pPr>
              <w:spacing w:line="360" w:lineRule="exact"/>
              <w:ind w:firstLine="28"/>
              <w:jc w:val="center"/>
              <w:rPr>
                <w:rFonts w:ascii="宋体" w:hAnsi="宋体" w:cs="宋体"/>
                <w:b/>
                <w:color w:val="auto"/>
                <w:sz w:val="24"/>
                <w:szCs w:val="24"/>
                <w:highlight w:val="none"/>
              </w:rPr>
            </w:pPr>
            <w:r>
              <w:rPr>
                <w:rFonts w:hint="eastAsia" w:ascii="宋体" w:hAnsi="宋体" w:cs="宋体"/>
                <w:b/>
                <w:color w:val="auto"/>
                <w:sz w:val="24"/>
                <w:szCs w:val="24"/>
                <w:highlight w:val="none"/>
              </w:rPr>
              <w:t>分值</w:t>
            </w:r>
          </w:p>
        </w:tc>
        <w:tc>
          <w:tcPr>
            <w:tcW w:w="5212" w:type="dxa"/>
            <w:tcBorders>
              <w:top w:val="single" w:color="auto" w:sz="4" w:space="0"/>
              <w:left w:val="single" w:color="auto" w:sz="4" w:space="0"/>
              <w:bottom w:val="single" w:color="auto" w:sz="4" w:space="0"/>
              <w:right w:val="single" w:color="auto" w:sz="4" w:space="0"/>
            </w:tcBorders>
            <w:vAlign w:val="center"/>
          </w:tcPr>
          <w:p w14:paraId="0762F8EF">
            <w:pPr>
              <w:spacing w:line="360" w:lineRule="exact"/>
              <w:ind w:firstLine="28"/>
              <w:jc w:val="center"/>
              <w:rPr>
                <w:rFonts w:ascii="宋体" w:hAnsi="宋体" w:cs="宋体"/>
                <w:b/>
                <w:color w:val="auto"/>
                <w:sz w:val="24"/>
                <w:szCs w:val="24"/>
                <w:highlight w:val="none"/>
              </w:rPr>
            </w:pPr>
            <w:r>
              <w:rPr>
                <w:rFonts w:hint="eastAsia" w:ascii="宋体" w:hAnsi="宋体" w:cs="宋体"/>
                <w:b/>
                <w:color w:val="auto"/>
                <w:sz w:val="24"/>
                <w:szCs w:val="24"/>
                <w:highlight w:val="none"/>
              </w:rPr>
              <w:t>评分标准</w:t>
            </w:r>
          </w:p>
        </w:tc>
        <w:tc>
          <w:tcPr>
            <w:tcW w:w="2303" w:type="dxa"/>
            <w:tcBorders>
              <w:top w:val="single" w:color="auto" w:sz="4" w:space="0"/>
              <w:left w:val="single" w:color="auto" w:sz="4" w:space="0"/>
              <w:bottom w:val="single" w:color="auto" w:sz="4" w:space="0"/>
              <w:right w:val="single" w:color="auto" w:sz="4" w:space="0"/>
            </w:tcBorders>
            <w:vAlign w:val="center"/>
          </w:tcPr>
          <w:p w14:paraId="71C64A32">
            <w:pPr>
              <w:pStyle w:val="35"/>
              <w:spacing w:before="0" w:after="0" w:line="360" w:lineRule="exact"/>
              <w:ind w:hanging="420"/>
              <w:rPr>
                <w:rFonts w:ascii="宋体" w:hAnsi="宋体" w:eastAsia="宋体" w:cs="宋体"/>
                <w:color w:val="auto"/>
                <w:szCs w:val="24"/>
                <w:highlight w:val="none"/>
              </w:rPr>
            </w:pPr>
            <w:r>
              <w:rPr>
                <w:rFonts w:hint="eastAsia" w:ascii="宋体" w:hAnsi="宋体" w:eastAsia="宋体" w:cs="宋体"/>
                <w:color w:val="auto"/>
                <w:szCs w:val="24"/>
                <w:highlight w:val="none"/>
              </w:rPr>
              <w:t>说明</w:t>
            </w:r>
          </w:p>
        </w:tc>
      </w:tr>
      <w:tr w14:paraId="24DA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4CF43DA1">
            <w:pPr>
              <w:spacing w:line="360" w:lineRule="exact"/>
              <w:ind w:firstLine="28"/>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779" w:type="dxa"/>
            <w:gridSpan w:val="2"/>
            <w:tcBorders>
              <w:top w:val="single" w:color="auto" w:sz="4" w:space="0"/>
              <w:left w:val="single" w:color="auto" w:sz="4" w:space="0"/>
              <w:bottom w:val="single" w:color="auto" w:sz="4" w:space="0"/>
              <w:right w:val="single" w:color="auto" w:sz="4" w:space="0"/>
            </w:tcBorders>
            <w:vAlign w:val="center"/>
          </w:tcPr>
          <w:p w14:paraId="19F6DC98">
            <w:pPr>
              <w:spacing w:line="360" w:lineRule="exact"/>
              <w:ind w:firstLine="28"/>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w:t>
            </w:r>
          </w:p>
          <w:p w14:paraId="19C67AE2">
            <w:pPr>
              <w:spacing w:line="360" w:lineRule="exact"/>
              <w:ind w:firstLine="28"/>
              <w:jc w:val="center"/>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30</w:t>
            </w:r>
            <w:r>
              <w:rPr>
                <w:rFonts w:hint="eastAsia" w:ascii="宋体" w:hAnsi="宋体" w:cs="宋体"/>
                <w:color w:val="auto"/>
                <w:sz w:val="24"/>
                <w:szCs w:val="24"/>
                <w:highlight w:val="none"/>
              </w:rPr>
              <w:t>%）</w:t>
            </w:r>
          </w:p>
        </w:tc>
        <w:tc>
          <w:tcPr>
            <w:tcW w:w="485" w:type="dxa"/>
            <w:tcBorders>
              <w:top w:val="single" w:color="auto" w:sz="4" w:space="0"/>
              <w:left w:val="single" w:color="auto" w:sz="4" w:space="0"/>
              <w:bottom w:val="single" w:color="auto" w:sz="4" w:space="0"/>
              <w:right w:val="single" w:color="auto" w:sz="4" w:space="0"/>
            </w:tcBorders>
            <w:vAlign w:val="center"/>
          </w:tcPr>
          <w:p w14:paraId="5EEF2447">
            <w:pPr>
              <w:spacing w:line="360" w:lineRule="exact"/>
              <w:ind w:firstLine="28"/>
              <w:jc w:val="center"/>
              <w:rPr>
                <w:rFonts w:ascii="宋体" w:hAnsi="宋体" w:cs="宋体"/>
                <w:color w:val="auto"/>
                <w:sz w:val="24"/>
                <w:szCs w:val="24"/>
                <w:highlight w:val="none"/>
              </w:rPr>
            </w:pPr>
            <w:r>
              <w:rPr>
                <w:rFonts w:ascii="宋体" w:hAnsi="宋体" w:cs="宋体"/>
                <w:color w:val="auto"/>
                <w:sz w:val="24"/>
                <w:szCs w:val="24"/>
                <w:highlight w:val="none"/>
              </w:rPr>
              <w:t>30</w:t>
            </w:r>
          </w:p>
        </w:tc>
        <w:tc>
          <w:tcPr>
            <w:tcW w:w="5212" w:type="dxa"/>
            <w:tcBorders>
              <w:top w:val="single" w:color="auto" w:sz="4" w:space="0"/>
              <w:left w:val="single" w:color="auto" w:sz="4" w:space="0"/>
              <w:bottom w:val="single" w:color="auto" w:sz="4" w:space="0"/>
              <w:right w:val="single" w:color="auto" w:sz="4" w:space="0"/>
            </w:tcBorders>
            <w:vAlign w:val="center"/>
          </w:tcPr>
          <w:p w14:paraId="47EF80C7">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有效的投标报价中的最低价为评标基准价，按照下列公式计算每个</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的投标价格得分。</w:t>
            </w:r>
          </w:p>
          <w:p w14:paraId="48EA60DA">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投标报价得分＝（评标基准价/投标报价）×价格权重×100。</w:t>
            </w:r>
          </w:p>
        </w:tc>
        <w:tc>
          <w:tcPr>
            <w:tcW w:w="2303" w:type="dxa"/>
            <w:tcBorders>
              <w:top w:val="single" w:color="auto" w:sz="4" w:space="0"/>
              <w:left w:val="single" w:color="auto" w:sz="4" w:space="0"/>
              <w:bottom w:val="single" w:color="auto" w:sz="4" w:space="0"/>
              <w:right w:val="single" w:color="auto" w:sz="4" w:space="0"/>
            </w:tcBorders>
            <w:vAlign w:val="center"/>
          </w:tcPr>
          <w:p w14:paraId="2EFEE46E">
            <w:pPr>
              <w:spacing w:line="360" w:lineRule="exact"/>
              <w:rPr>
                <w:rFonts w:ascii="宋体" w:hAnsi="宋体" w:cs="宋体"/>
                <w:color w:val="auto"/>
                <w:sz w:val="24"/>
                <w:szCs w:val="24"/>
                <w:highlight w:val="none"/>
              </w:rPr>
            </w:pPr>
          </w:p>
        </w:tc>
      </w:tr>
      <w:tr w14:paraId="2C93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5" w:type="dxa"/>
            <w:vMerge w:val="restart"/>
            <w:tcBorders>
              <w:top w:val="single" w:color="auto" w:sz="4" w:space="0"/>
              <w:left w:val="single" w:color="auto" w:sz="4" w:space="0"/>
              <w:right w:val="single" w:color="auto" w:sz="4" w:space="0"/>
            </w:tcBorders>
            <w:vAlign w:val="center"/>
          </w:tcPr>
          <w:p w14:paraId="43A2B119">
            <w:pPr>
              <w:spacing w:line="360" w:lineRule="exact"/>
              <w:ind w:firstLine="28"/>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988" w:type="dxa"/>
            <w:vMerge w:val="restart"/>
            <w:tcBorders>
              <w:top w:val="single" w:color="auto" w:sz="4" w:space="0"/>
              <w:left w:val="single" w:color="auto" w:sz="4" w:space="0"/>
              <w:right w:val="single" w:color="auto" w:sz="4" w:space="0"/>
            </w:tcBorders>
            <w:vAlign w:val="center"/>
          </w:tcPr>
          <w:p w14:paraId="4519D937">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w:t>
            </w:r>
          </w:p>
          <w:p w14:paraId="5683DE49">
            <w:pPr>
              <w:spacing w:line="360" w:lineRule="exact"/>
              <w:ind w:firstLine="28"/>
              <w:jc w:val="center"/>
              <w:rPr>
                <w:rFonts w:ascii="宋体" w:hAnsi="宋体" w:cs="宋体"/>
                <w:color w:val="auto"/>
                <w:sz w:val="24"/>
                <w:szCs w:val="24"/>
                <w:highlight w:val="none"/>
              </w:rPr>
            </w:pPr>
            <w:r>
              <w:rPr>
                <w:rFonts w:hint="eastAsia" w:ascii="宋体" w:hAnsi="宋体" w:cs="宋体"/>
                <w:color w:val="auto"/>
                <w:sz w:val="24"/>
                <w:szCs w:val="24"/>
                <w:highlight w:val="none"/>
              </w:rPr>
              <w:t>部分</w:t>
            </w:r>
          </w:p>
          <w:p w14:paraId="5742FCBD">
            <w:pPr>
              <w:spacing w:line="360" w:lineRule="exact"/>
              <w:ind w:firstLine="28"/>
              <w:jc w:val="center"/>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40</w:t>
            </w:r>
            <w:r>
              <w:rPr>
                <w:rFonts w:hint="eastAsia" w:ascii="宋体" w:hAnsi="宋体" w:cs="宋体"/>
                <w:color w:val="auto"/>
                <w:sz w:val="24"/>
                <w:szCs w:val="24"/>
                <w:highlight w:val="none"/>
              </w:rPr>
              <w:t>%）</w:t>
            </w:r>
          </w:p>
        </w:tc>
        <w:tc>
          <w:tcPr>
            <w:tcW w:w="791" w:type="dxa"/>
            <w:tcBorders>
              <w:top w:val="single" w:color="auto" w:sz="4" w:space="0"/>
              <w:left w:val="single" w:color="auto" w:sz="4" w:space="0"/>
              <w:bottom w:val="single" w:color="auto" w:sz="4" w:space="0"/>
              <w:right w:val="single" w:color="auto" w:sz="4" w:space="0"/>
            </w:tcBorders>
            <w:vAlign w:val="center"/>
          </w:tcPr>
          <w:p w14:paraId="11167D8A">
            <w:pPr>
              <w:spacing w:line="360" w:lineRule="exact"/>
              <w:ind w:firstLine="28"/>
              <w:jc w:val="center"/>
              <w:rPr>
                <w:rFonts w:ascii="宋体" w:hAnsi="宋体" w:cs="宋体"/>
                <w:color w:val="auto"/>
                <w:sz w:val="24"/>
                <w:szCs w:val="24"/>
                <w:highlight w:val="none"/>
              </w:rPr>
            </w:pPr>
            <w:r>
              <w:rPr>
                <w:rFonts w:hint="eastAsia" w:ascii="宋体" w:hAnsi="宋体" w:cs="宋体"/>
                <w:color w:val="auto"/>
                <w:sz w:val="24"/>
                <w:szCs w:val="24"/>
                <w:highlight w:val="none"/>
              </w:rPr>
              <w:t>技术</w:t>
            </w:r>
          </w:p>
          <w:p w14:paraId="0EE03614">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要求</w:t>
            </w:r>
          </w:p>
        </w:tc>
        <w:tc>
          <w:tcPr>
            <w:tcW w:w="485" w:type="dxa"/>
            <w:tcBorders>
              <w:top w:val="single" w:color="auto" w:sz="4" w:space="0"/>
              <w:left w:val="single" w:color="auto" w:sz="4" w:space="0"/>
              <w:bottom w:val="single" w:color="auto" w:sz="4" w:space="0"/>
              <w:right w:val="single" w:color="auto" w:sz="4" w:space="0"/>
            </w:tcBorders>
            <w:vAlign w:val="center"/>
          </w:tcPr>
          <w:p w14:paraId="11F1B366">
            <w:pPr>
              <w:spacing w:line="360" w:lineRule="exact"/>
              <w:ind w:firstLine="28"/>
              <w:jc w:val="center"/>
              <w:rPr>
                <w:rFonts w:ascii="宋体" w:hAnsi="宋体" w:cs="宋体"/>
                <w:color w:val="auto"/>
                <w:sz w:val="24"/>
                <w:szCs w:val="24"/>
                <w:highlight w:val="none"/>
              </w:rPr>
            </w:pPr>
            <w:r>
              <w:rPr>
                <w:rFonts w:ascii="宋体" w:hAnsi="宋体" w:cs="宋体"/>
                <w:color w:val="auto"/>
                <w:sz w:val="24"/>
                <w:szCs w:val="24"/>
                <w:highlight w:val="none"/>
              </w:rPr>
              <w:t>15</w:t>
            </w:r>
          </w:p>
        </w:tc>
        <w:tc>
          <w:tcPr>
            <w:tcW w:w="5212" w:type="dxa"/>
            <w:tcBorders>
              <w:top w:val="single" w:color="auto" w:sz="4" w:space="0"/>
              <w:left w:val="single" w:color="auto" w:sz="4" w:space="0"/>
              <w:bottom w:val="single" w:color="auto" w:sz="4" w:space="0"/>
              <w:right w:val="single" w:color="auto" w:sz="4" w:space="0"/>
            </w:tcBorders>
            <w:vAlign w:val="center"/>
          </w:tcPr>
          <w:p w14:paraId="5C0B39CA">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1.起评分：</w:t>
            </w:r>
          </w:p>
          <w:p w14:paraId="0E0E2B99">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有效</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的起评分为</w:t>
            </w:r>
            <w:r>
              <w:rPr>
                <w:rFonts w:ascii="宋体" w:hAnsi="宋体" w:cs="宋体"/>
                <w:color w:val="auto"/>
                <w:sz w:val="24"/>
                <w:szCs w:val="24"/>
                <w:highlight w:val="none"/>
              </w:rPr>
              <w:t>15</w:t>
            </w:r>
            <w:r>
              <w:rPr>
                <w:rFonts w:hint="eastAsia" w:ascii="宋体" w:hAnsi="宋体" w:cs="宋体"/>
                <w:color w:val="auto"/>
                <w:sz w:val="24"/>
                <w:szCs w:val="24"/>
                <w:highlight w:val="none"/>
              </w:rPr>
              <w:t>分。</w:t>
            </w:r>
          </w:p>
          <w:p w14:paraId="0A2528AC">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2.扣分条款：</w:t>
            </w:r>
          </w:p>
          <w:p w14:paraId="5BB56A70">
            <w:pPr>
              <w:spacing w:line="360" w:lineRule="exact"/>
              <w:rPr>
                <w:color w:val="auto"/>
                <w:sz w:val="24"/>
                <w:szCs w:val="24"/>
                <w:highlight w:val="none"/>
              </w:rPr>
            </w:pPr>
            <w:r>
              <w:rPr>
                <w:rFonts w:hint="eastAsia"/>
                <w:color w:val="auto"/>
                <w:sz w:val="24"/>
                <w:szCs w:val="24"/>
                <w:highlight w:val="none"/>
              </w:rPr>
              <w:t>供应商响应不满足带“▲”号标注的重要技术需求部分，</w:t>
            </w:r>
            <w:r>
              <w:rPr>
                <w:rFonts w:hint="eastAsia"/>
                <w:color w:val="auto"/>
                <w:sz w:val="24"/>
                <w:szCs w:val="24"/>
                <w:highlight w:val="none"/>
              </w:rPr>
              <w:t>有一条不满足，从起评分中扣除</w:t>
            </w:r>
            <w:r>
              <w:rPr>
                <w:color w:val="auto"/>
                <w:sz w:val="24"/>
                <w:szCs w:val="24"/>
                <w:highlight w:val="none"/>
              </w:rPr>
              <w:t>3</w:t>
            </w:r>
            <w:r>
              <w:rPr>
                <w:rFonts w:hint="eastAsia"/>
                <w:color w:val="auto"/>
                <w:sz w:val="24"/>
                <w:szCs w:val="24"/>
                <w:highlight w:val="none"/>
              </w:rPr>
              <w:t>分，3条及以上不满足全部扣完起评分。</w:t>
            </w:r>
          </w:p>
          <w:p w14:paraId="3CEC7066">
            <w:pPr>
              <w:spacing w:line="360" w:lineRule="exact"/>
              <w:rPr>
                <w:color w:val="auto"/>
                <w:sz w:val="24"/>
                <w:szCs w:val="24"/>
                <w:highlight w:val="none"/>
              </w:rPr>
            </w:pPr>
            <w:r>
              <w:rPr>
                <w:rFonts w:hint="eastAsia"/>
                <w:color w:val="auto"/>
                <w:sz w:val="24"/>
                <w:szCs w:val="24"/>
                <w:highlight w:val="none"/>
              </w:rPr>
              <w:t>供应商响应不满足带“○”号标注的一般性技术需求部分</w:t>
            </w:r>
            <w:r>
              <w:rPr>
                <w:rFonts w:hint="eastAsia"/>
                <w:color w:val="auto"/>
                <w:sz w:val="24"/>
                <w:szCs w:val="24"/>
                <w:highlight w:val="none"/>
              </w:rPr>
              <w:t>，有一条不满足，从起评分中扣除</w:t>
            </w:r>
            <w:r>
              <w:rPr>
                <w:color w:val="auto"/>
                <w:sz w:val="24"/>
                <w:szCs w:val="24"/>
                <w:highlight w:val="none"/>
              </w:rPr>
              <w:t>1</w:t>
            </w:r>
            <w:r>
              <w:rPr>
                <w:rFonts w:hint="eastAsia"/>
                <w:color w:val="auto"/>
                <w:sz w:val="24"/>
                <w:szCs w:val="24"/>
                <w:highlight w:val="none"/>
              </w:rPr>
              <w:t>分，3条及以上不满足全部扣完起评分。</w:t>
            </w:r>
          </w:p>
        </w:tc>
        <w:tc>
          <w:tcPr>
            <w:tcW w:w="2303" w:type="dxa"/>
            <w:tcBorders>
              <w:top w:val="single" w:color="auto" w:sz="4" w:space="0"/>
              <w:left w:val="single" w:color="auto" w:sz="4" w:space="0"/>
              <w:bottom w:val="single" w:color="auto" w:sz="4" w:space="0"/>
              <w:right w:val="single" w:color="auto" w:sz="4" w:space="0"/>
            </w:tcBorders>
            <w:vAlign w:val="center"/>
          </w:tcPr>
          <w:p w14:paraId="6FAF4986">
            <w:pPr>
              <w:spacing w:line="360" w:lineRule="exact"/>
              <w:jc w:val="center"/>
              <w:rPr>
                <w:rFonts w:ascii="宋体" w:hAnsi="宋体" w:cs="宋体"/>
                <w:color w:val="auto"/>
                <w:sz w:val="24"/>
                <w:szCs w:val="24"/>
                <w:highlight w:val="none"/>
              </w:rPr>
            </w:pPr>
          </w:p>
        </w:tc>
      </w:tr>
      <w:tr w14:paraId="4942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75" w:type="dxa"/>
            <w:vMerge w:val="continue"/>
            <w:tcBorders>
              <w:left w:val="single" w:color="auto" w:sz="4" w:space="0"/>
              <w:right w:val="single" w:color="auto" w:sz="4" w:space="0"/>
            </w:tcBorders>
            <w:vAlign w:val="center"/>
          </w:tcPr>
          <w:p w14:paraId="605A4450">
            <w:pPr>
              <w:spacing w:line="360" w:lineRule="exact"/>
              <w:ind w:firstLine="28"/>
              <w:jc w:val="center"/>
              <w:rPr>
                <w:rFonts w:ascii="宋体" w:hAnsi="宋体" w:cs="宋体"/>
                <w:color w:val="auto"/>
                <w:sz w:val="24"/>
                <w:szCs w:val="24"/>
                <w:highlight w:val="none"/>
              </w:rPr>
            </w:pPr>
          </w:p>
        </w:tc>
        <w:tc>
          <w:tcPr>
            <w:tcW w:w="988" w:type="dxa"/>
            <w:vMerge w:val="continue"/>
            <w:tcBorders>
              <w:left w:val="single" w:color="auto" w:sz="4" w:space="0"/>
              <w:right w:val="single" w:color="auto" w:sz="4" w:space="0"/>
            </w:tcBorders>
            <w:vAlign w:val="center"/>
          </w:tcPr>
          <w:p w14:paraId="1208AD5F">
            <w:pPr>
              <w:spacing w:line="360" w:lineRule="exact"/>
              <w:ind w:firstLine="28"/>
              <w:jc w:val="center"/>
              <w:rPr>
                <w:rFonts w:ascii="宋体" w:hAnsi="宋体" w:cs="宋体"/>
                <w:color w:val="auto"/>
                <w:sz w:val="24"/>
                <w:szCs w:val="24"/>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14:paraId="02A90F85">
            <w:pPr>
              <w:spacing w:line="36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项目理解</w:t>
            </w:r>
          </w:p>
        </w:tc>
        <w:tc>
          <w:tcPr>
            <w:tcW w:w="485" w:type="dxa"/>
            <w:tcBorders>
              <w:top w:val="single" w:color="auto" w:sz="4" w:space="0"/>
              <w:left w:val="single" w:color="auto" w:sz="4" w:space="0"/>
              <w:bottom w:val="single" w:color="auto" w:sz="4" w:space="0"/>
              <w:right w:val="single" w:color="auto" w:sz="4" w:space="0"/>
            </w:tcBorders>
            <w:vAlign w:val="center"/>
          </w:tcPr>
          <w:p w14:paraId="183494E2">
            <w:pPr>
              <w:spacing w:line="360" w:lineRule="exact"/>
              <w:jc w:val="left"/>
              <w:rPr>
                <w:rFonts w:ascii="宋体" w:hAnsi="宋体" w:cs="宋体"/>
                <w:color w:val="auto"/>
                <w:sz w:val="24"/>
                <w:szCs w:val="24"/>
                <w:highlight w:val="none"/>
              </w:rPr>
            </w:pPr>
            <w:r>
              <w:rPr>
                <w:rFonts w:ascii="宋体" w:hAnsi="宋体" w:cs="宋体"/>
                <w:color w:val="auto"/>
                <w:sz w:val="24"/>
                <w:szCs w:val="24"/>
                <w:highlight w:val="none"/>
              </w:rPr>
              <w:t>10</w:t>
            </w:r>
          </w:p>
        </w:tc>
        <w:tc>
          <w:tcPr>
            <w:tcW w:w="5212" w:type="dxa"/>
            <w:tcBorders>
              <w:top w:val="single" w:color="auto" w:sz="4" w:space="0"/>
              <w:left w:val="single" w:color="auto" w:sz="4" w:space="0"/>
              <w:bottom w:val="single" w:color="auto" w:sz="4" w:space="0"/>
              <w:right w:val="single" w:color="auto" w:sz="4" w:space="0"/>
            </w:tcBorders>
            <w:vAlign w:val="center"/>
          </w:tcPr>
          <w:p w14:paraId="0C3FED2E">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根据供应商提供的针对本项目解的进行评审，供应商须结合项目实际情况和采购需求，对项目进行分析并提出针对本项目的理解，内容包含但不限于：</w:t>
            </w:r>
          </w:p>
          <w:p w14:paraId="5BE78867">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①项目背景了解情况；</w:t>
            </w:r>
          </w:p>
          <w:p w14:paraId="315AD797">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②项目技术要求理解情况；</w:t>
            </w:r>
          </w:p>
          <w:p w14:paraId="0E3834D6">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③项目服务要求理解情况。</w:t>
            </w:r>
          </w:p>
          <w:p w14:paraId="3D3017AC">
            <w:pPr>
              <w:numPr>
                <w:ilvl w:val="255"/>
                <w:numId w:val="0"/>
              </w:numPr>
              <w:spacing w:line="360" w:lineRule="exact"/>
              <w:rPr>
                <w:rFonts w:ascii="宋体" w:hAnsi="宋体" w:cs="宋体"/>
                <w:color w:val="auto"/>
                <w:sz w:val="24"/>
                <w:szCs w:val="24"/>
                <w:highlight w:val="none"/>
              </w:rPr>
            </w:pPr>
            <w:bookmarkStart w:id="246" w:name="OLE_LINK9"/>
            <w:r>
              <w:rPr>
                <w:rFonts w:hint="eastAsia" w:ascii="宋体" w:hAnsi="宋体" w:cs="宋体"/>
                <w:color w:val="auto"/>
                <w:sz w:val="24"/>
                <w:szCs w:val="24"/>
                <w:highlight w:val="none"/>
              </w:rPr>
              <w:t>以上内容齐全且无内容瑕疵的，得10分；</w:t>
            </w:r>
          </w:p>
          <w:p w14:paraId="755C677D">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以上内容齐全但有1处内容存在瑕疵的，得7分；</w:t>
            </w:r>
          </w:p>
          <w:p w14:paraId="15B62F39">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以上内容齐全但有2处内容存在瑕疵的，得4分；</w:t>
            </w:r>
          </w:p>
          <w:p w14:paraId="6E280153">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以上内容不齐全或有</w:t>
            </w:r>
            <w:r>
              <w:rPr>
                <w:rFonts w:ascii="宋体" w:hAnsi="宋体" w:cs="宋体"/>
                <w:color w:val="auto"/>
                <w:sz w:val="24"/>
                <w:szCs w:val="24"/>
                <w:highlight w:val="none"/>
              </w:rPr>
              <w:t>3</w:t>
            </w:r>
            <w:r>
              <w:rPr>
                <w:rFonts w:hint="eastAsia" w:ascii="宋体" w:hAnsi="宋体" w:cs="宋体"/>
                <w:color w:val="auto"/>
                <w:sz w:val="24"/>
                <w:szCs w:val="24"/>
                <w:highlight w:val="none"/>
              </w:rPr>
              <w:t>处内容存在瑕疵的，不得分。</w:t>
            </w:r>
            <w:bookmarkEnd w:id="246"/>
          </w:p>
        </w:tc>
        <w:tc>
          <w:tcPr>
            <w:tcW w:w="2303" w:type="dxa"/>
            <w:vMerge w:val="restart"/>
            <w:tcBorders>
              <w:top w:val="single" w:color="auto" w:sz="4" w:space="0"/>
              <w:left w:val="single" w:color="auto" w:sz="4" w:space="0"/>
              <w:right w:val="single" w:color="auto" w:sz="4" w:space="0"/>
            </w:tcBorders>
            <w:vAlign w:val="center"/>
          </w:tcPr>
          <w:p w14:paraId="4C41AE41">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方案内容中所称的“瑕疵”指方案存在（1）内容表述不完整；（2）缺少任意一项内容的针对性描述分析或缺少关键分析点；（3）方案内容表述前后矛盾、无连贯性；（4）内容存在逻辑不合理；（5）内容存在常识错误、科学原理错误；（6）措施保障安排并不适用本项目；（7）方案不是专门针对本项目制定；（8）方案中提出的措施举措不利于本项目目标的实现；（9）现有技术条件下不可能出现的情形。</w:t>
            </w:r>
          </w:p>
        </w:tc>
      </w:tr>
      <w:tr w14:paraId="7A7A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675" w:type="dxa"/>
            <w:vMerge w:val="continue"/>
            <w:tcBorders>
              <w:left w:val="single" w:color="auto" w:sz="4" w:space="0"/>
              <w:right w:val="single" w:color="auto" w:sz="4" w:space="0"/>
            </w:tcBorders>
            <w:vAlign w:val="center"/>
          </w:tcPr>
          <w:p w14:paraId="33C443D7">
            <w:pPr>
              <w:spacing w:line="360" w:lineRule="exact"/>
              <w:ind w:firstLine="28"/>
              <w:jc w:val="center"/>
              <w:rPr>
                <w:rFonts w:ascii="宋体" w:hAnsi="宋体" w:cs="宋体"/>
                <w:color w:val="auto"/>
                <w:sz w:val="24"/>
                <w:szCs w:val="24"/>
                <w:highlight w:val="none"/>
              </w:rPr>
            </w:pPr>
          </w:p>
        </w:tc>
        <w:tc>
          <w:tcPr>
            <w:tcW w:w="988" w:type="dxa"/>
            <w:vMerge w:val="continue"/>
            <w:tcBorders>
              <w:left w:val="single" w:color="auto" w:sz="4" w:space="0"/>
              <w:right w:val="single" w:color="auto" w:sz="4" w:space="0"/>
            </w:tcBorders>
            <w:vAlign w:val="center"/>
          </w:tcPr>
          <w:p w14:paraId="1004C775">
            <w:pPr>
              <w:spacing w:line="360" w:lineRule="exact"/>
              <w:ind w:firstLine="28"/>
              <w:jc w:val="center"/>
              <w:rPr>
                <w:rFonts w:ascii="宋体" w:hAnsi="宋体" w:cs="宋体"/>
                <w:color w:val="auto"/>
                <w:sz w:val="24"/>
                <w:szCs w:val="24"/>
                <w:highlight w:val="none"/>
              </w:rPr>
            </w:pPr>
          </w:p>
        </w:tc>
        <w:tc>
          <w:tcPr>
            <w:tcW w:w="791" w:type="dxa"/>
            <w:tcBorders>
              <w:top w:val="single" w:color="auto" w:sz="4" w:space="0"/>
              <w:left w:val="single" w:color="auto" w:sz="4" w:space="0"/>
              <w:right w:val="single" w:color="auto" w:sz="4" w:space="0"/>
            </w:tcBorders>
            <w:vAlign w:val="center"/>
          </w:tcPr>
          <w:p w14:paraId="722C2CAB">
            <w:pPr>
              <w:snapToGrid w:val="0"/>
              <w:rPr>
                <w:rFonts w:ascii="宋体" w:hAnsi="宋体" w:cs="宋体"/>
                <w:color w:val="auto"/>
                <w:sz w:val="24"/>
                <w:szCs w:val="24"/>
                <w:highlight w:val="none"/>
              </w:rPr>
            </w:pPr>
            <w:r>
              <w:rPr>
                <w:rFonts w:hint="eastAsia" w:ascii="宋体" w:hAnsi="宋体" w:cs="宋体"/>
                <w:color w:val="auto"/>
                <w:sz w:val="24"/>
                <w:szCs w:val="24"/>
                <w:highlight w:val="none"/>
              </w:rPr>
              <w:t>服务方案</w:t>
            </w:r>
          </w:p>
        </w:tc>
        <w:tc>
          <w:tcPr>
            <w:tcW w:w="485" w:type="dxa"/>
            <w:tcBorders>
              <w:top w:val="single" w:color="auto" w:sz="4" w:space="0"/>
              <w:left w:val="single" w:color="auto" w:sz="4" w:space="0"/>
              <w:right w:val="single" w:color="auto" w:sz="4" w:space="0"/>
            </w:tcBorders>
            <w:vAlign w:val="center"/>
          </w:tcPr>
          <w:p w14:paraId="6F3CFDEE">
            <w:pPr>
              <w:snapToGrid w:val="0"/>
              <w:jc w:val="center"/>
              <w:rPr>
                <w:rFonts w:ascii="宋体" w:hAnsi="宋体" w:cs="宋体"/>
                <w:color w:val="auto"/>
                <w:sz w:val="24"/>
                <w:szCs w:val="24"/>
                <w:highlight w:val="none"/>
              </w:rPr>
            </w:pPr>
            <w:r>
              <w:rPr>
                <w:rFonts w:ascii="宋体" w:hAnsi="宋体" w:cs="宋体"/>
                <w:color w:val="auto"/>
                <w:sz w:val="24"/>
                <w:szCs w:val="24"/>
                <w:highlight w:val="none"/>
              </w:rPr>
              <w:t>5</w:t>
            </w:r>
          </w:p>
        </w:tc>
        <w:tc>
          <w:tcPr>
            <w:tcW w:w="5212" w:type="dxa"/>
            <w:tcBorders>
              <w:top w:val="single" w:color="auto" w:sz="4" w:space="0"/>
              <w:left w:val="single" w:color="auto" w:sz="4" w:space="0"/>
              <w:right w:val="single" w:color="auto" w:sz="4" w:space="0"/>
            </w:tcBorders>
            <w:vAlign w:val="center"/>
          </w:tcPr>
          <w:p w14:paraId="76BF1042">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根据供应商提供的针对本项目的服务方案进行评审，供应商须结合项目实际情况和采购需求，对项目进行分析并提出服务方案，方案内容包含但不限于：</w:t>
            </w:r>
          </w:p>
          <w:p w14:paraId="674EC48B">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①项目整体实施方案；</w:t>
            </w:r>
          </w:p>
          <w:p w14:paraId="7F24B537">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②项目投入人员配置方案；</w:t>
            </w:r>
          </w:p>
          <w:p w14:paraId="20270121">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③项目进度计划方案。</w:t>
            </w:r>
          </w:p>
          <w:p w14:paraId="0E8E4E85">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以上内容齐全且无内容瑕疵的，得</w:t>
            </w:r>
            <w:r>
              <w:rPr>
                <w:rFonts w:ascii="宋体" w:hAnsi="宋体" w:cs="宋体"/>
                <w:color w:val="auto"/>
                <w:sz w:val="24"/>
                <w:szCs w:val="24"/>
                <w:highlight w:val="none"/>
              </w:rPr>
              <w:t>5</w:t>
            </w:r>
            <w:r>
              <w:rPr>
                <w:rFonts w:hint="eastAsia" w:ascii="宋体" w:hAnsi="宋体" w:cs="宋体"/>
                <w:color w:val="auto"/>
                <w:sz w:val="24"/>
                <w:szCs w:val="24"/>
                <w:highlight w:val="none"/>
              </w:rPr>
              <w:t>分；</w:t>
            </w:r>
          </w:p>
          <w:p w14:paraId="79EED6B8">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以上内容齐全但有1处内容存在瑕疵的，得</w:t>
            </w:r>
            <w:r>
              <w:rPr>
                <w:rFonts w:ascii="宋体" w:hAnsi="宋体" w:cs="宋体"/>
                <w:color w:val="auto"/>
                <w:sz w:val="24"/>
                <w:szCs w:val="24"/>
                <w:highlight w:val="none"/>
              </w:rPr>
              <w:t>3</w:t>
            </w:r>
            <w:r>
              <w:rPr>
                <w:rFonts w:hint="eastAsia" w:ascii="宋体" w:hAnsi="宋体" w:cs="宋体"/>
                <w:color w:val="auto"/>
                <w:sz w:val="24"/>
                <w:szCs w:val="24"/>
                <w:highlight w:val="none"/>
              </w:rPr>
              <w:t>分；</w:t>
            </w:r>
          </w:p>
          <w:p w14:paraId="3B45942D">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以上内容齐全但有2处内容存在瑕疵的，得</w:t>
            </w:r>
            <w:r>
              <w:rPr>
                <w:rFonts w:ascii="宋体" w:hAnsi="宋体" w:cs="宋体"/>
                <w:color w:val="auto"/>
                <w:sz w:val="24"/>
                <w:szCs w:val="24"/>
                <w:highlight w:val="none"/>
              </w:rPr>
              <w:t>1</w:t>
            </w:r>
            <w:r>
              <w:rPr>
                <w:rFonts w:hint="eastAsia" w:ascii="宋体" w:hAnsi="宋体" w:cs="宋体"/>
                <w:color w:val="auto"/>
                <w:sz w:val="24"/>
                <w:szCs w:val="24"/>
                <w:highlight w:val="none"/>
              </w:rPr>
              <w:t>分；</w:t>
            </w:r>
          </w:p>
          <w:p w14:paraId="4969E0A5">
            <w:pPr>
              <w:snapToGrid w:val="0"/>
              <w:rPr>
                <w:rFonts w:ascii="宋体" w:hAnsi="宋体" w:cs="宋体"/>
                <w:color w:val="auto"/>
                <w:sz w:val="24"/>
                <w:szCs w:val="24"/>
                <w:highlight w:val="none"/>
              </w:rPr>
            </w:pPr>
            <w:r>
              <w:rPr>
                <w:rFonts w:hint="eastAsia" w:ascii="宋体" w:hAnsi="宋体" w:cs="宋体"/>
                <w:color w:val="auto"/>
                <w:sz w:val="24"/>
                <w:szCs w:val="24"/>
                <w:highlight w:val="none"/>
              </w:rPr>
              <w:t>以上内容不齐全或有</w:t>
            </w:r>
            <w:r>
              <w:rPr>
                <w:rFonts w:ascii="宋体" w:hAnsi="宋体" w:cs="宋体"/>
                <w:color w:val="auto"/>
                <w:sz w:val="24"/>
                <w:szCs w:val="24"/>
                <w:highlight w:val="none"/>
              </w:rPr>
              <w:t>3</w:t>
            </w:r>
            <w:r>
              <w:rPr>
                <w:rFonts w:hint="eastAsia" w:ascii="宋体" w:hAnsi="宋体" w:cs="宋体"/>
                <w:color w:val="auto"/>
                <w:sz w:val="24"/>
                <w:szCs w:val="24"/>
                <w:highlight w:val="none"/>
              </w:rPr>
              <w:t>处内容存在瑕疵的，不得分。</w:t>
            </w:r>
          </w:p>
        </w:tc>
        <w:tc>
          <w:tcPr>
            <w:tcW w:w="2303" w:type="dxa"/>
            <w:vMerge w:val="continue"/>
            <w:tcBorders>
              <w:left w:val="single" w:color="auto" w:sz="4" w:space="0"/>
              <w:right w:val="single" w:color="auto" w:sz="4" w:space="0"/>
            </w:tcBorders>
            <w:vAlign w:val="center"/>
          </w:tcPr>
          <w:p w14:paraId="3DAB409C">
            <w:pPr>
              <w:spacing w:line="360" w:lineRule="exact"/>
              <w:rPr>
                <w:rFonts w:ascii="宋体" w:hAnsi="宋体" w:cs="宋体"/>
                <w:color w:val="auto"/>
                <w:sz w:val="24"/>
                <w:szCs w:val="24"/>
                <w:highlight w:val="none"/>
              </w:rPr>
            </w:pPr>
          </w:p>
        </w:tc>
      </w:tr>
      <w:tr w14:paraId="568A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675" w:type="dxa"/>
            <w:vMerge w:val="continue"/>
            <w:tcBorders>
              <w:left w:val="single" w:color="auto" w:sz="4" w:space="0"/>
              <w:right w:val="single" w:color="auto" w:sz="4" w:space="0"/>
            </w:tcBorders>
            <w:vAlign w:val="center"/>
          </w:tcPr>
          <w:p w14:paraId="6F7D346E">
            <w:pPr>
              <w:spacing w:line="360" w:lineRule="exact"/>
              <w:ind w:firstLine="28"/>
              <w:jc w:val="center"/>
              <w:rPr>
                <w:rFonts w:ascii="宋体" w:hAnsi="宋体" w:cs="宋体"/>
                <w:color w:val="auto"/>
                <w:sz w:val="24"/>
                <w:szCs w:val="24"/>
                <w:highlight w:val="none"/>
              </w:rPr>
            </w:pPr>
          </w:p>
        </w:tc>
        <w:tc>
          <w:tcPr>
            <w:tcW w:w="988" w:type="dxa"/>
            <w:vMerge w:val="continue"/>
            <w:tcBorders>
              <w:left w:val="single" w:color="auto" w:sz="4" w:space="0"/>
              <w:right w:val="single" w:color="auto" w:sz="4" w:space="0"/>
            </w:tcBorders>
            <w:vAlign w:val="center"/>
          </w:tcPr>
          <w:p w14:paraId="2DE170D7">
            <w:pPr>
              <w:spacing w:line="360" w:lineRule="exact"/>
              <w:ind w:firstLine="28"/>
              <w:jc w:val="center"/>
              <w:rPr>
                <w:rFonts w:ascii="宋体" w:hAnsi="宋体" w:cs="宋体"/>
                <w:color w:val="auto"/>
                <w:sz w:val="24"/>
                <w:szCs w:val="24"/>
                <w:highlight w:val="none"/>
              </w:rPr>
            </w:pPr>
          </w:p>
        </w:tc>
        <w:tc>
          <w:tcPr>
            <w:tcW w:w="791" w:type="dxa"/>
            <w:tcBorders>
              <w:top w:val="single" w:color="auto" w:sz="4" w:space="0"/>
              <w:left w:val="single" w:color="auto" w:sz="4" w:space="0"/>
              <w:right w:val="single" w:color="auto" w:sz="4" w:space="0"/>
            </w:tcBorders>
            <w:vAlign w:val="center"/>
          </w:tcPr>
          <w:p w14:paraId="44619A73">
            <w:pPr>
              <w:spacing w:line="33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服务质量保证方案</w:t>
            </w:r>
          </w:p>
        </w:tc>
        <w:tc>
          <w:tcPr>
            <w:tcW w:w="485" w:type="dxa"/>
            <w:tcBorders>
              <w:top w:val="single" w:color="auto" w:sz="4" w:space="0"/>
              <w:left w:val="single" w:color="auto" w:sz="4" w:space="0"/>
              <w:right w:val="single" w:color="auto" w:sz="4" w:space="0"/>
            </w:tcBorders>
            <w:vAlign w:val="center"/>
          </w:tcPr>
          <w:p w14:paraId="2F7905A0">
            <w:pPr>
              <w:jc w:val="center"/>
              <w:rPr>
                <w:rFonts w:ascii="宋体" w:hAnsi="宋体" w:cs="宋体"/>
                <w:color w:val="auto"/>
                <w:sz w:val="24"/>
                <w:szCs w:val="24"/>
                <w:highlight w:val="none"/>
              </w:rPr>
            </w:pPr>
            <w:r>
              <w:rPr>
                <w:rFonts w:ascii="宋体" w:hAnsi="宋体" w:cs="宋体"/>
                <w:color w:val="auto"/>
                <w:sz w:val="24"/>
                <w:szCs w:val="24"/>
                <w:highlight w:val="none"/>
              </w:rPr>
              <w:t>10</w:t>
            </w:r>
          </w:p>
        </w:tc>
        <w:tc>
          <w:tcPr>
            <w:tcW w:w="5212" w:type="dxa"/>
            <w:tcBorders>
              <w:top w:val="single" w:color="auto" w:sz="4" w:space="0"/>
              <w:left w:val="single" w:color="auto" w:sz="4" w:space="0"/>
              <w:right w:val="single" w:color="auto" w:sz="4" w:space="0"/>
            </w:tcBorders>
            <w:vAlign w:val="center"/>
          </w:tcPr>
          <w:p w14:paraId="54DDF5D4">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根据供应商提供的针对本项目的服务质量保证方案进行评审，供应商须根据本项目服务质量保证方案，方案包含但不限于：</w:t>
            </w:r>
          </w:p>
          <w:p w14:paraId="060A9B8B">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①项目实施质量保障措施；</w:t>
            </w:r>
          </w:p>
          <w:p w14:paraId="2B27E6E6">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②与采购人对接服务方案；</w:t>
            </w:r>
          </w:p>
          <w:p w14:paraId="2FD891CA">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③质保期内外的服务质量保障。</w:t>
            </w:r>
          </w:p>
          <w:p w14:paraId="62BA9C82">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以上内容齐全且无内容瑕疵的，得10分；</w:t>
            </w:r>
          </w:p>
          <w:p w14:paraId="75786C50">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以上内容齐全但有1处内容存在瑕疵的，得7分；</w:t>
            </w:r>
          </w:p>
          <w:p w14:paraId="152BEB97">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以上内容齐全但有2处内容存在瑕疵的，得4分；</w:t>
            </w:r>
          </w:p>
          <w:p w14:paraId="65C4B3A0">
            <w:pPr>
              <w:rPr>
                <w:rFonts w:ascii="宋体" w:hAnsi="宋体" w:cs="宋体"/>
                <w:color w:val="auto"/>
                <w:sz w:val="24"/>
                <w:szCs w:val="24"/>
                <w:highlight w:val="none"/>
              </w:rPr>
            </w:pPr>
            <w:r>
              <w:rPr>
                <w:rFonts w:hint="eastAsia" w:ascii="宋体" w:hAnsi="宋体" w:cs="宋体"/>
                <w:color w:val="auto"/>
                <w:sz w:val="24"/>
                <w:szCs w:val="24"/>
                <w:highlight w:val="none"/>
              </w:rPr>
              <w:t>以上内容不齐全或有</w:t>
            </w:r>
            <w:r>
              <w:rPr>
                <w:rFonts w:ascii="宋体" w:hAnsi="宋体" w:cs="宋体"/>
                <w:color w:val="auto"/>
                <w:sz w:val="24"/>
                <w:szCs w:val="24"/>
                <w:highlight w:val="none"/>
              </w:rPr>
              <w:t>3</w:t>
            </w:r>
            <w:r>
              <w:rPr>
                <w:rFonts w:hint="eastAsia" w:ascii="宋体" w:hAnsi="宋体" w:cs="宋体"/>
                <w:color w:val="auto"/>
                <w:sz w:val="24"/>
                <w:szCs w:val="24"/>
                <w:highlight w:val="none"/>
              </w:rPr>
              <w:t>处内容存在瑕疵的，不得分。</w:t>
            </w:r>
          </w:p>
        </w:tc>
        <w:tc>
          <w:tcPr>
            <w:tcW w:w="2303" w:type="dxa"/>
            <w:vMerge w:val="continue"/>
            <w:tcBorders>
              <w:left w:val="single" w:color="auto" w:sz="4" w:space="0"/>
              <w:bottom w:val="single" w:color="auto" w:sz="4" w:space="0"/>
              <w:right w:val="single" w:color="auto" w:sz="4" w:space="0"/>
            </w:tcBorders>
            <w:vAlign w:val="center"/>
          </w:tcPr>
          <w:p w14:paraId="35927B83">
            <w:pPr>
              <w:spacing w:line="360" w:lineRule="exact"/>
              <w:rPr>
                <w:rFonts w:ascii="宋体" w:hAnsi="宋体" w:cs="宋体"/>
                <w:color w:val="auto"/>
                <w:sz w:val="24"/>
                <w:szCs w:val="24"/>
                <w:highlight w:val="none"/>
              </w:rPr>
            </w:pPr>
          </w:p>
        </w:tc>
      </w:tr>
      <w:tr w14:paraId="03AF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4" w:type="dxa"/>
            <w:gridSpan w:val="6"/>
            <w:tcBorders>
              <w:top w:val="single" w:color="auto" w:sz="4" w:space="0"/>
              <w:left w:val="single" w:color="auto" w:sz="4" w:space="0"/>
              <w:bottom w:val="single" w:color="auto" w:sz="4" w:space="0"/>
              <w:right w:val="single" w:color="auto" w:sz="4" w:space="0"/>
            </w:tcBorders>
            <w:vAlign w:val="center"/>
          </w:tcPr>
          <w:p w14:paraId="5C1FFA89">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的应答应满足招标文件“第三篇 项目商务需求”，有一条不满足的（第三篇中“※”号标注的部分除外），商务部分得分为0分，不再进入商务部分的评审。</w:t>
            </w:r>
          </w:p>
        </w:tc>
      </w:tr>
      <w:tr w14:paraId="15AF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75" w:type="dxa"/>
            <w:vMerge w:val="restart"/>
            <w:tcBorders>
              <w:top w:val="single" w:color="auto" w:sz="4" w:space="0"/>
              <w:left w:val="single" w:color="auto" w:sz="4" w:space="0"/>
              <w:right w:val="single" w:color="auto" w:sz="4" w:space="0"/>
            </w:tcBorders>
            <w:vAlign w:val="center"/>
          </w:tcPr>
          <w:p w14:paraId="49ED2140">
            <w:pPr>
              <w:spacing w:line="360" w:lineRule="exact"/>
              <w:ind w:firstLine="28"/>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988" w:type="dxa"/>
            <w:vMerge w:val="restart"/>
            <w:tcBorders>
              <w:top w:val="single" w:color="auto" w:sz="4" w:space="0"/>
              <w:left w:val="single" w:color="auto" w:sz="4" w:space="0"/>
              <w:right w:val="single" w:color="auto" w:sz="4" w:space="0"/>
            </w:tcBorders>
            <w:vAlign w:val="center"/>
          </w:tcPr>
          <w:p w14:paraId="184E00C0">
            <w:pPr>
              <w:spacing w:line="360" w:lineRule="exact"/>
              <w:ind w:firstLine="28"/>
              <w:jc w:val="center"/>
              <w:rPr>
                <w:rFonts w:ascii="宋体" w:hAnsi="宋体" w:cs="宋体"/>
                <w:color w:val="auto"/>
                <w:sz w:val="24"/>
                <w:szCs w:val="24"/>
                <w:highlight w:val="none"/>
              </w:rPr>
            </w:pPr>
            <w:r>
              <w:rPr>
                <w:rFonts w:hint="eastAsia" w:ascii="宋体" w:hAnsi="宋体" w:cs="宋体"/>
                <w:color w:val="auto"/>
                <w:sz w:val="24"/>
                <w:szCs w:val="24"/>
                <w:highlight w:val="none"/>
              </w:rPr>
              <w:t>商务</w:t>
            </w:r>
          </w:p>
          <w:p w14:paraId="5F4CBB32">
            <w:pPr>
              <w:spacing w:line="360" w:lineRule="exact"/>
              <w:ind w:firstLine="28"/>
              <w:jc w:val="center"/>
              <w:rPr>
                <w:rFonts w:ascii="宋体" w:hAnsi="宋体" w:cs="宋体"/>
                <w:color w:val="auto"/>
                <w:sz w:val="24"/>
                <w:szCs w:val="24"/>
                <w:highlight w:val="none"/>
              </w:rPr>
            </w:pPr>
            <w:r>
              <w:rPr>
                <w:rFonts w:hint="eastAsia" w:ascii="宋体" w:hAnsi="宋体" w:cs="宋体"/>
                <w:color w:val="auto"/>
                <w:sz w:val="24"/>
                <w:szCs w:val="24"/>
                <w:highlight w:val="none"/>
              </w:rPr>
              <w:t>部分（</w:t>
            </w:r>
            <w:r>
              <w:rPr>
                <w:rFonts w:ascii="宋体" w:hAnsi="宋体" w:cs="宋体"/>
                <w:color w:val="auto"/>
                <w:sz w:val="24"/>
                <w:szCs w:val="24"/>
                <w:highlight w:val="none"/>
              </w:rPr>
              <w:t>30</w:t>
            </w:r>
            <w:r>
              <w:rPr>
                <w:rFonts w:hint="eastAsia" w:ascii="宋体" w:hAnsi="宋体" w:cs="宋体"/>
                <w:color w:val="auto"/>
                <w:sz w:val="24"/>
                <w:szCs w:val="24"/>
                <w:highlight w:val="none"/>
              </w:rPr>
              <w:t>%）</w:t>
            </w:r>
          </w:p>
        </w:tc>
        <w:tc>
          <w:tcPr>
            <w:tcW w:w="791" w:type="dxa"/>
            <w:tcBorders>
              <w:top w:val="single" w:color="auto" w:sz="4" w:space="0"/>
              <w:left w:val="single" w:color="auto" w:sz="4" w:space="0"/>
              <w:right w:val="single" w:color="auto" w:sz="4" w:space="0"/>
            </w:tcBorders>
            <w:vAlign w:val="center"/>
          </w:tcPr>
          <w:p w14:paraId="5B0012DD">
            <w:pPr>
              <w:spacing w:line="336" w:lineRule="auto"/>
              <w:jc w:val="center"/>
              <w:rPr>
                <w:rFonts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售后服务</w:t>
            </w:r>
          </w:p>
        </w:tc>
        <w:tc>
          <w:tcPr>
            <w:tcW w:w="485" w:type="dxa"/>
            <w:tcBorders>
              <w:top w:val="single" w:color="auto" w:sz="4" w:space="0"/>
              <w:left w:val="single" w:color="auto" w:sz="4" w:space="0"/>
              <w:right w:val="single" w:color="auto" w:sz="4" w:space="0"/>
            </w:tcBorders>
            <w:vAlign w:val="center"/>
          </w:tcPr>
          <w:p w14:paraId="6093B36E">
            <w:pPr>
              <w:snapToGrid w:val="0"/>
              <w:rPr>
                <w:rFonts w:ascii="宋体" w:hAnsi="宋体" w:cs="宋体"/>
                <w:color w:val="auto"/>
                <w:sz w:val="24"/>
                <w:szCs w:val="24"/>
                <w:highlight w:val="none"/>
              </w:rPr>
            </w:pPr>
            <w:r>
              <w:rPr>
                <w:rFonts w:ascii="宋体" w:hAnsi="宋体" w:cs="宋体"/>
                <w:color w:val="auto"/>
                <w:sz w:val="24"/>
                <w:szCs w:val="24"/>
                <w:highlight w:val="none"/>
              </w:rPr>
              <w:t>2</w:t>
            </w:r>
          </w:p>
        </w:tc>
        <w:tc>
          <w:tcPr>
            <w:tcW w:w="5212" w:type="dxa"/>
            <w:tcBorders>
              <w:top w:val="single" w:color="auto" w:sz="4" w:space="0"/>
              <w:left w:val="single" w:color="auto" w:sz="4" w:space="0"/>
              <w:right w:val="single" w:color="auto" w:sz="4" w:space="0"/>
            </w:tcBorders>
            <w:vAlign w:val="center"/>
          </w:tcPr>
          <w:p w14:paraId="388FDEB1">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供应商提供售后服务方案，内容包含但不限于：</w:t>
            </w:r>
          </w:p>
          <w:p w14:paraId="0018D0F8">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①服务流程及培训安排；</w:t>
            </w:r>
          </w:p>
          <w:p w14:paraId="3BD705EB">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②服务响应速度。</w:t>
            </w:r>
          </w:p>
          <w:p w14:paraId="38EAB57F">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以上内容齐全且无内容瑕疵的，得</w:t>
            </w:r>
            <w:r>
              <w:rPr>
                <w:rFonts w:ascii="宋体" w:hAnsi="宋体" w:cs="宋体"/>
                <w:color w:val="auto"/>
                <w:sz w:val="24"/>
                <w:szCs w:val="24"/>
                <w:highlight w:val="none"/>
              </w:rPr>
              <w:t>2</w:t>
            </w:r>
            <w:r>
              <w:rPr>
                <w:rFonts w:hint="eastAsia" w:ascii="宋体" w:hAnsi="宋体" w:cs="宋体"/>
                <w:color w:val="auto"/>
                <w:sz w:val="24"/>
                <w:szCs w:val="24"/>
                <w:highlight w:val="none"/>
              </w:rPr>
              <w:t>分；</w:t>
            </w:r>
          </w:p>
          <w:p w14:paraId="43F07977">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以上内容齐全但有1处内容存在瑕疵的，得</w:t>
            </w:r>
            <w:r>
              <w:rPr>
                <w:rFonts w:ascii="宋体" w:hAnsi="宋体" w:cs="宋体"/>
                <w:color w:val="auto"/>
                <w:sz w:val="24"/>
                <w:szCs w:val="24"/>
                <w:highlight w:val="none"/>
              </w:rPr>
              <w:t>1</w:t>
            </w:r>
            <w:r>
              <w:rPr>
                <w:rFonts w:hint="eastAsia" w:ascii="宋体" w:hAnsi="宋体" w:cs="宋体"/>
                <w:color w:val="auto"/>
                <w:sz w:val="24"/>
                <w:szCs w:val="24"/>
                <w:highlight w:val="none"/>
              </w:rPr>
              <w:t>分；</w:t>
            </w:r>
          </w:p>
          <w:p w14:paraId="0350C9A2">
            <w:pPr>
              <w:snapToGrid w:val="0"/>
              <w:rPr>
                <w:rFonts w:ascii="宋体" w:hAnsi="宋体" w:cs="宋体"/>
                <w:color w:val="auto"/>
                <w:sz w:val="24"/>
                <w:szCs w:val="24"/>
                <w:highlight w:val="none"/>
              </w:rPr>
            </w:pPr>
            <w:r>
              <w:rPr>
                <w:rFonts w:hint="eastAsia" w:ascii="宋体" w:hAnsi="宋体" w:cs="宋体"/>
                <w:color w:val="auto"/>
                <w:sz w:val="24"/>
                <w:szCs w:val="24"/>
                <w:highlight w:val="none"/>
              </w:rPr>
              <w:t>以上内容不齐全或有</w:t>
            </w:r>
            <w:r>
              <w:rPr>
                <w:rFonts w:ascii="宋体" w:hAnsi="宋体" w:cs="宋体"/>
                <w:color w:val="auto"/>
                <w:sz w:val="24"/>
                <w:szCs w:val="24"/>
                <w:highlight w:val="none"/>
              </w:rPr>
              <w:t>2</w:t>
            </w:r>
            <w:r>
              <w:rPr>
                <w:rFonts w:hint="eastAsia" w:ascii="宋体" w:hAnsi="宋体" w:cs="宋体"/>
                <w:color w:val="auto"/>
                <w:sz w:val="24"/>
                <w:szCs w:val="24"/>
                <w:highlight w:val="none"/>
              </w:rPr>
              <w:t>处及以上内容存在瑕疵的，不得分。</w:t>
            </w:r>
          </w:p>
        </w:tc>
        <w:tc>
          <w:tcPr>
            <w:tcW w:w="2303" w:type="dxa"/>
            <w:tcBorders>
              <w:top w:val="single" w:color="auto" w:sz="4" w:space="0"/>
              <w:left w:val="single" w:color="auto" w:sz="4" w:space="0"/>
              <w:bottom w:val="single" w:color="auto" w:sz="4" w:space="0"/>
              <w:right w:val="single" w:color="auto" w:sz="4" w:space="0"/>
            </w:tcBorders>
            <w:vAlign w:val="center"/>
          </w:tcPr>
          <w:p w14:paraId="1982583F">
            <w:pPr>
              <w:numPr>
                <w:ilvl w:val="255"/>
                <w:numId w:val="0"/>
              </w:num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方案内容中所称的“瑕疵”指方案存在（1）内容表述不完整；（2）缺少任意一项内容的针对性描述分析或缺少关键分析点；（3）方案内容表述前后矛盾、无连贯性；（4）内容存在逻辑不合理；（5）内容存在常识错误、科学原理错误；（6）措施保障安排并不适用本项目；（7）方案不是专门针对本项目制定；（8）方案中提出的措施举措不利于本项目目标的实现；（9）现有技术条件下不可能出现的情形。</w:t>
            </w:r>
          </w:p>
        </w:tc>
      </w:tr>
      <w:tr w14:paraId="6FBA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75" w:type="dxa"/>
            <w:vMerge w:val="continue"/>
            <w:tcBorders>
              <w:left w:val="single" w:color="auto" w:sz="4" w:space="0"/>
              <w:right w:val="single" w:color="auto" w:sz="4" w:space="0"/>
            </w:tcBorders>
            <w:vAlign w:val="center"/>
          </w:tcPr>
          <w:p w14:paraId="1A4C55F2">
            <w:pPr>
              <w:spacing w:line="360" w:lineRule="exact"/>
              <w:ind w:firstLine="28"/>
              <w:jc w:val="center"/>
              <w:rPr>
                <w:rFonts w:ascii="宋体" w:hAnsi="宋体" w:cs="宋体"/>
                <w:color w:val="auto"/>
                <w:sz w:val="24"/>
                <w:szCs w:val="24"/>
                <w:highlight w:val="none"/>
              </w:rPr>
            </w:pPr>
          </w:p>
        </w:tc>
        <w:tc>
          <w:tcPr>
            <w:tcW w:w="988" w:type="dxa"/>
            <w:vMerge w:val="continue"/>
            <w:tcBorders>
              <w:left w:val="single" w:color="auto" w:sz="4" w:space="0"/>
              <w:right w:val="single" w:color="auto" w:sz="4" w:space="0"/>
            </w:tcBorders>
            <w:vAlign w:val="center"/>
          </w:tcPr>
          <w:p w14:paraId="29DEC050">
            <w:pPr>
              <w:spacing w:line="360" w:lineRule="exact"/>
              <w:ind w:firstLine="28"/>
              <w:jc w:val="center"/>
              <w:rPr>
                <w:rFonts w:ascii="宋体" w:hAnsi="宋体" w:cs="宋体"/>
                <w:color w:val="auto"/>
                <w:sz w:val="24"/>
                <w:szCs w:val="24"/>
                <w:highlight w:val="none"/>
              </w:rPr>
            </w:pPr>
          </w:p>
        </w:tc>
        <w:tc>
          <w:tcPr>
            <w:tcW w:w="791" w:type="dxa"/>
            <w:vAlign w:val="center"/>
          </w:tcPr>
          <w:p w14:paraId="1EB602F5">
            <w:pPr>
              <w:snapToGrid w:val="0"/>
              <w:rPr>
                <w:rFonts w:ascii="宋体" w:hAnsi="宋体" w:cs="宋体"/>
                <w:color w:val="auto"/>
                <w:sz w:val="24"/>
                <w:szCs w:val="24"/>
                <w:highlight w:val="none"/>
              </w:rPr>
            </w:pPr>
            <w:r>
              <w:rPr>
                <w:rFonts w:hint="eastAsia" w:ascii="宋体" w:hAnsi="宋体" w:cs="宋体"/>
                <w:color w:val="auto"/>
                <w:sz w:val="24"/>
                <w:szCs w:val="24"/>
                <w:highlight w:val="none"/>
              </w:rPr>
              <w:t>业绩</w:t>
            </w:r>
          </w:p>
        </w:tc>
        <w:tc>
          <w:tcPr>
            <w:tcW w:w="485" w:type="dxa"/>
            <w:vAlign w:val="center"/>
          </w:tcPr>
          <w:p w14:paraId="629BB336">
            <w:pPr>
              <w:snapToGrid w:val="0"/>
              <w:jc w:val="center"/>
              <w:rPr>
                <w:rFonts w:ascii="宋体" w:hAnsi="宋体" w:cs="宋体"/>
                <w:color w:val="auto"/>
                <w:sz w:val="24"/>
                <w:szCs w:val="24"/>
                <w:highlight w:val="none"/>
              </w:rPr>
            </w:pPr>
            <w:r>
              <w:rPr>
                <w:color w:val="auto"/>
                <w:kern w:val="0"/>
                <w:sz w:val="24"/>
                <w:szCs w:val="24"/>
                <w:highlight w:val="none"/>
              </w:rPr>
              <w:t>10</w:t>
            </w:r>
          </w:p>
        </w:tc>
        <w:tc>
          <w:tcPr>
            <w:tcW w:w="5212" w:type="dxa"/>
            <w:vAlign w:val="center"/>
          </w:tcPr>
          <w:p w14:paraId="2AA7781C">
            <w:pPr>
              <w:snapToGrid w:val="0"/>
              <w:spacing w:line="36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供应商自2021年以来（以合同签订为准），承担过省级（或直辖市）干部网络学院提供网络课程项目，提供1个得2分，最多得</w:t>
            </w:r>
            <w:r>
              <w:rPr>
                <w:rFonts w:ascii="宋体" w:hAnsi="宋体" w:cs="宋体"/>
                <w:color w:val="auto"/>
                <w:sz w:val="24"/>
                <w:szCs w:val="24"/>
                <w:highlight w:val="none"/>
              </w:rPr>
              <w:t>10</w:t>
            </w:r>
            <w:r>
              <w:rPr>
                <w:rFonts w:hint="eastAsia" w:ascii="宋体" w:hAnsi="宋体" w:cs="宋体"/>
                <w:color w:val="auto"/>
                <w:sz w:val="24"/>
                <w:szCs w:val="24"/>
                <w:highlight w:val="none"/>
              </w:rPr>
              <w:t xml:space="preserve">分。 </w:t>
            </w:r>
          </w:p>
        </w:tc>
        <w:tc>
          <w:tcPr>
            <w:tcW w:w="2303" w:type="dxa"/>
            <w:tcBorders>
              <w:top w:val="single" w:color="auto" w:sz="4" w:space="0"/>
              <w:left w:val="single" w:color="auto" w:sz="4" w:space="0"/>
              <w:bottom w:val="single" w:color="auto" w:sz="4" w:space="0"/>
              <w:right w:val="single" w:color="auto" w:sz="4" w:space="0"/>
            </w:tcBorders>
            <w:vAlign w:val="center"/>
          </w:tcPr>
          <w:p w14:paraId="2A21C048">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供应商提供相应的合同证明材料。</w:t>
            </w:r>
          </w:p>
        </w:tc>
      </w:tr>
      <w:tr w14:paraId="463C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75" w:type="dxa"/>
            <w:vMerge w:val="continue"/>
            <w:tcBorders>
              <w:left w:val="single" w:color="auto" w:sz="4" w:space="0"/>
              <w:right w:val="single" w:color="auto" w:sz="4" w:space="0"/>
            </w:tcBorders>
            <w:vAlign w:val="center"/>
          </w:tcPr>
          <w:p w14:paraId="24E5D520">
            <w:pPr>
              <w:spacing w:line="360" w:lineRule="exact"/>
              <w:ind w:firstLine="28"/>
              <w:jc w:val="center"/>
              <w:rPr>
                <w:rFonts w:ascii="宋体" w:hAnsi="宋体" w:cs="宋体"/>
                <w:color w:val="auto"/>
                <w:sz w:val="24"/>
                <w:szCs w:val="24"/>
                <w:highlight w:val="none"/>
              </w:rPr>
            </w:pPr>
          </w:p>
        </w:tc>
        <w:tc>
          <w:tcPr>
            <w:tcW w:w="988" w:type="dxa"/>
            <w:vMerge w:val="continue"/>
            <w:tcBorders>
              <w:left w:val="single" w:color="auto" w:sz="4" w:space="0"/>
              <w:right w:val="single" w:color="auto" w:sz="4" w:space="0"/>
            </w:tcBorders>
            <w:vAlign w:val="center"/>
          </w:tcPr>
          <w:p w14:paraId="3D849D64">
            <w:pPr>
              <w:spacing w:line="360" w:lineRule="exact"/>
              <w:ind w:firstLine="28"/>
              <w:jc w:val="center"/>
              <w:rPr>
                <w:rFonts w:ascii="宋体" w:hAnsi="宋体" w:cs="宋体"/>
                <w:color w:val="auto"/>
                <w:sz w:val="24"/>
                <w:szCs w:val="24"/>
                <w:highlight w:val="none"/>
              </w:rPr>
            </w:pPr>
          </w:p>
        </w:tc>
        <w:tc>
          <w:tcPr>
            <w:tcW w:w="791" w:type="dxa"/>
            <w:vAlign w:val="center"/>
          </w:tcPr>
          <w:p w14:paraId="677EC728">
            <w:pPr>
              <w:spacing w:line="360" w:lineRule="exact"/>
              <w:ind w:firstLine="28"/>
              <w:jc w:val="center"/>
              <w:rPr>
                <w:rFonts w:ascii="宋体" w:hAnsi="宋体" w:cs="宋体"/>
                <w:color w:val="auto"/>
                <w:sz w:val="24"/>
                <w:szCs w:val="24"/>
                <w:highlight w:val="none"/>
              </w:rPr>
            </w:pPr>
            <w:r>
              <w:rPr>
                <w:rFonts w:hint="eastAsia" w:ascii="宋体" w:hAnsi="宋体" w:cs="宋体"/>
                <w:color w:val="auto"/>
                <w:sz w:val="24"/>
                <w:szCs w:val="24"/>
                <w:highlight w:val="none"/>
              </w:rPr>
              <w:t>企业资质</w:t>
            </w:r>
          </w:p>
        </w:tc>
        <w:tc>
          <w:tcPr>
            <w:tcW w:w="485" w:type="dxa"/>
            <w:vAlign w:val="center"/>
          </w:tcPr>
          <w:p w14:paraId="1035A842">
            <w:pPr>
              <w:spacing w:line="360" w:lineRule="exact"/>
              <w:ind w:firstLine="28"/>
              <w:jc w:val="center"/>
              <w:rPr>
                <w:rFonts w:ascii="宋体" w:hAnsi="宋体" w:cs="宋体"/>
                <w:color w:val="auto"/>
                <w:sz w:val="24"/>
                <w:szCs w:val="24"/>
                <w:highlight w:val="none"/>
              </w:rPr>
            </w:pPr>
            <w:r>
              <w:rPr>
                <w:color w:val="auto"/>
                <w:kern w:val="0"/>
                <w:sz w:val="24"/>
                <w:szCs w:val="24"/>
                <w:highlight w:val="none"/>
              </w:rPr>
              <w:t>8</w:t>
            </w:r>
          </w:p>
        </w:tc>
        <w:tc>
          <w:tcPr>
            <w:tcW w:w="5212" w:type="dxa"/>
          </w:tcPr>
          <w:p w14:paraId="0890E8CC">
            <w:pPr>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供应商具有网络出版服务许可证或出版物经营许可证，得4分，没有不得分</w:t>
            </w:r>
            <w:r>
              <w:rPr>
                <w:rFonts w:hint="eastAsia" w:ascii="宋体" w:hAnsi="宋体" w:cs="宋体"/>
                <w:color w:val="auto"/>
                <w:sz w:val="24"/>
                <w:szCs w:val="24"/>
                <w:highlight w:val="none"/>
              </w:rPr>
              <w:t>。</w:t>
            </w:r>
          </w:p>
          <w:p w14:paraId="453DD7B5">
            <w:pPr>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供应商具有广播电视节目制作经营许可证、AAA企业信用等级证书，每提供一个得2分，最高得4分。</w:t>
            </w:r>
          </w:p>
        </w:tc>
        <w:tc>
          <w:tcPr>
            <w:tcW w:w="2303" w:type="dxa"/>
            <w:tcBorders>
              <w:top w:val="single" w:color="auto" w:sz="4" w:space="0"/>
              <w:left w:val="single" w:color="auto" w:sz="4" w:space="0"/>
              <w:bottom w:val="single" w:color="auto" w:sz="4" w:space="0"/>
              <w:right w:val="single" w:color="auto" w:sz="4" w:space="0"/>
            </w:tcBorders>
            <w:vAlign w:val="center"/>
          </w:tcPr>
          <w:p w14:paraId="3A6FC67F">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提供有效的证书复印件并加盖竞标人公章。</w:t>
            </w:r>
          </w:p>
        </w:tc>
      </w:tr>
      <w:tr w14:paraId="0567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75" w:type="dxa"/>
            <w:vMerge w:val="continue"/>
            <w:tcBorders>
              <w:left w:val="single" w:color="auto" w:sz="4" w:space="0"/>
              <w:bottom w:val="single" w:color="auto" w:sz="4" w:space="0"/>
              <w:right w:val="single" w:color="auto" w:sz="4" w:space="0"/>
            </w:tcBorders>
            <w:vAlign w:val="center"/>
          </w:tcPr>
          <w:p w14:paraId="6AD23F86">
            <w:pPr>
              <w:spacing w:line="360" w:lineRule="exact"/>
              <w:ind w:firstLine="28"/>
              <w:jc w:val="center"/>
              <w:rPr>
                <w:rFonts w:ascii="宋体" w:hAnsi="宋体" w:cs="宋体"/>
                <w:color w:val="auto"/>
                <w:sz w:val="24"/>
                <w:szCs w:val="24"/>
                <w:highlight w:val="none"/>
              </w:rPr>
            </w:pPr>
          </w:p>
        </w:tc>
        <w:tc>
          <w:tcPr>
            <w:tcW w:w="988" w:type="dxa"/>
            <w:vMerge w:val="continue"/>
            <w:tcBorders>
              <w:left w:val="single" w:color="auto" w:sz="4" w:space="0"/>
              <w:bottom w:val="single" w:color="auto" w:sz="4" w:space="0"/>
              <w:right w:val="single" w:color="auto" w:sz="4" w:space="0"/>
            </w:tcBorders>
            <w:vAlign w:val="center"/>
          </w:tcPr>
          <w:p w14:paraId="794C0607">
            <w:pPr>
              <w:spacing w:line="360" w:lineRule="exact"/>
              <w:ind w:firstLine="28"/>
              <w:jc w:val="center"/>
              <w:rPr>
                <w:rFonts w:ascii="宋体" w:hAnsi="宋体" w:cs="宋体"/>
                <w:color w:val="auto"/>
                <w:sz w:val="24"/>
                <w:szCs w:val="24"/>
                <w:highlight w:val="none"/>
              </w:rPr>
            </w:pPr>
          </w:p>
        </w:tc>
        <w:tc>
          <w:tcPr>
            <w:tcW w:w="791" w:type="dxa"/>
            <w:vAlign w:val="center"/>
          </w:tcPr>
          <w:p w14:paraId="44BF79B7">
            <w:pPr>
              <w:spacing w:line="360" w:lineRule="exact"/>
              <w:ind w:firstLine="28"/>
              <w:jc w:val="center"/>
              <w:rPr>
                <w:rFonts w:ascii="宋体" w:hAnsi="宋体" w:cs="宋体"/>
                <w:color w:val="auto"/>
                <w:sz w:val="24"/>
                <w:szCs w:val="24"/>
                <w:highlight w:val="none"/>
              </w:rPr>
            </w:pPr>
            <w:r>
              <w:rPr>
                <w:rFonts w:hint="eastAsia" w:ascii="宋体" w:hAnsi="宋体" w:cs="宋体"/>
                <w:color w:val="auto"/>
                <w:kern w:val="0"/>
                <w:sz w:val="24"/>
                <w:szCs w:val="24"/>
                <w:highlight w:val="none"/>
              </w:rPr>
              <w:t>服务团队</w:t>
            </w:r>
          </w:p>
        </w:tc>
        <w:tc>
          <w:tcPr>
            <w:tcW w:w="485" w:type="dxa"/>
            <w:vAlign w:val="center"/>
          </w:tcPr>
          <w:p w14:paraId="227C75E6">
            <w:pPr>
              <w:spacing w:line="360" w:lineRule="exact"/>
              <w:ind w:firstLine="28"/>
              <w:jc w:val="center"/>
              <w:rPr>
                <w:rFonts w:ascii="宋体" w:hAnsi="宋体" w:cs="宋体"/>
                <w:color w:val="auto"/>
                <w:sz w:val="24"/>
                <w:szCs w:val="24"/>
                <w:highlight w:val="none"/>
              </w:rPr>
            </w:pPr>
            <w:r>
              <w:rPr>
                <w:color w:val="auto"/>
                <w:kern w:val="0"/>
                <w:sz w:val="24"/>
                <w:szCs w:val="24"/>
                <w:highlight w:val="none"/>
              </w:rPr>
              <w:t>10</w:t>
            </w:r>
          </w:p>
        </w:tc>
        <w:tc>
          <w:tcPr>
            <w:tcW w:w="5212" w:type="dxa"/>
            <w:vAlign w:val="center"/>
          </w:tcPr>
          <w:p w14:paraId="279B639D">
            <w:pPr>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1.服务团队负责人（1人）：具备副高及以上职称资格证书，得4分。提供有效的证书复印件并加盖竞标人公章。</w:t>
            </w:r>
          </w:p>
          <w:p w14:paraId="6B8766AB">
            <w:pPr>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2.课程制作与审核团队不少于3人（团队负责人除外）。具备副高级及以上职称资格证书，每提供1人得2分，具备中级职称资格证书，每提供1人得1分，本项最高得6分。提供有效的证书复印件并加盖竞标人公章。</w:t>
            </w:r>
          </w:p>
          <w:p w14:paraId="5D99943D">
            <w:pPr>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3D61C41B">
            <w:pPr>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1.同一人具有多个职称的按级别最高的计算，同一人不重复得分。</w:t>
            </w:r>
          </w:p>
          <w:p w14:paraId="27E3DE5C">
            <w:pPr>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2.课程制作与审核的团队人员少于3名的，不得分。</w:t>
            </w:r>
          </w:p>
        </w:tc>
        <w:tc>
          <w:tcPr>
            <w:tcW w:w="2303" w:type="dxa"/>
            <w:tcBorders>
              <w:top w:val="single" w:color="auto" w:sz="4" w:space="0"/>
              <w:left w:val="single" w:color="auto" w:sz="4" w:space="0"/>
              <w:bottom w:val="single" w:color="auto" w:sz="4" w:space="0"/>
              <w:right w:val="single" w:color="auto" w:sz="4" w:space="0"/>
            </w:tcBorders>
            <w:vAlign w:val="center"/>
          </w:tcPr>
          <w:p w14:paraId="4FD6178A">
            <w:pPr>
              <w:spacing w:line="360" w:lineRule="exact"/>
              <w:rPr>
                <w:rFonts w:ascii="宋体" w:hAnsi="宋体" w:cs="宋体"/>
                <w:color w:val="auto"/>
                <w:sz w:val="24"/>
                <w:szCs w:val="24"/>
                <w:highlight w:val="none"/>
              </w:rPr>
            </w:pPr>
            <w:r>
              <w:rPr>
                <w:rFonts w:hint="eastAsia" w:ascii="宋体" w:hAnsi="宋体" w:cs="宋体"/>
                <w:color w:val="auto"/>
                <w:kern w:val="0"/>
                <w:sz w:val="24"/>
                <w:szCs w:val="24"/>
                <w:highlight w:val="none"/>
              </w:rPr>
              <w:t>项目团队人员需提供相应的职称资格证书，并提供供应商为其近3个月以来缴纳社保的证明材料。</w:t>
            </w:r>
          </w:p>
        </w:tc>
      </w:tr>
    </w:tbl>
    <w:p w14:paraId="7A0785F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说明：询比小组认为供应商的报价明显高于或低于其他通过符合性审查供应商的报价，有可能影响服务质量或者不能诚信履约的，应当要求其在评审现场合理的时间内提供报价合理的书面说明，并提交充分的证明材料；供应商若不能证明其报价合理性的，询比小组应当将其作为无效响应处理。</w:t>
      </w:r>
    </w:p>
    <w:p w14:paraId="77C781B9">
      <w:pPr>
        <w:pStyle w:val="3"/>
        <w:ind w:firstLine="560"/>
        <w:rPr>
          <w:b/>
          <w:bCs/>
          <w:color w:val="auto"/>
          <w:sz w:val="24"/>
          <w:szCs w:val="24"/>
          <w:highlight w:val="none"/>
        </w:rPr>
      </w:pPr>
      <w:bookmarkStart w:id="247" w:name="_Toc14662"/>
      <w:bookmarkStart w:id="248" w:name="_Toc59621303"/>
      <w:bookmarkStart w:id="249" w:name="_Toc8034"/>
      <w:bookmarkStart w:id="250" w:name="_Toc76567145"/>
      <w:r>
        <w:rPr>
          <w:rFonts w:hint="eastAsia"/>
          <w:b/>
          <w:bCs/>
          <w:color w:val="auto"/>
          <w:sz w:val="24"/>
          <w:szCs w:val="24"/>
          <w:highlight w:val="none"/>
        </w:rPr>
        <w:t>四、无效响应条款</w:t>
      </w:r>
      <w:bookmarkEnd w:id="247"/>
      <w:bookmarkEnd w:id="248"/>
      <w:bookmarkEnd w:id="249"/>
      <w:bookmarkEnd w:id="250"/>
    </w:p>
    <w:p w14:paraId="5263F603">
      <w:pPr>
        <w:snapToGrid w:val="0"/>
        <w:spacing w:line="440" w:lineRule="exact"/>
        <w:ind w:firstLine="480" w:firstLineChars="200"/>
        <w:rPr>
          <w:color w:val="auto"/>
          <w:sz w:val="24"/>
          <w:szCs w:val="24"/>
          <w:highlight w:val="none"/>
        </w:rPr>
      </w:pPr>
      <w:r>
        <w:rPr>
          <w:rFonts w:hint="eastAsia"/>
          <w:color w:val="auto"/>
          <w:sz w:val="24"/>
          <w:szCs w:val="24"/>
          <w:highlight w:val="none"/>
        </w:rPr>
        <w:t>供应商或其响应文件出现下列情况之一者，应为无效响应：</w:t>
      </w:r>
    </w:p>
    <w:p w14:paraId="5D95816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（一）未按照询比文件的规定提交投标保证金的；</w:t>
      </w:r>
    </w:p>
    <w:p w14:paraId="1A48878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（二）响应文件未按询比文件要求签署、盖章的；</w:t>
      </w:r>
    </w:p>
    <w:p w14:paraId="16202FA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（三）不具备询比文件中规定的资格要求的；</w:t>
      </w:r>
    </w:p>
    <w:p w14:paraId="6AED11E5">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（四）报价超过询比文件中规定的预算金额或者总价最高限价或者单价最高限价的；</w:t>
      </w:r>
    </w:p>
    <w:p w14:paraId="28856C1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（五）响应文件含有采购人不能接受的附加条件的；</w:t>
      </w:r>
    </w:p>
    <w:p w14:paraId="7BBB122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（六）供应商串通投标的；</w:t>
      </w:r>
    </w:p>
    <w:p w14:paraId="615E8444">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（七）法律、法规和询比文件规定的其他无效情形。</w:t>
      </w:r>
    </w:p>
    <w:p w14:paraId="5B57322A">
      <w:pPr>
        <w:pStyle w:val="3"/>
        <w:spacing w:line="440" w:lineRule="exact"/>
        <w:ind w:firstLine="560"/>
        <w:rPr>
          <w:b/>
          <w:bCs/>
          <w:color w:val="auto"/>
          <w:sz w:val="24"/>
          <w:szCs w:val="24"/>
          <w:highlight w:val="none"/>
        </w:rPr>
      </w:pPr>
      <w:bookmarkStart w:id="251" w:name="_Toc76567146"/>
      <w:bookmarkStart w:id="252" w:name="_Toc23555"/>
      <w:bookmarkStart w:id="253" w:name="_Toc59621304"/>
      <w:bookmarkStart w:id="254" w:name="_Toc31421"/>
      <w:r>
        <w:rPr>
          <w:rFonts w:hint="eastAsia"/>
          <w:b/>
          <w:bCs/>
          <w:color w:val="auto"/>
          <w:sz w:val="24"/>
          <w:szCs w:val="24"/>
          <w:highlight w:val="none"/>
        </w:rPr>
        <w:t>五、废标条款</w:t>
      </w:r>
      <w:bookmarkEnd w:id="251"/>
      <w:bookmarkEnd w:id="252"/>
      <w:bookmarkEnd w:id="253"/>
      <w:bookmarkEnd w:id="254"/>
    </w:p>
    <w:p w14:paraId="38C38DB6">
      <w:pPr>
        <w:snapToGrid w:val="0"/>
        <w:spacing w:line="440" w:lineRule="exact"/>
        <w:ind w:firstLine="480" w:firstLineChars="200"/>
        <w:rPr>
          <w:color w:val="auto"/>
          <w:sz w:val="24"/>
          <w:szCs w:val="24"/>
          <w:highlight w:val="none"/>
        </w:rPr>
      </w:pPr>
      <w:r>
        <w:rPr>
          <w:rFonts w:hint="eastAsia"/>
          <w:color w:val="auto"/>
          <w:sz w:val="24"/>
          <w:szCs w:val="24"/>
          <w:highlight w:val="none"/>
        </w:rPr>
        <w:t>在询比采购中，出现下列情形之一的，应予废标：</w:t>
      </w:r>
    </w:p>
    <w:p w14:paraId="7CAB683C">
      <w:pPr>
        <w:snapToGrid w:val="0"/>
        <w:spacing w:line="440" w:lineRule="exact"/>
        <w:ind w:firstLine="480" w:firstLineChars="200"/>
        <w:rPr>
          <w:color w:val="auto"/>
          <w:sz w:val="24"/>
          <w:szCs w:val="24"/>
          <w:highlight w:val="none"/>
        </w:rPr>
      </w:pPr>
      <w:r>
        <w:rPr>
          <w:rFonts w:hint="eastAsia"/>
          <w:color w:val="auto"/>
          <w:sz w:val="24"/>
          <w:szCs w:val="24"/>
          <w:highlight w:val="none"/>
        </w:rPr>
        <w:t>（一）符合专业条件的供应商或者对询比文件作实质响应的供应商不足三家的；</w:t>
      </w:r>
    </w:p>
    <w:p w14:paraId="79F11E39">
      <w:pPr>
        <w:snapToGrid w:val="0"/>
        <w:spacing w:line="440" w:lineRule="exact"/>
        <w:ind w:firstLine="480" w:firstLineChars="200"/>
        <w:rPr>
          <w:color w:val="auto"/>
          <w:sz w:val="24"/>
          <w:szCs w:val="24"/>
          <w:highlight w:val="none"/>
        </w:rPr>
      </w:pPr>
      <w:r>
        <w:rPr>
          <w:rFonts w:hint="eastAsia"/>
          <w:color w:val="auto"/>
          <w:sz w:val="24"/>
          <w:szCs w:val="24"/>
          <w:highlight w:val="none"/>
        </w:rPr>
        <w:t>（二）供应商的报价均超过了采购预算，采购人不能支付的；</w:t>
      </w:r>
    </w:p>
    <w:p w14:paraId="70BDF836">
      <w:pPr>
        <w:snapToGrid w:val="0"/>
        <w:spacing w:line="440" w:lineRule="exact"/>
        <w:ind w:firstLine="480" w:firstLineChars="200"/>
        <w:rPr>
          <w:color w:val="auto"/>
          <w:sz w:val="24"/>
          <w:szCs w:val="24"/>
          <w:highlight w:val="none"/>
        </w:rPr>
      </w:pPr>
      <w:r>
        <w:rPr>
          <w:rFonts w:hint="eastAsia"/>
          <w:color w:val="auto"/>
          <w:sz w:val="24"/>
          <w:szCs w:val="24"/>
          <w:highlight w:val="none"/>
        </w:rPr>
        <w:t>（三）出现影响采购公正的违法、违规行为的；</w:t>
      </w:r>
    </w:p>
    <w:p w14:paraId="62E89F5F">
      <w:pPr>
        <w:snapToGrid w:val="0"/>
        <w:spacing w:line="440" w:lineRule="exact"/>
        <w:ind w:firstLine="480" w:firstLineChars="200"/>
        <w:rPr>
          <w:color w:val="auto"/>
          <w:sz w:val="24"/>
          <w:szCs w:val="24"/>
          <w:highlight w:val="none"/>
        </w:rPr>
      </w:pPr>
      <w:r>
        <w:rPr>
          <w:rFonts w:hint="eastAsia"/>
          <w:color w:val="auto"/>
          <w:sz w:val="24"/>
          <w:szCs w:val="24"/>
          <w:highlight w:val="none"/>
        </w:rPr>
        <w:t>（四）以联合体参与投标的或者进行合同分包的。</w:t>
      </w:r>
    </w:p>
    <w:p w14:paraId="124158B5">
      <w:pPr>
        <w:snapToGrid w:val="0"/>
        <w:spacing w:line="440" w:lineRule="exact"/>
        <w:ind w:firstLine="480" w:firstLineChars="200"/>
        <w:rPr>
          <w:color w:val="auto"/>
          <w:sz w:val="24"/>
          <w:szCs w:val="24"/>
          <w:highlight w:val="none"/>
        </w:rPr>
      </w:pPr>
      <w:r>
        <w:rPr>
          <w:rFonts w:hint="eastAsia"/>
          <w:color w:val="auto"/>
          <w:sz w:val="24"/>
          <w:szCs w:val="24"/>
          <w:highlight w:val="none"/>
        </w:rPr>
        <w:t>（五）因重大变故，采购任务取消的。</w:t>
      </w:r>
    </w:p>
    <w:p w14:paraId="130E8209">
      <w:pPr>
        <w:snapToGrid w:val="0"/>
        <w:spacing w:line="440" w:lineRule="exact"/>
        <w:ind w:firstLine="480" w:firstLineChars="200"/>
        <w:rPr>
          <w:color w:val="auto"/>
          <w:sz w:val="24"/>
          <w:szCs w:val="24"/>
          <w:highlight w:val="none"/>
        </w:rPr>
      </w:pPr>
      <w:r>
        <w:rPr>
          <w:rFonts w:hint="eastAsia"/>
          <w:color w:val="auto"/>
          <w:sz w:val="24"/>
          <w:szCs w:val="24"/>
          <w:highlight w:val="none"/>
        </w:rPr>
        <w:t>废标后，除采购任务取消情形外，应当重新组织采购。</w:t>
      </w:r>
    </w:p>
    <w:p w14:paraId="460B9E9B">
      <w:pPr>
        <w:pStyle w:val="2"/>
        <w:spacing w:before="120" w:beforeLines="50" w:after="120" w:line="440" w:lineRule="exact"/>
        <w:ind w:firstLine="560"/>
        <w:rPr>
          <w:rFonts w:eastAsia="宋体"/>
          <w:b/>
          <w:color w:val="auto"/>
          <w:highlight w:val="none"/>
        </w:rPr>
      </w:pPr>
      <w:r>
        <w:rPr>
          <w:rFonts w:eastAsia="宋体"/>
          <w:color w:val="auto"/>
          <w:sz w:val="28"/>
          <w:highlight w:val="none"/>
        </w:rPr>
        <w:br w:type="page"/>
      </w:r>
      <w:bookmarkStart w:id="255" w:name="_Toc27903"/>
      <w:bookmarkStart w:id="256" w:name="_Toc8566"/>
      <w:bookmarkStart w:id="257" w:name="_Toc12632"/>
      <w:r>
        <w:rPr>
          <w:rFonts w:hint="eastAsia" w:eastAsia="宋体"/>
          <w:b/>
          <w:color w:val="auto"/>
          <w:highlight w:val="none"/>
        </w:rPr>
        <w:t>第五篇</w:t>
      </w:r>
      <w:r>
        <w:rPr>
          <w:rFonts w:eastAsia="宋体"/>
          <w:b/>
          <w:color w:val="auto"/>
          <w:highlight w:val="none"/>
        </w:rPr>
        <w:t xml:space="preserve">  </w:t>
      </w:r>
      <w:r>
        <w:rPr>
          <w:rFonts w:hint="eastAsia" w:eastAsia="宋体"/>
          <w:b/>
          <w:color w:val="auto"/>
          <w:highlight w:val="none"/>
        </w:rPr>
        <w:t>供应商须知</w:t>
      </w:r>
      <w:bookmarkEnd w:id="255"/>
      <w:bookmarkEnd w:id="256"/>
      <w:bookmarkEnd w:id="257"/>
    </w:p>
    <w:p w14:paraId="5747E42D">
      <w:pPr>
        <w:pStyle w:val="3"/>
        <w:ind w:firstLine="560"/>
        <w:rPr>
          <w:color w:val="auto"/>
          <w:sz w:val="24"/>
          <w:szCs w:val="24"/>
          <w:highlight w:val="none"/>
        </w:rPr>
      </w:pPr>
      <w:bookmarkStart w:id="258" w:name="_Toc130806221"/>
      <w:bookmarkStart w:id="259" w:name="_Toc19675"/>
      <w:bookmarkStart w:id="260" w:name="_Toc21154"/>
      <w:bookmarkStart w:id="261" w:name="_Toc129178888"/>
      <w:bookmarkStart w:id="262" w:name="_Toc115877712"/>
      <w:bookmarkStart w:id="263" w:name="_Toc17447"/>
      <w:bookmarkStart w:id="264" w:name="_Toc14304"/>
      <w:bookmarkStart w:id="265" w:name="_Toc3330"/>
      <w:bookmarkStart w:id="266" w:name="_Toc12955"/>
      <w:bookmarkStart w:id="267" w:name="_Toc10325"/>
      <w:bookmarkStart w:id="268" w:name="_Toc10657"/>
      <w:bookmarkStart w:id="269" w:name="_Toc18929"/>
      <w:bookmarkStart w:id="270" w:name="_Toc3327"/>
      <w:bookmarkStart w:id="271" w:name="_Toc75793524"/>
      <w:bookmarkStart w:id="272" w:name="_Toc1327"/>
      <w:bookmarkStart w:id="273" w:name="_Toc27405"/>
      <w:bookmarkStart w:id="274" w:name="_Toc13197"/>
      <w:bookmarkStart w:id="275" w:name="_Toc15432"/>
      <w:bookmarkStart w:id="276" w:name="_Toc20020"/>
      <w:bookmarkStart w:id="277" w:name="_Toc2439"/>
      <w:bookmarkStart w:id="278" w:name="_Toc422"/>
      <w:bookmarkStart w:id="279" w:name="_Toc11996"/>
      <w:r>
        <w:rPr>
          <w:rFonts w:hint="eastAsia"/>
          <w:color w:val="auto"/>
          <w:sz w:val="24"/>
          <w:szCs w:val="24"/>
          <w:highlight w:val="none"/>
        </w:rPr>
        <w:t>一、</w:t>
      </w:r>
      <w:bookmarkEnd w:id="258"/>
      <w:bookmarkEnd w:id="259"/>
      <w:bookmarkEnd w:id="260"/>
      <w:bookmarkEnd w:id="261"/>
      <w:bookmarkEnd w:id="262"/>
      <w:bookmarkEnd w:id="263"/>
      <w:r>
        <w:rPr>
          <w:rFonts w:hint="eastAsia"/>
          <w:color w:val="auto"/>
          <w:sz w:val="24"/>
          <w:szCs w:val="24"/>
          <w:highlight w:val="none"/>
        </w:rPr>
        <w:t>供应商</w:t>
      </w:r>
      <w:bookmarkEnd w:id="264"/>
    </w:p>
    <w:p w14:paraId="2AD87AAC">
      <w:pPr>
        <w:snapToGrid w:val="0"/>
        <w:spacing w:line="360" w:lineRule="auto"/>
        <w:ind w:firstLine="480" w:firstLineChars="200"/>
        <w:rPr>
          <w:color w:val="auto"/>
          <w:sz w:val="24"/>
          <w:szCs w:val="24"/>
          <w:highlight w:val="none"/>
        </w:rPr>
      </w:pPr>
      <w:r>
        <w:rPr>
          <w:rFonts w:hint="eastAsia"/>
          <w:color w:val="auto"/>
          <w:sz w:val="24"/>
          <w:szCs w:val="24"/>
          <w:highlight w:val="none"/>
        </w:rPr>
        <w:t>（一）供应商</w:t>
      </w:r>
    </w:p>
    <w:p w14:paraId="14DCFF4D">
      <w:pPr>
        <w:snapToGrid w:val="0"/>
        <w:spacing w:line="360" w:lineRule="auto"/>
        <w:ind w:firstLine="480" w:firstLineChars="200"/>
        <w:rPr>
          <w:color w:val="auto"/>
          <w:sz w:val="24"/>
          <w:szCs w:val="24"/>
          <w:highlight w:val="none"/>
        </w:rPr>
      </w:pPr>
      <w:r>
        <w:rPr>
          <w:rFonts w:hint="eastAsia"/>
          <w:color w:val="auto"/>
          <w:sz w:val="24"/>
          <w:szCs w:val="24"/>
          <w:highlight w:val="none"/>
        </w:rPr>
        <w:t>供应商是指响应、参加响应竞争的法人。</w:t>
      </w:r>
    </w:p>
    <w:p w14:paraId="5F8B3563">
      <w:pPr>
        <w:snapToGrid w:val="0"/>
        <w:spacing w:line="360" w:lineRule="auto"/>
        <w:ind w:firstLine="480" w:firstLineChars="200"/>
        <w:rPr>
          <w:color w:val="auto"/>
          <w:sz w:val="24"/>
          <w:szCs w:val="24"/>
          <w:highlight w:val="none"/>
        </w:rPr>
      </w:pPr>
      <w:r>
        <w:rPr>
          <w:rFonts w:hint="eastAsia"/>
          <w:color w:val="auto"/>
          <w:sz w:val="24"/>
          <w:szCs w:val="24"/>
          <w:highlight w:val="none"/>
        </w:rPr>
        <w:t>（二）合格供应商条件</w:t>
      </w:r>
    </w:p>
    <w:p w14:paraId="18E86813">
      <w:pPr>
        <w:snapToGrid w:val="0"/>
        <w:spacing w:line="360" w:lineRule="auto"/>
        <w:ind w:firstLine="480" w:firstLineChars="200"/>
        <w:rPr>
          <w:color w:val="auto"/>
          <w:sz w:val="24"/>
          <w:szCs w:val="24"/>
          <w:highlight w:val="none"/>
        </w:rPr>
      </w:pPr>
      <w:r>
        <w:rPr>
          <w:rFonts w:hint="eastAsia"/>
          <w:color w:val="auto"/>
          <w:sz w:val="24"/>
          <w:szCs w:val="24"/>
          <w:highlight w:val="none"/>
        </w:rPr>
        <w:t>合格供应商应完全符合询比文件第一篇中规定的供应商资格条件，并对询比文件作出实质性响应。</w:t>
      </w:r>
    </w:p>
    <w:p w14:paraId="2FF35679">
      <w:pPr>
        <w:snapToGrid w:val="0"/>
        <w:spacing w:line="360" w:lineRule="auto"/>
        <w:ind w:firstLine="480" w:firstLineChars="200"/>
        <w:rPr>
          <w:color w:val="auto"/>
          <w:sz w:val="24"/>
          <w:szCs w:val="24"/>
          <w:highlight w:val="none"/>
        </w:rPr>
      </w:pPr>
      <w:r>
        <w:rPr>
          <w:rFonts w:hint="eastAsia"/>
          <w:color w:val="auto"/>
          <w:sz w:val="24"/>
          <w:szCs w:val="24"/>
          <w:highlight w:val="none"/>
        </w:rPr>
        <w:t>（三）供应商的风险</w:t>
      </w:r>
    </w:p>
    <w:p w14:paraId="36B73FB2">
      <w:pPr>
        <w:snapToGrid w:val="0"/>
        <w:spacing w:line="360" w:lineRule="auto"/>
        <w:ind w:firstLine="480" w:firstLineChars="200"/>
        <w:rPr>
          <w:color w:val="auto"/>
          <w:sz w:val="24"/>
          <w:szCs w:val="24"/>
          <w:highlight w:val="none"/>
        </w:rPr>
      </w:pPr>
      <w:r>
        <w:rPr>
          <w:rFonts w:hint="eastAsia"/>
          <w:color w:val="auto"/>
          <w:sz w:val="24"/>
          <w:szCs w:val="24"/>
          <w:highlight w:val="none"/>
        </w:rPr>
        <w:t>供应商没有按照询比文件要求提供全部资料，或者供应商没有对询比文件在各方面作出实质性响应，可能导致响应被拒绝或评定为无效响应。</w:t>
      </w:r>
    </w:p>
    <w:p w14:paraId="793925FF">
      <w:pPr>
        <w:snapToGrid w:val="0"/>
        <w:spacing w:line="360" w:lineRule="auto"/>
        <w:ind w:firstLine="480" w:firstLineChars="200"/>
        <w:rPr>
          <w:color w:val="auto"/>
          <w:sz w:val="24"/>
          <w:szCs w:val="24"/>
          <w:highlight w:val="none"/>
        </w:rPr>
      </w:pPr>
      <w:r>
        <w:rPr>
          <w:rFonts w:hint="eastAsia"/>
          <w:color w:val="auto"/>
          <w:sz w:val="24"/>
          <w:szCs w:val="24"/>
          <w:highlight w:val="none"/>
        </w:rPr>
        <w:t>（四）法律责任</w:t>
      </w:r>
    </w:p>
    <w:p w14:paraId="6A3C012D">
      <w:pPr>
        <w:snapToGrid w:val="0"/>
        <w:spacing w:line="360" w:lineRule="auto"/>
        <w:ind w:firstLine="480" w:firstLineChars="200"/>
        <w:rPr>
          <w:color w:val="auto"/>
          <w:sz w:val="24"/>
          <w:szCs w:val="24"/>
          <w:highlight w:val="none"/>
        </w:rPr>
      </w:pPr>
      <w:r>
        <w:rPr>
          <w:rFonts w:hint="eastAsia"/>
          <w:color w:val="auto"/>
          <w:sz w:val="24"/>
          <w:szCs w:val="24"/>
          <w:highlight w:val="none"/>
        </w:rPr>
        <w:t>供应商违反《中华人民共和国政府采购法》、《中华人民共和国政府采购实施条例》等相关规定，将按规定追究供应商法律责任。</w:t>
      </w:r>
    </w:p>
    <w:p w14:paraId="4BB8FD02">
      <w:pPr>
        <w:pStyle w:val="3"/>
        <w:ind w:firstLine="560"/>
        <w:rPr>
          <w:color w:val="auto"/>
          <w:sz w:val="24"/>
          <w:szCs w:val="24"/>
          <w:highlight w:val="none"/>
        </w:rPr>
      </w:pPr>
      <w:bookmarkStart w:id="280" w:name="_Toc2918"/>
      <w:bookmarkStart w:id="281" w:name="_Toc115877713"/>
      <w:bookmarkStart w:id="282" w:name="_Toc1180"/>
      <w:bookmarkStart w:id="283" w:name="_Toc129178889"/>
      <w:bookmarkStart w:id="284" w:name="_Toc130806222"/>
      <w:bookmarkStart w:id="285" w:name="_Toc10400"/>
      <w:bookmarkStart w:id="286" w:name="_Toc30224"/>
      <w:r>
        <w:rPr>
          <w:rFonts w:hint="eastAsia"/>
          <w:color w:val="auto"/>
          <w:sz w:val="24"/>
          <w:szCs w:val="24"/>
          <w:highlight w:val="none"/>
        </w:rPr>
        <w:t>二、</w:t>
      </w:r>
      <w:bookmarkEnd w:id="280"/>
      <w:bookmarkEnd w:id="281"/>
      <w:bookmarkEnd w:id="282"/>
      <w:bookmarkEnd w:id="283"/>
      <w:bookmarkEnd w:id="284"/>
      <w:bookmarkEnd w:id="285"/>
      <w:r>
        <w:rPr>
          <w:rFonts w:hint="eastAsia"/>
          <w:color w:val="auto"/>
          <w:sz w:val="24"/>
          <w:szCs w:val="24"/>
          <w:highlight w:val="none"/>
        </w:rPr>
        <w:t>询比文件</w:t>
      </w:r>
      <w:bookmarkEnd w:id="286"/>
    </w:p>
    <w:p w14:paraId="6F959DAB">
      <w:pPr>
        <w:snapToGrid w:val="0"/>
        <w:spacing w:line="360" w:lineRule="auto"/>
        <w:ind w:firstLine="480" w:firstLineChars="200"/>
        <w:rPr>
          <w:color w:val="auto"/>
          <w:sz w:val="24"/>
          <w:szCs w:val="24"/>
          <w:highlight w:val="none"/>
        </w:rPr>
      </w:pPr>
      <w:r>
        <w:rPr>
          <w:rFonts w:hint="eastAsia"/>
          <w:color w:val="auto"/>
          <w:sz w:val="24"/>
          <w:szCs w:val="24"/>
          <w:highlight w:val="none"/>
        </w:rPr>
        <w:t>询比文件是供应商编制响应文件的依据，是询比小组评判依据和标准。询比文件也是采购人与</w:t>
      </w:r>
      <w:r>
        <w:rPr>
          <w:rFonts w:hint="eastAsia"/>
          <w:color w:val="auto"/>
          <w:sz w:val="24"/>
          <w:szCs w:val="24"/>
          <w:highlight w:val="none"/>
          <w:lang w:eastAsia="zh-CN"/>
        </w:rPr>
        <w:t>成交供应商</w:t>
      </w:r>
      <w:r>
        <w:rPr>
          <w:rFonts w:hint="eastAsia"/>
          <w:color w:val="auto"/>
          <w:sz w:val="24"/>
          <w:szCs w:val="24"/>
          <w:highlight w:val="none"/>
        </w:rPr>
        <w:t>签订合同的基础。</w:t>
      </w:r>
    </w:p>
    <w:p w14:paraId="18C633BB">
      <w:pPr>
        <w:snapToGrid w:val="0"/>
        <w:spacing w:line="360" w:lineRule="auto"/>
        <w:ind w:firstLine="480" w:firstLineChars="200"/>
        <w:rPr>
          <w:color w:val="auto"/>
          <w:sz w:val="24"/>
          <w:szCs w:val="24"/>
          <w:highlight w:val="none"/>
        </w:rPr>
      </w:pPr>
      <w:r>
        <w:rPr>
          <w:rFonts w:hint="eastAsia"/>
          <w:color w:val="auto"/>
          <w:sz w:val="24"/>
          <w:szCs w:val="24"/>
          <w:highlight w:val="none"/>
        </w:rPr>
        <w:t>（一）询比文件由响应邀请书；项目技术规格、数量及质量要求；商务条款；供应商须知；评审方法、评审标准、无效响应条款和废标条款；合同主要条款、合同范本；响应文件格式等七部分组成。</w:t>
      </w:r>
    </w:p>
    <w:p w14:paraId="4BF5D389">
      <w:pPr>
        <w:snapToGrid w:val="0"/>
        <w:spacing w:line="360" w:lineRule="auto"/>
        <w:ind w:firstLine="480" w:firstLineChars="200"/>
        <w:rPr>
          <w:color w:val="auto"/>
          <w:sz w:val="24"/>
          <w:szCs w:val="24"/>
          <w:highlight w:val="none"/>
        </w:rPr>
      </w:pPr>
      <w:r>
        <w:rPr>
          <w:rFonts w:hint="eastAsia"/>
          <w:color w:val="auto"/>
          <w:sz w:val="24"/>
          <w:szCs w:val="24"/>
          <w:highlight w:val="none"/>
        </w:rPr>
        <w:t>（二）采购人对询比文件所作的一切有效的书面通知、修改及补充，都是询比文件不可分割的部分。</w:t>
      </w:r>
    </w:p>
    <w:p w14:paraId="6AA046DF">
      <w:pPr>
        <w:snapToGrid w:val="0"/>
        <w:spacing w:line="360" w:lineRule="auto"/>
        <w:ind w:firstLine="480" w:firstLineChars="200"/>
        <w:jc w:val="left"/>
        <w:rPr>
          <w:color w:val="auto"/>
          <w:sz w:val="24"/>
          <w:szCs w:val="24"/>
          <w:highlight w:val="none"/>
        </w:rPr>
      </w:pPr>
      <w:r>
        <w:rPr>
          <w:rFonts w:hint="eastAsia"/>
          <w:color w:val="auto"/>
          <w:sz w:val="24"/>
          <w:szCs w:val="24"/>
          <w:highlight w:val="none"/>
        </w:rPr>
        <w:t>（三）本项目的询比文件、澄清文件（如有）一律在重庆工商大学招投标信息网和行采家上发布，请各供应商注意下载；无论供应商下载与否，均视同供应商已知晓本项目询比文件、澄清文件的内容。</w:t>
      </w:r>
    </w:p>
    <w:p w14:paraId="1082873B">
      <w:pPr>
        <w:snapToGrid w:val="0"/>
        <w:spacing w:line="360" w:lineRule="auto"/>
        <w:ind w:firstLine="480" w:firstLineChars="200"/>
        <w:rPr>
          <w:color w:val="auto"/>
          <w:sz w:val="24"/>
          <w:szCs w:val="24"/>
          <w:highlight w:val="none"/>
        </w:rPr>
      </w:pPr>
      <w:r>
        <w:rPr>
          <w:rFonts w:hint="eastAsia"/>
          <w:color w:val="auto"/>
          <w:sz w:val="24"/>
          <w:szCs w:val="24"/>
          <w:highlight w:val="none"/>
        </w:rPr>
        <w:t>（四）采购人对已发出的询比文件需要进行澄清或修改的，应以书面形式或公告形式通知所有询比文件收受人。该澄清或者修改的内容为询比文件的组成部分。</w:t>
      </w:r>
    </w:p>
    <w:p w14:paraId="667DCCE6">
      <w:pPr>
        <w:pStyle w:val="3"/>
        <w:ind w:firstLine="560"/>
        <w:rPr>
          <w:color w:val="auto"/>
          <w:sz w:val="24"/>
          <w:szCs w:val="24"/>
          <w:highlight w:val="none"/>
        </w:rPr>
      </w:pPr>
      <w:bookmarkStart w:id="287" w:name="_Toc28014"/>
      <w:bookmarkStart w:id="288" w:name="_Toc115877714"/>
      <w:bookmarkStart w:id="289" w:name="_Toc129178890"/>
      <w:bookmarkStart w:id="290" w:name="_Toc7461"/>
      <w:bookmarkStart w:id="291" w:name="_Toc18882"/>
      <w:bookmarkStart w:id="292" w:name="_Toc130806223"/>
      <w:bookmarkStart w:id="293" w:name="_Toc5034"/>
      <w:r>
        <w:rPr>
          <w:rFonts w:hint="eastAsia"/>
          <w:color w:val="auto"/>
          <w:sz w:val="24"/>
          <w:szCs w:val="24"/>
          <w:highlight w:val="none"/>
        </w:rPr>
        <w:t>三、</w:t>
      </w:r>
      <w:bookmarkEnd w:id="287"/>
      <w:bookmarkEnd w:id="288"/>
      <w:bookmarkEnd w:id="289"/>
      <w:bookmarkEnd w:id="290"/>
      <w:bookmarkEnd w:id="291"/>
      <w:bookmarkEnd w:id="292"/>
      <w:r>
        <w:rPr>
          <w:rFonts w:hint="eastAsia"/>
          <w:color w:val="auto"/>
          <w:sz w:val="24"/>
          <w:szCs w:val="24"/>
          <w:highlight w:val="none"/>
        </w:rPr>
        <w:t>响应文件</w:t>
      </w:r>
      <w:bookmarkEnd w:id="293"/>
    </w:p>
    <w:p w14:paraId="31ABC122">
      <w:pPr>
        <w:pStyle w:val="10"/>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供应商应当按照询比文件的要求编制响应文件，并对询比文件提出的要求和条件作出实质性响应，响应文件原则上采用软面订本，同时应编制完整的页码、目录。</w:t>
      </w:r>
    </w:p>
    <w:p w14:paraId="67F5F9C3">
      <w:pPr>
        <w:pStyle w:val="10"/>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（一）响应文件组成</w:t>
      </w:r>
    </w:p>
    <w:p w14:paraId="3BBD587E">
      <w:pPr>
        <w:pStyle w:val="10"/>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响应文件由第七篇</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响应文件格式</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规定的部分和供应商所作的一切有效补充、修改和承诺等文件组成，供应商应按照第七篇</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响应文件格式</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规定的目录顺序组织编写和装订，否则有可能影响评委对响应文件的评审。</w:t>
      </w:r>
    </w:p>
    <w:p w14:paraId="1B9DADA6">
      <w:pPr>
        <w:pStyle w:val="10"/>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（二）响应有效期</w:t>
      </w:r>
    </w:p>
    <w:p w14:paraId="272E6639">
      <w:pPr>
        <w:pStyle w:val="10"/>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响应有效期为响应截止时间起</w:t>
      </w:r>
      <w:r>
        <w:rPr>
          <w:rFonts w:ascii="Times New Roman" w:hAnsi="Times New Roman"/>
          <w:color w:val="auto"/>
          <w:sz w:val="24"/>
          <w:szCs w:val="24"/>
          <w:highlight w:val="none"/>
        </w:rPr>
        <w:t>90</w:t>
      </w:r>
      <w:r>
        <w:rPr>
          <w:rFonts w:hint="eastAsia" w:ascii="Times New Roman" w:hAnsi="Times New Roman"/>
          <w:color w:val="auto"/>
          <w:sz w:val="24"/>
          <w:szCs w:val="24"/>
          <w:highlight w:val="none"/>
        </w:rPr>
        <w:t>天。</w:t>
      </w:r>
    </w:p>
    <w:p w14:paraId="273A4677">
      <w:pPr>
        <w:pStyle w:val="10"/>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（三）询比保证金</w:t>
      </w:r>
    </w:p>
    <w:p w14:paraId="760407EE">
      <w:pPr>
        <w:pStyle w:val="10"/>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供应商应在响应截止时间前，按询比文件第一篇规定交纳询比保证金。</w:t>
      </w:r>
    </w:p>
    <w:p w14:paraId="7D1B65BF">
      <w:pPr>
        <w:pStyle w:val="10"/>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询比保证金为响应的有效约束条件。</w:t>
      </w:r>
    </w:p>
    <w:p w14:paraId="1D0AA37A">
      <w:pPr>
        <w:pStyle w:val="10"/>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w:t>
      </w:r>
      <w:r>
        <w:rPr>
          <w:rFonts w:hint="eastAsia" w:ascii="Times New Roman" w:hAnsi="Times New Roman"/>
          <w:color w:val="auto"/>
          <w:sz w:val="24"/>
          <w:szCs w:val="24"/>
          <w:highlight w:val="none"/>
        </w:rPr>
        <w:t>询比保证金的有效期限在响应有效期过后三十天继续有效。</w:t>
      </w:r>
    </w:p>
    <w:p w14:paraId="31C3D8EB">
      <w:pPr>
        <w:pStyle w:val="10"/>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w:t>
      </w:r>
      <w:r>
        <w:rPr>
          <w:rFonts w:hint="eastAsia" w:ascii="Times New Roman" w:hAnsi="Times New Roman"/>
          <w:color w:val="auto"/>
          <w:sz w:val="24"/>
          <w:szCs w:val="24"/>
          <w:highlight w:val="none"/>
        </w:rPr>
        <w:t>询比保证金币种应与响应报价币种相同。</w:t>
      </w:r>
    </w:p>
    <w:p w14:paraId="56A5B063">
      <w:pPr>
        <w:pStyle w:val="10"/>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w:t>
      </w:r>
      <w:r>
        <w:rPr>
          <w:rFonts w:hint="eastAsia" w:ascii="Times New Roman" w:hAnsi="Times New Roman"/>
          <w:color w:val="auto"/>
          <w:sz w:val="24"/>
          <w:szCs w:val="24"/>
          <w:highlight w:val="none"/>
        </w:rPr>
        <w:t>未</w:t>
      </w:r>
      <w:r>
        <w:rPr>
          <w:rFonts w:hint="eastAsia" w:ascii="Times New Roman" w:hAnsi="Times New Roman"/>
          <w:color w:val="auto"/>
          <w:sz w:val="24"/>
          <w:szCs w:val="24"/>
          <w:highlight w:val="none"/>
          <w:lang w:eastAsia="zh-CN"/>
        </w:rPr>
        <w:t>成交供应商</w:t>
      </w:r>
      <w:r>
        <w:rPr>
          <w:rFonts w:hint="eastAsia" w:ascii="Times New Roman" w:hAnsi="Times New Roman"/>
          <w:color w:val="auto"/>
          <w:sz w:val="24"/>
          <w:szCs w:val="24"/>
          <w:highlight w:val="none"/>
        </w:rPr>
        <w:t>的询比保证金，在采购结果公告发布后五个工作日内按来款渠道全额无息直接退还；</w:t>
      </w:r>
      <w:r>
        <w:rPr>
          <w:rFonts w:hint="eastAsia" w:ascii="Times New Roman" w:hAnsi="Times New Roman"/>
          <w:color w:val="auto"/>
          <w:sz w:val="24"/>
          <w:szCs w:val="24"/>
          <w:highlight w:val="none"/>
          <w:lang w:eastAsia="zh-CN"/>
        </w:rPr>
        <w:t>成交供应商</w:t>
      </w:r>
      <w:r>
        <w:rPr>
          <w:rFonts w:hint="eastAsia" w:ascii="Times New Roman" w:hAnsi="Times New Roman"/>
          <w:color w:val="auto"/>
          <w:sz w:val="24"/>
          <w:szCs w:val="24"/>
          <w:highlight w:val="none"/>
        </w:rPr>
        <w:t>的询比保证金，在</w:t>
      </w:r>
      <w:r>
        <w:rPr>
          <w:rFonts w:hint="eastAsia" w:ascii="Times New Roman" w:hAnsi="Times New Roman"/>
          <w:color w:val="auto"/>
          <w:sz w:val="24"/>
          <w:szCs w:val="24"/>
          <w:highlight w:val="none"/>
          <w:lang w:eastAsia="zh-CN"/>
        </w:rPr>
        <w:t>成交供应商</w:t>
      </w:r>
      <w:r>
        <w:rPr>
          <w:rFonts w:hint="eastAsia" w:ascii="Times New Roman" w:hAnsi="Times New Roman"/>
          <w:color w:val="auto"/>
          <w:sz w:val="24"/>
          <w:szCs w:val="24"/>
          <w:highlight w:val="none"/>
        </w:rPr>
        <w:t>缴纳履约保证金且与采购人签订合同后五个工作日内按资金来款渠道全额无息直接退还。</w:t>
      </w:r>
    </w:p>
    <w:p w14:paraId="513552F2">
      <w:pPr>
        <w:pStyle w:val="10"/>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6.</w:t>
      </w:r>
      <w:r>
        <w:rPr>
          <w:rFonts w:hint="eastAsia" w:ascii="Times New Roman" w:hAnsi="Times New Roman"/>
          <w:b/>
          <w:bCs/>
          <w:color w:val="auto"/>
          <w:sz w:val="24"/>
          <w:szCs w:val="24"/>
          <w:highlight w:val="none"/>
        </w:rPr>
        <w:t>供应商有下列情形之一的，采购人或者采购代理机构可以不退还询比保证金：</w:t>
      </w:r>
    </w:p>
    <w:p w14:paraId="1B7097FD">
      <w:pPr>
        <w:pStyle w:val="10"/>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6.1</w:t>
      </w:r>
      <w:r>
        <w:rPr>
          <w:rFonts w:hint="eastAsia" w:ascii="Times New Roman" w:hAnsi="Times New Roman"/>
          <w:color w:val="auto"/>
          <w:sz w:val="24"/>
          <w:szCs w:val="24"/>
          <w:highlight w:val="none"/>
        </w:rPr>
        <w:t>供应商在响应有效期撤回响应文件的；</w:t>
      </w:r>
    </w:p>
    <w:p w14:paraId="471CAC09">
      <w:pPr>
        <w:pStyle w:val="10"/>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6.2</w:t>
      </w:r>
      <w:r>
        <w:rPr>
          <w:rFonts w:hint="eastAsia" w:ascii="Times New Roman" w:hAnsi="Times New Roman"/>
          <w:color w:val="auto"/>
          <w:sz w:val="24"/>
          <w:szCs w:val="24"/>
          <w:highlight w:val="none"/>
        </w:rPr>
        <w:t>供应商未按规定提交履约保证金的；</w:t>
      </w:r>
    </w:p>
    <w:p w14:paraId="62C5DCD2">
      <w:pPr>
        <w:pStyle w:val="10"/>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6.3</w:t>
      </w:r>
      <w:r>
        <w:rPr>
          <w:rFonts w:hint="eastAsia" w:ascii="Times New Roman" w:hAnsi="Times New Roman"/>
          <w:color w:val="auto"/>
          <w:sz w:val="24"/>
          <w:szCs w:val="24"/>
          <w:highlight w:val="none"/>
        </w:rPr>
        <w:t>供应商在响应过程中弄虚作假，提供虚假材料的；</w:t>
      </w:r>
    </w:p>
    <w:p w14:paraId="4AEB31EA">
      <w:pPr>
        <w:pStyle w:val="10"/>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6.4</w:t>
      </w:r>
      <w:r>
        <w:rPr>
          <w:rFonts w:hint="eastAsia" w:ascii="Times New Roman" w:hAnsi="Times New Roman"/>
          <w:color w:val="auto"/>
          <w:sz w:val="24"/>
          <w:szCs w:val="24"/>
          <w:highlight w:val="none"/>
          <w:lang w:eastAsia="zh-CN"/>
        </w:rPr>
        <w:t>成交供应商</w:t>
      </w:r>
      <w:r>
        <w:rPr>
          <w:rFonts w:hint="eastAsia" w:ascii="Times New Roman" w:hAnsi="Times New Roman"/>
          <w:color w:val="auto"/>
          <w:sz w:val="24"/>
          <w:szCs w:val="24"/>
          <w:highlight w:val="none"/>
        </w:rPr>
        <w:t>无正当理由不与采购人签订合同的；</w:t>
      </w:r>
    </w:p>
    <w:p w14:paraId="644789ED">
      <w:pPr>
        <w:pStyle w:val="10"/>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6.5</w:t>
      </w:r>
      <w:r>
        <w:rPr>
          <w:rFonts w:hint="eastAsia" w:ascii="Times New Roman" w:hAnsi="Times New Roman"/>
          <w:color w:val="auto"/>
          <w:sz w:val="24"/>
          <w:szCs w:val="24"/>
          <w:highlight w:val="none"/>
          <w:lang w:eastAsia="zh-CN"/>
        </w:rPr>
        <w:t>成交供应商</w:t>
      </w:r>
      <w:r>
        <w:rPr>
          <w:rFonts w:hint="eastAsia" w:ascii="Times New Roman" w:hAnsi="Times New Roman"/>
          <w:color w:val="auto"/>
          <w:sz w:val="24"/>
          <w:szCs w:val="24"/>
          <w:highlight w:val="none"/>
        </w:rPr>
        <w:t>将成交项目转让给他人或者在响应文件中未说明且未经采购人同意，将成交项目分包给他人的；</w:t>
      </w:r>
    </w:p>
    <w:p w14:paraId="5AE306A0">
      <w:pPr>
        <w:pStyle w:val="10"/>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6.6</w:t>
      </w:r>
      <w:r>
        <w:rPr>
          <w:rFonts w:hint="eastAsia" w:ascii="Times New Roman" w:hAnsi="Times New Roman"/>
          <w:color w:val="auto"/>
          <w:sz w:val="24"/>
          <w:szCs w:val="24"/>
          <w:highlight w:val="none"/>
          <w:lang w:eastAsia="zh-CN"/>
        </w:rPr>
        <w:t>成交供应商</w:t>
      </w:r>
      <w:r>
        <w:rPr>
          <w:rFonts w:hint="eastAsia" w:ascii="Times New Roman" w:hAnsi="Times New Roman"/>
          <w:color w:val="auto"/>
          <w:sz w:val="24"/>
          <w:szCs w:val="24"/>
          <w:highlight w:val="none"/>
        </w:rPr>
        <w:t>拒绝履行合同义务的；</w:t>
      </w:r>
    </w:p>
    <w:p w14:paraId="6964BA81">
      <w:pPr>
        <w:pStyle w:val="10"/>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6.7</w:t>
      </w:r>
      <w:r>
        <w:rPr>
          <w:rFonts w:hint="eastAsia" w:ascii="Times New Roman" w:hAnsi="Times New Roman"/>
          <w:color w:val="auto"/>
          <w:sz w:val="24"/>
          <w:szCs w:val="24"/>
          <w:highlight w:val="none"/>
        </w:rPr>
        <w:t>其他严重扰乱招投标程序的。</w:t>
      </w:r>
    </w:p>
    <w:p w14:paraId="0910BC6F">
      <w:pPr>
        <w:pStyle w:val="10"/>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（四）响应文件的份数和签署</w:t>
      </w:r>
    </w:p>
    <w:p w14:paraId="2E745213">
      <w:pPr>
        <w:pStyle w:val="10"/>
        <w:ind w:firstLine="482" w:firstLineChars="200"/>
        <w:rPr>
          <w:rFonts w:ascii="Times New Roman" w:hAnsi="Times New Roman"/>
          <w:color w:val="auto"/>
          <w:sz w:val="24"/>
          <w:szCs w:val="24"/>
          <w:highlight w:val="none"/>
        </w:rPr>
      </w:pPr>
      <w:r>
        <w:rPr>
          <w:rFonts w:ascii="Times New Roman" w:hAnsi="Times New Roman"/>
          <w:b/>
          <w:bCs/>
          <w:color w:val="auto"/>
          <w:sz w:val="24"/>
          <w:szCs w:val="24"/>
          <w:highlight w:val="none"/>
        </w:rPr>
        <w:t>1.</w:t>
      </w:r>
      <w:r>
        <w:rPr>
          <w:rFonts w:hint="eastAsia" w:ascii="Times New Roman" w:hAnsi="Times New Roman"/>
          <w:b/>
          <w:bCs/>
          <w:color w:val="auto"/>
          <w:sz w:val="24"/>
          <w:szCs w:val="24"/>
          <w:highlight w:val="none"/>
        </w:rPr>
        <w:t>响应文件一式四份，其中正本一份，副本二份，电子文档一份（电子文档内容须为响应文件正本的</w:t>
      </w:r>
      <w:r>
        <w:rPr>
          <w:rFonts w:ascii="Times New Roman" w:hAnsi="Times New Roman"/>
          <w:b/>
          <w:bCs/>
          <w:color w:val="auto"/>
          <w:sz w:val="24"/>
          <w:szCs w:val="24"/>
          <w:highlight w:val="none"/>
        </w:rPr>
        <w:t>PDF</w:t>
      </w:r>
      <w:r>
        <w:rPr>
          <w:rFonts w:hint="eastAsia" w:ascii="Times New Roman" w:hAnsi="Times New Roman"/>
          <w:b/>
          <w:bCs/>
          <w:color w:val="auto"/>
          <w:sz w:val="24"/>
          <w:szCs w:val="24"/>
          <w:highlight w:val="none"/>
        </w:rPr>
        <w:t>扫描件，文件载体须为</w:t>
      </w:r>
      <w:r>
        <w:rPr>
          <w:rFonts w:ascii="Times New Roman" w:hAnsi="Times New Roman"/>
          <w:b/>
          <w:bCs/>
          <w:color w:val="auto"/>
          <w:sz w:val="24"/>
          <w:szCs w:val="24"/>
          <w:highlight w:val="none"/>
        </w:rPr>
        <w:t>U</w:t>
      </w:r>
      <w:r>
        <w:rPr>
          <w:rFonts w:hint="eastAsia" w:ascii="Times New Roman" w:hAnsi="Times New Roman"/>
          <w:b/>
          <w:bCs/>
          <w:color w:val="auto"/>
          <w:sz w:val="24"/>
          <w:szCs w:val="24"/>
          <w:highlight w:val="none"/>
        </w:rPr>
        <w:t>盘）。</w:t>
      </w:r>
      <w:r>
        <w:rPr>
          <w:rFonts w:hint="eastAsia" w:ascii="Times New Roman" w:hAnsi="Times New Roman"/>
          <w:color w:val="auto"/>
          <w:sz w:val="24"/>
          <w:szCs w:val="24"/>
          <w:highlight w:val="none"/>
        </w:rPr>
        <w:t>每套纸质响应文件须在封面清楚地标明</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正本</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副本</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或</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电子文档</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，副本应为正本的完整复印件，副本与正本不一致时以正本为准。响应文件电子文档与纸质响应文件正本不一致时，以纸质响应文件正本为准。</w:t>
      </w:r>
    </w:p>
    <w:p w14:paraId="3FC296E7">
      <w:pPr>
        <w:pStyle w:val="10"/>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在响应文件正本中，询比文件第七篇响应文件格式中规定签字、盖章的地方必须按其规定签字、盖章。</w:t>
      </w:r>
    </w:p>
    <w:p w14:paraId="277C2D6E">
      <w:pPr>
        <w:pStyle w:val="10"/>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w:t>
      </w:r>
      <w:r>
        <w:rPr>
          <w:rFonts w:hint="eastAsia" w:ascii="Times New Roman" w:hAnsi="Times New Roman"/>
          <w:color w:val="auto"/>
          <w:sz w:val="24"/>
          <w:szCs w:val="24"/>
          <w:highlight w:val="none"/>
        </w:rPr>
        <w:t>若供应商对响应文件的错处作必要修改，则应在修改处加盖供应商公章或由法定代表人（或其授权代表）签字确认。</w:t>
      </w:r>
    </w:p>
    <w:p w14:paraId="213AA06F">
      <w:pPr>
        <w:pStyle w:val="10"/>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w:t>
      </w:r>
      <w:r>
        <w:rPr>
          <w:rFonts w:hint="eastAsia" w:ascii="Times New Roman" w:hAnsi="Times New Roman"/>
          <w:color w:val="auto"/>
          <w:sz w:val="24"/>
          <w:szCs w:val="24"/>
          <w:highlight w:val="none"/>
        </w:rPr>
        <w:t>电报、电话、传真形式的响应文件概不接受。</w:t>
      </w:r>
    </w:p>
    <w:p w14:paraId="12C67BC8">
      <w:pPr>
        <w:pStyle w:val="10"/>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（五）响应报价</w:t>
      </w:r>
    </w:p>
    <w:p w14:paraId="1FB1EAFC">
      <w:pPr>
        <w:pStyle w:val="10"/>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供应商应严格按照</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响应文件格式</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中</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开标一览表</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和</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分项报价明细表</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的格式填写报价。</w:t>
      </w:r>
    </w:p>
    <w:p w14:paraId="311A7BE4">
      <w:pPr>
        <w:pStyle w:val="10"/>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供应商的报价为一次性报价，即在响应有效期内响应价格固定不变。</w:t>
      </w:r>
    </w:p>
    <w:p w14:paraId="0C8CF17E">
      <w:pPr>
        <w:pStyle w:val="10"/>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w:t>
      </w:r>
      <w:r>
        <w:rPr>
          <w:rFonts w:hint="eastAsia" w:ascii="Times New Roman" w:hAnsi="Times New Roman"/>
          <w:color w:val="auto"/>
          <w:sz w:val="24"/>
          <w:szCs w:val="24"/>
          <w:highlight w:val="none"/>
        </w:rPr>
        <w:t>本项目只接受一个响应报价，有选择的或有条件的报价将不予接受。</w:t>
      </w:r>
    </w:p>
    <w:p w14:paraId="1E0B2957">
      <w:pPr>
        <w:pStyle w:val="10"/>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（六）修正错误</w:t>
      </w:r>
    </w:p>
    <w:p w14:paraId="6A8D247A">
      <w:pPr>
        <w:pStyle w:val="10"/>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若响应文件出现计算或表达上的错误，修正错误的原则如下：</w:t>
      </w:r>
    </w:p>
    <w:p w14:paraId="776C86E0">
      <w:pPr>
        <w:pStyle w:val="10"/>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响应文件中开标一览表（报价表）内容与响应文件中相应内容不一致的，以开标一览表（报价表）为准；</w:t>
      </w:r>
    </w:p>
    <w:p w14:paraId="741561EA">
      <w:pPr>
        <w:pStyle w:val="10"/>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大写金额和小写金额不一致的，以大写金额为准；</w:t>
      </w:r>
    </w:p>
    <w:p w14:paraId="602E0047">
      <w:pPr>
        <w:pStyle w:val="10"/>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w:t>
      </w:r>
      <w:r>
        <w:rPr>
          <w:rFonts w:hint="eastAsia" w:ascii="Times New Roman" w:hAnsi="Times New Roman"/>
          <w:color w:val="auto"/>
          <w:sz w:val="24"/>
          <w:szCs w:val="24"/>
          <w:highlight w:val="none"/>
        </w:rPr>
        <w:t>单价金额小数点或者百分比有明显错位的，以开标一览表的总价为准，并修改单价；</w:t>
      </w:r>
    </w:p>
    <w:p w14:paraId="314F5139">
      <w:pPr>
        <w:pStyle w:val="10"/>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w:t>
      </w:r>
      <w:r>
        <w:rPr>
          <w:rFonts w:hint="eastAsia" w:ascii="Times New Roman" w:hAnsi="Times New Roman"/>
          <w:color w:val="auto"/>
          <w:sz w:val="24"/>
          <w:szCs w:val="24"/>
          <w:highlight w:val="none"/>
        </w:rPr>
        <w:t>总价金额与按单价汇总金额不一致的，以单价金额计算结果为准。</w:t>
      </w:r>
    </w:p>
    <w:p w14:paraId="01F345E4">
      <w:pPr>
        <w:pStyle w:val="10"/>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询比小组按上述修正错误的原则及方法调整或修正供应商响应报价，若同时出现两种以上不一致的，按照前款规定的顺序修正，供应商同意并签字确认后，调整后的响应报价对供应商具有约束作用。如果供应商不接受修正后的报价，则其响应将作为无效响应处理。</w:t>
      </w:r>
    </w:p>
    <w:p w14:paraId="33236CA3">
      <w:pPr>
        <w:pStyle w:val="10"/>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（七）响应文件的递交</w:t>
      </w:r>
    </w:p>
    <w:p w14:paraId="6A001FBC">
      <w:pPr>
        <w:pStyle w:val="10"/>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响应文件的正本、副本以及电子文档均应密封送达开标地点，应在封套上注明项目名称、供应商名称。若正本、副本以及电子文档分别进行密封的，还应在封套上注明</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正本</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副本</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电子文档</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字样。</w:t>
      </w:r>
    </w:p>
    <w:p w14:paraId="2D8CC781">
      <w:pPr>
        <w:pStyle w:val="3"/>
        <w:ind w:firstLine="560"/>
        <w:rPr>
          <w:color w:val="auto"/>
          <w:sz w:val="24"/>
          <w:szCs w:val="24"/>
          <w:highlight w:val="none"/>
        </w:rPr>
      </w:pPr>
      <w:bookmarkStart w:id="294" w:name="_Toc23819"/>
      <w:bookmarkStart w:id="295" w:name="_Toc8406"/>
      <w:bookmarkStart w:id="296" w:name="_Toc115877715"/>
      <w:bookmarkStart w:id="297" w:name="_Toc129178891"/>
      <w:bookmarkStart w:id="298" w:name="_Toc130806224"/>
      <w:bookmarkStart w:id="299" w:name="_Toc9129"/>
      <w:bookmarkStart w:id="300" w:name="_Toc15369"/>
      <w:r>
        <w:rPr>
          <w:rFonts w:hint="eastAsia"/>
          <w:color w:val="auto"/>
          <w:sz w:val="24"/>
          <w:szCs w:val="24"/>
          <w:highlight w:val="none"/>
        </w:rPr>
        <w:t>四、开标</w:t>
      </w:r>
      <w:bookmarkEnd w:id="294"/>
      <w:bookmarkEnd w:id="295"/>
      <w:bookmarkEnd w:id="296"/>
      <w:bookmarkEnd w:id="297"/>
      <w:bookmarkEnd w:id="298"/>
      <w:bookmarkEnd w:id="299"/>
      <w:bookmarkEnd w:id="300"/>
    </w:p>
    <w:p w14:paraId="22D503AC">
      <w:pPr>
        <w:pStyle w:val="10"/>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（一）开标应当在询比文件中</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询比邀请书</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确定的时间和地点公开进行。</w:t>
      </w:r>
    </w:p>
    <w:p w14:paraId="34AA5B4B">
      <w:pPr>
        <w:pStyle w:val="10"/>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（二）采购人可视采购具体情况，延长响应截止时间和开标时间，并将变更时间书面通知所有询比文件收受人。</w:t>
      </w:r>
    </w:p>
    <w:p w14:paraId="5CE63A84">
      <w:pPr>
        <w:pStyle w:val="10"/>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（三）开标由采购人或采购代理机构主持，邀请供应商和有关监督部门代表参加</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有关监督部门可视情况派员现场监督。</w:t>
      </w:r>
    </w:p>
    <w:p w14:paraId="35125D08">
      <w:pPr>
        <w:pStyle w:val="10"/>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四）开标时，由供应商或者其推选的代表检查响应文件的密封情况；经确认无误后，由采购人或者采购代理机构工作人员当众拆封，宣布供应商名称、响应价格和《开标一览表》规定的需要宣布的其他内容。供应商不足三家的，不得开标。</w:t>
      </w:r>
    </w:p>
    <w:p w14:paraId="19B8B624">
      <w:pPr>
        <w:pStyle w:val="10"/>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（五）未宣读的响应价格、价格折扣和询比文件允许提供的备选响应方案等实质性内容等，评审时不予承认。</w:t>
      </w:r>
    </w:p>
    <w:p w14:paraId="05EEC101">
      <w:pPr>
        <w:pStyle w:val="10"/>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（六）开标过程应由采购人负责记录，并存档备查。</w:t>
      </w:r>
    </w:p>
    <w:p w14:paraId="184D930F">
      <w:pPr>
        <w:pStyle w:val="10"/>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（七）供应商未参加开标的，视同认可开标结果。</w:t>
      </w:r>
    </w:p>
    <w:p w14:paraId="0EF3C72B">
      <w:pPr>
        <w:pStyle w:val="3"/>
        <w:ind w:firstLine="560"/>
        <w:rPr>
          <w:color w:val="auto"/>
          <w:sz w:val="24"/>
          <w:szCs w:val="24"/>
          <w:highlight w:val="none"/>
        </w:rPr>
      </w:pPr>
      <w:bookmarkStart w:id="301" w:name="_Toc130806225"/>
      <w:bookmarkStart w:id="302" w:name="_Toc14257"/>
      <w:bookmarkStart w:id="303" w:name="_Toc129178892"/>
      <w:bookmarkStart w:id="304" w:name="_Toc115877716"/>
      <w:bookmarkStart w:id="305" w:name="_Toc10803"/>
      <w:bookmarkStart w:id="306" w:name="_Toc28211"/>
      <w:bookmarkStart w:id="307" w:name="_Toc23113"/>
      <w:r>
        <w:rPr>
          <w:rFonts w:hint="eastAsia"/>
          <w:color w:val="auto"/>
          <w:sz w:val="24"/>
          <w:szCs w:val="24"/>
          <w:highlight w:val="none"/>
        </w:rPr>
        <w:t>五、</w:t>
      </w:r>
      <w:bookmarkEnd w:id="301"/>
      <w:bookmarkEnd w:id="302"/>
      <w:bookmarkEnd w:id="303"/>
      <w:bookmarkEnd w:id="304"/>
      <w:bookmarkEnd w:id="305"/>
      <w:bookmarkEnd w:id="306"/>
      <w:r>
        <w:rPr>
          <w:rFonts w:hint="eastAsia"/>
          <w:color w:val="auto"/>
          <w:sz w:val="24"/>
          <w:szCs w:val="24"/>
          <w:highlight w:val="none"/>
        </w:rPr>
        <w:t>评审</w:t>
      </w:r>
      <w:bookmarkEnd w:id="307"/>
    </w:p>
    <w:p w14:paraId="03F6FBDF">
      <w:pPr>
        <w:snapToGrid w:val="0"/>
        <w:spacing w:line="360" w:lineRule="auto"/>
        <w:ind w:firstLine="480" w:firstLineChars="200"/>
        <w:rPr>
          <w:color w:val="auto"/>
          <w:sz w:val="24"/>
          <w:szCs w:val="24"/>
          <w:highlight w:val="none"/>
        </w:rPr>
      </w:pPr>
      <w:r>
        <w:rPr>
          <w:rFonts w:hint="eastAsia"/>
          <w:color w:val="auto"/>
          <w:sz w:val="24"/>
          <w:szCs w:val="24"/>
          <w:highlight w:val="none"/>
        </w:rPr>
        <w:t>见第四篇</w:t>
      </w:r>
      <w:r>
        <w:rPr>
          <w:color w:val="auto"/>
          <w:sz w:val="24"/>
          <w:szCs w:val="24"/>
          <w:highlight w:val="none"/>
        </w:rPr>
        <w:t>“</w:t>
      </w:r>
      <w:r>
        <w:rPr>
          <w:rFonts w:hint="eastAsia"/>
          <w:color w:val="auto"/>
          <w:sz w:val="24"/>
          <w:szCs w:val="24"/>
          <w:highlight w:val="none"/>
        </w:rPr>
        <w:t>评审</w:t>
      </w:r>
      <w:r>
        <w:rPr>
          <w:color w:val="auto"/>
          <w:sz w:val="24"/>
          <w:szCs w:val="24"/>
          <w:highlight w:val="none"/>
        </w:rPr>
        <w:t>”</w:t>
      </w:r>
      <w:r>
        <w:rPr>
          <w:rFonts w:hint="eastAsia"/>
          <w:color w:val="auto"/>
          <w:sz w:val="24"/>
          <w:szCs w:val="24"/>
          <w:highlight w:val="none"/>
        </w:rPr>
        <w:t>内容。</w:t>
      </w:r>
    </w:p>
    <w:p w14:paraId="48BF923A">
      <w:pPr>
        <w:pStyle w:val="3"/>
        <w:ind w:firstLine="560"/>
        <w:rPr>
          <w:color w:val="auto"/>
          <w:sz w:val="24"/>
          <w:szCs w:val="24"/>
          <w:highlight w:val="none"/>
        </w:rPr>
      </w:pPr>
      <w:bookmarkStart w:id="308" w:name="_Toc130806226"/>
      <w:bookmarkStart w:id="309" w:name="_Toc129178893"/>
      <w:bookmarkStart w:id="310" w:name="_Toc115877717"/>
      <w:bookmarkStart w:id="311" w:name="_Toc22169"/>
      <w:bookmarkStart w:id="312" w:name="_Toc12248"/>
      <w:bookmarkStart w:id="313" w:name="_Toc8264"/>
      <w:bookmarkStart w:id="314" w:name="_Toc24228"/>
      <w:r>
        <w:rPr>
          <w:rFonts w:hint="eastAsia"/>
          <w:color w:val="auto"/>
          <w:sz w:val="24"/>
          <w:szCs w:val="24"/>
          <w:highlight w:val="none"/>
        </w:rPr>
        <w:t>六、定标</w:t>
      </w:r>
      <w:bookmarkEnd w:id="308"/>
      <w:bookmarkEnd w:id="309"/>
      <w:bookmarkEnd w:id="310"/>
      <w:bookmarkEnd w:id="311"/>
      <w:bookmarkEnd w:id="312"/>
      <w:bookmarkEnd w:id="313"/>
      <w:bookmarkEnd w:id="314"/>
    </w:p>
    <w:p w14:paraId="45DB9405">
      <w:pPr>
        <w:snapToGrid w:val="0"/>
        <w:spacing w:line="360" w:lineRule="auto"/>
        <w:ind w:firstLine="480" w:firstLineChars="200"/>
        <w:rPr>
          <w:color w:val="auto"/>
          <w:sz w:val="24"/>
          <w:szCs w:val="24"/>
          <w:highlight w:val="none"/>
        </w:rPr>
      </w:pPr>
      <w:r>
        <w:rPr>
          <w:rFonts w:hint="eastAsia"/>
          <w:color w:val="auto"/>
          <w:sz w:val="24"/>
          <w:szCs w:val="24"/>
          <w:highlight w:val="none"/>
        </w:rPr>
        <w:t>（一）定标原则</w:t>
      </w:r>
    </w:p>
    <w:p w14:paraId="1459BE3C">
      <w:pPr>
        <w:snapToGrid w:val="0"/>
        <w:spacing w:line="360" w:lineRule="auto"/>
        <w:ind w:firstLine="480" w:firstLineChars="200"/>
        <w:rPr>
          <w:color w:val="auto"/>
          <w:sz w:val="24"/>
          <w:szCs w:val="24"/>
          <w:highlight w:val="none"/>
        </w:rPr>
      </w:pPr>
      <w:r>
        <w:rPr>
          <w:rFonts w:hint="eastAsia"/>
          <w:color w:val="auto"/>
          <w:sz w:val="24"/>
          <w:szCs w:val="24"/>
          <w:highlight w:val="none"/>
        </w:rPr>
        <w:t>采购人或其授权的询比小组应按照评审报告中推荐的成交候选人排名顺序确定</w:t>
      </w:r>
      <w:r>
        <w:rPr>
          <w:rFonts w:hint="eastAsia"/>
          <w:color w:val="auto"/>
          <w:sz w:val="24"/>
          <w:szCs w:val="24"/>
          <w:highlight w:val="none"/>
          <w:lang w:eastAsia="zh-CN"/>
        </w:rPr>
        <w:t>成交供应商</w:t>
      </w:r>
      <w:r>
        <w:rPr>
          <w:rFonts w:hint="eastAsia"/>
          <w:color w:val="auto"/>
          <w:sz w:val="24"/>
          <w:szCs w:val="24"/>
          <w:highlight w:val="none"/>
        </w:rPr>
        <w:t>。</w:t>
      </w:r>
    </w:p>
    <w:p w14:paraId="7EE8B938">
      <w:pPr>
        <w:snapToGrid w:val="0"/>
        <w:spacing w:line="360" w:lineRule="auto"/>
        <w:ind w:firstLine="480" w:firstLineChars="200"/>
        <w:rPr>
          <w:color w:val="auto"/>
          <w:sz w:val="24"/>
          <w:szCs w:val="24"/>
          <w:highlight w:val="none"/>
        </w:rPr>
      </w:pPr>
      <w:r>
        <w:rPr>
          <w:rFonts w:hint="eastAsia"/>
          <w:color w:val="auto"/>
          <w:sz w:val="24"/>
          <w:szCs w:val="24"/>
          <w:highlight w:val="none"/>
        </w:rPr>
        <w:t>（二）定标程序</w:t>
      </w:r>
    </w:p>
    <w:p w14:paraId="37EB7165">
      <w:pPr>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采购代理机构应当在评审结束后</w:t>
      </w:r>
      <w:r>
        <w:rPr>
          <w:color w:val="auto"/>
          <w:sz w:val="24"/>
          <w:szCs w:val="24"/>
          <w:highlight w:val="none"/>
        </w:rPr>
        <w:t>2</w:t>
      </w:r>
      <w:r>
        <w:rPr>
          <w:rFonts w:hint="eastAsia"/>
          <w:color w:val="auto"/>
          <w:sz w:val="24"/>
          <w:szCs w:val="24"/>
          <w:highlight w:val="none"/>
        </w:rPr>
        <w:t>个工作日内将评审报告送采购人。</w:t>
      </w:r>
    </w:p>
    <w:p w14:paraId="1B4C240B">
      <w:pPr>
        <w:snapToGrid w:val="0"/>
        <w:spacing w:line="360" w:lineRule="auto"/>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采购人应当自收到评审报告之日起</w:t>
      </w:r>
      <w:r>
        <w:rPr>
          <w:color w:val="auto"/>
          <w:sz w:val="24"/>
          <w:szCs w:val="24"/>
          <w:highlight w:val="none"/>
        </w:rPr>
        <w:t>5</w:t>
      </w:r>
      <w:r>
        <w:rPr>
          <w:rFonts w:hint="eastAsia"/>
          <w:color w:val="auto"/>
          <w:sz w:val="24"/>
          <w:szCs w:val="24"/>
          <w:highlight w:val="none"/>
        </w:rPr>
        <w:t>个工作日内按评审报告推荐的成交候选人顺序确定</w:t>
      </w:r>
      <w:r>
        <w:rPr>
          <w:rFonts w:hint="eastAsia"/>
          <w:color w:val="auto"/>
          <w:sz w:val="24"/>
          <w:szCs w:val="24"/>
          <w:highlight w:val="none"/>
          <w:lang w:eastAsia="zh-CN"/>
        </w:rPr>
        <w:t>成交供应商</w:t>
      </w:r>
      <w:r>
        <w:rPr>
          <w:rFonts w:hint="eastAsia"/>
          <w:color w:val="auto"/>
          <w:sz w:val="24"/>
          <w:szCs w:val="24"/>
          <w:highlight w:val="none"/>
        </w:rPr>
        <w:t>。</w:t>
      </w:r>
    </w:p>
    <w:p w14:paraId="56DBCC4D">
      <w:pPr>
        <w:snapToGrid w:val="0"/>
        <w:spacing w:line="360" w:lineRule="auto"/>
        <w:ind w:firstLine="480" w:firstLineChars="200"/>
        <w:rPr>
          <w:color w:val="auto"/>
          <w:sz w:val="24"/>
          <w:szCs w:val="24"/>
          <w:highlight w:val="none"/>
        </w:rPr>
      </w:pPr>
      <w:r>
        <w:rPr>
          <w:rFonts w:hint="eastAsia"/>
          <w:color w:val="auto"/>
          <w:sz w:val="24"/>
          <w:szCs w:val="24"/>
          <w:highlight w:val="none"/>
        </w:rPr>
        <w:t>成交候选人并列的，由采购人或者采购人委托询比小组按照服务需求的优劣顺序排列；服务需求优劣顺序相同的，按商务条款的优劣顺序排列确定</w:t>
      </w:r>
      <w:r>
        <w:rPr>
          <w:rFonts w:hint="eastAsia"/>
          <w:color w:val="auto"/>
          <w:sz w:val="24"/>
          <w:szCs w:val="24"/>
          <w:highlight w:val="none"/>
          <w:lang w:eastAsia="zh-CN"/>
        </w:rPr>
        <w:t>成交供应商</w:t>
      </w:r>
      <w:r>
        <w:rPr>
          <w:rFonts w:hint="eastAsia"/>
          <w:color w:val="auto"/>
          <w:sz w:val="24"/>
          <w:szCs w:val="24"/>
          <w:highlight w:val="none"/>
        </w:rPr>
        <w:t>。</w:t>
      </w:r>
    </w:p>
    <w:p w14:paraId="4782DFF1">
      <w:pPr>
        <w:snapToGrid w:val="0"/>
        <w:spacing w:line="360" w:lineRule="auto"/>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采购人或者采购代理机构应当自</w:t>
      </w:r>
      <w:r>
        <w:rPr>
          <w:rFonts w:hint="eastAsia"/>
          <w:color w:val="auto"/>
          <w:sz w:val="24"/>
          <w:szCs w:val="24"/>
          <w:highlight w:val="none"/>
          <w:lang w:eastAsia="zh-CN"/>
        </w:rPr>
        <w:t>成交供应商</w:t>
      </w:r>
      <w:r>
        <w:rPr>
          <w:rFonts w:hint="eastAsia"/>
          <w:color w:val="auto"/>
          <w:sz w:val="24"/>
          <w:szCs w:val="24"/>
          <w:highlight w:val="none"/>
        </w:rPr>
        <w:t>确定之日起</w:t>
      </w:r>
      <w:r>
        <w:rPr>
          <w:color w:val="auto"/>
          <w:sz w:val="24"/>
          <w:szCs w:val="24"/>
          <w:highlight w:val="none"/>
        </w:rPr>
        <w:t>2</w:t>
      </w:r>
      <w:r>
        <w:rPr>
          <w:rFonts w:hint="eastAsia"/>
          <w:color w:val="auto"/>
          <w:sz w:val="24"/>
          <w:szCs w:val="24"/>
          <w:highlight w:val="none"/>
        </w:rPr>
        <w:t>个工作日内，在重庆工商大学招投标信息网和行采家网公告成交结果。成交公告期限为</w:t>
      </w:r>
      <w:r>
        <w:rPr>
          <w:color w:val="auto"/>
          <w:sz w:val="24"/>
          <w:szCs w:val="24"/>
          <w:highlight w:val="none"/>
        </w:rPr>
        <w:t>1</w:t>
      </w:r>
      <w:r>
        <w:rPr>
          <w:rFonts w:hint="eastAsia"/>
          <w:color w:val="auto"/>
          <w:sz w:val="24"/>
          <w:szCs w:val="24"/>
          <w:highlight w:val="none"/>
        </w:rPr>
        <w:t>个工作日。</w:t>
      </w:r>
    </w:p>
    <w:p w14:paraId="1CE285B3">
      <w:pPr>
        <w:snapToGrid w:val="0"/>
        <w:spacing w:line="360" w:lineRule="auto"/>
        <w:ind w:firstLine="480" w:firstLineChars="200"/>
        <w:rPr>
          <w:color w:val="auto"/>
          <w:sz w:val="24"/>
          <w:szCs w:val="24"/>
          <w:highlight w:val="none"/>
        </w:rPr>
      </w:pPr>
      <w:r>
        <w:rPr>
          <w:color w:val="auto"/>
          <w:sz w:val="24"/>
          <w:szCs w:val="24"/>
          <w:highlight w:val="none"/>
        </w:rPr>
        <w:t>4.</w:t>
      </w:r>
      <w:r>
        <w:rPr>
          <w:rFonts w:hint="eastAsia"/>
          <w:color w:val="auto"/>
          <w:sz w:val="24"/>
          <w:szCs w:val="24"/>
          <w:highlight w:val="none"/>
          <w:lang w:eastAsia="zh-CN"/>
        </w:rPr>
        <w:t>成交供应商</w:t>
      </w:r>
      <w:r>
        <w:rPr>
          <w:rFonts w:hint="eastAsia"/>
          <w:color w:val="auto"/>
          <w:sz w:val="24"/>
          <w:szCs w:val="24"/>
          <w:highlight w:val="none"/>
        </w:rPr>
        <w:t>变更</w:t>
      </w:r>
    </w:p>
    <w:p w14:paraId="781BF2AA">
      <w:pPr>
        <w:snapToGrid w:val="0"/>
        <w:spacing w:line="360" w:lineRule="auto"/>
        <w:ind w:firstLine="480" w:firstLineChars="200"/>
        <w:rPr>
          <w:color w:val="auto"/>
          <w:sz w:val="24"/>
          <w:szCs w:val="24"/>
          <w:highlight w:val="none"/>
        </w:rPr>
      </w:pPr>
      <w:r>
        <w:rPr>
          <w:rFonts w:hint="eastAsia"/>
          <w:color w:val="auto"/>
          <w:sz w:val="24"/>
          <w:szCs w:val="24"/>
          <w:highlight w:val="none"/>
          <w:lang w:eastAsia="zh-CN"/>
        </w:rPr>
        <w:t>成交供应商</w:t>
      </w:r>
      <w:r>
        <w:rPr>
          <w:rFonts w:hint="eastAsia"/>
          <w:color w:val="auto"/>
          <w:sz w:val="24"/>
          <w:szCs w:val="24"/>
          <w:highlight w:val="none"/>
        </w:rPr>
        <w:t>拒绝与采购人签订合同的，采购人可以按照评审报告推荐的成交候选人顺序，确定排名下一位的候选人为</w:t>
      </w:r>
      <w:r>
        <w:rPr>
          <w:rFonts w:hint="eastAsia"/>
          <w:color w:val="auto"/>
          <w:sz w:val="24"/>
          <w:szCs w:val="24"/>
          <w:highlight w:val="none"/>
          <w:lang w:eastAsia="zh-CN"/>
        </w:rPr>
        <w:t>成交供应商</w:t>
      </w:r>
      <w:r>
        <w:rPr>
          <w:rFonts w:hint="eastAsia"/>
          <w:color w:val="auto"/>
          <w:sz w:val="24"/>
          <w:szCs w:val="24"/>
          <w:highlight w:val="none"/>
        </w:rPr>
        <w:t>，也可以重新开展政府采购活动。</w:t>
      </w:r>
    </w:p>
    <w:p w14:paraId="0B722203">
      <w:pPr>
        <w:pStyle w:val="3"/>
        <w:ind w:firstLine="560"/>
        <w:rPr>
          <w:color w:val="auto"/>
          <w:sz w:val="24"/>
          <w:szCs w:val="24"/>
          <w:highlight w:val="none"/>
        </w:rPr>
      </w:pPr>
      <w:bookmarkStart w:id="315" w:name="_Toc3486"/>
      <w:bookmarkStart w:id="316" w:name="_Toc24943"/>
      <w:bookmarkStart w:id="317" w:name="_Toc130806227"/>
      <w:bookmarkStart w:id="318" w:name="_Toc7736"/>
      <w:bookmarkStart w:id="319" w:name="_Toc115877718"/>
      <w:bookmarkStart w:id="320" w:name="_Toc129178894"/>
      <w:bookmarkStart w:id="321" w:name="_Toc17663"/>
      <w:r>
        <w:rPr>
          <w:rFonts w:hint="eastAsia"/>
          <w:color w:val="auto"/>
          <w:sz w:val="24"/>
          <w:szCs w:val="24"/>
          <w:highlight w:val="none"/>
        </w:rPr>
        <w:t>七、</w:t>
      </w:r>
      <w:bookmarkEnd w:id="315"/>
      <w:bookmarkEnd w:id="316"/>
      <w:bookmarkEnd w:id="317"/>
      <w:bookmarkEnd w:id="318"/>
      <w:bookmarkEnd w:id="319"/>
      <w:bookmarkEnd w:id="320"/>
      <w:r>
        <w:rPr>
          <w:rFonts w:hint="eastAsia"/>
          <w:color w:val="auto"/>
          <w:sz w:val="24"/>
          <w:szCs w:val="24"/>
          <w:highlight w:val="none"/>
        </w:rPr>
        <w:t>成交</w:t>
      </w:r>
      <w:bookmarkEnd w:id="321"/>
    </w:p>
    <w:p w14:paraId="5AB6F9E2">
      <w:pPr>
        <w:snapToGrid w:val="0"/>
        <w:spacing w:line="360" w:lineRule="auto"/>
        <w:ind w:firstLine="480" w:firstLineChars="200"/>
        <w:rPr>
          <w:color w:val="auto"/>
          <w:sz w:val="24"/>
          <w:szCs w:val="24"/>
          <w:highlight w:val="none"/>
        </w:rPr>
      </w:pPr>
      <w:r>
        <w:rPr>
          <w:rFonts w:hint="eastAsia"/>
          <w:color w:val="auto"/>
          <w:sz w:val="24"/>
          <w:szCs w:val="24"/>
          <w:highlight w:val="none"/>
        </w:rPr>
        <w:t>（一）采购人依法确定</w:t>
      </w:r>
      <w:r>
        <w:rPr>
          <w:rFonts w:hint="eastAsia"/>
          <w:color w:val="auto"/>
          <w:sz w:val="24"/>
          <w:szCs w:val="24"/>
          <w:highlight w:val="none"/>
          <w:lang w:eastAsia="zh-CN"/>
        </w:rPr>
        <w:t>成交供应商</w:t>
      </w:r>
      <w:r>
        <w:rPr>
          <w:rFonts w:hint="eastAsia"/>
          <w:color w:val="auto"/>
          <w:sz w:val="24"/>
          <w:szCs w:val="24"/>
          <w:highlight w:val="none"/>
        </w:rPr>
        <w:t>后，采购人将在</w:t>
      </w:r>
      <w:r>
        <w:rPr>
          <w:color w:val="auto"/>
          <w:sz w:val="24"/>
          <w:szCs w:val="24"/>
          <w:highlight w:val="none"/>
        </w:rPr>
        <w:t>“</w:t>
      </w:r>
      <w:r>
        <w:rPr>
          <w:rFonts w:hint="eastAsia"/>
          <w:color w:val="auto"/>
          <w:sz w:val="24"/>
          <w:szCs w:val="24"/>
          <w:highlight w:val="none"/>
        </w:rPr>
        <w:t>重庆工商大学招投标信息网</w:t>
      </w:r>
      <w:r>
        <w:rPr>
          <w:color w:val="auto"/>
          <w:sz w:val="24"/>
          <w:szCs w:val="24"/>
          <w:highlight w:val="none"/>
        </w:rPr>
        <w:t>”</w:t>
      </w:r>
      <w:r>
        <w:rPr>
          <w:rFonts w:hint="eastAsia"/>
          <w:color w:val="auto"/>
          <w:sz w:val="24"/>
          <w:szCs w:val="24"/>
          <w:highlight w:val="none"/>
        </w:rPr>
        <w:t>和行采家发布成交结果公告。</w:t>
      </w:r>
    </w:p>
    <w:p w14:paraId="1C26D48E">
      <w:pPr>
        <w:snapToGrid w:val="0"/>
        <w:spacing w:line="360" w:lineRule="auto"/>
        <w:ind w:firstLine="480" w:firstLineChars="200"/>
        <w:rPr>
          <w:color w:val="auto"/>
          <w:sz w:val="24"/>
          <w:szCs w:val="24"/>
          <w:highlight w:val="none"/>
        </w:rPr>
      </w:pPr>
      <w:r>
        <w:rPr>
          <w:rFonts w:hint="eastAsia"/>
          <w:color w:val="auto"/>
          <w:sz w:val="24"/>
          <w:szCs w:val="24"/>
          <w:highlight w:val="none"/>
        </w:rPr>
        <w:t>（二）成交结果公告发出后，采购人改变成交结果，或者</w:t>
      </w:r>
      <w:r>
        <w:rPr>
          <w:rFonts w:hint="eastAsia"/>
          <w:color w:val="auto"/>
          <w:sz w:val="24"/>
          <w:szCs w:val="24"/>
          <w:highlight w:val="none"/>
          <w:lang w:eastAsia="zh-CN"/>
        </w:rPr>
        <w:t>成交供应商</w:t>
      </w:r>
      <w:r>
        <w:rPr>
          <w:rFonts w:hint="eastAsia"/>
          <w:color w:val="auto"/>
          <w:sz w:val="24"/>
          <w:szCs w:val="24"/>
          <w:highlight w:val="none"/>
        </w:rPr>
        <w:t>放弃成交，应当承担相应的法律责任。</w:t>
      </w:r>
    </w:p>
    <w:p w14:paraId="11A7665E">
      <w:pPr>
        <w:pStyle w:val="3"/>
        <w:ind w:firstLine="560"/>
        <w:rPr>
          <w:color w:val="auto"/>
          <w:sz w:val="24"/>
          <w:szCs w:val="24"/>
          <w:highlight w:val="none"/>
        </w:rPr>
      </w:pPr>
      <w:bookmarkStart w:id="322" w:name="_Toc20863"/>
      <w:bookmarkStart w:id="323" w:name="_Toc20682"/>
      <w:r>
        <w:rPr>
          <w:rFonts w:hint="eastAsia"/>
          <w:color w:val="auto"/>
          <w:sz w:val="24"/>
          <w:szCs w:val="24"/>
          <w:highlight w:val="none"/>
        </w:rPr>
        <w:t>八、询问、质疑和投诉</w:t>
      </w:r>
      <w:bookmarkEnd w:id="322"/>
      <w:bookmarkEnd w:id="323"/>
    </w:p>
    <w:p w14:paraId="2F5B1174">
      <w:pPr>
        <w:snapToGrid w:val="0"/>
        <w:spacing w:line="360" w:lineRule="auto"/>
        <w:ind w:firstLine="480" w:firstLineChars="200"/>
        <w:rPr>
          <w:color w:val="auto"/>
          <w:sz w:val="24"/>
          <w:szCs w:val="24"/>
          <w:highlight w:val="none"/>
        </w:rPr>
      </w:pPr>
      <w:r>
        <w:rPr>
          <w:rFonts w:hint="eastAsia"/>
          <w:color w:val="auto"/>
          <w:sz w:val="24"/>
          <w:szCs w:val="24"/>
          <w:highlight w:val="none"/>
        </w:rPr>
        <w:t>（一）询问</w:t>
      </w:r>
    </w:p>
    <w:p w14:paraId="265290D9">
      <w:pPr>
        <w:snapToGrid w:val="0"/>
        <w:spacing w:line="360" w:lineRule="auto"/>
        <w:ind w:firstLine="480" w:firstLineChars="200"/>
        <w:rPr>
          <w:color w:val="auto"/>
          <w:sz w:val="24"/>
          <w:szCs w:val="24"/>
          <w:highlight w:val="none"/>
        </w:rPr>
      </w:pPr>
      <w:r>
        <w:rPr>
          <w:rFonts w:hint="eastAsia"/>
          <w:color w:val="auto"/>
          <w:sz w:val="24"/>
          <w:szCs w:val="24"/>
          <w:highlight w:val="none"/>
        </w:rPr>
        <w:t>采购人或者采购代理机构应当在</w:t>
      </w:r>
      <w:r>
        <w:rPr>
          <w:color w:val="auto"/>
          <w:sz w:val="24"/>
          <w:szCs w:val="24"/>
          <w:highlight w:val="none"/>
        </w:rPr>
        <w:t>3</w:t>
      </w:r>
      <w:r>
        <w:rPr>
          <w:rFonts w:hint="eastAsia"/>
          <w:color w:val="auto"/>
          <w:sz w:val="24"/>
          <w:szCs w:val="24"/>
          <w:highlight w:val="none"/>
        </w:rPr>
        <w:t>个工作日内对供应商依法提出的询问作出答复。供应商询问可以是口头或书面形式。</w:t>
      </w:r>
    </w:p>
    <w:p w14:paraId="0E5BCCC8">
      <w:pPr>
        <w:snapToGrid w:val="0"/>
        <w:spacing w:line="360" w:lineRule="auto"/>
        <w:ind w:firstLine="480" w:firstLineChars="200"/>
        <w:rPr>
          <w:color w:val="auto"/>
          <w:sz w:val="24"/>
          <w:szCs w:val="24"/>
          <w:highlight w:val="none"/>
        </w:rPr>
      </w:pPr>
      <w:r>
        <w:rPr>
          <w:rFonts w:hint="eastAsia"/>
          <w:color w:val="auto"/>
          <w:sz w:val="24"/>
          <w:szCs w:val="24"/>
          <w:highlight w:val="none"/>
        </w:rPr>
        <w:t>（二）质疑</w:t>
      </w:r>
    </w:p>
    <w:p w14:paraId="45280316">
      <w:pPr>
        <w:snapToGrid w:val="0"/>
        <w:spacing w:line="360" w:lineRule="auto"/>
        <w:ind w:firstLine="480" w:firstLineChars="200"/>
        <w:rPr>
          <w:color w:val="auto"/>
          <w:sz w:val="24"/>
          <w:szCs w:val="24"/>
          <w:highlight w:val="none"/>
        </w:rPr>
      </w:pPr>
      <w:r>
        <w:rPr>
          <w:rFonts w:hint="eastAsia"/>
          <w:color w:val="auto"/>
          <w:sz w:val="24"/>
          <w:szCs w:val="24"/>
          <w:highlight w:val="none"/>
        </w:rPr>
        <w:t>供应商认为采购文件、采购过程和成交结果使自己的权益受到伤害的，可向采购人或采购代理机构以书面形式提出质疑。</w:t>
      </w:r>
    </w:p>
    <w:p w14:paraId="07E553D3">
      <w:pPr>
        <w:snapToGrid w:val="0"/>
        <w:spacing w:line="360" w:lineRule="auto"/>
        <w:ind w:firstLine="480" w:firstLineChars="200"/>
        <w:rPr>
          <w:color w:val="auto"/>
          <w:sz w:val="24"/>
          <w:szCs w:val="24"/>
          <w:highlight w:val="none"/>
        </w:rPr>
      </w:pPr>
      <w:r>
        <w:rPr>
          <w:rFonts w:hint="eastAsia"/>
          <w:color w:val="auto"/>
          <w:sz w:val="24"/>
          <w:szCs w:val="24"/>
          <w:highlight w:val="none"/>
        </w:rPr>
        <w:t>提出质疑的应当是参与所质疑项目采购活动的供应商。</w:t>
      </w:r>
    </w:p>
    <w:p w14:paraId="6D25855B">
      <w:pPr>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质疑时限、内容</w:t>
      </w:r>
    </w:p>
    <w:p w14:paraId="233127D2">
      <w:pPr>
        <w:snapToGrid w:val="0"/>
        <w:spacing w:line="360" w:lineRule="auto"/>
        <w:ind w:firstLine="480" w:firstLineChars="200"/>
        <w:rPr>
          <w:color w:val="auto"/>
          <w:sz w:val="24"/>
          <w:szCs w:val="24"/>
          <w:highlight w:val="none"/>
        </w:rPr>
      </w:pPr>
      <w:r>
        <w:rPr>
          <w:color w:val="auto"/>
          <w:sz w:val="24"/>
          <w:szCs w:val="24"/>
          <w:highlight w:val="none"/>
        </w:rPr>
        <w:t>1.1</w:t>
      </w:r>
      <w:r>
        <w:rPr>
          <w:rFonts w:hint="eastAsia"/>
          <w:color w:val="auto"/>
          <w:sz w:val="24"/>
          <w:szCs w:val="24"/>
          <w:highlight w:val="none"/>
        </w:rPr>
        <w:t>供应商对询比文件提出质疑的，应在依法获取询比文件之日或者询比文件公告期限届满之日起七个工作日内提出。</w:t>
      </w:r>
    </w:p>
    <w:p w14:paraId="238FACC2">
      <w:pPr>
        <w:snapToGrid w:val="0"/>
        <w:spacing w:line="360" w:lineRule="auto"/>
        <w:ind w:firstLine="480" w:firstLineChars="200"/>
        <w:rPr>
          <w:color w:val="auto"/>
          <w:sz w:val="24"/>
          <w:szCs w:val="24"/>
          <w:highlight w:val="none"/>
        </w:rPr>
      </w:pPr>
      <w:r>
        <w:rPr>
          <w:color w:val="auto"/>
          <w:sz w:val="24"/>
          <w:szCs w:val="24"/>
          <w:highlight w:val="none"/>
        </w:rPr>
        <w:t xml:space="preserve">1.2 </w:t>
      </w:r>
      <w:r>
        <w:rPr>
          <w:rFonts w:hint="eastAsia"/>
          <w:color w:val="auto"/>
          <w:sz w:val="24"/>
          <w:szCs w:val="24"/>
          <w:highlight w:val="none"/>
        </w:rPr>
        <w:t>供应商对采购过程提出质疑的，应在各采购程序环节结束之日起七个工作日内提出。</w:t>
      </w:r>
    </w:p>
    <w:p w14:paraId="1FB40F36">
      <w:pPr>
        <w:snapToGrid w:val="0"/>
        <w:spacing w:line="360" w:lineRule="auto"/>
        <w:ind w:firstLine="480" w:firstLineChars="200"/>
        <w:rPr>
          <w:color w:val="auto"/>
          <w:sz w:val="24"/>
          <w:szCs w:val="24"/>
          <w:highlight w:val="none"/>
        </w:rPr>
      </w:pPr>
      <w:r>
        <w:rPr>
          <w:color w:val="auto"/>
          <w:sz w:val="24"/>
          <w:szCs w:val="24"/>
          <w:highlight w:val="none"/>
        </w:rPr>
        <w:t>1.3</w:t>
      </w:r>
      <w:r>
        <w:rPr>
          <w:rFonts w:hint="eastAsia"/>
          <w:color w:val="auto"/>
          <w:sz w:val="24"/>
          <w:szCs w:val="24"/>
          <w:highlight w:val="none"/>
        </w:rPr>
        <w:t>供应商对成交结果提出质疑的，应当在成交结果公告期限届满之日起七个工作日内提出。</w:t>
      </w:r>
    </w:p>
    <w:p w14:paraId="3E502C43">
      <w:pPr>
        <w:snapToGrid w:val="0"/>
        <w:spacing w:line="360" w:lineRule="auto"/>
        <w:ind w:firstLine="480" w:firstLineChars="200"/>
        <w:rPr>
          <w:color w:val="auto"/>
          <w:sz w:val="24"/>
          <w:szCs w:val="24"/>
          <w:highlight w:val="none"/>
        </w:rPr>
      </w:pPr>
      <w:r>
        <w:rPr>
          <w:color w:val="auto"/>
          <w:sz w:val="24"/>
          <w:szCs w:val="24"/>
          <w:highlight w:val="none"/>
        </w:rPr>
        <w:t>1.4</w:t>
      </w:r>
      <w:r>
        <w:rPr>
          <w:rFonts w:hint="eastAsia"/>
          <w:color w:val="auto"/>
          <w:sz w:val="24"/>
          <w:szCs w:val="24"/>
          <w:highlight w:val="none"/>
        </w:rPr>
        <w:t>供应商提出质疑应当提交质疑函和必要的证明材料，质疑函应当包括下列内容：</w:t>
      </w:r>
    </w:p>
    <w:p w14:paraId="6D3E4C8A">
      <w:pPr>
        <w:snapToGrid w:val="0"/>
        <w:spacing w:line="360" w:lineRule="auto"/>
        <w:ind w:firstLine="480" w:firstLineChars="200"/>
        <w:rPr>
          <w:color w:val="auto"/>
          <w:sz w:val="24"/>
          <w:szCs w:val="24"/>
          <w:highlight w:val="none"/>
        </w:rPr>
      </w:pPr>
      <w:r>
        <w:rPr>
          <w:color w:val="auto"/>
          <w:sz w:val="24"/>
          <w:szCs w:val="24"/>
          <w:highlight w:val="none"/>
        </w:rPr>
        <w:t>1.4.1</w:t>
      </w:r>
      <w:r>
        <w:rPr>
          <w:rFonts w:hint="eastAsia"/>
          <w:color w:val="auto"/>
          <w:sz w:val="24"/>
          <w:szCs w:val="24"/>
          <w:highlight w:val="none"/>
        </w:rPr>
        <w:t>供应商的姓名或者名称、地址、邮编、联系人及联系电话；</w:t>
      </w:r>
    </w:p>
    <w:p w14:paraId="3655D621">
      <w:pPr>
        <w:snapToGrid w:val="0"/>
        <w:spacing w:line="360" w:lineRule="auto"/>
        <w:ind w:firstLine="480" w:firstLineChars="200"/>
        <w:rPr>
          <w:color w:val="auto"/>
          <w:sz w:val="24"/>
          <w:szCs w:val="24"/>
          <w:highlight w:val="none"/>
        </w:rPr>
      </w:pPr>
      <w:r>
        <w:rPr>
          <w:color w:val="auto"/>
          <w:sz w:val="24"/>
          <w:szCs w:val="24"/>
          <w:highlight w:val="none"/>
        </w:rPr>
        <w:t>1.4.2</w:t>
      </w:r>
      <w:r>
        <w:rPr>
          <w:rFonts w:hint="eastAsia"/>
          <w:color w:val="auto"/>
          <w:sz w:val="24"/>
          <w:szCs w:val="24"/>
          <w:highlight w:val="none"/>
        </w:rPr>
        <w:t>质疑项目的名称、项目编号以及采购执行编号；</w:t>
      </w:r>
    </w:p>
    <w:p w14:paraId="347815B5">
      <w:pPr>
        <w:snapToGrid w:val="0"/>
        <w:spacing w:line="360" w:lineRule="auto"/>
        <w:ind w:firstLine="480" w:firstLineChars="200"/>
        <w:rPr>
          <w:color w:val="auto"/>
          <w:sz w:val="24"/>
          <w:szCs w:val="24"/>
          <w:highlight w:val="none"/>
        </w:rPr>
      </w:pPr>
      <w:r>
        <w:rPr>
          <w:color w:val="auto"/>
          <w:sz w:val="24"/>
          <w:szCs w:val="24"/>
          <w:highlight w:val="none"/>
        </w:rPr>
        <w:t>1.4.3</w:t>
      </w:r>
      <w:r>
        <w:rPr>
          <w:rFonts w:hint="eastAsia"/>
          <w:color w:val="auto"/>
          <w:sz w:val="24"/>
          <w:szCs w:val="24"/>
          <w:highlight w:val="none"/>
        </w:rPr>
        <w:t>具体、明确的质疑事项和与质疑事项相关的请求；</w:t>
      </w:r>
    </w:p>
    <w:p w14:paraId="1FA708DA">
      <w:pPr>
        <w:snapToGrid w:val="0"/>
        <w:spacing w:line="360" w:lineRule="auto"/>
        <w:ind w:firstLine="480" w:firstLineChars="200"/>
        <w:rPr>
          <w:color w:val="auto"/>
          <w:sz w:val="24"/>
          <w:szCs w:val="24"/>
          <w:highlight w:val="none"/>
        </w:rPr>
      </w:pPr>
      <w:r>
        <w:rPr>
          <w:color w:val="auto"/>
          <w:sz w:val="24"/>
          <w:szCs w:val="24"/>
          <w:highlight w:val="none"/>
        </w:rPr>
        <w:t>1.4.4</w:t>
      </w:r>
      <w:r>
        <w:rPr>
          <w:rFonts w:hint="eastAsia"/>
          <w:color w:val="auto"/>
          <w:sz w:val="24"/>
          <w:szCs w:val="24"/>
          <w:highlight w:val="none"/>
        </w:rPr>
        <w:t>事实依据；</w:t>
      </w:r>
    </w:p>
    <w:p w14:paraId="4F31872E">
      <w:pPr>
        <w:snapToGrid w:val="0"/>
        <w:spacing w:line="360" w:lineRule="auto"/>
        <w:ind w:firstLine="480" w:firstLineChars="200"/>
        <w:rPr>
          <w:color w:val="auto"/>
          <w:sz w:val="24"/>
          <w:szCs w:val="24"/>
          <w:highlight w:val="none"/>
        </w:rPr>
      </w:pPr>
      <w:r>
        <w:rPr>
          <w:color w:val="auto"/>
          <w:sz w:val="24"/>
          <w:szCs w:val="24"/>
          <w:highlight w:val="none"/>
        </w:rPr>
        <w:t>1.4.5</w:t>
      </w:r>
      <w:r>
        <w:rPr>
          <w:rFonts w:hint="eastAsia"/>
          <w:color w:val="auto"/>
          <w:sz w:val="24"/>
          <w:szCs w:val="24"/>
          <w:highlight w:val="none"/>
        </w:rPr>
        <w:t>必要的法律依据；</w:t>
      </w:r>
    </w:p>
    <w:p w14:paraId="38885095">
      <w:pPr>
        <w:snapToGrid w:val="0"/>
        <w:spacing w:line="360" w:lineRule="auto"/>
        <w:ind w:firstLine="480" w:firstLineChars="200"/>
        <w:rPr>
          <w:color w:val="auto"/>
          <w:sz w:val="24"/>
          <w:szCs w:val="24"/>
          <w:highlight w:val="none"/>
        </w:rPr>
      </w:pPr>
      <w:r>
        <w:rPr>
          <w:color w:val="auto"/>
          <w:sz w:val="24"/>
          <w:szCs w:val="24"/>
          <w:highlight w:val="none"/>
        </w:rPr>
        <w:t>1.4.6</w:t>
      </w:r>
      <w:r>
        <w:rPr>
          <w:rFonts w:hint="eastAsia"/>
          <w:color w:val="auto"/>
          <w:sz w:val="24"/>
          <w:szCs w:val="24"/>
          <w:highlight w:val="none"/>
        </w:rPr>
        <w:t>提出质疑的日期；</w:t>
      </w:r>
    </w:p>
    <w:p w14:paraId="2965C388">
      <w:pPr>
        <w:snapToGrid w:val="0"/>
        <w:spacing w:line="360" w:lineRule="auto"/>
        <w:ind w:firstLine="480" w:firstLineChars="200"/>
        <w:rPr>
          <w:color w:val="auto"/>
          <w:sz w:val="24"/>
          <w:szCs w:val="24"/>
          <w:highlight w:val="none"/>
        </w:rPr>
      </w:pPr>
      <w:r>
        <w:rPr>
          <w:color w:val="auto"/>
          <w:sz w:val="24"/>
          <w:szCs w:val="24"/>
          <w:highlight w:val="none"/>
        </w:rPr>
        <w:t>1.4.7</w:t>
      </w:r>
      <w:r>
        <w:rPr>
          <w:rFonts w:hint="eastAsia"/>
          <w:color w:val="auto"/>
          <w:sz w:val="24"/>
          <w:szCs w:val="24"/>
          <w:highlight w:val="none"/>
        </w:rPr>
        <w:t>营业执照（或事业单位法人证书，或个体工商户营业执照或有效的自然人身份证明）复印件；</w:t>
      </w:r>
    </w:p>
    <w:p w14:paraId="3BE677B8">
      <w:pPr>
        <w:snapToGrid w:val="0"/>
        <w:spacing w:line="360" w:lineRule="auto"/>
        <w:ind w:firstLine="480" w:firstLineChars="200"/>
        <w:rPr>
          <w:color w:val="auto"/>
          <w:sz w:val="24"/>
          <w:szCs w:val="24"/>
          <w:highlight w:val="none"/>
        </w:rPr>
      </w:pPr>
      <w:r>
        <w:rPr>
          <w:color w:val="auto"/>
          <w:sz w:val="24"/>
          <w:szCs w:val="24"/>
          <w:highlight w:val="none"/>
        </w:rPr>
        <w:t>1.4.8</w:t>
      </w:r>
      <w:r>
        <w:rPr>
          <w:rFonts w:hint="eastAsia"/>
          <w:color w:val="auto"/>
          <w:sz w:val="24"/>
          <w:szCs w:val="24"/>
          <w:highlight w:val="none"/>
        </w:rPr>
        <w:t>法定代表人授权委托书原件、法定代表人身份证复印件和其授权代表的身份证复印件（供应商为自然人的提供自然人身份证复印件）；</w:t>
      </w:r>
    </w:p>
    <w:p w14:paraId="1F6B5E24">
      <w:pPr>
        <w:snapToGrid w:val="0"/>
        <w:spacing w:line="360" w:lineRule="auto"/>
        <w:ind w:firstLine="480" w:firstLineChars="200"/>
        <w:rPr>
          <w:color w:val="auto"/>
          <w:sz w:val="24"/>
          <w:szCs w:val="24"/>
          <w:highlight w:val="none"/>
        </w:rPr>
      </w:pPr>
      <w:r>
        <w:rPr>
          <w:color w:val="auto"/>
          <w:sz w:val="24"/>
          <w:szCs w:val="24"/>
          <w:highlight w:val="none"/>
        </w:rPr>
        <w:t>1.5</w:t>
      </w:r>
      <w:r>
        <w:rPr>
          <w:rFonts w:hint="eastAsia"/>
          <w:color w:val="auto"/>
          <w:sz w:val="24"/>
          <w:szCs w:val="24"/>
          <w:highlight w:val="none"/>
        </w:rPr>
        <w:t>供应商为自然人的，质疑函应当由本人签字；供应商为法人或者其他组织的，质疑函应当由法定代表人、主要负责人，或者其授权代表签字或者盖章，并加盖公章。</w:t>
      </w:r>
    </w:p>
    <w:p w14:paraId="67510066">
      <w:pPr>
        <w:snapToGrid w:val="0"/>
        <w:spacing w:line="360" w:lineRule="auto"/>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质疑答复</w:t>
      </w:r>
    </w:p>
    <w:p w14:paraId="13B6E2D2">
      <w:pPr>
        <w:snapToGrid w:val="0"/>
        <w:spacing w:line="360" w:lineRule="auto"/>
        <w:ind w:firstLine="480" w:firstLineChars="200"/>
        <w:rPr>
          <w:color w:val="auto"/>
          <w:sz w:val="24"/>
          <w:szCs w:val="24"/>
          <w:highlight w:val="none"/>
        </w:rPr>
      </w:pPr>
      <w:r>
        <w:rPr>
          <w:rFonts w:hint="eastAsia"/>
          <w:color w:val="auto"/>
          <w:sz w:val="24"/>
          <w:szCs w:val="24"/>
          <w:highlight w:val="none"/>
        </w:rPr>
        <w:t>采购人、采购代理机构应当在收到供应商的书面质疑后七个工作日内作出答复，并以书面形式通知质疑供应商和其他有关供应商。</w:t>
      </w:r>
    </w:p>
    <w:p w14:paraId="2EFCAC6E">
      <w:pPr>
        <w:snapToGrid w:val="0"/>
        <w:spacing w:line="360" w:lineRule="auto"/>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其他</w:t>
      </w:r>
    </w:p>
    <w:p w14:paraId="59C09590">
      <w:pPr>
        <w:snapToGrid w:val="0"/>
        <w:spacing w:line="360" w:lineRule="auto"/>
        <w:ind w:firstLine="480" w:firstLineChars="200"/>
        <w:rPr>
          <w:color w:val="auto"/>
          <w:sz w:val="24"/>
          <w:szCs w:val="24"/>
          <w:highlight w:val="none"/>
        </w:rPr>
      </w:pPr>
      <w:r>
        <w:rPr>
          <w:color w:val="auto"/>
          <w:sz w:val="24"/>
          <w:szCs w:val="24"/>
          <w:highlight w:val="none"/>
        </w:rPr>
        <w:t>3.1</w:t>
      </w:r>
      <w:r>
        <w:rPr>
          <w:rFonts w:hint="eastAsia"/>
          <w:color w:val="auto"/>
          <w:sz w:val="24"/>
          <w:szCs w:val="24"/>
          <w:highlight w:val="none"/>
        </w:rPr>
        <w:t>供应商应按照《政府采购质疑和投诉办法》（财政部令第</w:t>
      </w:r>
      <w:r>
        <w:rPr>
          <w:color w:val="auto"/>
          <w:sz w:val="24"/>
          <w:szCs w:val="24"/>
          <w:highlight w:val="none"/>
        </w:rPr>
        <w:t>94</w:t>
      </w:r>
      <w:r>
        <w:rPr>
          <w:rFonts w:hint="eastAsia"/>
          <w:color w:val="auto"/>
          <w:sz w:val="24"/>
          <w:szCs w:val="24"/>
          <w:highlight w:val="none"/>
        </w:rPr>
        <w:t>号）及相关法律法规要求，在法定质疑期内一次性提出针对同一采购程序环节的质疑。</w:t>
      </w:r>
    </w:p>
    <w:p w14:paraId="26CD7D90">
      <w:pPr>
        <w:snapToGrid w:val="0"/>
        <w:spacing w:line="360" w:lineRule="auto"/>
        <w:ind w:firstLine="480" w:firstLineChars="200"/>
        <w:rPr>
          <w:color w:val="auto"/>
          <w:sz w:val="24"/>
          <w:szCs w:val="24"/>
          <w:highlight w:val="none"/>
        </w:rPr>
      </w:pPr>
      <w:r>
        <w:rPr>
          <w:color w:val="auto"/>
          <w:sz w:val="24"/>
          <w:szCs w:val="24"/>
          <w:highlight w:val="none"/>
        </w:rPr>
        <w:t>3.2</w:t>
      </w:r>
      <w:r>
        <w:rPr>
          <w:rFonts w:hint="eastAsia"/>
          <w:color w:val="auto"/>
          <w:sz w:val="24"/>
          <w:szCs w:val="24"/>
          <w:highlight w:val="none"/>
        </w:rPr>
        <w:t>质疑函范本可在财政部门户网站和中国政府采购网下载。</w:t>
      </w:r>
    </w:p>
    <w:p w14:paraId="072943E0">
      <w:pPr>
        <w:snapToGrid w:val="0"/>
        <w:spacing w:line="360" w:lineRule="auto"/>
        <w:ind w:firstLine="480" w:firstLineChars="200"/>
        <w:rPr>
          <w:color w:val="auto"/>
          <w:sz w:val="24"/>
          <w:szCs w:val="24"/>
          <w:highlight w:val="none"/>
        </w:rPr>
      </w:pPr>
      <w:r>
        <w:rPr>
          <w:color w:val="auto"/>
          <w:sz w:val="24"/>
          <w:szCs w:val="24"/>
          <w:highlight w:val="none"/>
        </w:rPr>
        <w:t>4.</w:t>
      </w:r>
      <w:r>
        <w:rPr>
          <w:rFonts w:hint="eastAsia"/>
          <w:color w:val="auto"/>
          <w:sz w:val="24"/>
          <w:szCs w:val="24"/>
          <w:highlight w:val="none"/>
        </w:rPr>
        <w:t>质疑联系方式详见第一篇</w:t>
      </w:r>
      <w:r>
        <w:rPr>
          <w:color w:val="auto"/>
          <w:sz w:val="24"/>
          <w:szCs w:val="24"/>
          <w:highlight w:val="none"/>
        </w:rPr>
        <w:t>“</w:t>
      </w:r>
      <w:r>
        <w:rPr>
          <w:rFonts w:hint="eastAsia"/>
          <w:color w:val="auto"/>
          <w:sz w:val="24"/>
          <w:szCs w:val="24"/>
          <w:highlight w:val="none"/>
        </w:rPr>
        <w:t>联系方式</w:t>
      </w:r>
      <w:r>
        <w:rPr>
          <w:color w:val="auto"/>
          <w:sz w:val="24"/>
          <w:szCs w:val="24"/>
          <w:highlight w:val="none"/>
        </w:rPr>
        <w:t>”</w:t>
      </w:r>
      <w:r>
        <w:rPr>
          <w:rFonts w:hint="eastAsia"/>
          <w:color w:val="auto"/>
          <w:sz w:val="24"/>
          <w:szCs w:val="24"/>
          <w:highlight w:val="none"/>
        </w:rPr>
        <w:t>。</w:t>
      </w:r>
    </w:p>
    <w:p w14:paraId="5D6CC4E6">
      <w:pPr>
        <w:snapToGrid w:val="0"/>
        <w:spacing w:line="360" w:lineRule="auto"/>
        <w:ind w:firstLine="480" w:firstLineChars="200"/>
        <w:rPr>
          <w:color w:val="auto"/>
          <w:sz w:val="24"/>
          <w:szCs w:val="24"/>
          <w:highlight w:val="none"/>
        </w:rPr>
      </w:pPr>
      <w:r>
        <w:rPr>
          <w:rFonts w:hint="eastAsia"/>
          <w:color w:val="auto"/>
          <w:sz w:val="24"/>
          <w:szCs w:val="24"/>
          <w:highlight w:val="none"/>
        </w:rPr>
        <w:t>（三）投诉</w:t>
      </w:r>
    </w:p>
    <w:p w14:paraId="24FF9F43">
      <w:pPr>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供应商对采购人、采购代理机构的答复不满意，或者采购人、采购代理机构未在规定时间内作出答复的，可以在答复期满后</w:t>
      </w:r>
      <w:r>
        <w:rPr>
          <w:color w:val="auto"/>
          <w:sz w:val="24"/>
          <w:szCs w:val="24"/>
          <w:highlight w:val="none"/>
        </w:rPr>
        <w:t>15</w:t>
      </w:r>
      <w:r>
        <w:rPr>
          <w:rFonts w:hint="eastAsia"/>
          <w:color w:val="auto"/>
          <w:sz w:val="24"/>
          <w:szCs w:val="24"/>
          <w:highlight w:val="none"/>
        </w:rPr>
        <w:t>个工作日内按照采购人相关内控制度规定向采购人党政办公室提起投诉。</w:t>
      </w:r>
    </w:p>
    <w:p w14:paraId="67904520">
      <w:pPr>
        <w:snapToGrid w:val="0"/>
        <w:spacing w:line="360" w:lineRule="auto"/>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供应商应按照《政府采购质疑和投诉办法》（财政部令第</w:t>
      </w:r>
      <w:r>
        <w:rPr>
          <w:color w:val="auto"/>
          <w:sz w:val="24"/>
          <w:szCs w:val="24"/>
          <w:highlight w:val="none"/>
        </w:rPr>
        <w:t>94</w:t>
      </w:r>
      <w:r>
        <w:rPr>
          <w:rFonts w:hint="eastAsia"/>
          <w:color w:val="auto"/>
          <w:sz w:val="24"/>
          <w:szCs w:val="24"/>
          <w:highlight w:val="none"/>
        </w:rPr>
        <w:t>号）及相关法律法规要求递交投诉书和必要的证明材料。投诉书范本可在财政部门户网站和中国政府采购网下载。</w:t>
      </w:r>
    </w:p>
    <w:p w14:paraId="71E33AB4">
      <w:pPr>
        <w:snapToGrid w:val="0"/>
        <w:spacing w:line="360" w:lineRule="auto"/>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投诉书应当使用中文，相关当事人提供外文书证或者外国语视听资料的，应当附有中文译本，由翻译机构盖章或者翻译人员签名；相关当事人向党政办公室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A6D8BCB">
      <w:pPr>
        <w:snapToGrid w:val="0"/>
        <w:spacing w:line="360" w:lineRule="auto"/>
        <w:ind w:firstLine="480" w:firstLineChars="200"/>
        <w:rPr>
          <w:color w:val="auto"/>
          <w:sz w:val="24"/>
          <w:szCs w:val="24"/>
          <w:highlight w:val="none"/>
        </w:rPr>
      </w:pPr>
      <w:r>
        <w:rPr>
          <w:color w:val="auto"/>
          <w:sz w:val="24"/>
          <w:szCs w:val="24"/>
          <w:highlight w:val="none"/>
        </w:rPr>
        <w:t>4.</w:t>
      </w:r>
      <w:r>
        <w:rPr>
          <w:rFonts w:hint="eastAsia"/>
          <w:color w:val="auto"/>
          <w:sz w:val="24"/>
          <w:szCs w:val="24"/>
          <w:highlight w:val="none"/>
        </w:rPr>
        <w:t>在确定受理投诉后，党政办公室自受理投诉之日起</w:t>
      </w:r>
      <w:r>
        <w:rPr>
          <w:color w:val="auto"/>
          <w:sz w:val="24"/>
          <w:szCs w:val="24"/>
          <w:highlight w:val="none"/>
        </w:rPr>
        <w:t>30</w:t>
      </w:r>
      <w:r>
        <w:rPr>
          <w:rFonts w:hint="eastAsia"/>
          <w:color w:val="auto"/>
          <w:sz w:val="24"/>
          <w:szCs w:val="24"/>
          <w:highlight w:val="none"/>
        </w:rPr>
        <w:t>个工作日内（需要检验、检测、鉴定、专家评审以及需要投诉人补正材料的，所需时间不计算在投诉处理期限内）对投诉事项做出处理决定</w:t>
      </w:r>
    </w:p>
    <w:p w14:paraId="04DF7F89">
      <w:pPr>
        <w:pStyle w:val="3"/>
        <w:ind w:firstLine="560"/>
        <w:rPr>
          <w:color w:val="auto"/>
          <w:sz w:val="24"/>
          <w:szCs w:val="24"/>
          <w:highlight w:val="none"/>
        </w:rPr>
      </w:pPr>
      <w:bookmarkStart w:id="324" w:name="_Toc106030408"/>
      <w:bookmarkStart w:id="325" w:name="_Toc24536"/>
      <w:bookmarkStart w:id="326" w:name="_Toc14316"/>
      <w:bookmarkStart w:id="327" w:name="_Toc19956"/>
      <w:r>
        <w:rPr>
          <w:rFonts w:hint="eastAsia"/>
          <w:color w:val="auto"/>
          <w:sz w:val="24"/>
          <w:szCs w:val="24"/>
          <w:highlight w:val="none"/>
        </w:rPr>
        <w:t>九、</w:t>
      </w:r>
      <w:bookmarkEnd w:id="324"/>
      <w:bookmarkStart w:id="328" w:name="_Toc32236"/>
      <w:bookmarkStart w:id="329" w:name="_Toc1788"/>
      <w:bookmarkStart w:id="330" w:name="_Toc429584878"/>
      <w:bookmarkStart w:id="331" w:name="_Toc27824"/>
      <w:bookmarkStart w:id="332" w:name="_Toc31483"/>
      <w:bookmarkStart w:id="333" w:name="_Toc9407"/>
      <w:bookmarkStart w:id="334" w:name="_Toc20094"/>
      <w:bookmarkStart w:id="335" w:name="_Toc75793533"/>
      <w:bookmarkStart w:id="336" w:name="_Toc15547"/>
      <w:bookmarkStart w:id="337" w:name="_Toc343881212"/>
      <w:bookmarkStart w:id="338" w:name="_Toc21345"/>
      <w:bookmarkStart w:id="339" w:name="_Toc1827"/>
      <w:bookmarkStart w:id="340" w:name="_Toc13008"/>
      <w:bookmarkStart w:id="341" w:name="_Toc106030409"/>
      <w:bookmarkStart w:id="342" w:name="_Toc342983494"/>
      <w:bookmarkStart w:id="343" w:name="_Toc15694"/>
      <w:bookmarkStart w:id="344" w:name="_Toc18481"/>
      <w:bookmarkStart w:id="345" w:name="_Toc27355"/>
      <w:bookmarkStart w:id="346" w:name="_Toc23674"/>
      <w:bookmarkStart w:id="347" w:name="_Toc345318310"/>
      <w:r>
        <w:rPr>
          <w:rFonts w:hint="eastAsia"/>
          <w:color w:val="auto"/>
          <w:sz w:val="24"/>
          <w:szCs w:val="24"/>
          <w:highlight w:val="none"/>
        </w:rPr>
        <w:t>交易服务费</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0A329878">
      <w:pPr>
        <w:snapToGrid w:val="0"/>
        <w:spacing w:line="360" w:lineRule="auto"/>
        <w:ind w:firstLine="480" w:firstLineChars="200"/>
        <w:rPr>
          <w:color w:val="auto"/>
          <w:sz w:val="24"/>
          <w:szCs w:val="24"/>
          <w:highlight w:val="none"/>
        </w:rPr>
      </w:pPr>
      <w:r>
        <w:rPr>
          <w:rFonts w:hint="eastAsia"/>
          <w:color w:val="auto"/>
          <w:sz w:val="24"/>
          <w:szCs w:val="24"/>
          <w:highlight w:val="none"/>
        </w:rPr>
        <w:t>无。</w:t>
      </w:r>
    </w:p>
    <w:p w14:paraId="6DF8562C">
      <w:pPr>
        <w:pStyle w:val="3"/>
        <w:ind w:firstLine="560"/>
        <w:rPr>
          <w:color w:val="auto"/>
          <w:sz w:val="24"/>
          <w:szCs w:val="24"/>
          <w:highlight w:val="none"/>
        </w:rPr>
      </w:pPr>
      <w:bookmarkStart w:id="348" w:name="_Toc115877720"/>
      <w:bookmarkStart w:id="349" w:name="_Toc14859"/>
      <w:bookmarkStart w:id="350" w:name="_Toc10350"/>
      <w:bookmarkStart w:id="351" w:name="_Toc25022"/>
      <w:bookmarkStart w:id="352" w:name="_Toc22074"/>
      <w:bookmarkStart w:id="353" w:name="_Toc130806229"/>
      <w:bookmarkStart w:id="354" w:name="_Toc129178896"/>
      <w:r>
        <w:rPr>
          <w:rFonts w:hint="eastAsia"/>
          <w:color w:val="auto"/>
          <w:sz w:val="24"/>
          <w:szCs w:val="24"/>
          <w:highlight w:val="none"/>
        </w:rPr>
        <w:t>十、签订合同</w:t>
      </w:r>
      <w:bookmarkEnd w:id="348"/>
      <w:bookmarkEnd w:id="349"/>
      <w:bookmarkEnd w:id="350"/>
      <w:bookmarkEnd w:id="351"/>
      <w:bookmarkEnd w:id="352"/>
      <w:bookmarkEnd w:id="353"/>
      <w:bookmarkEnd w:id="354"/>
    </w:p>
    <w:p w14:paraId="10D74949">
      <w:pPr>
        <w:spacing w:line="360" w:lineRule="auto"/>
        <w:ind w:firstLine="480" w:firstLineChars="200"/>
        <w:rPr>
          <w:color w:val="auto"/>
          <w:sz w:val="24"/>
          <w:szCs w:val="24"/>
          <w:highlight w:val="none"/>
        </w:rPr>
      </w:pPr>
      <w:r>
        <w:rPr>
          <w:rFonts w:hint="eastAsia"/>
          <w:color w:val="auto"/>
          <w:sz w:val="24"/>
          <w:szCs w:val="24"/>
          <w:highlight w:val="none"/>
        </w:rPr>
        <w:t>（一）采购人应当自采购结果公告发出之日起三十日内，按照询比文件和</w:t>
      </w:r>
      <w:r>
        <w:rPr>
          <w:rFonts w:hint="eastAsia"/>
          <w:color w:val="auto"/>
          <w:sz w:val="24"/>
          <w:szCs w:val="24"/>
          <w:highlight w:val="none"/>
          <w:lang w:eastAsia="zh-CN"/>
        </w:rPr>
        <w:t>成交供应商</w:t>
      </w:r>
      <w:r>
        <w:rPr>
          <w:rFonts w:hint="eastAsia"/>
          <w:color w:val="auto"/>
          <w:sz w:val="24"/>
          <w:szCs w:val="24"/>
          <w:highlight w:val="none"/>
        </w:rPr>
        <w:t>响应文件的约定，与</w:t>
      </w:r>
      <w:r>
        <w:rPr>
          <w:rFonts w:hint="eastAsia"/>
          <w:color w:val="auto"/>
          <w:sz w:val="24"/>
          <w:szCs w:val="24"/>
          <w:highlight w:val="none"/>
          <w:lang w:eastAsia="zh-CN"/>
        </w:rPr>
        <w:t>成交供应商</w:t>
      </w:r>
      <w:r>
        <w:rPr>
          <w:rFonts w:hint="eastAsia"/>
          <w:color w:val="auto"/>
          <w:sz w:val="24"/>
          <w:szCs w:val="24"/>
          <w:highlight w:val="none"/>
        </w:rPr>
        <w:t>签订书面合同。所签订的合同不得对询比文件和</w:t>
      </w:r>
      <w:r>
        <w:rPr>
          <w:rFonts w:hint="eastAsia"/>
          <w:color w:val="auto"/>
          <w:sz w:val="24"/>
          <w:szCs w:val="24"/>
          <w:highlight w:val="none"/>
          <w:lang w:eastAsia="zh-CN"/>
        </w:rPr>
        <w:t>成交供应商</w:t>
      </w:r>
      <w:r>
        <w:rPr>
          <w:rFonts w:hint="eastAsia"/>
          <w:color w:val="auto"/>
          <w:sz w:val="24"/>
          <w:szCs w:val="24"/>
          <w:highlight w:val="none"/>
        </w:rPr>
        <w:t>响应文件作实质性修改。其他未尽事宜由采购人和</w:t>
      </w:r>
      <w:r>
        <w:rPr>
          <w:rFonts w:hint="eastAsia"/>
          <w:color w:val="auto"/>
          <w:sz w:val="24"/>
          <w:szCs w:val="24"/>
          <w:highlight w:val="none"/>
          <w:lang w:eastAsia="zh-CN"/>
        </w:rPr>
        <w:t>成交供应商</w:t>
      </w:r>
      <w:r>
        <w:rPr>
          <w:rFonts w:hint="eastAsia"/>
          <w:color w:val="auto"/>
          <w:sz w:val="24"/>
          <w:szCs w:val="24"/>
          <w:highlight w:val="none"/>
        </w:rPr>
        <w:t>在采购合同中详细约定。</w:t>
      </w:r>
    </w:p>
    <w:p w14:paraId="1172DF76">
      <w:pPr>
        <w:spacing w:line="360" w:lineRule="auto"/>
        <w:ind w:firstLine="480" w:firstLineChars="200"/>
        <w:rPr>
          <w:color w:val="auto"/>
          <w:sz w:val="24"/>
          <w:szCs w:val="24"/>
          <w:highlight w:val="none"/>
        </w:rPr>
      </w:pPr>
      <w:r>
        <w:rPr>
          <w:rFonts w:hint="eastAsia"/>
          <w:color w:val="auto"/>
          <w:sz w:val="24"/>
          <w:szCs w:val="24"/>
          <w:highlight w:val="none"/>
        </w:rPr>
        <w:t>（二）采购人应当自政府采购合同签订之日起</w:t>
      </w:r>
      <w:r>
        <w:rPr>
          <w:color w:val="auto"/>
          <w:sz w:val="24"/>
          <w:szCs w:val="24"/>
          <w:highlight w:val="none"/>
        </w:rPr>
        <w:t>2</w:t>
      </w:r>
      <w:r>
        <w:rPr>
          <w:rFonts w:hint="eastAsia"/>
          <w:color w:val="auto"/>
          <w:sz w:val="24"/>
          <w:szCs w:val="24"/>
          <w:highlight w:val="none"/>
        </w:rPr>
        <w:t>个工作日内，将政府采购合同在重庆市政府采购网上公告，但政府采购合同中涉及国家秘密、商业秘密的内容除外。</w:t>
      </w:r>
    </w:p>
    <w:p w14:paraId="2DC12B85">
      <w:pPr>
        <w:spacing w:line="360" w:lineRule="auto"/>
        <w:ind w:firstLine="480" w:firstLineChars="200"/>
        <w:rPr>
          <w:color w:val="auto"/>
          <w:sz w:val="24"/>
          <w:szCs w:val="24"/>
          <w:highlight w:val="none"/>
        </w:rPr>
      </w:pPr>
      <w:r>
        <w:rPr>
          <w:rFonts w:hint="eastAsia"/>
          <w:color w:val="auto"/>
          <w:sz w:val="24"/>
          <w:szCs w:val="24"/>
          <w:highlight w:val="none"/>
        </w:rPr>
        <w:t>（三）询比文件、</w:t>
      </w:r>
      <w:r>
        <w:rPr>
          <w:rFonts w:hint="eastAsia"/>
          <w:color w:val="auto"/>
          <w:sz w:val="24"/>
          <w:szCs w:val="24"/>
          <w:highlight w:val="none"/>
          <w:lang w:eastAsia="zh-CN"/>
        </w:rPr>
        <w:t>成交供应商</w:t>
      </w:r>
      <w:r>
        <w:rPr>
          <w:rFonts w:hint="eastAsia"/>
          <w:color w:val="auto"/>
          <w:sz w:val="24"/>
          <w:szCs w:val="24"/>
          <w:highlight w:val="none"/>
        </w:rPr>
        <w:t>的响应文件及澄清文件等，均为签订政府采购合同的依据。</w:t>
      </w:r>
    </w:p>
    <w:p w14:paraId="35F4AC9A">
      <w:pPr>
        <w:spacing w:line="360" w:lineRule="auto"/>
        <w:ind w:firstLine="480" w:firstLineChars="200"/>
        <w:rPr>
          <w:color w:val="auto"/>
          <w:sz w:val="24"/>
          <w:szCs w:val="24"/>
          <w:highlight w:val="none"/>
        </w:rPr>
      </w:pPr>
      <w:r>
        <w:rPr>
          <w:rFonts w:hint="eastAsia"/>
          <w:color w:val="auto"/>
          <w:sz w:val="24"/>
          <w:szCs w:val="24"/>
          <w:highlight w:val="none"/>
        </w:rPr>
        <w:t>（四）合同生效条款由供需双方约定，法律、行政法规规定应当办理批准、登记等手续后生效的合同，依照其规定。</w:t>
      </w:r>
    </w:p>
    <w:p w14:paraId="6F85D28D">
      <w:pPr>
        <w:spacing w:line="360" w:lineRule="auto"/>
        <w:ind w:firstLine="480" w:firstLineChars="200"/>
        <w:rPr>
          <w:color w:val="auto"/>
          <w:sz w:val="24"/>
          <w:szCs w:val="24"/>
          <w:highlight w:val="none"/>
        </w:rPr>
      </w:pPr>
      <w:r>
        <w:rPr>
          <w:rFonts w:hint="eastAsia"/>
          <w:color w:val="auto"/>
          <w:sz w:val="24"/>
          <w:szCs w:val="24"/>
          <w:highlight w:val="none"/>
        </w:rPr>
        <w:t>（五）合同原则上应按照《重庆市政府采购合同》签订，相关单位要求适用合同通用格式版本的，应按其要求另行签订其他合同。</w:t>
      </w:r>
    </w:p>
    <w:p w14:paraId="1904B8E4">
      <w:pPr>
        <w:spacing w:line="360" w:lineRule="auto"/>
        <w:ind w:firstLine="480" w:firstLineChars="200"/>
        <w:rPr>
          <w:color w:val="auto"/>
          <w:sz w:val="24"/>
          <w:szCs w:val="24"/>
          <w:highlight w:val="none"/>
        </w:rPr>
      </w:pPr>
      <w:r>
        <w:rPr>
          <w:rFonts w:hint="eastAsia"/>
          <w:color w:val="auto"/>
          <w:sz w:val="24"/>
          <w:szCs w:val="24"/>
          <w:highlight w:val="none"/>
        </w:rPr>
        <w:t>（六）采购人要求</w:t>
      </w:r>
      <w:r>
        <w:rPr>
          <w:rFonts w:hint="eastAsia"/>
          <w:color w:val="auto"/>
          <w:sz w:val="24"/>
          <w:szCs w:val="24"/>
          <w:highlight w:val="none"/>
          <w:lang w:eastAsia="zh-CN"/>
        </w:rPr>
        <w:t>成交供应商</w:t>
      </w:r>
      <w:r>
        <w:rPr>
          <w:rFonts w:hint="eastAsia"/>
          <w:color w:val="auto"/>
          <w:sz w:val="24"/>
          <w:szCs w:val="24"/>
          <w:highlight w:val="none"/>
        </w:rPr>
        <w:t>提供履约保证金的，应当在询比文件中予以约定。</w:t>
      </w:r>
      <w:r>
        <w:rPr>
          <w:rFonts w:hint="eastAsia"/>
          <w:color w:val="auto"/>
          <w:sz w:val="24"/>
          <w:szCs w:val="24"/>
          <w:highlight w:val="none"/>
          <w:lang w:eastAsia="zh-CN"/>
        </w:rPr>
        <w:t>成交供应商</w:t>
      </w:r>
      <w:r>
        <w:rPr>
          <w:rFonts w:hint="eastAsia"/>
          <w:color w:val="auto"/>
          <w:sz w:val="24"/>
          <w:szCs w:val="24"/>
          <w:highlight w:val="none"/>
        </w:rPr>
        <w:t>履约完毕后，采购人应按询比文件及合同的约定无息退还其履约保证金。</w:t>
      </w:r>
    </w:p>
    <w:p w14:paraId="1ACC1EBC">
      <w:pPr>
        <w:pStyle w:val="3"/>
        <w:ind w:firstLine="560"/>
        <w:rPr>
          <w:color w:val="auto"/>
          <w:sz w:val="24"/>
          <w:szCs w:val="24"/>
          <w:highlight w:val="none"/>
        </w:rPr>
      </w:pPr>
      <w:bookmarkStart w:id="355" w:name="_Toc1592"/>
      <w:bookmarkStart w:id="356" w:name="_Toc31381"/>
      <w:bookmarkStart w:id="357" w:name="_Toc32748"/>
      <w:bookmarkStart w:id="358" w:name="_Toc130806230"/>
      <w:bookmarkStart w:id="359" w:name="_Toc129178897"/>
      <w:bookmarkStart w:id="360" w:name="_Toc10773"/>
      <w:bookmarkStart w:id="361" w:name="_Toc115877721"/>
      <w:r>
        <w:rPr>
          <w:rFonts w:hint="eastAsia"/>
          <w:color w:val="auto"/>
          <w:sz w:val="24"/>
          <w:szCs w:val="24"/>
          <w:highlight w:val="none"/>
        </w:rPr>
        <w:t>十一、其他</w:t>
      </w:r>
      <w:bookmarkEnd w:id="355"/>
    </w:p>
    <w:bookmarkEnd w:id="356"/>
    <w:bookmarkEnd w:id="357"/>
    <w:bookmarkEnd w:id="358"/>
    <w:bookmarkEnd w:id="359"/>
    <w:bookmarkEnd w:id="360"/>
    <w:bookmarkEnd w:id="361"/>
    <w:p w14:paraId="16495A93">
      <w:pPr>
        <w:ind w:firstLine="480"/>
        <w:jc w:val="left"/>
        <w:rPr>
          <w:color w:val="auto"/>
          <w:sz w:val="24"/>
          <w:szCs w:val="24"/>
          <w:highlight w:val="none"/>
        </w:rPr>
      </w:pPr>
      <w:bookmarkStart w:id="362" w:name="_Toc26219"/>
      <w:r>
        <w:rPr>
          <w:rFonts w:hint="eastAsia"/>
          <w:color w:val="auto"/>
          <w:sz w:val="24"/>
          <w:szCs w:val="24"/>
          <w:highlight w:val="none"/>
        </w:rPr>
        <w:t>本询比文件未尽事宜及解释权属于重庆工商大学。</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362"/>
    </w:p>
    <w:p w14:paraId="2F067FF0">
      <w:pPr>
        <w:ind w:firstLine="560"/>
        <w:jc w:val="center"/>
        <w:rPr>
          <w:rStyle w:val="30"/>
          <w:b/>
          <w:bCs/>
          <w:color w:val="auto"/>
          <w:sz w:val="44"/>
          <w:szCs w:val="44"/>
          <w:highlight w:val="none"/>
        </w:rPr>
      </w:pPr>
      <w:r>
        <w:rPr>
          <w:color w:val="auto"/>
          <w:highlight w:val="none"/>
        </w:rPr>
        <w:br w:type="page"/>
      </w:r>
      <w:bookmarkStart w:id="363" w:name="_Toc18925"/>
      <w:bookmarkStart w:id="364" w:name="_Toc17885"/>
      <w:bookmarkStart w:id="365" w:name="_Toc13696"/>
      <w:bookmarkStart w:id="366" w:name="_Toc9831"/>
      <w:bookmarkStart w:id="367" w:name="_Toc21870"/>
      <w:bookmarkStart w:id="368" w:name="_Toc12210"/>
      <w:bookmarkStart w:id="369" w:name="_Toc3344"/>
      <w:bookmarkStart w:id="370" w:name="_Toc5544"/>
      <w:bookmarkStart w:id="371" w:name="_Toc4454"/>
      <w:bookmarkStart w:id="372" w:name="_Toc128"/>
      <w:bookmarkStart w:id="373" w:name="_Toc7598"/>
      <w:bookmarkStart w:id="374" w:name="_Toc28592"/>
      <w:bookmarkStart w:id="375" w:name="_Toc5880"/>
      <w:bookmarkStart w:id="376" w:name="_Toc75793536"/>
      <w:bookmarkStart w:id="377" w:name="_Toc19939"/>
      <w:bookmarkStart w:id="378" w:name="_Toc9505"/>
      <w:bookmarkStart w:id="379" w:name="_Toc20204"/>
      <w:bookmarkStart w:id="380" w:name="_Toc26305"/>
      <w:r>
        <w:rPr>
          <w:rStyle w:val="30"/>
          <w:b/>
          <w:bCs/>
          <w:color w:val="auto"/>
          <w:sz w:val="44"/>
          <w:szCs w:val="44"/>
          <w:highlight w:val="none"/>
        </w:rPr>
        <w:t>第六篇  合同主要条款和格式合同（样本）</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bookmarkEnd w:id="379"/>
    <w:bookmarkEnd w:id="380"/>
    <w:p w14:paraId="5A74C034">
      <w:pPr>
        <w:numPr>
          <w:ilvl w:val="0"/>
          <w:numId w:val="1"/>
        </w:numPr>
        <w:ind w:firstLine="482"/>
        <w:rPr>
          <w:b/>
          <w:bCs/>
          <w:color w:val="auto"/>
          <w:sz w:val="24"/>
          <w:szCs w:val="24"/>
          <w:highlight w:val="none"/>
        </w:rPr>
      </w:pPr>
      <w:bookmarkStart w:id="381" w:name="_Toc3208"/>
      <w:bookmarkStart w:id="382" w:name="_Toc6684"/>
      <w:bookmarkStart w:id="383" w:name="_Toc277084871"/>
      <w:bookmarkStart w:id="384" w:name="_Toc285722713"/>
      <w:bookmarkStart w:id="385" w:name="_Toc14438"/>
      <w:bookmarkStart w:id="386" w:name="_Toc75793538"/>
      <w:bookmarkStart w:id="387" w:name="_Toc24031"/>
      <w:bookmarkStart w:id="388" w:name="_Toc10851"/>
      <w:bookmarkStart w:id="389" w:name="_Toc14172"/>
      <w:bookmarkStart w:id="390" w:name="_Toc13103"/>
      <w:bookmarkStart w:id="391" w:name="_Toc15074"/>
      <w:bookmarkStart w:id="392" w:name="_Toc532"/>
      <w:bookmarkStart w:id="393" w:name="_Toc11006"/>
      <w:bookmarkStart w:id="394" w:name="_Toc10958"/>
      <w:bookmarkStart w:id="395" w:name="_Toc6201"/>
      <w:bookmarkStart w:id="396" w:name="_Toc4623"/>
      <w:bookmarkStart w:id="397" w:name="_Toc1900"/>
      <w:bookmarkStart w:id="398" w:name="_Toc11820"/>
      <w:r>
        <w:rPr>
          <w:rFonts w:hint="eastAsia"/>
          <w:b/>
          <w:bCs/>
          <w:color w:val="auto"/>
          <w:sz w:val="24"/>
          <w:szCs w:val="24"/>
          <w:highlight w:val="none"/>
        </w:rPr>
        <w:t>采购合同（格式）</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63BE6600">
      <w:pPr>
        <w:spacing w:line="400" w:lineRule="exact"/>
        <w:ind w:firstLine="562"/>
        <w:jc w:val="center"/>
        <w:rPr>
          <w:b/>
          <w:color w:val="auto"/>
          <w:kern w:val="0"/>
          <w:szCs w:val="28"/>
          <w:highlight w:val="none"/>
          <w:lang w:bidi="ar"/>
        </w:rPr>
      </w:pPr>
    </w:p>
    <w:p w14:paraId="010B6573">
      <w:pPr>
        <w:spacing w:line="400" w:lineRule="exact"/>
        <w:jc w:val="center"/>
        <w:rPr>
          <w:b/>
          <w:color w:val="auto"/>
          <w:kern w:val="0"/>
          <w:sz w:val="32"/>
          <w:szCs w:val="32"/>
          <w:highlight w:val="none"/>
          <w:lang w:bidi="ar"/>
        </w:rPr>
      </w:pPr>
      <w:r>
        <w:rPr>
          <w:rFonts w:hint="eastAsia"/>
          <w:b/>
          <w:color w:val="auto"/>
          <w:kern w:val="0"/>
          <w:sz w:val="32"/>
          <w:szCs w:val="32"/>
          <w:highlight w:val="none"/>
          <w:lang w:bidi="ar"/>
        </w:rPr>
        <w:t>重庆工商大学采购合同</w:t>
      </w:r>
    </w:p>
    <w:p w14:paraId="0EDA8981">
      <w:pPr>
        <w:spacing w:line="400" w:lineRule="exact"/>
        <w:ind w:firstLine="480"/>
        <w:jc w:val="center"/>
        <w:rPr>
          <w:color w:val="auto"/>
          <w:kern w:val="0"/>
          <w:sz w:val="24"/>
          <w:highlight w:val="none"/>
          <w:lang w:bidi="ar"/>
        </w:rPr>
      </w:pPr>
      <w:r>
        <w:rPr>
          <w:rFonts w:hint="eastAsia"/>
          <w:color w:val="auto"/>
          <w:kern w:val="0"/>
          <w:sz w:val="24"/>
          <w:highlight w:val="none"/>
          <w:lang w:bidi="ar"/>
        </w:rPr>
        <w:t>（项目名称：</w:t>
      </w:r>
      <w:r>
        <w:rPr>
          <w:rFonts w:hint="eastAsia"/>
          <w:color w:val="auto"/>
          <w:sz w:val="24"/>
          <w:szCs w:val="24"/>
          <w:highlight w:val="none"/>
        </w:rPr>
        <w:t>重庆工商大学重庆干部网络学院网络课程包采购</w:t>
      </w:r>
      <w:r>
        <w:rPr>
          <w:rFonts w:hint="eastAsia"/>
          <w:color w:val="auto"/>
          <w:kern w:val="0"/>
          <w:sz w:val="24"/>
          <w:highlight w:val="none"/>
          <w:lang w:bidi="ar"/>
        </w:rPr>
        <w:t>）</w:t>
      </w:r>
    </w:p>
    <w:p w14:paraId="47235B0E">
      <w:pPr>
        <w:spacing w:line="400" w:lineRule="exact"/>
        <w:ind w:firstLine="480"/>
        <w:jc w:val="center"/>
        <w:rPr>
          <w:color w:val="auto"/>
          <w:sz w:val="24"/>
          <w:highlight w:val="none"/>
        </w:rPr>
      </w:pPr>
      <w:r>
        <w:rPr>
          <w:rFonts w:hint="eastAsia"/>
          <w:color w:val="auto"/>
          <w:kern w:val="0"/>
          <w:sz w:val="24"/>
          <w:highlight w:val="none"/>
          <w:lang w:bidi="ar"/>
        </w:rPr>
        <w:t>（采购项目编号：CTBU-JZ2025148）</w:t>
      </w:r>
    </w:p>
    <w:p w14:paraId="5B6FE13B">
      <w:pPr>
        <w:spacing w:line="400" w:lineRule="exact"/>
        <w:ind w:firstLine="480"/>
        <w:rPr>
          <w:color w:val="auto"/>
          <w:sz w:val="24"/>
          <w:highlight w:val="none"/>
        </w:rPr>
      </w:pPr>
      <w:r>
        <w:rPr>
          <w:rFonts w:hint="eastAsia"/>
          <w:color w:val="auto"/>
          <w:kern w:val="0"/>
          <w:sz w:val="24"/>
          <w:highlight w:val="none"/>
          <w:lang w:bidi="ar"/>
        </w:rPr>
        <w:t>需方：</w:t>
      </w:r>
      <w:r>
        <w:rPr>
          <w:rFonts w:hint="eastAsia"/>
          <w:color w:val="auto"/>
          <w:kern w:val="0"/>
          <w:sz w:val="24"/>
          <w:highlight w:val="none"/>
          <w:u w:val="single"/>
          <w:lang w:bidi="ar"/>
        </w:rPr>
        <w:t>重庆工商大学</w:t>
      </w:r>
      <w:r>
        <w:rPr>
          <w:color w:val="auto"/>
          <w:kern w:val="0"/>
          <w:sz w:val="24"/>
          <w:highlight w:val="none"/>
          <w:lang w:bidi="ar"/>
        </w:rPr>
        <w:t xml:space="preserve">                                  </w:t>
      </w:r>
      <w:r>
        <w:rPr>
          <w:rFonts w:hint="eastAsia"/>
          <w:color w:val="auto"/>
          <w:kern w:val="0"/>
          <w:sz w:val="24"/>
          <w:highlight w:val="none"/>
          <w:lang w:bidi="ar"/>
        </w:rPr>
        <w:t>计价单位：</w:t>
      </w:r>
      <w:r>
        <w:rPr>
          <w:rFonts w:hint="eastAsia"/>
          <w:color w:val="auto"/>
          <w:kern w:val="0"/>
          <w:sz w:val="24"/>
          <w:highlight w:val="none"/>
          <w:u w:val="single"/>
          <w:lang w:bidi="ar"/>
        </w:rPr>
        <w:t>元</w:t>
      </w:r>
    </w:p>
    <w:p w14:paraId="06832DA9">
      <w:pPr>
        <w:spacing w:line="400" w:lineRule="exact"/>
        <w:ind w:firstLine="480"/>
        <w:jc w:val="left"/>
        <w:rPr>
          <w:color w:val="auto"/>
          <w:kern w:val="0"/>
          <w:sz w:val="24"/>
          <w:highlight w:val="none"/>
          <w:u w:val="single"/>
          <w:lang w:bidi="ar"/>
        </w:rPr>
      </w:pPr>
      <w:r>
        <w:rPr>
          <w:rFonts w:hint="eastAsia"/>
          <w:color w:val="auto"/>
          <w:kern w:val="0"/>
          <w:sz w:val="24"/>
          <w:highlight w:val="none"/>
          <w:lang w:bidi="ar"/>
        </w:rPr>
        <w:t>供方：</w:t>
      </w:r>
      <w:r>
        <w:rPr>
          <w:color w:val="auto"/>
          <w:kern w:val="0"/>
          <w:sz w:val="24"/>
          <w:highlight w:val="none"/>
          <w:u w:val="single"/>
          <w:lang w:bidi="ar"/>
        </w:rPr>
        <w:t xml:space="preserve">             </w:t>
      </w:r>
      <w:r>
        <w:rPr>
          <w:color w:val="auto"/>
          <w:kern w:val="0"/>
          <w:sz w:val="24"/>
          <w:highlight w:val="none"/>
          <w:lang w:bidi="ar"/>
        </w:rPr>
        <w:t xml:space="preserve">                                 </w:t>
      </w:r>
      <w:r>
        <w:rPr>
          <w:rFonts w:hint="eastAsia"/>
          <w:color w:val="auto"/>
          <w:kern w:val="0"/>
          <w:sz w:val="24"/>
          <w:highlight w:val="none"/>
          <w:lang w:bidi="ar"/>
        </w:rPr>
        <w:t>计量单位：</w:t>
      </w:r>
      <w:r>
        <w:rPr>
          <w:rFonts w:hint="eastAsia"/>
          <w:color w:val="auto"/>
          <w:kern w:val="0"/>
          <w:sz w:val="24"/>
          <w:highlight w:val="none"/>
          <w:u w:val="single"/>
          <w:lang w:bidi="ar"/>
        </w:rPr>
        <w:t>项</w:t>
      </w:r>
    </w:p>
    <w:p w14:paraId="3F19DCCE">
      <w:pPr>
        <w:pStyle w:val="5"/>
        <w:spacing w:line="400" w:lineRule="exact"/>
        <w:ind w:firstLine="480"/>
        <w:rPr>
          <w:color w:val="auto"/>
          <w:highlight w:val="none"/>
          <w:lang w:bidi="ar"/>
        </w:rPr>
      </w:pPr>
    </w:p>
    <w:p w14:paraId="34B4AE29">
      <w:pPr>
        <w:spacing w:line="400" w:lineRule="exact"/>
        <w:ind w:firstLine="480"/>
        <w:rPr>
          <w:color w:val="auto"/>
          <w:highlight w:val="none"/>
        </w:rPr>
      </w:pPr>
      <w:r>
        <w:rPr>
          <w:rFonts w:hint="eastAsia"/>
          <w:color w:val="auto"/>
          <w:kern w:val="0"/>
          <w:sz w:val="24"/>
          <w:highlight w:val="none"/>
          <w:lang w:bidi="ar"/>
        </w:rPr>
        <w:t>经双方协商一致，达成以下购销合同：</w:t>
      </w:r>
    </w:p>
    <w:tbl>
      <w:tblPr>
        <w:tblStyle w:val="22"/>
        <w:tblW w:w="10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9"/>
        <w:gridCol w:w="1352"/>
        <w:gridCol w:w="1767"/>
        <w:gridCol w:w="992"/>
        <w:gridCol w:w="1276"/>
        <w:gridCol w:w="1165"/>
      </w:tblGrid>
      <w:tr w14:paraId="0FD5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609" w:type="dxa"/>
            <w:vAlign w:val="center"/>
          </w:tcPr>
          <w:p w14:paraId="031763DF">
            <w:pPr>
              <w:spacing w:line="400" w:lineRule="exact"/>
              <w:jc w:val="center"/>
              <w:rPr>
                <w:rFonts w:ascii="宋体" w:hAnsi="宋体" w:cs="宋体"/>
                <w:color w:val="auto"/>
                <w:sz w:val="24"/>
                <w:szCs w:val="24"/>
                <w:highlight w:val="none"/>
              </w:rPr>
            </w:pPr>
            <w:r>
              <w:rPr>
                <w:rFonts w:hint="eastAsia" w:ascii="宋体" w:hAnsi="宋体" w:cs="宋体"/>
                <w:b/>
                <w:bCs/>
                <w:color w:val="auto"/>
                <w:kern w:val="0"/>
                <w:sz w:val="22"/>
                <w:szCs w:val="22"/>
                <w:highlight w:val="none"/>
              </w:rPr>
              <w:t>服务内容</w:t>
            </w:r>
          </w:p>
        </w:tc>
        <w:tc>
          <w:tcPr>
            <w:tcW w:w="3119" w:type="dxa"/>
            <w:gridSpan w:val="2"/>
            <w:vAlign w:val="center"/>
          </w:tcPr>
          <w:p w14:paraId="503E14C3">
            <w:pPr>
              <w:spacing w:line="400" w:lineRule="exact"/>
              <w:jc w:val="center"/>
              <w:rPr>
                <w:rFonts w:ascii="宋体" w:hAnsi="宋体" w:cs="宋体"/>
                <w:color w:val="auto"/>
                <w:sz w:val="24"/>
                <w:szCs w:val="24"/>
                <w:highlight w:val="none"/>
              </w:rPr>
            </w:pPr>
            <w:r>
              <w:rPr>
                <w:rFonts w:hint="eastAsia" w:ascii="宋体" w:hAnsi="宋体" w:cs="宋体"/>
                <w:b/>
                <w:bCs/>
                <w:color w:val="auto"/>
                <w:kern w:val="0"/>
                <w:sz w:val="22"/>
                <w:szCs w:val="22"/>
                <w:highlight w:val="none"/>
              </w:rPr>
              <w:t>规格</w:t>
            </w:r>
          </w:p>
        </w:tc>
        <w:tc>
          <w:tcPr>
            <w:tcW w:w="992" w:type="dxa"/>
            <w:vAlign w:val="center"/>
          </w:tcPr>
          <w:p w14:paraId="134D987F">
            <w:pPr>
              <w:spacing w:line="400" w:lineRule="exact"/>
              <w:jc w:val="center"/>
              <w:rPr>
                <w:rFonts w:ascii="宋体" w:hAnsi="宋体" w:cs="宋体"/>
                <w:color w:val="auto"/>
                <w:sz w:val="24"/>
                <w:szCs w:val="24"/>
                <w:highlight w:val="none"/>
              </w:rPr>
            </w:pPr>
            <w:r>
              <w:rPr>
                <w:rFonts w:hint="eastAsia" w:ascii="宋体" w:hAnsi="宋体" w:cs="宋体"/>
                <w:b/>
                <w:bCs/>
                <w:color w:val="auto"/>
                <w:kern w:val="0"/>
                <w:sz w:val="22"/>
                <w:szCs w:val="22"/>
                <w:highlight w:val="none"/>
              </w:rPr>
              <w:t>单价</w:t>
            </w:r>
          </w:p>
        </w:tc>
        <w:tc>
          <w:tcPr>
            <w:tcW w:w="1276" w:type="dxa"/>
            <w:vAlign w:val="center"/>
          </w:tcPr>
          <w:p w14:paraId="69605394">
            <w:pPr>
              <w:spacing w:line="400" w:lineRule="exact"/>
              <w:jc w:val="center"/>
              <w:rPr>
                <w:rFonts w:ascii="宋体" w:hAnsi="宋体" w:cs="宋体"/>
                <w:color w:val="auto"/>
                <w:sz w:val="24"/>
                <w:szCs w:val="24"/>
                <w:highlight w:val="none"/>
              </w:rPr>
            </w:pPr>
            <w:r>
              <w:rPr>
                <w:rFonts w:hint="eastAsia" w:ascii="宋体" w:hAnsi="宋体" w:cs="宋体"/>
                <w:b/>
                <w:bCs/>
                <w:color w:val="auto"/>
                <w:kern w:val="0"/>
                <w:sz w:val="22"/>
                <w:szCs w:val="22"/>
                <w:highlight w:val="none"/>
              </w:rPr>
              <w:t>暂定数量</w:t>
            </w:r>
          </w:p>
        </w:tc>
        <w:tc>
          <w:tcPr>
            <w:tcW w:w="1165" w:type="dxa"/>
            <w:vAlign w:val="center"/>
          </w:tcPr>
          <w:p w14:paraId="1ED8DABE">
            <w:pPr>
              <w:spacing w:line="400" w:lineRule="exact"/>
              <w:jc w:val="center"/>
              <w:rPr>
                <w:rFonts w:ascii="宋体" w:hAnsi="宋体" w:cs="宋体"/>
                <w:color w:val="auto"/>
                <w:sz w:val="24"/>
                <w:szCs w:val="24"/>
                <w:highlight w:val="none"/>
              </w:rPr>
            </w:pPr>
            <w:r>
              <w:rPr>
                <w:rFonts w:hint="eastAsia" w:ascii="宋体" w:hAnsi="宋体" w:cs="宋体"/>
                <w:b/>
                <w:bCs/>
                <w:color w:val="auto"/>
                <w:kern w:val="0"/>
                <w:sz w:val="22"/>
                <w:szCs w:val="22"/>
                <w:highlight w:val="none"/>
              </w:rPr>
              <w:t>小计（元）</w:t>
            </w:r>
          </w:p>
        </w:tc>
      </w:tr>
      <w:tr w14:paraId="2E45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609" w:type="dxa"/>
            <w:vAlign w:val="center"/>
          </w:tcPr>
          <w:p w14:paraId="418A8E45">
            <w:pPr>
              <w:jc w:val="center"/>
              <w:rPr>
                <w:rFonts w:ascii="宋体" w:hAnsi="宋体" w:cs="宋体"/>
                <w:color w:val="auto"/>
                <w:sz w:val="24"/>
                <w:szCs w:val="24"/>
                <w:highlight w:val="none"/>
              </w:rPr>
            </w:pPr>
          </w:p>
        </w:tc>
        <w:tc>
          <w:tcPr>
            <w:tcW w:w="3119" w:type="dxa"/>
            <w:gridSpan w:val="2"/>
            <w:vAlign w:val="center"/>
          </w:tcPr>
          <w:p w14:paraId="5BAB1706">
            <w:pPr>
              <w:jc w:val="center"/>
              <w:rPr>
                <w:rFonts w:ascii="宋体" w:hAnsi="宋体" w:cs="宋体"/>
                <w:color w:val="auto"/>
                <w:sz w:val="24"/>
                <w:szCs w:val="24"/>
                <w:highlight w:val="none"/>
              </w:rPr>
            </w:pPr>
          </w:p>
        </w:tc>
        <w:tc>
          <w:tcPr>
            <w:tcW w:w="992" w:type="dxa"/>
            <w:vAlign w:val="center"/>
          </w:tcPr>
          <w:p w14:paraId="646181A6">
            <w:pPr>
              <w:spacing w:line="360" w:lineRule="auto"/>
              <w:jc w:val="center"/>
              <w:rPr>
                <w:rFonts w:ascii="宋体" w:hAnsi="宋体" w:cs="宋体"/>
                <w:color w:val="auto"/>
                <w:sz w:val="24"/>
                <w:szCs w:val="24"/>
                <w:highlight w:val="none"/>
              </w:rPr>
            </w:pPr>
          </w:p>
        </w:tc>
        <w:tc>
          <w:tcPr>
            <w:tcW w:w="1276" w:type="dxa"/>
            <w:vAlign w:val="center"/>
          </w:tcPr>
          <w:p w14:paraId="08038CFD">
            <w:pPr>
              <w:spacing w:line="360" w:lineRule="auto"/>
              <w:jc w:val="center"/>
              <w:rPr>
                <w:rFonts w:ascii="宋体" w:hAnsi="宋体" w:cs="宋体"/>
                <w:color w:val="auto"/>
                <w:sz w:val="24"/>
                <w:szCs w:val="24"/>
                <w:highlight w:val="none"/>
              </w:rPr>
            </w:pPr>
          </w:p>
        </w:tc>
        <w:tc>
          <w:tcPr>
            <w:tcW w:w="1165" w:type="dxa"/>
            <w:vAlign w:val="center"/>
          </w:tcPr>
          <w:p w14:paraId="3519A8A7">
            <w:pPr>
              <w:spacing w:line="400" w:lineRule="exact"/>
              <w:jc w:val="center"/>
              <w:rPr>
                <w:rFonts w:ascii="宋体" w:hAnsi="宋体" w:cs="宋体"/>
                <w:color w:val="auto"/>
                <w:sz w:val="24"/>
                <w:szCs w:val="24"/>
                <w:highlight w:val="none"/>
              </w:rPr>
            </w:pPr>
          </w:p>
          <w:p w14:paraId="6A6CA383">
            <w:pPr>
              <w:spacing w:line="400" w:lineRule="exact"/>
              <w:jc w:val="center"/>
              <w:rPr>
                <w:rFonts w:ascii="宋体" w:hAnsi="宋体" w:cs="宋体"/>
                <w:color w:val="auto"/>
                <w:sz w:val="24"/>
                <w:szCs w:val="24"/>
                <w:highlight w:val="none"/>
              </w:rPr>
            </w:pPr>
          </w:p>
        </w:tc>
      </w:tr>
      <w:tr w14:paraId="2D91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vAlign w:val="center"/>
          </w:tcPr>
          <w:p w14:paraId="75981B6A">
            <w:pPr>
              <w:jc w:val="center"/>
              <w:rPr>
                <w:rFonts w:ascii="宋体" w:hAnsi="宋体" w:cs="宋体"/>
                <w:color w:val="auto"/>
                <w:sz w:val="24"/>
                <w:szCs w:val="24"/>
                <w:highlight w:val="none"/>
              </w:rPr>
            </w:pPr>
          </w:p>
        </w:tc>
        <w:tc>
          <w:tcPr>
            <w:tcW w:w="3119" w:type="dxa"/>
            <w:gridSpan w:val="2"/>
            <w:vAlign w:val="center"/>
          </w:tcPr>
          <w:p w14:paraId="60C1AF3D">
            <w:pPr>
              <w:jc w:val="center"/>
              <w:rPr>
                <w:rFonts w:ascii="宋体" w:hAnsi="宋体" w:cs="宋体"/>
                <w:color w:val="auto"/>
                <w:sz w:val="24"/>
                <w:szCs w:val="24"/>
                <w:highlight w:val="none"/>
              </w:rPr>
            </w:pPr>
          </w:p>
        </w:tc>
        <w:tc>
          <w:tcPr>
            <w:tcW w:w="992" w:type="dxa"/>
            <w:vAlign w:val="center"/>
          </w:tcPr>
          <w:p w14:paraId="6C791019">
            <w:pPr>
              <w:spacing w:line="360" w:lineRule="auto"/>
              <w:jc w:val="center"/>
              <w:rPr>
                <w:rFonts w:ascii="宋体" w:hAnsi="宋体" w:cs="宋体"/>
                <w:color w:val="auto"/>
                <w:sz w:val="24"/>
                <w:szCs w:val="24"/>
                <w:highlight w:val="none"/>
              </w:rPr>
            </w:pPr>
          </w:p>
        </w:tc>
        <w:tc>
          <w:tcPr>
            <w:tcW w:w="1276" w:type="dxa"/>
            <w:vAlign w:val="center"/>
          </w:tcPr>
          <w:p w14:paraId="3E13A324">
            <w:pPr>
              <w:spacing w:line="360" w:lineRule="auto"/>
              <w:jc w:val="center"/>
              <w:rPr>
                <w:rFonts w:ascii="宋体" w:hAnsi="宋体" w:cs="宋体"/>
                <w:color w:val="auto"/>
                <w:sz w:val="24"/>
                <w:szCs w:val="24"/>
                <w:highlight w:val="none"/>
              </w:rPr>
            </w:pPr>
          </w:p>
        </w:tc>
        <w:tc>
          <w:tcPr>
            <w:tcW w:w="1165" w:type="dxa"/>
            <w:vAlign w:val="center"/>
          </w:tcPr>
          <w:p w14:paraId="1277E6D6">
            <w:pPr>
              <w:spacing w:line="360" w:lineRule="auto"/>
              <w:jc w:val="center"/>
              <w:rPr>
                <w:rFonts w:ascii="宋体" w:hAnsi="宋体" w:cs="宋体"/>
                <w:color w:val="auto"/>
                <w:sz w:val="24"/>
                <w:szCs w:val="24"/>
                <w:highlight w:val="none"/>
              </w:rPr>
            </w:pPr>
          </w:p>
        </w:tc>
      </w:tr>
      <w:tr w14:paraId="61A0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vAlign w:val="center"/>
          </w:tcPr>
          <w:p w14:paraId="21EC6DAD">
            <w:pPr>
              <w:jc w:val="center"/>
              <w:rPr>
                <w:rFonts w:ascii="宋体" w:hAnsi="宋体" w:cs="宋体"/>
                <w:color w:val="auto"/>
                <w:sz w:val="24"/>
                <w:szCs w:val="24"/>
                <w:highlight w:val="none"/>
              </w:rPr>
            </w:pPr>
          </w:p>
        </w:tc>
        <w:tc>
          <w:tcPr>
            <w:tcW w:w="3119" w:type="dxa"/>
            <w:gridSpan w:val="2"/>
            <w:vAlign w:val="center"/>
          </w:tcPr>
          <w:p w14:paraId="12D09B61">
            <w:pPr>
              <w:jc w:val="center"/>
              <w:rPr>
                <w:rFonts w:ascii="宋体" w:hAnsi="宋体" w:cs="宋体"/>
                <w:color w:val="auto"/>
                <w:sz w:val="24"/>
                <w:szCs w:val="24"/>
                <w:highlight w:val="none"/>
              </w:rPr>
            </w:pPr>
          </w:p>
        </w:tc>
        <w:tc>
          <w:tcPr>
            <w:tcW w:w="992" w:type="dxa"/>
            <w:vAlign w:val="center"/>
          </w:tcPr>
          <w:p w14:paraId="46E7AAEF">
            <w:pPr>
              <w:spacing w:line="360" w:lineRule="auto"/>
              <w:jc w:val="center"/>
              <w:rPr>
                <w:rFonts w:ascii="宋体" w:hAnsi="宋体" w:cs="宋体"/>
                <w:color w:val="auto"/>
                <w:sz w:val="24"/>
                <w:szCs w:val="24"/>
                <w:highlight w:val="none"/>
              </w:rPr>
            </w:pPr>
          </w:p>
        </w:tc>
        <w:tc>
          <w:tcPr>
            <w:tcW w:w="1276" w:type="dxa"/>
            <w:vAlign w:val="center"/>
          </w:tcPr>
          <w:p w14:paraId="72890903">
            <w:pPr>
              <w:spacing w:line="360" w:lineRule="auto"/>
              <w:jc w:val="center"/>
              <w:rPr>
                <w:rFonts w:ascii="宋体" w:hAnsi="宋体" w:cs="宋体"/>
                <w:color w:val="auto"/>
                <w:sz w:val="24"/>
                <w:szCs w:val="24"/>
                <w:highlight w:val="none"/>
              </w:rPr>
            </w:pPr>
          </w:p>
        </w:tc>
        <w:tc>
          <w:tcPr>
            <w:tcW w:w="1165" w:type="dxa"/>
            <w:vAlign w:val="center"/>
          </w:tcPr>
          <w:p w14:paraId="09F2845E">
            <w:pPr>
              <w:spacing w:line="360" w:lineRule="auto"/>
              <w:jc w:val="center"/>
              <w:rPr>
                <w:rFonts w:ascii="宋体" w:hAnsi="宋体" w:cs="宋体"/>
                <w:color w:val="auto"/>
                <w:sz w:val="24"/>
                <w:szCs w:val="24"/>
                <w:highlight w:val="none"/>
              </w:rPr>
            </w:pPr>
          </w:p>
        </w:tc>
      </w:tr>
      <w:tr w14:paraId="384C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vAlign w:val="center"/>
          </w:tcPr>
          <w:p w14:paraId="17A59288">
            <w:pPr>
              <w:jc w:val="center"/>
              <w:rPr>
                <w:rFonts w:ascii="宋体" w:hAnsi="宋体" w:cs="宋体"/>
                <w:color w:val="auto"/>
                <w:sz w:val="24"/>
                <w:szCs w:val="24"/>
                <w:highlight w:val="none"/>
              </w:rPr>
            </w:pPr>
          </w:p>
        </w:tc>
        <w:tc>
          <w:tcPr>
            <w:tcW w:w="3119" w:type="dxa"/>
            <w:gridSpan w:val="2"/>
            <w:vAlign w:val="center"/>
          </w:tcPr>
          <w:p w14:paraId="00AA7A57">
            <w:pPr>
              <w:jc w:val="center"/>
              <w:rPr>
                <w:rFonts w:ascii="宋体" w:hAnsi="宋体" w:cs="宋体"/>
                <w:color w:val="auto"/>
                <w:sz w:val="24"/>
                <w:szCs w:val="24"/>
                <w:highlight w:val="none"/>
              </w:rPr>
            </w:pPr>
          </w:p>
        </w:tc>
        <w:tc>
          <w:tcPr>
            <w:tcW w:w="992" w:type="dxa"/>
            <w:vAlign w:val="center"/>
          </w:tcPr>
          <w:p w14:paraId="3BC6FBF6">
            <w:pPr>
              <w:spacing w:line="360" w:lineRule="auto"/>
              <w:jc w:val="center"/>
              <w:rPr>
                <w:rFonts w:ascii="宋体" w:hAnsi="宋体" w:cs="宋体"/>
                <w:color w:val="auto"/>
                <w:sz w:val="24"/>
                <w:szCs w:val="24"/>
                <w:highlight w:val="none"/>
              </w:rPr>
            </w:pPr>
          </w:p>
        </w:tc>
        <w:tc>
          <w:tcPr>
            <w:tcW w:w="1276" w:type="dxa"/>
            <w:vAlign w:val="center"/>
          </w:tcPr>
          <w:p w14:paraId="35457C9D">
            <w:pPr>
              <w:spacing w:line="360" w:lineRule="auto"/>
              <w:jc w:val="center"/>
              <w:rPr>
                <w:rFonts w:ascii="宋体" w:hAnsi="宋体" w:cs="宋体"/>
                <w:color w:val="auto"/>
                <w:sz w:val="24"/>
                <w:szCs w:val="24"/>
                <w:highlight w:val="none"/>
              </w:rPr>
            </w:pPr>
          </w:p>
        </w:tc>
        <w:tc>
          <w:tcPr>
            <w:tcW w:w="1165" w:type="dxa"/>
            <w:vAlign w:val="center"/>
          </w:tcPr>
          <w:p w14:paraId="460A67C5">
            <w:pPr>
              <w:spacing w:line="360" w:lineRule="auto"/>
              <w:jc w:val="center"/>
              <w:rPr>
                <w:rFonts w:ascii="宋体" w:hAnsi="宋体" w:cs="宋体"/>
                <w:color w:val="auto"/>
                <w:sz w:val="24"/>
                <w:szCs w:val="24"/>
                <w:highlight w:val="none"/>
              </w:rPr>
            </w:pPr>
          </w:p>
        </w:tc>
      </w:tr>
      <w:tr w14:paraId="5E23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vAlign w:val="center"/>
          </w:tcPr>
          <w:p w14:paraId="55764FBA">
            <w:pPr>
              <w:jc w:val="center"/>
              <w:rPr>
                <w:rFonts w:ascii="宋体" w:hAnsi="宋体" w:cs="宋体"/>
                <w:color w:val="auto"/>
                <w:sz w:val="24"/>
                <w:szCs w:val="24"/>
                <w:highlight w:val="none"/>
              </w:rPr>
            </w:pPr>
          </w:p>
        </w:tc>
        <w:tc>
          <w:tcPr>
            <w:tcW w:w="3119" w:type="dxa"/>
            <w:gridSpan w:val="2"/>
            <w:vAlign w:val="center"/>
          </w:tcPr>
          <w:p w14:paraId="6383138D">
            <w:pPr>
              <w:jc w:val="center"/>
              <w:rPr>
                <w:rFonts w:ascii="宋体" w:hAnsi="宋体" w:cs="宋体"/>
                <w:color w:val="auto"/>
                <w:sz w:val="24"/>
                <w:szCs w:val="24"/>
                <w:highlight w:val="none"/>
              </w:rPr>
            </w:pPr>
          </w:p>
        </w:tc>
        <w:tc>
          <w:tcPr>
            <w:tcW w:w="992" w:type="dxa"/>
            <w:vAlign w:val="center"/>
          </w:tcPr>
          <w:p w14:paraId="79598C26">
            <w:pPr>
              <w:spacing w:line="360" w:lineRule="auto"/>
              <w:jc w:val="center"/>
              <w:rPr>
                <w:rFonts w:ascii="宋体" w:hAnsi="宋体" w:cs="宋体"/>
                <w:color w:val="auto"/>
                <w:sz w:val="24"/>
                <w:szCs w:val="24"/>
                <w:highlight w:val="none"/>
              </w:rPr>
            </w:pPr>
          </w:p>
        </w:tc>
        <w:tc>
          <w:tcPr>
            <w:tcW w:w="1276" w:type="dxa"/>
            <w:vAlign w:val="center"/>
          </w:tcPr>
          <w:p w14:paraId="3B09FE8B">
            <w:pPr>
              <w:spacing w:line="360" w:lineRule="auto"/>
              <w:jc w:val="center"/>
              <w:rPr>
                <w:rFonts w:ascii="宋体" w:hAnsi="宋体" w:cs="宋体"/>
                <w:color w:val="auto"/>
                <w:sz w:val="24"/>
                <w:szCs w:val="24"/>
                <w:highlight w:val="none"/>
              </w:rPr>
            </w:pPr>
          </w:p>
        </w:tc>
        <w:tc>
          <w:tcPr>
            <w:tcW w:w="1165" w:type="dxa"/>
            <w:vAlign w:val="center"/>
          </w:tcPr>
          <w:p w14:paraId="50845D16">
            <w:pPr>
              <w:spacing w:line="360" w:lineRule="auto"/>
              <w:jc w:val="center"/>
              <w:rPr>
                <w:rFonts w:ascii="宋体" w:hAnsi="宋体" w:cs="宋体"/>
                <w:color w:val="auto"/>
                <w:sz w:val="24"/>
                <w:szCs w:val="24"/>
                <w:highlight w:val="none"/>
              </w:rPr>
            </w:pPr>
          </w:p>
        </w:tc>
      </w:tr>
      <w:tr w14:paraId="7BD2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vAlign w:val="center"/>
          </w:tcPr>
          <w:p w14:paraId="0333F473">
            <w:pPr>
              <w:jc w:val="center"/>
              <w:rPr>
                <w:rFonts w:ascii="宋体" w:hAnsi="宋体" w:cs="宋体"/>
                <w:color w:val="auto"/>
                <w:sz w:val="24"/>
                <w:szCs w:val="24"/>
                <w:highlight w:val="none"/>
              </w:rPr>
            </w:pPr>
          </w:p>
        </w:tc>
        <w:tc>
          <w:tcPr>
            <w:tcW w:w="3119" w:type="dxa"/>
            <w:gridSpan w:val="2"/>
            <w:vAlign w:val="center"/>
          </w:tcPr>
          <w:p w14:paraId="76D334F5">
            <w:pPr>
              <w:jc w:val="center"/>
              <w:rPr>
                <w:rFonts w:ascii="宋体" w:hAnsi="宋体" w:cs="宋体"/>
                <w:color w:val="auto"/>
                <w:sz w:val="24"/>
                <w:szCs w:val="24"/>
                <w:highlight w:val="none"/>
              </w:rPr>
            </w:pPr>
          </w:p>
        </w:tc>
        <w:tc>
          <w:tcPr>
            <w:tcW w:w="992" w:type="dxa"/>
            <w:vAlign w:val="center"/>
          </w:tcPr>
          <w:p w14:paraId="4776AF14">
            <w:pPr>
              <w:spacing w:line="360" w:lineRule="auto"/>
              <w:jc w:val="center"/>
              <w:rPr>
                <w:rFonts w:ascii="宋体" w:hAnsi="宋体" w:cs="宋体"/>
                <w:color w:val="auto"/>
                <w:sz w:val="24"/>
                <w:szCs w:val="24"/>
                <w:highlight w:val="none"/>
              </w:rPr>
            </w:pPr>
          </w:p>
        </w:tc>
        <w:tc>
          <w:tcPr>
            <w:tcW w:w="1276" w:type="dxa"/>
            <w:vAlign w:val="center"/>
          </w:tcPr>
          <w:p w14:paraId="193215D1">
            <w:pPr>
              <w:spacing w:line="360" w:lineRule="auto"/>
              <w:jc w:val="center"/>
              <w:rPr>
                <w:rFonts w:ascii="宋体" w:hAnsi="宋体" w:cs="宋体"/>
                <w:color w:val="auto"/>
                <w:sz w:val="24"/>
                <w:szCs w:val="24"/>
                <w:highlight w:val="none"/>
              </w:rPr>
            </w:pPr>
          </w:p>
        </w:tc>
        <w:tc>
          <w:tcPr>
            <w:tcW w:w="1165" w:type="dxa"/>
            <w:vAlign w:val="center"/>
          </w:tcPr>
          <w:p w14:paraId="3211CA99">
            <w:pPr>
              <w:spacing w:line="360" w:lineRule="auto"/>
              <w:jc w:val="center"/>
              <w:rPr>
                <w:rFonts w:ascii="宋体" w:hAnsi="宋体" w:cs="宋体"/>
                <w:color w:val="auto"/>
                <w:sz w:val="24"/>
                <w:szCs w:val="24"/>
                <w:highlight w:val="none"/>
              </w:rPr>
            </w:pPr>
          </w:p>
        </w:tc>
      </w:tr>
      <w:tr w14:paraId="0A97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1" w:type="dxa"/>
            <w:gridSpan w:val="6"/>
            <w:vAlign w:val="center"/>
          </w:tcPr>
          <w:p w14:paraId="6C2CA5C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合计人民币（小写）：</w:t>
            </w:r>
          </w:p>
        </w:tc>
      </w:tr>
      <w:tr w14:paraId="142A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1" w:type="dxa"/>
            <w:gridSpan w:val="6"/>
            <w:vAlign w:val="center"/>
          </w:tcPr>
          <w:p w14:paraId="5851570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合计人民币（大写）：</w:t>
            </w:r>
          </w:p>
        </w:tc>
      </w:tr>
      <w:tr w14:paraId="46BE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161" w:type="dxa"/>
            <w:gridSpan w:val="6"/>
          </w:tcPr>
          <w:p w14:paraId="0AF706A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一、质量要求和技术标准。供方提供的商品必须是全新的，完全符合国家有关技术标准，供方的质量保证及售后服务承诺如下：</w:t>
            </w:r>
          </w:p>
          <w:p w14:paraId="1438FEB0">
            <w:pPr>
              <w:spacing w:line="360" w:lineRule="auto"/>
              <w:rPr>
                <w:rFonts w:ascii="宋体" w:hAnsi="宋体" w:cs="宋体"/>
                <w:color w:val="auto"/>
                <w:sz w:val="24"/>
                <w:szCs w:val="24"/>
                <w:highlight w:val="none"/>
              </w:rPr>
            </w:pPr>
            <w:r>
              <w:rPr>
                <w:rFonts w:ascii="宋体" w:hAnsi="宋体" w:cs="宋体"/>
                <w:color w:val="auto"/>
                <w:sz w:val="24"/>
                <w:szCs w:val="24"/>
                <w:highlight w:val="none"/>
              </w:rPr>
              <w:t>1、质保期限：</w:t>
            </w:r>
          </w:p>
          <w:p w14:paraId="7B7F64C7">
            <w:pPr>
              <w:spacing w:line="360" w:lineRule="auto"/>
              <w:rPr>
                <w:rFonts w:ascii="宋体" w:hAnsi="宋体" w:cs="宋体"/>
                <w:color w:val="auto"/>
                <w:sz w:val="24"/>
                <w:szCs w:val="24"/>
                <w:highlight w:val="none"/>
              </w:rPr>
            </w:pPr>
            <w:r>
              <w:rPr>
                <w:rFonts w:ascii="宋体" w:hAnsi="宋体" w:cs="宋体"/>
                <w:color w:val="auto"/>
                <w:sz w:val="24"/>
                <w:szCs w:val="24"/>
                <w:highlight w:val="none"/>
              </w:rPr>
              <w:t>2、保修范围：</w:t>
            </w:r>
          </w:p>
          <w:p w14:paraId="35A80AEC">
            <w:pPr>
              <w:spacing w:line="360" w:lineRule="auto"/>
              <w:rPr>
                <w:rFonts w:ascii="宋体" w:hAnsi="宋体" w:cs="宋体"/>
                <w:color w:val="auto"/>
                <w:sz w:val="24"/>
                <w:szCs w:val="24"/>
                <w:highlight w:val="none"/>
              </w:rPr>
            </w:pPr>
            <w:r>
              <w:rPr>
                <w:rFonts w:ascii="宋体" w:hAnsi="宋体" w:cs="宋体"/>
                <w:color w:val="auto"/>
                <w:sz w:val="24"/>
                <w:szCs w:val="24"/>
                <w:highlight w:val="none"/>
              </w:rPr>
              <w:t>3、服务措施：</w:t>
            </w:r>
          </w:p>
          <w:p w14:paraId="5574A787">
            <w:pPr>
              <w:spacing w:line="360" w:lineRule="auto"/>
              <w:rPr>
                <w:rFonts w:ascii="宋体" w:hAnsi="宋体" w:cs="宋体"/>
                <w:color w:val="auto"/>
                <w:sz w:val="24"/>
                <w:szCs w:val="24"/>
                <w:highlight w:val="none"/>
              </w:rPr>
            </w:pPr>
            <w:r>
              <w:rPr>
                <w:rFonts w:ascii="宋体" w:hAnsi="宋体" w:cs="宋体"/>
                <w:color w:val="auto"/>
                <w:sz w:val="24"/>
                <w:szCs w:val="24"/>
                <w:highlight w:val="none"/>
              </w:rPr>
              <w:t>4、质保期后服务：</w:t>
            </w:r>
          </w:p>
        </w:tc>
      </w:tr>
      <w:tr w14:paraId="3714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161" w:type="dxa"/>
            <w:gridSpan w:val="6"/>
          </w:tcPr>
          <w:p w14:paraId="46464C5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二、随机备品、附件、工具数量及供应方法：</w:t>
            </w:r>
          </w:p>
        </w:tc>
      </w:tr>
      <w:tr w14:paraId="58E0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161" w:type="dxa"/>
            <w:gridSpan w:val="6"/>
          </w:tcPr>
          <w:p w14:paraId="10DD64C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三、交提货方式：</w:t>
            </w:r>
          </w:p>
        </w:tc>
      </w:tr>
      <w:tr w14:paraId="6172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0161" w:type="dxa"/>
            <w:gridSpan w:val="6"/>
          </w:tcPr>
          <w:p w14:paraId="785F826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四、验收标准、方法：</w:t>
            </w:r>
          </w:p>
          <w:p w14:paraId="38CFE2B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如有异议，请于</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日内提出。</w:t>
            </w:r>
          </w:p>
        </w:tc>
      </w:tr>
      <w:tr w14:paraId="4EE6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0161" w:type="dxa"/>
            <w:gridSpan w:val="6"/>
          </w:tcPr>
          <w:p w14:paraId="60C356B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五、付款方式：</w:t>
            </w:r>
          </w:p>
          <w:p w14:paraId="61750AA5">
            <w:pPr>
              <w:pStyle w:val="12"/>
              <w:spacing w:line="360" w:lineRule="auto"/>
              <w:rPr>
                <w:rFonts w:ascii="宋体" w:hAnsi="宋体" w:cs="宋体"/>
                <w:color w:val="auto"/>
                <w:sz w:val="24"/>
                <w:szCs w:val="24"/>
                <w:highlight w:val="none"/>
              </w:rPr>
            </w:pPr>
          </w:p>
        </w:tc>
      </w:tr>
      <w:tr w14:paraId="2AD5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0161" w:type="dxa"/>
            <w:gridSpan w:val="6"/>
          </w:tcPr>
          <w:p w14:paraId="2554A6C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六、违约责任：</w:t>
            </w:r>
          </w:p>
          <w:p w14:paraId="576733A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按《中华人民共和国民法典》、《中华人民共和国政府采购法》执行，或按双方约定。（采购人应按项目实际情况完整填写）</w:t>
            </w:r>
          </w:p>
        </w:tc>
      </w:tr>
      <w:tr w14:paraId="5FEC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0161" w:type="dxa"/>
            <w:gridSpan w:val="6"/>
          </w:tcPr>
          <w:p w14:paraId="571B972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七、其他约定事项：</w:t>
            </w:r>
          </w:p>
          <w:p w14:paraId="076F5EB9">
            <w:pPr>
              <w:spacing w:line="360" w:lineRule="auto"/>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询比文件及其澄清文件、响应文件和承诺是本合同不可分割的部分，共同构成合同文件。</w:t>
            </w:r>
          </w:p>
          <w:p w14:paraId="4113B7E9">
            <w:pPr>
              <w:spacing w:line="360" w:lineRule="auto"/>
              <w:rPr>
                <w:rFonts w:ascii="宋体" w:hAnsi="宋体" w:cs="宋体"/>
                <w:color w:val="auto"/>
                <w:sz w:val="24"/>
                <w:szCs w:val="24"/>
                <w:highlight w:val="none"/>
              </w:rPr>
            </w:pPr>
            <w:r>
              <w:rPr>
                <w:rFonts w:ascii="宋体" w:hAnsi="宋体" w:cs="宋体"/>
                <w:color w:val="auto"/>
                <w:sz w:val="24"/>
                <w:szCs w:val="24"/>
                <w:highlight w:val="none"/>
              </w:rPr>
              <w:t>2.本合同如发生争议由双方协商解决，协商不成向需方所在地仲裁机构提请仲裁。</w:t>
            </w:r>
          </w:p>
          <w:p w14:paraId="03E75B2F">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3.本合同一式__份， </w:t>
            </w:r>
            <w:r>
              <w:rPr>
                <w:rFonts w:hint="eastAsia" w:ascii="宋体" w:hAnsi="宋体" w:cs="宋体"/>
                <w:color w:val="auto"/>
                <w:sz w:val="24"/>
                <w:szCs w:val="24"/>
                <w:highlight w:val="none"/>
              </w:rPr>
              <w:t>需方</w:t>
            </w:r>
            <w:r>
              <w:rPr>
                <w:rFonts w:ascii="宋体" w:hAnsi="宋体" w:cs="宋体"/>
                <w:color w:val="auto"/>
                <w:sz w:val="24"/>
                <w:szCs w:val="24"/>
                <w:highlight w:val="none"/>
              </w:rPr>
              <w:t>__份，供方__份，具备同等法律效力。</w:t>
            </w:r>
          </w:p>
          <w:p w14:paraId="14C5938B">
            <w:pPr>
              <w:spacing w:line="360" w:lineRule="auto"/>
              <w:rPr>
                <w:rFonts w:ascii="宋体" w:hAnsi="宋体" w:cs="宋体"/>
                <w:color w:val="auto"/>
                <w:sz w:val="24"/>
                <w:szCs w:val="24"/>
                <w:highlight w:val="none"/>
              </w:rPr>
            </w:pPr>
            <w:r>
              <w:rPr>
                <w:rFonts w:ascii="宋体" w:hAnsi="宋体" w:cs="宋体"/>
                <w:color w:val="auto"/>
                <w:sz w:val="24"/>
                <w:szCs w:val="24"/>
                <w:highlight w:val="none"/>
              </w:rPr>
              <w:t>4.其他：</w:t>
            </w:r>
          </w:p>
        </w:tc>
      </w:tr>
      <w:tr w14:paraId="3893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jc w:val="center"/>
        </w:trPr>
        <w:tc>
          <w:tcPr>
            <w:tcW w:w="4961" w:type="dxa"/>
            <w:gridSpan w:val="2"/>
          </w:tcPr>
          <w:p w14:paraId="75DBDB3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需方：重庆工商大学</w:t>
            </w:r>
          </w:p>
          <w:p w14:paraId="2B00023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地址：重庆市南岸区学府大道</w:t>
            </w:r>
            <w:r>
              <w:rPr>
                <w:rFonts w:ascii="宋体" w:hAnsi="宋体" w:cs="宋体"/>
                <w:color w:val="auto"/>
                <w:sz w:val="24"/>
                <w:szCs w:val="24"/>
                <w:highlight w:val="none"/>
              </w:rPr>
              <w:t>19号</w:t>
            </w:r>
          </w:p>
          <w:p w14:paraId="061E97D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联系电话：</w:t>
            </w:r>
            <w:r>
              <w:rPr>
                <w:rFonts w:ascii="宋体" w:hAnsi="宋体" w:cs="宋体"/>
                <w:color w:val="auto"/>
                <w:sz w:val="24"/>
                <w:szCs w:val="24"/>
                <w:highlight w:val="none"/>
              </w:rPr>
              <w:t>023-62769774</w:t>
            </w:r>
          </w:p>
          <w:p w14:paraId="3930EA8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开户银行：工行重庆南岸学府支行</w:t>
            </w:r>
          </w:p>
          <w:p w14:paraId="28A4BCC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账号：</w:t>
            </w:r>
            <w:r>
              <w:rPr>
                <w:rFonts w:ascii="宋体" w:hAnsi="宋体" w:cs="宋体"/>
                <w:color w:val="auto"/>
                <w:sz w:val="24"/>
                <w:szCs w:val="24"/>
                <w:highlight w:val="none"/>
              </w:rPr>
              <w:t>3100027609024907533</w:t>
            </w:r>
          </w:p>
          <w:p w14:paraId="000A084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统一社会信用代码：</w:t>
            </w:r>
            <w:r>
              <w:rPr>
                <w:rFonts w:ascii="宋体" w:hAnsi="宋体" w:cs="宋体"/>
                <w:color w:val="auto"/>
                <w:sz w:val="24"/>
                <w:szCs w:val="24"/>
                <w:highlight w:val="none"/>
              </w:rPr>
              <w:t>125000007428748822</w:t>
            </w:r>
          </w:p>
          <w:p w14:paraId="7F49CBC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w:t>
            </w:r>
          </w:p>
          <w:p w14:paraId="3279B61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授权代表：</w:t>
            </w:r>
          </w:p>
          <w:p w14:paraId="563EC9F4">
            <w:pPr>
              <w:widowControl/>
              <w:spacing w:line="360" w:lineRule="auto"/>
              <w:jc w:val="left"/>
              <w:rPr>
                <w:rFonts w:ascii="宋体" w:hAnsi="宋体" w:cs="宋体"/>
                <w:color w:val="auto"/>
                <w:sz w:val="24"/>
                <w:szCs w:val="24"/>
                <w:highlight w:val="none"/>
              </w:rPr>
            </w:pPr>
          </w:p>
        </w:tc>
        <w:tc>
          <w:tcPr>
            <w:tcW w:w="5200" w:type="dxa"/>
            <w:gridSpan w:val="4"/>
          </w:tcPr>
          <w:p w14:paraId="25433E0C">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供方：</w:t>
            </w:r>
          </w:p>
          <w:p w14:paraId="0E1645A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地址：</w:t>
            </w:r>
          </w:p>
          <w:p w14:paraId="2AC0D7B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联系电话：</w:t>
            </w:r>
          </w:p>
          <w:p w14:paraId="00E3495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开户银行：</w:t>
            </w:r>
          </w:p>
          <w:p w14:paraId="07508C4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账号：</w:t>
            </w:r>
          </w:p>
          <w:p w14:paraId="5267605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统一社会信用代码：</w:t>
            </w:r>
          </w:p>
          <w:p w14:paraId="570A06F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w:t>
            </w:r>
          </w:p>
          <w:p w14:paraId="4FC2164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授权代表：</w:t>
            </w:r>
          </w:p>
          <w:p w14:paraId="4F7DAD11">
            <w:pPr>
              <w:widowControl/>
              <w:spacing w:line="360" w:lineRule="auto"/>
              <w:jc w:val="left"/>
              <w:rPr>
                <w:rFonts w:ascii="宋体" w:hAnsi="宋体" w:cs="宋体"/>
                <w:color w:val="auto"/>
                <w:sz w:val="24"/>
                <w:szCs w:val="24"/>
                <w:highlight w:val="none"/>
              </w:rPr>
            </w:pPr>
          </w:p>
        </w:tc>
      </w:tr>
      <w:tr w14:paraId="4D72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161" w:type="dxa"/>
            <w:gridSpan w:val="6"/>
          </w:tcPr>
          <w:p w14:paraId="56DD292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备注：</w:t>
            </w:r>
            <w:r>
              <w:rPr>
                <w:rFonts w:ascii="宋体" w:hAnsi="宋体" w:cs="宋体"/>
                <w:color w:val="auto"/>
                <w:sz w:val="24"/>
                <w:szCs w:val="24"/>
                <w:highlight w:val="none"/>
              </w:rPr>
              <w:t xml:space="preserve"> </w:t>
            </w:r>
          </w:p>
        </w:tc>
      </w:tr>
    </w:tbl>
    <w:p w14:paraId="220AF69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签约时间：2025年   月   日        签约地点：重庆工商大学</w:t>
      </w:r>
    </w:p>
    <w:p w14:paraId="4F6C3828">
      <w:pPr>
        <w:rPr>
          <w:rFonts w:asciiTheme="minorEastAsia" w:hAnsiTheme="minorEastAsia" w:eastAsiaTheme="minorEastAsia"/>
          <w:color w:val="auto"/>
          <w:sz w:val="24"/>
          <w:highlight w:val="none"/>
        </w:rPr>
      </w:pPr>
      <w:bookmarkStart w:id="399" w:name="_Toc14024"/>
      <w:bookmarkStart w:id="400" w:name="_Toc167206192"/>
      <w:bookmarkStart w:id="401" w:name="_Toc28656"/>
      <w:bookmarkStart w:id="402" w:name="_Toc31546"/>
      <w:bookmarkStart w:id="403" w:name="_Toc177574343"/>
      <w:r>
        <w:rPr>
          <w:rFonts w:asciiTheme="minorEastAsia" w:hAnsiTheme="minorEastAsia" w:eastAsiaTheme="minorEastAsia"/>
          <w:color w:val="auto"/>
          <w:sz w:val="24"/>
          <w:highlight w:val="none"/>
        </w:rPr>
        <w:br w:type="page"/>
      </w:r>
    </w:p>
    <w:p w14:paraId="390AF637">
      <w:pPr>
        <w:pStyle w:val="3"/>
        <w:spacing w:line="500" w:lineRule="exact"/>
        <w:ind w:firstLine="482" w:firstLineChars="200"/>
        <w:rPr>
          <w:rFonts w:asciiTheme="minorEastAsia" w:hAnsiTheme="minorEastAsia" w:eastAsiaTheme="minorEastAsia"/>
          <w:b/>
          <w:color w:val="auto"/>
          <w:sz w:val="24"/>
          <w:highlight w:val="none"/>
        </w:rPr>
      </w:pPr>
      <w:bookmarkStart w:id="404" w:name="_Toc15020"/>
      <w:bookmarkStart w:id="405" w:name="_Toc29837"/>
      <w:bookmarkStart w:id="406" w:name="_Toc1929"/>
      <w:r>
        <w:rPr>
          <w:rFonts w:asciiTheme="minorEastAsia" w:hAnsiTheme="minorEastAsia" w:eastAsiaTheme="minorEastAsia"/>
          <w:b/>
          <w:color w:val="auto"/>
          <w:sz w:val="24"/>
          <w:highlight w:val="none"/>
        </w:rPr>
        <w:t>二、采购廉洁协议格式</w:t>
      </w:r>
      <w:bookmarkEnd w:id="399"/>
      <w:bookmarkEnd w:id="400"/>
      <w:bookmarkEnd w:id="401"/>
      <w:bookmarkEnd w:id="402"/>
      <w:bookmarkEnd w:id="403"/>
      <w:bookmarkEnd w:id="404"/>
      <w:bookmarkEnd w:id="405"/>
      <w:bookmarkEnd w:id="406"/>
    </w:p>
    <w:p w14:paraId="66020981">
      <w:pPr>
        <w:spacing w:line="500" w:lineRule="exact"/>
        <w:ind w:firstLine="482" w:firstLineChars="200"/>
        <w:rPr>
          <w:rFonts w:eastAsia="方正仿宋_GBK"/>
          <w:b/>
          <w:color w:val="auto"/>
          <w:sz w:val="24"/>
          <w:highlight w:val="none"/>
        </w:rPr>
      </w:pPr>
    </w:p>
    <w:p w14:paraId="20CE3B78">
      <w:pPr>
        <w:snapToGrid w:val="0"/>
        <w:spacing w:line="276" w:lineRule="auto"/>
        <w:ind w:firstLine="643" w:firstLineChars="200"/>
        <w:jc w:val="center"/>
        <w:rPr>
          <w:rFonts w:asciiTheme="minorEastAsia" w:hAnsiTheme="minorEastAsia" w:eastAsiaTheme="minorEastAsia"/>
          <w:b/>
          <w:bCs/>
          <w:color w:val="auto"/>
          <w:kern w:val="0"/>
          <w:sz w:val="32"/>
          <w:szCs w:val="32"/>
          <w:highlight w:val="none"/>
        </w:rPr>
      </w:pPr>
      <w:r>
        <w:rPr>
          <w:rFonts w:asciiTheme="minorEastAsia" w:hAnsiTheme="minorEastAsia" w:eastAsiaTheme="minorEastAsia"/>
          <w:b/>
          <w:bCs/>
          <w:color w:val="auto"/>
          <w:kern w:val="0"/>
          <w:sz w:val="32"/>
          <w:szCs w:val="32"/>
          <w:highlight w:val="none"/>
        </w:rPr>
        <w:t>重庆工商大学货物服务类采购廉洁协议</w:t>
      </w:r>
    </w:p>
    <w:p w14:paraId="1D0AE3F1">
      <w:pPr>
        <w:spacing w:line="276" w:lineRule="auto"/>
        <w:ind w:firstLine="480" w:firstLineChars="200"/>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（项目名称：</w:t>
      </w:r>
      <w:r>
        <w:rPr>
          <w:rFonts w:hint="eastAsia"/>
          <w:color w:val="auto"/>
          <w:sz w:val="24"/>
          <w:szCs w:val="24"/>
          <w:highlight w:val="none"/>
        </w:rPr>
        <w:t>重庆工商大学重庆干部网络学院网络课程包采购</w:t>
      </w:r>
      <w:r>
        <w:rPr>
          <w:rFonts w:asciiTheme="minorEastAsia" w:hAnsiTheme="minorEastAsia" w:eastAsiaTheme="minorEastAsia"/>
          <w:color w:val="auto"/>
          <w:sz w:val="24"/>
          <w:szCs w:val="24"/>
          <w:highlight w:val="none"/>
        </w:rPr>
        <w:t>）</w:t>
      </w:r>
    </w:p>
    <w:p w14:paraId="624620F2">
      <w:pPr>
        <w:spacing w:line="276" w:lineRule="auto"/>
        <w:ind w:firstLine="480" w:firstLineChars="200"/>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采购</w:t>
      </w:r>
      <w:r>
        <w:rPr>
          <w:rFonts w:asciiTheme="minorEastAsia" w:hAnsiTheme="minorEastAsia" w:eastAsiaTheme="minorEastAsia"/>
          <w:color w:val="auto"/>
          <w:sz w:val="24"/>
          <w:szCs w:val="24"/>
          <w:highlight w:val="none"/>
        </w:rPr>
        <w:t>项目编号：</w:t>
      </w:r>
      <w:r>
        <w:rPr>
          <w:rFonts w:hint="eastAsia" w:asciiTheme="minorEastAsia" w:hAnsiTheme="minorEastAsia" w:eastAsiaTheme="minorEastAsia"/>
          <w:color w:val="auto"/>
          <w:sz w:val="24"/>
          <w:szCs w:val="24"/>
          <w:highlight w:val="none"/>
        </w:rPr>
        <w:t>CTBU-JZ2025148</w:t>
      </w:r>
      <w:r>
        <w:rPr>
          <w:rFonts w:asciiTheme="minorEastAsia" w:hAnsiTheme="minorEastAsia" w:eastAsiaTheme="minorEastAsia"/>
          <w:color w:val="auto"/>
          <w:sz w:val="24"/>
          <w:szCs w:val="24"/>
          <w:highlight w:val="none"/>
        </w:rPr>
        <w:t>）</w:t>
      </w:r>
    </w:p>
    <w:p w14:paraId="17B072A8">
      <w:pPr>
        <w:spacing w:line="276" w:lineRule="auto"/>
        <w:rPr>
          <w:rFonts w:asciiTheme="minorEastAsia" w:hAnsiTheme="minorEastAsia" w:eastAsiaTheme="minorEastAsia"/>
          <w:color w:val="auto"/>
          <w:sz w:val="24"/>
          <w:szCs w:val="24"/>
          <w:highlight w:val="none"/>
        </w:rPr>
      </w:pPr>
    </w:p>
    <w:p w14:paraId="33E5626E">
      <w:pPr>
        <w:spacing w:line="276" w:lineRule="auto"/>
        <w:rPr>
          <w:rFonts w:asciiTheme="minorEastAsia" w:hAnsiTheme="minorEastAsia" w:eastAsiaTheme="minorEastAsia"/>
          <w:bCs/>
          <w:color w:val="auto"/>
          <w:sz w:val="21"/>
          <w:szCs w:val="21"/>
          <w:highlight w:val="none"/>
          <w:u w:val="single"/>
        </w:rPr>
      </w:pPr>
      <w:r>
        <w:rPr>
          <w:rFonts w:asciiTheme="minorEastAsia" w:hAnsiTheme="minorEastAsia" w:eastAsiaTheme="minorEastAsia"/>
          <w:color w:val="auto"/>
          <w:sz w:val="24"/>
          <w:szCs w:val="24"/>
          <w:highlight w:val="none"/>
        </w:rPr>
        <w:t>需方：</w:t>
      </w:r>
      <w:r>
        <w:rPr>
          <w:rFonts w:asciiTheme="minorEastAsia" w:hAnsiTheme="minorEastAsia" w:eastAsiaTheme="minorEastAsia"/>
          <w:color w:val="auto"/>
          <w:sz w:val="24"/>
          <w:szCs w:val="24"/>
          <w:highlight w:val="none"/>
          <w:u w:val="single"/>
        </w:rPr>
        <w:t>重庆工商大学</w:t>
      </w:r>
      <w:r>
        <w:rPr>
          <w:rFonts w:asciiTheme="minorEastAsia" w:hAnsiTheme="minorEastAsia" w:eastAsiaTheme="minorEastAsia"/>
          <w:color w:val="auto"/>
          <w:sz w:val="24"/>
          <w:szCs w:val="24"/>
          <w:highlight w:val="none"/>
        </w:rPr>
        <w:t xml:space="preserve">                              供方：</w:t>
      </w:r>
      <w:r>
        <w:rPr>
          <w:rFonts w:asciiTheme="minorEastAsia" w:hAnsiTheme="minorEastAsia" w:eastAsiaTheme="minorEastAsia"/>
          <w:color w:val="auto"/>
          <w:sz w:val="24"/>
          <w:szCs w:val="24"/>
          <w:highlight w:val="none"/>
          <w:u w:val="single"/>
        </w:rPr>
        <w:t xml:space="preserve">               </w:t>
      </w:r>
    </w:p>
    <w:p w14:paraId="7A9D39DD">
      <w:pPr>
        <w:spacing w:line="276" w:lineRule="auto"/>
        <w:ind w:firstLine="480" w:firstLineChars="200"/>
        <w:rPr>
          <w:rFonts w:asciiTheme="minorEastAsia" w:hAnsiTheme="minorEastAsia" w:eastAsiaTheme="minorEastAsia"/>
          <w:color w:val="auto"/>
          <w:sz w:val="24"/>
          <w:szCs w:val="24"/>
          <w:highlight w:val="none"/>
        </w:rPr>
      </w:pPr>
    </w:p>
    <w:p w14:paraId="124369FC">
      <w:pPr>
        <w:spacing w:line="276"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为认真贯彻落实党中央、国务院关于从源头上预防和治理腐败的精神，加强采购活动全过程的管理和廉政建设，保证采购活动公开、公平、公正，保护国家、集体和当事人的合法利益，防止发生各种谋取不正当利益的违法违纪行为。经双方同意，在签订采购合同的同时，自愿签订本廉洁协议。</w:t>
      </w:r>
    </w:p>
    <w:p w14:paraId="124CF33B">
      <w:pPr>
        <w:spacing w:line="276" w:lineRule="auto"/>
        <w:ind w:firstLine="57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（一）供、需双方应当自觉遵守国家有关廉政建设的法律法规，杜绝商业贿赂和不正当竞争。</w:t>
      </w:r>
    </w:p>
    <w:p w14:paraId="4B6C7680">
      <w:pPr>
        <w:spacing w:line="276" w:lineRule="auto"/>
        <w:ind w:firstLine="57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二）需方需求部门有责任和义务公平公正地对需采购的货物或服务做好充分的市场调研，在综合分析不同供应商产品技术参数的前提下，确定合理的预算和技术参数，并在此基础上形成真实可信、切实可行的采购需求方案，表达规范、含义准确，并充分考虑后续采购竞争性，且不得出现与政府采购负面清单相违背的内容。</w:t>
      </w:r>
    </w:p>
    <w:p w14:paraId="5C8DAFFB">
      <w:pPr>
        <w:spacing w:line="276" w:lineRule="auto"/>
        <w:ind w:firstLine="57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（三）需方采购部门应严格按照政府采购相关法律法规组织开</w:t>
      </w:r>
      <w:r>
        <w:rPr>
          <w:rFonts w:hint="eastAsia" w:asciiTheme="minorEastAsia" w:hAnsiTheme="minorEastAsia" w:eastAsiaTheme="minorEastAsia"/>
          <w:color w:val="auto"/>
          <w:sz w:val="24"/>
          <w:szCs w:val="24"/>
          <w:highlight w:val="none"/>
        </w:rPr>
        <w:t>评审</w:t>
      </w:r>
      <w:r>
        <w:rPr>
          <w:rFonts w:asciiTheme="minorEastAsia" w:hAnsiTheme="minorEastAsia" w:eastAsiaTheme="minorEastAsia"/>
          <w:color w:val="auto"/>
          <w:sz w:val="24"/>
          <w:szCs w:val="24"/>
          <w:highlight w:val="none"/>
        </w:rPr>
        <w:t>，加强评审过程的规范性管理，客观公正对待评审结果，按照依法推荐的</w:t>
      </w:r>
      <w:r>
        <w:rPr>
          <w:rFonts w:hint="eastAsia" w:asciiTheme="minorEastAsia" w:hAnsiTheme="minorEastAsia" w:eastAsiaTheme="minorEastAsia"/>
          <w:color w:val="auto"/>
          <w:sz w:val="24"/>
          <w:szCs w:val="24"/>
          <w:highlight w:val="none"/>
        </w:rPr>
        <w:t>成交</w:t>
      </w:r>
      <w:r>
        <w:rPr>
          <w:rFonts w:asciiTheme="minorEastAsia" w:hAnsiTheme="minorEastAsia" w:eastAsiaTheme="minorEastAsia"/>
          <w:color w:val="auto"/>
          <w:sz w:val="24"/>
          <w:szCs w:val="24"/>
          <w:highlight w:val="none"/>
        </w:rPr>
        <w:t>（成交）候选供应商顺序确定</w:t>
      </w:r>
      <w:r>
        <w:rPr>
          <w:rFonts w:hint="eastAsia" w:asciiTheme="minorEastAsia" w:hAnsiTheme="minorEastAsia" w:eastAsiaTheme="minorEastAsia"/>
          <w:color w:val="auto"/>
          <w:sz w:val="24"/>
          <w:szCs w:val="24"/>
          <w:highlight w:val="none"/>
        </w:rPr>
        <w:t>成交</w:t>
      </w:r>
      <w:r>
        <w:rPr>
          <w:rFonts w:asciiTheme="minorEastAsia" w:hAnsiTheme="minorEastAsia" w:eastAsiaTheme="minorEastAsia"/>
          <w:color w:val="auto"/>
          <w:sz w:val="24"/>
          <w:szCs w:val="24"/>
          <w:highlight w:val="none"/>
        </w:rPr>
        <w:t>（成交）供应商。供需双方应依法合规签订合同，并严控合同变更，不得对</w:t>
      </w:r>
      <w:r>
        <w:rPr>
          <w:rFonts w:hint="eastAsia" w:asciiTheme="minorEastAsia" w:hAnsiTheme="minorEastAsia" w:eastAsiaTheme="minorEastAsia"/>
          <w:color w:val="auto"/>
          <w:sz w:val="24"/>
          <w:szCs w:val="24"/>
          <w:highlight w:val="none"/>
        </w:rPr>
        <w:t>招标</w:t>
      </w:r>
      <w:r>
        <w:rPr>
          <w:rFonts w:asciiTheme="minorEastAsia" w:hAnsiTheme="minorEastAsia" w:eastAsiaTheme="minorEastAsia"/>
          <w:color w:val="auto"/>
          <w:sz w:val="24"/>
          <w:szCs w:val="24"/>
          <w:highlight w:val="none"/>
        </w:rPr>
        <w:t>（采购）文件和供方的</w:t>
      </w:r>
      <w:r>
        <w:rPr>
          <w:rFonts w:hint="eastAsia" w:asciiTheme="minorEastAsia" w:hAnsiTheme="minorEastAsia" w:eastAsiaTheme="minorEastAsia"/>
          <w:color w:val="auto"/>
          <w:sz w:val="24"/>
          <w:szCs w:val="24"/>
          <w:highlight w:val="none"/>
        </w:rPr>
        <w:t>投标</w:t>
      </w:r>
      <w:r>
        <w:rPr>
          <w:rFonts w:asciiTheme="minorEastAsia" w:hAnsiTheme="minorEastAsia" w:eastAsiaTheme="minorEastAsia"/>
          <w:color w:val="auto"/>
          <w:sz w:val="24"/>
          <w:szCs w:val="24"/>
          <w:highlight w:val="none"/>
        </w:rPr>
        <w:t>（响应）文件作实质性修改，不得私下订立背离合同实质性内容的协议。</w:t>
      </w:r>
    </w:p>
    <w:p w14:paraId="24B2BEE4">
      <w:pPr>
        <w:spacing w:line="276" w:lineRule="auto"/>
        <w:ind w:firstLine="57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（四）需方需求部门应加强采购项目的后续履约管理，做好到货验收，积极为供方进场履约提供相应保障，积极配合供方进行安装调试。</w:t>
      </w:r>
      <w:r>
        <w:rPr>
          <w:rFonts w:asciiTheme="minorEastAsia" w:hAnsiTheme="minorEastAsia" w:eastAsiaTheme="minorEastAsia"/>
          <w:color w:val="auto"/>
          <w:sz w:val="24"/>
          <w:szCs w:val="24"/>
          <w:highlight w:val="none"/>
          <w:lang w:val="zh-TW"/>
        </w:rPr>
        <w:t>若到货产品品牌、型号、质量、样式及规格参数等与合同、采购文件的规定不符的，供方不得进行设备安装。</w:t>
      </w:r>
      <w:r>
        <w:rPr>
          <w:rFonts w:asciiTheme="minorEastAsia" w:hAnsiTheme="minorEastAsia" w:eastAsiaTheme="minorEastAsia"/>
          <w:color w:val="auto"/>
          <w:sz w:val="24"/>
          <w:szCs w:val="24"/>
          <w:highlight w:val="none"/>
        </w:rPr>
        <w:t>需方资产管理部门或考核牵头部门应严格按照合同与</w:t>
      </w:r>
      <w:r>
        <w:rPr>
          <w:rFonts w:hint="eastAsia" w:asciiTheme="minorEastAsia" w:hAnsiTheme="minorEastAsia" w:eastAsiaTheme="minorEastAsia"/>
          <w:color w:val="auto"/>
          <w:sz w:val="24"/>
          <w:szCs w:val="24"/>
          <w:highlight w:val="none"/>
        </w:rPr>
        <w:t>投标</w:t>
      </w:r>
      <w:r>
        <w:rPr>
          <w:rFonts w:asciiTheme="minorEastAsia" w:hAnsiTheme="minorEastAsia" w:eastAsiaTheme="minorEastAsia"/>
          <w:color w:val="auto"/>
          <w:sz w:val="24"/>
          <w:szCs w:val="24"/>
          <w:highlight w:val="none"/>
        </w:rPr>
        <w:t>（采购）文件内容进行验收或考核，双方不得出现未达到验收或考核条件弄虚作假以致验收考核虚假通过等情形。</w:t>
      </w:r>
    </w:p>
    <w:p w14:paraId="5E8C137D">
      <w:pPr>
        <w:spacing w:line="276" w:lineRule="auto"/>
        <w:ind w:firstLine="57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五）需方相关人员及其近亲属不得参加供方和相关单位的宴请、健身和娱乐活动，不得向供方索贿或变相索贿，不得以任何借口向供方和相关单位索要或接受回扣、礼金、有价证券、贵重物品和好处费、感谢费等，不得要求供方报销应由需方或个人支付的费用。</w:t>
      </w:r>
    </w:p>
    <w:p w14:paraId="0CDB7AD1">
      <w:pPr>
        <w:spacing w:line="276" w:lineRule="auto"/>
        <w:ind w:firstLine="57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（六）供方不得邀请需方相关人员及其近亲属参加宴请、健身和娱乐活动，不得赠送回扣、礼金、有价证券、贵重物品和好处费、感谢费等，不得代为报销应由需方或个人支付的费用。</w:t>
      </w:r>
    </w:p>
    <w:p w14:paraId="0E001871">
      <w:pPr>
        <w:spacing w:line="276" w:lineRule="auto"/>
        <w:ind w:firstLine="57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七）若需方出现违反本廉洁协议之行为的，依据相关法律法规和学校制度给予党纪、政纪处分或组织处理，涉嫌犯罪的，移交司法机关追究刑事责任；若供方出现违反本廉洁协议之行为的，需方有权直接终止合同，并将供方记入需方采购与招</w:t>
      </w:r>
      <w:r>
        <w:rPr>
          <w:rFonts w:hint="eastAsia" w:asciiTheme="minorEastAsia" w:hAnsiTheme="minorEastAsia" w:eastAsiaTheme="minorEastAsia"/>
          <w:color w:val="auto"/>
          <w:sz w:val="24"/>
          <w:szCs w:val="24"/>
          <w:highlight w:val="none"/>
        </w:rPr>
        <w:t>投标</w:t>
      </w:r>
      <w:r>
        <w:rPr>
          <w:rFonts w:asciiTheme="minorEastAsia" w:hAnsiTheme="minorEastAsia" w:eastAsiaTheme="minorEastAsia"/>
          <w:color w:val="auto"/>
          <w:sz w:val="24"/>
          <w:szCs w:val="24"/>
          <w:highlight w:val="none"/>
        </w:rPr>
        <w:t>工作黑名单，同时供方应承担给需方造成的一切损失。</w:t>
      </w:r>
    </w:p>
    <w:p w14:paraId="2E2D4DF5">
      <w:pPr>
        <w:spacing w:line="276" w:lineRule="auto"/>
        <w:ind w:firstLine="55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（八）供、需双方均应分别加强对相关人员廉洁教育，强化人员法纪意识，杜绝行贿、受贿、索贿（变相索贿）等违法乱纪行为发生，坚守纪律红线、法律准线、道德底线、责任钢线。</w:t>
      </w:r>
    </w:p>
    <w:p w14:paraId="15B35C26">
      <w:pPr>
        <w:spacing w:line="276" w:lineRule="auto"/>
        <w:ind w:firstLine="55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（九）需方相关人员包含但不限于需方需求部门、归口部门、考核牵头部门、采购部门、资产管理部门等相关人员。</w:t>
      </w:r>
    </w:p>
    <w:p w14:paraId="5AA3C5FD">
      <w:pPr>
        <w:spacing w:line="276" w:lineRule="auto"/>
        <w:ind w:firstLine="55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（十）本协议作为采购合同的组成部分，具有同等法律效力。此协议一式叁份，需方贰份，供方壹份，自双方签字、盖章后生效。</w:t>
      </w:r>
    </w:p>
    <w:p w14:paraId="645458AD">
      <w:pPr>
        <w:tabs>
          <w:tab w:val="left" w:pos="5387"/>
        </w:tabs>
        <w:spacing w:line="276" w:lineRule="auto"/>
        <w:rPr>
          <w:rFonts w:asciiTheme="minorEastAsia" w:hAnsiTheme="minorEastAsia" w:eastAsiaTheme="minorEastAsia"/>
          <w:color w:val="auto"/>
          <w:sz w:val="24"/>
          <w:szCs w:val="24"/>
          <w:highlight w:val="none"/>
        </w:rPr>
      </w:pPr>
    </w:p>
    <w:tbl>
      <w:tblPr>
        <w:tblStyle w:val="22"/>
        <w:tblW w:w="10157" w:type="dxa"/>
        <w:tblInd w:w="0" w:type="dxa"/>
        <w:tblLayout w:type="autofit"/>
        <w:tblCellMar>
          <w:top w:w="0" w:type="dxa"/>
          <w:left w:w="108" w:type="dxa"/>
          <w:bottom w:w="0" w:type="dxa"/>
          <w:right w:w="108" w:type="dxa"/>
        </w:tblCellMar>
      </w:tblPr>
      <w:tblGrid>
        <w:gridCol w:w="5353"/>
        <w:gridCol w:w="4804"/>
      </w:tblGrid>
      <w:tr w14:paraId="715E87BA">
        <w:tblPrEx>
          <w:tblCellMar>
            <w:top w:w="0" w:type="dxa"/>
            <w:left w:w="108" w:type="dxa"/>
            <w:bottom w:w="0" w:type="dxa"/>
            <w:right w:w="108" w:type="dxa"/>
          </w:tblCellMar>
        </w:tblPrEx>
        <w:trPr>
          <w:trHeight w:val="975" w:hRule="atLeast"/>
        </w:trPr>
        <w:tc>
          <w:tcPr>
            <w:tcW w:w="5353" w:type="dxa"/>
            <w:shd w:val="clear" w:color="auto" w:fill="auto"/>
          </w:tcPr>
          <w:p w14:paraId="3B22032D">
            <w:pPr>
              <w:tabs>
                <w:tab w:val="left" w:pos="5387"/>
              </w:tabs>
              <w:spacing w:line="276" w:lineRule="auto"/>
              <w:ind w:left="413" w:hanging="412" w:hangingChars="172"/>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需方：重庆工商大学（盖章）</w:t>
            </w:r>
          </w:p>
          <w:p w14:paraId="1DC1689C">
            <w:pPr>
              <w:tabs>
                <w:tab w:val="left" w:pos="5387"/>
              </w:tabs>
              <w:spacing w:line="276" w:lineRule="auto"/>
              <w:ind w:left="413" w:hanging="412" w:hangingChars="172"/>
              <w:rPr>
                <w:rFonts w:asciiTheme="minorEastAsia" w:hAnsiTheme="minorEastAsia" w:eastAsiaTheme="minorEastAsia"/>
                <w:color w:val="auto"/>
                <w:sz w:val="24"/>
                <w:szCs w:val="24"/>
                <w:highlight w:val="none"/>
              </w:rPr>
            </w:pPr>
          </w:p>
        </w:tc>
        <w:tc>
          <w:tcPr>
            <w:tcW w:w="4804" w:type="dxa"/>
            <w:shd w:val="clear" w:color="auto" w:fill="auto"/>
          </w:tcPr>
          <w:p w14:paraId="4A37DB1F">
            <w:pPr>
              <w:tabs>
                <w:tab w:val="left" w:pos="5387"/>
              </w:tabs>
              <w:spacing w:line="276" w:lineRule="auto"/>
              <w:ind w:left="413" w:hanging="412" w:hangingChars="172"/>
              <w:rPr>
                <w:rFonts w:asciiTheme="minorEastAsia" w:hAnsiTheme="minorEastAsia" w:eastAsiaTheme="minorEastAsia"/>
                <w:b/>
                <w:color w:val="auto"/>
                <w:sz w:val="24"/>
                <w:szCs w:val="24"/>
                <w:highlight w:val="none"/>
              </w:rPr>
            </w:pPr>
            <w:r>
              <w:rPr>
                <w:rFonts w:asciiTheme="minorEastAsia" w:hAnsiTheme="minorEastAsia" w:eastAsiaTheme="minorEastAsia"/>
                <w:color w:val="auto"/>
                <w:sz w:val="24"/>
                <w:szCs w:val="24"/>
                <w:highlight w:val="none"/>
              </w:rPr>
              <w:t>供方：（盖章）</w:t>
            </w:r>
          </w:p>
        </w:tc>
      </w:tr>
      <w:tr w14:paraId="697FD35F">
        <w:tblPrEx>
          <w:tblCellMar>
            <w:top w:w="0" w:type="dxa"/>
            <w:left w:w="108" w:type="dxa"/>
            <w:bottom w:w="0" w:type="dxa"/>
            <w:right w:w="108" w:type="dxa"/>
          </w:tblCellMar>
        </w:tblPrEx>
        <w:trPr>
          <w:trHeight w:val="960" w:hRule="atLeast"/>
        </w:trPr>
        <w:tc>
          <w:tcPr>
            <w:tcW w:w="5353" w:type="dxa"/>
            <w:shd w:val="clear" w:color="auto" w:fill="auto"/>
          </w:tcPr>
          <w:p w14:paraId="2DF1C948">
            <w:pPr>
              <w:tabs>
                <w:tab w:val="left" w:pos="5387"/>
              </w:tabs>
              <w:spacing w:line="276" w:lineRule="auto"/>
              <w:ind w:left="413" w:hanging="412" w:hangingChars="172"/>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采购与招</w:t>
            </w:r>
            <w:r>
              <w:rPr>
                <w:rFonts w:hint="eastAsia" w:asciiTheme="minorEastAsia" w:hAnsiTheme="minorEastAsia" w:eastAsiaTheme="minorEastAsia"/>
                <w:color w:val="auto"/>
                <w:sz w:val="24"/>
                <w:szCs w:val="24"/>
                <w:highlight w:val="none"/>
              </w:rPr>
              <w:t>投标</w:t>
            </w:r>
            <w:r>
              <w:rPr>
                <w:rFonts w:asciiTheme="minorEastAsia" w:hAnsiTheme="minorEastAsia" w:eastAsiaTheme="minorEastAsia"/>
                <w:color w:val="auto"/>
                <w:sz w:val="24"/>
                <w:szCs w:val="24"/>
                <w:highlight w:val="none"/>
              </w:rPr>
              <w:t>管理中心（签字）：</w:t>
            </w:r>
          </w:p>
          <w:p w14:paraId="11E1D3D2">
            <w:pPr>
              <w:tabs>
                <w:tab w:val="left" w:pos="5387"/>
              </w:tabs>
              <w:spacing w:line="276" w:lineRule="auto"/>
              <w:ind w:left="413" w:hanging="412" w:hangingChars="172"/>
              <w:rPr>
                <w:rFonts w:asciiTheme="minorEastAsia" w:hAnsiTheme="minorEastAsia" w:eastAsiaTheme="minorEastAsia"/>
                <w:color w:val="auto"/>
                <w:sz w:val="24"/>
                <w:szCs w:val="24"/>
                <w:highlight w:val="none"/>
              </w:rPr>
            </w:pPr>
          </w:p>
          <w:p w14:paraId="2EF5972B">
            <w:pPr>
              <w:tabs>
                <w:tab w:val="left" w:pos="5387"/>
              </w:tabs>
              <w:spacing w:line="276" w:lineRule="auto"/>
              <w:ind w:left="482" w:hanging="481" w:hangingChars="172"/>
              <w:rPr>
                <w:rFonts w:asciiTheme="minorEastAsia" w:hAnsiTheme="minorEastAsia" w:eastAsiaTheme="minorEastAsia"/>
                <w:color w:val="auto"/>
                <w:highlight w:val="none"/>
              </w:rPr>
            </w:pPr>
          </w:p>
        </w:tc>
        <w:tc>
          <w:tcPr>
            <w:tcW w:w="4804" w:type="dxa"/>
            <w:shd w:val="clear" w:color="auto" w:fill="auto"/>
          </w:tcPr>
          <w:p w14:paraId="1060754F">
            <w:pPr>
              <w:tabs>
                <w:tab w:val="left" w:pos="5387"/>
              </w:tabs>
              <w:spacing w:line="276" w:lineRule="auto"/>
              <w:ind w:left="413" w:hanging="412" w:hangingChars="172"/>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法定代表人（签字）：</w:t>
            </w:r>
          </w:p>
          <w:p w14:paraId="2772545C">
            <w:pPr>
              <w:pStyle w:val="5"/>
              <w:rPr>
                <w:rFonts w:asciiTheme="minorEastAsia" w:hAnsiTheme="minorEastAsia" w:eastAsiaTheme="minorEastAsia"/>
                <w:color w:val="auto"/>
                <w:highlight w:val="none"/>
              </w:rPr>
            </w:pPr>
          </w:p>
          <w:p w14:paraId="233A7156">
            <w:pPr>
              <w:tabs>
                <w:tab w:val="left" w:pos="5387"/>
              </w:tabs>
              <w:spacing w:line="276" w:lineRule="auto"/>
              <w:ind w:left="413" w:hanging="412" w:hangingChars="172"/>
              <w:rPr>
                <w:rFonts w:asciiTheme="minorEastAsia" w:hAnsiTheme="minorEastAsia" w:eastAsiaTheme="minorEastAsia"/>
                <w:color w:val="auto"/>
                <w:highlight w:val="none"/>
              </w:rPr>
            </w:pPr>
            <w:r>
              <w:rPr>
                <w:rFonts w:asciiTheme="minorEastAsia" w:hAnsiTheme="minorEastAsia" w:eastAsiaTheme="minorEastAsia"/>
                <w:color w:val="auto"/>
                <w:sz w:val="24"/>
                <w:szCs w:val="24"/>
                <w:highlight w:val="none"/>
              </w:rPr>
              <w:t>授权代表（签字）</w:t>
            </w:r>
            <w:r>
              <w:rPr>
                <w:rFonts w:hint="eastAsia" w:asciiTheme="minorEastAsia" w:hAnsiTheme="minorEastAsia" w:eastAsiaTheme="minorEastAsia"/>
                <w:color w:val="auto"/>
                <w:sz w:val="24"/>
                <w:szCs w:val="24"/>
                <w:highlight w:val="none"/>
              </w:rPr>
              <w:t>：</w:t>
            </w:r>
          </w:p>
        </w:tc>
      </w:tr>
    </w:tbl>
    <w:p w14:paraId="284F302A">
      <w:pPr>
        <w:pStyle w:val="5"/>
        <w:ind w:firstLine="0"/>
        <w:rPr>
          <w:color w:val="auto"/>
          <w:highlight w:val="none"/>
        </w:rPr>
      </w:pPr>
    </w:p>
    <w:p w14:paraId="5A1882DD">
      <w:pPr>
        <w:snapToGrid w:val="0"/>
        <w:spacing w:line="360" w:lineRule="auto"/>
        <w:ind w:firstLine="560" w:firstLineChars="200"/>
        <w:jc w:val="center"/>
        <w:rPr>
          <w:color w:val="auto"/>
          <w:highlight w:val="none"/>
        </w:rPr>
      </w:pPr>
    </w:p>
    <w:p w14:paraId="67CCBA69">
      <w:pPr>
        <w:pStyle w:val="2"/>
        <w:spacing w:before="240" w:after="120"/>
        <w:ind w:firstLine="880"/>
        <w:rPr>
          <w:rFonts w:eastAsia="宋体"/>
          <w:b/>
          <w:color w:val="auto"/>
          <w:highlight w:val="none"/>
        </w:rPr>
      </w:pPr>
      <w:r>
        <w:rPr>
          <w:rFonts w:eastAsia="宋体"/>
          <w:color w:val="auto"/>
          <w:highlight w:val="none"/>
        </w:rPr>
        <w:br w:type="page"/>
      </w:r>
      <w:bookmarkStart w:id="407" w:name="_Toc20232"/>
      <w:bookmarkStart w:id="408" w:name="_Toc4907"/>
      <w:bookmarkStart w:id="409" w:name="_Toc21153"/>
      <w:r>
        <w:rPr>
          <w:rFonts w:hint="eastAsia" w:eastAsia="宋体"/>
          <w:b/>
          <w:color w:val="auto"/>
          <w:highlight w:val="none"/>
        </w:rPr>
        <w:t>第七篇</w:t>
      </w:r>
      <w:r>
        <w:rPr>
          <w:rFonts w:eastAsia="宋体"/>
          <w:b/>
          <w:color w:val="auto"/>
          <w:highlight w:val="none"/>
        </w:rPr>
        <w:t xml:space="preserve">  </w:t>
      </w:r>
      <w:r>
        <w:rPr>
          <w:rFonts w:hint="eastAsia" w:eastAsia="宋体"/>
          <w:b/>
          <w:color w:val="auto"/>
          <w:highlight w:val="none"/>
        </w:rPr>
        <w:t>响应文件格式</w:t>
      </w:r>
      <w:bookmarkEnd w:id="407"/>
      <w:bookmarkEnd w:id="408"/>
      <w:bookmarkEnd w:id="409"/>
    </w:p>
    <w:p w14:paraId="60AD812C">
      <w:pPr>
        <w:snapToGrid w:val="0"/>
        <w:spacing w:line="440" w:lineRule="exact"/>
        <w:ind w:firstLine="482" w:firstLineChars="200"/>
        <w:rPr>
          <w:b/>
          <w:color w:val="auto"/>
          <w:sz w:val="24"/>
          <w:szCs w:val="24"/>
          <w:highlight w:val="none"/>
        </w:rPr>
      </w:pPr>
      <w:r>
        <w:rPr>
          <w:rFonts w:hint="eastAsia"/>
          <w:b/>
          <w:color w:val="auto"/>
          <w:sz w:val="24"/>
          <w:szCs w:val="24"/>
          <w:highlight w:val="none"/>
        </w:rPr>
        <w:t>一、经济文件</w:t>
      </w:r>
    </w:p>
    <w:p w14:paraId="2739EDA5">
      <w:pPr>
        <w:snapToGrid w:val="0"/>
        <w:spacing w:line="440" w:lineRule="exact"/>
        <w:ind w:firstLine="480" w:firstLineChars="200"/>
        <w:rPr>
          <w:color w:val="auto"/>
          <w:sz w:val="24"/>
          <w:szCs w:val="24"/>
          <w:highlight w:val="none"/>
        </w:rPr>
      </w:pPr>
      <w:r>
        <w:rPr>
          <w:rFonts w:hint="eastAsia"/>
          <w:color w:val="auto"/>
          <w:sz w:val="24"/>
          <w:szCs w:val="24"/>
          <w:highlight w:val="none"/>
        </w:rPr>
        <w:t>（一）开标一览表</w:t>
      </w:r>
    </w:p>
    <w:p w14:paraId="75048354">
      <w:pPr>
        <w:snapToGrid w:val="0"/>
        <w:spacing w:line="440" w:lineRule="exact"/>
        <w:ind w:firstLine="480" w:firstLineChars="200"/>
        <w:rPr>
          <w:color w:val="auto"/>
          <w:sz w:val="24"/>
          <w:szCs w:val="24"/>
          <w:highlight w:val="none"/>
        </w:rPr>
      </w:pPr>
      <w:r>
        <w:rPr>
          <w:rFonts w:hint="eastAsia"/>
          <w:color w:val="auto"/>
          <w:sz w:val="24"/>
          <w:szCs w:val="24"/>
          <w:highlight w:val="none"/>
        </w:rPr>
        <w:t>（二）分项报价明细表</w:t>
      </w:r>
    </w:p>
    <w:p w14:paraId="0E2543C6">
      <w:pPr>
        <w:snapToGrid w:val="0"/>
        <w:spacing w:line="440" w:lineRule="exact"/>
        <w:ind w:firstLine="482" w:firstLineChars="200"/>
        <w:rPr>
          <w:b/>
          <w:color w:val="auto"/>
          <w:sz w:val="24"/>
          <w:szCs w:val="24"/>
          <w:highlight w:val="none"/>
        </w:rPr>
      </w:pPr>
      <w:r>
        <w:rPr>
          <w:rFonts w:hint="eastAsia"/>
          <w:b/>
          <w:color w:val="auto"/>
          <w:sz w:val="24"/>
          <w:szCs w:val="24"/>
          <w:highlight w:val="none"/>
        </w:rPr>
        <w:t>二、服务文件</w:t>
      </w:r>
    </w:p>
    <w:p w14:paraId="66938AAF">
      <w:pPr>
        <w:snapToGrid w:val="0"/>
        <w:spacing w:line="440" w:lineRule="exact"/>
        <w:ind w:firstLine="480" w:firstLineChars="200"/>
        <w:rPr>
          <w:color w:val="auto"/>
          <w:sz w:val="24"/>
          <w:szCs w:val="24"/>
          <w:highlight w:val="none"/>
        </w:rPr>
      </w:pPr>
      <w:r>
        <w:rPr>
          <w:rFonts w:hint="eastAsia"/>
          <w:color w:val="auto"/>
          <w:sz w:val="24"/>
          <w:szCs w:val="24"/>
          <w:highlight w:val="none"/>
        </w:rPr>
        <w:t>（一）服务条款差异表</w:t>
      </w:r>
    </w:p>
    <w:p w14:paraId="5EAF928C">
      <w:pPr>
        <w:snapToGrid w:val="0"/>
        <w:spacing w:line="440" w:lineRule="exact"/>
        <w:ind w:firstLine="480" w:firstLineChars="200"/>
        <w:rPr>
          <w:color w:val="auto"/>
          <w:sz w:val="24"/>
          <w:szCs w:val="24"/>
          <w:highlight w:val="none"/>
        </w:rPr>
      </w:pPr>
      <w:r>
        <w:rPr>
          <w:rFonts w:hint="eastAsia"/>
          <w:color w:val="auto"/>
          <w:sz w:val="24"/>
          <w:szCs w:val="24"/>
          <w:highlight w:val="none"/>
        </w:rPr>
        <w:t>（二）其他服务资料（自拟）</w:t>
      </w:r>
    </w:p>
    <w:p w14:paraId="1764C7EC">
      <w:pPr>
        <w:snapToGrid w:val="0"/>
        <w:spacing w:line="440" w:lineRule="exact"/>
        <w:ind w:firstLine="482" w:firstLineChars="200"/>
        <w:rPr>
          <w:b/>
          <w:color w:val="auto"/>
          <w:sz w:val="24"/>
          <w:szCs w:val="24"/>
          <w:highlight w:val="none"/>
        </w:rPr>
      </w:pPr>
      <w:r>
        <w:rPr>
          <w:rFonts w:hint="eastAsia"/>
          <w:b/>
          <w:color w:val="auto"/>
          <w:sz w:val="24"/>
          <w:szCs w:val="24"/>
          <w:highlight w:val="none"/>
        </w:rPr>
        <w:t>三、商务文件</w:t>
      </w:r>
    </w:p>
    <w:p w14:paraId="2C1C82D1">
      <w:pPr>
        <w:snapToGrid w:val="0"/>
        <w:spacing w:line="440" w:lineRule="exact"/>
        <w:ind w:firstLine="480" w:firstLineChars="200"/>
        <w:rPr>
          <w:color w:val="auto"/>
          <w:sz w:val="24"/>
          <w:szCs w:val="24"/>
          <w:highlight w:val="none"/>
        </w:rPr>
      </w:pPr>
      <w:r>
        <w:rPr>
          <w:rFonts w:hint="eastAsia"/>
          <w:color w:val="auto"/>
          <w:sz w:val="24"/>
          <w:szCs w:val="24"/>
          <w:highlight w:val="none"/>
        </w:rPr>
        <w:t>（一）投标函（格式）</w:t>
      </w:r>
    </w:p>
    <w:p w14:paraId="24E7E293">
      <w:pPr>
        <w:snapToGrid w:val="0"/>
        <w:spacing w:line="440" w:lineRule="exact"/>
        <w:ind w:firstLine="480" w:firstLineChars="200"/>
        <w:rPr>
          <w:color w:val="auto"/>
          <w:sz w:val="24"/>
          <w:szCs w:val="24"/>
          <w:highlight w:val="none"/>
        </w:rPr>
      </w:pPr>
      <w:r>
        <w:rPr>
          <w:rFonts w:hint="eastAsia"/>
          <w:color w:val="auto"/>
          <w:sz w:val="24"/>
          <w:szCs w:val="24"/>
          <w:highlight w:val="none"/>
        </w:rPr>
        <w:t>（二）商务条款差异表</w:t>
      </w:r>
    </w:p>
    <w:p w14:paraId="6AD07931">
      <w:pPr>
        <w:snapToGrid w:val="0"/>
        <w:spacing w:line="440" w:lineRule="exact"/>
        <w:ind w:firstLine="480" w:firstLineChars="200"/>
        <w:rPr>
          <w:color w:val="auto"/>
          <w:sz w:val="24"/>
          <w:szCs w:val="24"/>
          <w:highlight w:val="none"/>
        </w:rPr>
      </w:pPr>
      <w:r>
        <w:rPr>
          <w:rFonts w:hint="eastAsia"/>
          <w:color w:val="auto"/>
          <w:sz w:val="24"/>
          <w:szCs w:val="24"/>
          <w:highlight w:val="none"/>
        </w:rPr>
        <w:t>（三）其他商务资料（自拟）</w:t>
      </w:r>
    </w:p>
    <w:p w14:paraId="39AAA8E9">
      <w:pPr>
        <w:tabs>
          <w:tab w:val="left" w:pos="1764"/>
        </w:tabs>
        <w:snapToGrid w:val="0"/>
        <w:spacing w:line="440" w:lineRule="exact"/>
        <w:ind w:firstLine="482" w:firstLineChars="200"/>
        <w:rPr>
          <w:b/>
          <w:color w:val="auto"/>
          <w:sz w:val="24"/>
          <w:szCs w:val="24"/>
          <w:highlight w:val="none"/>
        </w:rPr>
      </w:pPr>
      <w:r>
        <w:rPr>
          <w:rFonts w:hint="eastAsia"/>
          <w:b/>
          <w:color w:val="auto"/>
          <w:sz w:val="24"/>
          <w:szCs w:val="24"/>
          <w:highlight w:val="none"/>
        </w:rPr>
        <w:t>四、其他</w:t>
      </w:r>
    </w:p>
    <w:p w14:paraId="7A50C096">
      <w:pPr>
        <w:snapToGrid w:val="0"/>
        <w:spacing w:line="440" w:lineRule="exact"/>
        <w:ind w:firstLine="480" w:firstLineChars="200"/>
        <w:rPr>
          <w:color w:val="auto"/>
          <w:sz w:val="24"/>
          <w:szCs w:val="24"/>
          <w:highlight w:val="none"/>
        </w:rPr>
      </w:pPr>
      <w:r>
        <w:rPr>
          <w:rFonts w:hint="eastAsia"/>
          <w:color w:val="auto"/>
          <w:sz w:val="24"/>
          <w:szCs w:val="24"/>
          <w:highlight w:val="none"/>
        </w:rPr>
        <w:t>其他与项目有关的资料（自附）</w:t>
      </w:r>
    </w:p>
    <w:p w14:paraId="3EFC95EB">
      <w:pPr>
        <w:snapToGrid w:val="0"/>
        <w:spacing w:line="440" w:lineRule="exact"/>
        <w:ind w:firstLine="482" w:firstLineChars="200"/>
        <w:rPr>
          <w:b/>
          <w:color w:val="auto"/>
          <w:sz w:val="24"/>
          <w:szCs w:val="24"/>
          <w:highlight w:val="none"/>
        </w:rPr>
      </w:pPr>
      <w:r>
        <w:rPr>
          <w:rFonts w:hint="eastAsia"/>
          <w:b/>
          <w:color w:val="auto"/>
          <w:sz w:val="24"/>
          <w:szCs w:val="24"/>
          <w:highlight w:val="none"/>
        </w:rPr>
        <w:t>五、资格文件</w:t>
      </w:r>
    </w:p>
    <w:p w14:paraId="052B389D">
      <w:pPr>
        <w:snapToGrid w:val="0"/>
        <w:spacing w:line="440" w:lineRule="exact"/>
        <w:ind w:firstLine="480" w:firstLineChars="200"/>
        <w:rPr>
          <w:color w:val="auto"/>
          <w:sz w:val="24"/>
          <w:szCs w:val="24"/>
          <w:highlight w:val="none"/>
        </w:rPr>
      </w:pPr>
      <w:r>
        <w:rPr>
          <w:rFonts w:hint="eastAsia"/>
          <w:color w:val="auto"/>
          <w:sz w:val="24"/>
          <w:szCs w:val="24"/>
          <w:highlight w:val="none"/>
        </w:rPr>
        <w:t>（一）企业法人营业执照（副本）证书复印件</w:t>
      </w:r>
    </w:p>
    <w:p w14:paraId="1603956F">
      <w:pPr>
        <w:snapToGrid w:val="0"/>
        <w:spacing w:line="440" w:lineRule="exact"/>
        <w:ind w:firstLine="480" w:firstLineChars="200"/>
        <w:rPr>
          <w:color w:val="auto"/>
          <w:sz w:val="24"/>
          <w:szCs w:val="24"/>
          <w:highlight w:val="none"/>
        </w:rPr>
      </w:pPr>
      <w:r>
        <w:rPr>
          <w:rFonts w:hint="eastAsia"/>
          <w:color w:val="auto"/>
          <w:sz w:val="24"/>
          <w:szCs w:val="24"/>
          <w:highlight w:val="none"/>
        </w:rPr>
        <w:t>（二）法定代表人身份证明书（格式）</w:t>
      </w:r>
    </w:p>
    <w:p w14:paraId="74A715B3">
      <w:pPr>
        <w:snapToGrid w:val="0"/>
        <w:spacing w:line="440" w:lineRule="exact"/>
        <w:ind w:firstLine="480" w:firstLineChars="200"/>
        <w:rPr>
          <w:color w:val="auto"/>
          <w:sz w:val="24"/>
          <w:szCs w:val="24"/>
          <w:highlight w:val="none"/>
        </w:rPr>
      </w:pPr>
      <w:r>
        <w:rPr>
          <w:rFonts w:hint="eastAsia"/>
          <w:color w:val="auto"/>
          <w:sz w:val="24"/>
          <w:szCs w:val="24"/>
          <w:highlight w:val="none"/>
        </w:rPr>
        <w:t>（三）法定代表人授权委托书（格式）</w:t>
      </w:r>
    </w:p>
    <w:p w14:paraId="0F8104C0">
      <w:pPr>
        <w:snapToGrid w:val="0"/>
        <w:spacing w:line="440" w:lineRule="exact"/>
        <w:ind w:firstLine="480" w:firstLineChars="200"/>
        <w:rPr>
          <w:color w:val="auto"/>
          <w:sz w:val="24"/>
          <w:szCs w:val="24"/>
          <w:highlight w:val="none"/>
        </w:rPr>
      </w:pPr>
      <w:r>
        <w:rPr>
          <w:rFonts w:hint="eastAsia"/>
          <w:color w:val="auto"/>
          <w:sz w:val="24"/>
          <w:szCs w:val="24"/>
          <w:highlight w:val="none"/>
        </w:rPr>
        <w:t>（四）基本资格条件承诺函（格式）</w:t>
      </w:r>
    </w:p>
    <w:p w14:paraId="27EB5558">
      <w:pPr>
        <w:snapToGrid w:val="0"/>
        <w:spacing w:line="440" w:lineRule="exact"/>
        <w:ind w:firstLine="480" w:firstLineChars="200"/>
        <w:rPr>
          <w:color w:val="auto"/>
          <w:sz w:val="24"/>
          <w:szCs w:val="24"/>
          <w:highlight w:val="none"/>
        </w:rPr>
      </w:pPr>
      <w:r>
        <w:rPr>
          <w:rFonts w:hint="eastAsia"/>
          <w:color w:val="auto"/>
          <w:sz w:val="24"/>
          <w:szCs w:val="24"/>
          <w:highlight w:val="none"/>
        </w:rPr>
        <w:t>（五）特定资格条件证书或证明文件</w:t>
      </w:r>
    </w:p>
    <w:p w14:paraId="0C76A682">
      <w:pPr>
        <w:snapToGrid w:val="0"/>
        <w:spacing w:line="440" w:lineRule="exact"/>
        <w:ind w:firstLine="482" w:firstLineChars="200"/>
        <w:rPr>
          <w:b/>
          <w:color w:val="auto"/>
          <w:sz w:val="24"/>
          <w:szCs w:val="24"/>
          <w:highlight w:val="none"/>
        </w:rPr>
      </w:pPr>
      <w:r>
        <w:rPr>
          <w:rFonts w:hint="eastAsia"/>
          <w:b/>
          <w:color w:val="auto"/>
          <w:sz w:val="24"/>
          <w:szCs w:val="24"/>
          <w:highlight w:val="none"/>
        </w:rPr>
        <w:t>六、其他与项目有关的资料</w:t>
      </w:r>
      <w:r>
        <w:rPr>
          <w:b/>
          <w:color w:val="auto"/>
          <w:sz w:val="24"/>
          <w:szCs w:val="24"/>
          <w:highlight w:val="none"/>
        </w:rPr>
        <w:br w:type="page"/>
      </w:r>
    </w:p>
    <w:p w14:paraId="3AB1AB09">
      <w:pPr>
        <w:pStyle w:val="3"/>
        <w:ind w:firstLine="560"/>
        <w:rPr>
          <w:color w:val="auto"/>
          <w:highlight w:val="none"/>
        </w:rPr>
      </w:pPr>
      <w:bookmarkStart w:id="410" w:name="_Toc8432"/>
      <w:bookmarkStart w:id="411" w:name="_Toc5805"/>
      <w:bookmarkStart w:id="412" w:name="_Toc429584884"/>
      <w:bookmarkStart w:id="413" w:name="_Toc18266"/>
      <w:r>
        <w:rPr>
          <w:rFonts w:hint="eastAsia"/>
          <w:color w:val="auto"/>
          <w:highlight w:val="none"/>
        </w:rPr>
        <w:t>一、经济文件</w:t>
      </w:r>
      <w:bookmarkEnd w:id="410"/>
      <w:bookmarkEnd w:id="411"/>
      <w:bookmarkEnd w:id="412"/>
      <w:bookmarkEnd w:id="413"/>
    </w:p>
    <w:p w14:paraId="5495D099">
      <w:pPr>
        <w:snapToGrid w:val="0"/>
        <w:spacing w:line="440" w:lineRule="exact"/>
        <w:ind w:firstLine="560"/>
        <w:jc w:val="center"/>
        <w:rPr>
          <w:color w:val="auto"/>
          <w:szCs w:val="36"/>
          <w:highlight w:val="none"/>
        </w:rPr>
      </w:pPr>
      <w:r>
        <w:rPr>
          <w:rFonts w:hint="eastAsia"/>
          <w:color w:val="auto"/>
          <w:szCs w:val="36"/>
          <w:highlight w:val="none"/>
        </w:rPr>
        <w:t>（一）开标一览表</w:t>
      </w:r>
    </w:p>
    <w:p w14:paraId="7BA1E40D">
      <w:pPr>
        <w:snapToGrid w:val="0"/>
        <w:spacing w:line="440" w:lineRule="exact"/>
        <w:ind w:firstLine="480" w:firstLineChars="200"/>
        <w:rPr>
          <w:color w:val="auto"/>
          <w:sz w:val="24"/>
          <w:szCs w:val="28"/>
          <w:highlight w:val="none"/>
        </w:rPr>
      </w:pPr>
      <w:r>
        <w:rPr>
          <w:rFonts w:hint="eastAsia"/>
          <w:color w:val="auto"/>
          <w:sz w:val="24"/>
          <w:szCs w:val="28"/>
          <w:highlight w:val="none"/>
        </w:rPr>
        <w:t>项目编号：</w:t>
      </w:r>
    </w:p>
    <w:p w14:paraId="601B7C0A">
      <w:pPr>
        <w:snapToGrid w:val="0"/>
        <w:spacing w:line="440" w:lineRule="exact"/>
        <w:ind w:firstLine="480" w:firstLineChars="200"/>
        <w:rPr>
          <w:color w:val="auto"/>
          <w:sz w:val="24"/>
          <w:szCs w:val="28"/>
          <w:highlight w:val="none"/>
        </w:rPr>
      </w:pPr>
      <w:r>
        <w:rPr>
          <w:rFonts w:hint="eastAsia"/>
          <w:color w:val="auto"/>
          <w:sz w:val="24"/>
          <w:szCs w:val="28"/>
          <w:highlight w:val="none"/>
        </w:rPr>
        <w:t>询比项目名称：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840"/>
      </w:tblGrid>
      <w:tr w14:paraId="3ACB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788" w:type="dxa"/>
            <w:vAlign w:val="center"/>
          </w:tcPr>
          <w:p w14:paraId="53608C78">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7840" w:type="dxa"/>
            <w:vAlign w:val="center"/>
          </w:tcPr>
          <w:p w14:paraId="6812145F">
            <w:pPr>
              <w:spacing w:line="500" w:lineRule="exact"/>
              <w:jc w:val="center"/>
              <w:rPr>
                <w:rFonts w:ascii="宋体" w:hAnsi="宋体" w:cs="宋体"/>
                <w:color w:val="auto"/>
                <w:sz w:val="24"/>
                <w:szCs w:val="24"/>
                <w:highlight w:val="none"/>
              </w:rPr>
            </w:pPr>
          </w:p>
        </w:tc>
      </w:tr>
      <w:tr w14:paraId="3249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788" w:type="dxa"/>
            <w:vAlign w:val="center"/>
          </w:tcPr>
          <w:p w14:paraId="07FA5588">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7840" w:type="dxa"/>
            <w:vAlign w:val="center"/>
          </w:tcPr>
          <w:p w14:paraId="285A7C87">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投标报价（小写，元）</w:t>
            </w:r>
          </w:p>
        </w:tc>
      </w:tr>
      <w:tr w14:paraId="01A0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88" w:type="dxa"/>
            <w:tcBorders>
              <w:bottom w:val="single" w:color="auto" w:sz="4" w:space="0"/>
            </w:tcBorders>
            <w:vAlign w:val="center"/>
          </w:tcPr>
          <w:p w14:paraId="78F1C59B">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840" w:type="dxa"/>
            <w:tcBorders>
              <w:bottom w:val="single" w:color="auto" w:sz="4" w:space="0"/>
            </w:tcBorders>
          </w:tcPr>
          <w:p w14:paraId="7C22F728">
            <w:pPr>
              <w:spacing w:line="500" w:lineRule="exact"/>
              <w:rPr>
                <w:rFonts w:ascii="宋体" w:hAnsi="宋体" w:cs="宋体"/>
                <w:color w:val="auto"/>
                <w:sz w:val="24"/>
                <w:szCs w:val="24"/>
                <w:highlight w:val="none"/>
              </w:rPr>
            </w:pPr>
          </w:p>
        </w:tc>
      </w:tr>
      <w:tr w14:paraId="39B0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9628" w:type="dxa"/>
            <w:gridSpan w:val="2"/>
            <w:tcBorders>
              <w:bottom w:val="single" w:color="auto" w:sz="4" w:space="0"/>
            </w:tcBorders>
            <w:vAlign w:val="center"/>
          </w:tcPr>
          <w:p w14:paraId="15C3D26D">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投标报价（大写，元）：                           </w:t>
            </w:r>
          </w:p>
        </w:tc>
      </w:tr>
      <w:tr w14:paraId="211D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9628" w:type="dxa"/>
            <w:gridSpan w:val="2"/>
            <w:vAlign w:val="center"/>
          </w:tcPr>
          <w:p w14:paraId="4F417FA1">
            <w:pPr>
              <w:pStyle w:val="12"/>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备注： </w:t>
            </w:r>
          </w:p>
        </w:tc>
      </w:tr>
    </w:tbl>
    <w:p w14:paraId="79C961E2">
      <w:pPr>
        <w:pStyle w:val="11"/>
        <w:spacing w:line="440" w:lineRule="exact"/>
        <w:ind w:left="3920"/>
        <w:rPr>
          <w:color w:val="auto"/>
          <w:sz w:val="24"/>
          <w:szCs w:val="28"/>
          <w:highlight w:val="none"/>
        </w:rPr>
      </w:pPr>
    </w:p>
    <w:p w14:paraId="03133FAA">
      <w:pPr>
        <w:spacing w:line="440" w:lineRule="exact"/>
        <w:ind w:firstLine="480"/>
        <w:rPr>
          <w:color w:val="auto"/>
          <w:sz w:val="24"/>
          <w:szCs w:val="28"/>
          <w:highlight w:val="none"/>
        </w:rPr>
      </w:pPr>
    </w:p>
    <w:p w14:paraId="475C337F">
      <w:pPr>
        <w:spacing w:line="440" w:lineRule="exact"/>
        <w:ind w:firstLine="480" w:firstLineChars="200"/>
        <w:rPr>
          <w:color w:val="auto"/>
          <w:sz w:val="24"/>
          <w:szCs w:val="28"/>
          <w:highlight w:val="none"/>
        </w:rPr>
      </w:pPr>
      <w:r>
        <w:rPr>
          <w:rFonts w:hint="eastAsia"/>
          <w:color w:val="auto"/>
          <w:sz w:val="24"/>
          <w:szCs w:val="28"/>
          <w:highlight w:val="none"/>
        </w:rPr>
        <w:t>供应商：</w:t>
      </w:r>
      <w:r>
        <w:rPr>
          <w:color w:val="auto"/>
          <w:sz w:val="24"/>
          <w:szCs w:val="28"/>
          <w:highlight w:val="none"/>
        </w:rPr>
        <w:t xml:space="preserve">                      </w:t>
      </w:r>
      <w:r>
        <w:rPr>
          <w:rFonts w:hint="eastAsia"/>
          <w:color w:val="auto"/>
          <w:sz w:val="24"/>
          <w:szCs w:val="28"/>
          <w:highlight w:val="none"/>
        </w:rPr>
        <w:t>法定代表人（或法定代表人授权代表）：</w:t>
      </w:r>
    </w:p>
    <w:p w14:paraId="786DDC3A">
      <w:pPr>
        <w:spacing w:line="440" w:lineRule="exact"/>
        <w:ind w:firstLine="480"/>
        <w:rPr>
          <w:color w:val="auto"/>
          <w:sz w:val="24"/>
          <w:szCs w:val="28"/>
          <w:highlight w:val="none"/>
        </w:rPr>
      </w:pPr>
      <w:r>
        <w:rPr>
          <w:color w:val="auto"/>
          <w:sz w:val="24"/>
          <w:szCs w:val="28"/>
          <w:highlight w:val="none"/>
        </w:rPr>
        <w:t xml:space="preserve">  </w:t>
      </w:r>
      <w:r>
        <w:rPr>
          <w:rFonts w:hint="eastAsia"/>
          <w:color w:val="auto"/>
          <w:sz w:val="24"/>
          <w:szCs w:val="28"/>
          <w:highlight w:val="none"/>
        </w:rPr>
        <w:t>（供应商公章）</w:t>
      </w:r>
      <w:r>
        <w:rPr>
          <w:color w:val="auto"/>
          <w:sz w:val="24"/>
          <w:szCs w:val="28"/>
          <w:highlight w:val="none"/>
        </w:rPr>
        <w:t xml:space="preserve">                               </w:t>
      </w:r>
      <w:r>
        <w:rPr>
          <w:rFonts w:hint="eastAsia"/>
          <w:color w:val="auto"/>
          <w:sz w:val="24"/>
          <w:szCs w:val="28"/>
          <w:highlight w:val="none"/>
        </w:rPr>
        <w:t>（签字或盖章）</w:t>
      </w:r>
    </w:p>
    <w:p w14:paraId="6962F214">
      <w:pPr>
        <w:spacing w:line="440" w:lineRule="exact"/>
        <w:ind w:firstLine="480"/>
        <w:rPr>
          <w:color w:val="auto"/>
          <w:sz w:val="24"/>
          <w:szCs w:val="28"/>
          <w:highlight w:val="none"/>
        </w:rPr>
      </w:pPr>
    </w:p>
    <w:p w14:paraId="7473D943">
      <w:pPr>
        <w:spacing w:line="440" w:lineRule="exact"/>
        <w:ind w:firstLine="480"/>
        <w:rPr>
          <w:color w:val="auto"/>
          <w:sz w:val="24"/>
          <w:szCs w:val="28"/>
          <w:highlight w:val="none"/>
        </w:rPr>
      </w:pPr>
    </w:p>
    <w:p w14:paraId="0AE8BDC6">
      <w:pPr>
        <w:spacing w:line="440" w:lineRule="exact"/>
        <w:ind w:firstLine="480"/>
        <w:rPr>
          <w:color w:val="auto"/>
          <w:sz w:val="24"/>
          <w:szCs w:val="28"/>
          <w:highlight w:val="none"/>
        </w:rPr>
      </w:pPr>
      <w:r>
        <w:rPr>
          <w:color w:val="auto"/>
          <w:sz w:val="24"/>
          <w:szCs w:val="28"/>
          <w:highlight w:val="none"/>
        </w:rPr>
        <w:t xml:space="preserve">                                            </w:t>
      </w:r>
      <w:r>
        <w:rPr>
          <w:rFonts w:hint="eastAsia"/>
          <w:color w:val="auto"/>
          <w:sz w:val="24"/>
          <w:szCs w:val="28"/>
          <w:highlight w:val="none"/>
        </w:rPr>
        <w:t>年</w:t>
      </w:r>
      <w:r>
        <w:rPr>
          <w:color w:val="auto"/>
          <w:sz w:val="24"/>
          <w:szCs w:val="28"/>
          <w:highlight w:val="none"/>
        </w:rPr>
        <w:t xml:space="preserve">     </w:t>
      </w:r>
      <w:r>
        <w:rPr>
          <w:rFonts w:hint="eastAsia"/>
          <w:color w:val="auto"/>
          <w:sz w:val="24"/>
          <w:szCs w:val="28"/>
          <w:highlight w:val="none"/>
        </w:rPr>
        <w:t>月</w:t>
      </w:r>
      <w:r>
        <w:rPr>
          <w:color w:val="auto"/>
          <w:sz w:val="24"/>
          <w:szCs w:val="28"/>
          <w:highlight w:val="none"/>
        </w:rPr>
        <w:t xml:space="preserve">     </w:t>
      </w:r>
      <w:r>
        <w:rPr>
          <w:rFonts w:hint="eastAsia"/>
          <w:color w:val="auto"/>
          <w:sz w:val="24"/>
          <w:szCs w:val="28"/>
          <w:highlight w:val="none"/>
        </w:rPr>
        <w:t>日</w:t>
      </w:r>
    </w:p>
    <w:p w14:paraId="28DFF936">
      <w:pPr>
        <w:snapToGrid w:val="0"/>
        <w:spacing w:line="440" w:lineRule="exact"/>
        <w:ind w:firstLine="480" w:firstLineChars="200"/>
        <w:rPr>
          <w:color w:val="auto"/>
          <w:sz w:val="24"/>
          <w:szCs w:val="28"/>
          <w:highlight w:val="none"/>
        </w:rPr>
      </w:pPr>
    </w:p>
    <w:p w14:paraId="08C31600">
      <w:pPr>
        <w:snapToGrid w:val="0"/>
        <w:spacing w:line="440" w:lineRule="exact"/>
        <w:ind w:firstLine="480" w:firstLineChars="200"/>
        <w:rPr>
          <w:color w:val="auto"/>
          <w:sz w:val="24"/>
          <w:szCs w:val="28"/>
          <w:highlight w:val="none"/>
        </w:rPr>
      </w:pPr>
    </w:p>
    <w:p w14:paraId="3ED77A9C">
      <w:pPr>
        <w:snapToGrid w:val="0"/>
        <w:spacing w:line="440" w:lineRule="exact"/>
        <w:ind w:firstLine="480" w:firstLineChars="200"/>
        <w:rPr>
          <w:color w:val="auto"/>
          <w:sz w:val="24"/>
          <w:szCs w:val="28"/>
          <w:highlight w:val="none"/>
        </w:rPr>
      </w:pPr>
    </w:p>
    <w:p w14:paraId="66C8E37C">
      <w:pPr>
        <w:snapToGrid w:val="0"/>
        <w:spacing w:line="440" w:lineRule="exact"/>
        <w:ind w:firstLine="480" w:firstLineChars="200"/>
        <w:rPr>
          <w:color w:val="auto"/>
          <w:sz w:val="24"/>
          <w:szCs w:val="28"/>
          <w:highlight w:val="none"/>
        </w:rPr>
      </w:pPr>
      <w:r>
        <w:rPr>
          <w:rFonts w:hint="eastAsia"/>
          <w:color w:val="auto"/>
          <w:sz w:val="24"/>
          <w:szCs w:val="28"/>
          <w:highlight w:val="none"/>
        </w:rPr>
        <w:t>说明：</w:t>
      </w:r>
    </w:p>
    <w:p w14:paraId="7A293575">
      <w:pPr>
        <w:snapToGrid w:val="0"/>
        <w:spacing w:line="440" w:lineRule="exact"/>
        <w:ind w:firstLine="480" w:firstLineChars="200"/>
        <w:rPr>
          <w:color w:val="auto"/>
          <w:sz w:val="24"/>
          <w:szCs w:val="28"/>
          <w:highlight w:val="none"/>
        </w:rPr>
      </w:pPr>
      <w:r>
        <w:rPr>
          <w:color w:val="auto"/>
          <w:sz w:val="24"/>
          <w:szCs w:val="28"/>
          <w:highlight w:val="none"/>
        </w:rPr>
        <w:t>1.</w:t>
      </w:r>
      <w:r>
        <w:rPr>
          <w:rFonts w:hint="eastAsia"/>
          <w:color w:val="auto"/>
          <w:sz w:val="24"/>
          <w:szCs w:val="28"/>
          <w:highlight w:val="none"/>
        </w:rPr>
        <w:t>开标一览表按格式填列；</w:t>
      </w:r>
    </w:p>
    <w:p w14:paraId="08D9CBA2">
      <w:pPr>
        <w:snapToGrid w:val="0"/>
        <w:spacing w:line="440" w:lineRule="exact"/>
        <w:ind w:firstLine="480" w:firstLineChars="200"/>
        <w:rPr>
          <w:color w:val="auto"/>
          <w:sz w:val="24"/>
          <w:szCs w:val="28"/>
          <w:highlight w:val="none"/>
        </w:rPr>
      </w:pPr>
      <w:r>
        <w:rPr>
          <w:color w:val="auto"/>
          <w:sz w:val="24"/>
          <w:szCs w:val="28"/>
          <w:highlight w:val="none"/>
        </w:rPr>
        <w:t>2.</w:t>
      </w:r>
      <w:r>
        <w:rPr>
          <w:rFonts w:hint="eastAsia"/>
          <w:color w:val="auto"/>
          <w:sz w:val="24"/>
          <w:szCs w:val="28"/>
          <w:highlight w:val="none"/>
        </w:rPr>
        <w:t>开标一览表在开标大会上当众宣读，务必填写清楚，准确无误。</w:t>
      </w:r>
    </w:p>
    <w:p w14:paraId="400729A1">
      <w:pPr>
        <w:snapToGrid w:val="0"/>
        <w:spacing w:line="440" w:lineRule="exact"/>
        <w:ind w:firstLine="560" w:firstLineChars="200"/>
        <w:rPr>
          <w:color w:val="auto"/>
          <w:sz w:val="24"/>
          <w:szCs w:val="28"/>
          <w:highlight w:val="none"/>
        </w:rPr>
      </w:pPr>
      <w:r>
        <w:rPr>
          <w:color w:val="auto"/>
          <w:szCs w:val="28"/>
          <w:highlight w:val="none"/>
        </w:rPr>
        <w:br w:type="page"/>
      </w:r>
      <w:r>
        <w:rPr>
          <w:rFonts w:hint="eastAsia"/>
          <w:color w:val="auto"/>
          <w:sz w:val="24"/>
          <w:szCs w:val="28"/>
          <w:highlight w:val="none"/>
        </w:rPr>
        <w:t>（二）分项报价明细表</w:t>
      </w:r>
    </w:p>
    <w:p w14:paraId="60EF96F3">
      <w:pPr>
        <w:snapToGrid w:val="0"/>
        <w:spacing w:line="440" w:lineRule="exact"/>
        <w:ind w:firstLine="480" w:firstLineChars="200"/>
        <w:rPr>
          <w:color w:val="auto"/>
          <w:sz w:val="24"/>
          <w:szCs w:val="28"/>
          <w:highlight w:val="none"/>
        </w:rPr>
      </w:pPr>
      <w:r>
        <w:rPr>
          <w:rFonts w:hint="eastAsia"/>
          <w:color w:val="auto"/>
          <w:sz w:val="24"/>
          <w:szCs w:val="28"/>
          <w:highlight w:val="none"/>
        </w:rPr>
        <w:t>项目编号：</w:t>
      </w:r>
      <w:r>
        <w:rPr>
          <w:color w:val="auto"/>
          <w:sz w:val="24"/>
          <w:szCs w:val="28"/>
          <w:highlight w:val="none"/>
        </w:rPr>
        <w:t xml:space="preserve"> </w:t>
      </w:r>
    </w:p>
    <w:p w14:paraId="34EB77FB">
      <w:pPr>
        <w:snapToGrid w:val="0"/>
        <w:spacing w:line="440" w:lineRule="exact"/>
        <w:ind w:firstLine="480" w:firstLineChars="200"/>
        <w:rPr>
          <w:color w:val="auto"/>
          <w:highlight w:val="none"/>
        </w:rPr>
      </w:pPr>
      <w:r>
        <w:rPr>
          <w:rFonts w:hint="eastAsia"/>
          <w:color w:val="auto"/>
          <w:sz w:val="24"/>
          <w:szCs w:val="28"/>
          <w:highlight w:val="none"/>
        </w:rPr>
        <w:t>询比项目名称：</w:t>
      </w:r>
      <w:r>
        <w:rPr>
          <w:color w:val="auto"/>
          <w:sz w:val="24"/>
          <w:szCs w:val="28"/>
          <w:highlight w:val="none"/>
        </w:rPr>
        <w:t xml:space="preserve">                                 </w:t>
      </w:r>
      <w:r>
        <w:rPr>
          <w:rFonts w:hint="eastAsia"/>
          <w:color w:val="auto"/>
          <w:sz w:val="24"/>
          <w:szCs w:val="28"/>
          <w:highlight w:val="none"/>
        </w:rPr>
        <w:t>单位：元</w:t>
      </w:r>
    </w:p>
    <w:tbl>
      <w:tblPr>
        <w:tblStyle w:val="22"/>
        <w:tblW w:w="9474"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57"/>
        <w:gridCol w:w="3127"/>
        <w:gridCol w:w="1235"/>
        <w:gridCol w:w="1235"/>
        <w:gridCol w:w="1235"/>
      </w:tblGrid>
      <w:tr w14:paraId="6598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1085" w:type="dxa"/>
            <w:vAlign w:val="center"/>
          </w:tcPr>
          <w:p w14:paraId="340029B4">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557" w:type="dxa"/>
            <w:vAlign w:val="center"/>
          </w:tcPr>
          <w:p w14:paraId="5D013F03">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名称</w:t>
            </w:r>
          </w:p>
        </w:tc>
        <w:tc>
          <w:tcPr>
            <w:tcW w:w="3127" w:type="dxa"/>
            <w:vAlign w:val="center"/>
          </w:tcPr>
          <w:p w14:paraId="56BA9D8C">
            <w:pPr>
              <w:jc w:val="center"/>
              <w:rPr>
                <w:rFonts w:ascii="宋体" w:hAnsi="宋体" w:cs="宋体"/>
                <w:b/>
                <w:color w:val="auto"/>
                <w:sz w:val="24"/>
                <w:szCs w:val="24"/>
                <w:highlight w:val="none"/>
              </w:rPr>
            </w:pPr>
            <w:r>
              <w:rPr>
                <w:rFonts w:hint="eastAsia" w:ascii="宋体" w:hAnsi="宋体" w:cs="宋体"/>
                <w:b/>
                <w:color w:val="auto"/>
                <w:sz w:val="24"/>
                <w:szCs w:val="24"/>
                <w:highlight w:val="none"/>
              </w:rPr>
              <w:t>相关信息</w:t>
            </w:r>
          </w:p>
        </w:tc>
        <w:tc>
          <w:tcPr>
            <w:tcW w:w="1235" w:type="dxa"/>
            <w:vAlign w:val="center"/>
          </w:tcPr>
          <w:p w14:paraId="5F454939">
            <w:pPr>
              <w:jc w:val="center"/>
              <w:rPr>
                <w:rFonts w:ascii="宋体" w:hAnsi="宋体" w:cs="宋体"/>
                <w:b/>
                <w:color w:val="auto"/>
                <w:sz w:val="24"/>
                <w:szCs w:val="24"/>
                <w:highlight w:val="none"/>
              </w:rPr>
            </w:pPr>
            <w:r>
              <w:rPr>
                <w:rFonts w:hint="eastAsia" w:ascii="宋体" w:hAnsi="宋体" w:cs="宋体"/>
                <w:b/>
                <w:color w:val="auto"/>
                <w:sz w:val="24"/>
                <w:szCs w:val="24"/>
                <w:highlight w:val="none"/>
              </w:rPr>
              <w:t>数量</w:t>
            </w:r>
          </w:p>
        </w:tc>
        <w:tc>
          <w:tcPr>
            <w:tcW w:w="1235" w:type="dxa"/>
            <w:vAlign w:val="center"/>
          </w:tcPr>
          <w:p w14:paraId="6F6A8124">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单价</w:t>
            </w:r>
          </w:p>
        </w:tc>
        <w:tc>
          <w:tcPr>
            <w:tcW w:w="1235" w:type="dxa"/>
            <w:vAlign w:val="center"/>
          </w:tcPr>
          <w:p w14:paraId="7EA32833">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合计</w:t>
            </w:r>
          </w:p>
        </w:tc>
      </w:tr>
      <w:tr w14:paraId="3BEE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1085" w:type="dxa"/>
            <w:vAlign w:val="center"/>
          </w:tcPr>
          <w:p w14:paraId="24C0A7BE">
            <w:pPr>
              <w:pStyle w:val="9"/>
              <w:spacing w:line="240" w:lineRule="atLeast"/>
              <w:ind w:left="392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111</w:t>
            </w:r>
          </w:p>
        </w:tc>
        <w:tc>
          <w:tcPr>
            <w:tcW w:w="1557" w:type="dxa"/>
            <w:vAlign w:val="center"/>
          </w:tcPr>
          <w:p w14:paraId="3A812A43">
            <w:pPr>
              <w:jc w:val="center"/>
              <w:rPr>
                <w:rFonts w:ascii="宋体" w:hAnsi="宋体" w:cs="宋体"/>
                <w:color w:val="auto"/>
                <w:sz w:val="24"/>
                <w:szCs w:val="24"/>
                <w:highlight w:val="none"/>
              </w:rPr>
            </w:pPr>
          </w:p>
        </w:tc>
        <w:tc>
          <w:tcPr>
            <w:tcW w:w="3127" w:type="dxa"/>
          </w:tcPr>
          <w:p w14:paraId="63546AAD">
            <w:pPr>
              <w:jc w:val="center"/>
              <w:rPr>
                <w:rFonts w:ascii="宋体" w:hAnsi="宋体" w:cs="宋体"/>
                <w:color w:val="auto"/>
                <w:sz w:val="24"/>
                <w:szCs w:val="24"/>
                <w:highlight w:val="none"/>
              </w:rPr>
            </w:pPr>
          </w:p>
        </w:tc>
        <w:tc>
          <w:tcPr>
            <w:tcW w:w="1235" w:type="dxa"/>
            <w:vAlign w:val="center"/>
          </w:tcPr>
          <w:p w14:paraId="755DE3A6">
            <w:pPr>
              <w:jc w:val="center"/>
              <w:rPr>
                <w:rFonts w:ascii="宋体" w:hAnsi="宋体" w:cs="宋体"/>
                <w:color w:val="auto"/>
                <w:sz w:val="24"/>
                <w:szCs w:val="24"/>
                <w:highlight w:val="none"/>
              </w:rPr>
            </w:pPr>
          </w:p>
        </w:tc>
        <w:tc>
          <w:tcPr>
            <w:tcW w:w="1235" w:type="dxa"/>
          </w:tcPr>
          <w:p w14:paraId="222AE8C4">
            <w:pPr>
              <w:jc w:val="center"/>
              <w:rPr>
                <w:rFonts w:ascii="宋体" w:hAnsi="宋体" w:cs="宋体"/>
                <w:color w:val="auto"/>
                <w:sz w:val="24"/>
                <w:szCs w:val="24"/>
                <w:highlight w:val="none"/>
              </w:rPr>
            </w:pPr>
          </w:p>
        </w:tc>
        <w:tc>
          <w:tcPr>
            <w:tcW w:w="1235" w:type="dxa"/>
          </w:tcPr>
          <w:p w14:paraId="5F419A65">
            <w:pPr>
              <w:jc w:val="center"/>
              <w:rPr>
                <w:rFonts w:ascii="宋体" w:hAnsi="宋体" w:cs="宋体"/>
                <w:color w:val="auto"/>
                <w:sz w:val="24"/>
                <w:szCs w:val="24"/>
                <w:highlight w:val="none"/>
              </w:rPr>
            </w:pPr>
          </w:p>
        </w:tc>
      </w:tr>
      <w:tr w14:paraId="1E40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1085" w:type="dxa"/>
            <w:vAlign w:val="center"/>
          </w:tcPr>
          <w:p w14:paraId="70770A21">
            <w:pPr>
              <w:pStyle w:val="9"/>
              <w:spacing w:line="240" w:lineRule="atLeast"/>
              <w:ind w:left="392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557" w:type="dxa"/>
            <w:vAlign w:val="center"/>
          </w:tcPr>
          <w:p w14:paraId="36F9FF6E">
            <w:pPr>
              <w:jc w:val="center"/>
              <w:rPr>
                <w:rFonts w:ascii="宋体" w:hAnsi="宋体" w:cs="宋体"/>
                <w:color w:val="auto"/>
                <w:sz w:val="24"/>
                <w:szCs w:val="24"/>
                <w:highlight w:val="none"/>
              </w:rPr>
            </w:pPr>
          </w:p>
        </w:tc>
        <w:tc>
          <w:tcPr>
            <w:tcW w:w="3127" w:type="dxa"/>
          </w:tcPr>
          <w:p w14:paraId="4D8B8291">
            <w:pPr>
              <w:jc w:val="center"/>
              <w:rPr>
                <w:rFonts w:ascii="宋体" w:hAnsi="宋体" w:cs="宋体"/>
                <w:color w:val="auto"/>
                <w:sz w:val="24"/>
                <w:szCs w:val="24"/>
                <w:highlight w:val="none"/>
              </w:rPr>
            </w:pPr>
          </w:p>
        </w:tc>
        <w:tc>
          <w:tcPr>
            <w:tcW w:w="1235" w:type="dxa"/>
            <w:vAlign w:val="center"/>
          </w:tcPr>
          <w:p w14:paraId="5E2D7DAB">
            <w:pPr>
              <w:jc w:val="center"/>
              <w:rPr>
                <w:rFonts w:ascii="宋体" w:hAnsi="宋体" w:cs="宋体"/>
                <w:color w:val="auto"/>
                <w:sz w:val="24"/>
                <w:szCs w:val="24"/>
                <w:highlight w:val="none"/>
              </w:rPr>
            </w:pPr>
          </w:p>
        </w:tc>
        <w:tc>
          <w:tcPr>
            <w:tcW w:w="1235" w:type="dxa"/>
          </w:tcPr>
          <w:p w14:paraId="178A6A4D">
            <w:pPr>
              <w:jc w:val="center"/>
              <w:rPr>
                <w:rFonts w:ascii="宋体" w:hAnsi="宋体" w:cs="宋体"/>
                <w:color w:val="auto"/>
                <w:sz w:val="24"/>
                <w:szCs w:val="24"/>
                <w:highlight w:val="none"/>
              </w:rPr>
            </w:pPr>
          </w:p>
        </w:tc>
        <w:tc>
          <w:tcPr>
            <w:tcW w:w="1235" w:type="dxa"/>
          </w:tcPr>
          <w:p w14:paraId="3FE32260">
            <w:pPr>
              <w:jc w:val="center"/>
              <w:rPr>
                <w:rFonts w:ascii="宋体" w:hAnsi="宋体" w:cs="宋体"/>
                <w:color w:val="auto"/>
                <w:sz w:val="24"/>
                <w:szCs w:val="24"/>
                <w:highlight w:val="none"/>
              </w:rPr>
            </w:pPr>
          </w:p>
        </w:tc>
      </w:tr>
      <w:tr w14:paraId="58E6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1085" w:type="dxa"/>
            <w:vAlign w:val="center"/>
          </w:tcPr>
          <w:p w14:paraId="63C5C65A">
            <w:pPr>
              <w:pStyle w:val="9"/>
              <w:spacing w:line="240" w:lineRule="atLeast"/>
              <w:ind w:left="392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557" w:type="dxa"/>
            <w:vAlign w:val="center"/>
          </w:tcPr>
          <w:p w14:paraId="589343CB">
            <w:pPr>
              <w:jc w:val="center"/>
              <w:rPr>
                <w:rFonts w:ascii="宋体" w:hAnsi="宋体" w:cs="宋体"/>
                <w:color w:val="auto"/>
                <w:sz w:val="24"/>
                <w:szCs w:val="24"/>
                <w:highlight w:val="none"/>
              </w:rPr>
            </w:pPr>
          </w:p>
        </w:tc>
        <w:tc>
          <w:tcPr>
            <w:tcW w:w="3127" w:type="dxa"/>
          </w:tcPr>
          <w:p w14:paraId="23ECF218">
            <w:pPr>
              <w:jc w:val="center"/>
              <w:rPr>
                <w:rFonts w:ascii="宋体" w:hAnsi="宋体" w:cs="宋体"/>
                <w:color w:val="auto"/>
                <w:sz w:val="24"/>
                <w:szCs w:val="24"/>
                <w:highlight w:val="none"/>
              </w:rPr>
            </w:pPr>
          </w:p>
        </w:tc>
        <w:tc>
          <w:tcPr>
            <w:tcW w:w="1235" w:type="dxa"/>
            <w:vAlign w:val="center"/>
          </w:tcPr>
          <w:p w14:paraId="16D56503">
            <w:pPr>
              <w:jc w:val="center"/>
              <w:rPr>
                <w:rFonts w:ascii="宋体" w:hAnsi="宋体" w:cs="宋体"/>
                <w:color w:val="auto"/>
                <w:sz w:val="24"/>
                <w:szCs w:val="24"/>
                <w:highlight w:val="none"/>
              </w:rPr>
            </w:pPr>
          </w:p>
        </w:tc>
        <w:tc>
          <w:tcPr>
            <w:tcW w:w="1235" w:type="dxa"/>
          </w:tcPr>
          <w:p w14:paraId="71097399">
            <w:pPr>
              <w:jc w:val="center"/>
              <w:rPr>
                <w:rFonts w:ascii="宋体" w:hAnsi="宋体" w:cs="宋体"/>
                <w:color w:val="auto"/>
                <w:sz w:val="24"/>
                <w:szCs w:val="24"/>
                <w:highlight w:val="none"/>
              </w:rPr>
            </w:pPr>
          </w:p>
        </w:tc>
        <w:tc>
          <w:tcPr>
            <w:tcW w:w="1235" w:type="dxa"/>
          </w:tcPr>
          <w:p w14:paraId="6CE5A8B1">
            <w:pPr>
              <w:jc w:val="center"/>
              <w:rPr>
                <w:rFonts w:ascii="宋体" w:hAnsi="宋体" w:cs="宋体"/>
                <w:color w:val="auto"/>
                <w:sz w:val="24"/>
                <w:szCs w:val="24"/>
                <w:highlight w:val="none"/>
              </w:rPr>
            </w:pPr>
          </w:p>
        </w:tc>
      </w:tr>
      <w:tr w14:paraId="5DBE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1085" w:type="dxa"/>
            <w:vAlign w:val="center"/>
          </w:tcPr>
          <w:p w14:paraId="4C483B56">
            <w:pPr>
              <w:pStyle w:val="9"/>
              <w:spacing w:line="240" w:lineRule="atLeast"/>
              <w:ind w:left="392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557" w:type="dxa"/>
            <w:vAlign w:val="center"/>
          </w:tcPr>
          <w:p w14:paraId="11829F58">
            <w:pPr>
              <w:jc w:val="center"/>
              <w:rPr>
                <w:rFonts w:ascii="宋体" w:hAnsi="宋体" w:cs="宋体"/>
                <w:color w:val="auto"/>
                <w:sz w:val="24"/>
                <w:szCs w:val="24"/>
                <w:highlight w:val="none"/>
              </w:rPr>
            </w:pPr>
          </w:p>
        </w:tc>
        <w:tc>
          <w:tcPr>
            <w:tcW w:w="3127" w:type="dxa"/>
          </w:tcPr>
          <w:p w14:paraId="4DB3635F">
            <w:pPr>
              <w:jc w:val="center"/>
              <w:rPr>
                <w:rFonts w:ascii="宋体" w:hAnsi="宋体" w:cs="宋体"/>
                <w:color w:val="auto"/>
                <w:sz w:val="24"/>
                <w:szCs w:val="24"/>
                <w:highlight w:val="none"/>
              </w:rPr>
            </w:pPr>
          </w:p>
        </w:tc>
        <w:tc>
          <w:tcPr>
            <w:tcW w:w="1235" w:type="dxa"/>
            <w:vAlign w:val="center"/>
          </w:tcPr>
          <w:p w14:paraId="66D9AF69">
            <w:pPr>
              <w:jc w:val="center"/>
              <w:rPr>
                <w:rFonts w:ascii="宋体" w:hAnsi="宋体" w:cs="宋体"/>
                <w:color w:val="auto"/>
                <w:sz w:val="24"/>
                <w:szCs w:val="24"/>
                <w:highlight w:val="none"/>
              </w:rPr>
            </w:pPr>
          </w:p>
        </w:tc>
        <w:tc>
          <w:tcPr>
            <w:tcW w:w="1235" w:type="dxa"/>
          </w:tcPr>
          <w:p w14:paraId="386E3D29">
            <w:pPr>
              <w:jc w:val="center"/>
              <w:rPr>
                <w:rFonts w:ascii="宋体" w:hAnsi="宋体" w:cs="宋体"/>
                <w:color w:val="auto"/>
                <w:sz w:val="24"/>
                <w:szCs w:val="24"/>
                <w:highlight w:val="none"/>
              </w:rPr>
            </w:pPr>
          </w:p>
        </w:tc>
        <w:tc>
          <w:tcPr>
            <w:tcW w:w="1235" w:type="dxa"/>
          </w:tcPr>
          <w:p w14:paraId="1EEFE063">
            <w:pPr>
              <w:jc w:val="center"/>
              <w:rPr>
                <w:rFonts w:ascii="宋体" w:hAnsi="宋体" w:cs="宋体"/>
                <w:color w:val="auto"/>
                <w:sz w:val="24"/>
                <w:szCs w:val="24"/>
                <w:highlight w:val="none"/>
              </w:rPr>
            </w:pPr>
          </w:p>
        </w:tc>
      </w:tr>
      <w:tr w14:paraId="4B7B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1085" w:type="dxa"/>
            <w:vAlign w:val="center"/>
          </w:tcPr>
          <w:p w14:paraId="72C898C0">
            <w:pPr>
              <w:pStyle w:val="9"/>
              <w:spacing w:line="240" w:lineRule="atLeast"/>
              <w:ind w:left="392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557" w:type="dxa"/>
            <w:vAlign w:val="center"/>
          </w:tcPr>
          <w:p w14:paraId="7BD3D43D">
            <w:pPr>
              <w:jc w:val="center"/>
              <w:rPr>
                <w:rFonts w:ascii="宋体" w:hAnsi="宋体" w:cs="宋体"/>
                <w:color w:val="auto"/>
                <w:sz w:val="24"/>
                <w:szCs w:val="24"/>
                <w:highlight w:val="none"/>
              </w:rPr>
            </w:pPr>
          </w:p>
        </w:tc>
        <w:tc>
          <w:tcPr>
            <w:tcW w:w="3127" w:type="dxa"/>
          </w:tcPr>
          <w:p w14:paraId="6087301F">
            <w:pPr>
              <w:jc w:val="center"/>
              <w:rPr>
                <w:rFonts w:ascii="宋体" w:hAnsi="宋体" w:cs="宋体"/>
                <w:color w:val="auto"/>
                <w:sz w:val="24"/>
                <w:szCs w:val="24"/>
                <w:highlight w:val="none"/>
              </w:rPr>
            </w:pPr>
          </w:p>
        </w:tc>
        <w:tc>
          <w:tcPr>
            <w:tcW w:w="1235" w:type="dxa"/>
            <w:vAlign w:val="center"/>
          </w:tcPr>
          <w:p w14:paraId="4C3FC731">
            <w:pPr>
              <w:jc w:val="center"/>
              <w:rPr>
                <w:rFonts w:ascii="宋体" w:hAnsi="宋体" w:cs="宋体"/>
                <w:color w:val="auto"/>
                <w:sz w:val="24"/>
                <w:szCs w:val="24"/>
                <w:highlight w:val="none"/>
              </w:rPr>
            </w:pPr>
          </w:p>
        </w:tc>
        <w:tc>
          <w:tcPr>
            <w:tcW w:w="1235" w:type="dxa"/>
          </w:tcPr>
          <w:p w14:paraId="68EB40EE">
            <w:pPr>
              <w:jc w:val="center"/>
              <w:rPr>
                <w:rFonts w:ascii="宋体" w:hAnsi="宋体" w:cs="宋体"/>
                <w:color w:val="auto"/>
                <w:sz w:val="24"/>
                <w:szCs w:val="24"/>
                <w:highlight w:val="none"/>
              </w:rPr>
            </w:pPr>
          </w:p>
        </w:tc>
        <w:tc>
          <w:tcPr>
            <w:tcW w:w="1235" w:type="dxa"/>
          </w:tcPr>
          <w:p w14:paraId="06FA4BF8">
            <w:pPr>
              <w:jc w:val="center"/>
              <w:rPr>
                <w:rFonts w:ascii="宋体" w:hAnsi="宋体" w:cs="宋体"/>
                <w:color w:val="auto"/>
                <w:sz w:val="24"/>
                <w:szCs w:val="24"/>
                <w:highlight w:val="none"/>
              </w:rPr>
            </w:pPr>
          </w:p>
        </w:tc>
      </w:tr>
      <w:tr w14:paraId="7E81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1085" w:type="dxa"/>
            <w:vAlign w:val="center"/>
          </w:tcPr>
          <w:p w14:paraId="4384EA9C">
            <w:pPr>
              <w:pStyle w:val="9"/>
              <w:spacing w:line="240" w:lineRule="atLeast"/>
              <w:ind w:left="392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557" w:type="dxa"/>
            <w:vAlign w:val="center"/>
          </w:tcPr>
          <w:p w14:paraId="3FEB869C">
            <w:pPr>
              <w:spacing w:line="360" w:lineRule="auto"/>
              <w:jc w:val="center"/>
              <w:rPr>
                <w:rFonts w:ascii="宋体" w:hAnsi="宋体" w:cs="宋体"/>
                <w:color w:val="auto"/>
                <w:sz w:val="24"/>
                <w:szCs w:val="24"/>
                <w:highlight w:val="none"/>
              </w:rPr>
            </w:pPr>
          </w:p>
        </w:tc>
        <w:tc>
          <w:tcPr>
            <w:tcW w:w="3127" w:type="dxa"/>
          </w:tcPr>
          <w:p w14:paraId="1E6EEDF1">
            <w:pPr>
              <w:jc w:val="center"/>
              <w:rPr>
                <w:rFonts w:ascii="宋体" w:hAnsi="宋体" w:cs="宋体"/>
                <w:color w:val="auto"/>
                <w:sz w:val="24"/>
                <w:szCs w:val="24"/>
                <w:highlight w:val="none"/>
              </w:rPr>
            </w:pPr>
          </w:p>
        </w:tc>
        <w:tc>
          <w:tcPr>
            <w:tcW w:w="1235" w:type="dxa"/>
            <w:vAlign w:val="center"/>
          </w:tcPr>
          <w:p w14:paraId="5967EF20">
            <w:pPr>
              <w:jc w:val="center"/>
              <w:rPr>
                <w:rFonts w:ascii="宋体" w:hAnsi="宋体" w:cs="宋体"/>
                <w:color w:val="auto"/>
                <w:sz w:val="24"/>
                <w:szCs w:val="24"/>
                <w:highlight w:val="none"/>
              </w:rPr>
            </w:pPr>
          </w:p>
        </w:tc>
        <w:tc>
          <w:tcPr>
            <w:tcW w:w="1235" w:type="dxa"/>
          </w:tcPr>
          <w:p w14:paraId="12E6CB10">
            <w:pPr>
              <w:jc w:val="center"/>
              <w:rPr>
                <w:rFonts w:ascii="宋体" w:hAnsi="宋体" w:cs="宋体"/>
                <w:color w:val="auto"/>
                <w:sz w:val="24"/>
                <w:szCs w:val="24"/>
                <w:highlight w:val="none"/>
              </w:rPr>
            </w:pPr>
          </w:p>
        </w:tc>
        <w:tc>
          <w:tcPr>
            <w:tcW w:w="1235" w:type="dxa"/>
          </w:tcPr>
          <w:p w14:paraId="0F3F8992">
            <w:pPr>
              <w:jc w:val="center"/>
              <w:rPr>
                <w:rFonts w:ascii="宋体" w:hAnsi="宋体" w:cs="宋体"/>
                <w:color w:val="auto"/>
                <w:sz w:val="24"/>
                <w:szCs w:val="24"/>
                <w:highlight w:val="none"/>
              </w:rPr>
            </w:pPr>
          </w:p>
        </w:tc>
      </w:tr>
      <w:tr w14:paraId="3C30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1085" w:type="dxa"/>
            <w:vAlign w:val="center"/>
          </w:tcPr>
          <w:p w14:paraId="2A2131A6">
            <w:pPr>
              <w:pStyle w:val="9"/>
              <w:spacing w:line="240" w:lineRule="atLeast"/>
              <w:ind w:left="392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557" w:type="dxa"/>
            <w:vAlign w:val="center"/>
          </w:tcPr>
          <w:p w14:paraId="7B4C34D1">
            <w:pPr>
              <w:spacing w:line="360" w:lineRule="auto"/>
              <w:jc w:val="center"/>
              <w:rPr>
                <w:rFonts w:ascii="宋体" w:hAnsi="宋体" w:cs="宋体"/>
                <w:color w:val="auto"/>
                <w:sz w:val="24"/>
                <w:szCs w:val="24"/>
                <w:highlight w:val="none"/>
              </w:rPr>
            </w:pPr>
          </w:p>
        </w:tc>
        <w:tc>
          <w:tcPr>
            <w:tcW w:w="3127" w:type="dxa"/>
          </w:tcPr>
          <w:p w14:paraId="0D5CFC3B">
            <w:pPr>
              <w:jc w:val="center"/>
              <w:rPr>
                <w:rFonts w:ascii="宋体" w:hAnsi="宋体" w:cs="宋体"/>
                <w:color w:val="auto"/>
                <w:sz w:val="24"/>
                <w:szCs w:val="24"/>
                <w:highlight w:val="none"/>
              </w:rPr>
            </w:pPr>
          </w:p>
        </w:tc>
        <w:tc>
          <w:tcPr>
            <w:tcW w:w="1235" w:type="dxa"/>
            <w:vAlign w:val="center"/>
          </w:tcPr>
          <w:p w14:paraId="0F3EB055">
            <w:pPr>
              <w:jc w:val="center"/>
              <w:rPr>
                <w:rFonts w:ascii="宋体" w:hAnsi="宋体" w:cs="宋体"/>
                <w:color w:val="auto"/>
                <w:sz w:val="24"/>
                <w:szCs w:val="24"/>
                <w:highlight w:val="none"/>
              </w:rPr>
            </w:pPr>
          </w:p>
        </w:tc>
        <w:tc>
          <w:tcPr>
            <w:tcW w:w="1235" w:type="dxa"/>
          </w:tcPr>
          <w:p w14:paraId="7ABB0052">
            <w:pPr>
              <w:jc w:val="center"/>
              <w:rPr>
                <w:rFonts w:ascii="宋体" w:hAnsi="宋体" w:cs="宋体"/>
                <w:color w:val="auto"/>
                <w:sz w:val="24"/>
                <w:szCs w:val="24"/>
                <w:highlight w:val="none"/>
              </w:rPr>
            </w:pPr>
          </w:p>
        </w:tc>
        <w:tc>
          <w:tcPr>
            <w:tcW w:w="1235" w:type="dxa"/>
          </w:tcPr>
          <w:p w14:paraId="23E20B00">
            <w:pPr>
              <w:jc w:val="center"/>
              <w:rPr>
                <w:rFonts w:ascii="宋体" w:hAnsi="宋体" w:cs="宋体"/>
                <w:color w:val="auto"/>
                <w:sz w:val="24"/>
                <w:szCs w:val="24"/>
                <w:highlight w:val="none"/>
              </w:rPr>
            </w:pPr>
          </w:p>
        </w:tc>
      </w:tr>
      <w:tr w14:paraId="673C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1085" w:type="dxa"/>
            <w:vAlign w:val="center"/>
          </w:tcPr>
          <w:p w14:paraId="48DE281F">
            <w:pPr>
              <w:pStyle w:val="9"/>
              <w:spacing w:line="240" w:lineRule="atLeast"/>
              <w:ind w:left="392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557" w:type="dxa"/>
            <w:vAlign w:val="center"/>
          </w:tcPr>
          <w:p w14:paraId="718F8D61">
            <w:pPr>
              <w:spacing w:line="360" w:lineRule="auto"/>
              <w:jc w:val="center"/>
              <w:rPr>
                <w:rFonts w:ascii="宋体" w:hAnsi="宋体" w:cs="宋体"/>
                <w:color w:val="auto"/>
                <w:sz w:val="24"/>
                <w:szCs w:val="24"/>
                <w:highlight w:val="none"/>
              </w:rPr>
            </w:pPr>
          </w:p>
        </w:tc>
        <w:tc>
          <w:tcPr>
            <w:tcW w:w="3127" w:type="dxa"/>
          </w:tcPr>
          <w:p w14:paraId="53663BA2">
            <w:pPr>
              <w:jc w:val="center"/>
              <w:rPr>
                <w:rFonts w:ascii="宋体" w:hAnsi="宋体" w:cs="宋体"/>
                <w:color w:val="auto"/>
                <w:sz w:val="24"/>
                <w:szCs w:val="24"/>
                <w:highlight w:val="none"/>
              </w:rPr>
            </w:pPr>
          </w:p>
        </w:tc>
        <w:tc>
          <w:tcPr>
            <w:tcW w:w="1235" w:type="dxa"/>
            <w:vAlign w:val="center"/>
          </w:tcPr>
          <w:p w14:paraId="32BB452E">
            <w:pPr>
              <w:jc w:val="center"/>
              <w:rPr>
                <w:rFonts w:ascii="宋体" w:hAnsi="宋体" w:cs="宋体"/>
                <w:color w:val="auto"/>
                <w:sz w:val="24"/>
                <w:szCs w:val="24"/>
                <w:highlight w:val="none"/>
              </w:rPr>
            </w:pPr>
          </w:p>
        </w:tc>
        <w:tc>
          <w:tcPr>
            <w:tcW w:w="1235" w:type="dxa"/>
          </w:tcPr>
          <w:p w14:paraId="2CD325CA">
            <w:pPr>
              <w:jc w:val="center"/>
              <w:rPr>
                <w:rFonts w:ascii="宋体" w:hAnsi="宋体" w:cs="宋体"/>
                <w:color w:val="auto"/>
                <w:sz w:val="24"/>
                <w:szCs w:val="24"/>
                <w:highlight w:val="none"/>
              </w:rPr>
            </w:pPr>
          </w:p>
        </w:tc>
        <w:tc>
          <w:tcPr>
            <w:tcW w:w="1235" w:type="dxa"/>
          </w:tcPr>
          <w:p w14:paraId="2B9A6B53">
            <w:pPr>
              <w:jc w:val="center"/>
              <w:rPr>
                <w:rFonts w:ascii="宋体" w:hAnsi="宋体" w:cs="宋体"/>
                <w:color w:val="auto"/>
                <w:sz w:val="24"/>
                <w:szCs w:val="24"/>
                <w:highlight w:val="none"/>
              </w:rPr>
            </w:pPr>
          </w:p>
        </w:tc>
      </w:tr>
      <w:tr w14:paraId="6CDF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5" w:type="dxa"/>
            <w:vAlign w:val="center"/>
          </w:tcPr>
          <w:p w14:paraId="60C8C5F3">
            <w:pPr>
              <w:pStyle w:val="9"/>
              <w:spacing w:line="240" w:lineRule="atLeast"/>
              <w:ind w:left="392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557" w:type="dxa"/>
            <w:vAlign w:val="center"/>
          </w:tcPr>
          <w:p w14:paraId="01DC9A5D">
            <w:pPr>
              <w:spacing w:line="360" w:lineRule="auto"/>
              <w:jc w:val="center"/>
              <w:rPr>
                <w:rFonts w:ascii="宋体" w:hAnsi="宋体" w:cs="宋体"/>
                <w:color w:val="auto"/>
                <w:sz w:val="24"/>
                <w:szCs w:val="24"/>
                <w:highlight w:val="none"/>
              </w:rPr>
            </w:pPr>
          </w:p>
        </w:tc>
        <w:tc>
          <w:tcPr>
            <w:tcW w:w="3127" w:type="dxa"/>
          </w:tcPr>
          <w:p w14:paraId="19AE9FD5">
            <w:pPr>
              <w:jc w:val="center"/>
              <w:rPr>
                <w:rFonts w:ascii="宋体" w:hAnsi="宋体" w:cs="宋体"/>
                <w:color w:val="auto"/>
                <w:sz w:val="24"/>
                <w:szCs w:val="24"/>
                <w:highlight w:val="none"/>
              </w:rPr>
            </w:pPr>
          </w:p>
        </w:tc>
        <w:tc>
          <w:tcPr>
            <w:tcW w:w="1235" w:type="dxa"/>
            <w:vAlign w:val="center"/>
          </w:tcPr>
          <w:p w14:paraId="3F4B027E">
            <w:pPr>
              <w:jc w:val="center"/>
              <w:rPr>
                <w:rFonts w:ascii="宋体" w:hAnsi="宋体" w:cs="宋体"/>
                <w:color w:val="auto"/>
                <w:sz w:val="24"/>
                <w:szCs w:val="24"/>
                <w:highlight w:val="none"/>
              </w:rPr>
            </w:pPr>
          </w:p>
        </w:tc>
        <w:tc>
          <w:tcPr>
            <w:tcW w:w="1235" w:type="dxa"/>
          </w:tcPr>
          <w:p w14:paraId="272789C1">
            <w:pPr>
              <w:jc w:val="center"/>
              <w:rPr>
                <w:rFonts w:ascii="宋体" w:hAnsi="宋体" w:cs="宋体"/>
                <w:color w:val="auto"/>
                <w:sz w:val="24"/>
                <w:szCs w:val="24"/>
                <w:highlight w:val="none"/>
              </w:rPr>
            </w:pPr>
          </w:p>
        </w:tc>
        <w:tc>
          <w:tcPr>
            <w:tcW w:w="1235" w:type="dxa"/>
          </w:tcPr>
          <w:p w14:paraId="2B2EE0D9">
            <w:pPr>
              <w:jc w:val="center"/>
              <w:rPr>
                <w:rFonts w:ascii="宋体" w:hAnsi="宋体" w:cs="宋体"/>
                <w:color w:val="auto"/>
                <w:sz w:val="24"/>
                <w:szCs w:val="24"/>
                <w:highlight w:val="none"/>
              </w:rPr>
            </w:pPr>
          </w:p>
        </w:tc>
      </w:tr>
      <w:tr w14:paraId="71E3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1085" w:type="dxa"/>
            <w:vAlign w:val="center"/>
          </w:tcPr>
          <w:p w14:paraId="2B2055AB">
            <w:pPr>
              <w:pStyle w:val="9"/>
              <w:spacing w:line="240" w:lineRule="atLeast"/>
              <w:ind w:left="392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1557" w:type="dxa"/>
            <w:vAlign w:val="center"/>
          </w:tcPr>
          <w:p w14:paraId="4120332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总计</w:t>
            </w:r>
          </w:p>
        </w:tc>
        <w:tc>
          <w:tcPr>
            <w:tcW w:w="6832" w:type="dxa"/>
            <w:gridSpan w:val="4"/>
          </w:tcPr>
          <w:p w14:paraId="3733F911">
            <w:pPr>
              <w:rPr>
                <w:rFonts w:ascii="宋体" w:hAnsi="宋体" w:cs="宋体"/>
                <w:color w:val="auto"/>
                <w:sz w:val="24"/>
                <w:szCs w:val="24"/>
                <w:highlight w:val="none"/>
              </w:rPr>
            </w:pPr>
          </w:p>
        </w:tc>
      </w:tr>
    </w:tbl>
    <w:p w14:paraId="6ED47F76">
      <w:pPr>
        <w:spacing w:line="440" w:lineRule="exact"/>
        <w:ind w:firstLine="480" w:firstLineChars="200"/>
        <w:rPr>
          <w:color w:val="auto"/>
          <w:sz w:val="24"/>
          <w:szCs w:val="28"/>
          <w:highlight w:val="none"/>
        </w:rPr>
      </w:pPr>
    </w:p>
    <w:p w14:paraId="3E97A714">
      <w:pPr>
        <w:spacing w:line="440" w:lineRule="exact"/>
        <w:ind w:firstLine="600" w:firstLineChars="250"/>
        <w:rPr>
          <w:color w:val="auto"/>
          <w:sz w:val="24"/>
          <w:szCs w:val="28"/>
          <w:highlight w:val="none"/>
        </w:rPr>
      </w:pPr>
      <w:r>
        <w:rPr>
          <w:rFonts w:hint="eastAsia"/>
          <w:color w:val="auto"/>
          <w:sz w:val="24"/>
          <w:szCs w:val="28"/>
          <w:highlight w:val="none"/>
        </w:rPr>
        <w:t>供应商：</w:t>
      </w:r>
      <w:r>
        <w:rPr>
          <w:color w:val="auto"/>
          <w:sz w:val="24"/>
          <w:szCs w:val="28"/>
          <w:highlight w:val="none"/>
        </w:rPr>
        <w:t xml:space="preserve">                         </w:t>
      </w:r>
      <w:r>
        <w:rPr>
          <w:rFonts w:hint="eastAsia"/>
          <w:color w:val="auto"/>
          <w:sz w:val="24"/>
          <w:szCs w:val="28"/>
          <w:highlight w:val="none"/>
        </w:rPr>
        <w:t>法定代表人（或法定代表人授权代表）：</w:t>
      </w:r>
    </w:p>
    <w:p w14:paraId="4DD5B07E">
      <w:pPr>
        <w:spacing w:line="440" w:lineRule="exact"/>
        <w:ind w:firstLine="480"/>
        <w:rPr>
          <w:color w:val="auto"/>
          <w:sz w:val="24"/>
          <w:szCs w:val="28"/>
          <w:highlight w:val="none"/>
        </w:rPr>
      </w:pPr>
      <w:r>
        <w:rPr>
          <w:color w:val="auto"/>
          <w:sz w:val="24"/>
          <w:szCs w:val="28"/>
          <w:highlight w:val="none"/>
        </w:rPr>
        <w:t xml:space="preserve">  </w:t>
      </w:r>
      <w:r>
        <w:rPr>
          <w:rFonts w:hint="eastAsia"/>
          <w:color w:val="auto"/>
          <w:sz w:val="24"/>
          <w:szCs w:val="28"/>
          <w:highlight w:val="none"/>
        </w:rPr>
        <w:t>（供应商公章）</w:t>
      </w:r>
      <w:r>
        <w:rPr>
          <w:color w:val="auto"/>
          <w:sz w:val="24"/>
          <w:szCs w:val="28"/>
          <w:highlight w:val="none"/>
        </w:rPr>
        <w:t xml:space="preserve">                               </w:t>
      </w:r>
      <w:r>
        <w:rPr>
          <w:rFonts w:hint="eastAsia"/>
          <w:color w:val="auto"/>
          <w:sz w:val="24"/>
          <w:szCs w:val="28"/>
          <w:highlight w:val="none"/>
        </w:rPr>
        <w:t>（签字或盖章）</w:t>
      </w:r>
    </w:p>
    <w:p w14:paraId="0559707C">
      <w:pPr>
        <w:spacing w:line="440" w:lineRule="exact"/>
        <w:ind w:firstLine="480"/>
        <w:rPr>
          <w:color w:val="auto"/>
          <w:sz w:val="24"/>
          <w:szCs w:val="28"/>
          <w:highlight w:val="none"/>
        </w:rPr>
      </w:pPr>
    </w:p>
    <w:p w14:paraId="7B352F54">
      <w:pPr>
        <w:spacing w:line="440" w:lineRule="exact"/>
        <w:ind w:firstLine="480"/>
        <w:rPr>
          <w:color w:val="auto"/>
          <w:sz w:val="24"/>
          <w:szCs w:val="28"/>
          <w:highlight w:val="none"/>
        </w:rPr>
      </w:pPr>
    </w:p>
    <w:p w14:paraId="7C7AF633">
      <w:pPr>
        <w:snapToGrid w:val="0"/>
        <w:spacing w:line="440" w:lineRule="exact"/>
        <w:ind w:firstLine="480" w:firstLineChars="200"/>
        <w:rPr>
          <w:color w:val="auto"/>
          <w:sz w:val="24"/>
          <w:szCs w:val="28"/>
          <w:highlight w:val="none"/>
        </w:rPr>
      </w:pPr>
      <w:r>
        <w:rPr>
          <w:color w:val="auto"/>
          <w:sz w:val="24"/>
          <w:szCs w:val="28"/>
          <w:highlight w:val="none"/>
        </w:rPr>
        <w:t xml:space="preserve">                                            </w:t>
      </w:r>
      <w:r>
        <w:rPr>
          <w:rFonts w:hint="eastAsia"/>
          <w:color w:val="auto"/>
          <w:sz w:val="24"/>
          <w:szCs w:val="28"/>
          <w:highlight w:val="none"/>
        </w:rPr>
        <w:t>年</w:t>
      </w:r>
      <w:r>
        <w:rPr>
          <w:color w:val="auto"/>
          <w:sz w:val="24"/>
          <w:szCs w:val="28"/>
          <w:highlight w:val="none"/>
        </w:rPr>
        <w:t xml:space="preserve">     </w:t>
      </w:r>
      <w:r>
        <w:rPr>
          <w:rFonts w:hint="eastAsia"/>
          <w:color w:val="auto"/>
          <w:sz w:val="24"/>
          <w:szCs w:val="28"/>
          <w:highlight w:val="none"/>
        </w:rPr>
        <w:t>月</w:t>
      </w:r>
      <w:r>
        <w:rPr>
          <w:color w:val="auto"/>
          <w:sz w:val="24"/>
          <w:szCs w:val="28"/>
          <w:highlight w:val="none"/>
        </w:rPr>
        <w:t xml:space="preserve">     </w:t>
      </w:r>
      <w:r>
        <w:rPr>
          <w:rFonts w:hint="eastAsia"/>
          <w:color w:val="auto"/>
          <w:sz w:val="24"/>
          <w:szCs w:val="28"/>
          <w:highlight w:val="none"/>
        </w:rPr>
        <w:t>日</w:t>
      </w:r>
    </w:p>
    <w:p w14:paraId="27196902">
      <w:pPr>
        <w:snapToGrid w:val="0"/>
        <w:spacing w:line="440" w:lineRule="exact"/>
        <w:ind w:firstLine="480" w:firstLineChars="200"/>
        <w:rPr>
          <w:color w:val="auto"/>
          <w:sz w:val="24"/>
          <w:szCs w:val="28"/>
          <w:highlight w:val="none"/>
        </w:rPr>
      </w:pPr>
    </w:p>
    <w:p w14:paraId="05C745A0">
      <w:pPr>
        <w:snapToGrid w:val="0"/>
        <w:spacing w:line="440" w:lineRule="exact"/>
        <w:ind w:firstLine="480" w:firstLineChars="200"/>
        <w:rPr>
          <w:color w:val="auto"/>
          <w:sz w:val="24"/>
          <w:szCs w:val="28"/>
          <w:highlight w:val="none"/>
        </w:rPr>
      </w:pPr>
      <w:r>
        <w:rPr>
          <w:rFonts w:hint="eastAsia"/>
          <w:color w:val="auto"/>
          <w:sz w:val="24"/>
          <w:szCs w:val="28"/>
          <w:highlight w:val="none"/>
        </w:rPr>
        <w:t>注：</w:t>
      </w:r>
    </w:p>
    <w:p w14:paraId="2179F7DE">
      <w:pPr>
        <w:snapToGrid w:val="0"/>
        <w:spacing w:line="440" w:lineRule="exact"/>
        <w:ind w:firstLine="480" w:firstLineChars="200"/>
        <w:rPr>
          <w:color w:val="auto"/>
          <w:sz w:val="24"/>
          <w:szCs w:val="28"/>
          <w:highlight w:val="none"/>
        </w:rPr>
      </w:pPr>
      <w:r>
        <w:rPr>
          <w:color w:val="auto"/>
          <w:sz w:val="24"/>
          <w:szCs w:val="28"/>
          <w:highlight w:val="none"/>
        </w:rPr>
        <w:t>1.</w:t>
      </w:r>
      <w:r>
        <w:rPr>
          <w:rFonts w:hint="eastAsia"/>
          <w:color w:val="auto"/>
          <w:sz w:val="24"/>
          <w:szCs w:val="28"/>
          <w:highlight w:val="none"/>
        </w:rPr>
        <w:t>请供应商完整填写本表；</w:t>
      </w:r>
    </w:p>
    <w:p w14:paraId="0A264729">
      <w:pPr>
        <w:snapToGrid w:val="0"/>
        <w:spacing w:line="440" w:lineRule="exact"/>
        <w:ind w:firstLine="480" w:firstLineChars="200"/>
        <w:rPr>
          <w:color w:val="auto"/>
          <w:sz w:val="24"/>
          <w:szCs w:val="28"/>
          <w:highlight w:val="none"/>
        </w:rPr>
      </w:pPr>
      <w:r>
        <w:rPr>
          <w:color w:val="auto"/>
          <w:sz w:val="24"/>
          <w:szCs w:val="28"/>
          <w:highlight w:val="none"/>
        </w:rPr>
        <w:t>2.</w:t>
      </w:r>
      <w:r>
        <w:rPr>
          <w:rFonts w:hint="eastAsia"/>
          <w:color w:val="auto"/>
          <w:sz w:val="24"/>
          <w:szCs w:val="28"/>
          <w:highlight w:val="none"/>
        </w:rPr>
        <w:t>该表可扩展。</w:t>
      </w:r>
    </w:p>
    <w:p w14:paraId="3D99A08B">
      <w:pPr>
        <w:snapToGrid w:val="0"/>
        <w:spacing w:line="440" w:lineRule="exact"/>
        <w:ind w:firstLine="480" w:firstLineChars="200"/>
        <w:rPr>
          <w:color w:val="auto"/>
          <w:sz w:val="24"/>
          <w:szCs w:val="28"/>
          <w:highlight w:val="none"/>
        </w:rPr>
      </w:pPr>
      <w:r>
        <w:rPr>
          <w:color w:val="auto"/>
          <w:sz w:val="24"/>
          <w:szCs w:val="28"/>
          <w:highlight w:val="none"/>
        </w:rPr>
        <w:br w:type="page"/>
      </w:r>
    </w:p>
    <w:p w14:paraId="3FFE5321">
      <w:pPr>
        <w:pStyle w:val="3"/>
        <w:spacing w:line="500" w:lineRule="exact"/>
        <w:ind w:firstLine="562" w:firstLineChars="200"/>
        <w:rPr>
          <w:rFonts w:cs="宋体"/>
          <w:b/>
          <w:color w:val="auto"/>
          <w:szCs w:val="28"/>
          <w:highlight w:val="none"/>
        </w:rPr>
      </w:pPr>
      <w:bookmarkStart w:id="414" w:name="_Toc28221"/>
      <w:bookmarkStart w:id="415" w:name="_Toc76387266"/>
      <w:bookmarkStart w:id="416" w:name="_Toc15375"/>
      <w:bookmarkStart w:id="417" w:name="_Toc171960109"/>
      <w:r>
        <w:rPr>
          <w:rFonts w:hint="eastAsia" w:cs="宋体"/>
          <w:b/>
          <w:color w:val="auto"/>
          <w:szCs w:val="28"/>
          <w:highlight w:val="none"/>
        </w:rPr>
        <w:t>二、服务文件</w:t>
      </w:r>
      <w:bookmarkEnd w:id="414"/>
      <w:bookmarkEnd w:id="415"/>
      <w:bookmarkEnd w:id="416"/>
      <w:bookmarkEnd w:id="417"/>
    </w:p>
    <w:p w14:paraId="46AAB279">
      <w:pPr>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（一）服务条款差异表</w:t>
      </w:r>
    </w:p>
    <w:p w14:paraId="40B74AAD">
      <w:pPr>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项目号：</w:t>
      </w:r>
    </w:p>
    <w:p w14:paraId="69574FEF">
      <w:pPr>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询比项目名称：</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073"/>
        <w:gridCol w:w="3188"/>
        <w:gridCol w:w="2387"/>
      </w:tblGrid>
      <w:tr w14:paraId="0C55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vAlign w:val="center"/>
          </w:tcPr>
          <w:p w14:paraId="1553A87A">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1542" w:type="pct"/>
            <w:vAlign w:val="center"/>
          </w:tcPr>
          <w:p w14:paraId="1C6CFF70">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响应要求</w:t>
            </w:r>
          </w:p>
        </w:tc>
        <w:tc>
          <w:tcPr>
            <w:tcW w:w="1600" w:type="pct"/>
            <w:vAlign w:val="center"/>
          </w:tcPr>
          <w:p w14:paraId="50C5268E">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响应应答</w:t>
            </w:r>
          </w:p>
        </w:tc>
        <w:tc>
          <w:tcPr>
            <w:tcW w:w="1199" w:type="pct"/>
            <w:vAlign w:val="center"/>
          </w:tcPr>
          <w:p w14:paraId="1EE88304">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02D8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34E869E6">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260AEF20">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19936AEE">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提醒：请注明具体内容以及响应文件中具体内容的位置（页码）</w:t>
            </w:r>
          </w:p>
        </w:tc>
        <w:tc>
          <w:tcPr>
            <w:tcW w:w="1199" w:type="pct"/>
            <w:vAlign w:val="center"/>
          </w:tcPr>
          <w:p w14:paraId="1FA106F3">
            <w:pPr>
              <w:tabs>
                <w:tab w:val="left" w:pos="6300"/>
              </w:tabs>
              <w:snapToGrid w:val="0"/>
              <w:spacing w:line="500" w:lineRule="exact"/>
              <w:jc w:val="center"/>
              <w:outlineLvl w:val="0"/>
              <w:rPr>
                <w:rFonts w:ascii="宋体" w:hAnsi="宋体" w:cs="宋体"/>
                <w:color w:val="auto"/>
                <w:sz w:val="21"/>
                <w:szCs w:val="21"/>
                <w:highlight w:val="none"/>
              </w:rPr>
            </w:pPr>
          </w:p>
        </w:tc>
      </w:tr>
      <w:tr w14:paraId="2FEC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3A923BD1">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451A70B0">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35936AD9">
            <w:pPr>
              <w:tabs>
                <w:tab w:val="left" w:pos="6300"/>
              </w:tabs>
              <w:snapToGrid w:val="0"/>
              <w:spacing w:line="500" w:lineRule="exact"/>
              <w:jc w:val="center"/>
              <w:outlineLvl w:val="0"/>
              <w:rPr>
                <w:rFonts w:ascii="宋体" w:hAnsi="宋体" w:cs="宋体"/>
                <w:color w:val="auto"/>
                <w:sz w:val="21"/>
                <w:szCs w:val="21"/>
                <w:highlight w:val="none"/>
              </w:rPr>
            </w:pPr>
          </w:p>
        </w:tc>
        <w:tc>
          <w:tcPr>
            <w:tcW w:w="1199" w:type="pct"/>
            <w:vAlign w:val="center"/>
          </w:tcPr>
          <w:p w14:paraId="7FA8710D">
            <w:pPr>
              <w:tabs>
                <w:tab w:val="left" w:pos="6300"/>
              </w:tabs>
              <w:snapToGrid w:val="0"/>
              <w:spacing w:line="500" w:lineRule="exact"/>
              <w:jc w:val="center"/>
              <w:outlineLvl w:val="0"/>
              <w:rPr>
                <w:rFonts w:ascii="宋体" w:hAnsi="宋体" w:cs="宋体"/>
                <w:color w:val="auto"/>
                <w:sz w:val="21"/>
                <w:szCs w:val="21"/>
                <w:highlight w:val="none"/>
              </w:rPr>
            </w:pPr>
          </w:p>
        </w:tc>
      </w:tr>
      <w:tr w14:paraId="512E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3D1E80DE">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283938E1">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175456D8">
            <w:pPr>
              <w:tabs>
                <w:tab w:val="left" w:pos="6300"/>
              </w:tabs>
              <w:snapToGrid w:val="0"/>
              <w:spacing w:line="500" w:lineRule="exact"/>
              <w:jc w:val="center"/>
              <w:outlineLvl w:val="0"/>
              <w:rPr>
                <w:rFonts w:ascii="宋体" w:hAnsi="宋体" w:cs="宋体"/>
                <w:color w:val="auto"/>
                <w:sz w:val="21"/>
                <w:szCs w:val="21"/>
                <w:highlight w:val="none"/>
              </w:rPr>
            </w:pPr>
          </w:p>
        </w:tc>
        <w:tc>
          <w:tcPr>
            <w:tcW w:w="1199" w:type="pct"/>
            <w:vAlign w:val="center"/>
          </w:tcPr>
          <w:p w14:paraId="60559BCC">
            <w:pPr>
              <w:tabs>
                <w:tab w:val="left" w:pos="6300"/>
              </w:tabs>
              <w:snapToGrid w:val="0"/>
              <w:spacing w:line="500" w:lineRule="exact"/>
              <w:jc w:val="center"/>
              <w:outlineLvl w:val="0"/>
              <w:rPr>
                <w:rFonts w:ascii="宋体" w:hAnsi="宋体" w:cs="宋体"/>
                <w:color w:val="auto"/>
                <w:sz w:val="21"/>
                <w:szCs w:val="21"/>
                <w:highlight w:val="none"/>
              </w:rPr>
            </w:pPr>
          </w:p>
        </w:tc>
      </w:tr>
      <w:tr w14:paraId="0BD6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D238EB2">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6565A0EA">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7AEBADD3">
            <w:pPr>
              <w:tabs>
                <w:tab w:val="left" w:pos="6300"/>
              </w:tabs>
              <w:snapToGrid w:val="0"/>
              <w:spacing w:line="500" w:lineRule="exact"/>
              <w:jc w:val="center"/>
              <w:outlineLvl w:val="0"/>
              <w:rPr>
                <w:rFonts w:ascii="宋体" w:hAnsi="宋体" w:cs="宋体"/>
                <w:color w:val="auto"/>
                <w:sz w:val="21"/>
                <w:szCs w:val="21"/>
                <w:highlight w:val="none"/>
              </w:rPr>
            </w:pPr>
          </w:p>
        </w:tc>
        <w:tc>
          <w:tcPr>
            <w:tcW w:w="1199" w:type="pct"/>
            <w:vAlign w:val="center"/>
          </w:tcPr>
          <w:p w14:paraId="1B369D64">
            <w:pPr>
              <w:tabs>
                <w:tab w:val="left" w:pos="6300"/>
              </w:tabs>
              <w:snapToGrid w:val="0"/>
              <w:spacing w:line="500" w:lineRule="exact"/>
              <w:jc w:val="center"/>
              <w:outlineLvl w:val="0"/>
              <w:rPr>
                <w:rFonts w:ascii="宋体" w:hAnsi="宋体" w:cs="宋体"/>
                <w:color w:val="auto"/>
                <w:sz w:val="21"/>
                <w:szCs w:val="21"/>
                <w:highlight w:val="none"/>
              </w:rPr>
            </w:pPr>
          </w:p>
        </w:tc>
      </w:tr>
      <w:tr w14:paraId="0030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B7C265C">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010193DD">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21B4F540">
            <w:pPr>
              <w:tabs>
                <w:tab w:val="left" w:pos="6300"/>
              </w:tabs>
              <w:snapToGrid w:val="0"/>
              <w:spacing w:line="500" w:lineRule="exact"/>
              <w:jc w:val="center"/>
              <w:outlineLvl w:val="0"/>
              <w:rPr>
                <w:rFonts w:ascii="宋体" w:hAnsi="宋体" w:cs="宋体"/>
                <w:color w:val="auto"/>
                <w:sz w:val="21"/>
                <w:szCs w:val="21"/>
                <w:highlight w:val="none"/>
              </w:rPr>
            </w:pPr>
          </w:p>
        </w:tc>
        <w:tc>
          <w:tcPr>
            <w:tcW w:w="1199" w:type="pct"/>
            <w:vAlign w:val="center"/>
          </w:tcPr>
          <w:p w14:paraId="598DB8B4">
            <w:pPr>
              <w:tabs>
                <w:tab w:val="left" w:pos="6300"/>
              </w:tabs>
              <w:snapToGrid w:val="0"/>
              <w:spacing w:line="500" w:lineRule="exact"/>
              <w:jc w:val="center"/>
              <w:outlineLvl w:val="0"/>
              <w:rPr>
                <w:rFonts w:ascii="宋体" w:hAnsi="宋体" w:cs="宋体"/>
                <w:color w:val="auto"/>
                <w:sz w:val="21"/>
                <w:szCs w:val="21"/>
                <w:highlight w:val="none"/>
              </w:rPr>
            </w:pPr>
          </w:p>
        </w:tc>
      </w:tr>
      <w:tr w14:paraId="077D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AFC37D5">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4E335467">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62F81385">
            <w:pPr>
              <w:tabs>
                <w:tab w:val="left" w:pos="6300"/>
              </w:tabs>
              <w:snapToGrid w:val="0"/>
              <w:spacing w:line="500" w:lineRule="exact"/>
              <w:jc w:val="center"/>
              <w:outlineLvl w:val="0"/>
              <w:rPr>
                <w:rFonts w:ascii="宋体" w:hAnsi="宋体" w:cs="宋体"/>
                <w:color w:val="auto"/>
                <w:sz w:val="21"/>
                <w:szCs w:val="21"/>
                <w:highlight w:val="none"/>
              </w:rPr>
            </w:pPr>
          </w:p>
        </w:tc>
        <w:tc>
          <w:tcPr>
            <w:tcW w:w="1199" w:type="pct"/>
            <w:vAlign w:val="center"/>
          </w:tcPr>
          <w:p w14:paraId="7D456ECC">
            <w:pPr>
              <w:tabs>
                <w:tab w:val="left" w:pos="6300"/>
              </w:tabs>
              <w:snapToGrid w:val="0"/>
              <w:spacing w:line="500" w:lineRule="exact"/>
              <w:jc w:val="center"/>
              <w:outlineLvl w:val="0"/>
              <w:rPr>
                <w:rFonts w:ascii="宋体" w:hAnsi="宋体" w:cs="宋体"/>
                <w:color w:val="auto"/>
                <w:sz w:val="21"/>
                <w:szCs w:val="21"/>
                <w:highlight w:val="none"/>
              </w:rPr>
            </w:pPr>
          </w:p>
        </w:tc>
      </w:tr>
      <w:tr w14:paraId="7A24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6D7183D9">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23CB1881">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2A447205">
            <w:pPr>
              <w:tabs>
                <w:tab w:val="left" w:pos="6300"/>
              </w:tabs>
              <w:snapToGrid w:val="0"/>
              <w:spacing w:line="500" w:lineRule="exact"/>
              <w:jc w:val="center"/>
              <w:outlineLvl w:val="0"/>
              <w:rPr>
                <w:rFonts w:ascii="宋体" w:hAnsi="宋体" w:cs="宋体"/>
                <w:color w:val="auto"/>
                <w:sz w:val="21"/>
                <w:szCs w:val="21"/>
                <w:highlight w:val="none"/>
              </w:rPr>
            </w:pPr>
          </w:p>
        </w:tc>
        <w:tc>
          <w:tcPr>
            <w:tcW w:w="1199" w:type="pct"/>
            <w:vAlign w:val="center"/>
          </w:tcPr>
          <w:p w14:paraId="7E37F483">
            <w:pPr>
              <w:tabs>
                <w:tab w:val="left" w:pos="6300"/>
              </w:tabs>
              <w:snapToGrid w:val="0"/>
              <w:spacing w:line="500" w:lineRule="exact"/>
              <w:jc w:val="center"/>
              <w:outlineLvl w:val="0"/>
              <w:rPr>
                <w:rFonts w:ascii="宋体" w:hAnsi="宋体" w:cs="宋体"/>
                <w:color w:val="auto"/>
                <w:sz w:val="21"/>
                <w:szCs w:val="21"/>
                <w:highlight w:val="none"/>
              </w:rPr>
            </w:pPr>
          </w:p>
        </w:tc>
      </w:tr>
      <w:tr w14:paraId="712B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69776C2F">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48C9562B">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192DA713">
            <w:pPr>
              <w:tabs>
                <w:tab w:val="left" w:pos="6300"/>
              </w:tabs>
              <w:snapToGrid w:val="0"/>
              <w:spacing w:line="500" w:lineRule="exact"/>
              <w:jc w:val="center"/>
              <w:outlineLvl w:val="0"/>
              <w:rPr>
                <w:rFonts w:ascii="宋体" w:hAnsi="宋体" w:cs="宋体"/>
                <w:color w:val="auto"/>
                <w:sz w:val="21"/>
                <w:szCs w:val="21"/>
                <w:highlight w:val="none"/>
              </w:rPr>
            </w:pPr>
          </w:p>
        </w:tc>
        <w:tc>
          <w:tcPr>
            <w:tcW w:w="1199" w:type="pct"/>
            <w:vAlign w:val="center"/>
          </w:tcPr>
          <w:p w14:paraId="7B792CC6">
            <w:pPr>
              <w:tabs>
                <w:tab w:val="left" w:pos="6300"/>
              </w:tabs>
              <w:snapToGrid w:val="0"/>
              <w:spacing w:line="500" w:lineRule="exact"/>
              <w:jc w:val="center"/>
              <w:outlineLvl w:val="0"/>
              <w:rPr>
                <w:rFonts w:ascii="宋体" w:hAnsi="宋体" w:cs="宋体"/>
                <w:color w:val="auto"/>
                <w:sz w:val="21"/>
                <w:szCs w:val="21"/>
                <w:highlight w:val="none"/>
              </w:rPr>
            </w:pPr>
          </w:p>
        </w:tc>
      </w:tr>
      <w:tr w14:paraId="31DC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5E9874C8">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49A7C9D4">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5276F57D">
            <w:pPr>
              <w:tabs>
                <w:tab w:val="left" w:pos="6300"/>
              </w:tabs>
              <w:snapToGrid w:val="0"/>
              <w:spacing w:line="500" w:lineRule="exact"/>
              <w:jc w:val="center"/>
              <w:outlineLvl w:val="0"/>
              <w:rPr>
                <w:rFonts w:ascii="宋体" w:hAnsi="宋体" w:cs="宋体"/>
                <w:color w:val="auto"/>
                <w:sz w:val="21"/>
                <w:szCs w:val="21"/>
                <w:highlight w:val="none"/>
              </w:rPr>
            </w:pPr>
          </w:p>
        </w:tc>
        <w:tc>
          <w:tcPr>
            <w:tcW w:w="1199" w:type="pct"/>
            <w:vAlign w:val="center"/>
          </w:tcPr>
          <w:p w14:paraId="2EDA093E">
            <w:pPr>
              <w:tabs>
                <w:tab w:val="left" w:pos="6300"/>
              </w:tabs>
              <w:snapToGrid w:val="0"/>
              <w:spacing w:line="500" w:lineRule="exact"/>
              <w:jc w:val="center"/>
              <w:outlineLvl w:val="0"/>
              <w:rPr>
                <w:rFonts w:ascii="宋体" w:hAnsi="宋体" w:cs="宋体"/>
                <w:color w:val="auto"/>
                <w:sz w:val="21"/>
                <w:szCs w:val="21"/>
                <w:highlight w:val="none"/>
              </w:rPr>
            </w:pPr>
          </w:p>
        </w:tc>
      </w:tr>
      <w:tr w14:paraId="7034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6DFE751D">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3CCF47DE">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4609CF31">
            <w:pPr>
              <w:tabs>
                <w:tab w:val="left" w:pos="6300"/>
              </w:tabs>
              <w:snapToGrid w:val="0"/>
              <w:spacing w:line="500" w:lineRule="exact"/>
              <w:jc w:val="center"/>
              <w:outlineLvl w:val="0"/>
              <w:rPr>
                <w:rFonts w:ascii="宋体" w:hAnsi="宋体" w:cs="宋体"/>
                <w:color w:val="auto"/>
                <w:sz w:val="21"/>
                <w:szCs w:val="21"/>
                <w:highlight w:val="none"/>
              </w:rPr>
            </w:pPr>
          </w:p>
        </w:tc>
        <w:tc>
          <w:tcPr>
            <w:tcW w:w="1199" w:type="pct"/>
            <w:vAlign w:val="center"/>
          </w:tcPr>
          <w:p w14:paraId="2FFFBCF7">
            <w:pPr>
              <w:tabs>
                <w:tab w:val="left" w:pos="6300"/>
              </w:tabs>
              <w:snapToGrid w:val="0"/>
              <w:spacing w:line="500" w:lineRule="exact"/>
              <w:jc w:val="center"/>
              <w:outlineLvl w:val="0"/>
              <w:rPr>
                <w:rFonts w:ascii="宋体" w:hAnsi="宋体" w:cs="宋体"/>
                <w:color w:val="auto"/>
                <w:sz w:val="21"/>
                <w:szCs w:val="21"/>
                <w:highlight w:val="none"/>
              </w:rPr>
            </w:pPr>
          </w:p>
        </w:tc>
      </w:tr>
    </w:tbl>
    <w:p w14:paraId="4F04818A">
      <w:pPr>
        <w:tabs>
          <w:tab w:val="left" w:pos="6300"/>
        </w:tabs>
        <w:snapToGrid w:val="0"/>
        <w:spacing w:line="500" w:lineRule="exact"/>
        <w:ind w:firstLine="570"/>
        <w:rPr>
          <w:rFonts w:ascii="宋体" w:hAnsi="宋体" w:cs="宋体"/>
          <w:color w:val="auto"/>
          <w:sz w:val="24"/>
          <w:szCs w:val="28"/>
          <w:highlight w:val="none"/>
        </w:rPr>
      </w:pPr>
    </w:p>
    <w:p w14:paraId="3DB6F2A9">
      <w:pPr>
        <w:tabs>
          <w:tab w:val="left" w:pos="6300"/>
        </w:tabs>
        <w:snapToGrid w:val="0"/>
        <w:spacing w:line="500" w:lineRule="exact"/>
        <w:ind w:firstLine="570"/>
        <w:rPr>
          <w:rFonts w:ascii="宋体" w:hAnsi="宋体" w:cs="宋体"/>
          <w:color w:val="auto"/>
          <w:sz w:val="24"/>
          <w:szCs w:val="28"/>
          <w:highlight w:val="none"/>
        </w:rPr>
      </w:pPr>
    </w:p>
    <w:p w14:paraId="4113A2C7">
      <w:pPr>
        <w:tabs>
          <w:tab w:val="left" w:pos="6300"/>
        </w:tabs>
        <w:snapToGrid w:val="0"/>
        <w:spacing w:line="500" w:lineRule="exact"/>
        <w:ind w:firstLine="570"/>
        <w:rPr>
          <w:rFonts w:ascii="宋体" w:hAnsi="宋体" w:cs="宋体"/>
          <w:color w:val="auto"/>
          <w:sz w:val="24"/>
          <w:szCs w:val="28"/>
          <w:highlight w:val="none"/>
        </w:rPr>
      </w:pPr>
    </w:p>
    <w:p w14:paraId="74ED34BC">
      <w:pPr>
        <w:tabs>
          <w:tab w:val="left" w:pos="6300"/>
        </w:tabs>
        <w:snapToGrid w:val="0"/>
        <w:spacing w:line="500" w:lineRule="exact"/>
        <w:ind w:firstLine="570"/>
        <w:rPr>
          <w:rFonts w:ascii="宋体" w:hAnsi="宋体" w:cs="宋体"/>
          <w:color w:val="auto"/>
          <w:sz w:val="24"/>
          <w:szCs w:val="28"/>
          <w:highlight w:val="none"/>
        </w:rPr>
      </w:pPr>
    </w:p>
    <w:p w14:paraId="69725FAE">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注：</w:t>
      </w:r>
    </w:p>
    <w:p w14:paraId="11B2C8AB">
      <w:pPr>
        <w:tabs>
          <w:tab w:val="left" w:pos="6300"/>
        </w:tabs>
        <w:snapToGrid w:val="0"/>
        <w:spacing w:line="500" w:lineRule="exact"/>
        <w:ind w:firstLine="570"/>
        <w:rPr>
          <w:rFonts w:ascii="宋体" w:hAnsi="宋体" w:cs="宋体"/>
          <w:color w:val="auto"/>
          <w:sz w:val="24"/>
          <w:szCs w:val="24"/>
          <w:highlight w:val="none"/>
        </w:rPr>
      </w:pPr>
      <w:r>
        <w:rPr>
          <w:rFonts w:ascii="宋体" w:hAnsi="宋体" w:cs="宋体"/>
          <w:color w:val="auto"/>
          <w:sz w:val="24"/>
          <w:szCs w:val="24"/>
          <w:highlight w:val="none"/>
        </w:rPr>
        <w:t>1.本表即为对本项目“第二篇  项目</w:t>
      </w:r>
      <w:r>
        <w:rPr>
          <w:rFonts w:hint="eastAsia" w:ascii="宋体" w:hAnsi="宋体" w:cs="宋体"/>
          <w:color w:val="auto"/>
          <w:sz w:val="24"/>
          <w:szCs w:val="24"/>
          <w:highlight w:val="none"/>
        </w:rPr>
        <w:t>服务</w:t>
      </w:r>
      <w:r>
        <w:rPr>
          <w:rFonts w:ascii="宋体" w:hAnsi="宋体" w:cs="宋体"/>
          <w:color w:val="auto"/>
          <w:sz w:val="24"/>
          <w:szCs w:val="24"/>
          <w:highlight w:val="none"/>
        </w:rPr>
        <w:t>需求”中所列条款进行比较和响应；</w:t>
      </w:r>
    </w:p>
    <w:p w14:paraId="4ED177B0">
      <w:pPr>
        <w:tabs>
          <w:tab w:val="left" w:pos="6300"/>
        </w:tabs>
        <w:snapToGrid w:val="0"/>
        <w:spacing w:line="500" w:lineRule="exact"/>
        <w:ind w:firstLine="570"/>
        <w:rPr>
          <w:rFonts w:ascii="宋体" w:hAnsi="宋体" w:cs="宋体"/>
          <w:color w:val="auto"/>
          <w:sz w:val="24"/>
          <w:szCs w:val="24"/>
          <w:highlight w:val="none"/>
        </w:rPr>
      </w:pPr>
      <w:r>
        <w:rPr>
          <w:rFonts w:ascii="宋体" w:hAnsi="宋体" w:cs="宋体"/>
          <w:color w:val="auto"/>
          <w:sz w:val="24"/>
          <w:szCs w:val="24"/>
          <w:highlight w:val="none"/>
        </w:rPr>
        <w:t>2.本表可扩展；</w:t>
      </w:r>
    </w:p>
    <w:p w14:paraId="267EA20D">
      <w:pPr>
        <w:tabs>
          <w:tab w:val="left" w:pos="6300"/>
        </w:tabs>
        <w:snapToGrid w:val="0"/>
        <w:spacing w:line="500" w:lineRule="exact"/>
        <w:ind w:firstLine="570"/>
        <w:rPr>
          <w:rFonts w:ascii="宋体" w:hAnsi="宋体" w:cs="宋体"/>
          <w:color w:val="auto"/>
          <w:sz w:val="24"/>
          <w:szCs w:val="24"/>
          <w:highlight w:val="none"/>
        </w:rPr>
      </w:pPr>
      <w:r>
        <w:rPr>
          <w:rFonts w:ascii="宋体" w:hAnsi="宋体" w:cs="宋体"/>
          <w:color w:val="auto"/>
          <w:sz w:val="24"/>
          <w:szCs w:val="24"/>
          <w:highlight w:val="none"/>
        </w:rPr>
        <w:t>3.可附相关</w:t>
      </w:r>
      <w:r>
        <w:rPr>
          <w:rFonts w:hint="eastAsia" w:ascii="宋体" w:hAnsi="宋体" w:cs="宋体"/>
          <w:color w:val="auto"/>
          <w:sz w:val="24"/>
          <w:szCs w:val="24"/>
          <w:highlight w:val="none"/>
        </w:rPr>
        <w:t>服务</w:t>
      </w:r>
      <w:r>
        <w:rPr>
          <w:rFonts w:ascii="宋体" w:hAnsi="宋体" w:cs="宋体"/>
          <w:color w:val="auto"/>
          <w:sz w:val="24"/>
          <w:szCs w:val="24"/>
          <w:highlight w:val="none"/>
        </w:rPr>
        <w:t>支撑材料。（格式自定）</w:t>
      </w:r>
    </w:p>
    <w:p w14:paraId="6FB9D14B">
      <w:pPr>
        <w:tabs>
          <w:tab w:val="left" w:pos="6300"/>
        </w:tabs>
        <w:snapToGrid w:val="0"/>
        <w:spacing w:line="500" w:lineRule="exact"/>
        <w:ind w:firstLine="570"/>
        <w:rPr>
          <w:rFonts w:ascii="宋体" w:hAnsi="宋体" w:cs="宋体"/>
          <w:color w:val="auto"/>
          <w:szCs w:val="24"/>
          <w:highlight w:val="none"/>
        </w:rPr>
      </w:pPr>
      <w:r>
        <w:rPr>
          <w:rFonts w:ascii="宋体" w:hAnsi="宋体" w:cs="宋体"/>
          <w:color w:val="auto"/>
          <w:sz w:val="24"/>
          <w:szCs w:val="24"/>
          <w:highlight w:val="none"/>
        </w:rPr>
        <w:t>4.投标应答栏中应当注明技术参数或具体内容，且必须标注技术参数或具体内容在</w:t>
      </w:r>
      <w:r>
        <w:rPr>
          <w:rFonts w:hint="eastAsia" w:ascii="宋体" w:hAnsi="宋体" w:cs="宋体"/>
          <w:color w:val="auto"/>
          <w:sz w:val="24"/>
          <w:szCs w:val="24"/>
          <w:highlight w:val="none"/>
        </w:rPr>
        <w:t>响应文件</w:t>
      </w:r>
      <w:r>
        <w:rPr>
          <w:rFonts w:ascii="宋体" w:hAnsi="宋体" w:cs="宋体"/>
          <w:color w:val="auto"/>
          <w:sz w:val="24"/>
          <w:szCs w:val="24"/>
          <w:highlight w:val="none"/>
        </w:rPr>
        <w:t>中的位置（页码）。</w:t>
      </w:r>
    </w:p>
    <w:p w14:paraId="0CBD9F18">
      <w:pPr>
        <w:spacing w:line="400" w:lineRule="exact"/>
        <w:ind w:firstLine="560" w:firstLineChars="200"/>
        <w:rPr>
          <w:rFonts w:ascii="宋体" w:hAnsi="宋体" w:cs="宋体"/>
          <w:color w:val="auto"/>
          <w:sz w:val="24"/>
          <w:szCs w:val="24"/>
          <w:highlight w:val="none"/>
        </w:rPr>
      </w:pPr>
      <w:r>
        <w:rPr>
          <w:rFonts w:ascii="宋体" w:hAnsi="宋体" w:cs="宋体"/>
          <w:color w:val="auto"/>
          <w:szCs w:val="24"/>
          <w:highlight w:val="none"/>
        </w:rPr>
        <w:br w:type="page"/>
      </w:r>
      <w:r>
        <w:rPr>
          <w:rFonts w:hint="eastAsia" w:ascii="宋体" w:hAnsi="宋体" w:cs="宋体"/>
          <w:color w:val="auto"/>
          <w:sz w:val="24"/>
          <w:szCs w:val="24"/>
          <w:highlight w:val="none"/>
        </w:rPr>
        <w:t>（二）其他服务资料</w:t>
      </w:r>
    </w:p>
    <w:p w14:paraId="6DBCF670">
      <w:pPr>
        <w:spacing w:line="4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承诺函</w:t>
      </w:r>
    </w:p>
    <w:p w14:paraId="3DC64747">
      <w:pPr>
        <w:spacing w:line="400" w:lineRule="exact"/>
        <w:rPr>
          <w:rFonts w:ascii="宋体" w:hAnsi="宋体" w:cs="宋体"/>
          <w:color w:val="auto"/>
          <w:sz w:val="24"/>
          <w:szCs w:val="28"/>
          <w:highlight w:val="none"/>
        </w:rPr>
      </w:pPr>
      <w:r>
        <w:rPr>
          <w:rFonts w:hint="eastAsia" w:ascii="宋体" w:hAnsi="宋体" w:cs="宋体"/>
          <w:color w:val="auto"/>
          <w:sz w:val="24"/>
          <w:szCs w:val="28"/>
          <w:highlight w:val="none"/>
        </w:rPr>
        <w:t>致重庆工商大学：</w:t>
      </w:r>
    </w:p>
    <w:p w14:paraId="39991BCC">
      <w:pPr>
        <w:spacing w:line="400" w:lineRule="exact"/>
        <w:ind w:firstLine="480" w:firstLineChars="200"/>
        <w:rPr>
          <w:color w:val="auto"/>
          <w:sz w:val="24"/>
          <w:szCs w:val="24"/>
          <w:highlight w:val="none"/>
        </w:rPr>
      </w:pPr>
      <w:r>
        <w:rPr>
          <w:rFonts w:hint="eastAsia" w:ascii="宋体" w:hAnsi="宋体" w:cs="宋体"/>
          <w:color w:val="auto"/>
          <w:sz w:val="24"/>
          <w:szCs w:val="28"/>
          <w:highlight w:val="none"/>
        </w:rPr>
        <w:t>我方自愿参与</w:t>
      </w:r>
      <w:r>
        <w:rPr>
          <w:rFonts w:hint="eastAsia"/>
          <w:color w:val="auto"/>
          <w:sz w:val="24"/>
          <w:szCs w:val="24"/>
          <w:highlight w:val="none"/>
        </w:rPr>
        <w:t>重庆干部网络学院履职能力、知识培训类网络课程包</w:t>
      </w:r>
      <w:r>
        <w:rPr>
          <w:color w:val="auto"/>
          <w:sz w:val="24"/>
          <w:szCs w:val="24"/>
          <w:highlight w:val="none"/>
        </w:rPr>
        <w:t>(采购</w:t>
      </w:r>
      <w:r>
        <w:rPr>
          <w:rFonts w:hint="eastAsia"/>
          <w:color w:val="auto"/>
          <w:sz w:val="24"/>
          <w:szCs w:val="24"/>
          <w:highlight w:val="none"/>
        </w:rPr>
        <w:t>项目编号</w:t>
      </w:r>
      <w:r>
        <w:rPr>
          <w:rFonts w:hint="eastAsia" w:ascii="宋体" w:hAnsi="宋体" w:cs="宋体"/>
          <w:color w:val="auto"/>
          <w:sz w:val="24"/>
          <w:szCs w:val="24"/>
          <w:highlight w:val="none"/>
        </w:rPr>
        <w:t>：CTBU-JZ2025148)</w:t>
      </w:r>
      <w:r>
        <w:rPr>
          <w:color w:val="auto"/>
          <w:sz w:val="24"/>
          <w:szCs w:val="24"/>
          <w:highlight w:val="none"/>
        </w:rPr>
        <w:t>项目</w:t>
      </w:r>
      <w:r>
        <w:rPr>
          <w:rFonts w:hint="eastAsia"/>
          <w:color w:val="auto"/>
          <w:sz w:val="24"/>
          <w:szCs w:val="24"/>
          <w:highlight w:val="none"/>
        </w:rPr>
        <w:t>竞标，并作出以下郑重承诺，若有违反，我方将自动失去成交供应商资格，并承担由此带来的全部法律及经济责任：</w:t>
      </w:r>
    </w:p>
    <w:p w14:paraId="4A298AF5">
      <w:pPr>
        <w:spacing w:line="400" w:lineRule="exact"/>
        <w:ind w:firstLine="480" w:firstLineChars="200"/>
        <w:rPr>
          <w:color w:val="auto"/>
          <w:sz w:val="24"/>
          <w:szCs w:val="24"/>
          <w:highlight w:val="none"/>
        </w:rPr>
      </w:pPr>
      <w:r>
        <w:rPr>
          <w:rFonts w:hint="eastAsia"/>
          <w:color w:val="auto"/>
          <w:sz w:val="24"/>
          <w:szCs w:val="24"/>
          <w:highlight w:val="none"/>
        </w:rPr>
        <w:t>1.对我方提供的网络课程所包含的视频、文本、图片以及相应的配套资源，均进行“三审三校”，内容准确、政治方向正确；不得有任何意识形态风险和版权纠纷，不涉及国家机密，不含错误、含混的政治观点。</w:t>
      </w:r>
    </w:p>
    <w:p w14:paraId="7D6BF2EA">
      <w:pPr>
        <w:spacing w:line="400" w:lineRule="exact"/>
        <w:ind w:firstLine="480" w:firstLineChars="200"/>
        <w:rPr>
          <w:color w:val="auto"/>
          <w:sz w:val="24"/>
          <w:szCs w:val="24"/>
          <w:highlight w:val="none"/>
        </w:rPr>
      </w:pPr>
      <w:r>
        <w:rPr>
          <w:rFonts w:hint="eastAsia"/>
          <w:color w:val="auto"/>
          <w:sz w:val="24"/>
          <w:szCs w:val="24"/>
          <w:highlight w:val="none"/>
        </w:rPr>
        <w:t>2.课程内容完全符合党政领导干部学习的特点和要求，兼顾企业经营管理者及专业技术人才的需求，聚焦履职能力和知识培训分类，必须遵循新修订的《干部教育培训工作条例》对履职能力和知识培训内容的要求。</w:t>
      </w:r>
    </w:p>
    <w:p w14:paraId="795130ED">
      <w:pPr>
        <w:spacing w:line="400" w:lineRule="exact"/>
        <w:ind w:firstLine="480" w:firstLineChars="200"/>
        <w:rPr>
          <w:color w:val="auto"/>
          <w:sz w:val="24"/>
          <w:szCs w:val="24"/>
          <w:highlight w:val="none"/>
        </w:rPr>
      </w:pPr>
    </w:p>
    <w:p w14:paraId="69676EC1">
      <w:pPr>
        <w:spacing w:line="400" w:lineRule="exact"/>
        <w:ind w:firstLine="480" w:firstLineChars="200"/>
        <w:rPr>
          <w:color w:val="auto"/>
          <w:sz w:val="24"/>
          <w:szCs w:val="24"/>
          <w:highlight w:val="none"/>
        </w:rPr>
      </w:pPr>
    </w:p>
    <w:p w14:paraId="07DAA916">
      <w:pPr>
        <w:spacing w:line="400" w:lineRule="exact"/>
        <w:ind w:firstLine="6300" w:firstLineChars="2625"/>
        <w:rPr>
          <w:color w:val="auto"/>
          <w:sz w:val="24"/>
          <w:szCs w:val="24"/>
          <w:highlight w:val="none"/>
        </w:rPr>
      </w:pPr>
      <w:r>
        <w:rPr>
          <w:rFonts w:hint="eastAsia"/>
          <w:color w:val="auto"/>
          <w:sz w:val="24"/>
          <w:szCs w:val="24"/>
          <w:highlight w:val="none"/>
        </w:rPr>
        <w:t>供应商（公章）：</w:t>
      </w:r>
    </w:p>
    <w:p w14:paraId="12EEB8AA">
      <w:pPr>
        <w:spacing w:line="400" w:lineRule="exact"/>
        <w:ind w:firstLine="6038" w:firstLineChars="2516"/>
        <w:rPr>
          <w:color w:val="auto"/>
          <w:sz w:val="24"/>
          <w:szCs w:val="24"/>
          <w:highlight w:val="none"/>
        </w:rPr>
      </w:pPr>
      <w:r>
        <w:rPr>
          <w:rFonts w:hint="eastAsia"/>
          <w:color w:val="auto"/>
          <w:sz w:val="24"/>
          <w:szCs w:val="24"/>
          <w:highlight w:val="none"/>
        </w:rPr>
        <w:t xml:space="preserve">   年   月    日</w:t>
      </w:r>
    </w:p>
    <w:p w14:paraId="50304853">
      <w:pPr>
        <w:tabs>
          <w:tab w:val="left" w:pos="6300"/>
        </w:tabs>
        <w:snapToGrid w:val="0"/>
        <w:spacing w:line="500" w:lineRule="exact"/>
        <w:ind w:firstLine="570"/>
        <w:rPr>
          <w:rFonts w:ascii="宋体" w:hAnsi="宋体" w:cs="宋体"/>
          <w:color w:val="auto"/>
          <w:sz w:val="24"/>
          <w:szCs w:val="24"/>
          <w:highlight w:val="none"/>
        </w:rPr>
      </w:pPr>
    </w:p>
    <w:p w14:paraId="772B6A6A">
      <w:pPr>
        <w:snapToGrid w:val="0"/>
        <w:spacing w:line="500" w:lineRule="exact"/>
        <w:ind w:firstLine="480" w:firstLineChars="200"/>
        <w:rPr>
          <w:rFonts w:ascii="宋体" w:hAnsi="宋体" w:cs="宋体"/>
          <w:color w:val="auto"/>
          <w:sz w:val="24"/>
          <w:szCs w:val="28"/>
          <w:highlight w:val="none"/>
        </w:rPr>
      </w:pPr>
    </w:p>
    <w:p w14:paraId="6BBEC6A3">
      <w:pPr>
        <w:pStyle w:val="3"/>
        <w:spacing w:line="500" w:lineRule="exact"/>
        <w:ind w:firstLine="562" w:firstLineChars="200"/>
        <w:rPr>
          <w:rFonts w:cs="宋体"/>
          <w:b/>
          <w:color w:val="auto"/>
          <w:szCs w:val="28"/>
          <w:highlight w:val="none"/>
        </w:rPr>
      </w:pPr>
      <w:bookmarkStart w:id="418" w:name="_Toc492721039"/>
      <w:bookmarkStart w:id="419" w:name="_Toc493178791"/>
      <w:r>
        <w:rPr>
          <w:rFonts w:cs="宋体"/>
          <w:b/>
          <w:color w:val="auto"/>
          <w:szCs w:val="28"/>
          <w:highlight w:val="none"/>
        </w:rPr>
        <w:br w:type="page"/>
      </w:r>
      <w:bookmarkStart w:id="420" w:name="_Toc76387267"/>
      <w:bookmarkStart w:id="421" w:name="_Toc171960110"/>
      <w:bookmarkStart w:id="422" w:name="_Toc22911"/>
      <w:bookmarkStart w:id="423" w:name="_Toc22732"/>
      <w:r>
        <w:rPr>
          <w:rFonts w:hint="eastAsia" w:cs="宋体"/>
          <w:b/>
          <w:color w:val="auto"/>
          <w:szCs w:val="28"/>
          <w:highlight w:val="none"/>
        </w:rPr>
        <w:t>三、商务文件</w:t>
      </w:r>
      <w:bookmarkEnd w:id="418"/>
      <w:bookmarkEnd w:id="419"/>
      <w:bookmarkEnd w:id="420"/>
      <w:bookmarkEnd w:id="421"/>
      <w:bookmarkEnd w:id="422"/>
      <w:bookmarkEnd w:id="423"/>
    </w:p>
    <w:p w14:paraId="1E0F9538">
      <w:pPr>
        <w:snapToGrid w:val="0"/>
        <w:spacing w:before="120" w:beforeLines="50" w:line="500" w:lineRule="exact"/>
        <w:jc w:val="center"/>
        <w:rPr>
          <w:rFonts w:ascii="宋体" w:hAnsi="宋体" w:cs="宋体"/>
          <w:color w:val="auto"/>
          <w:szCs w:val="28"/>
          <w:highlight w:val="none"/>
        </w:rPr>
      </w:pPr>
      <w:r>
        <w:rPr>
          <w:rFonts w:hint="eastAsia" w:ascii="宋体" w:hAnsi="宋体" w:cs="宋体"/>
          <w:color w:val="auto"/>
          <w:szCs w:val="28"/>
          <w:highlight w:val="none"/>
        </w:rPr>
        <w:t>（一）投标函（格式）</w:t>
      </w:r>
    </w:p>
    <w:p w14:paraId="04FE488B">
      <w:pPr>
        <w:spacing w:line="500" w:lineRule="exact"/>
        <w:rPr>
          <w:rFonts w:ascii="宋体" w:hAnsi="宋体" w:cs="宋体"/>
          <w:color w:val="auto"/>
          <w:sz w:val="24"/>
          <w:szCs w:val="28"/>
          <w:highlight w:val="none"/>
        </w:rPr>
      </w:pPr>
    </w:p>
    <w:p w14:paraId="53414CCF">
      <w:pPr>
        <w:spacing w:line="500" w:lineRule="exact"/>
        <w:ind w:firstLine="480" w:firstLineChars="200"/>
        <w:rPr>
          <w:rFonts w:ascii="宋体" w:hAnsi="宋体" w:cs="宋体"/>
          <w:color w:val="auto"/>
          <w:sz w:val="24"/>
          <w:szCs w:val="28"/>
          <w:highlight w:val="none"/>
          <w:u w:val="single"/>
        </w:rPr>
      </w:pPr>
      <w:r>
        <w:rPr>
          <w:rFonts w:hint="eastAsia" w:ascii="宋体" w:hAnsi="宋体" w:cs="宋体"/>
          <w:color w:val="auto"/>
          <w:sz w:val="24"/>
          <w:szCs w:val="28"/>
          <w:highlight w:val="none"/>
        </w:rPr>
        <w:t>询比项目名称：</w:t>
      </w:r>
      <w:r>
        <w:rPr>
          <w:rFonts w:ascii="宋体" w:hAnsi="宋体" w:cs="宋体"/>
          <w:color w:val="auto"/>
          <w:sz w:val="24"/>
          <w:szCs w:val="28"/>
          <w:highlight w:val="none"/>
          <w:u w:val="single"/>
        </w:rPr>
        <w:t xml:space="preserve">                                             </w:t>
      </w:r>
    </w:p>
    <w:p w14:paraId="63CA3602">
      <w:pPr>
        <w:spacing w:line="500" w:lineRule="exact"/>
        <w:rPr>
          <w:rFonts w:ascii="宋体" w:hAnsi="宋体" w:cs="宋体"/>
          <w:color w:val="auto"/>
          <w:sz w:val="24"/>
          <w:szCs w:val="28"/>
          <w:highlight w:val="none"/>
        </w:rPr>
      </w:pPr>
    </w:p>
    <w:p w14:paraId="307ADBD2">
      <w:pPr>
        <w:tabs>
          <w:tab w:val="left" w:pos="6300"/>
        </w:tabs>
        <w:snapToGrid w:val="0"/>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致：</w:t>
      </w:r>
      <w:r>
        <w:rPr>
          <w:rFonts w:ascii="宋体" w:hAnsi="宋体" w:cs="宋体"/>
          <w:color w:val="auto"/>
          <w:sz w:val="24"/>
          <w:szCs w:val="28"/>
          <w:highlight w:val="none"/>
          <w:u w:val="single"/>
        </w:rPr>
        <w:t xml:space="preserve">                    </w:t>
      </w:r>
      <w:r>
        <w:rPr>
          <w:rFonts w:hint="eastAsia" w:ascii="宋体" w:hAnsi="宋体" w:cs="宋体"/>
          <w:color w:val="auto"/>
          <w:sz w:val="24"/>
          <w:szCs w:val="28"/>
          <w:highlight w:val="none"/>
        </w:rPr>
        <w:t>（采购代理机构名称）：</w:t>
      </w:r>
    </w:p>
    <w:p w14:paraId="701FCDB6">
      <w:pPr>
        <w:snapToGrid w:val="0"/>
        <w:spacing w:before="120" w:beforeLines="50" w:line="5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u w:val="single"/>
        </w:rPr>
        <w:t xml:space="preserve">                        </w:t>
      </w:r>
      <w:r>
        <w:rPr>
          <w:rFonts w:hint="eastAsia" w:ascii="宋体" w:hAnsi="宋体" w:cs="宋体"/>
          <w:color w:val="auto"/>
          <w:sz w:val="24"/>
          <w:szCs w:val="28"/>
          <w:highlight w:val="none"/>
        </w:rPr>
        <w:t>（供应商名称）系中华人民共和国合法企业，注册地址：</w:t>
      </w:r>
      <w:r>
        <w:rPr>
          <w:rFonts w:ascii="宋体" w:hAnsi="宋体" w:cs="宋体"/>
          <w:color w:val="auto"/>
          <w:sz w:val="24"/>
          <w:szCs w:val="28"/>
          <w:highlight w:val="none"/>
          <w:u w:val="single"/>
        </w:rPr>
        <w:t xml:space="preserve">                               </w:t>
      </w:r>
      <w:r>
        <w:rPr>
          <w:rFonts w:hint="eastAsia" w:ascii="宋体" w:hAnsi="宋体" w:cs="宋体"/>
          <w:color w:val="auto"/>
          <w:sz w:val="24"/>
          <w:szCs w:val="28"/>
          <w:highlight w:val="none"/>
        </w:rPr>
        <w:t>。我方就参加本次响应有关事项郑重声明如下：</w:t>
      </w:r>
    </w:p>
    <w:p w14:paraId="60749686">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一、我方完全理解并接受该项目询比文件所有要求。</w:t>
      </w:r>
    </w:p>
    <w:p w14:paraId="2773B538">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二、我方提交的所有响应文件、资料都是准确和真实的，如有虚假或隐瞒，我方愿意承担一切法律责任。</w:t>
      </w:r>
    </w:p>
    <w:p w14:paraId="3CDD6761">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三、我方承诺按照询比文件要求，提供询比项目的服务。</w:t>
      </w:r>
    </w:p>
    <w:p w14:paraId="18436623">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四、我方按询比文件要求提交的响应文件为：响应文件正本</w:t>
      </w:r>
      <w:r>
        <w:rPr>
          <w:rFonts w:ascii="宋体" w:hAnsi="宋体" w:cs="宋体"/>
          <w:color w:val="auto"/>
          <w:sz w:val="24"/>
          <w:szCs w:val="28"/>
          <w:highlight w:val="none"/>
        </w:rPr>
        <w:t>1份，副本</w:t>
      </w:r>
      <w:r>
        <w:rPr>
          <w:rFonts w:hint="eastAsia" w:ascii="宋体" w:hAnsi="宋体" w:cs="宋体"/>
          <w:color w:val="auto"/>
          <w:sz w:val="24"/>
          <w:szCs w:val="28"/>
          <w:highlight w:val="none"/>
        </w:rPr>
        <w:t xml:space="preserve"> 份，电子文档</w:t>
      </w:r>
      <w:r>
        <w:rPr>
          <w:rFonts w:ascii="宋体" w:hAnsi="宋体" w:cs="宋体"/>
          <w:color w:val="auto"/>
          <w:sz w:val="24"/>
          <w:szCs w:val="28"/>
          <w:highlight w:val="none"/>
        </w:rPr>
        <w:t xml:space="preserve">  </w:t>
      </w:r>
      <w:r>
        <w:rPr>
          <w:rFonts w:hint="eastAsia" w:ascii="宋体" w:hAnsi="宋体" w:cs="宋体"/>
          <w:color w:val="auto"/>
          <w:sz w:val="24"/>
          <w:szCs w:val="28"/>
          <w:highlight w:val="none"/>
        </w:rPr>
        <w:t>份。</w:t>
      </w:r>
    </w:p>
    <w:p w14:paraId="65CA8286">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五、我方承诺：本次响应的响应有效期为</w:t>
      </w:r>
      <w:r>
        <w:rPr>
          <w:rFonts w:hint="eastAsia" w:ascii="宋体" w:hAnsi="宋体" w:cs="宋体"/>
          <w:color w:val="auto"/>
          <w:sz w:val="24"/>
          <w:highlight w:val="none"/>
        </w:rPr>
        <w:t>响应截止时间</w:t>
      </w:r>
      <w:r>
        <w:rPr>
          <w:rFonts w:hint="eastAsia" w:ascii="宋体" w:hAnsi="宋体" w:cs="宋体"/>
          <w:color w:val="auto"/>
          <w:sz w:val="24"/>
          <w:szCs w:val="28"/>
          <w:highlight w:val="none"/>
        </w:rPr>
        <w:t>起</w:t>
      </w:r>
      <w:r>
        <w:rPr>
          <w:rFonts w:ascii="宋体" w:hAnsi="宋体" w:cs="宋体"/>
          <w:color w:val="auto"/>
          <w:sz w:val="24"/>
          <w:szCs w:val="28"/>
          <w:highlight w:val="none"/>
        </w:rPr>
        <w:t>90天。</w:t>
      </w:r>
    </w:p>
    <w:p w14:paraId="0A892F60">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六、我方响应报价为闭口价。即在响应有效期和合同有效期内，该报价固定不变。</w:t>
      </w:r>
    </w:p>
    <w:p w14:paraId="7500B990">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七、如果我方成交，我方将履行询比文件中规定的各项要求以及我方响应文件的各项承诺，按《中华人民共和国政府采购法》、《中华人民共和国民法典》及合同约定条款承担我方责任。</w:t>
      </w:r>
    </w:p>
    <w:p w14:paraId="33B506B9">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八、我方未</w:t>
      </w:r>
      <w:r>
        <w:rPr>
          <w:rFonts w:hint="eastAsia" w:ascii="宋体" w:hAnsi="宋体" w:cs="宋体"/>
          <w:color w:val="auto"/>
          <w:sz w:val="24"/>
          <w:szCs w:val="24"/>
          <w:highlight w:val="none"/>
        </w:rPr>
        <w:t>为采购项目提供整体设计、规范编制或者项目管理、监理、检测等服务。</w:t>
      </w:r>
    </w:p>
    <w:p w14:paraId="51E2F6AF">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九、我方理解，最低报价不是成交的唯一条件。</w:t>
      </w:r>
    </w:p>
    <w:p w14:paraId="44374198">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十、我方同意按有关规定及询比文件要求，交纳足额询比保证金。</w:t>
      </w:r>
    </w:p>
    <w:p w14:paraId="7679DB6B">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十一、若我方成交，愿意按有关规定及询比文件要求缴纳采购代理服务费和交易服务费。</w:t>
      </w:r>
    </w:p>
    <w:p w14:paraId="797B29A3">
      <w:pPr>
        <w:tabs>
          <w:tab w:val="left" w:pos="6300"/>
        </w:tabs>
        <w:snapToGrid w:val="0"/>
        <w:spacing w:line="500" w:lineRule="exact"/>
        <w:ind w:firstLine="5460" w:firstLineChars="2275"/>
        <w:rPr>
          <w:rFonts w:ascii="宋体" w:hAnsi="宋体" w:cs="宋体"/>
          <w:color w:val="auto"/>
          <w:sz w:val="24"/>
          <w:szCs w:val="28"/>
          <w:highlight w:val="none"/>
        </w:rPr>
      </w:pPr>
      <w:r>
        <w:rPr>
          <w:rFonts w:hint="eastAsia" w:ascii="宋体" w:hAnsi="宋体" w:cs="宋体"/>
          <w:color w:val="auto"/>
          <w:sz w:val="24"/>
          <w:szCs w:val="28"/>
          <w:highlight w:val="none"/>
        </w:rPr>
        <w:t>（供应商公章）</w:t>
      </w:r>
    </w:p>
    <w:p w14:paraId="38D4C1A7">
      <w:pPr>
        <w:tabs>
          <w:tab w:val="left" w:pos="6300"/>
        </w:tabs>
        <w:snapToGrid w:val="0"/>
        <w:spacing w:line="500" w:lineRule="exact"/>
        <w:ind w:firstLine="570"/>
        <w:rPr>
          <w:rFonts w:ascii="宋体" w:hAnsi="宋体" w:cs="宋体"/>
          <w:color w:val="auto"/>
          <w:sz w:val="24"/>
          <w:szCs w:val="28"/>
          <w:highlight w:val="none"/>
        </w:rPr>
      </w:pPr>
    </w:p>
    <w:p w14:paraId="386683DC">
      <w:pPr>
        <w:tabs>
          <w:tab w:val="left" w:pos="6300"/>
        </w:tabs>
        <w:snapToGrid w:val="0"/>
        <w:spacing w:line="500" w:lineRule="exact"/>
        <w:ind w:firstLine="5760" w:firstLineChars="2400"/>
        <w:rPr>
          <w:rFonts w:ascii="宋体" w:hAnsi="宋体" w:cs="宋体"/>
          <w:color w:val="auto"/>
          <w:szCs w:val="28"/>
          <w:highlight w:val="none"/>
        </w:rPr>
      </w:pPr>
      <w:r>
        <w:rPr>
          <w:rFonts w:hint="eastAsia" w:ascii="宋体" w:hAnsi="宋体" w:cs="宋体"/>
          <w:color w:val="auto"/>
          <w:sz w:val="24"/>
          <w:szCs w:val="28"/>
          <w:highlight w:val="none"/>
        </w:rPr>
        <w:t>年</w:t>
      </w:r>
      <w:r>
        <w:rPr>
          <w:rFonts w:ascii="宋体" w:hAnsi="宋体" w:cs="宋体"/>
          <w:color w:val="auto"/>
          <w:sz w:val="24"/>
          <w:szCs w:val="28"/>
          <w:highlight w:val="none"/>
        </w:rPr>
        <w:t xml:space="preserve">    </w:t>
      </w:r>
      <w:r>
        <w:rPr>
          <w:rFonts w:hint="eastAsia" w:ascii="宋体" w:hAnsi="宋体" w:cs="宋体"/>
          <w:color w:val="auto"/>
          <w:sz w:val="24"/>
          <w:szCs w:val="28"/>
          <w:highlight w:val="none"/>
        </w:rPr>
        <w:t>月</w:t>
      </w:r>
      <w:r>
        <w:rPr>
          <w:rFonts w:ascii="宋体" w:hAnsi="宋体" w:cs="宋体"/>
          <w:color w:val="auto"/>
          <w:sz w:val="24"/>
          <w:szCs w:val="28"/>
          <w:highlight w:val="none"/>
        </w:rPr>
        <w:t xml:space="preserve">   </w:t>
      </w:r>
      <w:r>
        <w:rPr>
          <w:rFonts w:hint="eastAsia" w:ascii="宋体" w:hAnsi="宋体" w:cs="宋体"/>
          <w:color w:val="auto"/>
          <w:sz w:val="24"/>
          <w:szCs w:val="28"/>
          <w:highlight w:val="none"/>
        </w:rPr>
        <w:t>日</w:t>
      </w:r>
    </w:p>
    <w:p w14:paraId="23DBF8A2">
      <w:pPr>
        <w:spacing w:line="400" w:lineRule="exact"/>
        <w:ind w:firstLine="560" w:firstLineChars="200"/>
        <w:rPr>
          <w:rFonts w:ascii="宋体" w:hAnsi="宋体" w:cs="宋体"/>
          <w:color w:val="auto"/>
          <w:sz w:val="24"/>
          <w:szCs w:val="28"/>
          <w:highlight w:val="none"/>
        </w:rPr>
      </w:pPr>
      <w:r>
        <w:rPr>
          <w:rFonts w:ascii="宋体" w:hAnsi="宋体" w:cs="宋体"/>
          <w:color w:val="auto"/>
          <w:szCs w:val="44"/>
          <w:highlight w:val="none"/>
        </w:rPr>
        <w:br w:type="page"/>
      </w:r>
      <w:r>
        <w:rPr>
          <w:rFonts w:hint="eastAsia" w:ascii="宋体" w:hAnsi="宋体" w:cs="宋体"/>
          <w:color w:val="auto"/>
          <w:sz w:val="24"/>
          <w:szCs w:val="28"/>
          <w:highlight w:val="none"/>
        </w:rPr>
        <w:t>（二）商务条款差异表</w:t>
      </w:r>
    </w:p>
    <w:p w14:paraId="422C4EDF">
      <w:pPr>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项目号：</w:t>
      </w:r>
    </w:p>
    <w:p w14:paraId="33666D9D">
      <w:pPr>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询比项目名称：</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073"/>
        <w:gridCol w:w="3188"/>
        <w:gridCol w:w="2387"/>
      </w:tblGrid>
      <w:tr w14:paraId="1E3A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vAlign w:val="center"/>
          </w:tcPr>
          <w:p w14:paraId="21AF856C">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1542" w:type="pct"/>
            <w:vAlign w:val="center"/>
          </w:tcPr>
          <w:p w14:paraId="50D8C5CA">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响应商务需求</w:t>
            </w:r>
          </w:p>
        </w:tc>
        <w:tc>
          <w:tcPr>
            <w:tcW w:w="1600" w:type="pct"/>
            <w:vAlign w:val="center"/>
          </w:tcPr>
          <w:p w14:paraId="2FB197D9">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响应商务应答</w:t>
            </w:r>
          </w:p>
        </w:tc>
        <w:tc>
          <w:tcPr>
            <w:tcW w:w="1199" w:type="pct"/>
            <w:vAlign w:val="center"/>
          </w:tcPr>
          <w:p w14:paraId="39C9120A">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12AD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3533101">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0C8D9320">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5A32A691">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提醒：请注明具体内容以及响应文件中具体内容的位置（页码）</w:t>
            </w:r>
          </w:p>
        </w:tc>
        <w:tc>
          <w:tcPr>
            <w:tcW w:w="1199" w:type="pct"/>
            <w:vAlign w:val="center"/>
          </w:tcPr>
          <w:p w14:paraId="4FC035B0">
            <w:pPr>
              <w:tabs>
                <w:tab w:val="left" w:pos="6300"/>
              </w:tabs>
              <w:snapToGrid w:val="0"/>
              <w:spacing w:line="500" w:lineRule="exact"/>
              <w:jc w:val="center"/>
              <w:outlineLvl w:val="0"/>
              <w:rPr>
                <w:rFonts w:ascii="宋体" w:hAnsi="宋体" w:cs="宋体"/>
                <w:color w:val="auto"/>
                <w:sz w:val="21"/>
                <w:szCs w:val="21"/>
                <w:highlight w:val="none"/>
              </w:rPr>
            </w:pPr>
          </w:p>
        </w:tc>
      </w:tr>
      <w:tr w14:paraId="5CE3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5484AF57">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6359F154">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3EC4A971">
            <w:pPr>
              <w:tabs>
                <w:tab w:val="left" w:pos="6300"/>
              </w:tabs>
              <w:snapToGrid w:val="0"/>
              <w:spacing w:line="500" w:lineRule="exact"/>
              <w:jc w:val="center"/>
              <w:outlineLvl w:val="0"/>
              <w:rPr>
                <w:rFonts w:ascii="宋体" w:hAnsi="宋体" w:cs="宋体"/>
                <w:color w:val="auto"/>
                <w:sz w:val="21"/>
                <w:szCs w:val="21"/>
                <w:highlight w:val="none"/>
              </w:rPr>
            </w:pPr>
          </w:p>
        </w:tc>
        <w:tc>
          <w:tcPr>
            <w:tcW w:w="1199" w:type="pct"/>
            <w:vAlign w:val="center"/>
          </w:tcPr>
          <w:p w14:paraId="655F191B">
            <w:pPr>
              <w:tabs>
                <w:tab w:val="left" w:pos="6300"/>
              </w:tabs>
              <w:snapToGrid w:val="0"/>
              <w:spacing w:line="500" w:lineRule="exact"/>
              <w:jc w:val="center"/>
              <w:outlineLvl w:val="0"/>
              <w:rPr>
                <w:rFonts w:ascii="宋体" w:hAnsi="宋体" w:cs="宋体"/>
                <w:color w:val="auto"/>
                <w:sz w:val="21"/>
                <w:szCs w:val="21"/>
                <w:highlight w:val="none"/>
              </w:rPr>
            </w:pPr>
          </w:p>
        </w:tc>
      </w:tr>
      <w:tr w14:paraId="5574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8A55E3D">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63D3F283">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0B95CE55">
            <w:pPr>
              <w:tabs>
                <w:tab w:val="left" w:pos="6300"/>
              </w:tabs>
              <w:snapToGrid w:val="0"/>
              <w:spacing w:line="500" w:lineRule="exact"/>
              <w:jc w:val="center"/>
              <w:outlineLvl w:val="0"/>
              <w:rPr>
                <w:rFonts w:ascii="宋体" w:hAnsi="宋体" w:cs="宋体"/>
                <w:color w:val="auto"/>
                <w:sz w:val="21"/>
                <w:szCs w:val="21"/>
                <w:highlight w:val="none"/>
              </w:rPr>
            </w:pPr>
          </w:p>
        </w:tc>
        <w:tc>
          <w:tcPr>
            <w:tcW w:w="1199" w:type="pct"/>
            <w:vAlign w:val="center"/>
          </w:tcPr>
          <w:p w14:paraId="2233E59D">
            <w:pPr>
              <w:tabs>
                <w:tab w:val="left" w:pos="6300"/>
              </w:tabs>
              <w:snapToGrid w:val="0"/>
              <w:spacing w:line="500" w:lineRule="exact"/>
              <w:jc w:val="center"/>
              <w:outlineLvl w:val="0"/>
              <w:rPr>
                <w:rFonts w:ascii="宋体" w:hAnsi="宋体" w:cs="宋体"/>
                <w:color w:val="auto"/>
                <w:sz w:val="21"/>
                <w:szCs w:val="21"/>
                <w:highlight w:val="none"/>
              </w:rPr>
            </w:pPr>
          </w:p>
        </w:tc>
      </w:tr>
      <w:tr w14:paraId="7485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670A50A8">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08696781">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70860E2F">
            <w:pPr>
              <w:tabs>
                <w:tab w:val="left" w:pos="6300"/>
              </w:tabs>
              <w:snapToGrid w:val="0"/>
              <w:spacing w:line="500" w:lineRule="exact"/>
              <w:jc w:val="center"/>
              <w:outlineLvl w:val="0"/>
              <w:rPr>
                <w:rFonts w:ascii="宋体" w:hAnsi="宋体" w:cs="宋体"/>
                <w:color w:val="auto"/>
                <w:sz w:val="21"/>
                <w:szCs w:val="21"/>
                <w:highlight w:val="none"/>
              </w:rPr>
            </w:pPr>
          </w:p>
        </w:tc>
        <w:tc>
          <w:tcPr>
            <w:tcW w:w="1199" w:type="pct"/>
            <w:vAlign w:val="center"/>
          </w:tcPr>
          <w:p w14:paraId="48F51F7F">
            <w:pPr>
              <w:tabs>
                <w:tab w:val="left" w:pos="6300"/>
              </w:tabs>
              <w:snapToGrid w:val="0"/>
              <w:spacing w:line="500" w:lineRule="exact"/>
              <w:jc w:val="center"/>
              <w:outlineLvl w:val="0"/>
              <w:rPr>
                <w:rFonts w:ascii="宋体" w:hAnsi="宋体" w:cs="宋体"/>
                <w:color w:val="auto"/>
                <w:sz w:val="21"/>
                <w:szCs w:val="21"/>
                <w:highlight w:val="none"/>
              </w:rPr>
            </w:pPr>
          </w:p>
        </w:tc>
      </w:tr>
      <w:tr w14:paraId="3C67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28D9BBD">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3046E95B">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4AA275DF">
            <w:pPr>
              <w:tabs>
                <w:tab w:val="left" w:pos="6300"/>
              </w:tabs>
              <w:snapToGrid w:val="0"/>
              <w:spacing w:line="500" w:lineRule="exact"/>
              <w:jc w:val="center"/>
              <w:outlineLvl w:val="0"/>
              <w:rPr>
                <w:rFonts w:ascii="宋体" w:hAnsi="宋体" w:cs="宋体"/>
                <w:color w:val="auto"/>
                <w:sz w:val="21"/>
                <w:szCs w:val="21"/>
                <w:highlight w:val="none"/>
              </w:rPr>
            </w:pPr>
          </w:p>
        </w:tc>
        <w:tc>
          <w:tcPr>
            <w:tcW w:w="1199" w:type="pct"/>
            <w:vAlign w:val="center"/>
          </w:tcPr>
          <w:p w14:paraId="09F0A8C0">
            <w:pPr>
              <w:tabs>
                <w:tab w:val="left" w:pos="6300"/>
              </w:tabs>
              <w:snapToGrid w:val="0"/>
              <w:spacing w:line="500" w:lineRule="exact"/>
              <w:jc w:val="center"/>
              <w:outlineLvl w:val="0"/>
              <w:rPr>
                <w:rFonts w:ascii="宋体" w:hAnsi="宋体" w:cs="宋体"/>
                <w:color w:val="auto"/>
                <w:sz w:val="21"/>
                <w:szCs w:val="21"/>
                <w:highlight w:val="none"/>
              </w:rPr>
            </w:pPr>
          </w:p>
        </w:tc>
      </w:tr>
      <w:tr w14:paraId="1B8D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50C76B9B">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30DC658D">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4EA55EE7">
            <w:pPr>
              <w:tabs>
                <w:tab w:val="left" w:pos="6300"/>
              </w:tabs>
              <w:snapToGrid w:val="0"/>
              <w:spacing w:line="500" w:lineRule="exact"/>
              <w:jc w:val="center"/>
              <w:outlineLvl w:val="0"/>
              <w:rPr>
                <w:rFonts w:ascii="宋体" w:hAnsi="宋体" w:cs="宋体"/>
                <w:color w:val="auto"/>
                <w:sz w:val="21"/>
                <w:szCs w:val="21"/>
                <w:highlight w:val="none"/>
              </w:rPr>
            </w:pPr>
          </w:p>
        </w:tc>
        <w:tc>
          <w:tcPr>
            <w:tcW w:w="1199" w:type="pct"/>
            <w:vAlign w:val="center"/>
          </w:tcPr>
          <w:p w14:paraId="38F574C2">
            <w:pPr>
              <w:tabs>
                <w:tab w:val="left" w:pos="6300"/>
              </w:tabs>
              <w:snapToGrid w:val="0"/>
              <w:spacing w:line="500" w:lineRule="exact"/>
              <w:jc w:val="center"/>
              <w:outlineLvl w:val="0"/>
              <w:rPr>
                <w:rFonts w:ascii="宋体" w:hAnsi="宋体" w:cs="宋体"/>
                <w:color w:val="auto"/>
                <w:sz w:val="21"/>
                <w:szCs w:val="21"/>
                <w:highlight w:val="none"/>
              </w:rPr>
            </w:pPr>
          </w:p>
        </w:tc>
      </w:tr>
      <w:tr w14:paraId="59CB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B5F99BF">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2B3733D7">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2364D514">
            <w:pPr>
              <w:tabs>
                <w:tab w:val="left" w:pos="6300"/>
              </w:tabs>
              <w:snapToGrid w:val="0"/>
              <w:spacing w:line="500" w:lineRule="exact"/>
              <w:jc w:val="center"/>
              <w:outlineLvl w:val="0"/>
              <w:rPr>
                <w:rFonts w:ascii="宋体" w:hAnsi="宋体" w:cs="宋体"/>
                <w:color w:val="auto"/>
                <w:sz w:val="21"/>
                <w:szCs w:val="21"/>
                <w:highlight w:val="none"/>
              </w:rPr>
            </w:pPr>
          </w:p>
        </w:tc>
        <w:tc>
          <w:tcPr>
            <w:tcW w:w="1199" w:type="pct"/>
            <w:vAlign w:val="center"/>
          </w:tcPr>
          <w:p w14:paraId="0B5E1911">
            <w:pPr>
              <w:tabs>
                <w:tab w:val="left" w:pos="6300"/>
              </w:tabs>
              <w:snapToGrid w:val="0"/>
              <w:spacing w:line="500" w:lineRule="exact"/>
              <w:jc w:val="center"/>
              <w:outlineLvl w:val="0"/>
              <w:rPr>
                <w:rFonts w:ascii="宋体" w:hAnsi="宋体" w:cs="宋体"/>
                <w:color w:val="auto"/>
                <w:sz w:val="21"/>
                <w:szCs w:val="21"/>
                <w:highlight w:val="none"/>
              </w:rPr>
            </w:pPr>
          </w:p>
        </w:tc>
      </w:tr>
      <w:tr w14:paraId="4D7B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2D42D66">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78968945">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20A90DCB">
            <w:pPr>
              <w:tabs>
                <w:tab w:val="left" w:pos="6300"/>
              </w:tabs>
              <w:snapToGrid w:val="0"/>
              <w:spacing w:line="500" w:lineRule="exact"/>
              <w:jc w:val="center"/>
              <w:outlineLvl w:val="0"/>
              <w:rPr>
                <w:rFonts w:ascii="宋体" w:hAnsi="宋体" w:cs="宋体"/>
                <w:color w:val="auto"/>
                <w:sz w:val="21"/>
                <w:szCs w:val="21"/>
                <w:highlight w:val="none"/>
              </w:rPr>
            </w:pPr>
          </w:p>
        </w:tc>
        <w:tc>
          <w:tcPr>
            <w:tcW w:w="1199" w:type="pct"/>
            <w:vAlign w:val="center"/>
          </w:tcPr>
          <w:p w14:paraId="1EF7DE82">
            <w:pPr>
              <w:tabs>
                <w:tab w:val="left" w:pos="6300"/>
              </w:tabs>
              <w:snapToGrid w:val="0"/>
              <w:spacing w:line="500" w:lineRule="exact"/>
              <w:jc w:val="center"/>
              <w:outlineLvl w:val="0"/>
              <w:rPr>
                <w:rFonts w:ascii="宋体" w:hAnsi="宋体" w:cs="宋体"/>
                <w:color w:val="auto"/>
                <w:sz w:val="21"/>
                <w:szCs w:val="21"/>
                <w:highlight w:val="none"/>
              </w:rPr>
            </w:pPr>
          </w:p>
        </w:tc>
      </w:tr>
      <w:tr w14:paraId="21A7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5FB48D94">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42AF6DA1">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0D66A723">
            <w:pPr>
              <w:tabs>
                <w:tab w:val="left" w:pos="6300"/>
              </w:tabs>
              <w:snapToGrid w:val="0"/>
              <w:spacing w:line="500" w:lineRule="exact"/>
              <w:jc w:val="center"/>
              <w:outlineLvl w:val="0"/>
              <w:rPr>
                <w:rFonts w:ascii="宋体" w:hAnsi="宋体" w:cs="宋体"/>
                <w:color w:val="auto"/>
                <w:sz w:val="21"/>
                <w:szCs w:val="21"/>
                <w:highlight w:val="none"/>
              </w:rPr>
            </w:pPr>
          </w:p>
        </w:tc>
        <w:tc>
          <w:tcPr>
            <w:tcW w:w="1199" w:type="pct"/>
            <w:vAlign w:val="center"/>
          </w:tcPr>
          <w:p w14:paraId="42CF041F">
            <w:pPr>
              <w:tabs>
                <w:tab w:val="left" w:pos="6300"/>
              </w:tabs>
              <w:snapToGrid w:val="0"/>
              <w:spacing w:line="500" w:lineRule="exact"/>
              <w:jc w:val="center"/>
              <w:outlineLvl w:val="0"/>
              <w:rPr>
                <w:rFonts w:ascii="宋体" w:hAnsi="宋体" w:cs="宋体"/>
                <w:color w:val="auto"/>
                <w:sz w:val="21"/>
                <w:szCs w:val="21"/>
                <w:highlight w:val="none"/>
              </w:rPr>
            </w:pPr>
          </w:p>
        </w:tc>
      </w:tr>
      <w:tr w14:paraId="1E16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80C2528">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211CBD32">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0C3EC927">
            <w:pPr>
              <w:tabs>
                <w:tab w:val="left" w:pos="6300"/>
              </w:tabs>
              <w:snapToGrid w:val="0"/>
              <w:spacing w:line="500" w:lineRule="exact"/>
              <w:jc w:val="center"/>
              <w:outlineLvl w:val="0"/>
              <w:rPr>
                <w:rFonts w:ascii="宋体" w:hAnsi="宋体" w:cs="宋体"/>
                <w:color w:val="auto"/>
                <w:sz w:val="21"/>
                <w:szCs w:val="21"/>
                <w:highlight w:val="none"/>
              </w:rPr>
            </w:pPr>
          </w:p>
        </w:tc>
        <w:tc>
          <w:tcPr>
            <w:tcW w:w="1199" w:type="pct"/>
            <w:vAlign w:val="center"/>
          </w:tcPr>
          <w:p w14:paraId="51F9CF7F">
            <w:pPr>
              <w:tabs>
                <w:tab w:val="left" w:pos="6300"/>
              </w:tabs>
              <w:snapToGrid w:val="0"/>
              <w:spacing w:line="500" w:lineRule="exact"/>
              <w:jc w:val="center"/>
              <w:outlineLvl w:val="0"/>
              <w:rPr>
                <w:rFonts w:ascii="宋体" w:hAnsi="宋体" w:cs="宋体"/>
                <w:color w:val="auto"/>
                <w:sz w:val="21"/>
                <w:szCs w:val="21"/>
                <w:highlight w:val="none"/>
              </w:rPr>
            </w:pPr>
          </w:p>
        </w:tc>
      </w:tr>
      <w:tr w14:paraId="527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72AE2C2">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7F320820">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3A384A1C">
            <w:pPr>
              <w:tabs>
                <w:tab w:val="left" w:pos="6300"/>
              </w:tabs>
              <w:snapToGrid w:val="0"/>
              <w:spacing w:line="500" w:lineRule="exact"/>
              <w:jc w:val="center"/>
              <w:outlineLvl w:val="0"/>
              <w:rPr>
                <w:rFonts w:ascii="宋体" w:hAnsi="宋体" w:cs="宋体"/>
                <w:color w:val="auto"/>
                <w:sz w:val="21"/>
                <w:szCs w:val="21"/>
                <w:highlight w:val="none"/>
              </w:rPr>
            </w:pPr>
          </w:p>
        </w:tc>
        <w:tc>
          <w:tcPr>
            <w:tcW w:w="1199" w:type="pct"/>
            <w:vAlign w:val="center"/>
          </w:tcPr>
          <w:p w14:paraId="1580414F">
            <w:pPr>
              <w:tabs>
                <w:tab w:val="left" w:pos="6300"/>
              </w:tabs>
              <w:snapToGrid w:val="0"/>
              <w:spacing w:line="500" w:lineRule="exact"/>
              <w:jc w:val="center"/>
              <w:outlineLvl w:val="0"/>
              <w:rPr>
                <w:rFonts w:ascii="宋体" w:hAnsi="宋体" w:cs="宋体"/>
                <w:color w:val="auto"/>
                <w:sz w:val="21"/>
                <w:szCs w:val="21"/>
                <w:highlight w:val="none"/>
              </w:rPr>
            </w:pPr>
          </w:p>
        </w:tc>
      </w:tr>
      <w:tr w14:paraId="542E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B329247">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31CC783A">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09B555B1">
            <w:pPr>
              <w:tabs>
                <w:tab w:val="left" w:pos="6300"/>
              </w:tabs>
              <w:snapToGrid w:val="0"/>
              <w:spacing w:line="500" w:lineRule="exact"/>
              <w:jc w:val="center"/>
              <w:outlineLvl w:val="0"/>
              <w:rPr>
                <w:rFonts w:ascii="宋体" w:hAnsi="宋体" w:cs="宋体"/>
                <w:color w:val="auto"/>
                <w:sz w:val="21"/>
                <w:szCs w:val="21"/>
                <w:highlight w:val="none"/>
              </w:rPr>
            </w:pPr>
          </w:p>
        </w:tc>
        <w:tc>
          <w:tcPr>
            <w:tcW w:w="1199" w:type="pct"/>
            <w:vAlign w:val="center"/>
          </w:tcPr>
          <w:p w14:paraId="7C4F7AC5">
            <w:pPr>
              <w:tabs>
                <w:tab w:val="left" w:pos="6300"/>
              </w:tabs>
              <w:snapToGrid w:val="0"/>
              <w:spacing w:line="500" w:lineRule="exact"/>
              <w:jc w:val="center"/>
              <w:outlineLvl w:val="0"/>
              <w:rPr>
                <w:rFonts w:ascii="宋体" w:hAnsi="宋体" w:cs="宋体"/>
                <w:color w:val="auto"/>
                <w:sz w:val="21"/>
                <w:szCs w:val="21"/>
                <w:highlight w:val="none"/>
              </w:rPr>
            </w:pPr>
          </w:p>
        </w:tc>
      </w:tr>
      <w:tr w14:paraId="69E9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514990B">
            <w:pPr>
              <w:tabs>
                <w:tab w:val="left" w:pos="6300"/>
              </w:tabs>
              <w:snapToGrid w:val="0"/>
              <w:spacing w:line="500" w:lineRule="exact"/>
              <w:jc w:val="center"/>
              <w:outlineLvl w:val="0"/>
              <w:rPr>
                <w:rFonts w:ascii="宋体" w:hAnsi="宋体" w:cs="宋体"/>
                <w:color w:val="auto"/>
                <w:sz w:val="21"/>
                <w:szCs w:val="21"/>
                <w:highlight w:val="none"/>
              </w:rPr>
            </w:pPr>
          </w:p>
        </w:tc>
        <w:tc>
          <w:tcPr>
            <w:tcW w:w="1542" w:type="pct"/>
            <w:vAlign w:val="center"/>
          </w:tcPr>
          <w:p w14:paraId="46A05329">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4509AAF2">
            <w:pPr>
              <w:tabs>
                <w:tab w:val="left" w:pos="6300"/>
              </w:tabs>
              <w:snapToGrid w:val="0"/>
              <w:spacing w:line="500" w:lineRule="exact"/>
              <w:jc w:val="center"/>
              <w:outlineLvl w:val="0"/>
              <w:rPr>
                <w:rFonts w:ascii="宋体" w:hAnsi="宋体" w:cs="宋体"/>
                <w:color w:val="auto"/>
                <w:sz w:val="21"/>
                <w:szCs w:val="21"/>
                <w:highlight w:val="none"/>
              </w:rPr>
            </w:pPr>
          </w:p>
        </w:tc>
        <w:tc>
          <w:tcPr>
            <w:tcW w:w="1199" w:type="pct"/>
            <w:vAlign w:val="center"/>
          </w:tcPr>
          <w:p w14:paraId="03E0AD58">
            <w:pPr>
              <w:tabs>
                <w:tab w:val="left" w:pos="6300"/>
              </w:tabs>
              <w:snapToGrid w:val="0"/>
              <w:spacing w:line="500" w:lineRule="exact"/>
              <w:jc w:val="center"/>
              <w:outlineLvl w:val="0"/>
              <w:rPr>
                <w:rFonts w:ascii="宋体" w:hAnsi="宋体" w:cs="宋体"/>
                <w:color w:val="auto"/>
                <w:sz w:val="21"/>
                <w:szCs w:val="21"/>
                <w:highlight w:val="none"/>
              </w:rPr>
            </w:pPr>
          </w:p>
        </w:tc>
      </w:tr>
    </w:tbl>
    <w:p w14:paraId="5C11C11B">
      <w:pPr>
        <w:tabs>
          <w:tab w:val="left" w:pos="6300"/>
        </w:tabs>
        <w:snapToGrid w:val="0"/>
        <w:spacing w:line="500" w:lineRule="exact"/>
        <w:ind w:firstLine="570"/>
        <w:rPr>
          <w:rFonts w:ascii="宋体" w:hAnsi="宋体" w:cs="宋体"/>
          <w:color w:val="auto"/>
          <w:sz w:val="24"/>
          <w:highlight w:val="none"/>
        </w:rPr>
      </w:pPr>
    </w:p>
    <w:p w14:paraId="50C2D4A8">
      <w:pPr>
        <w:tabs>
          <w:tab w:val="left" w:pos="6300"/>
        </w:tabs>
        <w:snapToGrid w:val="0"/>
        <w:spacing w:line="500" w:lineRule="exact"/>
        <w:ind w:firstLine="570"/>
        <w:rPr>
          <w:rFonts w:ascii="宋体" w:hAnsi="宋体" w:cs="宋体"/>
          <w:color w:val="auto"/>
          <w:sz w:val="24"/>
          <w:highlight w:val="none"/>
        </w:rPr>
      </w:pPr>
    </w:p>
    <w:p w14:paraId="6389D6F4">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注：</w:t>
      </w:r>
    </w:p>
    <w:p w14:paraId="5D80E5AC">
      <w:pPr>
        <w:tabs>
          <w:tab w:val="left" w:pos="6300"/>
        </w:tabs>
        <w:snapToGrid w:val="0"/>
        <w:spacing w:line="500" w:lineRule="exact"/>
        <w:ind w:firstLine="570"/>
        <w:rPr>
          <w:rFonts w:ascii="宋体" w:hAnsi="宋体" w:cs="宋体"/>
          <w:color w:val="auto"/>
          <w:sz w:val="24"/>
          <w:szCs w:val="24"/>
          <w:highlight w:val="none"/>
        </w:rPr>
      </w:pPr>
      <w:r>
        <w:rPr>
          <w:rFonts w:ascii="宋体" w:hAnsi="宋体" w:cs="宋体"/>
          <w:color w:val="auto"/>
          <w:sz w:val="24"/>
          <w:szCs w:val="24"/>
          <w:highlight w:val="none"/>
        </w:rPr>
        <w:t xml:space="preserve">1.本表即为对本项目“第三篇 </w:t>
      </w:r>
      <w:r>
        <w:rPr>
          <w:rFonts w:hint="eastAsia" w:ascii="宋体" w:hAnsi="宋体" w:cs="宋体"/>
          <w:color w:val="auto"/>
          <w:sz w:val="24"/>
          <w:szCs w:val="24"/>
          <w:highlight w:val="none"/>
        </w:rPr>
        <w:t>项目商务需求”中所列条款进行比较和响应；</w:t>
      </w:r>
    </w:p>
    <w:p w14:paraId="062A2DBA">
      <w:pPr>
        <w:tabs>
          <w:tab w:val="left" w:pos="6300"/>
        </w:tabs>
        <w:snapToGrid w:val="0"/>
        <w:spacing w:line="500" w:lineRule="exact"/>
        <w:ind w:firstLine="570"/>
        <w:rPr>
          <w:rFonts w:ascii="宋体" w:hAnsi="宋体" w:cs="宋体"/>
          <w:color w:val="auto"/>
          <w:sz w:val="24"/>
          <w:szCs w:val="24"/>
          <w:highlight w:val="none"/>
        </w:rPr>
      </w:pPr>
      <w:r>
        <w:rPr>
          <w:rFonts w:ascii="宋体" w:hAnsi="宋体" w:cs="宋体"/>
          <w:color w:val="auto"/>
          <w:sz w:val="24"/>
          <w:szCs w:val="24"/>
          <w:highlight w:val="none"/>
        </w:rPr>
        <w:t>2.本表可扩展。</w:t>
      </w:r>
    </w:p>
    <w:p w14:paraId="6175E75C">
      <w:pPr>
        <w:tabs>
          <w:tab w:val="left" w:pos="6300"/>
        </w:tabs>
        <w:snapToGrid w:val="0"/>
        <w:spacing w:line="500" w:lineRule="exact"/>
        <w:ind w:firstLine="570"/>
        <w:rPr>
          <w:rFonts w:ascii="宋体" w:hAnsi="宋体" w:cs="宋体"/>
          <w:color w:val="auto"/>
          <w:sz w:val="24"/>
          <w:szCs w:val="24"/>
          <w:highlight w:val="none"/>
        </w:rPr>
      </w:pPr>
      <w:r>
        <w:rPr>
          <w:rFonts w:ascii="宋体" w:hAnsi="宋体" w:cs="宋体"/>
          <w:color w:val="auto"/>
          <w:sz w:val="24"/>
          <w:szCs w:val="24"/>
          <w:highlight w:val="none"/>
        </w:rPr>
        <w:t>3.响应应答栏中应当注明具体内容，且必须标注具体内容在响应文件中的位置（页码）。</w:t>
      </w:r>
    </w:p>
    <w:p w14:paraId="449EB9CE">
      <w:pPr>
        <w:snapToGrid w:val="0"/>
        <w:spacing w:line="400" w:lineRule="exact"/>
        <w:ind w:firstLine="560" w:firstLineChars="200"/>
        <w:rPr>
          <w:rFonts w:ascii="宋体" w:hAnsi="宋体" w:cs="宋体"/>
          <w:color w:val="auto"/>
          <w:sz w:val="24"/>
          <w:szCs w:val="24"/>
          <w:highlight w:val="none"/>
        </w:rPr>
      </w:pPr>
      <w:r>
        <w:rPr>
          <w:rFonts w:ascii="宋体" w:hAnsi="宋体" w:cs="宋体"/>
          <w:color w:val="auto"/>
          <w:szCs w:val="28"/>
          <w:highlight w:val="none"/>
        </w:rPr>
        <w:br w:type="page"/>
      </w:r>
      <w:r>
        <w:rPr>
          <w:rFonts w:hint="eastAsia" w:ascii="宋体" w:hAnsi="宋体" w:cs="宋体"/>
          <w:color w:val="auto"/>
          <w:sz w:val="24"/>
          <w:szCs w:val="24"/>
          <w:highlight w:val="none"/>
        </w:rPr>
        <w:t>（三）其他商务资料</w:t>
      </w:r>
    </w:p>
    <w:p w14:paraId="42091E33">
      <w:pPr>
        <w:spacing w:line="400" w:lineRule="exact"/>
        <w:ind w:firstLine="480" w:firstLineChars="200"/>
        <w:rPr>
          <w:rFonts w:ascii="宋体" w:hAnsi="宋体" w:cs="宋体"/>
          <w:color w:val="auto"/>
          <w:sz w:val="24"/>
          <w:szCs w:val="28"/>
          <w:highlight w:val="none"/>
        </w:rPr>
      </w:pPr>
    </w:p>
    <w:p w14:paraId="62052234">
      <w:pPr>
        <w:snapToGrid w:val="0"/>
        <w:spacing w:before="120" w:beforeLines="50" w:line="500" w:lineRule="exact"/>
        <w:ind w:firstLine="560"/>
        <w:jc w:val="left"/>
        <w:rPr>
          <w:rFonts w:ascii="宋体" w:hAnsi="宋体" w:cs="宋体"/>
          <w:color w:val="auto"/>
          <w:szCs w:val="28"/>
          <w:highlight w:val="none"/>
        </w:rPr>
      </w:pPr>
    </w:p>
    <w:p w14:paraId="03080F69">
      <w:pPr>
        <w:snapToGrid w:val="0"/>
        <w:spacing w:before="120" w:beforeLines="50" w:line="500" w:lineRule="exact"/>
        <w:ind w:firstLine="560"/>
        <w:jc w:val="left"/>
        <w:rPr>
          <w:rFonts w:ascii="宋体" w:hAnsi="宋体" w:cs="宋体"/>
          <w:color w:val="auto"/>
          <w:szCs w:val="28"/>
          <w:highlight w:val="none"/>
        </w:rPr>
      </w:pPr>
      <w:r>
        <w:rPr>
          <w:rFonts w:ascii="宋体" w:hAnsi="宋体" w:cs="宋体"/>
          <w:color w:val="auto"/>
          <w:szCs w:val="28"/>
          <w:highlight w:val="none"/>
        </w:rPr>
        <w:t xml:space="preserve"> </w:t>
      </w:r>
    </w:p>
    <w:p w14:paraId="5C6A7A4B">
      <w:pPr>
        <w:pStyle w:val="3"/>
        <w:spacing w:line="500" w:lineRule="exact"/>
        <w:ind w:firstLine="562" w:firstLineChars="200"/>
        <w:rPr>
          <w:rFonts w:cs="宋体"/>
          <w:b/>
          <w:color w:val="auto"/>
          <w:szCs w:val="28"/>
          <w:highlight w:val="none"/>
        </w:rPr>
      </w:pPr>
      <w:bookmarkStart w:id="424" w:name="_Toc493178792"/>
      <w:bookmarkStart w:id="425" w:name="_Toc492721041"/>
      <w:r>
        <w:rPr>
          <w:rFonts w:cs="宋体"/>
          <w:b/>
          <w:color w:val="auto"/>
          <w:szCs w:val="28"/>
          <w:highlight w:val="none"/>
        </w:rPr>
        <w:br w:type="page"/>
      </w:r>
      <w:bookmarkStart w:id="426" w:name="_Toc10101"/>
      <w:bookmarkStart w:id="427" w:name="_Toc29176"/>
      <w:bookmarkStart w:id="428" w:name="_Toc76387268"/>
      <w:bookmarkStart w:id="429" w:name="_Toc171960111"/>
      <w:r>
        <w:rPr>
          <w:rFonts w:hint="eastAsia" w:cs="宋体"/>
          <w:b/>
          <w:color w:val="auto"/>
          <w:szCs w:val="28"/>
          <w:highlight w:val="none"/>
        </w:rPr>
        <w:t>四、其他</w:t>
      </w:r>
      <w:bookmarkEnd w:id="424"/>
      <w:bookmarkEnd w:id="425"/>
      <w:bookmarkEnd w:id="426"/>
      <w:bookmarkEnd w:id="427"/>
      <w:bookmarkEnd w:id="428"/>
      <w:bookmarkEnd w:id="429"/>
    </w:p>
    <w:p w14:paraId="08AA66FD">
      <w:pPr>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其他与项目有关的资料（自附）</w:t>
      </w:r>
    </w:p>
    <w:p w14:paraId="3D34879E">
      <w:pPr>
        <w:pStyle w:val="3"/>
        <w:spacing w:line="500" w:lineRule="exact"/>
        <w:ind w:firstLine="562" w:firstLineChars="200"/>
        <w:rPr>
          <w:rFonts w:cs="宋体"/>
          <w:b/>
          <w:color w:val="auto"/>
          <w:szCs w:val="28"/>
          <w:highlight w:val="none"/>
        </w:rPr>
      </w:pPr>
      <w:bookmarkStart w:id="430" w:name="_Toc493178793"/>
      <w:bookmarkStart w:id="431" w:name="_Toc492721038"/>
      <w:r>
        <w:rPr>
          <w:rFonts w:cs="宋体"/>
          <w:b/>
          <w:color w:val="auto"/>
          <w:szCs w:val="28"/>
          <w:highlight w:val="none"/>
        </w:rPr>
        <w:br w:type="page"/>
      </w:r>
      <w:bookmarkStart w:id="432" w:name="_Toc24230"/>
      <w:bookmarkStart w:id="433" w:name="_Toc1322"/>
      <w:bookmarkStart w:id="434" w:name="_Toc171960112"/>
      <w:bookmarkStart w:id="435" w:name="_Toc76387269"/>
      <w:r>
        <w:rPr>
          <w:rFonts w:hint="eastAsia" w:cs="宋体"/>
          <w:b/>
          <w:color w:val="auto"/>
          <w:szCs w:val="28"/>
          <w:highlight w:val="none"/>
        </w:rPr>
        <w:t>五、资格文件</w:t>
      </w:r>
      <w:bookmarkEnd w:id="430"/>
      <w:bookmarkEnd w:id="431"/>
      <w:bookmarkEnd w:id="432"/>
      <w:bookmarkEnd w:id="433"/>
      <w:bookmarkEnd w:id="434"/>
      <w:bookmarkEnd w:id="435"/>
    </w:p>
    <w:p w14:paraId="6B0D7F55">
      <w:pPr>
        <w:tabs>
          <w:tab w:val="left" w:pos="6300"/>
        </w:tabs>
        <w:snapToGrid w:val="0"/>
        <w:spacing w:line="500" w:lineRule="exact"/>
        <w:ind w:firstLine="570"/>
        <w:rPr>
          <w:rFonts w:ascii="宋体" w:hAnsi="宋体" w:cs="宋体"/>
          <w:color w:val="auto"/>
          <w:highlight w:val="none"/>
        </w:rPr>
      </w:pPr>
      <w:r>
        <w:rPr>
          <w:rFonts w:hint="eastAsia" w:ascii="宋体" w:hAnsi="宋体" w:cs="宋体"/>
          <w:color w:val="auto"/>
          <w:highlight w:val="none"/>
        </w:rPr>
        <w:t>（一）供应商公司法人营业执照复印件</w:t>
      </w:r>
    </w:p>
    <w:p w14:paraId="69389A8B">
      <w:pPr>
        <w:tabs>
          <w:tab w:val="left" w:pos="6300"/>
        </w:tabs>
        <w:snapToGrid w:val="0"/>
        <w:spacing w:line="500" w:lineRule="exact"/>
        <w:ind w:firstLine="570"/>
        <w:rPr>
          <w:rFonts w:ascii="宋体" w:hAnsi="宋体" w:cs="宋体"/>
          <w:color w:val="auto"/>
          <w:highlight w:val="none"/>
        </w:rPr>
      </w:pPr>
    </w:p>
    <w:p w14:paraId="18D310AC">
      <w:pPr>
        <w:tabs>
          <w:tab w:val="left" w:pos="6300"/>
        </w:tabs>
        <w:snapToGrid w:val="0"/>
        <w:spacing w:line="500" w:lineRule="exact"/>
        <w:ind w:firstLine="570"/>
        <w:rPr>
          <w:rFonts w:ascii="宋体" w:hAnsi="宋体" w:cs="宋体"/>
          <w:color w:val="auto"/>
          <w:highlight w:val="none"/>
        </w:rPr>
      </w:pPr>
    </w:p>
    <w:p w14:paraId="308EB00A">
      <w:pPr>
        <w:tabs>
          <w:tab w:val="left" w:pos="6300"/>
        </w:tabs>
        <w:snapToGrid w:val="0"/>
        <w:spacing w:line="500" w:lineRule="exact"/>
        <w:ind w:firstLine="570"/>
        <w:rPr>
          <w:rFonts w:ascii="宋体" w:hAnsi="宋体" w:cs="宋体"/>
          <w:color w:val="auto"/>
          <w:highlight w:val="none"/>
        </w:rPr>
      </w:pPr>
    </w:p>
    <w:p w14:paraId="347027BA">
      <w:pPr>
        <w:tabs>
          <w:tab w:val="left" w:pos="6300"/>
        </w:tabs>
        <w:snapToGrid w:val="0"/>
        <w:spacing w:line="500" w:lineRule="exact"/>
        <w:ind w:firstLine="570"/>
        <w:rPr>
          <w:rFonts w:ascii="宋体" w:hAnsi="宋体" w:cs="宋体"/>
          <w:color w:val="auto"/>
          <w:highlight w:val="none"/>
        </w:rPr>
      </w:pPr>
    </w:p>
    <w:p w14:paraId="1F360F22">
      <w:pPr>
        <w:tabs>
          <w:tab w:val="left" w:pos="6300"/>
        </w:tabs>
        <w:snapToGrid w:val="0"/>
        <w:spacing w:line="500" w:lineRule="exact"/>
        <w:ind w:firstLine="570"/>
        <w:rPr>
          <w:rFonts w:ascii="宋体" w:hAnsi="宋体" w:cs="宋体"/>
          <w:color w:val="auto"/>
          <w:highlight w:val="none"/>
        </w:rPr>
      </w:pPr>
    </w:p>
    <w:p w14:paraId="2E402DB4">
      <w:pPr>
        <w:widowControl/>
        <w:ind w:firstLine="560" w:firstLineChars="200"/>
        <w:jc w:val="left"/>
        <w:rPr>
          <w:rFonts w:ascii="宋体" w:hAnsi="宋体" w:cs="宋体"/>
          <w:color w:val="auto"/>
          <w:highlight w:val="none"/>
        </w:rPr>
      </w:pPr>
      <w:r>
        <w:rPr>
          <w:rFonts w:ascii="宋体" w:hAnsi="宋体" w:cs="宋体"/>
          <w:color w:val="auto"/>
          <w:highlight w:val="none"/>
        </w:rPr>
        <w:br w:type="page"/>
      </w:r>
      <w:r>
        <w:rPr>
          <w:rFonts w:hint="eastAsia" w:ascii="宋体" w:hAnsi="宋体" w:cs="宋体"/>
          <w:color w:val="auto"/>
          <w:highlight w:val="none"/>
        </w:rPr>
        <w:t>（二）法定代表人身份证明书（格式）</w:t>
      </w:r>
    </w:p>
    <w:p w14:paraId="6587E277">
      <w:pPr>
        <w:tabs>
          <w:tab w:val="left" w:pos="6300"/>
        </w:tabs>
        <w:snapToGrid w:val="0"/>
        <w:spacing w:line="500" w:lineRule="exact"/>
        <w:ind w:firstLine="570"/>
        <w:rPr>
          <w:rFonts w:ascii="宋体" w:hAnsi="宋体" w:cs="宋体"/>
          <w:color w:val="auto"/>
          <w:sz w:val="24"/>
          <w:highlight w:val="none"/>
        </w:rPr>
      </w:pPr>
    </w:p>
    <w:p w14:paraId="65252803">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询比项目名称：</w:t>
      </w:r>
      <w:r>
        <w:rPr>
          <w:rFonts w:ascii="宋体" w:hAnsi="宋体" w:cs="宋体"/>
          <w:color w:val="auto"/>
          <w:sz w:val="24"/>
          <w:highlight w:val="none"/>
          <w:u w:val="single"/>
        </w:rPr>
        <w:t xml:space="preserve">                                                </w:t>
      </w:r>
    </w:p>
    <w:p w14:paraId="0F097262">
      <w:pPr>
        <w:tabs>
          <w:tab w:val="left" w:pos="6300"/>
        </w:tabs>
        <w:snapToGrid w:val="0"/>
        <w:spacing w:line="500" w:lineRule="exact"/>
        <w:ind w:firstLine="570"/>
        <w:rPr>
          <w:rFonts w:ascii="宋体" w:hAnsi="宋体" w:cs="宋体"/>
          <w:color w:val="auto"/>
          <w:sz w:val="24"/>
          <w:highlight w:val="none"/>
        </w:rPr>
      </w:pPr>
    </w:p>
    <w:p w14:paraId="5F8504B3">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2B6F29C3">
      <w:pPr>
        <w:tabs>
          <w:tab w:val="left" w:pos="6300"/>
        </w:tabs>
        <w:snapToGrid w:val="0"/>
        <w:spacing w:line="500" w:lineRule="exact"/>
        <w:ind w:firstLine="570"/>
        <w:rPr>
          <w:rFonts w:ascii="宋体" w:hAnsi="宋体" w:cs="宋体"/>
          <w:color w:val="auto"/>
          <w:sz w:val="24"/>
          <w:highlight w:val="none"/>
        </w:rPr>
      </w:pPr>
      <w:r>
        <w:rPr>
          <w:rFonts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4BB9288E">
      <w:pPr>
        <w:tabs>
          <w:tab w:val="left" w:pos="6300"/>
        </w:tabs>
        <w:snapToGrid w:val="0"/>
        <w:spacing w:line="500" w:lineRule="exact"/>
        <w:ind w:firstLine="570"/>
        <w:rPr>
          <w:rFonts w:ascii="宋体" w:hAnsi="宋体" w:cs="宋体"/>
          <w:color w:val="auto"/>
          <w:sz w:val="24"/>
          <w:highlight w:val="none"/>
        </w:rPr>
      </w:pPr>
    </w:p>
    <w:p w14:paraId="2B372247">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4C8DB386">
      <w:pPr>
        <w:tabs>
          <w:tab w:val="left" w:pos="6300"/>
        </w:tabs>
        <w:snapToGrid w:val="0"/>
        <w:spacing w:line="500" w:lineRule="exact"/>
        <w:ind w:firstLine="570"/>
        <w:rPr>
          <w:rFonts w:ascii="宋体" w:hAnsi="宋体" w:cs="宋体"/>
          <w:color w:val="auto"/>
          <w:sz w:val="24"/>
          <w:highlight w:val="none"/>
        </w:rPr>
      </w:pPr>
    </w:p>
    <w:p w14:paraId="606E90A4">
      <w:pPr>
        <w:tabs>
          <w:tab w:val="left" w:pos="6300"/>
        </w:tabs>
        <w:snapToGrid w:val="0"/>
        <w:spacing w:line="500" w:lineRule="exact"/>
        <w:ind w:firstLine="570"/>
        <w:rPr>
          <w:rFonts w:ascii="宋体" w:hAnsi="宋体" w:cs="宋体"/>
          <w:color w:val="auto"/>
          <w:sz w:val="24"/>
          <w:highlight w:val="none"/>
        </w:rPr>
      </w:pPr>
    </w:p>
    <w:p w14:paraId="2D568696">
      <w:pPr>
        <w:tabs>
          <w:tab w:val="left" w:pos="6300"/>
        </w:tabs>
        <w:snapToGrid w:val="0"/>
        <w:spacing w:line="500" w:lineRule="exact"/>
        <w:ind w:firstLine="570"/>
        <w:rPr>
          <w:rFonts w:ascii="宋体" w:hAnsi="宋体" w:cs="宋体"/>
          <w:color w:val="auto"/>
          <w:sz w:val="24"/>
          <w:highlight w:val="none"/>
        </w:rPr>
      </w:pPr>
    </w:p>
    <w:p w14:paraId="388E7917">
      <w:pPr>
        <w:tabs>
          <w:tab w:val="left" w:pos="6300"/>
        </w:tabs>
        <w:snapToGrid w:val="0"/>
        <w:spacing w:line="500" w:lineRule="exact"/>
        <w:ind w:firstLine="570"/>
        <w:rPr>
          <w:rFonts w:ascii="宋体" w:hAnsi="宋体" w:cs="宋体"/>
          <w:color w:val="auto"/>
          <w:sz w:val="24"/>
          <w:highlight w:val="none"/>
        </w:rPr>
      </w:pPr>
      <w:r>
        <w:rPr>
          <w:rFonts w:ascii="宋体" w:hAnsi="宋体" w:cs="宋体"/>
          <w:color w:val="auto"/>
          <w:sz w:val="24"/>
          <w:highlight w:val="none"/>
        </w:rPr>
        <w:t xml:space="preserve">                                             （供应商公章）</w:t>
      </w:r>
    </w:p>
    <w:p w14:paraId="3D0B8F5A">
      <w:pPr>
        <w:tabs>
          <w:tab w:val="left" w:pos="6300"/>
        </w:tabs>
        <w:snapToGrid w:val="0"/>
        <w:spacing w:line="500" w:lineRule="exact"/>
        <w:ind w:firstLine="570"/>
        <w:rPr>
          <w:rFonts w:ascii="宋体" w:hAnsi="宋体" w:cs="宋体"/>
          <w:color w:val="auto"/>
          <w:sz w:val="24"/>
          <w:highlight w:val="none"/>
        </w:rPr>
      </w:pPr>
    </w:p>
    <w:p w14:paraId="2F6F1CAE">
      <w:pPr>
        <w:tabs>
          <w:tab w:val="left" w:pos="6300"/>
        </w:tabs>
        <w:snapToGrid w:val="0"/>
        <w:spacing w:line="500" w:lineRule="exact"/>
        <w:ind w:firstLine="570"/>
        <w:rPr>
          <w:rFonts w:ascii="宋体" w:hAnsi="宋体" w:cs="宋体"/>
          <w:color w:val="auto"/>
          <w:sz w:val="24"/>
          <w:highlight w:val="none"/>
        </w:rPr>
      </w:pPr>
      <w:r>
        <w:rPr>
          <w:rFonts w:ascii="宋体" w:hAnsi="宋体" w:cs="宋体"/>
          <w:color w:val="auto"/>
          <w:sz w:val="24"/>
          <w:highlight w:val="none"/>
        </w:rPr>
        <w:t xml:space="preserve">                                             年   月   日</w:t>
      </w:r>
    </w:p>
    <w:p w14:paraId="3F0C9575">
      <w:pPr>
        <w:tabs>
          <w:tab w:val="left" w:pos="6300"/>
        </w:tabs>
        <w:snapToGrid w:val="0"/>
        <w:spacing w:line="500" w:lineRule="exact"/>
        <w:ind w:firstLine="570"/>
        <w:rPr>
          <w:rFonts w:ascii="宋体" w:hAnsi="宋体" w:cs="宋体"/>
          <w:color w:val="auto"/>
          <w:sz w:val="24"/>
          <w:highlight w:val="none"/>
        </w:rPr>
      </w:pPr>
    </w:p>
    <w:p w14:paraId="49FC4EB2">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法定代表人电话：</w:t>
      </w:r>
      <w:r>
        <w:rPr>
          <w:rFonts w:ascii="宋体" w:hAnsi="宋体" w:cs="宋体"/>
          <w:color w:val="auto"/>
          <w:sz w:val="24"/>
          <w:highlight w:val="none"/>
        </w:rPr>
        <w:t xml:space="preserve">XXXXXXX      </w:t>
      </w:r>
      <w:r>
        <w:rPr>
          <w:rFonts w:hint="eastAsia" w:ascii="宋体" w:hAnsi="宋体" w:cs="宋体"/>
          <w:color w:val="auto"/>
          <w:sz w:val="24"/>
          <w:highlight w:val="none"/>
        </w:rPr>
        <w:t>电子邮箱：</w:t>
      </w:r>
      <w:r>
        <w:rPr>
          <w:rFonts w:ascii="宋体" w:hAnsi="宋体" w:cs="宋体"/>
          <w:color w:val="auto"/>
          <w:sz w:val="24"/>
          <w:highlight w:val="none"/>
        </w:rPr>
        <w:t>XXXXXX@XXXXX（若授权他人办理并签署响应文件的可不填写）</w:t>
      </w:r>
    </w:p>
    <w:p w14:paraId="3E8D533E">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0B23AFDC">
      <w:pPr>
        <w:tabs>
          <w:tab w:val="left" w:pos="6300"/>
        </w:tabs>
        <w:snapToGrid w:val="0"/>
        <w:spacing w:line="500" w:lineRule="exact"/>
        <w:ind w:firstLine="570"/>
        <w:rPr>
          <w:rFonts w:ascii="宋体" w:hAnsi="宋体" w:cs="宋体"/>
          <w:color w:val="auto"/>
          <w:sz w:val="24"/>
          <w:highlight w:val="none"/>
        </w:rPr>
      </w:pPr>
    </w:p>
    <w:p w14:paraId="7B240E74">
      <w:pPr>
        <w:tabs>
          <w:tab w:val="left" w:pos="6300"/>
        </w:tabs>
        <w:snapToGrid w:val="0"/>
        <w:spacing w:line="500" w:lineRule="exact"/>
        <w:ind w:firstLine="570"/>
        <w:rPr>
          <w:rFonts w:ascii="宋体" w:hAnsi="宋体" w:cs="宋体"/>
          <w:color w:val="auto"/>
          <w:sz w:val="24"/>
          <w:highlight w:val="none"/>
        </w:rPr>
      </w:pPr>
    </w:p>
    <w:p w14:paraId="71659E0B">
      <w:pPr>
        <w:tabs>
          <w:tab w:val="left" w:pos="6300"/>
        </w:tabs>
        <w:snapToGrid w:val="0"/>
        <w:spacing w:line="500" w:lineRule="exact"/>
        <w:ind w:firstLine="570"/>
        <w:rPr>
          <w:rFonts w:ascii="宋体" w:hAnsi="宋体" w:cs="宋体"/>
          <w:color w:val="auto"/>
          <w:sz w:val="24"/>
          <w:highlight w:val="none"/>
        </w:rPr>
      </w:pPr>
    </w:p>
    <w:p w14:paraId="2ABFF6BD">
      <w:pPr>
        <w:tabs>
          <w:tab w:val="left" w:pos="6300"/>
        </w:tabs>
        <w:snapToGrid w:val="0"/>
        <w:spacing w:line="500" w:lineRule="exact"/>
        <w:ind w:firstLine="570"/>
        <w:rPr>
          <w:rFonts w:ascii="宋体" w:hAnsi="宋体" w:cs="宋体"/>
          <w:color w:val="auto"/>
          <w:sz w:val="24"/>
          <w:highlight w:val="none"/>
        </w:rPr>
      </w:pPr>
    </w:p>
    <w:p w14:paraId="60E3B628">
      <w:pPr>
        <w:tabs>
          <w:tab w:val="left" w:pos="6300"/>
        </w:tabs>
        <w:snapToGrid w:val="0"/>
        <w:spacing w:line="500" w:lineRule="exact"/>
        <w:ind w:firstLine="570"/>
        <w:rPr>
          <w:rFonts w:ascii="宋体" w:hAnsi="宋体" w:cs="宋体"/>
          <w:color w:val="auto"/>
          <w:sz w:val="24"/>
          <w:highlight w:val="none"/>
        </w:rPr>
      </w:pPr>
    </w:p>
    <w:p w14:paraId="391D988D">
      <w:pPr>
        <w:tabs>
          <w:tab w:val="left" w:pos="6300"/>
        </w:tabs>
        <w:snapToGrid w:val="0"/>
        <w:spacing w:line="500" w:lineRule="exact"/>
        <w:ind w:firstLine="570"/>
        <w:rPr>
          <w:rFonts w:ascii="宋体" w:hAnsi="宋体" w:cs="宋体"/>
          <w:color w:val="auto"/>
          <w:sz w:val="24"/>
          <w:highlight w:val="none"/>
        </w:rPr>
      </w:pPr>
    </w:p>
    <w:p w14:paraId="30FEB97A">
      <w:pPr>
        <w:tabs>
          <w:tab w:val="left" w:pos="6300"/>
        </w:tabs>
        <w:snapToGrid w:val="0"/>
        <w:spacing w:line="500" w:lineRule="exact"/>
        <w:ind w:firstLine="570"/>
        <w:rPr>
          <w:rFonts w:ascii="宋体" w:hAnsi="宋体" w:cs="宋体"/>
          <w:color w:val="auto"/>
          <w:sz w:val="24"/>
          <w:szCs w:val="28"/>
          <w:highlight w:val="none"/>
        </w:rPr>
      </w:pPr>
      <w:r>
        <w:rPr>
          <w:rFonts w:ascii="宋体" w:hAnsi="宋体" w:cs="宋体"/>
          <w:color w:val="auto"/>
          <w:highlight w:val="none"/>
        </w:rPr>
        <w:br w:type="column"/>
      </w:r>
      <w:r>
        <w:rPr>
          <w:rFonts w:hint="eastAsia" w:ascii="宋体" w:hAnsi="宋体" w:cs="宋体"/>
          <w:color w:val="auto"/>
          <w:sz w:val="24"/>
          <w:szCs w:val="28"/>
          <w:highlight w:val="none"/>
        </w:rPr>
        <w:t>（三）法定代表人授权委托书（格式）</w:t>
      </w:r>
    </w:p>
    <w:p w14:paraId="301A86C6">
      <w:pPr>
        <w:tabs>
          <w:tab w:val="left" w:pos="6300"/>
        </w:tabs>
        <w:snapToGrid w:val="0"/>
        <w:spacing w:line="500" w:lineRule="exact"/>
        <w:ind w:firstLine="570"/>
        <w:rPr>
          <w:rFonts w:ascii="宋体" w:hAnsi="宋体" w:cs="宋体"/>
          <w:color w:val="auto"/>
          <w:sz w:val="24"/>
          <w:highlight w:val="none"/>
        </w:rPr>
      </w:pPr>
      <w:r>
        <w:rPr>
          <w:rFonts w:ascii="宋体" w:hAnsi="宋体" w:cs="宋体"/>
          <w:color w:val="auto"/>
          <w:sz w:val="24"/>
          <w:highlight w:val="none"/>
        </w:rPr>
        <w:t xml:space="preserve">    </w:t>
      </w:r>
    </w:p>
    <w:p w14:paraId="0E122F9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询比项目名称</w:t>
      </w:r>
      <w:r>
        <w:rPr>
          <w:rFonts w:hint="eastAsia" w:ascii="宋体" w:hAnsi="宋体" w:cs="宋体"/>
          <w:color w:val="auto"/>
          <w:sz w:val="24"/>
          <w:highlight w:val="none"/>
        </w:rPr>
        <w:t>：</w:t>
      </w:r>
      <w:r>
        <w:rPr>
          <w:rFonts w:ascii="宋体" w:hAnsi="宋体" w:cs="宋体"/>
          <w:color w:val="auto"/>
          <w:sz w:val="24"/>
          <w:highlight w:val="none"/>
          <w:u w:val="single"/>
        </w:rPr>
        <w:t xml:space="preserve">                                                </w:t>
      </w:r>
    </w:p>
    <w:p w14:paraId="73BCB819">
      <w:pPr>
        <w:tabs>
          <w:tab w:val="left" w:pos="6300"/>
        </w:tabs>
        <w:snapToGrid w:val="0"/>
        <w:spacing w:line="500" w:lineRule="exact"/>
        <w:ind w:firstLine="570"/>
        <w:rPr>
          <w:rFonts w:ascii="宋体" w:hAnsi="宋体" w:cs="宋体"/>
          <w:color w:val="auto"/>
          <w:sz w:val="24"/>
          <w:highlight w:val="none"/>
        </w:rPr>
      </w:pPr>
    </w:p>
    <w:p w14:paraId="044AC579">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2E80F2DB">
      <w:pPr>
        <w:tabs>
          <w:tab w:val="left" w:pos="6300"/>
        </w:tabs>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（被授权人姓名及身份证代码）代表我单位全权办理上述项目的响应、谈判、签约等具体工作，并签署全部有关文件、协议及合同。</w:t>
      </w:r>
    </w:p>
    <w:p w14:paraId="59A9612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我单位对被授权人的签署负全部责任。</w:t>
      </w:r>
    </w:p>
    <w:p w14:paraId="2AA60B8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6D7CEBD9">
      <w:pPr>
        <w:tabs>
          <w:tab w:val="left" w:pos="6300"/>
        </w:tabs>
        <w:snapToGrid w:val="0"/>
        <w:spacing w:line="500" w:lineRule="exact"/>
        <w:ind w:firstLine="570"/>
        <w:rPr>
          <w:rFonts w:ascii="宋体" w:hAnsi="宋体" w:cs="宋体"/>
          <w:color w:val="auto"/>
          <w:sz w:val="24"/>
          <w:highlight w:val="none"/>
        </w:rPr>
      </w:pPr>
    </w:p>
    <w:p w14:paraId="2FB2C3D1">
      <w:pPr>
        <w:tabs>
          <w:tab w:val="left" w:pos="6300"/>
        </w:tabs>
        <w:snapToGrid w:val="0"/>
        <w:spacing w:line="500" w:lineRule="exact"/>
        <w:ind w:firstLine="570"/>
        <w:rPr>
          <w:rFonts w:ascii="宋体" w:hAnsi="宋体" w:cs="宋体"/>
          <w:color w:val="auto"/>
          <w:sz w:val="24"/>
          <w:highlight w:val="none"/>
        </w:rPr>
      </w:pPr>
    </w:p>
    <w:p w14:paraId="0BF214F2">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w:t>
      </w:r>
      <w:r>
        <w:rPr>
          <w:rFonts w:ascii="宋体" w:hAnsi="宋体" w:cs="宋体"/>
          <w:color w:val="auto"/>
          <w:sz w:val="24"/>
          <w:highlight w:val="none"/>
        </w:rPr>
        <w:t xml:space="preserve">                                 </w:t>
      </w:r>
      <w:r>
        <w:rPr>
          <w:rFonts w:hint="eastAsia" w:ascii="宋体" w:hAnsi="宋体" w:cs="宋体"/>
          <w:color w:val="auto"/>
          <w:sz w:val="24"/>
          <w:highlight w:val="none"/>
        </w:rPr>
        <w:t>供应商法定代表人：</w:t>
      </w:r>
    </w:p>
    <w:p w14:paraId="01037F41">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（签署或盖章）</w:t>
      </w:r>
      <w:r>
        <w:rPr>
          <w:rFonts w:ascii="宋体" w:hAnsi="宋体" w:cs="宋体"/>
          <w:color w:val="auto"/>
          <w:sz w:val="24"/>
          <w:szCs w:val="28"/>
          <w:highlight w:val="none"/>
        </w:rPr>
        <w:t xml:space="preserve">                                </w:t>
      </w:r>
      <w:r>
        <w:rPr>
          <w:rFonts w:hint="eastAsia" w:ascii="宋体" w:hAnsi="宋体" w:cs="宋体"/>
          <w:color w:val="auto"/>
          <w:sz w:val="24"/>
          <w:szCs w:val="28"/>
          <w:highlight w:val="none"/>
        </w:rPr>
        <w:t>（签署或盖章）</w:t>
      </w:r>
    </w:p>
    <w:p w14:paraId="601C75CB">
      <w:pPr>
        <w:tabs>
          <w:tab w:val="left" w:pos="6300"/>
        </w:tabs>
        <w:snapToGrid w:val="0"/>
        <w:spacing w:line="500" w:lineRule="exact"/>
        <w:ind w:firstLine="570"/>
        <w:rPr>
          <w:rFonts w:ascii="宋体" w:hAnsi="宋体" w:cs="宋体"/>
          <w:color w:val="auto"/>
          <w:sz w:val="24"/>
          <w:szCs w:val="28"/>
          <w:highlight w:val="none"/>
        </w:rPr>
      </w:pPr>
    </w:p>
    <w:p w14:paraId="399865C3">
      <w:pPr>
        <w:tabs>
          <w:tab w:val="left" w:pos="6300"/>
        </w:tabs>
        <w:snapToGrid w:val="0"/>
        <w:spacing w:line="500" w:lineRule="exact"/>
        <w:ind w:firstLine="570"/>
        <w:rPr>
          <w:rFonts w:ascii="宋体" w:hAnsi="宋体" w:cs="宋体"/>
          <w:color w:val="auto"/>
          <w:sz w:val="24"/>
          <w:highlight w:val="none"/>
        </w:rPr>
      </w:pPr>
    </w:p>
    <w:p w14:paraId="5956A89D">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1C04913A">
      <w:pPr>
        <w:tabs>
          <w:tab w:val="left" w:pos="6300"/>
        </w:tabs>
        <w:snapToGrid w:val="0"/>
        <w:spacing w:line="500" w:lineRule="exact"/>
        <w:ind w:firstLine="570"/>
        <w:rPr>
          <w:rFonts w:ascii="宋体" w:hAnsi="宋体" w:cs="宋体"/>
          <w:color w:val="auto"/>
          <w:sz w:val="24"/>
          <w:highlight w:val="none"/>
        </w:rPr>
      </w:pPr>
      <w:r>
        <w:rPr>
          <w:rFonts w:ascii="宋体" w:hAnsi="宋体" w:cs="宋体"/>
          <w:color w:val="auto"/>
          <w:sz w:val="24"/>
          <w:highlight w:val="none"/>
        </w:rPr>
        <w:t xml:space="preserve">                                          </w:t>
      </w:r>
    </w:p>
    <w:p w14:paraId="0669FCBC">
      <w:pPr>
        <w:tabs>
          <w:tab w:val="left" w:pos="6300"/>
        </w:tabs>
        <w:snapToGrid w:val="0"/>
        <w:spacing w:line="500" w:lineRule="exact"/>
        <w:ind w:firstLine="570"/>
        <w:rPr>
          <w:rFonts w:ascii="宋体" w:hAnsi="宋体" w:cs="宋体"/>
          <w:color w:val="auto"/>
          <w:sz w:val="24"/>
          <w:highlight w:val="none"/>
        </w:rPr>
      </w:pPr>
    </w:p>
    <w:p w14:paraId="4A646A9A">
      <w:pPr>
        <w:tabs>
          <w:tab w:val="left" w:pos="6300"/>
        </w:tabs>
        <w:snapToGrid w:val="0"/>
        <w:spacing w:line="500" w:lineRule="exact"/>
        <w:ind w:firstLine="570"/>
        <w:rPr>
          <w:rFonts w:ascii="宋体" w:hAnsi="宋体" w:cs="宋体"/>
          <w:color w:val="auto"/>
          <w:sz w:val="24"/>
          <w:highlight w:val="none"/>
        </w:rPr>
      </w:pPr>
    </w:p>
    <w:p w14:paraId="5872D5A3">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1EFBFF57">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76F61E4D">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w:t>
      </w:r>
      <w:r>
        <w:rPr>
          <w:rFonts w:ascii="宋体" w:hAnsi="宋体" w:cs="宋体"/>
          <w:color w:val="auto"/>
          <w:sz w:val="24"/>
          <w:highlight w:val="none"/>
        </w:rPr>
        <w:t xml:space="preserve">XXXXXXX     </w:t>
      </w:r>
      <w:r>
        <w:rPr>
          <w:rFonts w:hint="eastAsia" w:ascii="宋体" w:hAnsi="宋体" w:cs="宋体"/>
          <w:color w:val="auto"/>
          <w:sz w:val="24"/>
          <w:highlight w:val="none"/>
        </w:rPr>
        <w:t>电子邮箱：</w:t>
      </w:r>
      <w:r>
        <w:rPr>
          <w:rFonts w:ascii="宋体" w:hAnsi="宋体" w:cs="宋体"/>
          <w:color w:val="auto"/>
          <w:sz w:val="24"/>
          <w:highlight w:val="none"/>
        </w:rPr>
        <w:t>XXXXXX@XXXXX（若法定代表人办理并签署响应文件的可不填写）</w:t>
      </w:r>
    </w:p>
    <w:p w14:paraId="43DAC7DC">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w:t>
      </w:r>
    </w:p>
    <w:p w14:paraId="48CA2216">
      <w:pPr>
        <w:tabs>
          <w:tab w:val="left" w:pos="6300"/>
        </w:tabs>
        <w:snapToGrid w:val="0"/>
        <w:spacing w:line="500" w:lineRule="exact"/>
        <w:ind w:right="480" w:firstLine="570"/>
        <w:jc w:val="left"/>
        <w:rPr>
          <w:rFonts w:ascii="宋体" w:hAnsi="宋体" w:cs="宋体"/>
          <w:color w:val="auto"/>
          <w:sz w:val="24"/>
          <w:highlight w:val="none"/>
        </w:rPr>
      </w:pPr>
      <w:r>
        <w:rPr>
          <w:rFonts w:ascii="宋体" w:hAnsi="宋体" w:cs="宋体"/>
          <w:color w:val="auto"/>
          <w:sz w:val="24"/>
          <w:highlight w:val="none"/>
        </w:rPr>
        <w:t>1.若为法定代表人办理并签署响应文件的，不提供此文件。</w:t>
      </w:r>
    </w:p>
    <w:p w14:paraId="31C890E8">
      <w:pPr>
        <w:tabs>
          <w:tab w:val="left" w:pos="6300"/>
        </w:tabs>
        <w:snapToGrid w:val="0"/>
        <w:spacing w:line="500" w:lineRule="exact"/>
        <w:ind w:firstLine="570"/>
        <w:rPr>
          <w:rFonts w:ascii="宋体" w:hAnsi="宋体" w:cs="宋体"/>
          <w:color w:val="auto"/>
          <w:sz w:val="24"/>
          <w:szCs w:val="28"/>
          <w:highlight w:val="none"/>
        </w:rPr>
      </w:pPr>
      <w:r>
        <w:rPr>
          <w:rFonts w:ascii="宋体" w:hAnsi="宋体" w:cs="宋体"/>
          <w:color w:val="auto"/>
          <w:highlight w:val="none"/>
        </w:rPr>
        <w:br w:type="column"/>
      </w:r>
      <w:r>
        <w:rPr>
          <w:rFonts w:hint="eastAsia" w:ascii="宋体" w:hAnsi="宋体" w:cs="宋体"/>
          <w:color w:val="auto"/>
          <w:sz w:val="24"/>
          <w:szCs w:val="28"/>
          <w:highlight w:val="none"/>
        </w:rPr>
        <w:t>（四）基本资格条件承诺函</w:t>
      </w:r>
    </w:p>
    <w:p w14:paraId="5A9F40B7">
      <w:pPr>
        <w:spacing w:line="530" w:lineRule="exact"/>
        <w:ind w:firstLine="723" w:firstLineChars="200"/>
        <w:jc w:val="center"/>
        <w:outlineLvl w:val="0"/>
        <w:rPr>
          <w:rFonts w:ascii="宋体" w:hAnsi="宋体" w:cs="宋体"/>
          <w:b/>
          <w:bCs/>
          <w:color w:val="auto"/>
          <w:sz w:val="36"/>
          <w:szCs w:val="36"/>
          <w:highlight w:val="none"/>
        </w:rPr>
      </w:pPr>
      <w:r>
        <w:rPr>
          <w:rFonts w:hint="eastAsia" w:ascii="宋体" w:hAnsi="宋体" w:cs="宋体"/>
          <w:b/>
          <w:bCs/>
          <w:color w:val="auto"/>
          <w:sz w:val="36"/>
          <w:szCs w:val="36"/>
          <w:highlight w:val="none"/>
        </w:rPr>
        <w:t>基本资格条件承诺函</w:t>
      </w:r>
    </w:p>
    <w:p w14:paraId="3DF92E70">
      <w:pPr>
        <w:tabs>
          <w:tab w:val="left" w:pos="6300"/>
        </w:tabs>
        <w:snapToGrid w:val="0"/>
        <w:spacing w:line="530" w:lineRule="exact"/>
        <w:rPr>
          <w:rFonts w:ascii="宋体" w:hAnsi="宋体" w:cs="宋体"/>
          <w:color w:val="auto"/>
          <w:sz w:val="24"/>
          <w:highlight w:val="none"/>
        </w:rPr>
      </w:pPr>
    </w:p>
    <w:p w14:paraId="699D7E9C">
      <w:pPr>
        <w:tabs>
          <w:tab w:val="left" w:pos="6300"/>
        </w:tabs>
        <w:snapToGrid w:val="0"/>
        <w:spacing w:line="530" w:lineRule="exact"/>
        <w:rPr>
          <w:rFonts w:ascii="宋体" w:hAnsi="宋体" w:cs="宋体"/>
          <w:color w:val="auto"/>
          <w:sz w:val="24"/>
          <w:szCs w:val="24"/>
          <w:highlight w:val="none"/>
        </w:rPr>
      </w:pPr>
      <w:r>
        <w:rPr>
          <w:rFonts w:hint="eastAsia" w:ascii="宋体" w:hAnsi="宋体" w:cs="宋体"/>
          <w:color w:val="auto"/>
          <w:sz w:val="24"/>
          <w:szCs w:val="24"/>
          <w:highlight w:val="none"/>
        </w:rPr>
        <w:t>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（采购代理机构名称）：</w:t>
      </w:r>
    </w:p>
    <w:p w14:paraId="1DBF6D3A">
      <w:pPr>
        <w:tabs>
          <w:tab w:val="left" w:pos="6300"/>
        </w:tabs>
        <w:snapToGrid w:val="0"/>
        <w:spacing w:line="53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（供应商名称）郑重承诺：</w:t>
      </w:r>
    </w:p>
    <w:p w14:paraId="22B368E4">
      <w:pPr>
        <w:spacing w:line="53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1.我方具有良好的商业信誉和健全的财务会计制度，具有履行合同所必需的设备和专业技术能力，具</w:t>
      </w:r>
      <w:r>
        <w:rPr>
          <w:rFonts w:hint="eastAsia" w:ascii="宋体" w:hAnsi="宋体" w:cs="宋体"/>
          <w:color w:val="auto"/>
          <w:sz w:val="24"/>
          <w:szCs w:val="24"/>
          <w:highlight w:val="none"/>
          <w:lang w:val="zh-CN"/>
        </w:rPr>
        <w:t>有依法缴纳税收和社会保障金的良好记录</w:t>
      </w:r>
      <w:r>
        <w:rPr>
          <w:rFonts w:hint="eastAsia" w:ascii="宋体" w:hAnsi="宋体" w:cs="宋体"/>
          <w:color w:val="auto"/>
          <w:sz w:val="24"/>
          <w:szCs w:val="24"/>
          <w:highlight w:val="none"/>
        </w:rPr>
        <w:t>，参加本项目采购活动前三年内无重大违法活动记录。</w:t>
      </w:r>
    </w:p>
    <w:p w14:paraId="6B4095E7">
      <w:pPr>
        <w:spacing w:line="53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0B8B856">
      <w:pPr>
        <w:spacing w:line="53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3.我方在采购项目评审（评审）环节结束后，随时接受采购人、采购代理机构的检查验证，配合提供相关证明材料，证明符合《中华人民共和国政府采购法》规定的供应商基本资格条件。</w:t>
      </w:r>
    </w:p>
    <w:p w14:paraId="12699DB3">
      <w:pPr>
        <w:tabs>
          <w:tab w:val="left" w:pos="6300"/>
        </w:tabs>
        <w:snapToGrid w:val="0"/>
        <w:spacing w:line="53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14:paraId="2C077E7C">
      <w:pPr>
        <w:tabs>
          <w:tab w:val="left" w:pos="6300"/>
        </w:tabs>
        <w:snapToGrid w:val="0"/>
        <w:spacing w:line="53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特此承诺。</w:t>
      </w:r>
    </w:p>
    <w:p w14:paraId="1049A941">
      <w:pPr>
        <w:tabs>
          <w:tab w:val="left" w:pos="6300"/>
        </w:tabs>
        <w:snapToGrid w:val="0"/>
        <w:spacing w:line="530" w:lineRule="exact"/>
        <w:rPr>
          <w:rFonts w:ascii="宋体" w:hAnsi="宋体" w:cs="宋体"/>
          <w:color w:val="auto"/>
          <w:sz w:val="24"/>
          <w:szCs w:val="24"/>
          <w:highlight w:val="none"/>
        </w:rPr>
      </w:pPr>
    </w:p>
    <w:p w14:paraId="1D15A108">
      <w:pPr>
        <w:tabs>
          <w:tab w:val="left" w:pos="6300"/>
        </w:tabs>
        <w:snapToGrid w:val="0"/>
        <w:spacing w:line="530" w:lineRule="exact"/>
        <w:ind w:right="424" w:firstLine="570"/>
        <w:jc w:val="right"/>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14:paraId="1D34B373">
      <w:pPr>
        <w:tabs>
          <w:tab w:val="left" w:pos="6300"/>
        </w:tabs>
        <w:snapToGrid w:val="0"/>
        <w:spacing w:line="500" w:lineRule="exact"/>
        <w:ind w:firstLine="7442" w:firstLineChars="3101"/>
        <w:rPr>
          <w:rFonts w:ascii="宋体" w:hAnsi="宋体" w:cs="宋体"/>
          <w:color w:val="auto"/>
          <w:highlight w:val="none"/>
        </w:rPr>
      </w:pP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p w14:paraId="6DED51BE">
      <w:pPr>
        <w:tabs>
          <w:tab w:val="left" w:pos="6300"/>
        </w:tabs>
        <w:snapToGrid w:val="0"/>
        <w:spacing w:line="500" w:lineRule="exact"/>
        <w:ind w:firstLine="560" w:firstLineChars="200"/>
        <w:rPr>
          <w:rFonts w:ascii="宋体" w:hAnsi="宋体" w:cs="宋体"/>
          <w:color w:val="auto"/>
          <w:sz w:val="24"/>
          <w:szCs w:val="28"/>
          <w:highlight w:val="none"/>
        </w:rPr>
      </w:pPr>
      <w:r>
        <w:rPr>
          <w:rFonts w:ascii="宋体" w:hAnsi="宋体" w:cs="宋体"/>
          <w:color w:val="auto"/>
          <w:highlight w:val="none"/>
        </w:rPr>
        <w:br w:type="page"/>
      </w:r>
      <w:r>
        <w:rPr>
          <w:rFonts w:hint="eastAsia" w:ascii="宋体" w:hAnsi="宋体" w:cs="宋体"/>
          <w:color w:val="auto"/>
          <w:sz w:val="24"/>
          <w:szCs w:val="28"/>
          <w:highlight w:val="none"/>
        </w:rPr>
        <w:t>（五）特定资格条件证书或证明文件</w:t>
      </w:r>
    </w:p>
    <w:p w14:paraId="02CDA554">
      <w:pPr>
        <w:tabs>
          <w:tab w:val="left" w:pos="6300"/>
        </w:tabs>
        <w:snapToGrid w:val="0"/>
        <w:spacing w:line="500" w:lineRule="exact"/>
        <w:ind w:firstLine="570"/>
        <w:jc w:val="left"/>
        <w:rPr>
          <w:rFonts w:ascii="宋体" w:hAnsi="宋体" w:cs="宋体"/>
          <w:color w:val="auto"/>
          <w:sz w:val="24"/>
          <w:highlight w:val="none"/>
        </w:rPr>
      </w:pPr>
    </w:p>
    <w:p w14:paraId="1E9CAA50">
      <w:pPr>
        <w:tabs>
          <w:tab w:val="left" w:pos="6300"/>
        </w:tabs>
        <w:snapToGrid w:val="0"/>
        <w:spacing w:line="500" w:lineRule="exact"/>
        <w:ind w:firstLine="570"/>
        <w:jc w:val="left"/>
        <w:rPr>
          <w:rFonts w:ascii="宋体" w:hAnsi="宋体" w:cs="宋体"/>
          <w:color w:val="auto"/>
          <w:sz w:val="24"/>
          <w:highlight w:val="none"/>
        </w:rPr>
      </w:pPr>
    </w:p>
    <w:p w14:paraId="5033B4C3">
      <w:pPr>
        <w:tabs>
          <w:tab w:val="left" w:pos="6300"/>
        </w:tabs>
        <w:snapToGrid w:val="0"/>
        <w:spacing w:line="500" w:lineRule="exact"/>
        <w:ind w:firstLine="570"/>
        <w:jc w:val="left"/>
        <w:rPr>
          <w:rFonts w:ascii="宋体" w:hAnsi="宋体" w:cs="宋体"/>
          <w:color w:val="auto"/>
          <w:sz w:val="24"/>
          <w:highlight w:val="none"/>
        </w:rPr>
      </w:pPr>
    </w:p>
    <w:p w14:paraId="50E7DDA8">
      <w:pPr>
        <w:tabs>
          <w:tab w:val="left" w:pos="6300"/>
        </w:tabs>
        <w:snapToGrid w:val="0"/>
        <w:spacing w:line="500" w:lineRule="exact"/>
        <w:ind w:firstLine="570"/>
        <w:jc w:val="left"/>
        <w:rPr>
          <w:rFonts w:ascii="宋体" w:hAnsi="宋体" w:cs="宋体"/>
          <w:color w:val="auto"/>
          <w:sz w:val="24"/>
          <w:highlight w:val="none"/>
        </w:rPr>
      </w:pPr>
    </w:p>
    <w:p w14:paraId="58A799DC">
      <w:pPr>
        <w:tabs>
          <w:tab w:val="left" w:pos="6300"/>
        </w:tabs>
        <w:snapToGrid w:val="0"/>
        <w:spacing w:line="500" w:lineRule="exact"/>
        <w:ind w:firstLine="570"/>
        <w:jc w:val="left"/>
        <w:rPr>
          <w:rFonts w:ascii="宋体" w:hAnsi="宋体" w:cs="宋体"/>
          <w:color w:val="auto"/>
          <w:sz w:val="24"/>
          <w:highlight w:val="none"/>
        </w:rPr>
      </w:pPr>
    </w:p>
    <w:p w14:paraId="5E581888">
      <w:pPr>
        <w:tabs>
          <w:tab w:val="left" w:pos="6300"/>
        </w:tabs>
        <w:snapToGrid w:val="0"/>
        <w:spacing w:line="500" w:lineRule="exact"/>
        <w:ind w:firstLine="570"/>
        <w:jc w:val="left"/>
        <w:rPr>
          <w:rFonts w:ascii="宋体" w:hAnsi="宋体" w:cs="宋体"/>
          <w:color w:val="auto"/>
          <w:sz w:val="24"/>
          <w:highlight w:val="none"/>
        </w:rPr>
      </w:pPr>
    </w:p>
    <w:p w14:paraId="24C9DB5C">
      <w:pPr>
        <w:tabs>
          <w:tab w:val="left" w:pos="6300"/>
        </w:tabs>
        <w:snapToGrid w:val="0"/>
        <w:spacing w:line="500" w:lineRule="exact"/>
        <w:ind w:firstLine="570"/>
        <w:jc w:val="left"/>
        <w:rPr>
          <w:rFonts w:ascii="宋体" w:hAnsi="宋体" w:cs="宋体"/>
          <w:color w:val="auto"/>
          <w:sz w:val="24"/>
          <w:highlight w:val="none"/>
        </w:rPr>
      </w:pPr>
    </w:p>
    <w:p w14:paraId="5013E5CF">
      <w:pPr>
        <w:tabs>
          <w:tab w:val="left" w:pos="6300"/>
        </w:tabs>
        <w:snapToGrid w:val="0"/>
        <w:spacing w:line="500" w:lineRule="exact"/>
        <w:ind w:firstLine="570"/>
        <w:jc w:val="left"/>
        <w:rPr>
          <w:rFonts w:ascii="宋体" w:hAnsi="宋体" w:cs="宋体"/>
          <w:color w:val="auto"/>
          <w:sz w:val="24"/>
          <w:highlight w:val="none"/>
        </w:rPr>
      </w:pPr>
    </w:p>
    <w:p w14:paraId="71C1B2F9">
      <w:pPr>
        <w:tabs>
          <w:tab w:val="left" w:pos="6300"/>
        </w:tabs>
        <w:snapToGrid w:val="0"/>
        <w:spacing w:line="500" w:lineRule="exact"/>
        <w:ind w:firstLine="570"/>
        <w:jc w:val="left"/>
        <w:rPr>
          <w:rFonts w:ascii="宋体" w:hAnsi="宋体" w:cs="宋体"/>
          <w:color w:val="auto"/>
          <w:sz w:val="24"/>
          <w:highlight w:val="none"/>
        </w:rPr>
      </w:pPr>
    </w:p>
    <w:p w14:paraId="16575E9B">
      <w:pPr>
        <w:tabs>
          <w:tab w:val="left" w:pos="6300"/>
        </w:tabs>
        <w:snapToGrid w:val="0"/>
        <w:spacing w:line="500" w:lineRule="exact"/>
        <w:ind w:firstLine="570"/>
        <w:jc w:val="left"/>
        <w:rPr>
          <w:rFonts w:ascii="宋体" w:hAnsi="宋体" w:cs="宋体"/>
          <w:color w:val="auto"/>
          <w:sz w:val="24"/>
          <w:highlight w:val="none"/>
        </w:rPr>
      </w:pPr>
    </w:p>
    <w:p w14:paraId="0BAB3065">
      <w:pPr>
        <w:tabs>
          <w:tab w:val="left" w:pos="6300"/>
        </w:tabs>
        <w:snapToGrid w:val="0"/>
        <w:spacing w:line="500" w:lineRule="exact"/>
        <w:ind w:firstLine="570"/>
        <w:jc w:val="left"/>
        <w:rPr>
          <w:rFonts w:ascii="宋体" w:hAnsi="宋体" w:cs="宋体"/>
          <w:color w:val="auto"/>
          <w:sz w:val="24"/>
          <w:highlight w:val="none"/>
        </w:rPr>
      </w:pPr>
    </w:p>
    <w:p w14:paraId="33C8E59A">
      <w:pPr>
        <w:tabs>
          <w:tab w:val="left" w:pos="6300"/>
        </w:tabs>
        <w:snapToGrid w:val="0"/>
        <w:spacing w:line="500" w:lineRule="exact"/>
        <w:ind w:firstLine="570"/>
        <w:jc w:val="left"/>
        <w:rPr>
          <w:rFonts w:ascii="宋体" w:hAnsi="宋体" w:cs="宋体"/>
          <w:color w:val="auto"/>
          <w:sz w:val="24"/>
          <w:highlight w:val="none"/>
        </w:rPr>
      </w:pPr>
    </w:p>
    <w:p w14:paraId="26AE8DB7">
      <w:pPr>
        <w:tabs>
          <w:tab w:val="left" w:pos="6300"/>
        </w:tabs>
        <w:snapToGrid w:val="0"/>
        <w:spacing w:line="500" w:lineRule="exact"/>
        <w:ind w:firstLine="570"/>
        <w:jc w:val="left"/>
        <w:rPr>
          <w:rFonts w:ascii="宋体" w:hAnsi="宋体" w:cs="宋体"/>
          <w:color w:val="auto"/>
          <w:sz w:val="24"/>
          <w:highlight w:val="none"/>
        </w:rPr>
      </w:pPr>
    </w:p>
    <w:p w14:paraId="036DB9FA">
      <w:pPr>
        <w:tabs>
          <w:tab w:val="left" w:pos="6300"/>
        </w:tabs>
        <w:snapToGrid w:val="0"/>
        <w:spacing w:line="500" w:lineRule="exact"/>
        <w:ind w:firstLine="570"/>
        <w:jc w:val="left"/>
        <w:rPr>
          <w:rFonts w:ascii="宋体" w:hAnsi="宋体" w:cs="宋体"/>
          <w:color w:val="auto"/>
          <w:sz w:val="24"/>
          <w:highlight w:val="none"/>
        </w:rPr>
      </w:pPr>
    </w:p>
    <w:p w14:paraId="53823E30">
      <w:pPr>
        <w:tabs>
          <w:tab w:val="left" w:pos="6300"/>
        </w:tabs>
        <w:snapToGrid w:val="0"/>
        <w:spacing w:line="500" w:lineRule="exact"/>
        <w:ind w:firstLine="570"/>
        <w:jc w:val="left"/>
        <w:rPr>
          <w:rFonts w:ascii="宋体" w:hAnsi="宋体" w:cs="宋体"/>
          <w:color w:val="auto"/>
          <w:sz w:val="24"/>
          <w:highlight w:val="none"/>
        </w:rPr>
      </w:pPr>
    </w:p>
    <w:p w14:paraId="018A2851">
      <w:pPr>
        <w:tabs>
          <w:tab w:val="left" w:pos="6300"/>
        </w:tabs>
        <w:snapToGrid w:val="0"/>
        <w:spacing w:line="500" w:lineRule="exact"/>
        <w:ind w:firstLine="570"/>
        <w:jc w:val="left"/>
        <w:rPr>
          <w:rFonts w:ascii="宋体" w:hAnsi="宋体" w:cs="宋体"/>
          <w:color w:val="auto"/>
          <w:sz w:val="24"/>
          <w:highlight w:val="none"/>
        </w:rPr>
      </w:pPr>
    </w:p>
    <w:p w14:paraId="4CC29775">
      <w:pPr>
        <w:tabs>
          <w:tab w:val="left" w:pos="6300"/>
        </w:tabs>
        <w:snapToGrid w:val="0"/>
        <w:spacing w:line="500" w:lineRule="exact"/>
        <w:ind w:firstLine="570"/>
        <w:jc w:val="left"/>
        <w:rPr>
          <w:rFonts w:ascii="宋体" w:hAnsi="宋体" w:cs="宋体"/>
          <w:color w:val="auto"/>
          <w:sz w:val="24"/>
          <w:highlight w:val="none"/>
        </w:rPr>
      </w:pPr>
    </w:p>
    <w:p w14:paraId="7E0D4BF9">
      <w:pPr>
        <w:tabs>
          <w:tab w:val="left" w:pos="6300"/>
        </w:tabs>
        <w:snapToGrid w:val="0"/>
        <w:spacing w:line="500" w:lineRule="exact"/>
        <w:ind w:firstLine="570"/>
        <w:jc w:val="left"/>
        <w:rPr>
          <w:rFonts w:ascii="宋体" w:hAnsi="宋体" w:cs="宋体"/>
          <w:color w:val="auto"/>
          <w:sz w:val="24"/>
          <w:highlight w:val="none"/>
        </w:rPr>
      </w:pPr>
    </w:p>
    <w:p w14:paraId="250507F1">
      <w:pPr>
        <w:tabs>
          <w:tab w:val="left" w:pos="6300"/>
        </w:tabs>
        <w:snapToGrid w:val="0"/>
        <w:spacing w:line="500" w:lineRule="exact"/>
        <w:ind w:firstLine="570"/>
        <w:jc w:val="left"/>
        <w:rPr>
          <w:rFonts w:ascii="宋体" w:hAnsi="宋体" w:cs="宋体"/>
          <w:color w:val="auto"/>
          <w:sz w:val="24"/>
          <w:highlight w:val="none"/>
        </w:rPr>
      </w:pPr>
    </w:p>
    <w:p w14:paraId="70CEA2DF">
      <w:pPr>
        <w:tabs>
          <w:tab w:val="left" w:pos="6300"/>
        </w:tabs>
        <w:snapToGrid w:val="0"/>
        <w:spacing w:line="500" w:lineRule="exact"/>
        <w:ind w:firstLine="570"/>
        <w:jc w:val="left"/>
        <w:rPr>
          <w:rFonts w:ascii="宋体" w:hAnsi="宋体" w:cs="宋体"/>
          <w:color w:val="auto"/>
          <w:sz w:val="24"/>
          <w:highlight w:val="none"/>
        </w:rPr>
      </w:pPr>
    </w:p>
    <w:p w14:paraId="26089D0D">
      <w:pPr>
        <w:tabs>
          <w:tab w:val="left" w:pos="6300"/>
        </w:tabs>
        <w:snapToGrid w:val="0"/>
        <w:spacing w:line="500" w:lineRule="exact"/>
        <w:ind w:firstLine="570"/>
        <w:jc w:val="left"/>
        <w:rPr>
          <w:rFonts w:ascii="宋体" w:hAnsi="宋体" w:cs="宋体"/>
          <w:color w:val="auto"/>
          <w:sz w:val="24"/>
          <w:highlight w:val="none"/>
        </w:rPr>
      </w:pPr>
    </w:p>
    <w:p w14:paraId="46B20D89">
      <w:pPr>
        <w:tabs>
          <w:tab w:val="left" w:pos="6300"/>
        </w:tabs>
        <w:snapToGrid w:val="0"/>
        <w:spacing w:line="500" w:lineRule="exact"/>
        <w:ind w:firstLine="570"/>
        <w:jc w:val="left"/>
        <w:rPr>
          <w:rFonts w:ascii="宋体" w:hAnsi="宋体" w:cs="宋体"/>
          <w:color w:val="auto"/>
          <w:sz w:val="24"/>
          <w:highlight w:val="none"/>
        </w:rPr>
      </w:pPr>
    </w:p>
    <w:p w14:paraId="67D88479">
      <w:pPr>
        <w:tabs>
          <w:tab w:val="left" w:pos="6300"/>
        </w:tabs>
        <w:snapToGrid w:val="0"/>
        <w:spacing w:line="500" w:lineRule="exact"/>
        <w:ind w:firstLine="570"/>
        <w:jc w:val="left"/>
        <w:rPr>
          <w:rFonts w:ascii="宋体" w:hAnsi="宋体" w:cs="宋体"/>
          <w:color w:val="auto"/>
          <w:sz w:val="24"/>
          <w:highlight w:val="none"/>
        </w:rPr>
      </w:pPr>
    </w:p>
    <w:p w14:paraId="334F8378">
      <w:pPr>
        <w:tabs>
          <w:tab w:val="left" w:pos="6300"/>
        </w:tabs>
        <w:snapToGrid w:val="0"/>
        <w:spacing w:line="500" w:lineRule="exact"/>
        <w:ind w:firstLine="570"/>
        <w:jc w:val="left"/>
        <w:rPr>
          <w:rFonts w:ascii="宋体" w:hAnsi="宋体" w:cs="宋体"/>
          <w:color w:val="auto"/>
          <w:sz w:val="24"/>
          <w:highlight w:val="none"/>
        </w:rPr>
      </w:pPr>
    </w:p>
    <w:p w14:paraId="68DC05CA">
      <w:pPr>
        <w:tabs>
          <w:tab w:val="left" w:pos="6300"/>
        </w:tabs>
        <w:snapToGrid w:val="0"/>
        <w:spacing w:line="500" w:lineRule="exact"/>
        <w:ind w:firstLine="570"/>
        <w:jc w:val="left"/>
        <w:rPr>
          <w:rFonts w:ascii="宋体" w:hAnsi="宋体" w:cs="宋体"/>
          <w:color w:val="auto"/>
          <w:sz w:val="24"/>
          <w:highlight w:val="none"/>
        </w:rPr>
      </w:pPr>
    </w:p>
    <w:p w14:paraId="6ACE5DA5">
      <w:pPr>
        <w:rPr>
          <w:rFonts w:ascii="宋体" w:hAnsi="宋体" w:cs="宋体"/>
          <w:color w:val="auto"/>
          <w:sz w:val="24"/>
          <w:highlight w:val="none"/>
        </w:rPr>
      </w:pPr>
      <w:r>
        <w:rPr>
          <w:rFonts w:ascii="宋体" w:hAnsi="宋体" w:cs="宋体"/>
          <w:color w:val="auto"/>
          <w:sz w:val="24"/>
          <w:highlight w:val="none"/>
        </w:rPr>
        <w:br w:type="page"/>
      </w:r>
    </w:p>
    <w:p w14:paraId="294DE24C">
      <w:pPr>
        <w:pStyle w:val="3"/>
        <w:ind w:firstLine="560"/>
        <w:rPr>
          <w:b/>
          <w:bCs/>
          <w:color w:val="auto"/>
          <w:highlight w:val="none"/>
        </w:rPr>
      </w:pPr>
      <w:bookmarkStart w:id="436" w:name="_Toc7420"/>
      <w:r>
        <w:rPr>
          <w:rFonts w:hint="eastAsia"/>
          <w:b/>
          <w:bCs/>
          <w:color w:val="auto"/>
          <w:highlight w:val="none"/>
        </w:rPr>
        <w:t>六、其他与项目有关的资料</w:t>
      </w:r>
      <w:bookmarkEnd w:id="436"/>
    </w:p>
    <w:p w14:paraId="12D08C30">
      <w:pPr>
        <w:widowControl/>
        <w:spacing w:line="440" w:lineRule="exact"/>
        <w:ind w:firstLine="480" w:firstLineChars="200"/>
        <w:jc w:val="left"/>
        <w:rPr>
          <w:color w:val="auto"/>
          <w:sz w:val="24"/>
          <w:szCs w:val="24"/>
          <w:highlight w:val="none"/>
        </w:rPr>
      </w:pPr>
      <w:r>
        <w:rPr>
          <w:color w:val="auto"/>
          <w:sz w:val="24"/>
          <w:szCs w:val="24"/>
          <w:highlight w:val="none"/>
        </w:rPr>
        <w:t>1.</w:t>
      </w:r>
      <w:r>
        <w:rPr>
          <w:rFonts w:hint="eastAsia"/>
          <w:color w:val="auto"/>
          <w:sz w:val="24"/>
          <w:szCs w:val="24"/>
          <w:highlight w:val="none"/>
        </w:rPr>
        <w:t>询比文件购买费、询比保证金缴纳凭据</w:t>
      </w:r>
    </w:p>
    <w:p w14:paraId="62F62068">
      <w:pPr>
        <w:widowControl/>
        <w:spacing w:line="440" w:lineRule="exact"/>
        <w:ind w:firstLine="480" w:firstLineChars="200"/>
        <w:jc w:val="left"/>
        <w:rPr>
          <w:color w:val="auto"/>
          <w:sz w:val="24"/>
          <w:szCs w:val="24"/>
          <w:highlight w:val="none"/>
        </w:rPr>
      </w:pPr>
      <w:r>
        <w:rPr>
          <w:color w:val="auto"/>
          <w:sz w:val="24"/>
          <w:szCs w:val="24"/>
          <w:highlight w:val="none"/>
        </w:rPr>
        <w:t>2.</w:t>
      </w:r>
      <w:r>
        <w:rPr>
          <w:rFonts w:hint="eastAsia"/>
          <w:color w:val="auto"/>
          <w:sz w:val="24"/>
          <w:szCs w:val="24"/>
          <w:highlight w:val="none"/>
        </w:rPr>
        <w:t>其他与项目有关的资料（自附）</w:t>
      </w:r>
    </w:p>
    <w:p w14:paraId="7A772CF9">
      <w:pPr>
        <w:widowControl/>
        <w:spacing w:line="440" w:lineRule="exact"/>
        <w:ind w:firstLine="480" w:firstLineChars="200"/>
        <w:jc w:val="left"/>
        <w:rPr>
          <w:color w:val="auto"/>
          <w:sz w:val="24"/>
          <w:szCs w:val="24"/>
          <w:highlight w:val="none"/>
        </w:rPr>
      </w:pPr>
      <w:r>
        <w:rPr>
          <w:color w:val="auto"/>
          <w:sz w:val="24"/>
          <w:szCs w:val="24"/>
          <w:highlight w:val="none"/>
        </w:rPr>
        <w:t>3.</w:t>
      </w:r>
      <w:r>
        <w:rPr>
          <w:rFonts w:hint="eastAsia"/>
          <w:color w:val="auto"/>
          <w:sz w:val="24"/>
          <w:szCs w:val="24"/>
          <w:highlight w:val="none"/>
        </w:rPr>
        <w:t>供应商提供供应商名称、供应商开户银行、开户行账号、纳税人识别号、授权代表联系电话等信息，加盖供应商公章。</w:t>
      </w:r>
      <w:r>
        <w:rPr>
          <w:rFonts w:hint="eastAsia"/>
          <w:color w:val="auto"/>
          <w:sz w:val="24"/>
          <w:szCs w:val="28"/>
          <w:highlight w:val="none"/>
        </w:rPr>
        <w:t>附上开户许可证。</w:t>
      </w:r>
    </w:p>
    <w:p w14:paraId="1831259A">
      <w:pPr>
        <w:widowControl/>
        <w:spacing w:line="440" w:lineRule="exact"/>
        <w:ind w:firstLine="480" w:firstLineChars="200"/>
        <w:jc w:val="left"/>
        <w:rPr>
          <w:color w:val="auto"/>
          <w:highlight w:val="none"/>
        </w:rPr>
      </w:pPr>
      <w:r>
        <w:rPr>
          <w:rFonts w:hint="eastAsia"/>
          <w:color w:val="auto"/>
          <w:sz w:val="24"/>
          <w:szCs w:val="24"/>
          <w:highlight w:val="none"/>
        </w:rPr>
        <w:t>供应商信息表</w:t>
      </w:r>
    </w:p>
    <w:tbl>
      <w:tblPr>
        <w:tblStyle w:val="22"/>
        <w:tblW w:w="10030" w:type="dxa"/>
        <w:jc w:val="center"/>
        <w:tblLayout w:type="autofit"/>
        <w:tblCellMar>
          <w:top w:w="0" w:type="dxa"/>
          <w:left w:w="108" w:type="dxa"/>
          <w:bottom w:w="0" w:type="dxa"/>
          <w:right w:w="108" w:type="dxa"/>
        </w:tblCellMar>
      </w:tblPr>
      <w:tblGrid>
        <w:gridCol w:w="780"/>
        <w:gridCol w:w="1415"/>
        <w:gridCol w:w="1741"/>
        <w:gridCol w:w="2178"/>
        <w:gridCol w:w="1969"/>
        <w:gridCol w:w="1947"/>
      </w:tblGrid>
      <w:tr w14:paraId="784A5ADF">
        <w:tblPrEx>
          <w:tblCellMar>
            <w:top w:w="0" w:type="dxa"/>
            <w:left w:w="108" w:type="dxa"/>
            <w:bottom w:w="0" w:type="dxa"/>
            <w:right w:w="108" w:type="dxa"/>
          </w:tblCellMar>
        </w:tblPrEx>
        <w:trPr>
          <w:trHeight w:val="63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7E5E04DE">
            <w:pPr>
              <w:widowControl/>
              <w:spacing w:line="440" w:lineRule="exact"/>
              <w:jc w:val="center"/>
              <w:rPr>
                <w:color w:val="auto"/>
                <w:sz w:val="21"/>
                <w:szCs w:val="21"/>
                <w:highlight w:val="none"/>
              </w:rPr>
            </w:pPr>
            <w:r>
              <w:rPr>
                <w:rFonts w:hint="eastAsia"/>
                <w:color w:val="auto"/>
                <w:sz w:val="21"/>
                <w:szCs w:val="21"/>
                <w:highlight w:val="none"/>
              </w:rPr>
              <w:t>序号</w:t>
            </w:r>
          </w:p>
        </w:tc>
        <w:tc>
          <w:tcPr>
            <w:tcW w:w="1415" w:type="dxa"/>
            <w:tcBorders>
              <w:top w:val="single" w:color="auto" w:sz="4" w:space="0"/>
              <w:left w:val="nil"/>
              <w:bottom w:val="single" w:color="auto" w:sz="4" w:space="0"/>
              <w:right w:val="single" w:color="auto" w:sz="4" w:space="0"/>
            </w:tcBorders>
            <w:vAlign w:val="center"/>
          </w:tcPr>
          <w:p w14:paraId="0C6075B3">
            <w:pPr>
              <w:widowControl/>
              <w:spacing w:line="440" w:lineRule="exact"/>
              <w:jc w:val="center"/>
              <w:rPr>
                <w:color w:val="auto"/>
                <w:sz w:val="21"/>
                <w:szCs w:val="21"/>
                <w:highlight w:val="none"/>
              </w:rPr>
            </w:pPr>
            <w:r>
              <w:rPr>
                <w:rFonts w:hint="eastAsia"/>
                <w:color w:val="auto"/>
                <w:sz w:val="21"/>
                <w:szCs w:val="21"/>
                <w:highlight w:val="none"/>
              </w:rPr>
              <w:t>供应商</w:t>
            </w:r>
          </w:p>
        </w:tc>
        <w:tc>
          <w:tcPr>
            <w:tcW w:w="1741" w:type="dxa"/>
            <w:tcBorders>
              <w:top w:val="single" w:color="auto" w:sz="4" w:space="0"/>
              <w:left w:val="nil"/>
              <w:bottom w:val="single" w:color="auto" w:sz="4" w:space="0"/>
              <w:right w:val="single" w:color="auto" w:sz="4" w:space="0"/>
            </w:tcBorders>
            <w:vAlign w:val="center"/>
          </w:tcPr>
          <w:p w14:paraId="0F06F9C3">
            <w:pPr>
              <w:widowControl/>
              <w:spacing w:line="440" w:lineRule="exact"/>
              <w:jc w:val="center"/>
              <w:rPr>
                <w:color w:val="auto"/>
                <w:sz w:val="21"/>
                <w:szCs w:val="21"/>
                <w:highlight w:val="none"/>
              </w:rPr>
            </w:pPr>
            <w:r>
              <w:rPr>
                <w:rFonts w:hint="eastAsia"/>
                <w:color w:val="auto"/>
                <w:sz w:val="21"/>
                <w:szCs w:val="21"/>
                <w:highlight w:val="none"/>
              </w:rPr>
              <w:t>供应商</w:t>
            </w:r>
          </w:p>
          <w:p w14:paraId="29A7CE28">
            <w:pPr>
              <w:widowControl/>
              <w:spacing w:line="440" w:lineRule="exact"/>
              <w:jc w:val="center"/>
              <w:rPr>
                <w:color w:val="auto"/>
                <w:sz w:val="21"/>
                <w:szCs w:val="21"/>
                <w:highlight w:val="none"/>
              </w:rPr>
            </w:pPr>
            <w:r>
              <w:rPr>
                <w:rFonts w:hint="eastAsia"/>
                <w:color w:val="auto"/>
                <w:sz w:val="21"/>
                <w:szCs w:val="21"/>
                <w:highlight w:val="none"/>
              </w:rPr>
              <w:t>基本账户开户行</w:t>
            </w:r>
          </w:p>
        </w:tc>
        <w:tc>
          <w:tcPr>
            <w:tcW w:w="2178" w:type="dxa"/>
            <w:tcBorders>
              <w:top w:val="single" w:color="auto" w:sz="4" w:space="0"/>
              <w:left w:val="nil"/>
              <w:bottom w:val="single" w:color="auto" w:sz="4" w:space="0"/>
              <w:right w:val="single" w:color="auto" w:sz="4" w:space="0"/>
            </w:tcBorders>
            <w:vAlign w:val="center"/>
          </w:tcPr>
          <w:p w14:paraId="50C9EAFE">
            <w:pPr>
              <w:widowControl/>
              <w:spacing w:line="440" w:lineRule="exact"/>
              <w:jc w:val="center"/>
              <w:rPr>
                <w:color w:val="auto"/>
                <w:sz w:val="21"/>
                <w:szCs w:val="21"/>
                <w:highlight w:val="none"/>
              </w:rPr>
            </w:pPr>
            <w:r>
              <w:rPr>
                <w:rFonts w:hint="eastAsia"/>
                <w:color w:val="auto"/>
                <w:sz w:val="21"/>
                <w:szCs w:val="21"/>
                <w:highlight w:val="none"/>
              </w:rPr>
              <w:t>供应商基本账户</w:t>
            </w:r>
          </w:p>
          <w:p w14:paraId="15867EF3">
            <w:pPr>
              <w:widowControl/>
              <w:spacing w:line="440" w:lineRule="exact"/>
              <w:jc w:val="center"/>
              <w:rPr>
                <w:color w:val="auto"/>
                <w:sz w:val="21"/>
                <w:szCs w:val="21"/>
                <w:highlight w:val="none"/>
              </w:rPr>
            </w:pPr>
            <w:r>
              <w:rPr>
                <w:rFonts w:hint="eastAsia"/>
                <w:color w:val="auto"/>
                <w:sz w:val="21"/>
                <w:szCs w:val="21"/>
                <w:highlight w:val="none"/>
              </w:rPr>
              <w:t>账号（卡号）</w:t>
            </w:r>
          </w:p>
        </w:tc>
        <w:tc>
          <w:tcPr>
            <w:tcW w:w="1969" w:type="dxa"/>
            <w:tcBorders>
              <w:top w:val="single" w:color="auto" w:sz="4" w:space="0"/>
              <w:left w:val="nil"/>
              <w:bottom w:val="single" w:color="auto" w:sz="4" w:space="0"/>
              <w:right w:val="single" w:color="auto" w:sz="4" w:space="0"/>
            </w:tcBorders>
            <w:vAlign w:val="center"/>
          </w:tcPr>
          <w:p w14:paraId="1895AC87">
            <w:pPr>
              <w:widowControl/>
              <w:spacing w:line="440" w:lineRule="exact"/>
              <w:jc w:val="center"/>
              <w:rPr>
                <w:color w:val="auto"/>
                <w:sz w:val="21"/>
                <w:szCs w:val="21"/>
                <w:highlight w:val="none"/>
              </w:rPr>
            </w:pPr>
            <w:r>
              <w:rPr>
                <w:rFonts w:hint="eastAsia"/>
                <w:color w:val="auto"/>
                <w:sz w:val="21"/>
                <w:szCs w:val="21"/>
                <w:highlight w:val="none"/>
              </w:rPr>
              <w:t>纳税人识别号</w:t>
            </w:r>
          </w:p>
        </w:tc>
        <w:tc>
          <w:tcPr>
            <w:tcW w:w="1947" w:type="dxa"/>
            <w:tcBorders>
              <w:top w:val="single" w:color="auto" w:sz="4" w:space="0"/>
              <w:left w:val="single" w:color="auto" w:sz="4" w:space="0"/>
              <w:bottom w:val="single" w:color="auto" w:sz="4" w:space="0"/>
              <w:right w:val="single" w:color="auto" w:sz="4" w:space="0"/>
            </w:tcBorders>
            <w:vAlign w:val="center"/>
          </w:tcPr>
          <w:p w14:paraId="215B74CA">
            <w:pPr>
              <w:widowControl/>
              <w:spacing w:line="440" w:lineRule="exact"/>
              <w:jc w:val="center"/>
              <w:rPr>
                <w:color w:val="auto"/>
                <w:sz w:val="21"/>
                <w:szCs w:val="21"/>
                <w:highlight w:val="none"/>
              </w:rPr>
            </w:pPr>
            <w:r>
              <w:rPr>
                <w:rFonts w:hint="eastAsia"/>
                <w:color w:val="auto"/>
                <w:sz w:val="21"/>
                <w:szCs w:val="21"/>
                <w:highlight w:val="none"/>
              </w:rPr>
              <w:t>授权代表联系电话（须为手机号）</w:t>
            </w:r>
          </w:p>
        </w:tc>
      </w:tr>
      <w:tr w14:paraId="3C621FF0">
        <w:tblPrEx>
          <w:tblCellMar>
            <w:top w:w="0" w:type="dxa"/>
            <w:left w:w="108" w:type="dxa"/>
            <w:bottom w:w="0" w:type="dxa"/>
            <w:right w:w="108" w:type="dxa"/>
          </w:tblCellMar>
        </w:tblPrEx>
        <w:trPr>
          <w:trHeight w:val="600" w:hRule="atLeast"/>
          <w:jc w:val="center"/>
        </w:trPr>
        <w:tc>
          <w:tcPr>
            <w:tcW w:w="780" w:type="dxa"/>
            <w:tcBorders>
              <w:top w:val="nil"/>
              <w:left w:val="single" w:color="auto" w:sz="4" w:space="0"/>
              <w:bottom w:val="single" w:color="auto" w:sz="4" w:space="0"/>
              <w:right w:val="single" w:color="auto" w:sz="4" w:space="0"/>
            </w:tcBorders>
            <w:vAlign w:val="center"/>
          </w:tcPr>
          <w:p w14:paraId="00DD9CA2">
            <w:pPr>
              <w:widowControl/>
              <w:spacing w:line="440" w:lineRule="exact"/>
              <w:jc w:val="center"/>
              <w:rPr>
                <w:color w:val="auto"/>
                <w:sz w:val="21"/>
                <w:szCs w:val="21"/>
                <w:highlight w:val="none"/>
              </w:rPr>
            </w:pPr>
            <w:r>
              <w:rPr>
                <w:color w:val="auto"/>
                <w:sz w:val="21"/>
                <w:szCs w:val="21"/>
                <w:highlight w:val="none"/>
              </w:rPr>
              <w:t>1</w:t>
            </w:r>
          </w:p>
        </w:tc>
        <w:tc>
          <w:tcPr>
            <w:tcW w:w="1415" w:type="dxa"/>
            <w:tcBorders>
              <w:top w:val="nil"/>
              <w:left w:val="nil"/>
              <w:bottom w:val="single" w:color="auto" w:sz="4" w:space="0"/>
              <w:right w:val="single" w:color="auto" w:sz="4" w:space="0"/>
            </w:tcBorders>
            <w:vAlign w:val="center"/>
          </w:tcPr>
          <w:p w14:paraId="7A32D49C">
            <w:pPr>
              <w:widowControl/>
              <w:spacing w:line="440" w:lineRule="exact"/>
              <w:jc w:val="center"/>
              <w:rPr>
                <w:color w:val="auto"/>
                <w:sz w:val="21"/>
                <w:szCs w:val="21"/>
                <w:highlight w:val="none"/>
              </w:rPr>
            </w:pPr>
          </w:p>
        </w:tc>
        <w:tc>
          <w:tcPr>
            <w:tcW w:w="1741" w:type="dxa"/>
            <w:tcBorders>
              <w:top w:val="nil"/>
              <w:left w:val="nil"/>
              <w:bottom w:val="single" w:color="auto" w:sz="4" w:space="0"/>
              <w:right w:val="single" w:color="auto" w:sz="4" w:space="0"/>
            </w:tcBorders>
            <w:vAlign w:val="center"/>
          </w:tcPr>
          <w:p w14:paraId="15E0CB36">
            <w:pPr>
              <w:widowControl/>
              <w:spacing w:line="440" w:lineRule="exact"/>
              <w:jc w:val="center"/>
              <w:rPr>
                <w:color w:val="auto"/>
                <w:sz w:val="21"/>
                <w:szCs w:val="21"/>
                <w:highlight w:val="none"/>
              </w:rPr>
            </w:pPr>
          </w:p>
        </w:tc>
        <w:tc>
          <w:tcPr>
            <w:tcW w:w="2178" w:type="dxa"/>
            <w:tcBorders>
              <w:top w:val="nil"/>
              <w:left w:val="nil"/>
              <w:bottom w:val="single" w:color="auto" w:sz="4" w:space="0"/>
              <w:right w:val="single" w:color="auto" w:sz="4" w:space="0"/>
            </w:tcBorders>
            <w:vAlign w:val="center"/>
          </w:tcPr>
          <w:p w14:paraId="49427F21">
            <w:pPr>
              <w:widowControl/>
              <w:spacing w:line="440" w:lineRule="exact"/>
              <w:jc w:val="center"/>
              <w:rPr>
                <w:color w:val="auto"/>
                <w:sz w:val="21"/>
                <w:szCs w:val="21"/>
                <w:highlight w:val="none"/>
              </w:rPr>
            </w:pPr>
          </w:p>
        </w:tc>
        <w:tc>
          <w:tcPr>
            <w:tcW w:w="1969" w:type="dxa"/>
            <w:tcBorders>
              <w:top w:val="single" w:color="auto" w:sz="4" w:space="0"/>
              <w:left w:val="nil"/>
              <w:bottom w:val="single" w:color="auto" w:sz="4" w:space="0"/>
              <w:right w:val="single" w:color="auto" w:sz="4" w:space="0"/>
            </w:tcBorders>
            <w:vAlign w:val="center"/>
          </w:tcPr>
          <w:p w14:paraId="3F3D2F35">
            <w:pPr>
              <w:widowControl/>
              <w:spacing w:line="440" w:lineRule="exact"/>
              <w:jc w:val="center"/>
              <w:rPr>
                <w:color w:val="auto"/>
                <w:sz w:val="21"/>
                <w:szCs w:val="21"/>
                <w:highlight w:val="none"/>
              </w:rPr>
            </w:pPr>
          </w:p>
        </w:tc>
        <w:tc>
          <w:tcPr>
            <w:tcW w:w="1947" w:type="dxa"/>
            <w:tcBorders>
              <w:top w:val="nil"/>
              <w:left w:val="single" w:color="auto" w:sz="4" w:space="0"/>
              <w:bottom w:val="single" w:color="auto" w:sz="4" w:space="0"/>
              <w:right w:val="single" w:color="auto" w:sz="4" w:space="0"/>
            </w:tcBorders>
            <w:vAlign w:val="center"/>
          </w:tcPr>
          <w:p w14:paraId="5DA6CF00">
            <w:pPr>
              <w:widowControl/>
              <w:spacing w:line="440" w:lineRule="exact"/>
              <w:jc w:val="center"/>
              <w:rPr>
                <w:color w:val="auto"/>
                <w:sz w:val="21"/>
                <w:szCs w:val="21"/>
                <w:highlight w:val="none"/>
              </w:rPr>
            </w:pPr>
          </w:p>
        </w:tc>
      </w:tr>
    </w:tbl>
    <w:p w14:paraId="62828D57">
      <w:pPr>
        <w:spacing w:line="440" w:lineRule="exact"/>
        <w:ind w:firstLine="560"/>
        <w:rPr>
          <w:color w:val="auto"/>
          <w:szCs w:val="28"/>
          <w:highlight w:val="none"/>
        </w:rPr>
      </w:pPr>
    </w:p>
    <w:p w14:paraId="301C86F9">
      <w:pPr>
        <w:widowControl/>
        <w:spacing w:line="440" w:lineRule="exact"/>
        <w:ind w:firstLine="480" w:firstLineChars="200"/>
        <w:jc w:val="left"/>
        <w:rPr>
          <w:color w:val="auto"/>
          <w:sz w:val="24"/>
          <w:szCs w:val="24"/>
          <w:highlight w:val="none"/>
        </w:rPr>
      </w:pPr>
    </w:p>
    <w:p w14:paraId="4B1180FE">
      <w:pPr>
        <w:widowControl/>
        <w:spacing w:line="440" w:lineRule="exact"/>
        <w:ind w:firstLine="6559" w:firstLineChars="2733"/>
        <w:jc w:val="left"/>
        <w:rPr>
          <w:color w:val="auto"/>
          <w:sz w:val="24"/>
          <w:szCs w:val="24"/>
          <w:highlight w:val="none"/>
        </w:rPr>
      </w:pPr>
    </w:p>
    <w:p w14:paraId="76FABC55">
      <w:pPr>
        <w:widowControl/>
        <w:spacing w:line="440" w:lineRule="exact"/>
        <w:ind w:firstLine="6559" w:firstLineChars="2733"/>
        <w:jc w:val="left"/>
        <w:rPr>
          <w:color w:val="auto"/>
          <w:sz w:val="24"/>
          <w:szCs w:val="24"/>
          <w:highlight w:val="none"/>
        </w:rPr>
      </w:pPr>
      <w:r>
        <w:rPr>
          <w:rFonts w:hint="eastAsia"/>
          <w:color w:val="auto"/>
          <w:sz w:val="24"/>
          <w:szCs w:val="24"/>
          <w:highlight w:val="none"/>
        </w:rPr>
        <w:t>供应商名称（盖章）：</w:t>
      </w:r>
      <w:r>
        <w:rPr>
          <w:color w:val="auto"/>
          <w:sz w:val="24"/>
          <w:szCs w:val="24"/>
          <w:highlight w:val="none"/>
        </w:rPr>
        <w:t xml:space="preserve">        </w:t>
      </w:r>
    </w:p>
    <w:p w14:paraId="2742C49E">
      <w:pPr>
        <w:spacing w:line="440" w:lineRule="exact"/>
        <w:ind w:firstLine="560" w:firstLineChars="200"/>
        <w:jc w:val="center"/>
        <w:rPr>
          <w:color w:val="auto"/>
          <w:highlight w:val="none"/>
        </w:rPr>
      </w:pPr>
    </w:p>
    <w:p w14:paraId="13A086BE">
      <w:pPr>
        <w:spacing w:line="440" w:lineRule="exact"/>
        <w:ind w:firstLine="560" w:firstLineChars="200"/>
        <w:jc w:val="center"/>
        <w:rPr>
          <w:color w:val="auto"/>
          <w:highlight w:val="none"/>
        </w:rPr>
      </w:pPr>
    </w:p>
    <w:p w14:paraId="1DE9E0DA">
      <w:pPr>
        <w:spacing w:line="440" w:lineRule="exact"/>
        <w:ind w:firstLine="560" w:firstLineChars="200"/>
        <w:jc w:val="center"/>
        <w:rPr>
          <w:color w:val="auto"/>
          <w:highlight w:val="none"/>
        </w:rPr>
      </w:pPr>
    </w:p>
    <w:p w14:paraId="131F6DF1">
      <w:pPr>
        <w:spacing w:line="440" w:lineRule="exact"/>
        <w:ind w:firstLine="560" w:firstLineChars="200"/>
        <w:jc w:val="center"/>
        <w:rPr>
          <w:color w:val="auto"/>
          <w:highlight w:val="none"/>
        </w:rPr>
      </w:pPr>
      <w:r>
        <w:rPr>
          <w:rFonts w:hint="eastAsia"/>
          <w:color w:val="auto"/>
          <w:highlight w:val="none"/>
        </w:rPr>
        <w:t>（结束）</w:t>
      </w:r>
    </w:p>
    <w:p w14:paraId="5BF5EA60">
      <w:pPr>
        <w:rPr>
          <w:color w:val="auto"/>
          <w:highlight w:val="none"/>
        </w:rPr>
      </w:pPr>
    </w:p>
    <w:p w14:paraId="4FD11FFE">
      <w:pPr>
        <w:rPr>
          <w:color w:val="auto"/>
          <w:highlight w:val="none"/>
        </w:rPr>
      </w:pPr>
    </w:p>
    <w:sectPr>
      <w:headerReference r:id="rId8" w:type="default"/>
      <w:footerReference r:id="rId9" w:type="default"/>
      <w:pgSz w:w="11907" w:h="16840"/>
      <w:pgMar w:top="1440" w:right="1080" w:bottom="1440" w:left="1080"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swiss"/>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96143">
    <w:pPr>
      <w:pStyle w:val="14"/>
      <w:jc w:val="center"/>
      <w:rPr>
        <w:sz w:val="24"/>
      </w:rPr>
    </w:pPr>
    <w:r>
      <w:rPr>
        <w:sz w:val="24"/>
      </w:rPr>
      <w:fldChar w:fldCharType="begin"/>
    </w:r>
    <w:r>
      <w:rPr>
        <w:rStyle w:val="26"/>
        <w:sz w:val="24"/>
      </w:rPr>
      <w:instrText xml:space="preserve"> PAGE </w:instrText>
    </w:r>
    <w:r>
      <w:rPr>
        <w:sz w:val="24"/>
      </w:rPr>
      <w:fldChar w:fldCharType="separate"/>
    </w:r>
    <w:r>
      <w:rPr>
        <w:rStyle w:val="26"/>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8BC97">
    <w:pPr>
      <w:pStyle w:val="14"/>
      <w:framePr w:wrap="around" w:vAnchor="text" w:hAnchor="margin" w:xAlign="center" w:y="1"/>
      <w:rPr>
        <w:rStyle w:val="26"/>
      </w:rPr>
    </w:pPr>
    <w:r>
      <w:fldChar w:fldCharType="begin"/>
    </w:r>
    <w:r>
      <w:rPr>
        <w:rStyle w:val="26"/>
      </w:rPr>
      <w:instrText xml:space="preserve">PAGE  </w:instrText>
    </w:r>
    <w:r>
      <w:fldChar w:fldCharType="end"/>
    </w:r>
  </w:p>
  <w:p w14:paraId="7114A96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A3264">
    <w:pPr>
      <w:pStyle w:val="13"/>
      <w:ind w:right="360"/>
      <w:jc w:val="center"/>
    </w:pPr>
    <w:r>
      <w:fldChar w:fldCharType="begin"/>
    </w:r>
    <w:r>
      <w:instrText xml:space="preserve"> PAGE </w:instrText>
    </w:r>
    <w:r>
      <w:fldChar w:fldCharType="separate"/>
    </w:r>
    <w:r>
      <w:t>- 7 -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CBB95">
    <w:pPr>
      <w:pStyle w:val="13"/>
      <w:ind w:firstLine="420"/>
      <w:jc w:val="center"/>
      <w:rPr>
        <w:sz w:val="21"/>
      </w:rPr>
    </w:pPr>
    <w:r>
      <w:rPr>
        <w:sz w:val="21"/>
      </w:rPr>
      <w:fldChar w:fldCharType="begin"/>
    </w:r>
    <w:r>
      <w:rPr>
        <w:sz w:val="21"/>
      </w:rPr>
      <w:instrText xml:space="preserve"> PAGE </w:instrText>
    </w:r>
    <w:r>
      <w:rPr>
        <w:sz w:val="21"/>
      </w:rPr>
      <w:fldChar w:fldCharType="separate"/>
    </w:r>
    <w:r>
      <w:rPr>
        <w:sz w:val="21"/>
      </w:rPr>
      <w:t>- 16 -</w:t>
    </w:r>
    <w:r>
      <w:rPr>
        <w:sz w:val="21"/>
      </w:rPr>
      <w:fldChar w:fldCharType="end"/>
    </w:r>
  </w:p>
  <w:p w14:paraId="478500A5">
    <w:pPr>
      <w:ind w:firstLine="5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BB05F">
    <w:pPr>
      <w:pStyle w:val="15"/>
      <w:pBdr>
        <w:bottom w:val="single" w:color="auto" w:sz="4" w:space="1"/>
      </w:pBdr>
      <w:rPr>
        <w:rFonts w:ascii="方正仿宋_GBK" w:eastAsia="方正仿宋_GBK"/>
        <w:sz w:val="21"/>
        <w:szCs w:val="24"/>
      </w:rPr>
    </w:pPr>
    <w:r>
      <w:rPr>
        <w:rFonts w:hint="eastAsia" w:ascii="方正仿宋_GBK" w:eastAsia="方正仿宋_GBK"/>
        <w:sz w:val="21"/>
        <w:szCs w:val="24"/>
      </w:rPr>
      <w:t>重庆工商大学                                                      询比文件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61B3B">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51755">
    <w:pPr>
      <w:pStyle w:val="15"/>
      <w:pBdr>
        <w:bottom w:val="single" w:color="auto" w:sz="4" w:space="1"/>
      </w:pBdr>
      <w:rPr>
        <w:rFonts w:ascii="方正仿宋_GBK" w:eastAsia="方正仿宋_GBK"/>
        <w:sz w:val="21"/>
        <w:szCs w:val="24"/>
      </w:rPr>
    </w:pPr>
    <w:r>
      <w:rPr>
        <w:rFonts w:hint="eastAsia" w:ascii="方正仿宋_GBK" w:eastAsia="方正仿宋_GBK"/>
        <w:sz w:val="21"/>
        <w:szCs w:val="24"/>
      </w:rPr>
      <w:t>重庆工商大学                                                      询比文件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D2909"/>
    <w:multiLevelType w:val="singleLevel"/>
    <w:tmpl w:val="3CFD29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D02301"/>
    <w:rsid w:val="00024D88"/>
    <w:rsid w:val="00035E92"/>
    <w:rsid w:val="00047082"/>
    <w:rsid w:val="000607B6"/>
    <w:rsid w:val="000724A2"/>
    <w:rsid w:val="00084896"/>
    <w:rsid w:val="000926AC"/>
    <w:rsid w:val="000A4CDB"/>
    <w:rsid w:val="000E5393"/>
    <w:rsid w:val="00100550"/>
    <w:rsid w:val="001568F0"/>
    <w:rsid w:val="001B51E8"/>
    <w:rsid w:val="002064EB"/>
    <w:rsid w:val="00244A27"/>
    <w:rsid w:val="00252AFD"/>
    <w:rsid w:val="002808B6"/>
    <w:rsid w:val="00280F9D"/>
    <w:rsid w:val="00285162"/>
    <w:rsid w:val="002A7AEF"/>
    <w:rsid w:val="002F52AE"/>
    <w:rsid w:val="002F77EA"/>
    <w:rsid w:val="00350221"/>
    <w:rsid w:val="00370A68"/>
    <w:rsid w:val="003727A7"/>
    <w:rsid w:val="003A6289"/>
    <w:rsid w:val="003E29F7"/>
    <w:rsid w:val="003E60ED"/>
    <w:rsid w:val="00427474"/>
    <w:rsid w:val="004422FF"/>
    <w:rsid w:val="00480932"/>
    <w:rsid w:val="00490569"/>
    <w:rsid w:val="00491667"/>
    <w:rsid w:val="004D11B9"/>
    <w:rsid w:val="004F6A07"/>
    <w:rsid w:val="00526229"/>
    <w:rsid w:val="00533198"/>
    <w:rsid w:val="0054102F"/>
    <w:rsid w:val="005523C8"/>
    <w:rsid w:val="005854E9"/>
    <w:rsid w:val="005F3FD6"/>
    <w:rsid w:val="0061544B"/>
    <w:rsid w:val="00617695"/>
    <w:rsid w:val="0063690F"/>
    <w:rsid w:val="00642027"/>
    <w:rsid w:val="00644309"/>
    <w:rsid w:val="00666A20"/>
    <w:rsid w:val="006807E0"/>
    <w:rsid w:val="00690EC6"/>
    <w:rsid w:val="006D1272"/>
    <w:rsid w:val="006D75EB"/>
    <w:rsid w:val="0070789B"/>
    <w:rsid w:val="00712CB9"/>
    <w:rsid w:val="007252A5"/>
    <w:rsid w:val="00790C67"/>
    <w:rsid w:val="008617FA"/>
    <w:rsid w:val="008706EE"/>
    <w:rsid w:val="00875DD5"/>
    <w:rsid w:val="008A470C"/>
    <w:rsid w:val="008C0E91"/>
    <w:rsid w:val="008C0FC4"/>
    <w:rsid w:val="00955ABF"/>
    <w:rsid w:val="009D3853"/>
    <w:rsid w:val="00A2351D"/>
    <w:rsid w:val="00A70C5B"/>
    <w:rsid w:val="00A9749A"/>
    <w:rsid w:val="00AA3E4A"/>
    <w:rsid w:val="00AD028A"/>
    <w:rsid w:val="00AD44E1"/>
    <w:rsid w:val="00B0205D"/>
    <w:rsid w:val="00B513CC"/>
    <w:rsid w:val="00B600F2"/>
    <w:rsid w:val="00BB3648"/>
    <w:rsid w:val="00BE23F2"/>
    <w:rsid w:val="00C44A52"/>
    <w:rsid w:val="00C55217"/>
    <w:rsid w:val="00C82B6F"/>
    <w:rsid w:val="00C94A22"/>
    <w:rsid w:val="00D0736C"/>
    <w:rsid w:val="00D23116"/>
    <w:rsid w:val="00D54AE2"/>
    <w:rsid w:val="00D611D4"/>
    <w:rsid w:val="00D63141"/>
    <w:rsid w:val="00D67A1E"/>
    <w:rsid w:val="00DA5863"/>
    <w:rsid w:val="00DF0ABF"/>
    <w:rsid w:val="00E0620D"/>
    <w:rsid w:val="00E37276"/>
    <w:rsid w:val="00E77712"/>
    <w:rsid w:val="00E807E0"/>
    <w:rsid w:val="00F01020"/>
    <w:rsid w:val="00F5317C"/>
    <w:rsid w:val="00FF06AB"/>
    <w:rsid w:val="00FF2678"/>
    <w:rsid w:val="00FF7086"/>
    <w:rsid w:val="01C66084"/>
    <w:rsid w:val="03882CDD"/>
    <w:rsid w:val="03D12E47"/>
    <w:rsid w:val="049354E9"/>
    <w:rsid w:val="04D02301"/>
    <w:rsid w:val="081952B3"/>
    <w:rsid w:val="08376D2C"/>
    <w:rsid w:val="091C32AD"/>
    <w:rsid w:val="09A22B4F"/>
    <w:rsid w:val="0AF81AF7"/>
    <w:rsid w:val="0B9510EC"/>
    <w:rsid w:val="0BA02850"/>
    <w:rsid w:val="0D4F3BFF"/>
    <w:rsid w:val="0DEB4511"/>
    <w:rsid w:val="118935F3"/>
    <w:rsid w:val="122C4C4E"/>
    <w:rsid w:val="13141499"/>
    <w:rsid w:val="13D941F7"/>
    <w:rsid w:val="140F7DA7"/>
    <w:rsid w:val="17C957B1"/>
    <w:rsid w:val="18D25736"/>
    <w:rsid w:val="198831A3"/>
    <w:rsid w:val="1A862C7C"/>
    <w:rsid w:val="1C073FC2"/>
    <w:rsid w:val="1C984693"/>
    <w:rsid w:val="1DD73EF4"/>
    <w:rsid w:val="1E0B24A6"/>
    <w:rsid w:val="20027B4D"/>
    <w:rsid w:val="245A2AD1"/>
    <w:rsid w:val="280F3D52"/>
    <w:rsid w:val="28445F24"/>
    <w:rsid w:val="284A06F1"/>
    <w:rsid w:val="2B705A33"/>
    <w:rsid w:val="2CD16ECC"/>
    <w:rsid w:val="2FE325E0"/>
    <w:rsid w:val="37067841"/>
    <w:rsid w:val="37E60F68"/>
    <w:rsid w:val="3934117A"/>
    <w:rsid w:val="3B3F4A55"/>
    <w:rsid w:val="3DDC6153"/>
    <w:rsid w:val="3EF618CF"/>
    <w:rsid w:val="3F4A39C9"/>
    <w:rsid w:val="43EB7038"/>
    <w:rsid w:val="442E4255"/>
    <w:rsid w:val="45210DF8"/>
    <w:rsid w:val="45AB7A9A"/>
    <w:rsid w:val="493E158A"/>
    <w:rsid w:val="49F93A08"/>
    <w:rsid w:val="4CAD21F3"/>
    <w:rsid w:val="4E1E3BC6"/>
    <w:rsid w:val="52B458D1"/>
    <w:rsid w:val="531F78CE"/>
    <w:rsid w:val="53D33D74"/>
    <w:rsid w:val="546F4140"/>
    <w:rsid w:val="54994D7E"/>
    <w:rsid w:val="5AC8284F"/>
    <w:rsid w:val="5B1F3A0B"/>
    <w:rsid w:val="5C4E644E"/>
    <w:rsid w:val="5D631E49"/>
    <w:rsid w:val="5E111E29"/>
    <w:rsid w:val="5E9F158E"/>
    <w:rsid w:val="608C1C3B"/>
    <w:rsid w:val="61A60ADB"/>
    <w:rsid w:val="620B3E47"/>
    <w:rsid w:val="62516C98"/>
    <w:rsid w:val="630D1B23"/>
    <w:rsid w:val="656248A5"/>
    <w:rsid w:val="65723276"/>
    <w:rsid w:val="660E4EA0"/>
    <w:rsid w:val="66365EA9"/>
    <w:rsid w:val="66BB0B84"/>
    <w:rsid w:val="67191D4F"/>
    <w:rsid w:val="69646E14"/>
    <w:rsid w:val="6972047C"/>
    <w:rsid w:val="6F8A0BAA"/>
    <w:rsid w:val="729C4899"/>
    <w:rsid w:val="765661D4"/>
    <w:rsid w:val="76B564A5"/>
    <w:rsid w:val="7BE83477"/>
    <w:rsid w:val="7F9B4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kern w:val="0"/>
      <w:sz w:val="44"/>
    </w:rPr>
  </w:style>
  <w:style w:type="paragraph" w:styleId="3">
    <w:name w:val="heading 2"/>
    <w:basedOn w:val="1"/>
    <w:next w:val="1"/>
    <w:link w:val="30"/>
    <w:qFormat/>
    <w:uiPriority w:val="0"/>
    <w:pPr>
      <w:keepNext/>
      <w:keepLines/>
      <w:adjustRightInd w:val="0"/>
      <w:snapToGrid w:val="0"/>
      <w:outlineLvl w:val="1"/>
    </w:pPr>
    <w:rPr>
      <w:rFonts w:ascii="宋体" w:hAnsi="宋体"/>
    </w:rPr>
  </w:style>
  <w:style w:type="paragraph" w:styleId="4">
    <w:name w:val="heading 3"/>
    <w:basedOn w:val="1"/>
    <w:next w:val="1"/>
    <w:qFormat/>
    <w:uiPriority w:val="0"/>
    <w:pPr>
      <w:keepNext/>
      <w:keepLines/>
      <w:spacing w:line="413" w:lineRule="auto"/>
      <w:outlineLvl w:val="2"/>
    </w:pPr>
    <w:rPr>
      <w:b/>
      <w:sz w:val="3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annotation text"/>
    <w:basedOn w:val="1"/>
    <w:link w:val="32"/>
    <w:qFormat/>
    <w:uiPriority w:val="0"/>
    <w:pPr>
      <w:jc w:val="left"/>
    </w:pPr>
  </w:style>
  <w:style w:type="paragraph" w:styleId="7">
    <w:name w:val="Body Text"/>
    <w:basedOn w:val="1"/>
    <w:next w:val="8"/>
    <w:qFormat/>
    <w:uiPriority w:val="0"/>
    <w:rPr>
      <w:rFonts w:ascii="仿宋_GB2312" w:eastAsia="仿宋_GB2312"/>
      <w:sz w:val="32"/>
    </w:rPr>
  </w:style>
  <w:style w:type="paragraph" w:customStyle="1" w:styleId="8">
    <w:name w:val="引用1"/>
    <w:basedOn w:val="1"/>
    <w:next w:val="1"/>
    <w:qFormat/>
    <w:uiPriority w:val="0"/>
    <w:pPr>
      <w:wordWrap w:val="0"/>
      <w:spacing w:before="200" w:after="160"/>
      <w:ind w:left="864" w:right="864"/>
      <w:jc w:val="center"/>
    </w:pPr>
    <w:rPr>
      <w:i/>
    </w:rPr>
  </w:style>
  <w:style w:type="paragraph" w:styleId="9">
    <w:name w:val="Body Text Indent"/>
    <w:basedOn w:val="1"/>
    <w:qFormat/>
    <w:uiPriority w:val="0"/>
    <w:pPr>
      <w:spacing w:line="700" w:lineRule="exact"/>
      <w:ind w:left="960"/>
    </w:pPr>
    <w:rPr>
      <w:sz w:val="44"/>
    </w:rPr>
  </w:style>
  <w:style w:type="paragraph" w:styleId="10">
    <w:name w:val="Plain Text"/>
    <w:basedOn w:val="1"/>
    <w:qFormat/>
    <w:uiPriority w:val="0"/>
    <w:pPr>
      <w:adjustRightInd w:val="0"/>
      <w:snapToGrid w:val="0"/>
      <w:spacing w:line="360" w:lineRule="auto"/>
    </w:pPr>
    <w:rPr>
      <w:rFonts w:ascii="宋体" w:hAnsi="Courier New"/>
      <w:sz w:val="21"/>
    </w:rPr>
  </w:style>
  <w:style w:type="paragraph" w:styleId="11">
    <w:name w:val="toc 8"/>
    <w:basedOn w:val="1"/>
    <w:next w:val="1"/>
    <w:qFormat/>
    <w:uiPriority w:val="0"/>
    <w:pPr>
      <w:ind w:left="2940" w:leftChars="1400"/>
    </w:pPr>
  </w:style>
  <w:style w:type="paragraph" w:styleId="12">
    <w:name w:val="Date"/>
    <w:basedOn w:val="1"/>
    <w:next w:val="1"/>
    <w:qFormat/>
    <w:uiPriority w:val="0"/>
  </w:style>
  <w:style w:type="paragraph" w:styleId="13">
    <w:name w:val="Balloon Text"/>
    <w:basedOn w:val="1"/>
    <w:qFormat/>
    <w:uiPriority w:val="0"/>
    <w:rPr>
      <w:sz w:val="1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paragraph" w:styleId="19">
    <w:name w:val="annotation subject"/>
    <w:basedOn w:val="6"/>
    <w:next w:val="6"/>
    <w:link w:val="33"/>
    <w:qFormat/>
    <w:uiPriority w:val="0"/>
    <w:rPr>
      <w:b/>
      <w:bCs/>
    </w:rPr>
  </w:style>
  <w:style w:type="paragraph" w:styleId="20">
    <w:name w:val="Body Text First Indent"/>
    <w:basedOn w:val="7"/>
    <w:next w:val="1"/>
    <w:qFormat/>
    <w:uiPriority w:val="0"/>
    <w:pPr>
      <w:spacing w:line="360" w:lineRule="auto"/>
      <w:ind w:firstLine="420" w:firstLineChars="100"/>
    </w:pPr>
    <w:rPr>
      <w:szCs w:val="21"/>
    </w:rPr>
  </w:style>
  <w:style w:type="paragraph" w:styleId="21">
    <w:name w:val="Body Text First Indent 2"/>
    <w:basedOn w:val="9"/>
    <w:unhideWhenUsed/>
    <w:qFormat/>
    <w:uiPriority w:val="99"/>
    <w:pPr>
      <w:spacing w:after="120" w:line="240" w:lineRule="auto"/>
      <w:ind w:left="420" w:leftChars="200" w:firstLine="420" w:firstLineChars="200"/>
    </w:pPr>
    <w:rPr>
      <w:sz w:val="28"/>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qFormat/>
    <w:uiPriority w:val="0"/>
  </w:style>
  <w:style w:type="character" w:styleId="27">
    <w:name w:val="Hyperlink"/>
    <w:basedOn w:val="24"/>
    <w:unhideWhenUsed/>
    <w:qFormat/>
    <w:uiPriority w:val="99"/>
    <w:rPr>
      <w:color w:val="0026E5" w:themeColor="hyperlink"/>
      <w:u w:val="single"/>
      <w14:textFill>
        <w14:solidFill>
          <w14:schemeClr w14:val="hlink"/>
        </w14:solidFill>
      </w14:textFill>
    </w:rPr>
  </w:style>
  <w:style w:type="character" w:styleId="28">
    <w:name w:val="annotation reference"/>
    <w:basedOn w:val="24"/>
    <w:qFormat/>
    <w:uiPriority w:val="0"/>
    <w:rPr>
      <w:sz w:val="21"/>
      <w:szCs w:val="21"/>
    </w:rPr>
  </w:style>
  <w:style w:type="paragraph" w:customStyle="1" w:styleId="29">
    <w:name w:val="正文 A"/>
    <w:qFormat/>
    <w:uiPriority w:val="0"/>
    <w:rPr>
      <w:rFonts w:hint="eastAsia" w:ascii="Arial Unicode MS" w:hAnsi="Arial Unicode MS" w:eastAsia="Arial Unicode MS" w:cs="Arial Unicode MS"/>
      <w:color w:val="000000"/>
      <w:sz w:val="22"/>
      <w:szCs w:val="22"/>
      <w:u w:color="000000"/>
      <w:lang w:val="zh-TW" w:eastAsia="zh-TW" w:bidi="ar-SA"/>
    </w:rPr>
  </w:style>
  <w:style w:type="character" w:customStyle="1" w:styleId="30">
    <w:name w:val="标题 2 字符"/>
    <w:basedOn w:val="24"/>
    <w:link w:val="3"/>
    <w:qFormat/>
    <w:uiPriority w:val="0"/>
    <w:rPr>
      <w:rFonts w:ascii="宋体" w:hAnsi="宋体"/>
    </w:rPr>
  </w:style>
  <w:style w:type="paragraph" w:customStyle="1" w:styleId="31">
    <w:name w:val="Char11"/>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character" w:customStyle="1" w:styleId="32">
    <w:name w:val="批注文字 字符"/>
    <w:basedOn w:val="24"/>
    <w:link w:val="6"/>
    <w:qFormat/>
    <w:uiPriority w:val="0"/>
    <w:rPr>
      <w:kern w:val="2"/>
      <w:sz w:val="28"/>
    </w:rPr>
  </w:style>
  <w:style w:type="character" w:customStyle="1" w:styleId="33">
    <w:name w:val="批注主题 字符"/>
    <w:basedOn w:val="32"/>
    <w:link w:val="19"/>
    <w:qFormat/>
    <w:uiPriority w:val="0"/>
    <w:rPr>
      <w:b/>
      <w:bCs/>
      <w:kern w:val="2"/>
      <w:sz w:val="28"/>
    </w:rPr>
  </w:style>
  <w:style w:type="paragraph" w:styleId="34">
    <w:name w:val="Quote"/>
    <w:basedOn w:val="1"/>
    <w:next w:val="1"/>
    <w:qFormat/>
    <w:uiPriority w:val="0"/>
    <w:pPr>
      <w:widowControl/>
      <w:jc w:val="left"/>
    </w:pPr>
    <w:rPr>
      <w:rFonts w:ascii="Calibri" w:hAnsi="Calibri"/>
      <w:i/>
      <w:kern w:val="0"/>
      <w:sz w:val="24"/>
      <w:szCs w:val="24"/>
    </w:rPr>
  </w:style>
  <w:style w:type="paragraph" w:customStyle="1" w:styleId="35">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19723</Words>
  <Characters>20453</Characters>
  <Lines>190</Lines>
  <Paragraphs>53</Paragraphs>
  <TotalTime>0</TotalTime>
  <ScaleCrop>false</ScaleCrop>
  <LinksUpToDate>false</LinksUpToDate>
  <CharactersWithSpaces>21231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2025-10-15T09:24:00Z</dcterms:created>
  <dc:creator>阎晗</dc:creator>
  <cp:lastModifiedBy>晗子</cp:lastModifiedBy>
  <cp:lastPrinted>2025-10-21T05:36:00Z</cp:lastPrinted>
  <dcterms:modified xsi:type="dcterms:W3CDTF">2025-10-22T09:20:43Z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FEE84D4F5195439FA0FD831C8D7B29CC_11</vt:lpwstr>
  </property>
  <property fmtid="{D5CDD505-2E9C-101B-9397-08002B2CF9AE}" pid="4" name="KSOTemplateDocerSaveRecord">
    <vt:lpwstr>eyJoZGlkIjoiMTQ4YzhkMGQxOTk5MWY0NWFjNTNmOWVmNjhkMTdiMjYiLCJ1c2VySWQiOiIxMjIzNjkzNTAwIn0=</vt:lpwstr>
  </property>
</Properties>
</file>