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792D">
      <w:pPr>
        <w:spacing w:line="360" w:lineRule="auto"/>
        <w:jc w:val="center"/>
        <w:rPr>
          <w:rFonts w:hint="eastAsia" w:ascii="微软雅黑" w:hAnsi="微软雅黑" w:eastAsia="微软雅黑"/>
          <w:b/>
          <w:color w:val="auto"/>
          <w:sz w:val="72"/>
          <w:szCs w:val="72"/>
          <w:highlight w:val="none"/>
        </w:rPr>
      </w:pPr>
    </w:p>
    <w:p w14:paraId="1303B80F">
      <w:pPr>
        <w:spacing w:line="360" w:lineRule="auto"/>
        <w:jc w:val="center"/>
        <w:rPr>
          <w:rFonts w:ascii="微软雅黑" w:hAnsi="微软雅黑" w:eastAsia="微软雅黑"/>
          <w:b/>
          <w:color w:val="auto"/>
          <w:sz w:val="84"/>
          <w:szCs w:val="84"/>
          <w:highlight w:val="none"/>
        </w:rPr>
      </w:pPr>
      <w:r>
        <w:rPr>
          <w:rFonts w:hint="eastAsia" w:ascii="微软雅黑" w:hAnsi="微软雅黑" w:eastAsia="微软雅黑"/>
          <w:b/>
          <w:color w:val="auto"/>
          <w:sz w:val="84"/>
          <w:szCs w:val="84"/>
          <w:highlight w:val="none"/>
        </w:rPr>
        <w:t>竞争性磋商文件</w:t>
      </w:r>
    </w:p>
    <w:p w14:paraId="285C8C47">
      <w:pPr>
        <w:spacing w:line="440" w:lineRule="exact"/>
        <w:jc w:val="center"/>
        <w:rPr>
          <w:rFonts w:ascii="微软雅黑" w:hAnsi="微软雅黑" w:eastAsia="微软雅黑"/>
          <w:color w:val="auto"/>
          <w:sz w:val="32"/>
          <w:highlight w:val="none"/>
        </w:rPr>
      </w:pPr>
    </w:p>
    <w:p w14:paraId="3740145C">
      <w:pPr>
        <w:spacing w:line="440" w:lineRule="exact"/>
        <w:rPr>
          <w:rFonts w:ascii="微软雅黑" w:hAnsi="微软雅黑" w:eastAsia="微软雅黑"/>
          <w:color w:val="auto"/>
          <w:sz w:val="32"/>
          <w:highlight w:val="none"/>
        </w:rPr>
      </w:pPr>
    </w:p>
    <w:p w14:paraId="14D3602C">
      <w:pPr>
        <w:pStyle w:val="19"/>
        <w:rPr>
          <w:rFonts w:ascii="微软雅黑" w:hAnsi="微软雅黑" w:eastAsia="微软雅黑"/>
          <w:color w:val="auto"/>
          <w:highlight w:val="none"/>
        </w:rPr>
      </w:pPr>
    </w:p>
    <w:p w14:paraId="0663750B">
      <w:pPr>
        <w:pStyle w:val="19"/>
        <w:rPr>
          <w:rFonts w:ascii="微软雅黑" w:hAnsi="微软雅黑" w:eastAsia="微软雅黑"/>
          <w:b/>
          <w:bCs/>
          <w:color w:val="auto"/>
          <w:highlight w:val="none"/>
        </w:rPr>
      </w:pPr>
    </w:p>
    <w:p w14:paraId="12DA3F0A">
      <w:pPr>
        <w:spacing w:line="276" w:lineRule="auto"/>
        <w:ind w:firstLine="1680" w:firstLineChars="600"/>
        <w:outlineLvl w:val="0"/>
        <w:rPr>
          <w:rFonts w:ascii="微软雅黑" w:hAnsi="微软雅黑" w:eastAsia="微软雅黑"/>
          <w:color w:val="auto"/>
          <w:sz w:val="28"/>
          <w:szCs w:val="28"/>
          <w:highlight w:val="none"/>
        </w:rPr>
      </w:pPr>
      <w:r>
        <w:rPr>
          <w:rFonts w:hint="eastAsia" w:ascii="微软雅黑" w:hAnsi="微软雅黑" w:eastAsia="微软雅黑"/>
          <w:color w:val="auto"/>
          <w:sz w:val="28"/>
          <w:szCs w:val="28"/>
          <w:highlight w:val="none"/>
        </w:rPr>
        <w:t>采购执行编号：TC259D0MH</w:t>
      </w:r>
    </w:p>
    <w:p w14:paraId="33E65F40">
      <w:pPr>
        <w:spacing w:line="276" w:lineRule="auto"/>
        <w:ind w:firstLine="1680" w:firstLineChars="600"/>
        <w:outlineLvl w:val="0"/>
        <w:rPr>
          <w:rFonts w:ascii="微软雅黑" w:hAnsi="微软雅黑" w:eastAsia="微软雅黑"/>
          <w:color w:val="auto"/>
          <w:sz w:val="28"/>
          <w:szCs w:val="28"/>
          <w:highlight w:val="none"/>
        </w:rPr>
      </w:pPr>
      <w:r>
        <w:rPr>
          <w:rFonts w:hint="eastAsia" w:ascii="微软雅黑" w:hAnsi="微软雅黑" w:eastAsia="微软雅黑"/>
          <w:color w:val="auto"/>
          <w:sz w:val="28"/>
          <w:szCs w:val="28"/>
          <w:highlight w:val="none"/>
        </w:rPr>
        <w:t>磋商项目名称：重庆市政务数字化应用评审第三方机构采购</w:t>
      </w:r>
    </w:p>
    <w:p w14:paraId="7AE68FB4">
      <w:pPr>
        <w:spacing w:line="440" w:lineRule="exact"/>
        <w:rPr>
          <w:rFonts w:ascii="微软雅黑" w:hAnsi="微软雅黑" w:eastAsia="微软雅黑"/>
          <w:color w:val="auto"/>
          <w:highlight w:val="none"/>
        </w:rPr>
      </w:pPr>
    </w:p>
    <w:p w14:paraId="65F49951">
      <w:pPr>
        <w:spacing w:line="440" w:lineRule="exact"/>
        <w:rPr>
          <w:rFonts w:ascii="微软雅黑" w:hAnsi="微软雅黑" w:eastAsia="微软雅黑"/>
          <w:color w:val="auto"/>
          <w:highlight w:val="none"/>
        </w:rPr>
      </w:pPr>
    </w:p>
    <w:p w14:paraId="782186DB">
      <w:pPr>
        <w:pStyle w:val="7"/>
        <w:rPr>
          <w:color w:val="auto"/>
          <w:highlight w:val="none"/>
        </w:rPr>
      </w:pPr>
    </w:p>
    <w:p w14:paraId="3DDD1E5F">
      <w:pPr>
        <w:pStyle w:val="16"/>
        <w:rPr>
          <w:color w:val="auto"/>
          <w:highlight w:val="none"/>
        </w:rPr>
      </w:pPr>
    </w:p>
    <w:p w14:paraId="0C66ED62">
      <w:pPr>
        <w:rPr>
          <w:color w:val="auto"/>
          <w:highlight w:val="none"/>
        </w:rPr>
      </w:pPr>
    </w:p>
    <w:p w14:paraId="7B49D594">
      <w:pPr>
        <w:pStyle w:val="7"/>
        <w:rPr>
          <w:color w:val="auto"/>
          <w:highlight w:val="none"/>
        </w:rPr>
      </w:pPr>
    </w:p>
    <w:p w14:paraId="7E4AF005">
      <w:pPr>
        <w:spacing w:line="440" w:lineRule="exact"/>
        <w:rPr>
          <w:rFonts w:ascii="微软雅黑" w:hAnsi="微软雅黑" w:eastAsia="微软雅黑"/>
          <w:color w:val="auto"/>
          <w:highlight w:val="none"/>
        </w:rPr>
      </w:pPr>
    </w:p>
    <w:p w14:paraId="54D5BA92">
      <w:pPr>
        <w:pStyle w:val="7"/>
        <w:rPr>
          <w:color w:val="auto"/>
          <w:highlight w:val="none"/>
        </w:rPr>
      </w:pPr>
    </w:p>
    <w:p w14:paraId="309A1413">
      <w:pPr>
        <w:pStyle w:val="7"/>
        <w:rPr>
          <w:color w:val="auto"/>
          <w:highlight w:val="none"/>
        </w:rPr>
      </w:pPr>
    </w:p>
    <w:p w14:paraId="70B03429">
      <w:pPr>
        <w:pStyle w:val="7"/>
        <w:rPr>
          <w:color w:val="auto"/>
          <w:highlight w:val="none"/>
        </w:rPr>
      </w:pPr>
    </w:p>
    <w:p w14:paraId="13369EA7">
      <w:pPr>
        <w:pStyle w:val="7"/>
        <w:rPr>
          <w:color w:val="auto"/>
          <w:highlight w:val="none"/>
        </w:rPr>
      </w:pPr>
    </w:p>
    <w:p w14:paraId="0EB953E2">
      <w:pPr>
        <w:pStyle w:val="19"/>
        <w:spacing w:line="440" w:lineRule="exact"/>
        <w:ind w:left="0" w:leftChars="0" w:firstLine="0" w:firstLineChars="0"/>
        <w:rPr>
          <w:rFonts w:ascii="微软雅黑" w:hAnsi="微软雅黑" w:eastAsia="微软雅黑"/>
          <w:color w:val="auto"/>
          <w:highlight w:val="none"/>
        </w:rPr>
      </w:pPr>
    </w:p>
    <w:p w14:paraId="720CDAA5">
      <w:pPr>
        <w:jc w:val="center"/>
        <w:rPr>
          <w:rFonts w:ascii="微软雅黑" w:hAnsi="微软雅黑" w:eastAsia="微软雅黑"/>
          <w:b/>
          <w:bCs/>
          <w:color w:val="auto"/>
          <w:sz w:val="28"/>
          <w:szCs w:val="28"/>
          <w:highlight w:val="none"/>
        </w:rPr>
      </w:pPr>
      <w:r>
        <w:rPr>
          <w:rFonts w:hint="eastAsia" w:ascii="微软雅黑" w:hAnsi="微软雅黑" w:eastAsia="微软雅黑"/>
          <w:b/>
          <w:bCs/>
          <w:color w:val="auto"/>
          <w:sz w:val="28"/>
          <w:szCs w:val="28"/>
          <w:highlight w:val="none"/>
        </w:rPr>
        <w:t>采购人：重庆市大数据应用发展管理局</w:t>
      </w:r>
      <w:r>
        <w:rPr>
          <w:rFonts w:ascii="微软雅黑" w:hAnsi="微软雅黑" w:eastAsia="微软雅黑"/>
          <w:b/>
          <w:bCs/>
          <w:color w:val="auto"/>
          <w:sz w:val="28"/>
          <w:szCs w:val="28"/>
          <w:highlight w:val="none"/>
        </w:rPr>
        <w:t xml:space="preserve"> </w:t>
      </w:r>
    </w:p>
    <w:p w14:paraId="55920012">
      <w:pPr>
        <w:jc w:val="center"/>
        <w:rPr>
          <w:rFonts w:ascii="微软雅黑" w:hAnsi="微软雅黑" w:eastAsia="微软雅黑"/>
          <w:b/>
          <w:bCs/>
          <w:color w:val="auto"/>
          <w:sz w:val="28"/>
          <w:szCs w:val="28"/>
          <w:highlight w:val="none"/>
        </w:rPr>
      </w:pPr>
      <w:r>
        <w:rPr>
          <w:rFonts w:hint="eastAsia" w:ascii="微软雅黑" w:hAnsi="微软雅黑" w:eastAsia="微软雅黑"/>
          <w:b/>
          <w:bCs/>
          <w:color w:val="auto"/>
          <w:sz w:val="28"/>
          <w:szCs w:val="28"/>
          <w:highlight w:val="none"/>
        </w:rPr>
        <w:t>采购代理机构：中招国际招标有限公司</w:t>
      </w:r>
    </w:p>
    <w:p w14:paraId="4959BF7A">
      <w:pPr>
        <w:spacing w:line="440" w:lineRule="exact"/>
        <w:jc w:val="center"/>
        <w:rPr>
          <w:rFonts w:ascii="微软雅黑" w:hAnsi="微软雅黑" w:eastAsia="微软雅黑"/>
          <w:b/>
          <w:bCs/>
          <w:color w:val="auto"/>
          <w:szCs w:val="28"/>
          <w:highlight w:val="none"/>
        </w:rPr>
      </w:pPr>
    </w:p>
    <w:p w14:paraId="0EEC14E7">
      <w:pPr>
        <w:spacing w:line="440" w:lineRule="exact"/>
        <w:jc w:val="center"/>
        <w:outlineLvl w:val="0"/>
        <w:rPr>
          <w:rFonts w:ascii="微软雅黑" w:hAnsi="微软雅黑" w:eastAsia="微软雅黑"/>
          <w:b/>
          <w:bCs/>
          <w:color w:val="auto"/>
          <w:sz w:val="30"/>
          <w:szCs w:val="30"/>
          <w:highlight w:val="none"/>
        </w:rPr>
        <w:sectPr>
          <w:headerReference r:id="rId3" w:type="default"/>
          <w:pgSz w:w="11905" w:h="16838"/>
          <w:pgMar w:top="1134" w:right="1304" w:bottom="1134" w:left="1304" w:header="850" w:footer="992" w:gutter="0"/>
          <w:pgNumType w:fmt="numberInDash" w:start="1"/>
          <w:cols w:space="0" w:num="1"/>
          <w:titlePg/>
          <w:docGrid w:linePitch="381" w:charSpace="0"/>
        </w:sectPr>
      </w:pPr>
      <w:r>
        <w:rPr>
          <w:rFonts w:hint="eastAsia" w:ascii="微软雅黑" w:hAnsi="微软雅黑" w:eastAsia="微软雅黑"/>
          <w:b/>
          <w:bCs/>
          <w:color w:val="auto"/>
          <w:sz w:val="30"/>
          <w:szCs w:val="30"/>
          <w:highlight w:val="none"/>
        </w:rPr>
        <w:t>二〇二五年八月</w:t>
      </w:r>
    </w:p>
    <w:p w14:paraId="49B7B303">
      <w:pPr>
        <w:spacing w:line="360" w:lineRule="exact"/>
        <w:jc w:val="center"/>
        <w:outlineLvl w:val="0"/>
        <w:rPr>
          <w:rFonts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目   录</w:t>
      </w:r>
    </w:p>
    <w:p w14:paraId="78612C17">
      <w:pPr>
        <w:rPr>
          <w:rFonts w:ascii="微软雅黑" w:hAnsi="微软雅黑" w:eastAsia="微软雅黑"/>
          <w:color w:val="auto"/>
          <w:highlight w:val="none"/>
        </w:rPr>
      </w:pPr>
    </w:p>
    <w:p w14:paraId="38BC1A5A">
      <w:pPr>
        <w:pStyle w:val="17"/>
        <w:tabs>
          <w:tab w:val="right" w:leader="dot" w:pos="9297"/>
        </w:tabs>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TOC \o "1-3" \h \z </w:instrText>
      </w:r>
      <w:r>
        <w:rPr>
          <w:rFonts w:hint="eastAsia" w:ascii="微软雅黑" w:hAnsi="微软雅黑" w:eastAsia="微软雅黑" w:cs="微软雅黑"/>
          <w:color w:val="auto"/>
          <w:szCs w:val="21"/>
          <w:highlight w:val="none"/>
        </w:rPr>
        <w:fldChar w:fldCharType="separate"/>
      </w:r>
      <w:r>
        <w:rPr>
          <w:color w:val="auto"/>
          <w:highlight w:val="none"/>
        </w:rPr>
        <w:fldChar w:fldCharType="begin"/>
      </w:r>
      <w:r>
        <w:rPr>
          <w:color w:val="auto"/>
          <w:highlight w:val="none"/>
        </w:rPr>
        <w:instrText xml:space="preserve"> HYPERLINK \l "_Toc18830" </w:instrText>
      </w:r>
      <w:r>
        <w:rPr>
          <w:color w:val="auto"/>
          <w:highlight w:val="none"/>
        </w:rPr>
        <w:fldChar w:fldCharType="separate"/>
      </w:r>
      <w:r>
        <w:rPr>
          <w:rFonts w:hint="eastAsia" w:ascii="微软雅黑" w:hAnsi="微软雅黑" w:eastAsia="微软雅黑" w:cs="微软雅黑"/>
          <w:b/>
          <w:bCs/>
          <w:color w:val="auto"/>
          <w:szCs w:val="21"/>
          <w:highlight w:val="none"/>
        </w:rPr>
        <w:t>第一篇  采购邀请书</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_Toc18830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- 2 -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0587309B">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"_Toc5907" </w:instrText>
      </w:r>
      <w:r>
        <w:rPr>
          <w:color w:val="auto"/>
          <w:highlight w:val="none"/>
        </w:rPr>
        <w:fldChar w:fldCharType="separate"/>
      </w:r>
      <w:r>
        <w:rPr>
          <w:rFonts w:hint="eastAsia" w:ascii="微软雅黑" w:hAnsi="微软雅黑" w:eastAsia="微软雅黑" w:cs="微软雅黑"/>
          <w:color w:val="auto"/>
          <w:szCs w:val="21"/>
          <w:highlight w:val="none"/>
        </w:rPr>
        <w:t>一、竞争性磋商内容</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_Toc5907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8E23180">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"_Toc28891" </w:instrText>
      </w:r>
      <w:r>
        <w:rPr>
          <w:color w:val="auto"/>
          <w:highlight w:val="none"/>
        </w:rPr>
        <w:fldChar w:fldCharType="separate"/>
      </w:r>
      <w:r>
        <w:rPr>
          <w:rFonts w:hint="eastAsia" w:ascii="微软雅黑" w:hAnsi="微软雅黑" w:eastAsia="微软雅黑" w:cs="微软雅黑"/>
          <w:color w:val="auto"/>
          <w:szCs w:val="21"/>
          <w:highlight w:val="none"/>
        </w:rPr>
        <w:t>二、资金来源</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_Toc28891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C2B167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"_Toc15790" </w:instrText>
      </w:r>
      <w:r>
        <w:rPr>
          <w:color w:val="auto"/>
          <w:highlight w:val="none"/>
        </w:rPr>
        <w:fldChar w:fldCharType="separate"/>
      </w:r>
      <w:r>
        <w:rPr>
          <w:rFonts w:hint="eastAsia" w:ascii="微软雅黑" w:hAnsi="微软雅黑" w:eastAsia="微软雅黑" w:cs="微软雅黑"/>
          <w:color w:val="auto"/>
          <w:szCs w:val="21"/>
          <w:highlight w:val="none"/>
        </w:rPr>
        <w:t>三、供应商的资格条件</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_Toc15790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7794672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"_Toc9504" </w:instrText>
      </w:r>
      <w:r>
        <w:rPr>
          <w:color w:val="auto"/>
          <w:highlight w:val="none"/>
        </w:rPr>
        <w:fldChar w:fldCharType="separate"/>
      </w:r>
      <w:r>
        <w:rPr>
          <w:rFonts w:hint="eastAsia" w:ascii="微软雅黑" w:hAnsi="微软雅黑" w:eastAsia="微软雅黑" w:cs="微软雅黑"/>
          <w:color w:val="auto"/>
          <w:szCs w:val="21"/>
          <w:highlight w:val="none"/>
        </w:rPr>
        <w:t>四、磋商的有关说明</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_Toc9504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5F5C3C83">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"_Toc12216" </w:instrText>
      </w:r>
      <w:r>
        <w:rPr>
          <w:color w:val="auto"/>
          <w:highlight w:val="none"/>
        </w:rPr>
        <w:fldChar w:fldCharType="separate"/>
      </w:r>
      <w:r>
        <w:rPr>
          <w:rFonts w:hint="eastAsia" w:ascii="微软雅黑" w:hAnsi="微软雅黑" w:eastAsia="微软雅黑" w:cs="微软雅黑"/>
          <w:color w:val="auto"/>
          <w:szCs w:val="21"/>
          <w:highlight w:val="none"/>
        </w:rPr>
        <w:t>五、采购项目需落实的政府采购政策</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_Toc12216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00A29345">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"_Toc3348" </w:instrText>
      </w:r>
      <w:r>
        <w:rPr>
          <w:color w:val="auto"/>
          <w:highlight w:val="none"/>
        </w:rPr>
        <w:fldChar w:fldCharType="separate"/>
      </w:r>
      <w:r>
        <w:rPr>
          <w:rFonts w:hint="eastAsia" w:ascii="微软雅黑" w:hAnsi="微软雅黑" w:eastAsia="微软雅黑" w:cs="微软雅黑"/>
          <w:color w:val="auto"/>
          <w:szCs w:val="21"/>
          <w:highlight w:val="none"/>
        </w:rPr>
        <w:t>六、其它有关规定</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_Toc3348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5357385">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"_Toc32201" </w:instrText>
      </w:r>
      <w:r>
        <w:rPr>
          <w:color w:val="auto"/>
          <w:highlight w:val="none"/>
        </w:rPr>
        <w:fldChar w:fldCharType="separate"/>
      </w:r>
      <w:r>
        <w:rPr>
          <w:rFonts w:hint="eastAsia" w:ascii="微软雅黑" w:hAnsi="微软雅黑" w:eastAsia="微软雅黑" w:cs="微软雅黑"/>
          <w:color w:val="auto"/>
          <w:szCs w:val="21"/>
          <w:highlight w:val="none"/>
        </w:rPr>
        <w:t>七、联系方式</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_Toc32201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- 4 -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3A2B02B">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"_Toc20671" </w:instrText>
      </w:r>
      <w:r>
        <w:rPr>
          <w:color w:val="auto"/>
          <w:highlight w:val="none"/>
        </w:rPr>
        <w:fldChar w:fldCharType="separate"/>
      </w:r>
      <w:r>
        <w:rPr>
          <w:rFonts w:hint="eastAsia" w:ascii="微软雅黑" w:hAnsi="微软雅黑" w:eastAsia="微软雅黑" w:cs="微软雅黑"/>
          <w:b/>
          <w:bCs/>
          <w:color w:val="auto"/>
          <w:szCs w:val="21"/>
          <w:highlight w:val="none"/>
        </w:rPr>
        <w:t>第二篇 项目服务需求</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_Toc20671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- 5 -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709EB4D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"_Toc27216" </w:instrText>
      </w:r>
      <w:r>
        <w:rPr>
          <w:color w:val="auto"/>
          <w:highlight w:val="none"/>
        </w:rPr>
        <w:fldChar w:fldCharType="separate"/>
      </w:r>
      <w:r>
        <w:rPr>
          <w:rFonts w:hint="eastAsia" w:ascii="微软雅黑" w:hAnsi="微软雅黑" w:eastAsia="微软雅黑" w:cs="微软雅黑"/>
          <w:color w:val="auto"/>
          <w:szCs w:val="21"/>
          <w:highlight w:val="none"/>
        </w:rPr>
        <w:t>一、项目基本概况介绍</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_Toc27216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- 5 -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5B1DC9F">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"_Toc8502" </w:instrText>
      </w:r>
      <w:r>
        <w:rPr>
          <w:color w:val="auto"/>
          <w:highlight w:val="none"/>
        </w:rPr>
        <w:fldChar w:fldCharType="separate"/>
      </w:r>
      <w:r>
        <w:rPr>
          <w:rFonts w:hint="eastAsia" w:ascii="微软雅黑" w:hAnsi="微软雅黑" w:eastAsia="微软雅黑" w:cs="微软雅黑"/>
          <w:bCs/>
          <w:color w:val="auto"/>
          <w:szCs w:val="21"/>
          <w:highlight w:val="none"/>
        </w:rPr>
        <w:t>二、</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bCs/>
          <w:color w:val="auto"/>
          <w:szCs w:val="21"/>
          <w:highlight w:val="none"/>
        </w:rPr>
        <w:t>服务及质量需求</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_Toc8502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- 5 -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222F597">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"_Toc228" </w:instrText>
      </w:r>
      <w:r>
        <w:rPr>
          <w:color w:val="auto"/>
          <w:highlight w:val="none"/>
        </w:rPr>
        <w:fldChar w:fldCharType="separate"/>
      </w:r>
      <w:r>
        <w:rPr>
          <w:rFonts w:hint="eastAsia" w:ascii="微软雅黑" w:hAnsi="微软雅黑" w:eastAsia="微软雅黑" w:cs="微软雅黑"/>
          <w:b/>
          <w:bCs/>
          <w:color w:val="auto"/>
          <w:szCs w:val="21"/>
          <w:highlight w:val="none"/>
        </w:rPr>
        <w:t>第三篇 项目商务需求</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_Toc228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- 9 -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70571C6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"_Toc26405" </w:instrText>
      </w:r>
      <w:r>
        <w:rPr>
          <w:color w:val="auto"/>
          <w:highlight w:val="none"/>
        </w:rPr>
        <w:fldChar w:fldCharType="separate"/>
      </w:r>
      <w:r>
        <w:rPr>
          <w:rFonts w:hint="eastAsia" w:ascii="微软雅黑" w:hAnsi="微软雅黑" w:eastAsia="微软雅黑" w:cs="微软雅黑"/>
          <w:color w:val="auto"/>
          <w:szCs w:val="21"/>
          <w:highlight w:val="none"/>
        </w:rPr>
        <w:t>一、服务时间、地点及验收方式</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_Toc26405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5723398">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"_Toc11573" </w:instrText>
      </w:r>
      <w:r>
        <w:rPr>
          <w:color w:val="auto"/>
          <w:highlight w:val="none"/>
        </w:rPr>
        <w:fldChar w:fldCharType="separate"/>
      </w:r>
      <w:r>
        <w:rPr>
          <w:rFonts w:hint="eastAsia" w:ascii="微软雅黑" w:hAnsi="微软雅黑" w:eastAsia="微软雅黑" w:cs="微软雅黑"/>
          <w:color w:val="auto"/>
          <w:szCs w:val="21"/>
          <w:highlight w:val="none"/>
        </w:rPr>
        <w:t>二、报价要求</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_Toc11573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2DB5469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"_Toc5762" </w:instrText>
      </w:r>
      <w:r>
        <w:rPr>
          <w:color w:val="auto"/>
          <w:highlight w:val="none"/>
        </w:rPr>
        <w:fldChar w:fldCharType="separate"/>
      </w:r>
      <w:r>
        <w:rPr>
          <w:rFonts w:hint="eastAsia" w:ascii="微软雅黑" w:hAnsi="微软雅黑" w:eastAsia="微软雅黑" w:cs="微软雅黑"/>
          <w:color w:val="auto"/>
          <w:szCs w:val="21"/>
          <w:highlight w:val="none"/>
        </w:rPr>
        <w:t>三、质量保证及售后服务</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_Toc5762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- 10 -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C36F14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"_Toc30290" </w:instrText>
      </w:r>
      <w:r>
        <w:rPr>
          <w:color w:val="auto"/>
          <w:highlight w:val="none"/>
        </w:rPr>
        <w:fldChar w:fldCharType="separate"/>
      </w:r>
      <w:r>
        <w:rPr>
          <w:rFonts w:hint="eastAsia" w:ascii="微软雅黑" w:hAnsi="微软雅黑" w:eastAsia="微软雅黑" w:cs="微软雅黑"/>
          <w:color w:val="auto"/>
          <w:szCs w:val="21"/>
          <w:highlight w:val="none"/>
        </w:rPr>
        <w:t>四、付款方式</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_Toc30290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7E1A30A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"_Toc22830" </w:instrText>
      </w:r>
      <w:r>
        <w:rPr>
          <w:color w:val="auto"/>
          <w:highlight w:val="none"/>
        </w:rPr>
        <w:fldChar w:fldCharType="separate"/>
      </w:r>
      <w:r>
        <w:rPr>
          <w:rFonts w:hint="eastAsia" w:ascii="微软雅黑" w:hAnsi="微软雅黑" w:eastAsia="微软雅黑" w:cs="微软雅黑"/>
          <w:color w:val="auto"/>
          <w:szCs w:val="21"/>
          <w:highlight w:val="none"/>
        </w:rPr>
        <w:t>五、知识产权</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_Toc22830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8C447B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"_Toc26980" </w:instrText>
      </w:r>
      <w:r>
        <w:rPr>
          <w:color w:val="auto"/>
          <w:highlight w:val="none"/>
        </w:rPr>
        <w:fldChar w:fldCharType="separate"/>
      </w:r>
      <w:r>
        <w:rPr>
          <w:rFonts w:hint="eastAsia" w:ascii="微软雅黑" w:hAnsi="微软雅黑" w:eastAsia="微软雅黑" w:cs="微软雅黑"/>
          <w:color w:val="auto"/>
          <w:szCs w:val="21"/>
          <w:highlight w:val="none"/>
        </w:rPr>
        <w:t>六、其他</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_Toc26980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AB0F22E">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"_Toc3919" </w:instrText>
      </w:r>
      <w:r>
        <w:rPr>
          <w:color w:val="auto"/>
          <w:highlight w:val="none"/>
        </w:rPr>
        <w:fldChar w:fldCharType="separate"/>
      </w:r>
      <w:r>
        <w:rPr>
          <w:rFonts w:hint="eastAsia" w:ascii="微软雅黑" w:hAnsi="微软雅黑" w:eastAsia="微软雅黑" w:cs="微软雅黑"/>
          <w:b/>
          <w:bCs/>
          <w:color w:val="auto"/>
          <w:szCs w:val="21"/>
          <w:highlight w:val="none"/>
        </w:rPr>
        <w:t>第四篇  磋商程序及方法、评审标准、无效响应和采购终止</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_Toc3919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- 12 -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37DA3A1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"_Toc22294" </w:instrText>
      </w:r>
      <w:r>
        <w:rPr>
          <w:color w:val="auto"/>
          <w:highlight w:val="none"/>
        </w:rPr>
        <w:fldChar w:fldCharType="separate"/>
      </w:r>
      <w:r>
        <w:rPr>
          <w:rFonts w:hint="eastAsia" w:ascii="微软雅黑" w:hAnsi="微软雅黑" w:eastAsia="微软雅黑" w:cs="微软雅黑"/>
          <w:color w:val="auto"/>
          <w:szCs w:val="21"/>
          <w:highlight w:val="none"/>
        </w:rPr>
        <w:t>一、磋商程序及方法</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_Toc22294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09FF89E">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"_Toc23450" </w:instrText>
      </w:r>
      <w:r>
        <w:rPr>
          <w:color w:val="auto"/>
          <w:highlight w:val="none"/>
        </w:rPr>
        <w:fldChar w:fldCharType="separate"/>
      </w:r>
      <w:r>
        <w:rPr>
          <w:rFonts w:hint="eastAsia" w:ascii="微软雅黑" w:hAnsi="微软雅黑" w:eastAsia="微软雅黑" w:cs="微软雅黑"/>
          <w:color w:val="auto"/>
          <w:szCs w:val="21"/>
          <w:highlight w:val="none"/>
        </w:rPr>
        <w:t>二、评审标准</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_Toc23450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- 14 -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251749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"_Toc24882" </w:instrText>
      </w:r>
      <w:r>
        <w:rPr>
          <w:color w:val="auto"/>
          <w:highlight w:val="none"/>
        </w:rPr>
        <w:fldChar w:fldCharType="separate"/>
      </w:r>
      <w:r>
        <w:rPr>
          <w:rFonts w:hint="eastAsia" w:ascii="微软雅黑" w:hAnsi="微软雅黑" w:eastAsia="微软雅黑" w:cs="微软雅黑"/>
          <w:color w:val="auto"/>
          <w:szCs w:val="21"/>
          <w:highlight w:val="none"/>
        </w:rPr>
        <w:t>三、无效响应</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_Toc24882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- 17 -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50584C8">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"_Toc25332" </w:instrText>
      </w:r>
      <w:r>
        <w:rPr>
          <w:color w:val="auto"/>
          <w:highlight w:val="none"/>
        </w:rPr>
        <w:fldChar w:fldCharType="separate"/>
      </w:r>
      <w:r>
        <w:rPr>
          <w:rFonts w:hint="eastAsia" w:ascii="微软雅黑" w:hAnsi="微软雅黑" w:eastAsia="微软雅黑" w:cs="微软雅黑"/>
          <w:color w:val="auto"/>
          <w:szCs w:val="21"/>
          <w:highlight w:val="none"/>
        </w:rPr>
        <w:t>四、采购终止</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_Toc25332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- 17 -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59191C0">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"_Toc577" </w:instrText>
      </w:r>
      <w:r>
        <w:rPr>
          <w:color w:val="auto"/>
          <w:highlight w:val="none"/>
        </w:rPr>
        <w:fldChar w:fldCharType="separate"/>
      </w:r>
      <w:r>
        <w:rPr>
          <w:rFonts w:hint="eastAsia" w:ascii="微软雅黑" w:hAnsi="微软雅黑" w:eastAsia="微软雅黑" w:cs="微软雅黑"/>
          <w:b/>
          <w:bCs/>
          <w:color w:val="auto"/>
          <w:szCs w:val="21"/>
          <w:highlight w:val="none"/>
        </w:rPr>
        <w:t>第五篇  供应商须知</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_Toc577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- 19 -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0A8D6707">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"_Toc25102" </w:instrText>
      </w:r>
      <w:r>
        <w:rPr>
          <w:color w:val="auto"/>
          <w:highlight w:val="none"/>
        </w:rPr>
        <w:fldChar w:fldCharType="separate"/>
      </w:r>
      <w:r>
        <w:rPr>
          <w:rFonts w:hint="eastAsia" w:ascii="微软雅黑" w:hAnsi="微软雅黑" w:eastAsia="微软雅黑" w:cs="微软雅黑"/>
          <w:color w:val="auto"/>
          <w:szCs w:val="21"/>
          <w:highlight w:val="none"/>
        </w:rPr>
        <w:t>一、磋商费用</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_Toc25102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70AB097E">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"_Toc18234" </w:instrText>
      </w:r>
      <w:r>
        <w:rPr>
          <w:color w:val="auto"/>
          <w:highlight w:val="none"/>
        </w:rPr>
        <w:fldChar w:fldCharType="separate"/>
      </w:r>
      <w:r>
        <w:rPr>
          <w:rFonts w:hint="eastAsia" w:ascii="微软雅黑" w:hAnsi="微软雅黑" w:eastAsia="微软雅黑" w:cs="微软雅黑"/>
          <w:color w:val="auto"/>
          <w:szCs w:val="21"/>
          <w:highlight w:val="none"/>
        </w:rPr>
        <w:t>二、竞争性磋商文件</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_Toc18234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07485CA1">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"_Toc4328" </w:instrText>
      </w:r>
      <w:r>
        <w:rPr>
          <w:color w:val="auto"/>
          <w:highlight w:val="none"/>
        </w:rPr>
        <w:fldChar w:fldCharType="separate"/>
      </w:r>
      <w:r>
        <w:rPr>
          <w:rFonts w:hint="eastAsia" w:ascii="微软雅黑" w:hAnsi="微软雅黑" w:eastAsia="微软雅黑" w:cs="微软雅黑"/>
          <w:color w:val="auto"/>
          <w:szCs w:val="21"/>
          <w:highlight w:val="none"/>
        </w:rPr>
        <w:t>三、磋商要求</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_Toc4328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2ECCA33">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"_Toc29563" </w:instrText>
      </w:r>
      <w:r>
        <w:rPr>
          <w:color w:val="auto"/>
          <w:highlight w:val="none"/>
        </w:rPr>
        <w:fldChar w:fldCharType="separate"/>
      </w:r>
      <w:r>
        <w:rPr>
          <w:rFonts w:hint="eastAsia" w:ascii="微软雅黑" w:hAnsi="微软雅黑" w:eastAsia="微软雅黑" w:cs="微软雅黑"/>
          <w:color w:val="auto"/>
          <w:szCs w:val="21"/>
          <w:highlight w:val="none"/>
        </w:rPr>
        <w:t>四、成交供应商的确认和变更</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_Toc29563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- 20 -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F11B0A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"_Toc19293" </w:instrText>
      </w:r>
      <w:r>
        <w:rPr>
          <w:color w:val="auto"/>
          <w:highlight w:val="none"/>
        </w:rPr>
        <w:fldChar w:fldCharType="separate"/>
      </w:r>
      <w:r>
        <w:rPr>
          <w:rFonts w:hint="eastAsia" w:ascii="微软雅黑" w:hAnsi="微软雅黑" w:eastAsia="微软雅黑" w:cs="微软雅黑"/>
          <w:color w:val="auto"/>
          <w:szCs w:val="21"/>
          <w:highlight w:val="none"/>
        </w:rPr>
        <w:t>五、成交通知</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_Toc19293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2EDCE3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"_Toc18842" </w:instrText>
      </w:r>
      <w:r>
        <w:rPr>
          <w:color w:val="auto"/>
          <w:highlight w:val="none"/>
        </w:rPr>
        <w:fldChar w:fldCharType="separate"/>
      </w:r>
      <w:r>
        <w:rPr>
          <w:rFonts w:hint="eastAsia" w:ascii="微软雅黑" w:hAnsi="微软雅黑" w:eastAsia="微软雅黑" w:cs="微软雅黑"/>
          <w:color w:val="auto"/>
          <w:szCs w:val="21"/>
          <w:highlight w:val="none"/>
        </w:rPr>
        <w:t>六、关于质疑和投诉</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_Toc18842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4F47943">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"_Toc28456" </w:instrText>
      </w:r>
      <w:r>
        <w:rPr>
          <w:color w:val="auto"/>
          <w:highlight w:val="none"/>
        </w:rPr>
        <w:fldChar w:fldCharType="separate"/>
      </w:r>
      <w:r>
        <w:rPr>
          <w:rFonts w:hint="eastAsia" w:ascii="微软雅黑" w:hAnsi="微软雅黑" w:eastAsia="微软雅黑" w:cs="微软雅黑"/>
          <w:color w:val="auto"/>
          <w:szCs w:val="21"/>
          <w:highlight w:val="none"/>
        </w:rPr>
        <w:t>七、采购代理服务费</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_Toc28456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0F429BFE">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"_Toc18399" </w:instrText>
      </w:r>
      <w:r>
        <w:rPr>
          <w:color w:val="auto"/>
          <w:highlight w:val="none"/>
        </w:rPr>
        <w:fldChar w:fldCharType="separate"/>
      </w:r>
      <w:r>
        <w:rPr>
          <w:rFonts w:hint="eastAsia" w:ascii="微软雅黑" w:hAnsi="微软雅黑" w:eastAsia="微软雅黑" w:cs="微软雅黑"/>
          <w:color w:val="auto"/>
          <w:szCs w:val="21"/>
          <w:highlight w:val="none"/>
        </w:rPr>
        <w:t>八、签订合同</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_Toc18399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BE85DE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"_Toc8966" </w:instrText>
      </w:r>
      <w:r>
        <w:rPr>
          <w:color w:val="auto"/>
          <w:highlight w:val="none"/>
        </w:rPr>
        <w:fldChar w:fldCharType="separate"/>
      </w:r>
      <w:r>
        <w:rPr>
          <w:rFonts w:hint="eastAsia" w:ascii="微软雅黑" w:hAnsi="微软雅黑" w:eastAsia="微软雅黑" w:cs="微软雅黑"/>
          <w:color w:val="auto"/>
          <w:szCs w:val="21"/>
          <w:highlight w:val="none"/>
        </w:rPr>
        <w:t>九、项目验收</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_Toc8966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237D6541">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微软雅黑" w:hAnsi="微软雅黑" w:eastAsia="微软雅黑" w:cs="微软雅黑"/>
          <w:b/>
          <w:bCs/>
          <w:color w:val="auto"/>
          <w:szCs w:val="21"/>
          <w:highlight w:val="none"/>
        </w:rPr>
        <w:t>第六篇  政府采购合同</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_Toc23903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- 24 -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4BBCF893">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"_Toc6105" </w:instrText>
      </w:r>
      <w:r>
        <w:rPr>
          <w:color w:val="auto"/>
          <w:highlight w:val="none"/>
        </w:rPr>
        <w:fldChar w:fldCharType="separate"/>
      </w:r>
      <w:r>
        <w:rPr>
          <w:rFonts w:hint="eastAsia" w:ascii="微软雅黑" w:hAnsi="微软雅黑" w:eastAsia="微软雅黑" w:cs="微软雅黑"/>
          <w:b/>
          <w:bCs/>
          <w:color w:val="auto"/>
          <w:szCs w:val="21"/>
          <w:highlight w:val="none"/>
        </w:rPr>
        <w:t>第七篇  响应文件编制要求</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_Toc6105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- 31 -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12CEF14A">
      <w:pPr>
        <w:pStyle w:val="17"/>
        <w:tabs>
          <w:tab w:val="right" w:leader="dot" w:pos="9000"/>
        </w:tabs>
        <w:spacing w:line="300" w:lineRule="exact"/>
        <w:ind w:left="0" w:leftChars="0"/>
        <w:rPr>
          <w:rFonts w:ascii="微软雅黑" w:hAnsi="微软雅黑" w:eastAsia="微软雅黑"/>
          <w:color w:val="auto"/>
          <w:szCs w:val="21"/>
          <w:highlight w:val="none"/>
        </w:rPr>
        <w:sectPr>
          <w:pgSz w:w="11905" w:h="16838"/>
          <w:pgMar w:top="1134" w:right="1304" w:bottom="1134" w:left="1304" w:header="850" w:footer="992" w:gutter="0"/>
          <w:pgNumType w:fmt="numberInDash" w:start="1"/>
          <w:cols w:space="0" w:num="1"/>
          <w:titlePg/>
          <w:docGrid w:linePitch="381" w:charSpace="0"/>
        </w:sectPr>
      </w:pPr>
      <w:r>
        <w:rPr>
          <w:rFonts w:hint="eastAsia" w:ascii="微软雅黑" w:hAnsi="微软雅黑" w:eastAsia="微软雅黑" w:cs="微软雅黑"/>
          <w:color w:val="auto"/>
          <w:szCs w:val="21"/>
          <w:highlight w:val="none"/>
        </w:rPr>
        <w:fldChar w:fldCharType="end"/>
      </w:r>
    </w:p>
    <w:p w14:paraId="4FFC4FF6">
      <w:pPr>
        <w:pStyle w:val="3"/>
        <w:spacing w:line="360" w:lineRule="auto"/>
        <w:jc w:val="center"/>
        <w:rPr>
          <w:rFonts w:ascii="微软雅黑" w:hAnsi="微软雅黑" w:eastAsia="微软雅黑"/>
          <w:color w:val="auto"/>
          <w:sz w:val="36"/>
          <w:szCs w:val="36"/>
          <w:highlight w:val="none"/>
        </w:rPr>
      </w:pPr>
      <w:bookmarkStart w:id="0" w:name="_Toc12789052"/>
      <w:bookmarkStart w:id="1" w:name="_Toc18830"/>
      <w:bookmarkStart w:id="2" w:name="_Toc11641050"/>
      <w:r>
        <w:rPr>
          <w:rFonts w:hint="eastAsia" w:ascii="微软雅黑" w:hAnsi="微软雅黑" w:eastAsia="微软雅黑"/>
          <w:color w:val="auto"/>
          <w:sz w:val="36"/>
          <w:szCs w:val="36"/>
          <w:highlight w:val="none"/>
        </w:rPr>
        <w:t>第一篇  采购邀请书</w:t>
      </w:r>
      <w:bookmarkEnd w:id="0"/>
      <w:bookmarkEnd w:id="1"/>
      <w:bookmarkEnd w:id="2"/>
    </w:p>
    <w:p w14:paraId="6809A9B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中招国际招标有限公司（以下简称：采购代理机构）受重庆市大数据应用发展管理局（以下简称：采购人）的委托，根据《重庆市财政局关于印发&lt;重庆市政府集中采购目录及采购限额标准&gt;的通知》（渝财规〔2023〕10号），参照政府采购法及相关规定对“重庆市政务数字化应用评审第三方机构采购”项目进行竞争性磋商采购。欢迎有资格的供应商前来参加磋商。</w:t>
      </w:r>
    </w:p>
    <w:p w14:paraId="67DA846D">
      <w:pPr>
        <w:pStyle w:val="3"/>
        <w:adjustRightInd w:val="0"/>
        <w:snapToGrid w:val="0"/>
        <w:spacing w:before="0" w:after="0" w:line="440" w:lineRule="exact"/>
        <w:rPr>
          <w:rFonts w:ascii="微软雅黑" w:hAnsi="微软雅黑" w:eastAsia="微软雅黑"/>
          <w:color w:val="auto"/>
          <w:sz w:val="24"/>
          <w:highlight w:val="none"/>
        </w:rPr>
      </w:pPr>
      <w:bookmarkStart w:id="3" w:name="_Toc313893526"/>
      <w:bookmarkStart w:id="4" w:name="_Toc5907"/>
      <w:bookmarkStart w:id="5" w:name="_Toc317775175"/>
      <w:r>
        <w:rPr>
          <w:rFonts w:hint="eastAsia" w:ascii="微软雅黑" w:hAnsi="微软雅黑" w:eastAsia="微软雅黑"/>
          <w:color w:val="auto"/>
          <w:sz w:val="24"/>
          <w:highlight w:val="none"/>
        </w:rPr>
        <w:t>一、竞争性磋商内容</w:t>
      </w:r>
      <w:bookmarkEnd w:id="3"/>
      <w:bookmarkEnd w:id="4"/>
      <w:bookmarkEnd w:id="5"/>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1200"/>
        <w:gridCol w:w="1428"/>
        <w:gridCol w:w="1314"/>
        <w:gridCol w:w="1454"/>
        <w:gridCol w:w="1821"/>
      </w:tblGrid>
      <w:tr w14:paraId="01E5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04" w:type="pct"/>
            <w:tcBorders>
              <w:top w:val="single" w:color="auto" w:sz="4" w:space="0"/>
              <w:left w:val="single" w:color="auto" w:sz="4" w:space="0"/>
              <w:right w:val="single" w:color="auto" w:sz="4" w:space="0"/>
            </w:tcBorders>
            <w:vAlign w:val="center"/>
          </w:tcPr>
          <w:p w14:paraId="1238D6F1">
            <w:pPr>
              <w:widowControl/>
              <w:jc w:val="center"/>
              <w:rPr>
                <w:rFonts w:ascii="微软雅黑" w:hAnsi="微软雅黑" w:eastAsia="微软雅黑" w:cs="宋体"/>
                <w:b/>
                <w:bCs/>
                <w:color w:val="auto"/>
                <w:kern w:val="0"/>
                <w:highlight w:val="none"/>
              </w:rPr>
            </w:pPr>
            <w:r>
              <w:rPr>
                <w:rFonts w:hint="eastAsia" w:ascii="微软雅黑" w:hAnsi="微软雅黑" w:eastAsia="微软雅黑" w:cs="宋体"/>
                <w:b/>
                <w:color w:val="auto"/>
                <w:kern w:val="0"/>
                <w:szCs w:val="21"/>
                <w:highlight w:val="none"/>
              </w:rPr>
              <w:t>采购内容</w:t>
            </w:r>
          </w:p>
        </w:tc>
        <w:tc>
          <w:tcPr>
            <w:tcW w:w="631" w:type="pct"/>
            <w:tcBorders>
              <w:top w:val="single" w:color="auto" w:sz="4" w:space="0"/>
              <w:left w:val="single" w:color="auto" w:sz="4" w:space="0"/>
              <w:right w:val="single" w:color="auto" w:sz="4" w:space="0"/>
            </w:tcBorders>
            <w:vAlign w:val="center"/>
          </w:tcPr>
          <w:p w14:paraId="00E8A985">
            <w:pPr>
              <w:snapToGrid w:val="0"/>
              <w:jc w:val="center"/>
              <w:rPr>
                <w:rFonts w:ascii="微软雅黑" w:hAnsi="微软雅黑" w:eastAsia="微软雅黑" w:cs="宋体"/>
                <w:b/>
                <w:bCs/>
                <w:color w:val="auto"/>
                <w:kern w:val="0"/>
                <w:highlight w:val="none"/>
              </w:rPr>
            </w:pPr>
            <w:r>
              <w:rPr>
                <w:rFonts w:hint="eastAsia" w:ascii="微软雅黑" w:hAnsi="微软雅黑" w:eastAsia="微软雅黑" w:cs="宋体"/>
                <w:b/>
                <w:color w:val="auto"/>
                <w:kern w:val="0"/>
                <w:szCs w:val="21"/>
                <w:highlight w:val="none"/>
              </w:rPr>
              <w:t>服务时间</w:t>
            </w:r>
          </w:p>
        </w:tc>
        <w:tc>
          <w:tcPr>
            <w:tcW w:w="751" w:type="pct"/>
            <w:tcBorders>
              <w:top w:val="single" w:color="auto" w:sz="4" w:space="0"/>
              <w:left w:val="single" w:color="auto" w:sz="4" w:space="0"/>
              <w:right w:val="single" w:color="auto" w:sz="4" w:space="0"/>
            </w:tcBorders>
            <w:vAlign w:val="center"/>
          </w:tcPr>
          <w:p w14:paraId="0061393A">
            <w:pPr>
              <w:jc w:val="center"/>
              <w:rPr>
                <w:rFonts w:ascii="微软雅黑" w:hAnsi="微软雅黑" w:eastAsia="微软雅黑" w:cs="宋体"/>
                <w:b/>
                <w:bCs/>
                <w:color w:val="auto"/>
                <w:kern w:val="0"/>
                <w:highlight w:val="none"/>
              </w:rPr>
            </w:pPr>
            <w:r>
              <w:rPr>
                <w:rFonts w:hint="eastAsia" w:ascii="微软雅黑" w:hAnsi="微软雅黑" w:eastAsia="微软雅黑" w:cs="宋体"/>
                <w:b/>
                <w:bCs/>
                <w:color w:val="auto"/>
                <w:kern w:val="0"/>
                <w:highlight w:val="none"/>
              </w:rPr>
              <w:t>采购预算（万元）</w:t>
            </w:r>
          </w:p>
        </w:tc>
        <w:tc>
          <w:tcPr>
            <w:tcW w:w="691" w:type="pct"/>
            <w:tcBorders>
              <w:top w:val="single" w:color="auto" w:sz="4" w:space="0"/>
              <w:left w:val="single" w:color="auto" w:sz="4" w:space="0"/>
              <w:right w:val="single" w:color="auto" w:sz="4" w:space="0"/>
            </w:tcBorders>
            <w:vAlign w:val="center"/>
          </w:tcPr>
          <w:p w14:paraId="10503D07">
            <w:pPr>
              <w:widowControl/>
              <w:spacing w:line="360" w:lineRule="exact"/>
              <w:jc w:val="center"/>
              <w:rPr>
                <w:rFonts w:ascii="微软雅黑" w:hAnsi="微软雅黑" w:eastAsia="微软雅黑" w:cs="宋体"/>
                <w:b/>
                <w:bCs/>
                <w:color w:val="auto"/>
                <w:kern w:val="0"/>
                <w:highlight w:val="none"/>
              </w:rPr>
            </w:pPr>
            <w:r>
              <w:rPr>
                <w:rFonts w:hint="eastAsia" w:ascii="微软雅黑" w:hAnsi="微软雅黑" w:eastAsia="微软雅黑" w:cs="宋体"/>
                <w:b/>
                <w:color w:val="auto"/>
                <w:kern w:val="0"/>
                <w:szCs w:val="21"/>
                <w:highlight w:val="none"/>
              </w:rPr>
              <w:t>最高折扣限价</w:t>
            </w:r>
          </w:p>
        </w:tc>
        <w:tc>
          <w:tcPr>
            <w:tcW w:w="765" w:type="pct"/>
            <w:tcBorders>
              <w:top w:val="single" w:color="auto" w:sz="4" w:space="0"/>
              <w:left w:val="single" w:color="auto" w:sz="4" w:space="0"/>
              <w:right w:val="single" w:color="auto" w:sz="4" w:space="0"/>
            </w:tcBorders>
            <w:vAlign w:val="center"/>
          </w:tcPr>
          <w:p w14:paraId="38BC0E62">
            <w:pPr>
              <w:jc w:val="center"/>
              <w:rPr>
                <w:rFonts w:ascii="微软雅黑" w:hAnsi="微软雅黑" w:eastAsia="微软雅黑" w:cs="宋体"/>
                <w:b/>
                <w:bCs/>
                <w:color w:val="auto"/>
                <w:kern w:val="0"/>
                <w:highlight w:val="none"/>
              </w:rPr>
            </w:pPr>
            <w:r>
              <w:rPr>
                <w:rFonts w:hint="eastAsia" w:ascii="微软雅黑" w:hAnsi="微软雅黑" w:eastAsia="微软雅黑" w:cs="宋体"/>
                <w:b/>
                <w:bCs/>
                <w:color w:val="auto"/>
                <w:kern w:val="0"/>
                <w:highlight w:val="none"/>
              </w:rPr>
              <w:t>成交供应商数量（名）</w:t>
            </w:r>
          </w:p>
        </w:tc>
        <w:tc>
          <w:tcPr>
            <w:tcW w:w="956" w:type="pct"/>
            <w:tcBorders>
              <w:top w:val="single" w:color="auto" w:sz="4" w:space="0"/>
              <w:left w:val="single" w:color="auto" w:sz="4" w:space="0"/>
              <w:right w:val="single" w:color="auto" w:sz="4" w:space="0"/>
            </w:tcBorders>
            <w:vAlign w:val="center"/>
          </w:tcPr>
          <w:p w14:paraId="28BE3B6A">
            <w:pPr>
              <w:jc w:val="center"/>
              <w:rPr>
                <w:rFonts w:ascii="微软雅黑" w:hAnsi="微软雅黑" w:eastAsia="微软雅黑" w:cs="宋体"/>
                <w:b/>
                <w:bCs/>
                <w:color w:val="auto"/>
                <w:kern w:val="0"/>
                <w:highlight w:val="none"/>
              </w:rPr>
            </w:pPr>
            <w:r>
              <w:rPr>
                <w:rFonts w:hint="eastAsia" w:ascii="微软雅黑" w:hAnsi="微软雅黑" w:eastAsia="微软雅黑" w:cs="宋体"/>
                <w:b/>
                <w:bCs/>
                <w:color w:val="auto"/>
                <w:kern w:val="0"/>
                <w:highlight w:val="none"/>
              </w:rPr>
              <w:t>采购标的对应的中小企业划分标准所属行业</w:t>
            </w:r>
          </w:p>
        </w:tc>
      </w:tr>
      <w:tr w14:paraId="0AAC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14:paraId="79A21F68">
            <w:pPr>
              <w:widowControl/>
              <w:jc w:val="center"/>
              <w:rPr>
                <w:rFonts w:ascii="微软雅黑" w:hAnsi="微软雅黑" w:eastAsia="微软雅黑" w:cs="宋体"/>
                <w:color w:val="auto"/>
                <w:kern w:val="0"/>
                <w:highlight w:val="none"/>
              </w:rPr>
            </w:pPr>
            <w:bookmarkStart w:id="6" w:name="_Hlk344477914"/>
            <w:r>
              <w:rPr>
                <w:rFonts w:hint="eastAsia" w:ascii="微软雅黑" w:hAnsi="微软雅黑" w:eastAsia="微软雅黑" w:cs="宋体"/>
                <w:color w:val="auto"/>
                <w:kern w:val="0"/>
                <w:highlight w:val="none"/>
              </w:rPr>
              <w:t>重庆市政务数字化应用评审第三方机构采购（涉密领域）</w:t>
            </w:r>
          </w:p>
        </w:tc>
        <w:tc>
          <w:tcPr>
            <w:tcW w:w="631" w:type="pct"/>
            <w:tcBorders>
              <w:top w:val="single" w:color="auto" w:sz="4" w:space="0"/>
              <w:left w:val="single" w:color="auto" w:sz="4" w:space="0"/>
              <w:bottom w:val="single" w:color="auto" w:sz="4" w:space="0"/>
              <w:right w:val="single" w:color="auto" w:sz="4" w:space="0"/>
            </w:tcBorders>
            <w:vAlign w:val="center"/>
          </w:tcPr>
          <w:p w14:paraId="1BB5C61C">
            <w:pPr>
              <w:widowControl/>
              <w:spacing w:line="360" w:lineRule="exact"/>
              <w:jc w:val="center"/>
              <w:rPr>
                <w:rFonts w:ascii="微软雅黑" w:hAnsi="微软雅黑" w:eastAsia="微软雅黑" w:cs="宋体"/>
                <w:color w:val="auto"/>
                <w:kern w:val="0"/>
                <w:highlight w:val="none"/>
              </w:rPr>
            </w:pPr>
            <w:r>
              <w:rPr>
                <w:rFonts w:hint="eastAsia" w:ascii="微软雅黑" w:hAnsi="微软雅黑" w:eastAsia="微软雅黑"/>
                <w:color w:val="auto"/>
                <w:szCs w:val="21"/>
                <w:highlight w:val="none"/>
              </w:rPr>
              <w:t>1年</w:t>
            </w:r>
          </w:p>
        </w:tc>
        <w:tc>
          <w:tcPr>
            <w:tcW w:w="751" w:type="pct"/>
            <w:tcBorders>
              <w:top w:val="single" w:color="auto" w:sz="4" w:space="0"/>
              <w:left w:val="single" w:color="auto" w:sz="4" w:space="0"/>
              <w:bottom w:val="single" w:color="auto" w:sz="4" w:space="0"/>
              <w:right w:val="single" w:color="auto" w:sz="4" w:space="0"/>
            </w:tcBorders>
            <w:vAlign w:val="center"/>
          </w:tcPr>
          <w:p w14:paraId="058681F5">
            <w:pPr>
              <w:widowControl/>
              <w:jc w:val="center"/>
              <w:rPr>
                <w:rFonts w:ascii="微软雅黑" w:hAnsi="微软雅黑" w:eastAsia="微软雅黑" w:cs="宋体"/>
                <w:color w:val="auto"/>
                <w:kern w:val="0"/>
                <w:highlight w:val="none"/>
              </w:rPr>
            </w:pPr>
            <w:r>
              <w:rPr>
                <w:rFonts w:hint="eastAsia" w:ascii="微软雅黑" w:hAnsi="微软雅黑" w:eastAsia="微软雅黑" w:cs="宋体"/>
                <w:color w:val="auto"/>
                <w:kern w:val="0"/>
                <w:highlight w:val="none"/>
              </w:rPr>
              <w:t>48.00</w:t>
            </w:r>
          </w:p>
        </w:tc>
        <w:tc>
          <w:tcPr>
            <w:tcW w:w="691" w:type="pct"/>
            <w:tcBorders>
              <w:top w:val="single" w:color="auto" w:sz="4" w:space="0"/>
              <w:left w:val="single" w:color="auto" w:sz="4" w:space="0"/>
              <w:bottom w:val="single" w:color="auto" w:sz="4" w:space="0"/>
              <w:right w:val="single" w:color="auto" w:sz="4" w:space="0"/>
            </w:tcBorders>
            <w:vAlign w:val="center"/>
          </w:tcPr>
          <w:p w14:paraId="551509AD">
            <w:pPr>
              <w:widowControl/>
              <w:spacing w:line="360" w:lineRule="exact"/>
              <w:jc w:val="center"/>
              <w:rPr>
                <w:rFonts w:ascii="微软雅黑" w:hAnsi="微软雅黑" w:eastAsia="微软雅黑" w:cs="宋体"/>
                <w:color w:val="auto"/>
                <w:kern w:val="0"/>
                <w:highlight w:val="none"/>
              </w:rPr>
            </w:pPr>
            <w:r>
              <w:rPr>
                <w:rFonts w:hint="eastAsia" w:ascii="微软雅黑" w:hAnsi="微软雅黑" w:eastAsia="微软雅黑" w:cs="宋体"/>
                <w:color w:val="auto"/>
                <w:kern w:val="0"/>
                <w:highlight w:val="none"/>
              </w:rPr>
              <w:t>100%</w:t>
            </w:r>
          </w:p>
        </w:tc>
        <w:tc>
          <w:tcPr>
            <w:tcW w:w="765" w:type="pct"/>
            <w:tcBorders>
              <w:top w:val="single" w:color="auto" w:sz="4" w:space="0"/>
              <w:left w:val="single" w:color="auto" w:sz="4" w:space="0"/>
              <w:bottom w:val="single" w:color="auto" w:sz="4" w:space="0"/>
              <w:right w:val="single" w:color="auto" w:sz="4" w:space="0"/>
            </w:tcBorders>
            <w:vAlign w:val="center"/>
          </w:tcPr>
          <w:p w14:paraId="10DEC1D0">
            <w:pPr>
              <w:widowControl/>
              <w:jc w:val="center"/>
              <w:rPr>
                <w:rFonts w:ascii="微软雅黑" w:hAnsi="微软雅黑" w:eastAsia="微软雅黑"/>
                <w:b/>
                <w:color w:val="auto"/>
                <w:szCs w:val="21"/>
                <w:highlight w:val="none"/>
              </w:rPr>
            </w:pPr>
            <w:r>
              <w:rPr>
                <w:rFonts w:hint="eastAsia" w:ascii="微软雅黑" w:hAnsi="微软雅黑" w:eastAsia="微软雅黑" w:cs="宋体"/>
                <w:color w:val="auto"/>
                <w:kern w:val="0"/>
                <w:highlight w:val="none"/>
              </w:rPr>
              <w:t>1</w:t>
            </w:r>
          </w:p>
        </w:tc>
        <w:tc>
          <w:tcPr>
            <w:tcW w:w="956" w:type="pct"/>
            <w:tcBorders>
              <w:top w:val="single" w:color="auto" w:sz="4" w:space="0"/>
              <w:left w:val="single" w:color="auto" w:sz="4" w:space="0"/>
              <w:bottom w:val="single" w:color="auto" w:sz="4" w:space="0"/>
              <w:right w:val="single" w:color="auto" w:sz="4" w:space="0"/>
            </w:tcBorders>
            <w:vAlign w:val="center"/>
          </w:tcPr>
          <w:p w14:paraId="10F45972">
            <w:pPr>
              <w:jc w:val="center"/>
              <w:rPr>
                <w:rFonts w:ascii="微软雅黑" w:hAnsi="微软雅黑" w:eastAsia="微软雅黑" w:cs="宋体"/>
                <w:color w:val="auto"/>
                <w:kern w:val="0"/>
                <w:highlight w:val="none"/>
              </w:rPr>
            </w:pPr>
            <w:r>
              <w:rPr>
                <w:rFonts w:hint="eastAsia" w:ascii="微软雅黑" w:hAnsi="微软雅黑" w:eastAsia="微软雅黑"/>
                <w:bCs/>
                <w:color w:val="auto"/>
                <w:szCs w:val="21"/>
                <w:highlight w:val="none"/>
              </w:rPr>
              <w:t>其他未列明行业</w:t>
            </w:r>
          </w:p>
        </w:tc>
      </w:tr>
      <w:tr w14:paraId="0818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00" w:type="pct"/>
            <w:gridSpan w:val="6"/>
            <w:tcBorders>
              <w:top w:val="single" w:color="auto" w:sz="4" w:space="0"/>
              <w:left w:val="single" w:color="auto" w:sz="4" w:space="0"/>
              <w:right w:val="single" w:color="auto" w:sz="4" w:space="0"/>
            </w:tcBorders>
            <w:vAlign w:val="center"/>
          </w:tcPr>
          <w:p w14:paraId="73ED4AA6">
            <w:pPr>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备注：以上磋商内容的具体服务需求，见第二篇相关内容。</w:t>
            </w:r>
          </w:p>
        </w:tc>
      </w:tr>
      <w:bookmarkEnd w:id="6"/>
    </w:tbl>
    <w:p w14:paraId="31425D56">
      <w:pPr>
        <w:pStyle w:val="3"/>
        <w:adjustRightInd w:val="0"/>
        <w:snapToGrid w:val="0"/>
        <w:spacing w:before="0" w:after="0" w:line="440" w:lineRule="exact"/>
        <w:rPr>
          <w:rFonts w:ascii="微软雅黑" w:hAnsi="微软雅黑" w:eastAsia="微软雅黑"/>
          <w:color w:val="auto"/>
          <w:sz w:val="24"/>
          <w:highlight w:val="none"/>
        </w:rPr>
      </w:pPr>
      <w:bookmarkStart w:id="7" w:name="_Toc28891"/>
      <w:bookmarkStart w:id="8" w:name="_Toc373860293"/>
      <w:bookmarkStart w:id="9" w:name="_Toc317775178"/>
      <w:r>
        <w:rPr>
          <w:rFonts w:hint="eastAsia" w:ascii="微软雅黑" w:hAnsi="微软雅黑" w:eastAsia="微软雅黑"/>
          <w:color w:val="auto"/>
          <w:sz w:val="24"/>
          <w:highlight w:val="none"/>
        </w:rPr>
        <w:t>二、资金来源</w:t>
      </w:r>
      <w:bookmarkEnd w:id="7"/>
    </w:p>
    <w:p w14:paraId="285AE642">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财政预算资金，采购预算金额为</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u w:val="single"/>
        </w:rPr>
        <w:t>48.00</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w:t>
      </w:r>
    </w:p>
    <w:p w14:paraId="59E3C2EE">
      <w:pPr>
        <w:pStyle w:val="3"/>
        <w:adjustRightInd w:val="0"/>
        <w:snapToGrid w:val="0"/>
        <w:spacing w:before="0" w:after="0" w:line="440" w:lineRule="exact"/>
        <w:rPr>
          <w:rFonts w:ascii="微软雅黑" w:hAnsi="微软雅黑" w:eastAsia="微软雅黑"/>
          <w:color w:val="auto"/>
          <w:sz w:val="24"/>
          <w:highlight w:val="none"/>
        </w:rPr>
      </w:pPr>
      <w:bookmarkStart w:id="10" w:name="_Toc15790"/>
      <w:r>
        <w:rPr>
          <w:rFonts w:hint="eastAsia" w:ascii="微软雅黑" w:hAnsi="微软雅黑" w:eastAsia="微软雅黑"/>
          <w:color w:val="auto"/>
          <w:sz w:val="24"/>
          <w:highlight w:val="none"/>
        </w:rPr>
        <w:t>三、供</w:t>
      </w:r>
      <w:r>
        <w:rPr>
          <w:rFonts w:ascii="微软雅黑" w:hAnsi="微软雅黑" w:eastAsia="微软雅黑"/>
          <w:color w:val="auto"/>
          <w:sz w:val="24"/>
          <w:highlight w:val="none"/>
        </w:rPr>
        <w:t>应商的</w:t>
      </w:r>
      <w:r>
        <w:rPr>
          <w:rFonts w:hint="eastAsia" w:ascii="微软雅黑" w:hAnsi="微软雅黑" w:eastAsia="微软雅黑"/>
          <w:color w:val="auto"/>
          <w:sz w:val="24"/>
          <w:highlight w:val="none"/>
        </w:rPr>
        <w:t>资格条</w:t>
      </w:r>
      <w:r>
        <w:rPr>
          <w:rFonts w:ascii="微软雅黑" w:hAnsi="微软雅黑" w:eastAsia="微软雅黑"/>
          <w:color w:val="auto"/>
          <w:sz w:val="24"/>
          <w:highlight w:val="none"/>
        </w:rPr>
        <w:t>件</w:t>
      </w:r>
      <w:bookmarkEnd w:id="10"/>
    </w:p>
    <w:p w14:paraId="65044C7D">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（一）满足《中华人民共和国政府采购法》第二十二条规定：</w:t>
      </w:r>
    </w:p>
    <w:p w14:paraId="50411623">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r>
        <w:rPr>
          <w:rFonts w:ascii="微软雅黑" w:hAnsi="微软雅黑" w:eastAsia="微软雅黑"/>
          <w:color w:val="auto"/>
          <w:szCs w:val="21"/>
          <w:highlight w:val="none"/>
        </w:rPr>
        <w:t>具有独立承担民事责任的能力；</w:t>
      </w:r>
    </w:p>
    <w:p w14:paraId="5DF4A593">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r>
        <w:rPr>
          <w:rFonts w:ascii="微软雅黑" w:hAnsi="微软雅黑" w:eastAsia="微软雅黑"/>
          <w:color w:val="auto"/>
          <w:szCs w:val="21"/>
          <w:highlight w:val="none"/>
        </w:rPr>
        <w:t>具有良好的商业信誉和健全的财务会计制度；</w:t>
      </w:r>
    </w:p>
    <w:p w14:paraId="33A49F4F">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具有履行合同所必需的设备和专业技术能力；</w:t>
      </w:r>
    </w:p>
    <w:p w14:paraId="740966C6">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r>
        <w:rPr>
          <w:rFonts w:ascii="微软雅黑" w:hAnsi="微软雅黑" w:eastAsia="微软雅黑"/>
          <w:color w:val="auto"/>
          <w:szCs w:val="21"/>
          <w:highlight w:val="none"/>
        </w:rPr>
        <w:t>有依法缴纳税收和社会保障资金的良好记录；</w:t>
      </w:r>
    </w:p>
    <w:p w14:paraId="35C8720C">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w:t>
      </w:r>
      <w:r>
        <w:rPr>
          <w:rFonts w:ascii="微软雅黑" w:hAnsi="微软雅黑" w:eastAsia="微软雅黑"/>
          <w:color w:val="auto"/>
          <w:szCs w:val="21"/>
          <w:highlight w:val="none"/>
        </w:rPr>
        <w:t>参加政府采购活动前三年内，在经营活动中没有重大违法记录；</w:t>
      </w:r>
    </w:p>
    <w:p w14:paraId="2BA29E3A">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w:t>
      </w:r>
      <w:r>
        <w:rPr>
          <w:rFonts w:ascii="微软雅黑" w:hAnsi="微软雅黑" w:eastAsia="微软雅黑"/>
          <w:color w:val="auto"/>
          <w:szCs w:val="21"/>
          <w:highlight w:val="none"/>
        </w:rPr>
        <w:t>法律、行政法规规定的其他条件。</w:t>
      </w:r>
    </w:p>
    <w:p w14:paraId="3397D581">
      <w:pPr>
        <w:spacing w:line="440" w:lineRule="exact"/>
        <w:ind w:firstLine="420" w:firstLineChars="200"/>
        <w:rPr>
          <w:rFonts w:ascii="微软雅黑" w:hAnsi="微软雅黑" w:eastAsia="微软雅黑"/>
          <w:b/>
          <w:bCs/>
          <w:color w:val="auto"/>
          <w:szCs w:val="21"/>
          <w:highlight w:val="none"/>
          <w:u w:val="single"/>
        </w:rPr>
      </w:pPr>
      <w:r>
        <w:rPr>
          <w:rFonts w:hint="eastAsia" w:ascii="微软雅黑" w:hAnsi="微软雅黑" w:eastAsia="微软雅黑"/>
          <w:color w:val="auto"/>
          <w:szCs w:val="21"/>
          <w:highlight w:val="none"/>
        </w:rPr>
        <w:t>（二）落实政府采购政策需满足的资格要求：无。</w:t>
      </w:r>
    </w:p>
    <w:p w14:paraId="3B9556B8">
      <w:pPr>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color w:val="auto"/>
          <w:szCs w:val="21"/>
          <w:highlight w:val="none"/>
        </w:rPr>
        <w:t>（三）本项目的特定资格要求：</w:t>
      </w:r>
      <w:r>
        <w:rPr>
          <w:rFonts w:hint="eastAsia" w:ascii="微软雅黑" w:hAnsi="微软雅黑" w:eastAsia="微软雅黑"/>
          <w:b/>
          <w:color w:val="auto"/>
          <w:szCs w:val="21"/>
          <w:highlight w:val="none"/>
        </w:rPr>
        <w:t>具有保密行政主管部门颁发的在有效期内的涉密信息系统集成（系统咨询）乙级及以上资质（提供资质证书复印件）</w:t>
      </w:r>
      <w:r>
        <w:rPr>
          <w:rFonts w:hint="eastAsia" w:ascii="微软雅黑" w:hAnsi="微软雅黑" w:eastAsia="微软雅黑"/>
          <w:color w:val="auto"/>
          <w:szCs w:val="21"/>
          <w:highlight w:val="none"/>
        </w:rPr>
        <w:t>。</w:t>
      </w:r>
    </w:p>
    <w:p w14:paraId="2F1DDF46">
      <w:pPr>
        <w:pStyle w:val="3"/>
        <w:adjustRightInd w:val="0"/>
        <w:snapToGrid w:val="0"/>
        <w:spacing w:before="0" w:after="0" w:line="440" w:lineRule="exact"/>
        <w:rPr>
          <w:rFonts w:ascii="微软雅黑" w:hAnsi="微软雅黑" w:eastAsia="微软雅黑"/>
          <w:color w:val="auto"/>
          <w:sz w:val="24"/>
          <w:highlight w:val="none"/>
        </w:rPr>
      </w:pPr>
      <w:bookmarkStart w:id="11" w:name="_Toc9504"/>
      <w:r>
        <w:rPr>
          <w:rFonts w:hint="eastAsia" w:ascii="微软雅黑" w:hAnsi="微软雅黑" w:eastAsia="微软雅黑"/>
          <w:color w:val="auto"/>
          <w:sz w:val="24"/>
          <w:highlight w:val="none"/>
        </w:rPr>
        <w:t>四、磋商的有关说明</w:t>
      </w:r>
      <w:bookmarkEnd w:id="8"/>
      <w:bookmarkEnd w:id="11"/>
    </w:p>
    <w:bookmarkEnd w:id="9"/>
    <w:p w14:paraId="10EC13BA">
      <w:pPr>
        <w:spacing w:line="440" w:lineRule="exact"/>
        <w:ind w:firstLine="420" w:firstLineChars="200"/>
        <w:rPr>
          <w:rFonts w:ascii="微软雅黑" w:hAnsi="微软雅黑" w:eastAsia="微软雅黑"/>
          <w:color w:val="auto"/>
          <w:szCs w:val="21"/>
          <w:highlight w:val="none"/>
        </w:rPr>
      </w:pPr>
      <w:bookmarkStart w:id="12" w:name="_Toc31560"/>
      <w:bookmarkStart w:id="13" w:name="_Toc26945"/>
      <w:bookmarkStart w:id="14" w:name="_Toc480466698"/>
      <w:bookmarkStart w:id="15" w:name="_Toc479668114"/>
      <w:bookmarkStart w:id="16" w:name="_Toc19316"/>
      <w:bookmarkStart w:id="17" w:name="_Toc498426731"/>
      <w:r>
        <w:rPr>
          <w:rFonts w:hint="eastAsia" w:ascii="微软雅黑" w:hAnsi="微软雅黑" w:eastAsia="微软雅黑"/>
          <w:color w:val="auto"/>
          <w:szCs w:val="21"/>
          <w:highlight w:val="none"/>
        </w:rPr>
        <w:t>（一）供应商应通过“行采家”（https://www.gec123.com）登记加入“供应商库”。</w:t>
      </w:r>
    </w:p>
    <w:p w14:paraId="2E3DF02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凡有意参加磋商的供应商，请在“行采家”（https://www.gec123.com）下载或到采购代理机构处领取本项目竞争性磋商文件以及澄清等磋商前公布的所有项目资料，无论供应商领取或下载与否，均视为已知晓所有磋商实质性要求内容。</w:t>
      </w:r>
    </w:p>
    <w:p w14:paraId="3E6D3EA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（三）竞争性磋商公告期限：</w:t>
      </w:r>
      <w:r>
        <w:rPr>
          <w:rFonts w:hint="eastAsia" w:ascii="微软雅黑" w:hAnsi="微软雅黑" w:eastAsia="微软雅黑"/>
          <w:color w:val="auto"/>
          <w:szCs w:val="21"/>
          <w:highlight w:val="none"/>
        </w:rPr>
        <w:t>自采购公告发布之日起三个工作日。</w:t>
      </w:r>
    </w:p>
    <w:p w14:paraId="31A24C3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（四）磋商文件提供期限：</w:t>
      </w:r>
    </w:p>
    <w:p w14:paraId="4EEA46B9">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 磋商文件提供期限：2025年</w:t>
      </w:r>
      <w:r>
        <w:rPr>
          <w:rFonts w:ascii="微软雅黑" w:hAnsi="微软雅黑" w:eastAsia="微软雅黑"/>
          <w:color w:val="auto"/>
          <w:szCs w:val="21"/>
          <w:highlight w:val="none"/>
        </w:rPr>
        <w:t>8</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29</w:t>
      </w:r>
      <w:r>
        <w:rPr>
          <w:rFonts w:hint="eastAsia" w:ascii="微软雅黑" w:hAnsi="微软雅黑" w:eastAsia="微软雅黑"/>
          <w:color w:val="auto"/>
          <w:szCs w:val="21"/>
          <w:highlight w:val="none"/>
        </w:rPr>
        <w:t>日至2025年</w:t>
      </w:r>
      <w:r>
        <w:rPr>
          <w:rFonts w:hint="eastAsia" w:ascii="微软雅黑" w:hAnsi="微软雅黑" w:eastAsia="微软雅黑"/>
          <w:color w:val="auto"/>
          <w:szCs w:val="21"/>
          <w:highlight w:val="none"/>
          <w:lang w:val="en-US" w:eastAsia="zh-CN"/>
        </w:rPr>
        <w:t>9</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日（工作时间）。</w:t>
      </w:r>
    </w:p>
    <w:p w14:paraId="1B8034E2">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 报名方式：在磋商文件提供期限内，供应商将磋商文件购买费用汇至以下账户，并将磋商文件汇款凭证(汇款时须注明采购执行编号：TC259D0MH），同《磋商文件发售登记表》</w:t>
      </w:r>
      <w:r>
        <w:rPr>
          <w:color w:val="auto"/>
          <w:highlight w:val="none"/>
        </w:rPr>
        <w:fldChar w:fldCharType="begin"/>
      </w:r>
      <w:r>
        <w:rPr>
          <w:color w:val="auto"/>
          <w:highlight w:val="none"/>
        </w:rPr>
        <w:instrText xml:space="preserve"> HYPERLINK "mailto:发送至wanglanlan@cntcitc.com.cn" </w:instrText>
      </w:r>
      <w:r>
        <w:rPr>
          <w:color w:val="auto"/>
          <w:highlight w:val="none"/>
        </w:rPr>
        <w:fldChar w:fldCharType="separate"/>
      </w:r>
      <w:r>
        <w:rPr>
          <w:rFonts w:hint="eastAsia" w:ascii="微软雅黑" w:hAnsi="微软雅黑" w:eastAsia="微软雅黑"/>
          <w:color w:val="auto"/>
          <w:szCs w:val="21"/>
          <w:highlight w:val="none"/>
        </w:rPr>
        <w:t>发送至chenjiahuan@cntcitc.com.cn</w:t>
      </w:r>
      <w:r>
        <w:rPr>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邮箱。购买磋商文件的发票（电子发票），采购代理机构将发送至供应商磋商文件发售登记表留存的邮箱中。</w:t>
      </w:r>
    </w:p>
    <w:p w14:paraId="05E861E8">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户  名：中招国际招标有限公司重庆分公司</w:t>
      </w:r>
    </w:p>
    <w:p w14:paraId="30D2BAA0">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开户行：中国工商银行股份有限公司重庆两江分行</w:t>
      </w:r>
    </w:p>
    <w:p w14:paraId="5B8EE7ED">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账  号：3100020219200339271</w:t>
      </w:r>
    </w:p>
    <w:p w14:paraId="7846F2E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联行号：102653000110</w:t>
      </w:r>
    </w:p>
    <w:p w14:paraId="0FA28602">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 磋商文件售价：人民币300元/份（售后不退）。</w:t>
      </w:r>
    </w:p>
    <w:p w14:paraId="6C4B900D">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（五）递交响应文件地点：</w:t>
      </w:r>
      <w:r>
        <w:rPr>
          <w:rFonts w:hint="eastAsia" w:ascii="微软雅黑" w:hAnsi="微软雅黑" w:eastAsia="微软雅黑"/>
          <w:color w:val="auto"/>
          <w:szCs w:val="21"/>
          <w:highlight w:val="none"/>
        </w:rPr>
        <w:t>重庆市渝北区黄山大道中段53号5-1（双鱼座A栋5楼）。</w:t>
      </w:r>
    </w:p>
    <w:p w14:paraId="36432847">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（六）响应文件递交开始时间：</w:t>
      </w:r>
      <w:r>
        <w:rPr>
          <w:rFonts w:hint="eastAsia" w:ascii="微软雅黑" w:hAnsi="微软雅黑" w:eastAsia="微软雅黑"/>
          <w:color w:val="auto"/>
          <w:szCs w:val="21"/>
          <w:highlight w:val="none"/>
        </w:rPr>
        <w:t>2025年9月</w:t>
      </w:r>
      <w:r>
        <w:rPr>
          <w:rFonts w:hint="eastAsia" w:ascii="微软雅黑" w:hAnsi="微软雅黑" w:eastAsia="微软雅黑"/>
          <w:color w:val="auto"/>
          <w:szCs w:val="21"/>
          <w:highlight w:val="none"/>
          <w:lang w:val="en-US" w:eastAsia="zh-CN"/>
        </w:rPr>
        <w:t>9</w:t>
      </w:r>
      <w:r>
        <w:rPr>
          <w:rFonts w:hint="eastAsia" w:ascii="微软雅黑" w:hAnsi="微软雅黑" w:eastAsia="微软雅黑"/>
          <w:color w:val="auto"/>
          <w:szCs w:val="21"/>
          <w:highlight w:val="none"/>
        </w:rPr>
        <w:t>日北京时间9时30分；</w:t>
      </w:r>
    </w:p>
    <w:p w14:paraId="718B5CC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（七）响应文件递交截止时间：</w:t>
      </w:r>
      <w:r>
        <w:rPr>
          <w:rFonts w:hint="eastAsia" w:ascii="微软雅黑" w:hAnsi="微软雅黑" w:eastAsia="微软雅黑"/>
          <w:color w:val="auto"/>
          <w:szCs w:val="21"/>
          <w:highlight w:val="none"/>
        </w:rPr>
        <w:t>2025年9月</w:t>
      </w:r>
      <w:r>
        <w:rPr>
          <w:rFonts w:hint="eastAsia" w:ascii="微软雅黑" w:hAnsi="微软雅黑" w:eastAsia="微软雅黑"/>
          <w:color w:val="auto"/>
          <w:szCs w:val="21"/>
          <w:highlight w:val="none"/>
          <w:lang w:val="en-US" w:eastAsia="zh-CN"/>
        </w:rPr>
        <w:t>9</w:t>
      </w:r>
      <w:r>
        <w:rPr>
          <w:rFonts w:hint="eastAsia" w:ascii="微软雅黑" w:hAnsi="微软雅黑" w:eastAsia="微软雅黑"/>
          <w:color w:val="auto"/>
          <w:szCs w:val="21"/>
          <w:highlight w:val="none"/>
        </w:rPr>
        <w:t>日北京时间10时00分；</w:t>
      </w:r>
    </w:p>
    <w:p w14:paraId="59A055B4">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（八）磋商开始时间:</w:t>
      </w:r>
      <w:r>
        <w:rPr>
          <w:rFonts w:hint="eastAsia" w:ascii="微软雅黑" w:hAnsi="微软雅黑" w:eastAsia="微软雅黑"/>
          <w:color w:val="auto"/>
          <w:szCs w:val="21"/>
          <w:highlight w:val="none"/>
        </w:rPr>
        <w:t xml:space="preserve"> 2025年9月</w:t>
      </w:r>
      <w:r>
        <w:rPr>
          <w:rFonts w:hint="eastAsia" w:ascii="微软雅黑" w:hAnsi="微软雅黑" w:eastAsia="微软雅黑"/>
          <w:color w:val="auto"/>
          <w:szCs w:val="21"/>
          <w:highlight w:val="none"/>
          <w:lang w:val="en-US" w:eastAsia="zh-CN"/>
        </w:rPr>
        <w:t>9</w:t>
      </w:r>
      <w:r>
        <w:rPr>
          <w:rFonts w:hint="eastAsia" w:ascii="微软雅黑" w:hAnsi="微软雅黑" w:eastAsia="微软雅黑"/>
          <w:color w:val="auto"/>
          <w:szCs w:val="21"/>
          <w:highlight w:val="none"/>
        </w:rPr>
        <w:t>日北京时间10时00分；</w:t>
      </w:r>
    </w:p>
    <w:p w14:paraId="1515A68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（九）磋商地点：</w:t>
      </w:r>
      <w:r>
        <w:rPr>
          <w:rFonts w:hint="eastAsia" w:ascii="微软雅黑" w:hAnsi="微软雅黑" w:eastAsia="微软雅黑"/>
          <w:color w:val="auto"/>
          <w:szCs w:val="21"/>
          <w:highlight w:val="none"/>
        </w:rPr>
        <w:t>同递交响应文件地点。</w:t>
      </w:r>
    </w:p>
    <w:bookmarkEnd w:id="12"/>
    <w:p w14:paraId="57E885BC">
      <w:pPr>
        <w:pStyle w:val="3"/>
        <w:adjustRightInd w:val="0"/>
        <w:snapToGrid w:val="0"/>
        <w:spacing w:before="0" w:after="0" w:line="440" w:lineRule="exact"/>
        <w:rPr>
          <w:rFonts w:ascii="微软雅黑" w:hAnsi="微软雅黑" w:eastAsia="微软雅黑"/>
          <w:color w:val="auto"/>
          <w:sz w:val="24"/>
          <w:highlight w:val="none"/>
        </w:rPr>
      </w:pPr>
      <w:bookmarkStart w:id="18" w:name="_Toc12216"/>
      <w:r>
        <w:rPr>
          <w:rFonts w:hint="eastAsia" w:ascii="微软雅黑" w:hAnsi="微软雅黑" w:eastAsia="微软雅黑"/>
          <w:color w:val="auto"/>
          <w:sz w:val="24"/>
          <w:highlight w:val="none"/>
        </w:rPr>
        <w:t>五、采购项目需落实的政府采购政策</w:t>
      </w:r>
      <w:bookmarkEnd w:id="13"/>
      <w:bookmarkEnd w:id="14"/>
      <w:bookmarkEnd w:id="15"/>
      <w:bookmarkEnd w:id="16"/>
      <w:bookmarkEnd w:id="18"/>
    </w:p>
    <w:p w14:paraId="07E4D44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（一）参照《财政部</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生态环境部关于印发环境标志产品政府采购品目清单的通知》（财库〔</w:t>
      </w:r>
      <w:r>
        <w:rPr>
          <w:rFonts w:ascii="微软雅黑" w:hAnsi="微软雅黑" w:eastAsia="微软雅黑"/>
          <w:color w:val="auto"/>
          <w:szCs w:val="21"/>
          <w:highlight w:val="none"/>
        </w:rPr>
        <w:t>2019</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18</w:t>
      </w:r>
      <w:r>
        <w:rPr>
          <w:rFonts w:hint="eastAsia" w:ascii="微软雅黑" w:hAnsi="微软雅黑" w:eastAsia="微软雅黑"/>
          <w:color w:val="auto"/>
          <w:szCs w:val="21"/>
          <w:highlight w:val="none"/>
        </w:rPr>
        <w:t>号）和《财政部</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发展改革委关于印发节能产品政府采购品目清单的通知》（财库〔</w:t>
      </w:r>
      <w:r>
        <w:rPr>
          <w:rFonts w:ascii="微软雅黑" w:hAnsi="微软雅黑" w:eastAsia="微软雅黑"/>
          <w:color w:val="auto"/>
          <w:szCs w:val="21"/>
          <w:highlight w:val="none"/>
        </w:rPr>
        <w:t>2019</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19</w:t>
      </w:r>
      <w:r>
        <w:rPr>
          <w:rFonts w:hint="eastAsia" w:ascii="微软雅黑" w:hAnsi="微软雅黑" w:eastAsia="微软雅黑"/>
          <w:color w:val="auto"/>
          <w:szCs w:val="21"/>
          <w:highlight w:val="none"/>
        </w:rPr>
        <w:t>号）的规定，落实国家节能环保政策。</w:t>
      </w:r>
    </w:p>
    <w:p w14:paraId="3136383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（二）参照财政部、工业和信息化部关于印发《政府采购促进中小企业发展管理办法》的通知（财库〔</w:t>
      </w:r>
      <w:r>
        <w:rPr>
          <w:rFonts w:ascii="微软雅黑" w:hAnsi="微软雅黑" w:eastAsia="微软雅黑"/>
          <w:color w:val="auto"/>
          <w:szCs w:val="21"/>
          <w:highlight w:val="none"/>
        </w:rPr>
        <w:t>2020</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46</w:t>
      </w:r>
      <w:r>
        <w:rPr>
          <w:rFonts w:hint="eastAsia" w:ascii="微软雅黑" w:hAnsi="微软雅黑" w:eastAsia="微软雅黑"/>
          <w:color w:val="auto"/>
          <w:szCs w:val="21"/>
          <w:highlight w:val="none"/>
        </w:rPr>
        <w:t>号）的规定，落实促进中小企业发展政策。</w:t>
      </w:r>
    </w:p>
    <w:p w14:paraId="65687BB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（三）参照</w:t>
      </w:r>
      <w:r>
        <w:rPr>
          <w:rFonts w:ascii="微软雅黑" w:hAnsi="微软雅黑" w:eastAsia="微软雅黑"/>
          <w:color w:val="auto"/>
          <w:szCs w:val="21"/>
          <w:highlight w:val="none"/>
        </w:rPr>
        <w:t>&lt;</w:t>
      </w:r>
      <w:r>
        <w:rPr>
          <w:rFonts w:hint="eastAsia" w:ascii="微软雅黑" w:hAnsi="微软雅黑" w:eastAsia="微软雅黑"/>
          <w:color w:val="auto"/>
          <w:szCs w:val="21"/>
          <w:highlight w:val="none"/>
        </w:rPr>
        <w:t>财政部、司法部关于政府采购支持监狱企业发展有关问题的通知</w:t>
      </w:r>
      <w:r>
        <w:rPr>
          <w:rFonts w:ascii="微软雅黑" w:hAnsi="微软雅黑" w:eastAsia="微软雅黑"/>
          <w:color w:val="auto"/>
          <w:szCs w:val="21"/>
          <w:highlight w:val="none"/>
        </w:rPr>
        <w:t>&gt;</w:t>
      </w:r>
      <w:r>
        <w:rPr>
          <w:rFonts w:hint="eastAsia" w:ascii="微软雅黑" w:hAnsi="微软雅黑" w:eastAsia="微软雅黑"/>
          <w:color w:val="auto"/>
          <w:szCs w:val="21"/>
          <w:highlight w:val="none"/>
        </w:rPr>
        <w:t>（财库〔</w:t>
      </w:r>
      <w:r>
        <w:rPr>
          <w:rFonts w:ascii="微软雅黑" w:hAnsi="微软雅黑" w:eastAsia="微软雅黑"/>
          <w:color w:val="auto"/>
          <w:szCs w:val="21"/>
          <w:highlight w:val="none"/>
        </w:rPr>
        <w:t>2014</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68</w:t>
      </w:r>
      <w:r>
        <w:rPr>
          <w:rFonts w:hint="eastAsia" w:ascii="微软雅黑" w:hAnsi="微软雅黑" w:eastAsia="微软雅黑"/>
          <w:color w:val="auto"/>
          <w:szCs w:val="21"/>
          <w:highlight w:val="none"/>
        </w:rPr>
        <w:t>号）的规定，落实支持监狱企业发展政策。</w:t>
      </w:r>
    </w:p>
    <w:p w14:paraId="23A579B8">
      <w:pPr>
        <w:pStyle w:val="19"/>
        <w:spacing w:line="440" w:lineRule="exact"/>
        <w:ind w:left="0" w:leftChars="0"/>
        <w:rPr>
          <w:rFonts w:ascii="微软雅黑" w:hAnsi="微软雅黑" w:eastAsia="微软雅黑"/>
          <w:color w:val="auto"/>
          <w:highlight w:val="none"/>
        </w:rPr>
      </w:pPr>
      <w:r>
        <w:rPr>
          <w:rFonts w:hint="eastAsia" w:ascii="微软雅黑" w:hAnsi="微软雅黑" w:eastAsia="微软雅黑"/>
          <w:color w:val="auto"/>
          <w:szCs w:val="21"/>
          <w:highlight w:val="none"/>
        </w:rPr>
        <w:t>（四）参照《三部门联合发布关于促进残疾人就业政府采购政策的通知》（财库〔</w:t>
      </w:r>
      <w:r>
        <w:rPr>
          <w:rFonts w:ascii="微软雅黑" w:hAnsi="微软雅黑" w:eastAsia="微软雅黑"/>
          <w:color w:val="auto"/>
          <w:szCs w:val="21"/>
          <w:highlight w:val="none"/>
        </w:rPr>
        <w:t>2017</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141</w:t>
      </w:r>
      <w:r>
        <w:rPr>
          <w:rFonts w:hint="eastAsia" w:ascii="微软雅黑" w:hAnsi="微软雅黑" w:eastAsia="微软雅黑"/>
          <w:color w:val="auto"/>
          <w:szCs w:val="21"/>
          <w:highlight w:val="none"/>
        </w:rPr>
        <w:t>号）的规定，落实支持残疾人福利性单位发展政策。</w:t>
      </w:r>
    </w:p>
    <w:bookmarkEnd w:id="17"/>
    <w:p w14:paraId="6A62B332">
      <w:pPr>
        <w:pStyle w:val="3"/>
        <w:adjustRightInd w:val="0"/>
        <w:snapToGrid w:val="0"/>
        <w:spacing w:before="0" w:after="0" w:line="440" w:lineRule="exact"/>
        <w:rPr>
          <w:rFonts w:ascii="微软雅黑" w:hAnsi="微软雅黑" w:eastAsia="微软雅黑"/>
          <w:color w:val="auto"/>
          <w:sz w:val="24"/>
          <w:highlight w:val="none"/>
        </w:rPr>
      </w:pPr>
      <w:bookmarkStart w:id="19" w:name="_Toc24104735"/>
      <w:bookmarkStart w:id="20" w:name="_Toc373860294"/>
      <w:bookmarkStart w:id="21" w:name="_Toc3348"/>
      <w:r>
        <w:rPr>
          <w:rFonts w:hint="eastAsia" w:ascii="微软雅黑" w:hAnsi="微软雅黑" w:eastAsia="微软雅黑"/>
          <w:color w:val="auto"/>
          <w:sz w:val="24"/>
          <w:highlight w:val="none"/>
        </w:rPr>
        <w:t>六、</w:t>
      </w:r>
      <w:bookmarkEnd w:id="19"/>
      <w:bookmarkEnd w:id="20"/>
      <w:bookmarkStart w:id="22" w:name="_Toc24104736"/>
      <w:r>
        <w:rPr>
          <w:rFonts w:hint="eastAsia" w:ascii="微软雅黑" w:hAnsi="微软雅黑" w:eastAsia="微软雅黑"/>
          <w:color w:val="auto"/>
          <w:sz w:val="24"/>
          <w:highlight w:val="none"/>
        </w:rPr>
        <w:t>其它有关规定</w:t>
      </w:r>
      <w:bookmarkEnd w:id="21"/>
      <w:bookmarkEnd w:id="22"/>
    </w:p>
    <w:p w14:paraId="1F7F762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（一）单位负责人为同一人或者存在直接控股、管理关系的不同供应商，不得参加同一合同项下的政府采购活动，否则均为无效响应。</w:t>
      </w:r>
    </w:p>
    <w:p w14:paraId="42604BE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（二）已参与尚在申报中的重庆市市级涉密领域的政务数字化应用、基础设施数字化项目前期设计、咨询、造价等服务的供应商，不得参加此次采购活动。</w:t>
      </w:r>
    </w:p>
    <w:p w14:paraId="4E68345E">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olor w:val="auto"/>
          <w:szCs w:val="21"/>
          <w:highlight w:val="none"/>
        </w:rPr>
        <w:t>（三）此次采购活动成交供应商在服务期内不得再参与待申报评审的重庆市市级涉密领域的政务数字化应用（基础设施数字化项目）的</w:t>
      </w:r>
      <w:r>
        <w:rPr>
          <w:rFonts w:hint="eastAsia" w:ascii="微软雅黑" w:hAnsi="微软雅黑" w:eastAsia="微软雅黑" w:cs="微软雅黑"/>
          <w:color w:val="auto"/>
          <w:szCs w:val="21"/>
          <w:highlight w:val="none"/>
        </w:rPr>
        <w:t>设计、咨询、造价、开发、监理、等保测评、审计等其他相关服务。</w:t>
      </w:r>
    </w:p>
    <w:p w14:paraId="16F6685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111CF57E">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（五）超过响应文件截止时间递交的响应文件，恕不接收。</w:t>
      </w:r>
    </w:p>
    <w:p w14:paraId="64B3310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（六）磋商费用：无论磋商结果如何，供应商参与本项目磋商的所有费用均应由供应商自行承担。</w:t>
      </w:r>
    </w:p>
    <w:p w14:paraId="547B33F0">
      <w:pPr>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（七）本项目不接受联合体参与磋商，否则按无效处理。</w:t>
      </w:r>
    </w:p>
    <w:p w14:paraId="5DECCE32">
      <w:pPr>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（八）本项目不接受合同分包，否则按无效处理。</w:t>
      </w:r>
    </w:p>
    <w:p w14:paraId="445F100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A3463F2">
      <w:pPr>
        <w:pStyle w:val="3"/>
        <w:adjustRightInd w:val="0"/>
        <w:snapToGrid w:val="0"/>
        <w:spacing w:before="0" w:after="0" w:line="440" w:lineRule="exact"/>
        <w:rPr>
          <w:rFonts w:ascii="微软雅黑" w:hAnsi="微软雅黑" w:eastAsia="微软雅黑"/>
          <w:color w:val="auto"/>
          <w:sz w:val="24"/>
          <w:highlight w:val="none"/>
        </w:rPr>
      </w:pPr>
      <w:bookmarkStart w:id="23" w:name="_Toc32201"/>
      <w:r>
        <w:rPr>
          <w:rFonts w:hint="eastAsia" w:ascii="微软雅黑" w:hAnsi="微软雅黑" w:eastAsia="微软雅黑"/>
          <w:color w:val="auto"/>
          <w:sz w:val="24"/>
          <w:highlight w:val="none"/>
        </w:rPr>
        <w:t>七、联系方式</w:t>
      </w:r>
      <w:bookmarkEnd w:id="23"/>
    </w:p>
    <w:p w14:paraId="38D1A5F5">
      <w:pPr>
        <w:snapToGrid w:val="0"/>
        <w:spacing w:line="440" w:lineRule="exact"/>
        <w:ind w:firstLine="420" w:firstLineChars="200"/>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（一）采购人： </w:t>
      </w:r>
      <w:r>
        <w:rPr>
          <w:rFonts w:hint="eastAsia" w:ascii="微软雅黑" w:hAnsi="微软雅黑" w:eastAsia="微软雅黑"/>
          <w:color w:val="auto"/>
          <w:szCs w:val="21"/>
          <w:highlight w:val="none"/>
        </w:rPr>
        <w:t>重庆市大数据应用发展管理局</w:t>
      </w:r>
    </w:p>
    <w:p w14:paraId="5F299E0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联系人：方老师</w:t>
      </w:r>
    </w:p>
    <w:p w14:paraId="6E15EBA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  话：</w:t>
      </w:r>
      <w:r>
        <w:rPr>
          <w:rFonts w:hint="eastAsia" w:ascii="微软雅黑" w:hAnsi="微软雅黑" w:eastAsia="微软雅黑" w:cs="微软雅黑"/>
          <w:color w:val="auto"/>
          <w:szCs w:val="21"/>
          <w:highlight w:val="none"/>
        </w:rPr>
        <w:t>023-67769858</w:t>
      </w:r>
    </w:p>
    <w:p w14:paraId="472E895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地  址：重庆市江北区桂花街支路10号成大锦嘉国际大厦</w:t>
      </w:r>
    </w:p>
    <w:p w14:paraId="5F3E5C6E">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二）</w:t>
      </w:r>
      <w:r>
        <w:rPr>
          <w:rFonts w:hint="eastAsia" w:ascii="微软雅黑" w:hAnsi="微软雅黑" w:eastAsia="微软雅黑"/>
          <w:color w:val="auto"/>
          <w:szCs w:val="21"/>
          <w:highlight w:val="none"/>
        </w:rPr>
        <w:t>采购代理机构：中招国际招标有限公司</w:t>
      </w:r>
    </w:p>
    <w:p w14:paraId="224D5D84">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地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址：北京市海淀区学院南路62号院1号楼6层（601-615室）、9层（903-915室）</w:t>
      </w:r>
    </w:p>
    <w:p w14:paraId="75975D22">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中招国际招标有限公司重庆分公司</w:t>
      </w:r>
    </w:p>
    <w:p w14:paraId="7C53BC7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地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址：重庆市渝北区黄山大道中段</w:t>
      </w:r>
      <w:r>
        <w:rPr>
          <w:rFonts w:ascii="微软雅黑" w:hAnsi="微软雅黑" w:eastAsia="微软雅黑"/>
          <w:color w:val="auto"/>
          <w:szCs w:val="21"/>
          <w:highlight w:val="none"/>
        </w:rPr>
        <w:t>53号5-1（双鱼座A栋5楼）</w:t>
      </w:r>
    </w:p>
    <w:p w14:paraId="5441904B">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联系人：胡 元  苏 伟</w:t>
      </w:r>
      <w:r>
        <w:rPr>
          <w:rFonts w:ascii="微软雅黑" w:hAnsi="微软雅黑" w:eastAsia="微软雅黑"/>
          <w:color w:val="auto"/>
          <w:szCs w:val="21"/>
          <w:highlight w:val="none"/>
        </w:rPr>
        <w:t xml:space="preserve">  </w:t>
      </w:r>
    </w:p>
    <w:p w14:paraId="06BC5FEB">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电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话：</w:t>
      </w:r>
      <w:r>
        <w:rPr>
          <w:rFonts w:ascii="微软雅黑" w:hAnsi="微软雅黑" w:eastAsia="微软雅黑"/>
          <w:color w:val="auto"/>
          <w:szCs w:val="21"/>
          <w:highlight w:val="none"/>
        </w:rPr>
        <w:t>023</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68881331-9110</w:t>
      </w:r>
    </w:p>
    <w:p w14:paraId="50FE128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highlight w:val="none"/>
        </w:rPr>
        <w:br w:type="page"/>
      </w:r>
    </w:p>
    <w:p w14:paraId="7C5F63B9">
      <w:pPr>
        <w:pStyle w:val="3"/>
        <w:numPr>
          <w:ilvl w:val="0"/>
          <w:numId w:val="1"/>
        </w:numPr>
        <w:spacing w:line="360" w:lineRule="auto"/>
        <w:jc w:val="center"/>
        <w:rPr>
          <w:rFonts w:ascii="微软雅黑" w:hAnsi="微软雅黑" w:eastAsia="微软雅黑"/>
          <w:color w:val="auto"/>
          <w:sz w:val="36"/>
          <w:szCs w:val="36"/>
          <w:highlight w:val="none"/>
        </w:rPr>
      </w:pPr>
      <w:r>
        <w:rPr>
          <w:rFonts w:hint="eastAsia" w:ascii="微软雅黑" w:hAnsi="微软雅黑" w:eastAsia="微软雅黑"/>
          <w:color w:val="auto"/>
          <w:sz w:val="36"/>
          <w:szCs w:val="36"/>
          <w:highlight w:val="none"/>
        </w:rPr>
        <w:t xml:space="preserve"> </w:t>
      </w:r>
      <w:r>
        <w:rPr>
          <w:rFonts w:ascii="微软雅黑" w:hAnsi="微软雅黑" w:eastAsia="微软雅黑"/>
          <w:color w:val="auto"/>
          <w:sz w:val="36"/>
          <w:szCs w:val="36"/>
          <w:highlight w:val="none"/>
        </w:rPr>
        <w:t xml:space="preserve"> </w:t>
      </w:r>
      <w:bookmarkStart w:id="24" w:name="_Toc20671"/>
      <w:r>
        <w:rPr>
          <w:rFonts w:hint="eastAsia" w:ascii="微软雅黑" w:hAnsi="微软雅黑" w:eastAsia="微软雅黑"/>
          <w:color w:val="auto"/>
          <w:sz w:val="36"/>
          <w:szCs w:val="36"/>
          <w:highlight w:val="none"/>
        </w:rPr>
        <w:t>项目服务需求</w:t>
      </w:r>
      <w:bookmarkEnd w:id="24"/>
    </w:p>
    <w:p w14:paraId="0B0A321B">
      <w:pPr>
        <w:widowControl/>
        <w:spacing w:line="440" w:lineRule="exact"/>
        <w:ind w:firstLine="420" w:firstLineChars="200"/>
        <w:rPr>
          <w:rFonts w:ascii="微软雅黑" w:hAnsi="微软雅黑" w:eastAsia="微软雅黑"/>
          <w:color w:val="auto"/>
          <w:szCs w:val="21"/>
          <w:highlight w:val="none"/>
        </w:rPr>
      </w:pPr>
      <w:bookmarkStart w:id="25" w:name="_Toc12789058"/>
      <w:r>
        <w:rPr>
          <w:rFonts w:hint="eastAsia" w:ascii="微软雅黑" w:hAnsi="微软雅黑" w:eastAsia="微软雅黑"/>
          <w:color w:val="auto"/>
          <w:szCs w:val="21"/>
          <w:highlight w:val="none"/>
        </w:rPr>
        <w:t>注：本篇“※”标注的技术需求为符合性审查中的实质性要求，若不满足按无效响应处理</w:t>
      </w:r>
    </w:p>
    <w:p w14:paraId="5AF9F547">
      <w:pPr>
        <w:pStyle w:val="3"/>
        <w:adjustRightInd w:val="0"/>
        <w:snapToGrid w:val="0"/>
        <w:spacing w:before="0" w:after="0" w:line="480" w:lineRule="exact"/>
        <w:rPr>
          <w:rFonts w:ascii="微软雅黑" w:hAnsi="微软雅黑" w:eastAsia="微软雅黑"/>
          <w:color w:val="auto"/>
          <w:sz w:val="24"/>
          <w:highlight w:val="none"/>
        </w:rPr>
      </w:pPr>
      <w:bookmarkStart w:id="26" w:name="_Toc27216"/>
      <w:r>
        <w:rPr>
          <w:rFonts w:hint="eastAsia" w:ascii="微软雅黑" w:hAnsi="微软雅黑" w:eastAsia="微软雅黑"/>
          <w:color w:val="auto"/>
          <w:sz w:val="24"/>
          <w:highlight w:val="none"/>
        </w:rPr>
        <w:t>一、项目基本概况介绍</w:t>
      </w:r>
      <w:bookmarkEnd w:id="26"/>
    </w:p>
    <w:p w14:paraId="6A8C5932">
      <w:pPr>
        <w:snapToGrid w:val="0"/>
        <w:spacing w:line="440" w:lineRule="exact"/>
        <w:ind w:firstLine="420" w:firstLineChars="200"/>
        <w:rPr>
          <w:rFonts w:ascii="微软雅黑" w:hAnsi="微软雅黑" w:eastAsia="微软雅黑"/>
          <w:color w:val="auto"/>
          <w:szCs w:val="21"/>
          <w:highlight w:val="none"/>
        </w:rPr>
      </w:pPr>
      <w:bookmarkStart w:id="27" w:name="_Toc344475116"/>
      <w:bookmarkStart w:id="28" w:name="_Toc313536013"/>
      <w:bookmarkStart w:id="29" w:name="_Toc106030881"/>
      <w:bookmarkStart w:id="30" w:name="_Toc76462326"/>
      <w:r>
        <w:rPr>
          <w:rFonts w:hint="eastAsia" w:ascii="微软雅黑" w:hAnsi="微软雅黑" w:eastAsia="微软雅黑"/>
          <w:color w:val="auto"/>
          <w:szCs w:val="21"/>
          <w:highlight w:val="none"/>
        </w:rPr>
        <w:t>为做好重庆市政务数字化应用评审工作，切实提高服务质量，提升市级财政资金使用效益，采购人拟采购1家第三方机构开展涉密政务数字化应用、基础设施数字化等项目评审。评审机构按要求对应用责任部门提交的涉密政务数字化应用开发方案、基础设施数字化建设方案、应用运维方案和方案后续变更调整等进行评审，向采购人提交评审报告，以及完成评审相关工作。按照采购人委托要求，参与应用验收抽查、应用绩效评价工作，配合出具相应报告。</w:t>
      </w:r>
    </w:p>
    <w:p w14:paraId="4AC3ECFE">
      <w:pPr>
        <w:pStyle w:val="3"/>
        <w:adjustRightInd w:val="0"/>
        <w:snapToGrid w:val="0"/>
        <w:spacing w:before="0" w:after="0" w:line="480" w:lineRule="exact"/>
        <w:rPr>
          <w:rFonts w:ascii="微软雅黑" w:hAnsi="微软雅黑" w:eastAsia="微软雅黑" w:cs="微软雅黑"/>
          <w:color w:val="auto"/>
          <w:sz w:val="21"/>
          <w:szCs w:val="21"/>
          <w:highlight w:val="none"/>
          <w:shd w:val="clear" w:color="auto" w:fill="B5C7EA" w:themeFill="accent1" w:themeFillTint="66"/>
        </w:rPr>
      </w:pPr>
      <w:bookmarkStart w:id="31" w:name="_Toc8502"/>
      <w:r>
        <w:rPr>
          <w:rFonts w:hint="eastAsia" w:ascii="微软雅黑" w:hAnsi="微软雅黑" w:eastAsia="微软雅黑"/>
          <w:bCs/>
          <w:color w:val="auto"/>
          <w:sz w:val="24"/>
          <w:highlight w:val="none"/>
        </w:rPr>
        <w:t>二、</w:t>
      </w:r>
      <w:r>
        <w:rPr>
          <w:rFonts w:hint="eastAsia" w:ascii="微软雅黑" w:hAnsi="微软雅黑" w:eastAsia="微软雅黑" w:cs="宋体"/>
          <w:color w:val="auto"/>
          <w:sz w:val="21"/>
          <w:szCs w:val="21"/>
          <w:highlight w:val="none"/>
        </w:rPr>
        <w:t>※</w:t>
      </w:r>
      <w:r>
        <w:rPr>
          <w:rFonts w:hint="eastAsia" w:ascii="微软雅黑" w:hAnsi="微软雅黑" w:eastAsia="微软雅黑"/>
          <w:bCs/>
          <w:color w:val="auto"/>
          <w:sz w:val="24"/>
          <w:highlight w:val="none"/>
        </w:rPr>
        <w:t>服务及质量</w:t>
      </w:r>
      <w:bookmarkEnd w:id="27"/>
      <w:bookmarkEnd w:id="28"/>
      <w:r>
        <w:rPr>
          <w:rFonts w:hint="eastAsia" w:ascii="微软雅黑" w:hAnsi="微软雅黑" w:eastAsia="微软雅黑"/>
          <w:bCs/>
          <w:color w:val="auto"/>
          <w:sz w:val="24"/>
          <w:highlight w:val="none"/>
        </w:rPr>
        <w:t>需求</w:t>
      </w:r>
      <w:bookmarkEnd w:id="29"/>
      <w:bookmarkEnd w:id="30"/>
      <w:bookmarkEnd w:id="31"/>
      <w:bookmarkStart w:id="32" w:name="_Hlk205537901"/>
    </w:p>
    <w:bookmarkEnd w:id="32"/>
    <w:p w14:paraId="43A9C85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评审机构应成立专门的评审工作组，本着依法、客观、公正的原则，选派具备相关专业知识与资质的人员开展评审业务，明确一名牵头负责人（项目负责人），并对评审工作组的人员结构（应包含管理、技术、软硬件造价、网络安全、数据安全等领域的专业人员）、评审能力和经验，以及回避事项等进行合理配置；评审机构在评审过程中应保持工作组成员的稳定，如确有人员变更，应在5个工作日内向采购人备案；因应用评审服务需要，评审机构可聘请相关专家提供技术支持。评审工作组人员应具备以下条件：</w:t>
      </w:r>
    </w:p>
    <w:p w14:paraId="4FFECEA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1.为中国国籍，具有良好的科学精神和职业道德，能够独立、客观、实事求是地提出评审意见；</w:t>
      </w:r>
    </w:p>
    <w:p w14:paraId="082CF8F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2.在以往的评审活动中无徇私舞弊、滥用职权及玩忽职守等行为；</w:t>
      </w:r>
    </w:p>
    <w:p w14:paraId="49FC521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3.管理人员应熟悉政务数字化应用评审、政务数字化应用管理，熟悉国家和市级政务数字化应用方面的法律、法规和政策以及有关规定；</w:t>
      </w:r>
    </w:p>
    <w:p w14:paraId="7911F53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4.为本项目组建专业技术评审团队，具体要求如下：</w:t>
      </w:r>
    </w:p>
    <w:p w14:paraId="05CE1F4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4.1具有注册咨询工程师（投资）证书（注册专业为：电子、信息工程（含通信、广电、信息化）其中之一）的不得少于5人，且从事数字化或信息化等相关评审工作5年以上，并具有较高的学术、技术水平，熟悉被评审应用所属领域或行业的最新发展状况，了解该领域应用开发及运维的特点与规律；</w:t>
      </w:r>
    </w:p>
    <w:p w14:paraId="55683B2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4.2具有全国计算机技术与软件专业技术资格（水平）中级及以上职称证书（含信息系统项目管理师、网络规划设计师、系统分析师、系统架构设计师、系统规划与管理师专业其中之一）或者具有有效的大数据智能化专业中级及以上职称证书的不得少于8人，其中，具有高级及以上职称证书的不得少于5人；</w:t>
      </w:r>
    </w:p>
    <w:p w14:paraId="19096D6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4.3具备有效的通信与广电工程（一级）注册建造师证书，或者具有工业和信息化部电子工业标准化研究院颁发的</w:t>
      </w:r>
      <w:r>
        <w:rPr>
          <w:rFonts w:ascii="微软雅黑" w:hAnsi="微软雅黑" w:eastAsia="微软雅黑"/>
          <w:color w:val="auto"/>
          <w:szCs w:val="21"/>
          <w:highlight w:val="none"/>
        </w:rPr>
        <w:t xml:space="preserve"> IT </w:t>
      </w:r>
      <w:r>
        <w:rPr>
          <w:rFonts w:hint="eastAsia" w:ascii="微软雅黑" w:hAnsi="微软雅黑" w:eastAsia="微软雅黑"/>
          <w:color w:val="auto"/>
          <w:szCs w:val="21"/>
          <w:highlight w:val="none"/>
        </w:rPr>
        <w:t>审计师证书（ITA），或者具有注册信息系统审计师(CISA或CISP-A)的不得少于3人；</w:t>
      </w:r>
    </w:p>
    <w:p w14:paraId="5E06C28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4.4具备一级造价工程师（原注册造价师）或一级建造师（建筑工程）不得少于1人；具备二级造价工程师或二级建造师（建筑工程）不少于1人。</w:t>
      </w:r>
    </w:p>
    <w:p w14:paraId="3D3B3E4A">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5.所有成员未被追究过刑事责任；未被列为失信被执行人黑名单。</w:t>
      </w:r>
    </w:p>
    <w:p w14:paraId="187B0D67">
      <w:pPr>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注：供应商提供以上人员身份证和相关职称证书复印件，以及供应商为其缴纳的2025年任意一个月的社保证明材料复印件，成立不足上述时间的新公司或入职不足上述时间的新员工可提供人员劳动（务）合同复印件。未提供上述材料不予认可。</w:t>
      </w:r>
    </w:p>
    <w:p w14:paraId="5A6D74FC">
      <w:pPr>
        <w:numPr>
          <w:ilvl w:val="0"/>
          <w:numId w:val="2"/>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审机构应按采购人要求保证不低于1名人员提供全程驻场服务。驻场人员必须为上述的评审工作组人员（专业技术评审团队）。驻场人员应熟悉政务数字化应用评审、政务数字化应用管理，具有全国计算机技术与软件专业技术资格（水平）中级及以上职称证书（含信息系统项目管理师、网络规划设计师、系统分析师、系统架构设计师、系统规划与管理师专业其中之一）或注册咨询工程师（投资）证书（注册专业为：电子、信息工程（含通信、广电、信息化）其中之一），且从事数字化或信息化等相关评审工作3年以上，具有较高的技术水平以及良好的沟通能力。评审机构派出的驻场人员经采购人确认后，原则上不得随意更换，确需更换的，评审机构需向采购人提出书面申请，经采购人同意后进行更换，未经同意随意更换的，违约一次需支付违约金3万元。采购人对不服从管理、不称职的驻场人员有权要求评审机构更换，评审机构应在3日内将不符合采购人要求的人员更换完毕，替换人员应当同时到岗，且必须保证替换人员的专业技术能力水平不低于退场人员，如评审机构违反本条约定，则每逾期一天应承担合同款的5%作为违约金。</w:t>
      </w:r>
    </w:p>
    <w:p w14:paraId="7D5FEAE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评审机构接受委托评审任务后，原则上应在采购人提供评审材料15个工作日内完成评估工作。如因非评审机构原因导致未能在此期限内完成评审工作，可由双方协商适当延长服务期限，具体时间以双方协商为准。</w:t>
      </w:r>
    </w:p>
    <w:p w14:paraId="2CB7949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评审机构应严格按照政务数字化应用的相关规定和技术要求，依法依规、客观公正地开展评审服务，认真编制评审报告，做到文字、数据准确，格式规范，内容完整，对报告真实性、有效性、合法性负责。评审报告应至少包括评审过程、评审目标、评审依据、评审方法、评审工具、评审团队、评审说明、评审结论、专家评审意见、评审建议等关键要素，以及支撑报告结论的关键证据。评审报告应有项目负责人、评审单位部门负责人、评审单位负责人三级复核签字（盖章）确认。</w:t>
      </w:r>
    </w:p>
    <w:p w14:paraId="5B0B271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（五）评审机构应对评审过程中的各类底稿和有关资料单独建档管理。评审工作结束后，及时将工作底稿、评审报告等评审资料整理归档，移交给采购人保管。</w:t>
      </w:r>
    </w:p>
    <w:p w14:paraId="7ABA787B">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（六）评审机构开展</w:t>
      </w:r>
      <w:r>
        <w:rPr>
          <w:rFonts w:ascii="微软雅黑" w:hAnsi="微软雅黑" w:eastAsia="微软雅黑" w:cs="微软雅黑"/>
          <w:color w:val="auto"/>
          <w:szCs w:val="15"/>
          <w:highlight w:val="none"/>
        </w:rPr>
        <w:t>评审</w:t>
      </w:r>
      <w:r>
        <w:rPr>
          <w:rFonts w:hint="eastAsia" w:ascii="微软雅黑" w:hAnsi="微软雅黑" w:eastAsia="微软雅黑" w:cs="微软雅黑"/>
          <w:color w:val="auto"/>
          <w:szCs w:val="15"/>
          <w:highlight w:val="none"/>
        </w:rPr>
        <w:t>活动实行回避制度。</w:t>
      </w:r>
    </w:p>
    <w:p w14:paraId="19941674">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olor w:val="auto"/>
          <w:szCs w:val="21"/>
          <w:highlight w:val="none"/>
        </w:rPr>
        <w:t>1.评审机构不得为其评审的项目提供设计、咨询、造价、开发、监理、等保测评、审计等其他相关服务；</w:t>
      </w:r>
    </w:p>
    <w:p w14:paraId="3A17C2B7">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2.</w:t>
      </w:r>
      <w:r>
        <w:rPr>
          <w:rFonts w:ascii="微软雅黑" w:hAnsi="微软雅黑" w:eastAsia="微软雅黑" w:cs="微软雅黑"/>
          <w:color w:val="auto"/>
          <w:szCs w:val="15"/>
          <w:highlight w:val="none"/>
        </w:rPr>
        <w:t>与已提供本条第一款服务的</w:t>
      </w:r>
      <w:r>
        <w:rPr>
          <w:rFonts w:hint="eastAsia" w:ascii="微软雅黑" w:hAnsi="微软雅黑" w:eastAsia="微软雅黑" w:cs="微软雅黑"/>
          <w:color w:val="auto"/>
          <w:szCs w:val="15"/>
          <w:highlight w:val="none"/>
        </w:rPr>
        <w:t>评审</w:t>
      </w:r>
      <w:r>
        <w:rPr>
          <w:rFonts w:ascii="微软雅黑" w:hAnsi="微软雅黑" w:eastAsia="微软雅黑" w:cs="微软雅黑"/>
          <w:color w:val="auto"/>
          <w:szCs w:val="15"/>
          <w:highlight w:val="none"/>
        </w:rPr>
        <w:t>机构法定代表人（或实际控制人）为同一人或者存在控股及其他关联关系的，应当回避；</w:t>
      </w:r>
    </w:p>
    <w:p w14:paraId="6DE81887">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3.评审</w:t>
      </w:r>
      <w:r>
        <w:rPr>
          <w:rFonts w:ascii="微软雅黑" w:hAnsi="微软雅黑" w:eastAsia="微软雅黑" w:cs="微软雅黑"/>
          <w:color w:val="auto"/>
          <w:szCs w:val="15"/>
          <w:highlight w:val="none"/>
        </w:rPr>
        <w:t>机构评审人员与应用责任部门相关当事人存在亲缘关系的，或与应用责任部门有直接、间接的利益关系及其他可能影响公平、公正情况的，应当回避；</w:t>
      </w:r>
    </w:p>
    <w:p w14:paraId="0974612E">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4.评审机构以及与该机构负责人为同一人，或者机构（或负责人）存在控股及其他关联关系的不同机构，不得为其评审的项目提供设计、咨询、造价、开发、监理、等保测评、审计等其他相关服务。</w:t>
      </w:r>
    </w:p>
    <w:p w14:paraId="7A1AE557">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b/>
          <w:bCs/>
          <w:color w:val="auto"/>
          <w:szCs w:val="21"/>
          <w:highlight w:val="none"/>
        </w:rPr>
        <w:t>注：以上，供应商提供回避承诺书并加盖供应商公章</w:t>
      </w:r>
      <w:r>
        <w:rPr>
          <w:rFonts w:hint="eastAsia" w:ascii="微软雅黑" w:hAnsi="微软雅黑" w:eastAsia="微软雅黑"/>
          <w:b/>
          <w:bCs/>
          <w:color w:val="auto"/>
          <w:szCs w:val="21"/>
          <w:highlight w:val="none"/>
          <w:lang w:eastAsia="zh-CN"/>
        </w:rPr>
        <w:t>，</w:t>
      </w:r>
      <w:r>
        <w:rPr>
          <w:rFonts w:hint="eastAsia" w:ascii="微软雅黑" w:hAnsi="微软雅黑" w:eastAsia="微软雅黑"/>
          <w:b/>
          <w:bCs/>
          <w:color w:val="auto"/>
          <w:szCs w:val="21"/>
          <w:highlight w:val="none"/>
          <w:lang w:val="en-US" w:eastAsia="zh-CN"/>
        </w:rPr>
        <w:t>格式自拟</w:t>
      </w:r>
      <w:r>
        <w:rPr>
          <w:rFonts w:hint="eastAsia" w:ascii="微软雅黑" w:hAnsi="微软雅黑" w:eastAsia="微软雅黑"/>
          <w:b/>
          <w:bCs/>
          <w:color w:val="auto"/>
          <w:szCs w:val="21"/>
          <w:highlight w:val="none"/>
        </w:rPr>
        <w:t>。</w:t>
      </w:r>
    </w:p>
    <w:p w14:paraId="1F043CF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（七）评审机构应当严格按照保密要求开展工作，严格涉密资料使用、保存、复制和销毁管理，不得泄露任何评审的有关信息，不得将评审资料用于与工作无关的事项。</w:t>
      </w:r>
    </w:p>
    <w:p w14:paraId="7EBBAA67">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（八）评审机构组建的评审工作组人员应无条件接受及参与采购人组织的关于数字重庆建设相关政策和业务等培训。</w:t>
      </w:r>
    </w:p>
    <w:p w14:paraId="2DFBBF2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（九）在服务质保证期内，评审机构须按照采购人要求参与政务数字化应用的验收抽查和绩效评价，并出具相应报告。</w:t>
      </w:r>
    </w:p>
    <w:p w14:paraId="4ECCAA83">
      <w:pPr>
        <w:snapToGrid w:val="0"/>
        <w:spacing w:line="440" w:lineRule="exact"/>
        <w:ind w:firstLine="420" w:firstLineChars="200"/>
        <w:rPr>
          <w:rFonts w:eastAsia="微软雅黑"/>
          <w:color w:val="auto"/>
          <w:szCs w:val="21"/>
          <w:highlight w:val="none"/>
        </w:rPr>
      </w:pPr>
      <w:r>
        <w:rPr>
          <w:rFonts w:hint="eastAsia" w:ascii="微软雅黑" w:hAnsi="微软雅黑" w:eastAsia="微软雅黑"/>
          <w:color w:val="auto"/>
          <w:szCs w:val="21"/>
          <w:highlight w:val="none"/>
        </w:rPr>
        <w:t>（十）拟参与本项目响应的供应商（评审机构），参加本项目采购活动前三年内，</w:t>
      </w:r>
      <w:r>
        <w:rPr>
          <w:rFonts w:hint="eastAsia" w:eastAsia="微软雅黑"/>
          <w:color w:val="auto"/>
          <w:szCs w:val="21"/>
          <w:highlight w:val="none"/>
        </w:rPr>
        <w:t>在经营活动中评审机构及评审人员无下列违法、违规情形：</w:t>
      </w:r>
    </w:p>
    <w:p w14:paraId="7E77B72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1.擅自将评审服务转包或分包给其他单位或个人实施；</w:t>
      </w:r>
    </w:p>
    <w:p w14:paraId="5624B89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2.隐瞒评审发现的问题，</w:t>
      </w:r>
      <w:r>
        <w:rPr>
          <w:rFonts w:ascii="微软雅黑" w:hAnsi="微软雅黑" w:eastAsia="微软雅黑"/>
          <w:color w:val="auto"/>
          <w:szCs w:val="21"/>
          <w:highlight w:val="none"/>
        </w:rPr>
        <w:t>提供虚假</w:t>
      </w:r>
      <w:r>
        <w:rPr>
          <w:rFonts w:hint="eastAsia" w:ascii="微软雅黑" w:hAnsi="微软雅黑" w:eastAsia="微软雅黑"/>
          <w:color w:val="auto"/>
          <w:szCs w:val="21"/>
          <w:highlight w:val="none"/>
        </w:rPr>
        <w:t>评审</w:t>
      </w:r>
      <w:r>
        <w:rPr>
          <w:rFonts w:ascii="微软雅黑" w:hAnsi="微软雅黑" w:eastAsia="微软雅黑"/>
          <w:color w:val="auto"/>
          <w:szCs w:val="21"/>
          <w:highlight w:val="none"/>
        </w:rPr>
        <w:t>报告</w:t>
      </w:r>
      <w:r>
        <w:rPr>
          <w:rFonts w:hint="eastAsia" w:ascii="微软雅黑" w:hAnsi="微软雅黑" w:eastAsia="微软雅黑"/>
          <w:color w:val="auto"/>
          <w:szCs w:val="21"/>
          <w:highlight w:val="none"/>
        </w:rPr>
        <w:t>，有串通舞弊、弄虚作假等不诚实行为的；</w:t>
      </w:r>
    </w:p>
    <w:p w14:paraId="4EF3E83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3.推、拖、卡、压、故意刁难应用责任部门；</w:t>
      </w:r>
    </w:p>
    <w:p w14:paraId="24AA525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4.索要和收受礼金、各种有价证券及物品，参加可能影响公正评估的任何宴请和娱乐活动等违反廉政规定的；</w:t>
      </w:r>
    </w:p>
    <w:p w14:paraId="0909B86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5.利用评审职权或知晓的应用责任部门的秘密和内部信息等，为自己及本机构或他人谋利的；</w:t>
      </w:r>
    </w:p>
    <w:p w14:paraId="0522CC22">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6.未经采购人允许，擅自将评审报告的部分或全部内容以及有关资料以任何方式提供给他人或公开发布；</w:t>
      </w:r>
    </w:p>
    <w:p w14:paraId="4794345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7.未经采购人和应用责任部门同意，擅自将所评审应用的有关文件和资料以任何方式提供给他人，或利用非公开技术秘密为自己及本机构或他人谋取私利；</w:t>
      </w:r>
    </w:p>
    <w:p w14:paraId="7A925DA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8.向应用责任部门推销商品、服务或介绍业务；</w:t>
      </w:r>
    </w:p>
    <w:p w14:paraId="0E522082">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9.经评审的项目出现重大技术偏差、核定资金严重不足或远远超过同类应用均价，造成严重经济损失或重大决策失误；</w:t>
      </w:r>
    </w:p>
    <w:p w14:paraId="4E6D833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10.未按规定时间完成评审业务且无正当理由的；</w:t>
      </w:r>
    </w:p>
    <w:p w14:paraId="45302E5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11.未按国家有关规定执行保密纪律；</w:t>
      </w:r>
    </w:p>
    <w:p w14:paraId="5956408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12.因工作失误给被评审应用责任部门或者采购人造成一定不良影响的。</w:t>
      </w:r>
    </w:p>
    <w:p w14:paraId="0916BF51">
      <w:pPr>
        <w:snapToGrid w:val="0"/>
        <w:spacing w:line="440" w:lineRule="exact"/>
        <w:ind w:firstLine="420" w:firstLineChars="200"/>
        <w:rPr>
          <w:rFonts w:ascii="微软雅黑" w:hAnsi="微软雅黑" w:eastAsia="微软雅黑"/>
          <w:b/>
          <w:bCs/>
          <w:color w:val="auto"/>
          <w:szCs w:val="21"/>
          <w:highlight w:val="none"/>
        </w:rPr>
      </w:pPr>
      <w:r>
        <w:rPr>
          <w:rFonts w:hint="eastAsia" w:eastAsia="微软雅黑"/>
          <w:b/>
          <w:bCs/>
          <w:color w:val="auto"/>
          <w:szCs w:val="21"/>
          <w:highlight w:val="none"/>
        </w:rPr>
        <w:t>注：供应商提供以上内容的相关承诺，格式自拟。</w:t>
      </w:r>
    </w:p>
    <w:p w14:paraId="0B9EDA0E">
      <w:pPr>
        <w:pStyle w:val="18"/>
        <w:spacing w:line="440" w:lineRule="exact"/>
        <w:ind w:firstLineChars="200"/>
        <w:rPr>
          <w:color w:val="auto"/>
          <w:highlight w:val="none"/>
        </w:rPr>
      </w:pPr>
      <w:r>
        <w:rPr>
          <w:rFonts w:hint="eastAsia" w:ascii="微软雅黑" w:hAnsi="微软雅黑" w:eastAsia="微软雅黑"/>
          <w:color w:val="auto"/>
          <w:sz w:val="21"/>
          <w:szCs w:val="21"/>
          <w:highlight w:val="none"/>
        </w:rPr>
        <w:t>（十一）评审服务期内，评审机构及评审人员有上述第（十)条中12项</w:t>
      </w:r>
      <w:r>
        <w:rPr>
          <w:rFonts w:hint="eastAsia" w:eastAsia="微软雅黑"/>
          <w:color w:val="auto"/>
          <w:sz w:val="21"/>
          <w:szCs w:val="21"/>
          <w:highlight w:val="none"/>
        </w:rPr>
        <w:t>违法、违规情形</w:t>
      </w:r>
      <w:r>
        <w:rPr>
          <w:rFonts w:hint="eastAsia" w:ascii="微软雅黑" w:hAnsi="微软雅黑" w:eastAsia="微软雅黑"/>
          <w:color w:val="auto"/>
          <w:sz w:val="21"/>
          <w:szCs w:val="21"/>
          <w:highlight w:val="none"/>
        </w:rPr>
        <w:t>行为之一的，一经发现，采购人将终止服务委托，解除服务合同，不支付评审服务费，保留追究评审机构法律责任的权利，并建议相关部门将评审机构纳入严重失信市场主体“黑名单”；</w:t>
      </w:r>
      <w:r>
        <w:rPr>
          <w:rFonts w:hint="eastAsia" w:ascii="微软雅黑" w:hAnsi="微软雅黑" w:eastAsia="微软雅黑"/>
          <w:color w:val="auto"/>
          <w:sz w:val="21"/>
          <w:szCs w:val="21"/>
          <w:highlight w:val="none"/>
          <w:lang w:eastAsia="zh-Hans"/>
        </w:rPr>
        <w:t>触犯刑法的，</w:t>
      </w:r>
      <w:r>
        <w:rPr>
          <w:rFonts w:hint="eastAsia" w:ascii="微软雅黑" w:hAnsi="微软雅黑" w:eastAsia="微软雅黑"/>
          <w:color w:val="auto"/>
          <w:sz w:val="21"/>
          <w:szCs w:val="21"/>
          <w:highlight w:val="none"/>
        </w:rPr>
        <w:t>将</w:t>
      </w:r>
      <w:r>
        <w:rPr>
          <w:rFonts w:hint="eastAsia" w:ascii="微软雅黑" w:hAnsi="微软雅黑" w:eastAsia="微软雅黑"/>
          <w:color w:val="auto"/>
          <w:sz w:val="21"/>
          <w:szCs w:val="21"/>
          <w:highlight w:val="none"/>
          <w:lang w:eastAsia="zh-Hans"/>
        </w:rPr>
        <w:t>移交司法机关处理</w:t>
      </w:r>
      <w:r>
        <w:rPr>
          <w:rFonts w:hint="eastAsia" w:ascii="微软雅黑" w:hAnsi="微软雅黑" w:eastAsia="微软雅黑" w:cs="微软雅黑"/>
          <w:color w:val="auto"/>
          <w:sz w:val="21"/>
          <w:szCs w:val="21"/>
          <w:highlight w:val="none"/>
        </w:rPr>
        <w:t>。</w:t>
      </w:r>
      <w:r>
        <w:rPr>
          <w:rFonts w:hint="eastAsia"/>
          <w:color w:val="auto"/>
          <w:highlight w:val="none"/>
        </w:rPr>
        <w:br w:type="page"/>
      </w:r>
    </w:p>
    <w:p w14:paraId="0CEAE94F">
      <w:pPr>
        <w:pStyle w:val="3"/>
        <w:numPr>
          <w:ilvl w:val="0"/>
          <w:numId w:val="1"/>
        </w:numPr>
        <w:spacing w:line="360" w:lineRule="auto"/>
        <w:jc w:val="center"/>
        <w:rPr>
          <w:rFonts w:ascii="微软雅黑" w:hAnsi="微软雅黑" w:eastAsia="微软雅黑"/>
          <w:color w:val="auto"/>
          <w:sz w:val="36"/>
          <w:szCs w:val="36"/>
          <w:highlight w:val="none"/>
        </w:rPr>
      </w:pPr>
      <w:r>
        <w:rPr>
          <w:rFonts w:hint="eastAsia" w:ascii="微软雅黑" w:hAnsi="微软雅黑" w:eastAsia="微软雅黑"/>
          <w:color w:val="auto"/>
          <w:sz w:val="36"/>
          <w:szCs w:val="36"/>
          <w:highlight w:val="none"/>
        </w:rPr>
        <w:t xml:space="preserve"> </w:t>
      </w:r>
      <w:r>
        <w:rPr>
          <w:rFonts w:ascii="微软雅黑" w:hAnsi="微软雅黑" w:eastAsia="微软雅黑"/>
          <w:color w:val="auto"/>
          <w:sz w:val="36"/>
          <w:szCs w:val="36"/>
          <w:highlight w:val="none"/>
        </w:rPr>
        <w:t xml:space="preserve"> </w:t>
      </w:r>
      <w:bookmarkStart w:id="33" w:name="_Toc228"/>
      <w:r>
        <w:rPr>
          <w:rFonts w:hint="eastAsia" w:ascii="微软雅黑" w:hAnsi="微软雅黑" w:eastAsia="微软雅黑"/>
          <w:color w:val="auto"/>
          <w:sz w:val="36"/>
          <w:szCs w:val="36"/>
          <w:highlight w:val="none"/>
        </w:rPr>
        <w:t>项目商务需求</w:t>
      </w:r>
      <w:bookmarkEnd w:id="33"/>
    </w:p>
    <w:bookmarkEnd w:id="25"/>
    <w:p w14:paraId="35FEB777">
      <w:pPr>
        <w:pStyle w:val="3"/>
        <w:adjustRightInd w:val="0"/>
        <w:snapToGrid w:val="0"/>
        <w:spacing w:before="0" w:after="0" w:line="440" w:lineRule="exact"/>
        <w:rPr>
          <w:rFonts w:ascii="微软雅黑" w:hAnsi="微软雅黑" w:eastAsia="微软雅黑"/>
          <w:color w:val="auto"/>
          <w:sz w:val="24"/>
          <w:highlight w:val="none"/>
        </w:rPr>
      </w:pPr>
      <w:bookmarkStart w:id="34" w:name="_Toc42805185"/>
      <w:bookmarkStart w:id="35" w:name="_Toc29746248"/>
      <w:bookmarkStart w:id="36" w:name="_Toc26405"/>
      <w:bookmarkStart w:id="37" w:name="_Toc344475120"/>
      <w:bookmarkStart w:id="38" w:name="_Toc12789059"/>
      <w:bookmarkStart w:id="39" w:name="_Toc11641055"/>
      <w:r>
        <w:rPr>
          <w:rFonts w:hint="eastAsia" w:ascii="微软雅黑" w:hAnsi="微软雅黑" w:eastAsia="微软雅黑"/>
          <w:color w:val="auto"/>
          <w:sz w:val="24"/>
          <w:highlight w:val="none"/>
        </w:rPr>
        <w:t>一、</w:t>
      </w:r>
      <w:bookmarkEnd w:id="34"/>
      <w:bookmarkEnd w:id="35"/>
      <w:r>
        <w:rPr>
          <w:rFonts w:hint="eastAsia" w:ascii="微软雅黑" w:hAnsi="微软雅黑" w:eastAsia="微软雅黑"/>
          <w:color w:val="auto"/>
          <w:sz w:val="24"/>
          <w:highlight w:val="none"/>
        </w:rPr>
        <w:t>服务时间、地点及验收方式</w:t>
      </w:r>
      <w:bookmarkEnd w:id="36"/>
    </w:p>
    <w:p w14:paraId="153CC60C">
      <w:pPr>
        <w:numPr>
          <w:ilvl w:val="0"/>
          <w:numId w:val="3"/>
        </w:numPr>
        <w:snapToGrid w:val="0"/>
        <w:spacing w:line="440" w:lineRule="exact"/>
        <w:ind w:firstLine="420" w:firstLineChars="200"/>
        <w:rPr>
          <w:rFonts w:ascii="微软雅黑" w:hAnsi="微软雅黑" w:eastAsia="微软雅黑"/>
          <w:color w:val="auto"/>
          <w:szCs w:val="21"/>
          <w:highlight w:val="none"/>
        </w:rPr>
      </w:pPr>
      <w:bookmarkStart w:id="40" w:name="_Toc29746249"/>
      <w:bookmarkStart w:id="41" w:name="_Toc42805186"/>
      <w:r>
        <w:rPr>
          <w:rFonts w:hint="eastAsia" w:ascii="微软雅黑" w:hAnsi="微软雅黑" w:eastAsia="微软雅黑"/>
          <w:color w:val="auto"/>
          <w:szCs w:val="21"/>
          <w:highlight w:val="none"/>
        </w:rPr>
        <w:t>服务时间：合同签订之日起一年内（以采购人委托项目评审的时间为准）。若服务时间满后，采购人委托的项目评审还未结束，或应用开发方案（建设方案、运维方案）还未获得正式批复，成交供应商应将该项目评审继续完成直至通过采购人的验收。</w:t>
      </w:r>
    </w:p>
    <w:p w14:paraId="7C1C7611">
      <w:pPr>
        <w:numPr>
          <w:ilvl w:val="0"/>
          <w:numId w:val="3"/>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服务地点：采购人指定地点（重庆）。</w:t>
      </w:r>
    </w:p>
    <w:p w14:paraId="0C62B524">
      <w:pPr>
        <w:spacing w:line="440" w:lineRule="exact"/>
        <w:ind w:firstLine="420" w:firstLineChars="200"/>
        <w:rPr>
          <w:rFonts w:ascii="微软雅黑" w:hAnsi="微软雅黑" w:eastAsia="微软雅黑"/>
          <w:bCs/>
          <w:color w:val="auto"/>
          <w:szCs w:val="21"/>
          <w:highlight w:val="none"/>
        </w:rPr>
      </w:pPr>
      <w:r>
        <w:rPr>
          <w:rFonts w:hint="eastAsia" w:ascii="微软雅黑" w:hAnsi="微软雅黑" w:eastAsia="微软雅黑"/>
          <w:color w:val="auto"/>
          <w:szCs w:val="21"/>
          <w:highlight w:val="none"/>
        </w:rPr>
        <w:t>（三）验收标准：由采购人查验成交供应商编制的评审报告；按照采购人委托要求，参与所评审项目的验收抽查和绩效评价等</w:t>
      </w:r>
      <w:r>
        <w:rPr>
          <w:rFonts w:hint="eastAsia" w:ascii="微软雅黑" w:hAnsi="微软雅黑" w:eastAsia="微软雅黑" w:cs="微软雅黑"/>
          <w:color w:val="auto"/>
          <w:kern w:val="0"/>
          <w:szCs w:val="21"/>
          <w:highlight w:val="none"/>
        </w:rPr>
        <w:t>。</w:t>
      </w:r>
    </w:p>
    <w:p w14:paraId="5E35948A">
      <w:pPr>
        <w:pStyle w:val="3"/>
        <w:adjustRightInd w:val="0"/>
        <w:snapToGrid w:val="0"/>
        <w:spacing w:before="0" w:after="0" w:line="440" w:lineRule="exact"/>
        <w:rPr>
          <w:rFonts w:ascii="微软雅黑" w:hAnsi="微软雅黑" w:eastAsia="微软雅黑"/>
          <w:color w:val="auto"/>
          <w:sz w:val="24"/>
          <w:highlight w:val="none"/>
        </w:rPr>
      </w:pPr>
      <w:bookmarkStart w:id="42" w:name="_Toc109899030"/>
      <w:bookmarkStart w:id="43" w:name="_Toc11573"/>
      <w:r>
        <w:rPr>
          <w:rFonts w:hint="eastAsia" w:ascii="微软雅黑" w:hAnsi="微软雅黑" w:eastAsia="微软雅黑"/>
          <w:color w:val="auto"/>
          <w:sz w:val="24"/>
          <w:highlight w:val="none"/>
        </w:rPr>
        <w:t>二、报价要求</w:t>
      </w:r>
      <w:bookmarkEnd w:id="40"/>
      <w:bookmarkEnd w:id="41"/>
      <w:bookmarkEnd w:id="42"/>
      <w:bookmarkEnd w:id="43"/>
    </w:p>
    <w:p w14:paraId="5AA824B3">
      <w:pPr>
        <w:rPr>
          <w:rFonts w:eastAsia="微软雅黑"/>
          <w:color w:val="auto"/>
          <w:highlight w:val="none"/>
        </w:rPr>
      </w:pPr>
      <w:bookmarkStart w:id="44" w:name="_Hlk99619394"/>
      <w:bookmarkStart w:id="45" w:name="_Toc344475122"/>
      <w:bookmarkStart w:id="46" w:name="_Toc29746250"/>
      <w:bookmarkStart w:id="47" w:name="_Toc42805187"/>
      <w:r>
        <w:rPr>
          <w:rFonts w:hint="eastAsia" w:ascii="微软雅黑" w:hAnsi="微软雅黑" w:eastAsia="微软雅黑"/>
          <w:b/>
          <w:bCs/>
          <w:color w:val="auto"/>
          <w:sz w:val="24"/>
          <w:szCs w:val="22"/>
          <w:highlight w:val="none"/>
        </w:rPr>
        <w:t xml:space="preserve">    </w:t>
      </w:r>
      <w:r>
        <w:rPr>
          <w:rFonts w:hint="eastAsia" w:ascii="微软雅黑" w:hAnsi="微软雅黑" w:eastAsia="微软雅黑"/>
          <w:color w:val="auto"/>
          <w:szCs w:val="21"/>
          <w:highlight w:val="none"/>
        </w:rPr>
        <w:t>本项目应为折扣报价</w:t>
      </w:r>
    </w:p>
    <w:p w14:paraId="6635EF77">
      <w:pPr>
        <w:numPr>
          <w:ilvl w:val="0"/>
          <w:numId w:val="4"/>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应用开发方案</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基础设施数字化建设方案</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评审费计取规则</w:t>
      </w:r>
    </w:p>
    <w:p w14:paraId="42A8120E">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注：参考《政务数字化应用费用测算规范》(团体标准T/CDCIDA 001—2024)中应用开发方案评审费。</w:t>
      </w:r>
      <w:bookmarkStart w:id="296" w:name="_GoBack"/>
      <w:bookmarkEnd w:id="296"/>
    </w:p>
    <w:p w14:paraId="46A62302">
      <w:pPr>
        <w:snapToGrid w:val="0"/>
        <w:spacing w:line="440" w:lineRule="exact"/>
        <w:ind w:firstLine="630" w:firstLineChars="3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1.评审费=计费额×费率×审减系数</w:t>
      </w:r>
    </w:p>
    <w:p w14:paraId="13565C7D">
      <w:pPr>
        <w:snapToGrid w:val="0"/>
        <w:spacing w:line="440" w:lineRule="exact"/>
        <w:ind w:firstLine="630" w:firstLineChars="3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费率表：</w:t>
      </w:r>
    </w:p>
    <w:tbl>
      <w:tblPr>
        <w:tblStyle w:val="26"/>
        <w:tblW w:w="8377"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3958"/>
        <w:gridCol w:w="3186"/>
      </w:tblGrid>
      <w:tr w14:paraId="77522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62DEEA83">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pacing w:val="-4"/>
                <w:szCs w:val="21"/>
                <w:highlight w:val="none"/>
              </w:rPr>
              <w:t>序号</w:t>
            </w:r>
          </w:p>
        </w:tc>
        <w:tc>
          <w:tcPr>
            <w:tcW w:w="3958" w:type="dxa"/>
          </w:tcPr>
          <w:p w14:paraId="20F9894E">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计费额M（万元）</w:t>
            </w:r>
          </w:p>
        </w:tc>
        <w:tc>
          <w:tcPr>
            <w:tcW w:w="3186" w:type="dxa"/>
          </w:tcPr>
          <w:p w14:paraId="51704AC0">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pacing w:val="8"/>
                <w:szCs w:val="21"/>
                <w:highlight w:val="none"/>
              </w:rPr>
              <w:t>最高计费率（%）</w:t>
            </w:r>
          </w:p>
        </w:tc>
      </w:tr>
      <w:tr w14:paraId="04552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6BD76016">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958" w:type="dxa"/>
          </w:tcPr>
          <w:p w14:paraId="1F0E86AF">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M≤500</w:t>
            </w:r>
          </w:p>
        </w:tc>
        <w:tc>
          <w:tcPr>
            <w:tcW w:w="3186" w:type="dxa"/>
          </w:tcPr>
          <w:p w14:paraId="7EC36D56">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0.48</w:t>
            </w:r>
          </w:p>
        </w:tc>
      </w:tr>
      <w:tr w14:paraId="08458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045D7B6B">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958" w:type="dxa"/>
          </w:tcPr>
          <w:p w14:paraId="439B8B1E">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500＜M≤1000</w:t>
            </w:r>
          </w:p>
        </w:tc>
        <w:tc>
          <w:tcPr>
            <w:tcW w:w="3186" w:type="dxa"/>
          </w:tcPr>
          <w:p w14:paraId="7CEEDCBC">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0.40</w:t>
            </w:r>
          </w:p>
        </w:tc>
      </w:tr>
      <w:tr w14:paraId="3AD90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3D5FA5C3">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958" w:type="dxa"/>
          </w:tcPr>
          <w:p w14:paraId="003F51D5">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1000＜M≤5000</w:t>
            </w:r>
          </w:p>
        </w:tc>
        <w:tc>
          <w:tcPr>
            <w:tcW w:w="3186" w:type="dxa"/>
          </w:tcPr>
          <w:p w14:paraId="1DA8ABEC">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0.32</w:t>
            </w:r>
          </w:p>
        </w:tc>
      </w:tr>
      <w:tr w14:paraId="2EE6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16CD06C0">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958" w:type="dxa"/>
          </w:tcPr>
          <w:p w14:paraId="476E883A">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M＞5000</w:t>
            </w:r>
          </w:p>
        </w:tc>
        <w:tc>
          <w:tcPr>
            <w:tcW w:w="3186" w:type="dxa"/>
          </w:tcPr>
          <w:p w14:paraId="2636842A">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0.24</w:t>
            </w:r>
          </w:p>
        </w:tc>
      </w:tr>
    </w:tbl>
    <w:p w14:paraId="5FE0A97F">
      <w:pPr>
        <w:snapToGrid w:val="0"/>
        <w:spacing w:line="440" w:lineRule="exact"/>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审减系数表：</w:t>
      </w:r>
    </w:p>
    <w:tbl>
      <w:tblPr>
        <w:tblStyle w:val="26"/>
        <w:tblW w:w="8377"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3958"/>
        <w:gridCol w:w="3186"/>
      </w:tblGrid>
      <w:tr w14:paraId="35E3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0FD0C800">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pacing w:val="-4"/>
                <w:szCs w:val="21"/>
                <w:highlight w:val="none"/>
              </w:rPr>
              <w:t>序号</w:t>
            </w:r>
          </w:p>
        </w:tc>
        <w:tc>
          <w:tcPr>
            <w:tcW w:w="3958" w:type="dxa"/>
          </w:tcPr>
          <w:p w14:paraId="4B535B2D">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审减率（%）</w:t>
            </w:r>
          </w:p>
        </w:tc>
        <w:tc>
          <w:tcPr>
            <w:tcW w:w="3186" w:type="dxa"/>
          </w:tcPr>
          <w:p w14:paraId="6DAAEA18">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审减系数</w:t>
            </w:r>
          </w:p>
        </w:tc>
      </w:tr>
      <w:tr w14:paraId="4EE14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52AAA579">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958" w:type="dxa"/>
            <w:vAlign w:val="center"/>
          </w:tcPr>
          <w:p w14:paraId="25846E22">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N≤10%</w:t>
            </w:r>
          </w:p>
        </w:tc>
        <w:tc>
          <w:tcPr>
            <w:tcW w:w="3186" w:type="dxa"/>
          </w:tcPr>
          <w:p w14:paraId="2266CC3A">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0.8</w:t>
            </w:r>
          </w:p>
        </w:tc>
      </w:tr>
      <w:tr w14:paraId="799B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5C98E7F8">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958" w:type="dxa"/>
          </w:tcPr>
          <w:p w14:paraId="74A788DC">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10%＜N≤20%</w:t>
            </w:r>
          </w:p>
        </w:tc>
        <w:tc>
          <w:tcPr>
            <w:tcW w:w="3186" w:type="dxa"/>
          </w:tcPr>
          <w:p w14:paraId="30BD0DB6">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0.9</w:t>
            </w:r>
          </w:p>
        </w:tc>
      </w:tr>
      <w:tr w14:paraId="608B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30412ABD">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958" w:type="dxa"/>
          </w:tcPr>
          <w:p w14:paraId="017AC707">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20%＜N≤30%</w:t>
            </w:r>
          </w:p>
        </w:tc>
        <w:tc>
          <w:tcPr>
            <w:tcW w:w="3186" w:type="dxa"/>
          </w:tcPr>
          <w:p w14:paraId="1EB26492">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r>
      <w:tr w14:paraId="3317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1DBD9147">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958" w:type="dxa"/>
          </w:tcPr>
          <w:p w14:paraId="3CC75532">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30%＜N≤40%</w:t>
            </w:r>
          </w:p>
        </w:tc>
        <w:tc>
          <w:tcPr>
            <w:tcW w:w="3186" w:type="dxa"/>
          </w:tcPr>
          <w:p w14:paraId="116E3D18">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r>
    </w:tbl>
    <w:p w14:paraId="3D1227A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2.计价说明</w:t>
      </w:r>
    </w:p>
    <w:p w14:paraId="5EF9A93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2.1 应用开发方案评审费中的计费额M为审定的应用开发直接费；审减率N为应用审减金额/申报的应用金额。</w:t>
      </w:r>
    </w:p>
    <w:p w14:paraId="3798861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2.2 应用开发方案评审费按分档计取，不累进。费用计算不足3000元时，按3000元计取；费用计算超过150000元时，按150000元计取。</w:t>
      </w:r>
    </w:p>
    <w:p w14:paraId="0767B8A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（二）运维方案评审费计取规则</w:t>
      </w:r>
    </w:p>
    <w:p w14:paraId="6D7F745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注：参考《政务数字化应用费用测算规范》(团体标准T/CDCIDA 001—2024)中应用运维方案评审费</w:t>
      </w:r>
    </w:p>
    <w:tbl>
      <w:tblPr>
        <w:tblStyle w:val="26"/>
        <w:tblW w:w="48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4"/>
        <w:gridCol w:w="4590"/>
        <w:gridCol w:w="3171"/>
      </w:tblGrid>
      <w:tr w14:paraId="2CA6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671" w:type="pct"/>
            <w:vAlign w:val="center"/>
          </w:tcPr>
          <w:p w14:paraId="135563C8">
            <w:pPr>
              <w:widowControl/>
              <w:snapToGrid w:val="0"/>
              <w:spacing w:line="360" w:lineRule="exact"/>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序号</w:t>
            </w:r>
          </w:p>
        </w:tc>
        <w:tc>
          <w:tcPr>
            <w:tcW w:w="2559" w:type="pct"/>
            <w:vAlign w:val="center"/>
          </w:tcPr>
          <w:p w14:paraId="6F48B332">
            <w:pPr>
              <w:widowControl/>
              <w:snapToGrid w:val="0"/>
              <w:spacing w:line="360" w:lineRule="exact"/>
              <w:ind w:firstLine="420" w:firstLineChars="200"/>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计费额M（万元）</w:t>
            </w:r>
          </w:p>
        </w:tc>
        <w:tc>
          <w:tcPr>
            <w:tcW w:w="1768" w:type="pct"/>
            <w:vAlign w:val="center"/>
          </w:tcPr>
          <w:p w14:paraId="57A0358E">
            <w:pPr>
              <w:widowControl/>
              <w:snapToGrid w:val="0"/>
              <w:spacing w:line="360" w:lineRule="exact"/>
              <w:ind w:firstLine="420" w:firstLineChars="200"/>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最高计费价（万元）</w:t>
            </w:r>
          </w:p>
        </w:tc>
      </w:tr>
      <w:tr w14:paraId="62659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75484C89">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2559" w:type="pct"/>
            <w:vAlign w:val="center"/>
          </w:tcPr>
          <w:p w14:paraId="6B5CD3E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M≤1000</w:t>
            </w:r>
          </w:p>
        </w:tc>
        <w:tc>
          <w:tcPr>
            <w:tcW w:w="1768" w:type="pct"/>
            <w:vAlign w:val="center"/>
          </w:tcPr>
          <w:p w14:paraId="6A4506BA">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0.7</w:t>
            </w:r>
          </w:p>
        </w:tc>
      </w:tr>
      <w:tr w14:paraId="7DE69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1AF127FC">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2559" w:type="pct"/>
            <w:vAlign w:val="center"/>
          </w:tcPr>
          <w:p w14:paraId="078D4D1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1000-3000</w:t>
            </w:r>
          </w:p>
        </w:tc>
        <w:tc>
          <w:tcPr>
            <w:tcW w:w="1768" w:type="pct"/>
            <w:vAlign w:val="center"/>
          </w:tcPr>
          <w:p w14:paraId="1131AE65">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r>
      <w:tr w14:paraId="6576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3461DCDF">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2559" w:type="pct"/>
            <w:vAlign w:val="center"/>
          </w:tcPr>
          <w:p w14:paraId="49481D23">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3000-10000</w:t>
            </w:r>
          </w:p>
        </w:tc>
        <w:tc>
          <w:tcPr>
            <w:tcW w:w="1768" w:type="pct"/>
            <w:vAlign w:val="center"/>
          </w:tcPr>
          <w:p w14:paraId="43684F04">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r>
      <w:tr w14:paraId="5C40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66B12C20">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2559" w:type="pct"/>
            <w:vAlign w:val="center"/>
          </w:tcPr>
          <w:p w14:paraId="51B755C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10000-30000</w:t>
            </w:r>
          </w:p>
        </w:tc>
        <w:tc>
          <w:tcPr>
            <w:tcW w:w="1768" w:type="pct"/>
            <w:vAlign w:val="center"/>
          </w:tcPr>
          <w:p w14:paraId="2E36D51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r>
      <w:tr w14:paraId="15FD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35C8F320">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2559" w:type="pct"/>
            <w:vAlign w:val="center"/>
          </w:tcPr>
          <w:p w14:paraId="6C0063A4">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M＞30000</w:t>
            </w:r>
          </w:p>
        </w:tc>
        <w:tc>
          <w:tcPr>
            <w:tcW w:w="1768" w:type="pct"/>
            <w:vAlign w:val="center"/>
          </w:tcPr>
          <w:p w14:paraId="2E8C8123">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r>
    </w:tbl>
    <w:p w14:paraId="29D7E6E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计价说明：</w:t>
      </w:r>
    </w:p>
    <w:p w14:paraId="5B1C16A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（1）计费额M为审定的运维费金额。</w:t>
      </w:r>
    </w:p>
    <w:p w14:paraId="1A9B1872">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（2）计费价按分档计取，不累进。</w:t>
      </w:r>
    </w:p>
    <w:p w14:paraId="70D2626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（三）供应商报价为折扣报价。磋商文件中的采购预算仅作为响应报价的共同的基础，不能作为合同结算的依据。</w:t>
      </w:r>
    </w:p>
    <w:p w14:paraId="05FB71BB">
      <w:pPr>
        <w:spacing w:line="440" w:lineRule="exact"/>
        <w:ind w:firstLine="420" w:firstLineChars="200"/>
        <w:rPr>
          <w:rFonts w:ascii="微软雅黑" w:hAnsi="微软雅黑" w:eastAsia="微软雅黑"/>
          <w:bCs/>
          <w:color w:val="auto"/>
          <w:szCs w:val="21"/>
          <w:highlight w:val="none"/>
        </w:rPr>
      </w:pPr>
      <w:r>
        <w:rPr>
          <w:rFonts w:hint="eastAsia" w:ascii="微软雅黑" w:hAnsi="微软雅黑" w:eastAsia="微软雅黑"/>
          <w:color w:val="auto"/>
          <w:szCs w:val="21"/>
          <w:highlight w:val="none"/>
        </w:rPr>
        <w:t>（四）报价包含完成本项目所需的人工费、车辆运行费、差旅费、会议费、资料收集费、文印制费、税费、管理费、风险费、招标代理服务费等。由供应商结合自身实力、市场行情自主合理报价，供应商必须自行考虑本项目在实施期间的一切可能产生的费用，成交后，采购人不另外增加任何费用</w:t>
      </w:r>
      <w:r>
        <w:rPr>
          <w:rFonts w:hint="eastAsia" w:ascii="微软雅黑" w:hAnsi="微软雅黑" w:eastAsia="微软雅黑"/>
          <w:bCs/>
          <w:color w:val="auto"/>
          <w:szCs w:val="21"/>
          <w:highlight w:val="none"/>
        </w:rPr>
        <w:t>。</w:t>
      </w:r>
    </w:p>
    <w:bookmarkEnd w:id="44"/>
    <w:p w14:paraId="74897DCE">
      <w:pPr>
        <w:pStyle w:val="3"/>
        <w:adjustRightInd w:val="0"/>
        <w:snapToGrid w:val="0"/>
        <w:spacing w:before="0" w:after="0" w:line="440" w:lineRule="exact"/>
        <w:rPr>
          <w:rFonts w:ascii="微软雅黑" w:hAnsi="微软雅黑" w:eastAsia="微软雅黑"/>
          <w:color w:val="auto"/>
          <w:sz w:val="24"/>
          <w:highlight w:val="none"/>
        </w:rPr>
      </w:pPr>
      <w:bookmarkStart w:id="48" w:name="_Toc5762"/>
      <w:bookmarkStart w:id="49" w:name="_Toc109899031"/>
      <w:r>
        <w:rPr>
          <w:rFonts w:hint="eastAsia" w:ascii="微软雅黑" w:hAnsi="微软雅黑" w:eastAsia="微软雅黑"/>
          <w:color w:val="auto"/>
          <w:sz w:val="24"/>
          <w:highlight w:val="none"/>
        </w:rPr>
        <w:t>三、质量保证及售后服务</w:t>
      </w:r>
      <w:bookmarkEnd w:id="48"/>
    </w:p>
    <w:p w14:paraId="6C7A8F6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（一）质量保证期：自评审报告验收之日起，提供三年的服务质保期。</w:t>
      </w:r>
    </w:p>
    <w:p w14:paraId="6E5C8999">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（二）售后服务内容</w:t>
      </w:r>
    </w:p>
    <w:p w14:paraId="49EEDE9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成交供应商在服务质保期内应当为采购人提供以下服务：</w:t>
      </w:r>
    </w:p>
    <w:p w14:paraId="71F0627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1.质量保证期内服务要求</w:t>
      </w:r>
    </w:p>
    <w:p w14:paraId="107D339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1.1成交供应商按照采购人要求对所评审项目的后续变更调整进行评审；参与所评审项目的验收抽查、绩效评价等，出具相应报告。</w:t>
      </w:r>
    </w:p>
    <w:p w14:paraId="6348E502">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1.2成交供应商应当明确1名管理人员及1名技术人员具体对接售后服务，解答采购人在质保期内遇到的问题，及时为用户提出解决问题的建议。</w:t>
      </w:r>
    </w:p>
    <w:p w14:paraId="0873A28D">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1.3用户遇到技术问题，电话咨询不能解决的，根据采购人需要，成交供应商应在12小时内派出专业人员到达现场进行技术支持。</w:t>
      </w:r>
    </w:p>
    <w:p w14:paraId="0BC9308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2.质保期外服务要求</w:t>
      </w:r>
    </w:p>
    <w:p w14:paraId="08B74F0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2.1质量保证期过后，成交供应商应同样提供免费电话咨询服务，并应承诺提供上门技术支持服务。</w:t>
      </w:r>
    </w:p>
    <w:p w14:paraId="3CD35B7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2.2质量保证期过后，采购人需要继续由原成交供应商提供售后服务的，成交供应商应以成交折扣提供售后服务。</w:t>
      </w:r>
    </w:p>
    <w:p w14:paraId="4C51C638">
      <w:pPr>
        <w:pStyle w:val="3"/>
        <w:adjustRightInd w:val="0"/>
        <w:snapToGrid w:val="0"/>
        <w:spacing w:before="0" w:after="0" w:line="440" w:lineRule="exact"/>
        <w:rPr>
          <w:rFonts w:ascii="微软雅黑" w:hAnsi="微软雅黑" w:eastAsia="微软雅黑"/>
          <w:color w:val="auto"/>
          <w:sz w:val="24"/>
          <w:highlight w:val="none"/>
        </w:rPr>
      </w:pPr>
      <w:bookmarkStart w:id="50" w:name="_Toc30290"/>
      <w:r>
        <w:rPr>
          <w:rFonts w:hint="eastAsia" w:ascii="微软雅黑" w:hAnsi="微软雅黑" w:eastAsia="微软雅黑"/>
          <w:color w:val="auto"/>
          <w:sz w:val="24"/>
          <w:highlight w:val="none"/>
        </w:rPr>
        <w:t>四、付款方式</w:t>
      </w:r>
      <w:bookmarkEnd w:id="45"/>
      <w:bookmarkEnd w:id="49"/>
      <w:bookmarkEnd w:id="50"/>
    </w:p>
    <w:bookmarkEnd w:id="46"/>
    <w:bookmarkEnd w:id="47"/>
    <w:p w14:paraId="517C8EC6">
      <w:pPr>
        <w:snapToGrid w:val="0"/>
        <w:spacing w:line="440" w:lineRule="exact"/>
        <w:ind w:firstLine="420" w:firstLineChars="200"/>
        <w:rPr>
          <w:rFonts w:ascii="微软雅黑" w:hAnsi="微软雅黑" w:eastAsia="微软雅黑"/>
          <w:color w:val="auto"/>
          <w:szCs w:val="21"/>
          <w:highlight w:val="none"/>
        </w:rPr>
      </w:pPr>
      <w:bookmarkStart w:id="51" w:name="_Toc29746251"/>
      <w:bookmarkStart w:id="52" w:name="_Toc42805188"/>
      <w:r>
        <w:rPr>
          <w:rFonts w:hint="eastAsia" w:ascii="微软雅黑" w:hAnsi="微软雅黑" w:eastAsia="微软雅黑"/>
          <w:color w:val="auto"/>
          <w:szCs w:val="21"/>
          <w:highlight w:val="none"/>
        </w:rPr>
        <w:t>（一）评审工作完成后，根据成交供应商实际完成的评审工作量按季度据实结算。</w:t>
      </w:r>
    </w:p>
    <w:p w14:paraId="4EB75B8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（二）成交供应商向采购人开具合格发票并提供相关付款资料申请付款；采购人对提交的付款资料审核通过后，以转账方式向成交供应商支付相关费用。</w:t>
      </w:r>
    </w:p>
    <w:p w14:paraId="0B130C9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olor w:val="auto"/>
          <w:szCs w:val="21"/>
          <w:highlight w:val="none"/>
        </w:rPr>
        <w:t>（三）成交供应商未提交合法有效的发票的，采购人付款应当顺延</w:t>
      </w:r>
      <w:r>
        <w:rPr>
          <w:rFonts w:hint="eastAsia" w:ascii="微软雅黑" w:hAnsi="微软雅黑" w:eastAsia="微软雅黑" w:cs="微软雅黑"/>
          <w:color w:val="auto"/>
          <w:szCs w:val="21"/>
          <w:highlight w:val="none"/>
        </w:rPr>
        <w:t>。</w:t>
      </w:r>
    </w:p>
    <w:p w14:paraId="7517E059">
      <w:pPr>
        <w:pStyle w:val="3"/>
        <w:adjustRightInd w:val="0"/>
        <w:snapToGrid w:val="0"/>
        <w:spacing w:before="0" w:after="0" w:line="440" w:lineRule="exact"/>
        <w:rPr>
          <w:rFonts w:ascii="微软雅黑" w:hAnsi="微软雅黑" w:eastAsia="微软雅黑"/>
          <w:color w:val="auto"/>
          <w:sz w:val="24"/>
          <w:highlight w:val="none"/>
        </w:rPr>
      </w:pPr>
      <w:bookmarkStart w:id="53" w:name="_Toc22830"/>
      <w:bookmarkStart w:id="54" w:name="_Toc109899032"/>
      <w:r>
        <w:rPr>
          <w:rFonts w:hint="eastAsia" w:ascii="微软雅黑" w:hAnsi="微软雅黑" w:eastAsia="微软雅黑"/>
          <w:color w:val="auto"/>
          <w:sz w:val="24"/>
          <w:highlight w:val="none"/>
        </w:rPr>
        <w:t>五、知识产权</w:t>
      </w:r>
      <w:bookmarkEnd w:id="51"/>
      <w:bookmarkEnd w:id="52"/>
      <w:bookmarkEnd w:id="53"/>
      <w:bookmarkEnd w:id="54"/>
    </w:p>
    <w:p w14:paraId="260F4352">
      <w:pPr>
        <w:snapToGrid w:val="0"/>
        <w:spacing w:line="440" w:lineRule="exact"/>
        <w:ind w:firstLine="420" w:firstLineChars="200"/>
        <w:rPr>
          <w:rFonts w:ascii="微软雅黑" w:hAnsi="微软雅黑" w:eastAsia="微软雅黑"/>
          <w:color w:val="auto"/>
          <w:szCs w:val="21"/>
          <w:highlight w:val="none"/>
        </w:rPr>
      </w:pPr>
      <w:bookmarkStart w:id="55" w:name="_Toc441065671"/>
      <w:bookmarkStart w:id="56" w:name="_Toc267320053"/>
      <w:bookmarkStart w:id="57" w:name="_Toc42805190"/>
      <w:bookmarkStart w:id="58" w:name="_Toc29746252"/>
      <w:r>
        <w:rPr>
          <w:rFonts w:hint="eastAsia" w:ascii="微软雅黑" w:hAnsi="微软雅黑" w:eastAsia="微软雅黑"/>
          <w:color w:val="auto"/>
          <w:szCs w:val="21"/>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包括但不限于采购人为此支付的律师费、调查费、公证费、诉讼费用。</w:t>
      </w:r>
    </w:p>
    <w:p w14:paraId="446281E4">
      <w:pPr>
        <w:pStyle w:val="7"/>
        <w:spacing w:line="440" w:lineRule="exact"/>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（二）成果及知识产权归采购人所有。</w:t>
      </w:r>
    </w:p>
    <w:bookmarkEnd w:id="55"/>
    <w:bookmarkEnd w:id="56"/>
    <w:p w14:paraId="080A06C2">
      <w:pPr>
        <w:pStyle w:val="3"/>
        <w:adjustRightInd w:val="0"/>
        <w:snapToGrid w:val="0"/>
        <w:spacing w:before="0" w:after="0" w:line="440" w:lineRule="exact"/>
        <w:rPr>
          <w:rFonts w:ascii="微软雅黑" w:hAnsi="微软雅黑" w:eastAsia="微软雅黑"/>
          <w:color w:val="auto"/>
          <w:sz w:val="24"/>
          <w:highlight w:val="none"/>
        </w:rPr>
      </w:pPr>
      <w:bookmarkStart w:id="59" w:name="_Toc26980"/>
      <w:bookmarkStart w:id="60" w:name="_Toc109899033"/>
      <w:r>
        <w:rPr>
          <w:rFonts w:hint="eastAsia" w:ascii="微软雅黑" w:hAnsi="微软雅黑" w:eastAsia="微软雅黑"/>
          <w:color w:val="auto"/>
          <w:sz w:val="24"/>
          <w:highlight w:val="none"/>
        </w:rPr>
        <w:t>六、其他</w:t>
      </w:r>
      <w:bookmarkEnd w:id="57"/>
      <w:bookmarkEnd w:id="58"/>
      <w:bookmarkEnd w:id="59"/>
      <w:bookmarkEnd w:id="60"/>
    </w:p>
    <w:p w14:paraId="45A23288">
      <w:pPr>
        <w:pStyle w:val="7"/>
        <w:spacing w:line="440" w:lineRule="exact"/>
        <w:ind w:firstLine="420" w:firstLineChars="200"/>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其他未尽事宜由供需双方在采购合同中详细约定。</w:t>
      </w:r>
    </w:p>
    <w:p w14:paraId="5A54C517">
      <w:pPr>
        <w:pStyle w:val="3"/>
        <w:spacing w:line="360" w:lineRule="auto"/>
        <w:rPr>
          <w:rFonts w:ascii="微软雅黑" w:hAnsi="微软雅黑" w:eastAsia="微软雅黑"/>
          <w:color w:val="auto"/>
          <w:sz w:val="36"/>
          <w:szCs w:val="36"/>
          <w:highlight w:val="none"/>
        </w:rPr>
      </w:pPr>
      <w:r>
        <w:rPr>
          <w:rFonts w:ascii="微软雅黑" w:hAnsi="微软雅黑" w:eastAsia="微软雅黑"/>
          <w:color w:val="auto"/>
          <w:sz w:val="21"/>
          <w:szCs w:val="21"/>
          <w:highlight w:val="none"/>
        </w:rPr>
        <w:br w:type="page"/>
      </w:r>
      <w:bookmarkEnd w:id="37"/>
      <w:bookmarkEnd w:id="38"/>
      <w:bookmarkEnd w:id="39"/>
      <w:bookmarkStart w:id="61" w:name="_Toc3919"/>
      <w:bookmarkStart w:id="62" w:name="_Toc14606"/>
      <w:r>
        <w:rPr>
          <w:rFonts w:hint="eastAsia" w:ascii="微软雅黑" w:hAnsi="微软雅黑" w:eastAsia="微软雅黑"/>
          <w:color w:val="auto"/>
          <w:sz w:val="36"/>
          <w:szCs w:val="36"/>
          <w:highlight w:val="none"/>
        </w:rPr>
        <w:t>第四篇  磋商程序及方法、评审标准、无效响应和采购终止</w:t>
      </w:r>
      <w:bookmarkEnd w:id="61"/>
      <w:bookmarkEnd w:id="62"/>
    </w:p>
    <w:p w14:paraId="6C052927">
      <w:pPr>
        <w:pStyle w:val="3"/>
        <w:adjustRightInd w:val="0"/>
        <w:snapToGrid w:val="0"/>
        <w:spacing w:before="0" w:after="0" w:line="440" w:lineRule="exact"/>
        <w:rPr>
          <w:rFonts w:ascii="微软雅黑" w:hAnsi="微软雅黑" w:eastAsia="微软雅黑"/>
          <w:color w:val="auto"/>
          <w:sz w:val="24"/>
          <w:highlight w:val="none"/>
        </w:rPr>
      </w:pPr>
      <w:bookmarkStart w:id="63" w:name="_Toc22294"/>
      <w:r>
        <w:rPr>
          <w:rFonts w:hint="eastAsia" w:ascii="微软雅黑" w:hAnsi="微软雅黑" w:eastAsia="微软雅黑"/>
          <w:color w:val="auto"/>
          <w:sz w:val="24"/>
          <w:highlight w:val="none"/>
        </w:rPr>
        <w:t>一、磋商程序及方法</w:t>
      </w:r>
      <w:bookmarkEnd w:id="63"/>
    </w:p>
    <w:p w14:paraId="5DB5E8C0">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07700BF">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（二）磋商小组对各供应商的资格条件、响应文件的有效性、完整性和响应程度进行审查。各供应商只有在完全符合要求的前提下，才能参与正式磋商。</w:t>
      </w:r>
    </w:p>
    <w:p w14:paraId="78953F4E">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1.资格性审查。依据法律法规和竞争性磋商文件的规定，对响应文件中的资格证明等进行审查，以确定供应商是否具备磋商资格。资格性审查资料表如下：</w:t>
      </w:r>
    </w:p>
    <w:tbl>
      <w:tblPr>
        <w:tblStyle w:val="2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3470"/>
        <w:gridCol w:w="4496"/>
      </w:tblGrid>
      <w:tr w14:paraId="4ECF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7FFA7B50">
            <w:pPr>
              <w:spacing w:line="3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序号</w:t>
            </w:r>
          </w:p>
        </w:tc>
        <w:tc>
          <w:tcPr>
            <w:tcW w:w="4180" w:type="dxa"/>
            <w:gridSpan w:val="2"/>
            <w:vAlign w:val="center"/>
          </w:tcPr>
          <w:p w14:paraId="2200EFA7">
            <w:pPr>
              <w:spacing w:line="3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检查因素</w:t>
            </w:r>
          </w:p>
        </w:tc>
        <w:tc>
          <w:tcPr>
            <w:tcW w:w="4496" w:type="dxa"/>
            <w:vAlign w:val="center"/>
          </w:tcPr>
          <w:p w14:paraId="4091E799">
            <w:pPr>
              <w:spacing w:line="3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检查内容</w:t>
            </w:r>
          </w:p>
        </w:tc>
      </w:tr>
      <w:tr w14:paraId="26A1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675" w:type="dxa"/>
            <w:vMerge w:val="restart"/>
            <w:vAlign w:val="center"/>
          </w:tcPr>
          <w:p w14:paraId="55391075">
            <w:pPr>
              <w:spacing w:line="3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710" w:type="dxa"/>
            <w:vMerge w:val="restart"/>
            <w:vAlign w:val="center"/>
          </w:tcPr>
          <w:p w14:paraId="75F86245">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《中华人民共和国政府采购法》第二十二条规定</w:t>
            </w:r>
          </w:p>
        </w:tc>
        <w:tc>
          <w:tcPr>
            <w:tcW w:w="3470" w:type="dxa"/>
            <w:vAlign w:val="center"/>
          </w:tcPr>
          <w:p w14:paraId="641EA8AB">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1）具有独立承担民事责任的能力</w:t>
            </w:r>
          </w:p>
        </w:tc>
        <w:tc>
          <w:tcPr>
            <w:tcW w:w="4496" w:type="dxa"/>
            <w:vAlign w:val="center"/>
          </w:tcPr>
          <w:p w14:paraId="7F96732E">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1.供应商法人营业执照（副本）或事业单位法人证书（副本）或个体工商户营业执照或有效的自然人身份证明或社会团体法人登记证书（提供复印件）； </w:t>
            </w:r>
          </w:p>
          <w:p w14:paraId="091C4835">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2.供应商法定代表人身份证明和法定代表人授权代表委托书。</w:t>
            </w:r>
          </w:p>
        </w:tc>
      </w:tr>
      <w:tr w14:paraId="6471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75" w:type="dxa"/>
            <w:vMerge w:val="continue"/>
            <w:vAlign w:val="center"/>
          </w:tcPr>
          <w:p w14:paraId="5284273F">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0A1B7BD7">
            <w:pPr>
              <w:spacing w:line="300" w:lineRule="exact"/>
              <w:rPr>
                <w:rFonts w:ascii="微软雅黑" w:hAnsi="微软雅黑" w:eastAsia="微软雅黑" w:cs="微软雅黑"/>
                <w:color w:val="auto"/>
                <w:szCs w:val="21"/>
                <w:highlight w:val="none"/>
              </w:rPr>
            </w:pPr>
          </w:p>
        </w:tc>
        <w:tc>
          <w:tcPr>
            <w:tcW w:w="3470" w:type="dxa"/>
            <w:vAlign w:val="center"/>
          </w:tcPr>
          <w:p w14:paraId="2C22847F">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2）具有良好的商业信誉和健全的财务会计制度</w:t>
            </w:r>
          </w:p>
        </w:tc>
        <w:tc>
          <w:tcPr>
            <w:tcW w:w="4496" w:type="dxa"/>
            <w:vMerge w:val="restart"/>
            <w:vAlign w:val="center"/>
          </w:tcPr>
          <w:p w14:paraId="722D3A78">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宋体"/>
                <w:color w:val="auto"/>
                <w:szCs w:val="21"/>
                <w:highlight w:val="none"/>
              </w:rPr>
              <w:t>供应商提供基本资格条件承诺函（见本磋商文件第七篇中的格式文件）</w:t>
            </w:r>
          </w:p>
        </w:tc>
      </w:tr>
      <w:tr w14:paraId="0F39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19251FA6">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7076C706">
            <w:pPr>
              <w:spacing w:line="300" w:lineRule="exact"/>
              <w:rPr>
                <w:rFonts w:ascii="微软雅黑" w:hAnsi="微软雅黑" w:eastAsia="微软雅黑" w:cs="微软雅黑"/>
                <w:color w:val="auto"/>
                <w:szCs w:val="21"/>
                <w:highlight w:val="none"/>
              </w:rPr>
            </w:pPr>
          </w:p>
        </w:tc>
        <w:tc>
          <w:tcPr>
            <w:tcW w:w="3470" w:type="dxa"/>
            <w:vAlign w:val="center"/>
          </w:tcPr>
          <w:p w14:paraId="455FCFEA">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3）具有履行合同所必需的设备和专业技术能力</w:t>
            </w:r>
          </w:p>
        </w:tc>
        <w:tc>
          <w:tcPr>
            <w:tcW w:w="4496" w:type="dxa"/>
            <w:vMerge w:val="continue"/>
          </w:tcPr>
          <w:p w14:paraId="5CEBF80E">
            <w:pPr>
              <w:spacing w:line="300" w:lineRule="exact"/>
              <w:rPr>
                <w:rFonts w:ascii="微软雅黑" w:hAnsi="微软雅黑" w:eastAsia="微软雅黑" w:cs="微软雅黑"/>
                <w:color w:val="auto"/>
                <w:szCs w:val="21"/>
                <w:highlight w:val="none"/>
              </w:rPr>
            </w:pPr>
          </w:p>
        </w:tc>
      </w:tr>
      <w:tr w14:paraId="7CAE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5A277733">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55908907">
            <w:pPr>
              <w:spacing w:line="300" w:lineRule="exact"/>
              <w:rPr>
                <w:rFonts w:ascii="微软雅黑" w:hAnsi="微软雅黑" w:eastAsia="微软雅黑" w:cs="微软雅黑"/>
                <w:color w:val="auto"/>
                <w:szCs w:val="21"/>
                <w:highlight w:val="none"/>
              </w:rPr>
            </w:pPr>
          </w:p>
        </w:tc>
        <w:tc>
          <w:tcPr>
            <w:tcW w:w="3470" w:type="dxa"/>
            <w:vAlign w:val="center"/>
          </w:tcPr>
          <w:p w14:paraId="707C1A52">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4）有依法缴纳税收和社会保障金的良好记录</w:t>
            </w:r>
          </w:p>
        </w:tc>
        <w:tc>
          <w:tcPr>
            <w:tcW w:w="4496" w:type="dxa"/>
            <w:vMerge w:val="continue"/>
          </w:tcPr>
          <w:p w14:paraId="5E781D01">
            <w:pPr>
              <w:spacing w:line="300" w:lineRule="exact"/>
              <w:rPr>
                <w:rFonts w:ascii="微软雅黑" w:hAnsi="微软雅黑" w:eastAsia="微软雅黑" w:cs="微软雅黑"/>
                <w:color w:val="auto"/>
                <w:szCs w:val="21"/>
                <w:highlight w:val="none"/>
              </w:rPr>
            </w:pPr>
          </w:p>
        </w:tc>
      </w:tr>
      <w:tr w14:paraId="76DA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675" w:type="dxa"/>
            <w:vMerge w:val="continue"/>
            <w:vAlign w:val="center"/>
          </w:tcPr>
          <w:p w14:paraId="3755BFB8">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22CA3D36">
            <w:pPr>
              <w:spacing w:line="300" w:lineRule="exact"/>
              <w:rPr>
                <w:rFonts w:ascii="微软雅黑" w:hAnsi="微软雅黑" w:eastAsia="微软雅黑" w:cs="微软雅黑"/>
                <w:color w:val="auto"/>
                <w:szCs w:val="21"/>
                <w:highlight w:val="none"/>
              </w:rPr>
            </w:pPr>
          </w:p>
        </w:tc>
        <w:tc>
          <w:tcPr>
            <w:tcW w:w="3470" w:type="dxa"/>
            <w:vAlign w:val="center"/>
          </w:tcPr>
          <w:p w14:paraId="2DBD1988">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5）参加政府采购活动前三年内，在经营活动中没有重大违法记录（注①）</w:t>
            </w:r>
          </w:p>
        </w:tc>
        <w:tc>
          <w:tcPr>
            <w:tcW w:w="4496" w:type="dxa"/>
            <w:vMerge w:val="continue"/>
            <w:vAlign w:val="center"/>
          </w:tcPr>
          <w:p w14:paraId="515510F4">
            <w:pPr>
              <w:spacing w:line="300" w:lineRule="exact"/>
              <w:rPr>
                <w:rFonts w:ascii="微软雅黑" w:hAnsi="微软雅黑" w:eastAsia="微软雅黑" w:cs="微软雅黑"/>
                <w:b/>
                <w:color w:val="auto"/>
                <w:szCs w:val="21"/>
                <w:highlight w:val="none"/>
              </w:rPr>
            </w:pPr>
          </w:p>
        </w:tc>
      </w:tr>
      <w:tr w14:paraId="2C61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3C10A736">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1F0EA0F6">
            <w:pPr>
              <w:spacing w:line="300" w:lineRule="exact"/>
              <w:rPr>
                <w:rFonts w:ascii="微软雅黑" w:hAnsi="微软雅黑" w:eastAsia="微软雅黑" w:cs="微软雅黑"/>
                <w:color w:val="auto"/>
                <w:szCs w:val="21"/>
                <w:highlight w:val="none"/>
              </w:rPr>
            </w:pPr>
          </w:p>
        </w:tc>
        <w:tc>
          <w:tcPr>
            <w:tcW w:w="3470" w:type="dxa"/>
            <w:vAlign w:val="center"/>
          </w:tcPr>
          <w:p w14:paraId="34D1B2D6">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6）法律、行政法规规定的其他条件</w:t>
            </w:r>
          </w:p>
        </w:tc>
        <w:tc>
          <w:tcPr>
            <w:tcW w:w="4496" w:type="dxa"/>
            <w:vAlign w:val="center"/>
          </w:tcPr>
          <w:p w14:paraId="47B1D054">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r>
      <w:tr w14:paraId="1DA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35B82F4B">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0F65B61B">
            <w:pPr>
              <w:spacing w:line="300" w:lineRule="exact"/>
              <w:rPr>
                <w:rFonts w:ascii="微软雅黑" w:hAnsi="微软雅黑" w:eastAsia="微软雅黑" w:cs="微软雅黑"/>
                <w:color w:val="auto"/>
                <w:szCs w:val="21"/>
                <w:highlight w:val="none"/>
              </w:rPr>
            </w:pPr>
          </w:p>
        </w:tc>
        <w:tc>
          <w:tcPr>
            <w:tcW w:w="3470" w:type="dxa"/>
            <w:vAlign w:val="center"/>
          </w:tcPr>
          <w:p w14:paraId="48ACD108">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7）本项目的特定资格要求</w:t>
            </w:r>
          </w:p>
        </w:tc>
        <w:tc>
          <w:tcPr>
            <w:tcW w:w="4496" w:type="dxa"/>
            <w:vAlign w:val="center"/>
          </w:tcPr>
          <w:p w14:paraId="3414E03C">
            <w:pPr>
              <w:spacing w:line="300" w:lineRule="exact"/>
              <w:rPr>
                <w:rFonts w:ascii="微软雅黑" w:hAnsi="微软雅黑" w:eastAsia="微软雅黑" w:cs="微软雅黑"/>
                <w:color w:val="auto"/>
                <w:sz w:val="18"/>
                <w:szCs w:val="18"/>
                <w:highlight w:val="none"/>
              </w:rPr>
            </w:pPr>
            <w:r>
              <w:rPr>
                <w:rFonts w:hint="eastAsia" w:ascii="微软雅黑" w:hAnsi="微软雅黑" w:eastAsia="微软雅黑"/>
                <w:color w:val="auto"/>
                <w:szCs w:val="21"/>
                <w:highlight w:val="none"/>
              </w:rPr>
              <w:t>按第一篇“三、供应商资质要求（三）本项目的特定资格要求”的要求提交。</w:t>
            </w:r>
          </w:p>
        </w:tc>
      </w:tr>
      <w:tr w14:paraId="26E1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Align w:val="center"/>
          </w:tcPr>
          <w:p w14:paraId="0BA9FB33">
            <w:pPr>
              <w:spacing w:line="3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4180" w:type="dxa"/>
            <w:gridSpan w:val="2"/>
            <w:vAlign w:val="center"/>
          </w:tcPr>
          <w:p w14:paraId="2C4DA674">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落实政府采购政策需满足的资格要求</w:t>
            </w:r>
          </w:p>
        </w:tc>
        <w:tc>
          <w:tcPr>
            <w:tcW w:w="4496" w:type="dxa"/>
            <w:vAlign w:val="center"/>
          </w:tcPr>
          <w:p w14:paraId="57A7F74F">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本项目无</w:t>
            </w:r>
          </w:p>
        </w:tc>
      </w:tr>
    </w:tbl>
    <w:p w14:paraId="2D4F0F2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①：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380FF9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0"/>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0"/>
        <w:gridCol w:w="1995"/>
        <w:gridCol w:w="5745"/>
      </w:tblGrid>
      <w:tr w14:paraId="053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5" w:type="dxa"/>
            <w:vAlign w:val="center"/>
          </w:tcPr>
          <w:p w14:paraId="66286E3C">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序号</w:t>
            </w:r>
          </w:p>
        </w:tc>
        <w:tc>
          <w:tcPr>
            <w:tcW w:w="3265" w:type="dxa"/>
            <w:gridSpan w:val="2"/>
            <w:vAlign w:val="center"/>
          </w:tcPr>
          <w:p w14:paraId="6B754EF6">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评审因素</w:t>
            </w:r>
          </w:p>
        </w:tc>
        <w:tc>
          <w:tcPr>
            <w:tcW w:w="5745" w:type="dxa"/>
            <w:vAlign w:val="center"/>
          </w:tcPr>
          <w:p w14:paraId="3D341623">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评审标准</w:t>
            </w:r>
          </w:p>
        </w:tc>
      </w:tr>
      <w:tr w14:paraId="750E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14:paraId="53635387">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270" w:type="dxa"/>
            <w:vMerge w:val="restart"/>
            <w:vAlign w:val="center"/>
          </w:tcPr>
          <w:p w14:paraId="0C791A71">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有效性审查</w:t>
            </w:r>
          </w:p>
        </w:tc>
        <w:tc>
          <w:tcPr>
            <w:tcW w:w="1995" w:type="dxa"/>
            <w:vAlign w:val="center"/>
          </w:tcPr>
          <w:p w14:paraId="10531C6A">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响应文件签署或盖章</w:t>
            </w:r>
          </w:p>
        </w:tc>
        <w:tc>
          <w:tcPr>
            <w:tcW w:w="5745" w:type="dxa"/>
            <w:vAlign w:val="center"/>
          </w:tcPr>
          <w:p w14:paraId="76526B59">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按竞争性磋商文件“第七篇响应文件编制要求”要求签署或盖章。</w:t>
            </w:r>
          </w:p>
        </w:tc>
      </w:tr>
      <w:tr w14:paraId="2904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43A1C582">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7477B359">
            <w:pPr>
              <w:spacing w:line="300" w:lineRule="exact"/>
              <w:rPr>
                <w:rFonts w:ascii="微软雅黑" w:hAnsi="微软雅黑" w:eastAsia="微软雅黑"/>
                <w:color w:val="auto"/>
                <w:szCs w:val="21"/>
                <w:highlight w:val="none"/>
              </w:rPr>
            </w:pPr>
          </w:p>
        </w:tc>
        <w:tc>
          <w:tcPr>
            <w:tcW w:w="1995" w:type="dxa"/>
            <w:vAlign w:val="center"/>
          </w:tcPr>
          <w:p w14:paraId="2290A2EB">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法定代表人身份证明及授权委托书</w:t>
            </w:r>
          </w:p>
        </w:tc>
        <w:tc>
          <w:tcPr>
            <w:tcW w:w="5745" w:type="dxa"/>
            <w:vAlign w:val="center"/>
          </w:tcPr>
          <w:p w14:paraId="3EA284AD">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法定代表人身份证明及授权委托书有效，符合竞争性磋商文件规定的格式，签署或盖章齐全。</w:t>
            </w:r>
          </w:p>
        </w:tc>
      </w:tr>
      <w:tr w14:paraId="4758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vAlign w:val="center"/>
          </w:tcPr>
          <w:p w14:paraId="1C918523">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4EA1A399">
            <w:pPr>
              <w:spacing w:line="300" w:lineRule="exact"/>
              <w:rPr>
                <w:rFonts w:ascii="微软雅黑" w:hAnsi="微软雅黑" w:eastAsia="微软雅黑"/>
                <w:color w:val="auto"/>
                <w:szCs w:val="21"/>
                <w:highlight w:val="none"/>
              </w:rPr>
            </w:pPr>
          </w:p>
        </w:tc>
        <w:tc>
          <w:tcPr>
            <w:tcW w:w="1995" w:type="dxa"/>
            <w:vAlign w:val="center"/>
          </w:tcPr>
          <w:p w14:paraId="4FAD7FAC">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响应方案</w:t>
            </w:r>
          </w:p>
        </w:tc>
        <w:tc>
          <w:tcPr>
            <w:tcW w:w="5745" w:type="dxa"/>
            <w:vAlign w:val="center"/>
          </w:tcPr>
          <w:p w14:paraId="6A087DEF">
            <w:pPr>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只能有一个</w:t>
            </w:r>
            <w:r>
              <w:rPr>
                <w:rFonts w:hint="eastAsia" w:ascii="微软雅黑" w:hAnsi="微软雅黑" w:eastAsia="微软雅黑"/>
                <w:color w:val="auto"/>
                <w:szCs w:val="21"/>
                <w:highlight w:val="none"/>
              </w:rPr>
              <w:t>响应</w:t>
            </w:r>
            <w:r>
              <w:rPr>
                <w:rFonts w:hint="eastAsia" w:ascii="微软雅黑" w:hAnsi="微软雅黑" w:eastAsia="微软雅黑"/>
                <w:color w:val="auto"/>
                <w:szCs w:val="21"/>
                <w:highlight w:val="none"/>
                <w:lang w:val="zh-CN"/>
              </w:rPr>
              <w:t>方案。</w:t>
            </w:r>
          </w:p>
        </w:tc>
      </w:tr>
      <w:tr w14:paraId="5C72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vAlign w:val="center"/>
          </w:tcPr>
          <w:p w14:paraId="5DB545C3">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13526417">
            <w:pPr>
              <w:spacing w:line="300" w:lineRule="exact"/>
              <w:rPr>
                <w:rFonts w:ascii="微软雅黑" w:hAnsi="微软雅黑" w:eastAsia="微软雅黑"/>
                <w:color w:val="auto"/>
                <w:szCs w:val="21"/>
                <w:highlight w:val="none"/>
              </w:rPr>
            </w:pPr>
          </w:p>
        </w:tc>
        <w:tc>
          <w:tcPr>
            <w:tcW w:w="1995" w:type="dxa"/>
            <w:vAlign w:val="center"/>
          </w:tcPr>
          <w:p w14:paraId="15D8EC88">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报价唯一</w:t>
            </w:r>
          </w:p>
        </w:tc>
        <w:tc>
          <w:tcPr>
            <w:tcW w:w="5745" w:type="dxa"/>
            <w:vAlign w:val="center"/>
          </w:tcPr>
          <w:p w14:paraId="023D3D36">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只能有一个有效报价，不得提交选择性报价。</w:t>
            </w:r>
          </w:p>
        </w:tc>
      </w:tr>
      <w:tr w14:paraId="7E73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vAlign w:val="center"/>
          </w:tcPr>
          <w:p w14:paraId="08AD1DC3">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270" w:type="dxa"/>
            <w:vAlign w:val="center"/>
          </w:tcPr>
          <w:p w14:paraId="4031309B">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完整性审查</w:t>
            </w:r>
          </w:p>
        </w:tc>
        <w:tc>
          <w:tcPr>
            <w:tcW w:w="1995" w:type="dxa"/>
            <w:vAlign w:val="center"/>
          </w:tcPr>
          <w:p w14:paraId="43B7D980">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响应文件份数</w:t>
            </w:r>
          </w:p>
        </w:tc>
        <w:tc>
          <w:tcPr>
            <w:tcW w:w="5745" w:type="dxa"/>
            <w:vAlign w:val="center"/>
          </w:tcPr>
          <w:p w14:paraId="121CFF77">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响应文件正、副本数量（含电子文档）符合竞争性磋商文件要求。</w:t>
            </w:r>
          </w:p>
        </w:tc>
      </w:tr>
      <w:tr w14:paraId="0A0B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restart"/>
            <w:vAlign w:val="center"/>
          </w:tcPr>
          <w:p w14:paraId="4CB7D5C0">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1270" w:type="dxa"/>
            <w:vMerge w:val="restart"/>
            <w:vAlign w:val="center"/>
          </w:tcPr>
          <w:p w14:paraId="1131BAC7">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响应程度审查</w:t>
            </w:r>
          </w:p>
        </w:tc>
        <w:tc>
          <w:tcPr>
            <w:tcW w:w="1995" w:type="dxa"/>
            <w:vAlign w:val="center"/>
          </w:tcPr>
          <w:p w14:paraId="2795CBE5">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实质性响应</w:t>
            </w:r>
          </w:p>
        </w:tc>
        <w:tc>
          <w:tcPr>
            <w:tcW w:w="5745" w:type="dxa"/>
            <w:vAlign w:val="center"/>
          </w:tcPr>
          <w:p w14:paraId="0CF12FED">
            <w:pPr>
              <w:pStyle w:val="11"/>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竞争性磋商文件第二篇</w:t>
            </w:r>
            <w:r>
              <w:rPr>
                <w:rFonts w:hint="eastAsia" w:ascii="微软雅黑" w:hAnsi="微软雅黑" w:eastAsia="微软雅黑" w:cs="宋体"/>
                <w:color w:val="auto"/>
                <w:kern w:val="0"/>
                <w:szCs w:val="21"/>
                <w:highlight w:val="none"/>
              </w:rPr>
              <w:t>中（※）号标注的部分</w:t>
            </w:r>
            <w:r>
              <w:rPr>
                <w:rFonts w:hint="eastAsia" w:ascii="微软雅黑" w:hAnsi="微软雅黑" w:eastAsia="微软雅黑"/>
                <w:color w:val="auto"/>
                <w:szCs w:val="21"/>
                <w:highlight w:val="none"/>
              </w:rPr>
              <w:t>、第三篇全部内容。</w:t>
            </w:r>
          </w:p>
        </w:tc>
      </w:tr>
      <w:tr w14:paraId="3E29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957F63B">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1CDCE37E">
            <w:pPr>
              <w:spacing w:line="300" w:lineRule="exact"/>
              <w:rPr>
                <w:rFonts w:ascii="微软雅黑" w:hAnsi="微软雅黑" w:eastAsia="微软雅黑"/>
                <w:color w:val="auto"/>
                <w:szCs w:val="21"/>
                <w:highlight w:val="none"/>
              </w:rPr>
            </w:pPr>
          </w:p>
        </w:tc>
        <w:tc>
          <w:tcPr>
            <w:tcW w:w="1995" w:type="dxa"/>
            <w:vAlign w:val="center"/>
          </w:tcPr>
          <w:p w14:paraId="5FD35BAB">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磋商有效期</w:t>
            </w:r>
          </w:p>
        </w:tc>
        <w:tc>
          <w:tcPr>
            <w:tcW w:w="5745" w:type="dxa"/>
            <w:vAlign w:val="center"/>
          </w:tcPr>
          <w:p w14:paraId="6641360E">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响应文件及有关承诺文件有效期为提交响应文件截止时间起90天。</w:t>
            </w:r>
          </w:p>
        </w:tc>
      </w:tr>
    </w:tbl>
    <w:p w14:paraId="06D5B025">
      <w:pPr>
        <w:spacing w:line="440" w:lineRule="exact"/>
        <w:ind w:firstLine="420" w:firstLineChars="200"/>
        <w:rPr>
          <w:rFonts w:ascii="微软雅黑" w:hAnsi="微软雅黑" w:eastAsia="微软雅黑"/>
          <w:color w:val="auto"/>
          <w:szCs w:val="21"/>
          <w:highlight w:val="none"/>
        </w:rPr>
      </w:pPr>
      <w:r>
        <w:rPr>
          <w:rFonts w:ascii="微软雅黑" w:hAnsi="微软雅黑" w:eastAsia="微软雅黑"/>
          <w:color w:val="auto"/>
          <w:szCs w:val="21"/>
          <w:highlight w:val="none"/>
        </w:rPr>
        <w:t>3</w:t>
      </w:r>
      <w:r>
        <w:rPr>
          <w:rFonts w:hint="eastAsia" w:ascii="微软雅黑" w:hAnsi="微软雅黑" w:eastAsia="微软雅黑"/>
          <w:color w:val="auto"/>
          <w:szCs w:val="21"/>
          <w:highlight w:val="none"/>
        </w:rPr>
        <w:t>. 参照《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403EF6F">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A16075">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739FF85">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（五）在磋商过程中磋商的任何一方不得向他人透露与磋商有关的服务资料、价格或其他信息。</w:t>
      </w:r>
    </w:p>
    <w:p w14:paraId="0134229F">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5B06EA3">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（七）供应商在磋商时作出的所有书面承诺须由法定代表人（或其授权代表）或自然人（供应商为自然人）签署。</w:t>
      </w:r>
    </w:p>
    <w:p w14:paraId="18B0D988">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（八）经磋商确定最终采购需求且磋商结束后，</w:t>
      </w:r>
      <w:r>
        <w:rPr>
          <w:rFonts w:hint="eastAsia" w:ascii="微软雅黑" w:hAnsi="微软雅黑" w:eastAsia="微软雅黑"/>
          <w:b/>
          <w:bCs/>
          <w:color w:val="auto"/>
          <w:szCs w:val="21"/>
          <w:highlight w:val="none"/>
        </w:rPr>
        <w:t>供应商应当按照竞争性磋商文件的变动情况和磋商小组的要求重新提交响应文件或重新做出相关的书面承诺，最后书面提交最后报价及有关承诺（《最后报价表》在磋商现场向供应商提供）</w:t>
      </w:r>
      <w:r>
        <w:rPr>
          <w:rFonts w:hint="eastAsia" w:ascii="微软雅黑" w:hAnsi="微软雅黑" w:eastAsia="微软雅黑"/>
          <w:color w:val="auto"/>
          <w:szCs w:val="21"/>
          <w:highlight w:val="none"/>
        </w:rPr>
        <w:t>。已提交响应文件但未在规定时间内进行最后报价的供应商，视为放弃最后报价，以供应商响应文件中的报价为准。</w:t>
      </w:r>
    </w:p>
    <w:p w14:paraId="3908B9BE">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26757D9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CA61EF7">
      <w:pPr>
        <w:pStyle w:val="3"/>
        <w:adjustRightInd w:val="0"/>
        <w:snapToGrid w:val="0"/>
        <w:spacing w:before="0" w:after="0" w:line="440" w:lineRule="exact"/>
        <w:rPr>
          <w:rFonts w:ascii="微软雅黑" w:hAnsi="微软雅黑" w:eastAsia="微软雅黑"/>
          <w:color w:val="auto"/>
          <w:sz w:val="24"/>
          <w:highlight w:val="none"/>
        </w:rPr>
      </w:pPr>
      <w:bookmarkStart w:id="64" w:name="_Toc23450"/>
      <w:r>
        <w:rPr>
          <w:rFonts w:hint="eastAsia" w:ascii="微软雅黑" w:hAnsi="微软雅黑" w:eastAsia="微软雅黑"/>
          <w:color w:val="auto"/>
          <w:sz w:val="24"/>
          <w:highlight w:val="none"/>
        </w:rPr>
        <w:t>二、评审标准</w:t>
      </w:r>
      <w:bookmarkEnd w:id="64"/>
    </w:p>
    <w:tbl>
      <w:tblPr>
        <w:tblStyle w:val="2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35"/>
        <w:gridCol w:w="1134"/>
        <w:gridCol w:w="4499"/>
        <w:gridCol w:w="1993"/>
      </w:tblGrid>
      <w:tr w14:paraId="32C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5807AC3">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序号</w:t>
            </w:r>
          </w:p>
        </w:tc>
        <w:tc>
          <w:tcPr>
            <w:tcW w:w="1135" w:type="dxa"/>
            <w:vAlign w:val="center"/>
          </w:tcPr>
          <w:p w14:paraId="1101209C">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评分因素及权值</w:t>
            </w:r>
          </w:p>
        </w:tc>
        <w:tc>
          <w:tcPr>
            <w:tcW w:w="1134" w:type="dxa"/>
            <w:vAlign w:val="center"/>
          </w:tcPr>
          <w:p w14:paraId="0D872F16">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分值</w:t>
            </w:r>
          </w:p>
        </w:tc>
        <w:tc>
          <w:tcPr>
            <w:tcW w:w="4499" w:type="dxa"/>
            <w:vAlign w:val="center"/>
          </w:tcPr>
          <w:p w14:paraId="1E88DFB1">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评分标准</w:t>
            </w:r>
          </w:p>
        </w:tc>
        <w:tc>
          <w:tcPr>
            <w:tcW w:w="1993" w:type="dxa"/>
            <w:vAlign w:val="center"/>
          </w:tcPr>
          <w:p w14:paraId="197170D9">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说明</w:t>
            </w:r>
          </w:p>
        </w:tc>
      </w:tr>
      <w:tr w14:paraId="7D0B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bottom w:val="single" w:color="auto" w:sz="4" w:space="0"/>
            </w:tcBorders>
            <w:vAlign w:val="center"/>
          </w:tcPr>
          <w:p w14:paraId="27B32289">
            <w:pPr>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135" w:type="dxa"/>
            <w:tcBorders>
              <w:bottom w:val="single" w:color="auto" w:sz="4" w:space="0"/>
            </w:tcBorders>
            <w:vAlign w:val="center"/>
          </w:tcPr>
          <w:p w14:paraId="126D74F2">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磋商报价</w:t>
            </w:r>
          </w:p>
          <w:p w14:paraId="22007DED">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（20%）</w:t>
            </w:r>
          </w:p>
        </w:tc>
        <w:tc>
          <w:tcPr>
            <w:tcW w:w="1134" w:type="dxa"/>
            <w:tcBorders>
              <w:bottom w:val="single" w:color="auto" w:sz="4" w:space="0"/>
            </w:tcBorders>
            <w:vAlign w:val="center"/>
          </w:tcPr>
          <w:p w14:paraId="17E74A75">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20分</w:t>
            </w:r>
          </w:p>
        </w:tc>
        <w:tc>
          <w:tcPr>
            <w:tcW w:w="4499" w:type="dxa"/>
            <w:tcBorders>
              <w:bottom w:val="single" w:color="auto" w:sz="4" w:space="0"/>
            </w:tcBorders>
            <w:vAlign w:val="center"/>
          </w:tcPr>
          <w:p w14:paraId="5227A2FA">
            <w:pPr>
              <w:rPr>
                <w:rFonts w:ascii="微软雅黑" w:hAnsi="微软雅黑" w:eastAsia="微软雅黑"/>
                <w:color w:val="auto"/>
                <w:szCs w:val="21"/>
                <w:highlight w:val="none"/>
              </w:rPr>
            </w:pPr>
            <w:r>
              <w:rPr>
                <w:rFonts w:ascii="微软雅黑" w:hAnsi="微软雅黑" w:eastAsia="微软雅黑"/>
                <w:color w:val="auto"/>
                <w:szCs w:val="21"/>
                <w:highlight w:val="none"/>
              </w:rPr>
              <w:t>满足磋商文件要求且最后</w:t>
            </w:r>
            <w:r>
              <w:rPr>
                <w:rFonts w:hint="eastAsia" w:ascii="微软雅黑" w:hAnsi="微软雅黑" w:eastAsia="微软雅黑"/>
                <w:color w:val="auto"/>
                <w:szCs w:val="21"/>
                <w:highlight w:val="none"/>
              </w:rPr>
              <w:t>折扣</w:t>
            </w:r>
            <w:r>
              <w:rPr>
                <w:rFonts w:ascii="微软雅黑" w:hAnsi="微软雅黑" w:eastAsia="微软雅黑"/>
                <w:color w:val="auto"/>
                <w:szCs w:val="21"/>
                <w:highlight w:val="none"/>
              </w:rPr>
              <w:t>报价最低的供应商的价格为磋商基准价，其价格分为满分。其他供应商的价格分统一按照下列公式计算：</w:t>
            </w:r>
          </w:p>
          <w:p w14:paraId="2B5B90B1">
            <w:pPr>
              <w:rPr>
                <w:rFonts w:ascii="微软雅黑" w:hAnsi="微软雅黑" w:eastAsia="微软雅黑"/>
                <w:color w:val="auto"/>
                <w:szCs w:val="21"/>
                <w:highlight w:val="none"/>
              </w:rPr>
            </w:pPr>
            <w:r>
              <w:rPr>
                <w:rFonts w:ascii="微软雅黑" w:hAnsi="微软雅黑" w:eastAsia="微软雅黑"/>
                <w:color w:val="auto"/>
                <w:szCs w:val="21"/>
                <w:highlight w:val="none"/>
              </w:rPr>
              <w:t>磋商报价得分=（磋商基准价/最后磋商</w:t>
            </w:r>
            <w:r>
              <w:rPr>
                <w:rFonts w:hint="eastAsia" w:ascii="微软雅黑" w:hAnsi="微软雅黑" w:eastAsia="微软雅黑"/>
                <w:color w:val="auto"/>
                <w:szCs w:val="21"/>
                <w:highlight w:val="none"/>
              </w:rPr>
              <w:t>折扣</w:t>
            </w:r>
            <w:r>
              <w:rPr>
                <w:rFonts w:ascii="微软雅黑" w:hAnsi="微软雅黑" w:eastAsia="微软雅黑"/>
                <w:color w:val="auto"/>
                <w:szCs w:val="21"/>
                <w:highlight w:val="none"/>
              </w:rPr>
              <w:t>报价）×</w:t>
            </w:r>
            <w:r>
              <w:rPr>
                <w:rFonts w:hint="eastAsia" w:ascii="微软雅黑" w:hAnsi="微软雅黑" w:eastAsia="微软雅黑"/>
                <w:color w:val="auto"/>
                <w:szCs w:val="21"/>
                <w:highlight w:val="none"/>
              </w:rPr>
              <w:t>价格权值</w:t>
            </w:r>
            <w:r>
              <w:rPr>
                <w:rFonts w:ascii="微软雅黑" w:hAnsi="微软雅黑" w:eastAsia="微软雅黑"/>
                <w:color w:val="auto"/>
                <w:szCs w:val="21"/>
                <w:highlight w:val="none"/>
              </w:rPr>
              <w:t>×100。</w:t>
            </w:r>
          </w:p>
        </w:tc>
        <w:tc>
          <w:tcPr>
            <w:tcW w:w="1993" w:type="dxa"/>
            <w:tcBorders>
              <w:bottom w:val="single" w:color="auto" w:sz="4" w:space="0"/>
            </w:tcBorders>
            <w:vAlign w:val="center"/>
          </w:tcPr>
          <w:p w14:paraId="1EA2F167">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对小微企业的价格用扣除后的价格参与评审，详见“注：关于小微企业报价扣除比例说明”。</w:t>
            </w:r>
          </w:p>
        </w:tc>
      </w:tr>
      <w:tr w14:paraId="33E0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tcBorders>
              <w:top w:val="single" w:color="auto" w:sz="4" w:space="0"/>
            </w:tcBorders>
            <w:vAlign w:val="center"/>
          </w:tcPr>
          <w:p w14:paraId="634B24BE">
            <w:pPr>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135" w:type="dxa"/>
            <w:vMerge w:val="restart"/>
            <w:tcBorders>
              <w:top w:val="single" w:color="auto" w:sz="4" w:space="0"/>
            </w:tcBorders>
            <w:vAlign w:val="center"/>
          </w:tcPr>
          <w:p w14:paraId="087A39A3">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服务部分</w:t>
            </w:r>
          </w:p>
          <w:p w14:paraId="52E847A0">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（50%）</w:t>
            </w:r>
          </w:p>
        </w:tc>
        <w:tc>
          <w:tcPr>
            <w:tcW w:w="1134" w:type="dxa"/>
            <w:tcBorders>
              <w:top w:val="single" w:color="auto" w:sz="4" w:space="0"/>
            </w:tcBorders>
            <w:vAlign w:val="center"/>
          </w:tcPr>
          <w:p w14:paraId="14B791AD">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管理制度（12分）</w:t>
            </w:r>
          </w:p>
        </w:tc>
        <w:tc>
          <w:tcPr>
            <w:tcW w:w="4499" w:type="dxa"/>
            <w:tcBorders>
              <w:top w:val="single" w:color="auto" w:sz="4" w:space="0"/>
            </w:tcBorders>
            <w:vAlign w:val="center"/>
          </w:tcPr>
          <w:p w14:paraId="03D92BD9">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供应商对数字重庆建设的理解</w:t>
            </w:r>
            <w:r>
              <w:rPr>
                <w:rFonts w:hint="eastAsia"/>
                <w:color w:val="auto"/>
                <w:highlight w:val="none"/>
              </w:rPr>
              <w:t>，</w:t>
            </w:r>
            <w:r>
              <w:rPr>
                <w:rFonts w:hint="eastAsia" w:ascii="微软雅黑" w:hAnsi="微软雅黑" w:eastAsia="微软雅黑"/>
                <w:color w:val="auto"/>
                <w:szCs w:val="21"/>
                <w:highlight w:val="none"/>
              </w:rPr>
              <w:t>针对本项目提供相关的管理制度、根据制度的全面性、详细性、实际操作性和针对性等方面进行评分，内容包括但不限于：</w:t>
            </w:r>
          </w:p>
          <w:p w14:paraId="70E7E08C">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①对数字重庆建设各方面的理解，需求对接与分析。</w:t>
            </w:r>
          </w:p>
          <w:p w14:paraId="407EBA96">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②提供全面详细的内部控制制度；</w:t>
            </w:r>
          </w:p>
          <w:p w14:paraId="39B0E5E1">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③时效管理制度。</w:t>
            </w:r>
          </w:p>
          <w:p w14:paraId="64D69109">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3</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相关制度具有完整性、合理性，</w:t>
            </w:r>
            <w:r>
              <w:rPr>
                <w:rFonts w:hint="eastAsia" w:ascii="微软雅黑" w:hAnsi="微软雅黑" w:eastAsia="微软雅黑" w:cs="微软雅黑"/>
                <w:color w:val="auto"/>
                <w:kern w:val="0"/>
                <w:szCs w:val="21"/>
                <w:highlight w:val="none"/>
              </w:rPr>
              <w:t>针对性强，表述清晰</w:t>
            </w:r>
            <w:r>
              <w:rPr>
                <w:rFonts w:hint="eastAsia" w:ascii="微软雅黑" w:hAnsi="微软雅黑" w:eastAsia="微软雅黑"/>
                <w:color w:val="auto"/>
                <w:szCs w:val="21"/>
                <w:highlight w:val="none"/>
              </w:rPr>
              <w:t>得12分；其中有1项仅有标题而无实质意义叙述内容，或内容表述不完整，或缺少关键分析点，或方案内容表述前后矛盾、无连贯性，或内容存在逻辑漏洞、常识错误得8分；其中有2项仅有标题而无实质意义叙述内容，或内容表述不完整，或缺少关键分析点，或方案内容表述前后矛盾、无连贯性，或内容存在逻辑漏洞、常识错误得4分；3项仅有标题而无实质意义叙述或内容表述不完整，或缺少关键分析点，或方案内容表述前后矛盾、无连贯性，或内容存在逻辑漏洞、常识错误或未提供相关的管理制度的得0分。</w:t>
            </w:r>
          </w:p>
        </w:tc>
        <w:tc>
          <w:tcPr>
            <w:tcW w:w="1993" w:type="dxa"/>
            <w:tcBorders>
              <w:top w:val="single" w:color="auto" w:sz="4" w:space="0"/>
            </w:tcBorders>
            <w:vAlign w:val="center"/>
          </w:tcPr>
          <w:p w14:paraId="79679C5D">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提供对数字重庆建设的理解和相关管理制度，格式自拟。</w:t>
            </w:r>
          </w:p>
        </w:tc>
      </w:tr>
      <w:tr w14:paraId="173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080AD363">
            <w:pPr>
              <w:rPr>
                <w:rFonts w:ascii="微软雅黑" w:hAnsi="微软雅黑" w:eastAsia="微软雅黑"/>
                <w:color w:val="auto"/>
                <w:szCs w:val="21"/>
                <w:highlight w:val="none"/>
              </w:rPr>
            </w:pPr>
          </w:p>
        </w:tc>
        <w:tc>
          <w:tcPr>
            <w:tcW w:w="1135" w:type="dxa"/>
            <w:vMerge w:val="continue"/>
            <w:vAlign w:val="center"/>
          </w:tcPr>
          <w:p w14:paraId="3D819F55">
            <w:pPr>
              <w:jc w:val="center"/>
              <w:rPr>
                <w:rFonts w:ascii="微软雅黑" w:hAnsi="微软雅黑" w:eastAsia="微软雅黑"/>
                <w:color w:val="auto"/>
                <w:szCs w:val="21"/>
                <w:highlight w:val="none"/>
              </w:rPr>
            </w:pPr>
          </w:p>
        </w:tc>
        <w:tc>
          <w:tcPr>
            <w:tcW w:w="1134" w:type="dxa"/>
            <w:tcBorders>
              <w:top w:val="single" w:color="auto" w:sz="4" w:space="0"/>
            </w:tcBorders>
            <w:vAlign w:val="center"/>
          </w:tcPr>
          <w:p w14:paraId="170D6EB6">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进度方案（8分）</w:t>
            </w:r>
          </w:p>
        </w:tc>
        <w:tc>
          <w:tcPr>
            <w:tcW w:w="4499" w:type="dxa"/>
            <w:tcBorders>
              <w:top w:val="single" w:color="auto" w:sz="4" w:space="0"/>
            </w:tcBorders>
            <w:vAlign w:val="center"/>
          </w:tcPr>
          <w:p w14:paraId="3706FEC0">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供应商针对本项目提供相关进度方案，根据方案的全面性、详细性、实际操作性、针对性等方面进行评分，内容包括但不限于：</w:t>
            </w:r>
          </w:p>
          <w:p w14:paraId="05F251F5">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①工作进度计划；</w:t>
            </w:r>
          </w:p>
          <w:p w14:paraId="013E3783">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②详细工作内容的阐述；</w:t>
            </w:r>
          </w:p>
          <w:p w14:paraId="5B7DC3B5">
            <w:pPr>
              <w:snapToGrid w:val="0"/>
              <w:ind w:firstLine="420" w:firstLineChars="200"/>
              <w:jc w:val="left"/>
              <w:rPr>
                <w:color w:val="auto"/>
                <w:highlight w:val="none"/>
              </w:rPr>
            </w:pPr>
            <w:r>
              <w:rPr>
                <w:rFonts w:hint="eastAsia" w:ascii="微软雅黑" w:hAnsi="微软雅黑" w:eastAsia="微软雅黑"/>
                <w:color w:val="auto"/>
                <w:szCs w:val="21"/>
                <w:highlight w:val="none"/>
              </w:rPr>
              <w:t>③预期成果保障方案。</w:t>
            </w:r>
          </w:p>
          <w:p w14:paraId="37ABFB44">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3</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相关进度方案具有完整性、合理性，</w:t>
            </w:r>
            <w:r>
              <w:rPr>
                <w:rFonts w:hint="eastAsia" w:ascii="微软雅黑" w:hAnsi="微软雅黑" w:eastAsia="微软雅黑" w:cs="微软雅黑"/>
                <w:color w:val="auto"/>
                <w:kern w:val="0"/>
                <w:szCs w:val="21"/>
                <w:highlight w:val="none"/>
              </w:rPr>
              <w:t>针对性强，表述清晰</w:t>
            </w:r>
            <w:r>
              <w:rPr>
                <w:rFonts w:hint="eastAsia" w:ascii="微软雅黑" w:hAnsi="微软雅黑" w:eastAsia="微软雅黑"/>
                <w:color w:val="auto"/>
                <w:szCs w:val="21"/>
                <w:highlight w:val="none"/>
              </w:rPr>
              <w:t>得8分；其中有1项仅有标题而无实质意义叙述内容，或内容表述不完整，或缺少关键分析点，或方案内容表述前后矛盾、无连贯性，或内容存在逻辑漏洞、常识错误得5分；其中有2项仅有标题而无实质意义叙述内容，或内容表述不完整，或缺少关键分析点，或方案内容表述前后矛盾、无连贯性，或内容存在逻辑漏洞、常识错误得2分；3项仅有标题而无实质意义叙述或内容表述不完整，或缺少关键分析点，或方案内容表述前后矛盾、无连贯性，或内容存在逻辑漏洞、常识错误或未提供相关进度方案的得0分。</w:t>
            </w:r>
          </w:p>
        </w:tc>
        <w:tc>
          <w:tcPr>
            <w:tcW w:w="1993" w:type="dxa"/>
            <w:vAlign w:val="center"/>
          </w:tcPr>
          <w:p w14:paraId="0F00EAD2">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提供相关进度方案，格式自拟。</w:t>
            </w:r>
          </w:p>
        </w:tc>
      </w:tr>
      <w:tr w14:paraId="1347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40265984">
            <w:pPr>
              <w:rPr>
                <w:rFonts w:ascii="微软雅黑" w:hAnsi="微软雅黑" w:eastAsia="微软雅黑"/>
                <w:color w:val="auto"/>
                <w:szCs w:val="21"/>
                <w:highlight w:val="none"/>
              </w:rPr>
            </w:pPr>
          </w:p>
        </w:tc>
        <w:tc>
          <w:tcPr>
            <w:tcW w:w="1135" w:type="dxa"/>
            <w:vMerge w:val="continue"/>
            <w:vAlign w:val="center"/>
          </w:tcPr>
          <w:p w14:paraId="4A164631">
            <w:pPr>
              <w:rPr>
                <w:rFonts w:ascii="微软雅黑" w:hAnsi="微软雅黑" w:eastAsia="微软雅黑"/>
                <w:color w:val="auto"/>
                <w:szCs w:val="21"/>
                <w:highlight w:val="none"/>
              </w:rPr>
            </w:pPr>
          </w:p>
        </w:tc>
        <w:tc>
          <w:tcPr>
            <w:tcW w:w="1134" w:type="dxa"/>
            <w:tcBorders>
              <w:top w:val="single" w:color="auto" w:sz="4" w:space="0"/>
            </w:tcBorders>
            <w:vAlign w:val="center"/>
          </w:tcPr>
          <w:p w14:paraId="3600C4A6">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质量保障（15分）</w:t>
            </w:r>
          </w:p>
        </w:tc>
        <w:tc>
          <w:tcPr>
            <w:tcW w:w="4499" w:type="dxa"/>
            <w:tcBorders>
              <w:top w:val="single" w:color="auto" w:sz="4" w:space="0"/>
            </w:tcBorders>
            <w:vAlign w:val="center"/>
          </w:tcPr>
          <w:p w14:paraId="1AA4737B">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供应商针对本项目提供质量保障方案，根据方案的全面性、详细性、实际操作性、针对性等方面进行评分，内容包括但不限于：</w:t>
            </w:r>
          </w:p>
          <w:p w14:paraId="43E31E2F">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①质量保障措施；</w:t>
            </w:r>
          </w:p>
          <w:p w14:paraId="44D66EBE">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②项目复核保障措施；</w:t>
            </w:r>
          </w:p>
          <w:p w14:paraId="2BE51761">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③建档管理措施；</w:t>
            </w:r>
          </w:p>
          <w:p w14:paraId="2F42ADF4">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④回避制度的具体实施计划。</w:t>
            </w:r>
          </w:p>
          <w:p w14:paraId="7A14721F">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4</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质量保障方案具有完整性、合理性，针对性强，表述清晰得15分；其中有1项仅有标题而无实质意义叙述内容，或内容表述不完整，或方案内容表述前后矛盾、无连贯性，或内容存在逻辑漏洞、常识错误得11分；其中有2项仅有标题而无实质意义叙述内容，或内容表述不完整，或方案内容表述前后矛盾、无连贯性，或内容存在逻辑漏洞、常识错误得7分；其中有3项仅有标题而无实质意义叙述内容，或内容表述不完整，或方案内容表述前后矛盾、无连贯性，或内容存在逻辑漏洞、常识错误得3分；4项仅有标题而无实质意义叙述内容或内容表述不完整或缺少关键分析点或内容表述前后矛盾、无连贯性或内容存在逻辑漏洞、常识错误或未提供相关质量保障方案的，得0分。</w:t>
            </w:r>
          </w:p>
        </w:tc>
        <w:tc>
          <w:tcPr>
            <w:tcW w:w="1993" w:type="dxa"/>
            <w:vAlign w:val="center"/>
          </w:tcPr>
          <w:p w14:paraId="2EC07662">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提供质量保障方案，格式自拟。</w:t>
            </w:r>
          </w:p>
        </w:tc>
      </w:tr>
      <w:tr w14:paraId="244C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5BB4FF3C">
            <w:pPr>
              <w:rPr>
                <w:rFonts w:ascii="微软雅黑" w:hAnsi="微软雅黑" w:eastAsia="微软雅黑"/>
                <w:color w:val="auto"/>
                <w:szCs w:val="21"/>
                <w:highlight w:val="none"/>
              </w:rPr>
            </w:pPr>
          </w:p>
        </w:tc>
        <w:tc>
          <w:tcPr>
            <w:tcW w:w="1135" w:type="dxa"/>
            <w:vMerge w:val="continue"/>
            <w:vAlign w:val="center"/>
          </w:tcPr>
          <w:p w14:paraId="2C241C73">
            <w:pPr>
              <w:rPr>
                <w:rFonts w:ascii="微软雅黑" w:hAnsi="微软雅黑" w:eastAsia="微软雅黑"/>
                <w:color w:val="auto"/>
                <w:szCs w:val="21"/>
                <w:highlight w:val="none"/>
              </w:rPr>
            </w:pPr>
          </w:p>
        </w:tc>
        <w:tc>
          <w:tcPr>
            <w:tcW w:w="1134" w:type="dxa"/>
            <w:tcBorders>
              <w:top w:val="single" w:color="auto" w:sz="4" w:space="0"/>
            </w:tcBorders>
            <w:vAlign w:val="center"/>
          </w:tcPr>
          <w:p w14:paraId="71492ECB">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人力保障（15分）</w:t>
            </w:r>
          </w:p>
        </w:tc>
        <w:tc>
          <w:tcPr>
            <w:tcW w:w="4499" w:type="dxa"/>
            <w:tcBorders>
              <w:top w:val="single" w:color="auto" w:sz="4" w:space="0"/>
            </w:tcBorders>
            <w:vAlign w:val="center"/>
          </w:tcPr>
          <w:p w14:paraId="0399FECF">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供应商针对本项目提供人力保障方案，根据专业技术评审团队配备情况的</w:t>
            </w:r>
            <w:r>
              <w:rPr>
                <w:rFonts w:ascii="微软雅黑" w:hAnsi="微软雅黑" w:eastAsia="微软雅黑"/>
                <w:color w:val="auto"/>
                <w:szCs w:val="21"/>
                <w:highlight w:val="none"/>
              </w:rPr>
              <w:t>健全完备</w:t>
            </w:r>
            <w:r>
              <w:rPr>
                <w:rFonts w:hint="eastAsia" w:ascii="微软雅黑" w:hAnsi="微软雅黑" w:eastAsia="微软雅黑"/>
                <w:color w:val="auto"/>
                <w:szCs w:val="21"/>
                <w:highlight w:val="none"/>
              </w:rPr>
              <w:t>程度</w:t>
            </w:r>
            <w:r>
              <w:rPr>
                <w:rFonts w:ascii="微软雅黑" w:hAnsi="微软雅黑" w:eastAsia="微软雅黑"/>
                <w:color w:val="auto"/>
                <w:szCs w:val="21"/>
                <w:highlight w:val="none"/>
              </w:rPr>
              <w:t>、专业能力</w:t>
            </w:r>
            <w:r>
              <w:rPr>
                <w:rFonts w:hint="eastAsia" w:ascii="微软雅黑" w:hAnsi="微软雅黑" w:eastAsia="微软雅黑"/>
                <w:color w:val="auto"/>
                <w:szCs w:val="21"/>
                <w:highlight w:val="none"/>
              </w:rPr>
              <w:t>和工作经验度等方面进行评分，内容包括但不限于：</w:t>
            </w:r>
          </w:p>
          <w:p w14:paraId="14C6A850">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①在满足本磋商文件的基础上，组建的专业技术评审团队和可聘请相关专家更具有合理性和专业性；</w:t>
            </w:r>
          </w:p>
          <w:p w14:paraId="15BE2CDF">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②拟派的专业技术评审团队人员具有丰富工作和实施经验；</w:t>
            </w:r>
          </w:p>
          <w:p w14:paraId="1E85590F">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③对专家和团队人员制定了详细的管理制度。</w:t>
            </w:r>
          </w:p>
          <w:p w14:paraId="153926CA">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3</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人力保障方案具有合理性，专业性、且</w:t>
            </w:r>
            <w:r>
              <w:rPr>
                <w:rFonts w:hint="eastAsia" w:ascii="微软雅黑" w:hAnsi="微软雅黑" w:eastAsia="微软雅黑" w:cs="微软雅黑"/>
                <w:color w:val="auto"/>
                <w:kern w:val="0"/>
                <w:szCs w:val="21"/>
                <w:highlight w:val="none"/>
              </w:rPr>
              <w:t>针对性强</w:t>
            </w:r>
            <w:r>
              <w:rPr>
                <w:rFonts w:hint="eastAsia" w:ascii="微软雅黑" w:hAnsi="微软雅黑" w:eastAsia="微软雅黑"/>
                <w:color w:val="auto"/>
                <w:szCs w:val="21"/>
                <w:highlight w:val="none"/>
              </w:rPr>
              <w:t>得15分；其中有1项仅有标题而无实质意义叙述内容，或内容表述不完整，或方案内容表述前后矛盾、无连贯性，或内容存在逻辑漏洞、常识错误得10分；其中有2项仅有标题而无实质意义叙述内容，或内容表述不完整，或方案内容表述前后矛盾、无连贯性，或内容存在逻辑漏洞、常识错误得5分；其中有3项仅有标题而无实质意义叙述内容，或内容表述不完整，或方案内容表述前后矛盾、无连贯性，或内容存在逻辑漏洞、常识错误或未提供人力保障方案的，得0分。</w:t>
            </w:r>
          </w:p>
        </w:tc>
        <w:tc>
          <w:tcPr>
            <w:tcW w:w="1993" w:type="dxa"/>
            <w:vAlign w:val="center"/>
          </w:tcPr>
          <w:p w14:paraId="4A991BD1">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提供人力保障方案，内容包含但不限于：专家及团队人员列表、人员的简介、人员相关资质和业绩证明材料复印件、相关人员管理制度等。</w:t>
            </w:r>
          </w:p>
        </w:tc>
      </w:tr>
      <w:tr w14:paraId="2587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37" w:type="dxa"/>
            <w:vMerge w:val="restart"/>
            <w:vAlign w:val="center"/>
          </w:tcPr>
          <w:p w14:paraId="21BFBBA1">
            <w:pPr>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1135" w:type="dxa"/>
            <w:vMerge w:val="restart"/>
            <w:vAlign w:val="center"/>
          </w:tcPr>
          <w:p w14:paraId="6D9DDE8B">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商务评分（30%）</w:t>
            </w:r>
          </w:p>
        </w:tc>
        <w:tc>
          <w:tcPr>
            <w:tcW w:w="1134" w:type="dxa"/>
            <w:vAlign w:val="center"/>
          </w:tcPr>
          <w:p w14:paraId="388F2E9D">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业绩</w:t>
            </w:r>
          </w:p>
          <w:p w14:paraId="59C195A5">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（24分）</w:t>
            </w:r>
          </w:p>
        </w:tc>
        <w:tc>
          <w:tcPr>
            <w:tcW w:w="4499" w:type="dxa"/>
            <w:vAlign w:val="center"/>
          </w:tcPr>
          <w:p w14:paraId="08D70B9D">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1.2022年1月1日至今，供应商承担过类似政务数字化应用或政务信息化评审任务案例的，提供1个得2分，总分20分。</w:t>
            </w:r>
          </w:p>
          <w:p w14:paraId="528E9141">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2.2022年1月1日至今，供应商承担过类似政务数字化应用或政务信息化验收、</w:t>
            </w:r>
            <w:r>
              <w:rPr>
                <w:rFonts w:hint="eastAsia" w:ascii="微软雅黑" w:hAnsi="微软雅黑" w:eastAsia="微软雅黑"/>
                <w:color w:val="auto"/>
                <w:szCs w:val="21"/>
                <w:highlight w:val="none"/>
                <w:lang w:val="en-US" w:eastAsia="zh-CN"/>
              </w:rPr>
              <w:t>绩效</w:t>
            </w:r>
            <w:r>
              <w:rPr>
                <w:rFonts w:hint="eastAsia" w:ascii="微软雅黑" w:hAnsi="微软雅黑" w:eastAsia="微软雅黑"/>
                <w:color w:val="auto"/>
                <w:szCs w:val="21"/>
                <w:highlight w:val="none"/>
              </w:rPr>
              <w:t>评价案例的，提供1个得1分，总分4分。</w:t>
            </w:r>
          </w:p>
        </w:tc>
        <w:tc>
          <w:tcPr>
            <w:tcW w:w="1993" w:type="dxa"/>
            <w:vAlign w:val="center"/>
          </w:tcPr>
          <w:p w14:paraId="6BCDCFFC">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提供委托书或者服务合同等证明文件复印件</w:t>
            </w:r>
          </w:p>
        </w:tc>
      </w:tr>
      <w:tr w14:paraId="0997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37" w:type="dxa"/>
            <w:vMerge w:val="continue"/>
            <w:vAlign w:val="center"/>
          </w:tcPr>
          <w:p w14:paraId="6E580142">
            <w:pPr>
              <w:rPr>
                <w:rFonts w:ascii="微软雅黑" w:hAnsi="微软雅黑" w:eastAsia="微软雅黑"/>
                <w:color w:val="auto"/>
                <w:szCs w:val="21"/>
                <w:highlight w:val="none"/>
              </w:rPr>
            </w:pPr>
            <w:bookmarkStart w:id="65" w:name="_Toc428437947"/>
            <w:bookmarkStart w:id="66" w:name="_Toc342913394"/>
            <w:bookmarkStart w:id="67" w:name="_Toc102227320"/>
          </w:p>
        </w:tc>
        <w:tc>
          <w:tcPr>
            <w:tcW w:w="1135" w:type="dxa"/>
            <w:vMerge w:val="continue"/>
            <w:vAlign w:val="center"/>
          </w:tcPr>
          <w:p w14:paraId="106858CE">
            <w:pPr>
              <w:jc w:val="center"/>
              <w:rPr>
                <w:rFonts w:ascii="微软雅黑" w:hAnsi="微软雅黑" w:eastAsia="微软雅黑"/>
                <w:color w:val="auto"/>
                <w:szCs w:val="21"/>
                <w:highlight w:val="none"/>
              </w:rPr>
            </w:pPr>
          </w:p>
        </w:tc>
        <w:tc>
          <w:tcPr>
            <w:tcW w:w="1134" w:type="dxa"/>
            <w:vAlign w:val="center"/>
          </w:tcPr>
          <w:p w14:paraId="37DAA0F9">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技术力量（6分）</w:t>
            </w:r>
          </w:p>
        </w:tc>
        <w:tc>
          <w:tcPr>
            <w:tcW w:w="4499" w:type="dxa"/>
            <w:vAlign w:val="center"/>
          </w:tcPr>
          <w:p w14:paraId="3C949132">
            <w:pPr>
              <w:snapToGrid w:val="0"/>
              <w:ind w:firstLine="210" w:firstLineChars="1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在满足磋商文件“第二篇 项目服务需求”的评审人员条件基础上，供应商为本项目额外配置的技术人员力量：</w:t>
            </w:r>
          </w:p>
          <w:p w14:paraId="3101F43A">
            <w:pPr>
              <w:snapToGrid w:val="0"/>
              <w:ind w:firstLine="210" w:firstLineChars="1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1.具备有效的中国网络安全审查技术与认证中心颁发的《信息安全保障人员认证证书》或者具备中国信息安全产品测评认证中心颁发的《注册信息安全专业人员证书》有一个得2分，总分4分。</w:t>
            </w:r>
          </w:p>
          <w:p w14:paraId="30BFAD44">
            <w:pPr>
              <w:snapToGrid w:val="0"/>
              <w:ind w:firstLine="210" w:firstLineChars="1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2.具有高级会计师职称或注册会计师证书的，有一个得1分，总分2分。</w:t>
            </w:r>
          </w:p>
        </w:tc>
        <w:tc>
          <w:tcPr>
            <w:tcW w:w="1993" w:type="dxa"/>
            <w:vAlign w:val="center"/>
          </w:tcPr>
          <w:p w14:paraId="41EF96B3">
            <w:pPr>
              <w:snapToGrid w:val="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提供人员相关证书复印件，以及人员在供应商单位缴纳的2025年任意一个月社保证明复印件。成立不足上述时间的新公司或入职不足一个月的新员工可提供人员劳动（务）合同复印件。</w:t>
            </w:r>
          </w:p>
        </w:tc>
      </w:tr>
    </w:tbl>
    <w:p w14:paraId="04BFE0E6">
      <w:pPr>
        <w:adjustRightInd w:val="0"/>
        <w:snapToGrid w:val="0"/>
        <w:spacing w:line="420" w:lineRule="exact"/>
        <w:ind w:firstLine="420" w:firstLineChars="200"/>
        <w:rPr>
          <w:rFonts w:ascii="微软雅黑" w:hAnsi="微软雅黑" w:eastAsia="微软雅黑"/>
          <w:color w:val="auto"/>
          <w:szCs w:val="21"/>
          <w:highlight w:val="none"/>
        </w:rPr>
      </w:pPr>
      <w:bookmarkStart w:id="68" w:name="_Toc24882"/>
      <w:r>
        <w:rPr>
          <w:rFonts w:hint="eastAsia" w:ascii="微软雅黑" w:hAnsi="微软雅黑" w:eastAsia="微软雅黑"/>
          <w:color w:val="auto"/>
          <w:szCs w:val="21"/>
          <w:highlight w:val="none"/>
        </w:rPr>
        <w:t>注：关于小微企业报价扣除比例说明</w:t>
      </w:r>
    </w:p>
    <w:p w14:paraId="67320813">
      <w:pPr>
        <w:adjustRightInd w:val="0"/>
        <w:snapToGrid w:val="0"/>
        <w:spacing w:line="42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1.供应商参与磋商的，对小微型企业给予</w:t>
      </w:r>
      <w:r>
        <w:rPr>
          <w:rFonts w:hint="eastAsia" w:ascii="微软雅黑" w:hAnsi="微软雅黑" w:eastAsia="微软雅黑"/>
          <w:color w:val="auto"/>
          <w:szCs w:val="21"/>
          <w:highlight w:val="none"/>
          <w:u w:val="single"/>
        </w:rPr>
        <w:t xml:space="preserve"> 10 </w:t>
      </w:r>
      <w:r>
        <w:rPr>
          <w:rFonts w:hint="eastAsia" w:ascii="微软雅黑" w:hAnsi="微软雅黑" w:eastAsia="微软雅黑"/>
          <w:color w:val="auto"/>
          <w:szCs w:val="21"/>
          <w:highlight w:val="none"/>
        </w:rPr>
        <w:t>%的扣除，以扣除后的报价参与评审。</w:t>
      </w:r>
    </w:p>
    <w:p w14:paraId="093FA4A1">
      <w:pPr>
        <w:adjustRightInd w:val="0"/>
        <w:snapToGrid w:val="0"/>
        <w:spacing w:line="420" w:lineRule="exact"/>
        <w:ind w:firstLine="420" w:firstLineChars="200"/>
        <w:rPr>
          <w:rFonts w:ascii="微软雅黑" w:hAnsi="微软雅黑" w:eastAsia="微软雅黑"/>
          <w:color w:val="auto"/>
          <w:sz w:val="24"/>
          <w:highlight w:val="none"/>
        </w:rPr>
      </w:pPr>
      <w:r>
        <w:rPr>
          <w:rFonts w:hint="eastAsia" w:ascii="微软雅黑" w:hAnsi="微软雅黑" w:eastAsia="微软雅黑"/>
          <w:color w:val="auto"/>
          <w:szCs w:val="21"/>
          <w:highlight w:val="none"/>
        </w:rPr>
        <w:t>2.监狱企业、残疾人福利性单位视同小型、微型企业。</w:t>
      </w:r>
    </w:p>
    <w:p w14:paraId="0BAD585B">
      <w:pPr>
        <w:pStyle w:val="3"/>
        <w:adjustRightInd w:val="0"/>
        <w:snapToGrid w:val="0"/>
        <w:spacing w:before="0" w:after="0" w:line="440" w:lineRule="exact"/>
        <w:rPr>
          <w:rFonts w:ascii="微软雅黑" w:hAnsi="微软雅黑" w:eastAsia="微软雅黑"/>
          <w:color w:val="auto"/>
          <w:sz w:val="24"/>
          <w:highlight w:val="none"/>
        </w:rPr>
      </w:pPr>
      <w:r>
        <w:rPr>
          <w:rFonts w:hint="eastAsia" w:ascii="微软雅黑" w:hAnsi="微软雅黑" w:eastAsia="微软雅黑"/>
          <w:color w:val="auto"/>
          <w:sz w:val="24"/>
          <w:highlight w:val="none"/>
        </w:rPr>
        <w:t>三、无效响应</w:t>
      </w:r>
      <w:bookmarkEnd w:id="65"/>
      <w:bookmarkEnd w:id="68"/>
    </w:p>
    <w:p w14:paraId="7B7BFAA4">
      <w:pPr>
        <w:numPr>
          <w:ilvl w:val="4"/>
          <w:numId w:val="0"/>
        </w:numPr>
        <w:snapToGrid w:val="0"/>
        <w:spacing w:line="440" w:lineRule="exact"/>
        <w:ind w:firstLine="420" w:firstLineChars="200"/>
        <w:rPr>
          <w:rFonts w:ascii="微软雅黑" w:hAnsi="微软雅黑" w:eastAsia="微软雅黑"/>
          <w:color w:val="auto"/>
          <w:szCs w:val="21"/>
          <w:highlight w:val="none"/>
        </w:rPr>
      </w:pPr>
      <w:bookmarkStart w:id="69" w:name="_Toc428437948"/>
      <w:r>
        <w:rPr>
          <w:rFonts w:hint="eastAsia" w:ascii="微软雅黑" w:hAnsi="微软雅黑" w:eastAsia="微软雅黑"/>
          <w:color w:val="auto"/>
          <w:szCs w:val="21"/>
          <w:highlight w:val="none"/>
        </w:rPr>
        <w:t>供应商发生以下条款情况之一者，视为无效响应，其响应文件将被拒绝：</w:t>
      </w:r>
    </w:p>
    <w:p w14:paraId="339897B9">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（一）供应商不符合规定的资格条件的；</w:t>
      </w:r>
    </w:p>
    <w:p w14:paraId="3310624D">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（二）供应商的法定代表人（或其授权代表）或自然人未参加磋商；</w:t>
      </w:r>
    </w:p>
    <w:p w14:paraId="11490291">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（三）供应商所提交的响应文件不按“第七篇响应文件编制要求”要求签署或盖章；</w:t>
      </w:r>
    </w:p>
    <w:p w14:paraId="053A14FD">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（四）供应商的最后报价超过磋商文件规定的</w:t>
      </w:r>
      <w:r>
        <w:rPr>
          <w:rFonts w:hint="eastAsia" w:ascii="微软雅黑" w:hAnsi="微软雅黑" w:eastAsia="微软雅黑" w:cs="微软雅黑"/>
          <w:color w:val="auto"/>
          <w:szCs w:val="21"/>
          <w:highlight w:val="none"/>
        </w:rPr>
        <w:t>最高折扣限价的</w:t>
      </w:r>
      <w:r>
        <w:rPr>
          <w:rFonts w:hint="eastAsia" w:ascii="微软雅黑" w:hAnsi="微软雅黑" w:eastAsia="微软雅黑"/>
          <w:color w:val="auto"/>
          <w:szCs w:val="21"/>
          <w:highlight w:val="none"/>
        </w:rPr>
        <w:t>；</w:t>
      </w:r>
    </w:p>
    <w:p w14:paraId="0E7D157A">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（五）法定代表人为同一个人的两个及两个以上法人，母公司、全资子公司及其控股公司，在同一包采购中同时参与磋商；</w:t>
      </w:r>
    </w:p>
    <w:p w14:paraId="2FE07CF4">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（六）单位负责人为同一人或者存在直接控股、管理关系的不同供应商，参加同一合同项下的政府采购活动的；</w:t>
      </w:r>
    </w:p>
    <w:p w14:paraId="1E91B6C3">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（七）为采购项目提供整体设计、规范编制或者项目管理、监理、检测等服务的供应商，再参加该采购项目的其他采购活动；</w:t>
      </w:r>
    </w:p>
    <w:p w14:paraId="069674E2">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（八）供应商磋商有效期不满足竞争性磋商文件要求的；</w:t>
      </w:r>
    </w:p>
    <w:p w14:paraId="63836A1F">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（九）供应商响应文件内容有与国家现行法律法规相违背的内容，或附有采购人无法接受的条件；</w:t>
      </w:r>
    </w:p>
    <w:p w14:paraId="5793A556">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（十）法律、法规和竞争性磋商文件规定的其他无效情形。</w:t>
      </w:r>
    </w:p>
    <w:p w14:paraId="3E980268">
      <w:pPr>
        <w:pStyle w:val="3"/>
        <w:adjustRightInd w:val="0"/>
        <w:snapToGrid w:val="0"/>
        <w:spacing w:before="0" w:after="0" w:line="440" w:lineRule="exact"/>
        <w:rPr>
          <w:rFonts w:ascii="微软雅黑" w:hAnsi="微软雅黑" w:eastAsia="微软雅黑"/>
          <w:color w:val="auto"/>
          <w:sz w:val="24"/>
          <w:highlight w:val="none"/>
        </w:rPr>
      </w:pPr>
      <w:bookmarkStart w:id="70" w:name="_Toc25332"/>
      <w:r>
        <w:rPr>
          <w:rFonts w:hint="eastAsia" w:ascii="微软雅黑" w:hAnsi="微软雅黑" w:eastAsia="微软雅黑"/>
          <w:color w:val="auto"/>
          <w:sz w:val="24"/>
          <w:highlight w:val="none"/>
        </w:rPr>
        <w:t>四、</w:t>
      </w:r>
      <w:bookmarkEnd w:id="66"/>
      <w:bookmarkEnd w:id="67"/>
      <w:r>
        <w:rPr>
          <w:rFonts w:hint="eastAsia" w:ascii="微软雅黑" w:hAnsi="微软雅黑" w:eastAsia="微软雅黑"/>
          <w:color w:val="auto"/>
          <w:sz w:val="24"/>
          <w:highlight w:val="none"/>
        </w:rPr>
        <w:t>采购终止</w:t>
      </w:r>
      <w:bookmarkEnd w:id="69"/>
      <w:bookmarkEnd w:id="70"/>
    </w:p>
    <w:p w14:paraId="0BAAF34A">
      <w:pPr>
        <w:snapToGrid w:val="0"/>
        <w:spacing w:line="400" w:lineRule="exact"/>
        <w:ind w:firstLine="465"/>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出现下列情形之一的，采购人或者采购代理机构应当终止竞争性磋商采购活动，发布项目终止公告并说明原因，重新开展采购活动：</w:t>
      </w:r>
    </w:p>
    <w:p w14:paraId="7EFA167D">
      <w:pPr>
        <w:numPr>
          <w:ilvl w:val="4"/>
          <w:numId w:val="0"/>
        </w:numPr>
        <w:snapToGrid w:val="0"/>
        <w:spacing w:line="440" w:lineRule="exact"/>
        <w:ind w:left="420" w:left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（一）因情况变化，不再符合规定的竞争性磋商采购方式适用情形的；</w:t>
      </w:r>
    </w:p>
    <w:p w14:paraId="4BC01163">
      <w:pPr>
        <w:numPr>
          <w:ilvl w:val="4"/>
          <w:numId w:val="0"/>
        </w:numPr>
        <w:snapToGrid w:val="0"/>
        <w:spacing w:line="440" w:lineRule="exact"/>
        <w:ind w:left="420" w:left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（二）出现影响采购公正的违法、违规行为的；</w:t>
      </w:r>
    </w:p>
    <w:p w14:paraId="0CD92751">
      <w:pPr>
        <w:numPr>
          <w:ilvl w:val="4"/>
          <w:numId w:val="0"/>
        </w:numPr>
        <w:snapToGrid w:val="0"/>
        <w:spacing w:line="440" w:lineRule="exact"/>
        <w:ind w:left="420" w:left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（三）在采购过程中符合要求的供应商或者报价未超过采购预算的供应商不足3家的，但《政府</w:t>
      </w:r>
    </w:p>
    <w:p w14:paraId="430D790A">
      <w:pPr>
        <w:numPr>
          <w:ilvl w:val="4"/>
          <w:numId w:val="0"/>
        </w:numPr>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采购竞争性磋商采购方式管理暂行办法》第二十一条第三款规定的情形除外。</w:t>
      </w:r>
    </w:p>
    <w:p w14:paraId="1B19777A">
      <w:pPr>
        <w:numPr>
          <w:ilvl w:val="4"/>
          <w:numId w:val="0"/>
        </w:numPr>
        <w:snapToGrid w:val="0"/>
        <w:spacing w:line="440" w:lineRule="exact"/>
        <w:ind w:left="420" w:leftChars="200"/>
        <w:rPr>
          <w:rFonts w:ascii="微软雅黑" w:hAnsi="微软雅黑" w:eastAsia="微软雅黑" w:cs="微软雅黑"/>
          <w:color w:val="auto"/>
          <w:szCs w:val="21"/>
          <w:highlight w:val="none"/>
        </w:rPr>
        <w:sectPr>
          <w:headerReference r:id="rId5" w:type="first"/>
          <w:headerReference r:id="rId4" w:type="default"/>
          <w:footerReference r:id="rId6" w:type="default"/>
          <w:pgSz w:w="11905" w:h="16838"/>
          <w:pgMar w:top="1134" w:right="1304" w:bottom="1134" w:left="1304" w:header="850" w:footer="992" w:gutter="0"/>
          <w:pgNumType w:fmt="numberInDash"/>
          <w:cols w:space="0" w:num="1"/>
          <w:titlePg/>
          <w:docGrid w:linePitch="312" w:charSpace="0"/>
        </w:sectPr>
      </w:pPr>
    </w:p>
    <w:p w14:paraId="099376CD">
      <w:pPr>
        <w:pStyle w:val="3"/>
        <w:spacing w:line="360" w:lineRule="auto"/>
        <w:jc w:val="center"/>
        <w:rPr>
          <w:rFonts w:ascii="微软雅黑" w:hAnsi="微软雅黑" w:eastAsia="微软雅黑"/>
          <w:color w:val="auto"/>
          <w:sz w:val="36"/>
          <w:szCs w:val="36"/>
          <w:highlight w:val="none"/>
        </w:rPr>
      </w:pPr>
      <w:bookmarkStart w:id="71" w:name="_Hlt41879464"/>
      <w:bookmarkEnd w:id="71"/>
      <w:bookmarkStart w:id="72" w:name="_Toc577"/>
      <w:bookmarkStart w:id="73" w:name="_Toc12789072"/>
      <w:r>
        <w:rPr>
          <w:rFonts w:hint="eastAsia" w:ascii="微软雅黑" w:hAnsi="微软雅黑" w:eastAsia="微软雅黑"/>
          <w:color w:val="auto"/>
          <w:sz w:val="36"/>
          <w:szCs w:val="36"/>
          <w:highlight w:val="none"/>
        </w:rPr>
        <w:t>第五篇  供应</w:t>
      </w:r>
      <w:r>
        <w:rPr>
          <w:rFonts w:ascii="微软雅黑" w:hAnsi="微软雅黑" w:eastAsia="微软雅黑"/>
          <w:color w:val="auto"/>
          <w:sz w:val="36"/>
          <w:szCs w:val="36"/>
          <w:highlight w:val="none"/>
        </w:rPr>
        <w:t>商</w:t>
      </w:r>
      <w:r>
        <w:rPr>
          <w:rFonts w:hint="eastAsia" w:ascii="微软雅黑" w:hAnsi="微软雅黑" w:eastAsia="微软雅黑"/>
          <w:color w:val="auto"/>
          <w:sz w:val="36"/>
          <w:szCs w:val="36"/>
          <w:highlight w:val="none"/>
        </w:rPr>
        <w:t>须知</w:t>
      </w:r>
      <w:bookmarkEnd w:id="72"/>
    </w:p>
    <w:p w14:paraId="6865CF8D">
      <w:pPr>
        <w:pStyle w:val="3"/>
        <w:adjustRightInd w:val="0"/>
        <w:snapToGrid w:val="0"/>
        <w:spacing w:before="0" w:after="0" w:line="440" w:lineRule="exact"/>
        <w:rPr>
          <w:rFonts w:ascii="微软雅黑" w:hAnsi="微软雅黑" w:eastAsia="微软雅黑"/>
          <w:color w:val="auto"/>
          <w:sz w:val="24"/>
          <w:highlight w:val="none"/>
        </w:rPr>
      </w:pPr>
      <w:bookmarkStart w:id="74" w:name="_Toc76462338"/>
      <w:bookmarkStart w:id="75" w:name="_Toc25102"/>
      <w:bookmarkStart w:id="76" w:name="_Toc106030893"/>
      <w:bookmarkStart w:id="77" w:name="_Toc342913389"/>
      <w:r>
        <w:rPr>
          <w:rFonts w:hint="eastAsia" w:ascii="微软雅黑" w:hAnsi="微软雅黑" w:eastAsia="微软雅黑"/>
          <w:color w:val="auto"/>
          <w:sz w:val="24"/>
          <w:highlight w:val="none"/>
        </w:rPr>
        <w:t>一、磋商费用</w:t>
      </w:r>
      <w:bookmarkEnd w:id="74"/>
      <w:bookmarkEnd w:id="75"/>
      <w:bookmarkEnd w:id="76"/>
      <w:bookmarkEnd w:id="77"/>
    </w:p>
    <w:p w14:paraId="20FF324E">
      <w:pPr>
        <w:pStyle w:val="25"/>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参与磋商的供应商应承担其编制响应文件与递交响应文件所涉及的一切费用，不论磋商结果如何，采购人和采购代理机构在任何情况下无义务也无责任承担这些费用。</w:t>
      </w:r>
    </w:p>
    <w:p w14:paraId="1D3AD358">
      <w:pPr>
        <w:pStyle w:val="3"/>
        <w:adjustRightInd w:val="0"/>
        <w:snapToGrid w:val="0"/>
        <w:spacing w:before="0" w:after="0" w:line="440" w:lineRule="exact"/>
        <w:rPr>
          <w:rFonts w:ascii="微软雅黑" w:hAnsi="微软雅黑" w:eastAsia="微软雅黑"/>
          <w:color w:val="auto"/>
          <w:sz w:val="24"/>
          <w:highlight w:val="none"/>
        </w:rPr>
      </w:pPr>
      <w:bookmarkStart w:id="78" w:name="_Toc106030894"/>
      <w:bookmarkStart w:id="79" w:name="_Toc76462339"/>
      <w:bookmarkStart w:id="80" w:name="_Toc18234"/>
      <w:bookmarkStart w:id="81" w:name="_Toc342913391"/>
      <w:r>
        <w:rPr>
          <w:rFonts w:hint="eastAsia" w:ascii="微软雅黑" w:hAnsi="微软雅黑" w:eastAsia="微软雅黑"/>
          <w:color w:val="auto"/>
          <w:sz w:val="24"/>
          <w:highlight w:val="none"/>
        </w:rPr>
        <w:t>二、竞争性磋商文件</w:t>
      </w:r>
      <w:bookmarkEnd w:id="78"/>
      <w:bookmarkEnd w:id="79"/>
      <w:bookmarkEnd w:id="80"/>
      <w:bookmarkEnd w:id="81"/>
    </w:p>
    <w:p w14:paraId="52A84842">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（一）竞争性磋商文件由采购邀请书、项目服务需求、项目商务需求、磋商程序及方法、评审标准、无效响应和采购终止、供应商须知</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color w:val="auto"/>
          <w:szCs w:val="21"/>
          <w:highlight w:val="none"/>
        </w:rPr>
        <w:t>政府采购合同</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color w:val="auto"/>
          <w:szCs w:val="21"/>
          <w:highlight w:val="none"/>
        </w:rPr>
        <w:t>响应文件编制要求七部分组成。</w:t>
      </w:r>
    </w:p>
    <w:p w14:paraId="510BE4EE">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（二）采购人（或采购代理机构）所作的一切有效的书面通知、修改及补充，都是竞争性磋商文件不可分割的部分。</w:t>
      </w:r>
    </w:p>
    <w:p w14:paraId="7457BA28">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（三）竞争性磋商文件的解释</w:t>
      </w:r>
    </w:p>
    <w:p w14:paraId="765C660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61C65E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（四）本竞争性磋商文件中，磋商小组根据与供应商进行磋商可能实质性变动的内容为竞争性磋商文件第二、三、六篇全部内容。</w:t>
      </w:r>
    </w:p>
    <w:p w14:paraId="61FFDD79">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（五）评审的依据为竞争性磋商文件和响应文件（含有效的书面承诺）。磋商小组判断响应文件对竞争性磋商文件的响应，仅基于响应文件本身而不靠外部证据。</w:t>
      </w:r>
    </w:p>
    <w:p w14:paraId="2D14B4D1">
      <w:pPr>
        <w:pStyle w:val="3"/>
        <w:adjustRightInd w:val="0"/>
        <w:snapToGrid w:val="0"/>
        <w:spacing w:before="0" w:after="0" w:line="440" w:lineRule="exact"/>
        <w:rPr>
          <w:rFonts w:ascii="微软雅黑" w:hAnsi="微软雅黑" w:eastAsia="微软雅黑"/>
          <w:color w:val="auto"/>
          <w:sz w:val="24"/>
          <w:highlight w:val="none"/>
        </w:rPr>
      </w:pPr>
      <w:bookmarkStart w:id="82" w:name="_Toc76462340"/>
      <w:bookmarkStart w:id="83" w:name="_Toc4328"/>
      <w:bookmarkStart w:id="84" w:name="_Toc106030895"/>
      <w:r>
        <w:rPr>
          <w:rFonts w:hint="eastAsia" w:ascii="微软雅黑" w:hAnsi="微软雅黑" w:eastAsia="微软雅黑"/>
          <w:color w:val="auto"/>
          <w:sz w:val="24"/>
          <w:highlight w:val="none"/>
        </w:rPr>
        <w:t>三、磋商要求</w:t>
      </w:r>
      <w:bookmarkEnd w:id="82"/>
      <w:bookmarkEnd w:id="83"/>
      <w:bookmarkEnd w:id="84"/>
    </w:p>
    <w:p w14:paraId="726918E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（一）响应文件</w:t>
      </w:r>
    </w:p>
    <w:p w14:paraId="719F50C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1.供应商应当按照竞争性磋商文件的要求编制响应文件，并对竞争性磋商文件提出的要求和条件作出实质性响应，响应文件原则上采用软面订本，同时应编制完整的页码、目录。</w:t>
      </w:r>
    </w:p>
    <w:p w14:paraId="3F86CBB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2.响应文件组成</w:t>
      </w:r>
    </w:p>
    <w:p w14:paraId="0D10B9A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247559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（二）联合体（本项目不接受联合体磋商）</w:t>
      </w:r>
    </w:p>
    <w:p w14:paraId="74BAB61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1.两个以上供应商可以组成一个联合体，以一个供应商的身份共同参与磋商。</w:t>
      </w:r>
    </w:p>
    <w:p w14:paraId="42ABCAA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7E175127">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490BFD3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4.以联合体形式参加政府采购活动的，联合体各方不得再单独参加或者与其他供应商另外组成联合体参加同一合同项下的政府采购活动。</w:t>
      </w:r>
    </w:p>
    <w:p w14:paraId="3C30EE1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5.联合体业绩计算，按照共同联合协议分工认定。</w:t>
      </w:r>
    </w:p>
    <w:p w14:paraId="71BC5C9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27FE93E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（三）磋商有效期：响应文件及有关承诺文件有效期为提交响应文件截止时间起90天。</w:t>
      </w:r>
    </w:p>
    <w:p w14:paraId="5561D68D">
      <w:pPr>
        <w:spacing w:line="440" w:lineRule="exact"/>
        <w:ind w:firstLine="420" w:firstLineChars="200"/>
        <w:rPr>
          <w:rFonts w:ascii="微软雅黑" w:hAnsi="微软雅黑" w:eastAsia="微软雅黑" w:cs="微软雅黑"/>
          <w:color w:val="auto"/>
          <w:szCs w:val="21"/>
          <w:highlight w:val="none"/>
        </w:rPr>
      </w:pPr>
      <w:bookmarkStart w:id="85" w:name="_Toc106030896"/>
      <w:bookmarkStart w:id="86" w:name="_Toc76462341"/>
      <w:r>
        <w:rPr>
          <w:rFonts w:hint="eastAsia" w:ascii="微软雅黑" w:hAnsi="微软雅黑" w:eastAsia="微软雅黑" w:cs="微软雅黑"/>
          <w:color w:val="auto"/>
          <w:szCs w:val="21"/>
          <w:highlight w:val="none"/>
        </w:rPr>
        <w:t>（四）修正错误</w:t>
      </w:r>
    </w:p>
    <w:p w14:paraId="7567693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1.若供应商所递交的响应文件或最后报价中的价格出现大写金额和小写金额不一致的错误，以大写金额修正为准。</w:t>
      </w:r>
    </w:p>
    <w:p w14:paraId="422C50B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A6413C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（五）提交响应文件的份数和签署</w:t>
      </w:r>
    </w:p>
    <w:p w14:paraId="6285DF7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086B11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2.响应文件按竞争性磋商文件“第七篇响应文件编制要求”要求签署或盖章。</w:t>
      </w:r>
    </w:p>
    <w:p w14:paraId="4BDBBC3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（六）响应文件的递交</w:t>
      </w:r>
    </w:p>
    <w:p w14:paraId="46F96D2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3EA451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（七）供应商参与人员</w:t>
      </w:r>
    </w:p>
    <w:p w14:paraId="246D3FF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各个供应商应当派1-2名代表参与磋商，至少1人应为法定代表人（或其授权代表）或自然人（供应商为自然人）。</w:t>
      </w:r>
    </w:p>
    <w:p w14:paraId="012382E8">
      <w:pPr>
        <w:pStyle w:val="3"/>
        <w:adjustRightInd w:val="0"/>
        <w:snapToGrid w:val="0"/>
        <w:spacing w:before="0" w:after="0" w:line="440" w:lineRule="exact"/>
        <w:rPr>
          <w:rFonts w:ascii="微软雅黑" w:hAnsi="微软雅黑" w:eastAsia="微软雅黑"/>
          <w:color w:val="auto"/>
          <w:sz w:val="24"/>
          <w:highlight w:val="none"/>
        </w:rPr>
      </w:pPr>
      <w:bookmarkStart w:id="87" w:name="_Toc29563"/>
      <w:r>
        <w:rPr>
          <w:rFonts w:hint="eastAsia" w:ascii="微软雅黑" w:hAnsi="微软雅黑" w:eastAsia="微软雅黑"/>
          <w:color w:val="auto"/>
          <w:sz w:val="24"/>
          <w:highlight w:val="none"/>
        </w:rPr>
        <w:t>四、成交供应商的确认和变更</w:t>
      </w:r>
      <w:bookmarkEnd w:id="85"/>
      <w:bookmarkEnd w:id="86"/>
      <w:bookmarkEnd w:id="87"/>
    </w:p>
    <w:p w14:paraId="79FF1A75">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（一）成交供应商的确认</w:t>
      </w:r>
    </w:p>
    <w:p w14:paraId="74C0473D">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7A398D0">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（二）成交供应商的变更</w:t>
      </w:r>
    </w:p>
    <w:p w14:paraId="04C6F4BB">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成交供应商拒绝与采购人签订合同的，采购人可以按照评标报告推荐的成交候选供应商顺序，确定排名下一位的候选人为成交供应商，也可以重新开展政府采购活动。</w:t>
      </w:r>
    </w:p>
    <w:p w14:paraId="0E796C06">
      <w:pPr>
        <w:pStyle w:val="3"/>
        <w:adjustRightInd w:val="0"/>
        <w:snapToGrid w:val="0"/>
        <w:spacing w:before="0" w:after="0" w:line="440" w:lineRule="exact"/>
        <w:rPr>
          <w:rFonts w:ascii="微软雅黑" w:hAnsi="微软雅黑" w:eastAsia="微软雅黑"/>
          <w:color w:val="auto"/>
          <w:sz w:val="24"/>
          <w:highlight w:val="none"/>
        </w:rPr>
      </w:pPr>
      <w:bookmarkStart w:id="88" w:name="_Toc106030897"/>
      <w:bookmarkStart w:id="89" w:name="_Toc76462342"/>
      <w:bookmarkStart w:id="90" w:name="_Toc19293"/>
      <w:r>
        <w:rPr>
          <w:rFonts w:hint="eastAsia" w:ascii="微软雅黑" w:hAnsi="微软雅黑" w:eastAsia="微软雅黑"/>
          <w:color w:val="auto"/>
          <w:sz w:val="24"/>
          <w:highlight w:val="none"/>
        </w:rPr>
        <w:t>五、成交通知</w:t>
      </w:r>
      <w:bookmarkEnd w:id="88"/>
      <w:bookmarkEnd w:id="89"/>
      <w:bookmarkEnd w:id="90"/>
    </w:p>
    <w:p w14:paraId="42B115A0">
      <w:pPr>
        <w:snapToGrid w:val="0"/>
        <w:spacing w:line="440" w:lineRule="exact"/>
        <w:ind w:firstLine="420" w:firstLineChars="200"/>
        <w:outlineLvl w:val="2"/>
        <w:rPr>
          <w:rFonts w:ascii="微软雅黑" w:hAnsi="微软雅黑" w:eastAsia="微软雅黑" w:cs="微软雅黑"/>
          <w:color w:val="auto"/>
          <w:szCs w:val="21"/>
          <w:highlight w:val="none"/>
        </w:rPr>
      </w:pPr>
      <w:bookmarkStart w:id="91" w:name="_Toc76462343"/>
      <w:bookmarkStart w:id="92" w:name="_Toc106030898"/>
      <w:r>
        <w:rPr>
          <w:rFonts w:hint="eastAsia" w:ascii="微软雅黑" w:hAnsi="微软雅黑" w:eastAsia="微软雅黑" w:cs="微软雅黑"/>
          <w:color w:val="auto"/>
          <w:szCs w:val="21"/>
          <w:highlight w:val="none"/>
        </w:rPr>
        <w:t>（一）成交供应商确定后，采购代理机构将在“行采家”（https://www.gec123.com）上发布成交结果公告。</w:t>
      </w:r>
    </w:p>
    <w:p w14:paraId="2EF1A301">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（二）结果公告发出同时，采购代理机构将以书面形式发出《成交通知书》。《成交通知书》一经发出即发生法律效力。</w:t>
      </w:r>
    </w:p>
    <w:p w14:paraId="59853D05">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（三）《成交通知书》将作为签订合同的依据。</w:t>
      </w:r>
    </w:p>
    <w:p w14:paraId="6EB82C5A">
      <w:pPr>
        <w:pStyle w:val="3"/>
        <w:adjustRightInd w:val="0"/>
        <w:snapToGrid w:val="0"/>
        <w:spacing w:before="0" w:after="0" w:line="440" w:lineRule="exact"/>
        <w:rPr>
          <w:rFonts w:ascii="微软雅黑" w:hAnsi="微软雅黑" w:eastAsia="微软雅黑"/>
          <w:color w:val="auto"/>
          <w:sz w:val="24"/>
          <w:highlight w:val="none"/>
        </w:rPr>
      </w:pPr>
      <w:bookmarkStart w:id="93" w:name="_Toc18842"/>
      <w:r>
        <w:rPr>
          <w:rFonts w:hint="eastAsia" w:ascii="微软雅黑" w:hAnsi="微软雅黑" w:eastAsia="微软雅黑"/>
          <w:color w:val="auto"/>
          <w:sz w:val="24"/>
          <w:highlight w:val="none"/>
        </w:rPr>
        <w:t>六、关于质疑和投诉</w:t>
      </w:r>
      <w:bookmarkEnd w:id="91"/>
      <w:bookmarkEnd w:id="92"/>
      <w:bookmarkEnd w:id="93"/>
    </w:p>
    <w:p w14:paraId="0C6A63CF">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（一）质疑</w:t>
      </w:r>
    </w:p>
    <w:p w14:paraId="0AC8C5C0">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供应商认为采购文件、采购过程和成交结果使自己的权益受到伤害的，可向采购人或采购代理机构以书面形式提出质疑。</w:t>
      </w:r>
    </w:p>
    <w:p w14:paraId="45D38B7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提出质疑的应当是参与所质疑项目采购活动的供应商。 </w:t>
      </w:r>
    </w:p>
    <w:p w14:paraId="3C343E0C">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1.质疑时限、内容</w:t>
      </w:r>
    </w:p>
    <w:p w14:paraId="4C62F1A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供应商认为采购文件、采购过程、成交结果使自己的权益受到损害的，可以在知道或者应知其权益受到损害之日起7个工作日内，以书面形式向采购人、采购代理机构提出质疑。</w:t>
      </w:r>
    </w:p>
    <w:p w14:paraId="539B41D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1.2供应商提出质疑应当提交质疑函和必要的证明材料，质疑函应当包括下列内容：</w:t>
      </w:r>
    </w:p>
    <w:p w14:paraId="74EBC93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1.2.1供应商的姓名或者名称、地址、邮编、联系人及联系电话；</w:t>
      </w:r>
    </w:p>
    <w:p w14:paraId="17819B0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1.2.2质疑项目的名称、采购执行编号以及采购执行编号；</w:t>
      </w:r>
    </w:p>
    <w:p w14:paraId="28F88E2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1.2.3具体、明确的质疑事项和与质疑事项相关的请求；</w:t>
      </w:r>
    </w:p>
    <w:p w14:paraId="6C382F9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1.2.4事实依据；</w:t>
      </w:r>
    </w:p>
    <w:p w14:paraId="53AAEED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1.2.5必要的法律依据；</w:t>
      </w:r>
    </w:p>
    <w:p w14:paraId="21C119A2">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1.2.6提出质疑的日期；</w:t>
      </w:r>
    </w:p>
    <w:p w14:paraId="2C8B3A7D">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1.2.7营业执照（或事业单位法人证书，或个体工商户营业执照或有效的自然人身份证明）复印件；</w:t>
      </w:r>
    </w:p>
    <w:p w14:paraId="473F4F7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1.2.8法定代表人授权委托书原件、法定代表人身份证复印件和其授权代表的身份证复印件（供应商为自然人的提供自然人身份证复印件）；</w:t>
      </w:r>
    </w:p>
    <w:p w14:paraId="16673742">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1.3供应商为自然人的，质疑函应当由本人签字；供应商为法人或者其他组织的，质疑函应当由法定代表人、主要负责人，或者其授权代表签字或者盖章，并加盖公章。</w:t>
      </w:r>
    </w:p>
    <w:p w14:paraId="62C134EE">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2.质疑答复</w:t>
      </w:r>
    </w:p>
    <w:p w14:paraId="5BCF121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采购人、采购代理机构应当在收到供应商的书面质疑后七个工作日内作出答复，并以书面形式通知质疑供应商和其他有关供应商。</w:t>
      </w:r>
    </w:p>
    <w:p w14:paraId="68730E8E">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w:t>
      </w:r>
    </w:p>
    <w:p w14:paraId="4E7A89D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3.1供应商应按照《政府采购质疑和投诉办法》（财政部令第94号）及相关法律法规要求，在法定质疑期内一次性提出针对同一采购程序环节的质疑。</w:t>
      </w:r>
    </w:p>
    <w:p w14:paraId="57DCB70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3.2质疑函范本可在财政部门户网站和中国政府采购网下载。</w:t>
      </w:r>
    </w:p>
    <w:p w14:paraId="3A5E247D">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r>
        <w:rPr>
          <w:rFonts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rPr>
        <w:t xml:space="preserve"> 质疑联系方式详见第一篇“七、联系方式”。采购代理机构地址为重庆市渝北区黄山大道中段</w:t>
      </w:r>
      <w:r>
        <w:rPr>
          <w:rFonts w:ascii="微软雅黑" w:hAnsi="微软雅黑" w:eastAsia="微软雅黑" w:cs="微软雅黑"/>
          <w:color w:val="auto"/>
          <w:szCs w:val="21"/>
          <w:highlight w:val="none"/>
        </w:rPr>
        <w:t>53号5-1（双鱼座A栋5楼）</w:t>
      </w:r>
      <w:r>
        <w:rPr>
          <w:rFonts w:hint="eastAsia" w:ascii="微软雅黑" w:hAnsi="微软雅黑" w:eastAsia="微软雅黑" w:cs="微软雅黑"/>
          <w:color w:val="auto"/>
          <w:szCs w:val="21"/>
          <w:highlight w:val="none"/>
        </w:rPr>
        <w:t>。</w:t>
      </w:r>
    </w:p>
    <w:p w14:paraId="772DF33A">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（二）投诉</w:t>
      </w:r>
    </w:p>
    <w:p w14:paraId="5F34874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1.供应商对采购人、采购代理机构的答复不满意，或者采购人、采购代理机构未在规定时间内作出答复的，可以在答复期满后15个工作日内按照相关法律法规向采购人监督部门提起投诉。</w:t>
      </w:r>
    </w:p>
    <w:p w14:paraId="49CB03E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2.供应商应按照《政府采购质疑和投诉办法》（财政部令第94号）及相关法律法规要求递交投诉书和必要的证明材料。投诉书范本可在财政部门户网站和中国政府采购网下载。</w:t>
      </w:r>
    </w:p>
    <w:p w14:paraId="2E1ACA6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356BFA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12B89622">
      <w:pPr>
        <w:pStyle w:val="3"/>
        <w:adjustRightInd w:val="0"/>
        <w:snapToGrid w:val="0"/>
        <w:spacing w:before="0" w:after="0" w:line="440" w:lineRule="exact"/>
        <w:rPr>
          <w:rFonts w:ascii="微软雅黑" w:hAnsi="微软雅黑" w:eastAsia="微软雅黑"/>
          <w:color w:val="auto"/>
          <w:sz w:val="24"/>
          <w:highlight w:val="none"/>
        </w:rPr>
      </w:pPr>
      <w:bookmarkStart w:id="94" w:name="_Toc28456"/>
      <w:bookmarkStart w:id="95" w:name="_Toc428437956"/>
      <w:r>
        <w:rPr>
          <w:rFonts w:hint="eastAsia" w:ascii="微软雅黑" w:hAnsi="微软雅黑" w:eastAsia="微软雅黑"/>
          <w:color w:val="auto"/>
          <w:sz w:val="24"/>
          <w:highlight w:val="none"/>
        </w:rPr>
        <w:t>七、采购代理服务费</w:t>
      </w:r>
      <w:bookmarkEnd w:id="94"/>
      <w:bookmarkEnd w:id="95"/>
    </w:p>
    <w:p w14:paraId="29D94FFB">
      <w:pPr>
        <w:spacing w:line="440" w:lineRule="exact"/>
        <w:ind w:firstLine="420" w:firstLineChars="200"/>
        <w:rPr>
          <w:rFonts w:ascii="微软雅黑" w:hAnsi="微软雅黑" w:eastAsia="微软雅黑"/>
          <w:color w:val="auto"/>
          <w:szCs w:val="21"/>
          <w:highlight w:val="none"/>
        </w:rPr>
      </w:pPr>
      <w:bookmarkStart w:id="96" w:name="_Toc428437957"/>
      <w:r>
        <w:rPr>
          <w:rFonts w:hint="eastAsia" w:ascii="微软雅黑" w:hAnsi="微软雅黑" w:eastAsia="微软雅黑"/>
          <w:color w:val="auto"/>
          <w:szCs w:val="21"/>
          <w:highlight w:val="none"/>
        </w:rPr>
        <w:t>1.供应商成交后向采购代理机构缴纳采购代理服务费，</w:t>
      </w:r>
      <w:r>
        <w:rPr>
          <w:rFonts w:hint="eastAsia" w:ascii="微软雅黑" w:hAnsi="微软雅黑" w:eastAsia="微软雅黑" w:cs="微软雅黑"/>
          <w:color w:val="auto"/>
          <w:szCs w:val="21"/>
          <w:highlight w:val="none"/>
        </w:rPr>
        <w:t>采购代理服务费的收取标准以采购预算为基础，按照以下服务类标准执行</w:t>
      </w:r>
      <w:r>
        <w:rPr>
          <w:rFonts w:hint="eastAsia" w:ascii="微软雅黑" w:hAnsi="微软雅黑" w:eastAsia="微软雅黑"/>
          <w:color w:val="auto"/>
          <w:szCs w:val="21"/>
          <w:highlight w:val="none"/>
        </w:rPr>
        <w:t>，实际计算收费金额低于3000元的则按3000元收取。</w:t>
      </w:r>
    </w:p>
    <w:p w14:paraId="34479DDC">
      <w:pPr>
        <w:pStyle w:val="10"/>
        <w:spacing w:line="440" w:lineRule="exact"/>
        <w:ind w:firstLine="420" w:firstLineChars="200"/>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采购代理服务费收取标准</w:t>
      </w:r>
    </w:p>
    <w:tbl>
      <w:tblPr>
        <w:tblStyle w:val="2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2025"/>
        <w:gridCol w:w="2022"/>
        <w:gridCol w:w="1693"/>
      </w:tblGrid>
      <w:tr w14:paraId="4F1C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5" w:type="dxa"/>
            <w:tcBorders>
              <w:top w:val="single" w:color="auto" w:sz="4" w:space="0"/>
              <w:left w:val="single" w:color="auto" w:sz="4" w:space="0"/>
              <w:bottom w:val="single" w:color="auto" w:sz="4" w:space="0"/>
              <w:right w:val="single" w:color="auto" w:sz="4" w:space="0"/>
              <w:tl2br w:val="single" w:color="auto" w:sz="4" w:space="0"/>
            </w:tcBorders>
          </w:tcPr>
          <w:p w14:paraId="00034139">
            <w:pPr>
              <w:pStyle w:val="10"/>
              <w:spacing w:line="300" w:lineRule="exact"/>
              <w:ind w:firstLine="420" w:firstLineChars="200"/>
              <w:jc w:val="right"/>
              <w:rPr>
                <w:rFonts w:ascii="微软雅黑" w:hAnsi="微软雅黑" w:eastAsia="微软雅黑"/>
                <w:color w:val="auto"/>
                <w:szCs w:val="21"/>
                <w:highlight w:val="none"/>
              </w:rPr>
            </w:pPr>
            <w:r>
              <w:rPr>
                <w:rFonts w:ascii="微软雅黑" w:hAnsi="微软雅黑" w:eastAsia="微软雅黑"/>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61312;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4Kdi&#10;MOcBAADYAwAADgAAAAAAAAABACAAAAAlAQAAZHJzL2Uyb0RvYy54bWxQSwUGAAAAAAYABgBZAQAA&#10;fgUAAAAA&#10;">
                      <v:fill on="f" focussize="0,0"/>
                      <v:stroke color="#000000" joinstyle="round"/>
                      <v:imagedata o:title=""/>
                      <o:lock v:ext="edit" aspectratio="f"/>
                    </v:line>
                  </w:pict>
                </mc:Fallback>
              </mc:AlternateContent>
            </w:r>
            <w:r>
              <w:rPr>
                <w:rFonts w:hint="eastAsia" w:ascii="微软雅黑" w:hAnsi="微软雅黑" w:eastAsia="微软雅黑"/>
                <w:color w:val="auto"/>
                <w:szCs w:val="21"/>
                <w:highlight w:val="none"/>
              </w:rPr>
              <w:t>招标类型</w:t>
            </w:r>
          </w:p>
          <w:p w14:paraId="5E4989D4">
            <w:pPr>
              <w:pStyle w:val="10"/>
              <w:spacing w:line="300" w:lineRule="exact"/>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预算金额（万元）</w:t>
            </w:r>
          </w:p>
        </w:tc>
        <w:tc>
          <w:tcPr>
            <w:tcW w:w="2025" w:type="dxa"/>
            <w:tcBorders>
              <w:top w:val="single" w:color="auto" w:sz="4" w:space="0"/>
              <w:left w:val="single" w:color="auto" w:sz="4" w:space="0"/>
              <w:bottom w:val="single" w:color="auto" w:sz="4" w:space="0"/>
              <w:right w:val="single" w:color="auto" w:sz="4" w:space="0"/>
            </w:tcBorders>
            <w:vAlign w:val="center"/>
          </w:tcPr>
          <w:p w14:paraId="2D69A3DF">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货物招标</w:t>
            </w:r>
          </w:p>
        </w:tc>
        <w:tc>
          <w:tcPr>
            <w:tcW w:w="2022" w:type="dxa"/>
            <w:tcBorders>
              <w:top w:val="single" w:color="auto" w:sz="4" w:space="0"/>
              <w:left w:val="single" w:color="auto" w:sz="4" w:space="0"/>
              <w:bottom w:val="single" w:color="auto" w:sz="4" w:space="0"/>
              <w:right w:val="single" w:color="auto" w:sz="4" w:space="0"/>
            </w:tcBorders>
            <w:vAlign w:val="center"/>
          </w:tcPr>
          <w:p w14:paraId="785D22B7">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服务招标</w:t>
            </w:r>
          </w:p>
        </w:tc>
        <w:tc>
          <w:tcPr>
            <w:tcW w:w="1693" w:type="dxa"/>
            <w:tcBorders>
              <w:top w:val="single" w:color="auto" w:sz="4" w:space="0"/>
              <w:left w:val="single" w:color="auto" w:sz="4" w:space="0"/>
              <w:bottom w:val="single" w:color="auto" w:sz="4" w:space="0"/>
              <w:right w:val="single" w:color="auto" w:sz="4" w:space="0"/>
            </w:tcBorders>
            <w:vAlign w:val="center"/>
          </w:tcPr>
          <w:p w14:paraId="2712041A">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工程招标</w:t>
            </w:r>
          </w:p>
        </w:tc>
      </w:tr>
      <w:tr w14:paraId="63D2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50EAB535">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14:paraId="3C0AF01F">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2022" w:type="dxa"/>
            <w:tcBorders>
              <w:top w:val="single" w:color="auto" w:sz="4" w:space="0"/>
              <w:left w:val="single" w:color="auto" w:sz="4" w:space="0"/>
              <w:bottom w:val="single" w:color="auto" w:sz="4" w:space="0"/>
              <w:right w:val="single" w:color="auto" w:sz="4" w:space="0"/>
            </w:tcBorders>
            <w:vAlign w:val="center"/>
          </w:tcPr>
          <w:p w14:paraId="610D5D90">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1693" w:type="dxa"/>
            <w:tcBorders>
              <w:top w:val="single" w:color="auto" w:sz="4" w:space="0"/>
              <w:left w:val="single" w:color="auto" w:sz="4" w:space="0"/>
              <w:bottom w:val="single" w:color="auto" w:sz="4" w:space="0"/>
              <w:right w:val="single" w:color="auto" w:sz="4" w:space="0"/>
            </w:tcBorders>
            <w:vAlign w:val="center"/>
          </w:tcPr>
          <w:p w14:paraId="2E222BDF">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r>
      <w:tr w14:paraId="2235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764A0E60">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14:paraId="7AFCBD43">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2022" w:type="dxa"/>
            <w:tcBorders>
              <w:top w:val="single" w:color="auto" w:sz="4" w:space="0"/>
              <w:left w:val="single" w:color="auto" w:sz="4" w:space="0"/>
              <w:bottom w:val="single" w:color="auto" w:sz="4" w:space="0"/>
              <w:right w:val="single" w:color="auto" w:sz="4" w:space="0"/>
            </w:tcBorders>
            <w:vAlign w:val="center"/>
          </w:tcPr>
          <w:p w14:paraId="3CDC38B0">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0.8%</w:t>
            </w:r>
          </w:p>
        </w:tc>
        <w:tc>
          <w:tcPr>
            <w:tcW w:w="1693" w:type="dxa"/>
            <w:tcBorders>
              <w:top w:val="single" w:color="auto" w:sz="4" w:space="0"/>
              <w:left w:val="single" w:color="auto" w:sz="4" w:space="0"/>
              <w:bottom w:val="single" w:color="auto" w:sz="4" w:space="0"/>
              <w:right w:val="single" w:color="auto" w:sz="4" w:space="0"/>
            </w:tcBorders>
            <w:vAlign w:val="center"/>
          </w:tcPr>
          <w:p w14:paraId="6294D484">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0.7%</w:t>
            </w:r>
          </w:p>
        </w:tc>
      </w:tr>
      <w:tr w14:paraId="080A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363E41C4">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14:paraId="20A792DD">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0.8%</w:t>
            </w:r>
          </w:p>
        </w:tc>
        <w:tc>
          <w:tcPr>
            <w:tcW w:w="2022" w:type="dxa"/>
            <w:tcBorders>
              <w:top w:val="single" w:color="auto" w:sz="4" w:space="0"/>
              <w:left w:val="single" w:color="auto" w:sz="4" w:space="0"/>
              <w:bottom w:val="single" w:color="auto" w:sz="4" w:space="0"/>
              <w:right w:val="single" w:color="auto" w:sz="4" w:space="0"/>
            </w:tcBorders>
            <w:vAlign w:val="center"/>
          </w:tcPr>
          <w:p w14:paraId="152A5BC7">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0.45%</w:t>
            </w:r>
          </w:p>
        </w:tc>
        <w:tc>
          <w:tcPr>
            <w:tcW w:w="1693" w:type="dxa"/>
            <w:tcBorders>
              <w:top w:val="single" w:color="auto" w:sz="4" w:space="0"/>
              <w:left w:val="single" w:color="auto" w:sz="4" w:space="0"/>
              <w:bottom w:val="single" w:color="auto" w:sz="4" w:space="0"/>
              <w:right w:val="single" w:color="auto" w:sz="4" w:space="0"/>
            </w:tcBorders>
            <w:vAlign w:val="center"/>
          </w:tcPr>
          <w:p w14:paraId="5063DCE7">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0.55%</w:t>
            </w:r>
          </w:p>
        </w:tc>
      </w:tr>
      <w:tr w14:paraId="5EEB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1C4E7097">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14:paraId="754BE8F8">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0.5%</w:t>
            </w:r>
          </w:p>
        </w:tc>
        <w:tc>
          <w:tcPr>
            <w:tcW w:w="2022" w:type="dxa"/>
            <w:tcBorders>
              <w:top w:val="single" w:color="auto" w:sz="4" w:space="0"/>
              <w:left w:val="single" w:color="auto" w:sz="4" w:space="0"/>
              <w:bottom w:val="single" w:color="auto" w:sz="4" w:space="0"/>
              <w:right w:val="single" w:color="auto" w:sz="4" w:space="0"/>
            </w:tcBorders>
            <w:vAlign w:val="center"/>
          </w:tcPr>
          <w:p w14:paraId="048200B8">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0.25%</w:t>
            </w:r>
          </w:p>
        </w:tc>
        <w:tc>
          <w:tcPr>
            <w:tcW w:w="1693" w:type="dxa"/>
            <w:tcBorders>
              <w:top w:val="single" w:color="auto" w:sz="4" w:space="0"/>
              <w:left w:val="single" w:color="auto" w:sz="4" w:space="0"/>
              <w:bottom w:val="single" w:color="auto" w:sz="4" w:space="0"/>
              <w:right w:val="single" w:color="auto" w:sz="4" w:space="0"/>
            </w:tcBorders>
            <w:vAlign w:val="center"/>
          </w:tcPr>
          <w:p w14:paraId="340A4C0A">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0.35%</w:t>
            </w:r>
          </w:p>
        </w:tc>
      </w:tr>
    </w:tbl>
    <w:p w14:paraId="386E6DB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2.服务费以转账或电汇等形式支付。</w:t>
      </w:r>
    </w:p>
    <w:p w14:paraId="6E545893">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3.采购代理服务费缴纳账户信息：</w:t>
      </w:r>
    </w:p>
    <w:p w14:paraId="663E2F28">
      <w:pPr>
        <w:pStyle w:val="10"/>
        <w:spacing w:line="440" w:lineRule="exact"/>
        <w:ind w:firstLine="420" w:firstLineChars="200"/>
        <w:rPr>
          <w:rFonts w:ascii="微软雅黑" w:hAnsi="微软雅黑" w:eastAsia="微软雅黑"/>
          <w:color w:val="auto"/>
          <w:szCs w:val="21"/>
          <w:highlight w:val="none"/>
        </w:rPr>
      </w:pPr>
      <w:bookmarkStart w:id="97" w:name="_Toc385"/>
      <w:r>
        <w:rPr>
          <w:rFonts w:hint="eastAsia" w:ascii="微软雅黑" w:hAnsi="微软雅黑" w:eastAsia="微软雅黑"/>
          <w:color w:val="auto"/>
          <w:szCs w:val="21"/>
          <w:highlight w:val="none"/>
        </w:rPr>
        <w:t>户</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名：中招国际招标有限公司重庆分公司</w:t>
      </w:r>
    </w:p>
    <w:p w14:paraId="5E31B0F4">
      <w:pPr>
        <w:pStyle w:val="1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开户行：中国工商银行股份有限公司重庆两江分行</w:t>
      </w:r>
    </w:p>
    <w:p w14:paraId="2BF1CFDB">
      <w:pPr>
        <w:pStyle w:val="1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账</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号：</w:t>
      </w:r>
      <w:r>
        <w:rPr>
          <w:rFonts w:ascii="微软雅黑" w:hAnsi="微软雅黑" w:eastAsia="微软雅黑"/>
          <w:color w:val="auto"/>
          <w:szCs w:val="21"/>
          <w:highlight w:val="none"/>
        </w:rPr>
        <w:t>3100020219200339271</w:t>
      </w:r>
    </w:p>
    <w:p w14:paraId="20653E7D">
      <w:pPr>
        <w:pStyle w:val="1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联行号：</w:t>
      </w:r>
      <w:r>
        <w:rPr>
          <w:rFonts w:ascii="微软雅黑" w:hAnsi="微软雅黑" w:eastAsia="微软雅黑"/>
          <w:color w:val="auto"/>
          <w:szCs w:val="21"/>
          <w:highlight w:val="none"/>
        </w:rPr>
        <w:t>102653000110</w:t>
      </w:r>
    </w:p>
    <w:bookmarkEnd w:id="97"/>
    <w:p w14:paraId="190378DB">
      <w:pPr>
        <w:pStyle w:val="3"/>
        <w:adjustRightInd w:val="0"/>
        <w:snapToGrid w:val="0"/>
        <w:spacing w:before="0" w:after="0" w:line="440" w:lineRule="exact"/>
        <w:rPr>
          <w:rFonts w:ascii="微软雅黑" w:hAnsi="微软雅黑" w:eastAsia="微软雅黑"/>
          <w:color w:val="auto"/>
          <w:sz w:val="24"/>
          <w:highlight w:val="none"/>
        </w:rPr>
      </w:pPr>
      <w:bookmarkStart w:id="98" w:name="_Toc102227322"/>
      <w:bookmarkStart w:id="99" w:name="_Toc76462346"/>
      <w:bookmarkStart w:id="100" w:name="_Toc18399"/>
      <w:bookmarkStart w:id="101" w:name="_Toc342913396"/>
      <w:bookmarkStart w:id="102" w:name="_Toc106030901"/>
      <w:r>
        <w:rPr>
          <w:rFonts w:hint="eastAsia" w:ascii="微软雅黑" w:hAnsi="微软雅黑" w:eastAsia="微软雅黑"/>
          <w:color w:val="auto"/>
          <w:sz w:val="24"/>
          <w:highlight w:val="none"/>
        </w:rPr>
        <w:t>八、签订</w:t>
      </w:r>
      <w:bookmarkEnd w:id="98"/>
      <w:r>
        <w:rPr>
          <w:rFonts w:hint="eastAsia" w:ascii="微软雅黑" w:hAnsi="微软雅黑" w:eastAsia="微软雅黑"/>
          <w:color w:val="auto"/>
          <w:sz w:val="24"/>
          <w:highlight w:val="none"/>
        </w:rPr>
        <w:t>合同</w:t>
      </w:r>
      <w:bookmarkEnd w:id="99"/>
      <w:bookmarkEnd w:id="100"/>
      <w:bookmarkEnd w:id="101"/>
      <w:bookmarkEnd w:id="102"/>
    </w:p>
    <w:bookmarkEnd w:id="96"/>
    <w:p w14:paraId="1B124D4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50F184E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（二）竞争性磋商文件、供应商的响应文件及澄清文件等，均是签订采购合同不可分割的部分，具备同样的法律效力。</w:t>
      </w:r>
    </w:p>
    <w:p w14:paraId="6FBD242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（三）合同生效条款由供需双方约定，法律、行政法规规定应当办理批准、登记等手续后生效的合同，依照其规定。</w:t>
      </w:r>
    </w:p>
    <w:p w14:paraId="65A38DB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（四）合同原则上应按照磋商文件提供的合同文件签订，相关单位要求适用合同通用格式版本的，应按其要求另行签订其他合同。</w:t>
      </w:r>
    </w:p>
    <w:p w14:paraId="54E5574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（五）采购人要求成交供应商提供履约保证金的，应当在竞争性磋商文件中予以约定。成交供应商履约完毕后，采购人应按磋商文件及合同的约定无息退还其履约保证金。。</w:t>
      </w:r>
    </w:p>
    <w:p w14:paraId="0BC8C26F">
      <w:pPr>
        <w:pStyle w:val="3"/>
        <w:adjustRightInd w:val="0"/>
        <w:snapToGrid w:val="0"/>
        <w:spacing w:before="0" w:after="0" w:line="440" w:lineRule="exact"/>
        <w:rPr>
          <w:rFonts w:ascii="微软雅黑" w:hAnsi="微软雅黑" w:eastAsia="微软雅黑"/>
          <w:color w:val="auto"/>
          <w:sz w:val="24"/>
          <w:highlight w:val="none"/>
        </w:rPr>
      </w:pPr>
      <w:bookmarkStart w:id="103" w:name="_Toc8966"/>
      <w:bookmarkStart w:id="104" w:name="_Toc106030902"/>
      <w:r>
        <w:rPr>
          <w:rFonts w:hint="eastAsia" w:ascii="微软雅黑" w:hAnsi="微软雅黑" w:eastAsia="微软雅黑"/>
          <w:color w:val="auto"/>
          <w:sz w:val="24"/>
          <w:highlight w:val="none"/>
        </w:rPr>
        <w:t>九、项目验收</w:t>
      </w:r>
      <w:bookmarkEnd w:id="103"/>
      <w:bookmarkEnd w:id="104"/>
    </w:p>
    <w:p w14:paraId="0CEDD610">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合同执行完毕，采购人或采购代理机构原则上应在7个工作日内组织履约情况验收，不得无故拖延或附加额外条件。</w:t>
      </w:r>
    </w:p>
    <w:p w14:paraId="1EF92A7E">
      <w:pPr>
        <w:pStyle w:val="3"/>
        <w:spacing w:line="360" w:lineRule="auto"/>
        <w:jc w:val="center"/>
        <w:rPr>
          <w:rFonts w:ascii="微软雅黑" w:hAnsi="微软雅黑" w:eastAsia="微软雅黑"/>
          <w:color w:val="auto"/>
          <w:sz w:val="36"/>
          <w:szCs w:val="36"/>
          <w:highlight w:val="none"/>
        </w:rPr>
      </w:pPr>
      <w:r>
        <w:rPr>
          <w:rFonts w:ascii="微软雅黑" w:hAnsi="微软雅黑" w:eastAsia="微软雅黑"/>
          <w:color w:val="auto"/>
          <w:sz w:val="21"/>
          <w:szCs w:val="21"/>
          <w:highlight w:val="none"/>
        </w:rPr>
        <w:br w:type="page"/>
      </w:r>
      <w:bookmarkStart w:id="105" w:name="_Toc42805205"/>
      <w:bookmarkStart w:id="106" w:name="_Toc23903"/>
      <w:r>
        <w:rPr>
          <w:rFonts w:hint="eastAsia" w:ascii="微软雅黑" w:hAnsi="微软雅黑" w:eastAsia="微软雅黑"/>
          <w:color w:val="auto"/>
          <w:sz w:val="36"/>
          <w:szCs w:val="36"/>
          <w:highlight w:val="none"/>
        </w:rPr>
        <w:t>第</w:t>
      </w:r>
      <w:r>
        <w:rPr>
          <w:rFonts w:ascii="微软雅黑" w:hAnsi="微软雅黑" w:eastAsia="微软雅黑"/>
          <w:color w:val="auto"/>
          <w:sz w:val="36"/>
          <w:szCs w:val="36"/>
          <w:highlight w:val="none"/>
        </w:rPr>
        <w:t>六篇</w:t>
      </w:r>
      <w:r>
        <w:rPr>
          <w:rFonts w:hint="eastAsia" w:ascii="微软雅黑" w:hAnsi="微软雅黑" w:eastAsia="微软雅黑"/>
          <w:color w:val="auto"/>
          <w:sz w:val="36"/>
          <w:szCs w:val="36"/>
          <w:highlight w:val="none"/>
        </w:rPr>
        <w:t xml:space="preserve">  </w:t>
      </w:r>
      <w:bookmarkEnd w:id="105"/>
      <w:bookmarkStart w:id="107" w:name="_Hlk120270592"/>
      <w:r>
        <w:rPr>
          <w:rFonts w:hint="eastAsia" w:ascii="微软雅黑" w:hAnsi="微软雅黑" w:eastAsia="微软雅黑"/>
          <w:color w:val="auto"/>
          <w:sz w:val="36"/>
          <w:szCs w:val="36"/>
          <w:highlight w:val="none"/>
        </w:rPr>
        <w:t>政府采购合同</w:t>
      </w:r>
      <w:bookmarkEnd w:id="106"/>
      <w:bookmarkEnd w:id="107"/>
    </w:p>
    <w:p w14:paraId="0567C5B2">
      <w:pPr>
        <w:adjustRightInd w:val="0"/>
        <w:snapToGrid w:val="0"/>
        <w:spacing w:line="440" w:lineRule="exact"/>
        <w:jc w:val="center"/>
        <w:rPr>
          <w:rFonts w:ascii="微软雅黑" w:hAnsi="微软雅黑" w:eastAsia="微软雅黑" w:cs="微软雅黑"/>
          <w:b/>
          <w:bCs/>
          <w:color w:val="auto"/>
          <w:sz w:val="36"/>
          <w:szCs w:val="36"/>
          <w:highlight w:val="none"/>
        </w:rPr>
      </w:pPr>
      <w:bookmarkStart w:id="108" w:name="_Toc501098045"/>
      <w:bookmarkStart w:id="109" w:name="_Toc277084871"/>
      <w:bookmarkStart w:id="110" w:name="_Toc285722713"/>
      <w:r>
        <w:rPr>
          <w:rFonts w:hint="eastAsia" w:ascii="微软雅黑" w:hAnsi="微软雅黑" w:eastAsia="微软雅黑" w:cs="微软雅黑"/>
          <w:b/>
          <w:bCs/>
          <w:color w:val="auto"/>
          <w:sz w:val="36"/>
          <w:szCs w:val="36"/>
          <w:highlight w:val="none"/>
        </w:rPr>
        <w:t>重庆市政务数字化应用评审第三方机构采购</w:t>
      </w:r>
    </w:p>
    <w:p w14:paraId="41AAFAB6">
      <w:pPr>
        <w:adjustRightInd w:val="0"/>
        <w:snapToGrid w:val="0"/>
        <w:spacing w:line="440" w:lineRule="exact"/>
        <w:jc w:val="center"/>
        <w:rPr>
          <w:rFonts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服务合同</w:t>
      </w:r>
    </w:p>
    <w:p w14:paraId="227971E7">
      <w:pPr>
        <w:spacing w:line="440" w:lineRule="exact"/>
        <w:rPr>
          <w:rFonts w:ascii="微软雅黑" w:hAnsi="微软雅黑" w:eastAsia="微软雅黑" w:cs="微软雅黑"/>
          <w:color w:val="auto"/>
          <w:szCs w:val="21"/>
          <w:highlight w:val="none"/>
        </w:rPr>
      </w:pPr>
    </w:p>
    <w:p w14:paraId="0A3ED2D9">
      <w:pPr>
        <w:spacing w:line="440" w:lineRule="exac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委托方（甲方）：</w:t>
      </w:r>
      <w:r>
        <w:rPr>
          <w:rFonts w:hint="eastAsia" w:ascii="微软雅黑" w:hAnsi="微软雅黑" w:eastAsia="微软雅黑" w:cs="微软雅黑"/>
          <w:bCs/>
          <w:color w:val="auto"/>
          <w:szCs w:val="21"/>
          <w:highlight w:val="none"/>
          <w:u w:val="single"/>
        </w:rPr>
        <w:t xml:space="preserve"> 重庆市大数据应用发展管理局  </w:t>
      </w:r>
    </w:p>
    <w:p w14:paraId="1469EC3E">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受托方（乙方）：</w:t>
      </w:r>
      <w:r>
        <w:rPr>
          <w:rFonts w:hint="eastAsia" w:ascii="微软雅黑" w:hAnsi="微软雅黑" w:eastAsia="微软雅黑" w:cs="微软雅黑"/>
          <w:color w:val="auto"/>
          <w:szCs w:val="21"/>
          <w:highlight w:val="none"/>
          <w:u w:val="single"/>
        </w:rPr>
        <w:t xml:space="preserve">                             </w:t>
      </w:r>
    </w:p>
    <w:p w14:paraId="316B7628">
      <w:pPr>
        <w:pStyle w:val="27"/>
        <w:spacing w:line="440" w:lineRule="exact"/>
        <w:outlineLvl w:val="0"/>
        <w:rPr>
          <w:rFonts w:ascii="微软雅黑" w:hAnsi="微软雅黑" w:eastAsia="微软雅黑" w:cs="微软雅黑"/>
          <w:color w:val="auto"/>
          <w:szCs w:val="21"/>
          <w:highlight w:val="none"/>
        </w:rPr>
      </w:pPr>
      <w:bookmarkStart w:id="111" w:name="_Toc21778"/>
      <w:bookmarkStart w:id="112" w:name="_Toc9779"/>
      <w:r>
        <w:rPr>
          <w:rFonts w:hint="eastAsia" w:ascii="微软雅黑" w:hAnsi="微软雅黑" w:eastAsia="微软雅黑" w:cs="微软雅黑"/>
          <w:color w:val="auto"/>
          <w:szCs w:val="21"/>
          <w:highlight w:val="none"/>
        </w:rPr>
        <w:t>依据《中华人民共和国民法典》及政务数字化应用评审第三方机构采购项目（项目编号：</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）采购结果，在遵循平等、自愿、公平和诚实信用的原则上，双方现就乙方为甲方提供重庆市政务数字化应用评审服务有关事宜达成如下协议，共同信守和履行。</w:t>
      </w:r>
      <w:bookmarkEnd w:id="111"/>
      <w:bookmarkEnd w:id="112"/>
    </w:p>
    <w:p w14:paraId="3BF568AA">
      <w:pPr>
        <w:pStyle w:val="27"/>
        <w:spacing w:line="440" w:lineRule="exact"/>
        <w:outlineLvl w:val="0"/>
        <w:rPr>
          <w:rFonts w:ascii="微软雅黑" w:hAnsi="微软雅黑" w:eastAsia="微软雅黑" w:cs="微软雅黑"/>
          <w:b/>
          <w:bCs/>
          <w:color w:val="auto"/>
          <w:szCs w:val="21"/>
          <w:highlight w:val="none"/>
        </w:rPr>
      </w:pPr>
      <w:bookmarkStart w:id="113" w:name="_Toc30582"/>
      <w:bookmarkStart w:id="114" w:name="_Toc24618"/>
      <w:r>
        <w:rPr>
          <w:rFonts w:hint="eastAsia" w:ascii="微软雅黑" w:hAnsi="微软雅黑" w:eastAsia="微软雅黑" w:cs="微软雅黑"/>
          <w:b/>
          <w:bCs/>
          <w:color w:val="auto"/>
          <w:szCs w:val="21"/>
          <w:highlight w:val="none"/>
        </w:rPr>
        <w:t>第一条  服务内容及质量要求</w:t>
      </w:r>
      <w:bookmarkEnd w:id="113"/>
      <w:bookmarkEnd w:id="114"/>
    </w:p>
    <w:p w14:paraId="20B3585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（一）服务内容</w:t>
      </w:r>
    </w:p>
    <w:p w14:paraId="76CC623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乙方按要求对应用责任部门提交的</w:t>
      </w:r>
      <w:r>
        <w:rPr>
          <w:rFonts w:hint="eastAsia" w:ascii="微软雅黑" w:hAnsi="微软雅黑" w:eastAsia="微软雅黑"/>
          <w:color w:val="auto"/>
          <w:szCs w:val="21"/>
          <w:highlight w:val="none"/>
        </w:rPr>
        <w:t>涉密政务数字化应用开发方案、基础设施数字化建设方案、应用运维方案和方案后续变更调整等进行评审</w:t>
      </w:r>
      <w:r>
        <w:rPr>
          <w:rFonts w:hint="eastAsia" w:ascii="微软雅黑" w:hAnsi="微软雅黑" w:eastAsia="微软雅黑" w:cs="微软雅黑"/>
          <w:color w:val="auto"/>
          <w:szCs w:val="21"/>
          <w:highlight w:val="none"/>
        </w:rPr>
        <w:t>，按要求向甲方提交评审报告，以及完成评审相关工作。按照甲方委托要求，参与应用验收抽查、应用绩效评价工作，配合出具相应报告。</w:t>
      </w:r>
    </w:p>
    <w:p w14:paraId="7E8B87D2">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（二）质量要求</w:t>
      </w:r>
    </w:p>
    <w:p w14:paraId="476DD13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1.乙方接受委托评审任务后，原则上应在甲方提供评审材料 </w:t>
      </w:r>
      <w:r>
        <w:rPr>
          <w:rFonts w:hint="eastAsia" w:ascii="微软雅黑" w:hAnsi="微软雅黑" w:eastAsia="微软雅黑" w:cs="微软雅黑"/>
          <w:color w:val="auto"/>
          <w:szCs w:val="21"/>
          <w:highlight w:val="none"/>
          <w:u w:val="single"/>
        </w:rPr>
        <w:t>15</w:t>
      </w:r>
      <w:r>
        <w:rPr>
          <w:rFonts w:hint="eastAsia" w:ascii="微软雅黑" w:hAnsi="微软雅黑" w:eastAsia="微软雅黑" w:cs="微软雅黑"/>
          <w:color w:val="auto"/>
          <w:szCs w:val="21"/>
          <w:highlight w:val="none"/>
        </w:rPr>
        <w:t xml:space="preserve"> 个工作日内完成评估工作。如因非乙方原因导致未能在此期限内完成评审工作，可由双方协商适当延长服务期限，具体时间以双方协商为准。</w:t>
      </w:r>
    </w:p>
    <w:p w14:paraId="3F0D3C9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w:t>
      </w:r>
      <w:r>
        <w:rPr>
          <w:rFonts w:hint="eastAsia" w:ascii="微软雅黑" w:hAnsi="微软雅黑" w:eastAsia="微软雅黑"/>
          <w:color w:val="auto"/>
          <w:szCs w:val="21"/>
          <w:highlight w:val="none"/>
        </w:rPr>
        <w:t>应成立专门的评审工作组，本着依法、客观、公正的原则，选派具备相关专业知识与资质的人员开展评审业务，明确一名牵头负责人（项目负责人），并对评审工作组的人员结构（应包含管理、技术、软硬件造价、网络安全、数据安全等领域的专业人员）、评审能力和经验，以及回避事项等进行合理配置；</w:t>
      </w:r>
      <w:r>
        <w:rPr>
          <w:rFonts w:hint="eastAsia" w:ascii="微软雅黑" w:hAnsi="微软雅黑" w:eastAsia="微软雅黑" w:cs="微软雅黑"/>
          <w:color w:val="auto"/>
          <w:szCs w:val="21"/>
          <w:highlight w:val="none"/>
        </w:rPr>
        <w:t>乙方</w:t>
      </w:r>
      <w:r>
        <w:rPr>
          <w:rFonts w:hint="eastAsia" w:ascii="微软雅黑" w:hAnsi="微软雅黑" w:eastAsia="微软雅黑"/>
          <w:color w:val="auto"/>
          <w:szCs w:val="21"/>
          <w:highlight w:val="none"/>
        </w:rPr>
        <w:t>在评审过程中应保持工作组成员的稳定，如确有人员变更，应在5个工作日内向甲方备案；因应用评审服务需要，</w:t>
      </w:r>
      <w:r>
        <w:rPr>
          <w:rFonts w:hint="eastAsia" w:ascii="微软雅黑" w:hAnsi="微软雅黑" w:eastAsia="微软雅黑" w:cs="微软雅黑"/>
          <w:color w:val="auto"/>
          <w:szCs w:val="21"/>
          <w:highlight w:val="none"/>
        </w:rPr>
        <w:t>乙方</w:t>
      </w:r>
      <w:r>
        <w:rPr>
          <w:rFonts w:hint="eastAsia" w:ascii="微软雅黑" w:hAnsi="微软雅黑" w:eastAsia="微软雅黑"/>
          <w:color w:val="auto"/>
          <w:szCs w:val="21"/>
          <w:highlight w:val="none"/>
        </w:rPr>
        <w:t>可聘请相关专家提供技术支持</w:t>
      </w:r>
      <w:r>
        <w:rPr>
          <w:rFonts w:hint="eastAsia" w:ascii="微软雅黑" w:hAnsi="微软雅黑" w:eastAsia="微软雅黑" w:cs="微软雅黑"/>
          <w:color w:val="auto"/>
          <w:szCs w:val="21"/>
          <w:highlight w:val="none"/>
        </w:rPr>
        <w:t>。</w:t>
      </w:r>
    </w:p>
    <w:p w14:paraId="4CA4BD6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乙方应按甲方要求保证不低于1名人员提供全程驻场服务。驻场人员必须为上述的评审工作组人员（专业技术评审团队）。驻场人员应熟悉政务数字化应用评审、政务数字化应用管理，具有全国计算机技术与软件专业技术资格（水平）中级及以上职称证书（含信息系统项目管理师、网络规划设计师、系统分析师、系统架构设计师、系统规划与管理师专业其中之一）及注册咨询工程师（投资）证书（注册专业为：电子、信息工程（含通信、广电、信息化）其中之一），且从事数字化或信息化等相关评审工作3年以上，具有较高的技术水平以及良好的沟通能力。原则上驻场人员不得更换。对于甲方认为不服从管理、不称职的专业评审人员有权要求乙方更换，乙方应在3日内将不符合甲方要求的人员更换完毕，替换人员应当同时到岗，且必须保证替换人员的专业技术能力水平不低于退场人员，如乙方违反本条约定，则每逾期一天应承担合同款的5%作为违约金。</w:t>
      </w:r>
    </w:p>
    <w:p w14:paraId="6C733B28">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4. </w:t>
      </w:r>
      <w:r>
        <w:rPr>
          <w:rFonts w:hint="eastAsia" w:ascii="微软雅黑" w:hAnsi="微软雅黑" w:eastAsia="微软雅黑"/>
          <w:color w:val="auto"/>
          <w:szCs w:val="21"/>
          <w:highlight w:val="none"/>
        </w:rPr>
        <w:t>乙方接受委托评审任务后，原则上应在甲方提供评审材料15个工作日内完成评估工作。如因非乙方原因导致未能在此期限内完成评审工作，可由双方协商适当延长服务期限，具体时间以双方协商为准。</w:t>
      </w:r>
    </w:p>
    <w:p w14:paraId="375B123A">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乙方应严格按照政务数字化应用的相关规定和技术要求，依法依规、客观公正地开展评审服务，认真编制评审报告，做到文字、数据准确，格式规范，内容完整，对报告真实性、有效性、合法性负责。评审报告应至少包括评审过程、评审目标、评审依据、评审方法、评审工具、评审团队、评审说明、评审结论、专家评审意见、评审建议等关键要素，以及支撑报告结论的关键证据。评审报告应有项目负责人、评审单位部门负责人、评审单位负责人三级复核签字（盖章）确认。</w:t>
      </w:r>
    </w:p>
    <w:p w14:paraId="77DB50B6">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应严格按照政务数字化应用的相关规定和技术要求，依法依规、客观公正地开展评审服务。应以现场评审方式为主，在充分调研的基础上，制定评审工作方案和评审细则；乙方应至少分别组织1次沟通会，与项目业主单位沟通评审情况、反馈评审结果。</w:t>
      </w:r>
    </w:p>
    <w:p w14:paraId="463FE2A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6.乙方应对评审过程中的各类底稿和有关资料单独建档管理。评审工作结束后，及时将工作底稿、评审报告等评审资料整理归档，移交给甲方保管。</w:t>
      </w:r>
    </w:p>
    <w:p w14:paraId="5BCAE605">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7.乙方应当严格按照保密要求开展工作，严格涉密资料使用、保存、复制和销毁管理，不得泄露任何评审的有关信息，不得将评审资料用于与工作无关的事项。</w:t>
      </w:r>
    </w:p>
    <w:p w14:paraId="31F5213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8. </w:t>
      </w:r>
      <w:r>
        <w:rPr>
          <w:rFonts w:hint="eastAsia" w:ascii="微软雅黑" w:hAnsi="微软雅黑" w:eastAsia="微软雅黑"/>
          <w:color w:val="auto"/>
          <w:szCs w:val="21"/>
          <w:highlight w:val="none"/>
        </w:rPr>
        <w:t>乙方组建的评审工作组人员应无条件接受及参与甲方组织的关于数字重庆建设相关政策和业务等培训</w:t>
      </w:r>
      <w:r>
        <w:rPr>
          <w:rFonts w:hint="eastAsia" w:ascii="微软雅黑" w:hAnsi="微软雅黑" w:eastAsia="微软雅黑" w:cs="微软雅黑"/>
          <w:color w:val="auto"/>
          <w:szCs w:val="21"/>
          <w:highlight w:val="none"/>
        </w:rPr>
        <w:t>。</w:t>
      </w:r>
    </w:p>
    <w:p w14:paraId="6B87F0C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9.在服务质保证期内，乙方须按照甲方要求参与政务数字化应用的验收抽查和绩效评价，并出具相应报告。</w:t>
      </w:r>
    </w:p>
    <w:p w14:paraId="545FE9CE">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s="微软雅黑"/>
          <w:color w:val="auto"/>
          <w:szCs w:val="21"/>
          <w:highlight w:val="none"/>
        </w:rPr>
        <w:t>10.</w:t>
      </w:r>
      <w:r>
        <w:rPr>
          <w:rFonts w:hint="eastAsia" w:ascii="微软雅黑" w:hAnsi="微软雅黑" w:eastAsia="微软雅黑"/>
          <w:color w:val="auto"/>
          <w:szCs w:val="21"/>
          <w:highlight w:val="none"/>
        </w:rPr>
        <w:t>评审服务期内，乙方及评审人员有以下行为之一的，一经发现，甲方将终止服务委托，解除服务合同，不支付评审服务费，保留追究乙方法律责任的权利，并建议相关部门将乙方纳入严重失信市场主体“黑名单”；</w:t>
      </w:r>
      <w:r>
        <w:rPr>
          <w:rFonts w:hint="eastAsia" w:ascii="微软雅黑" w:hAnsi="微软雅黑" w:eastAsia="微软雅黑"/>
          <w:color w:val="auto"/>
          <w:szCs w:val="21"/>
          <w:highlight w:val="none"/>
          <w:lang w:eastAsia="zh-Hans"/>
        </w:rPr>
        <w:t>触犯刑法的，</w:t>
      </w:r>
      <w:r>
        <w:rPr>
          <w:rFonts w:hint="eastAsia" w:ascii="微软雅黑" w:hAnsi="微软雅黑" w:eastAsia="微软雅黑"/>
          <w:color w:val="auto"/>
          <w:szCs w:val="21"/>
          <w:highlight w:val="none"/>
        </w:rPr>
        <w:t>将</w:t>
      </w:r>
      <w:r>
        <w:rPr>
          <w:rFonts w:hint="eastAsia" w:ascii="微软雅黑" w:hAnsi="微软雅黑" w:eastAsia="微软雅黑"/>
          <w:color w:val="auto"/>
          <w:szCs w:val="21"/>
          <w:highlight w:val="none"/>
          <w:lang w:eastAsia="zh-Hans"/>
        </w:rPr>
        <w:t>移交司法机关处理</w:t>
      </w:r>
      <w:r>
        <w:rPr>
          <w:rFonts w:hint="eastAsia" w:ascii="微软雅黑" w:hAnsi="微软雅黑" w:eastAsia="微软雅黑"/>
          <w:color w:val="auto"/>
          <w:szCs w:val="21"/>
          <w:highlight w:val="none"/>
        </w:rPr>
        <w:t>：</w:t>
      </w:r>
    </w:p>
    <w:p w14:paraId="39F8F76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1）擅自将评审服务转包或分包给其他单位或个人实施；</w:t>
      </w:r>
    </w:p>
    <w:p w14:paraId="3F8F25C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2）隐瞒评审发现的问题，</w:t>
      </w:r>
      <w:r>
        <w:rPr>
          <w:rFonts w:ascii="微软雅黑" w:hAnsi="微软雅黑" w:eastAsia="微软雅黑"/>
          <w:color w:val="auto"/>
          <w:szCs w:val="21"/>
          <w:highlight w:val="none"/>
        </w:rPr>
        <w:t>提供虚假</w:t>
      </w:r>
      <w:r>
        <w:rPr>
          <w:rFonts w:hint="eastAsia" w:ascii="微软雅黑" w:hAnsi="微软雅黑" w:eastAsia="微软雅黑"/>
          <w:color w:val="auto"/>
          <w:szCs w:val="21"/>
          <w:highlight w:val="none"/>
        </w:rPr>
        <w:t>评审</w:t>
      </w:r>
      <w:r>
        <w:rPr>
          <w:rFonts w:ascii="微软雅黑" w:hAnsi="微软雅黑" w:eastAsia="微软雅黑"/>
          <w:color w:val="auto"/>
          <w:szCs w:val="21"/>
          <w:highlight w:val="none"/>
        </w:rPr>
        <w:t>报告</w:t>
      </w:r>
      <w:r>
        <w:rPr>
          <w:rFonts w:hint="eastAsia" w:ascii="微软雅黑" w:hAnsi="微软雅黑" w:eastAsia="微软雅黑"/>
          <w:color w:val="auto"/>
          <w:szCs w:val="21"/>
          <w:highlight w:val="none"/>
        </w:rPr>
        <w:t>，有串通舞弊、弄虚作假等不诚实行为的；</w:t>
      </w:r>
    </w:p>
    <w:p w14:paraId="0175662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3）推、拖、卡、压、故意刁难应用责任部门；</w:t>
      </w:r>
    </w:p>
    <w:p w14:paraId="58F7295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4）索要和收受礼金、各种有价证券及物品，参加可能影响公正评估的任何宴请和娱乐活动等违反廉政规定的；</w:t>
      </w:r>
    </w:p>
    <w:p w14:paraId="407E55C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5）利用评审职权或知晓的应用责任部门的秘密和内部信息等，为自己及本机构或他人谋利的；</w:t>
      </w:r>
    </w:p>
    <w:p w14:paraId="1D87426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6）未经甲方允许，擅自将评审报告的部分或全部内容以及有关资料以任何方式提供给他人或公开发布；</w:t>
      </w:r>
    </w:p>
    <w:p w14:paraId="4A46779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7）未经甲方和应用责任部门同意，擅自将所评审应用的有关文件和资料以任何方式提供给他人，或利用非公开技术秘密为自己及本机构或他人谋取私利；</w:t>
      </w:r>
    </w:p>
    <w:p w14:paraId="5F802D4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8）向应用责任部门推销商品、服务或介绍业务；</w:t>
      </w:r>
    </w:p>
    <w:p w14:paraId="07541DD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9）经评审的项目出现重大技术偏差、核定资金严重不足或远远超过同类应用均价，造成严重经济损失或重大决策失误；</w:t>
      </w:r>
    </w:p>
    <w:p w14:paraId="41CFF3C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10）未按规定时间完成评审业务且无正当理由的；</w:t>
      </w:r>
    </w:p>
    <w:p w14:paraId="6BDF618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11）未按国家有关规定执行保密纪律；</w:t>
      </w:r>
    </w:p>
    <w:p w14:paraId="1E3B5C8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12）因工作失误给被评审应用责任部门或者甲方造成一定不良影响的；</w:t>
      </w:r>
    </w:p>
    <w:p w14:paraId="5FCF66D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如有乙方因发生以上行为解除合同后，甲方有权从剩余</w:t>
      </w:r>
      <w:r>
        <w:rPr>
          <w:rFonts w:hint="eastAsia" w:ascii="微软雅黑" w:hAnsi="微软雅黑" w:eastAsia="微软雅黑"/>
          <w:color w:val="auto"/>
          <w:szCs w:val="21"/>
          <w:highlight w:val="none"/>
        </w:rPr>
        <w:t>评审机构</w:t>
      </w:r>
      <w:r>
        <w:rPr>
          <w:rFonts w:hint="eastAsia" w:ascii="微软雅黑" w:hAnsi="微软雅黑" w:eastAsia="微软雅黑" w:cs="微软雅黑"/>
          <w:color w:val="auto"/>
          <w:szCs w:val="21"/>
          <w:highlight w:val="none"/>
        </w:rPr>
        <w:t>中补位开展评审。</w:t>
      </w:r>
    </w:p>
    <w:p w14:paraId="09CDE6A0">
      <w:pPr>
        <w:pStyle w:val="27"/>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第二条  服务期、服务地点及验收方式</w:t>
      </w:r>
    </w:p>
    <w:p w14:paraId="2702C26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w:t>
      </w:r>
    </w:p>
    <w:p w14:paraId="52D92B9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（二）服务地点：甲方指定地点。</w:t>
      </w:r>
    </w:p>
    <w:p w14:paraId="35CE64E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（三）验收标准：由甲方查验乙方编制的评审报告；按照甲方委托要求，参与政务数字化应用的验收和评价。</w:t>
      </w:r>
    </w:p>
    <w:p w14:paraId="3BD7904F">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第三条  回避制度</w:t>
      </w:r>
    </w:p>
    <w:p w14:paraId="24154376">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乙方开展评审活动实行回避制度，回避要求具体如下：</w:t>
      </w:r>
    </w:p>
    <w:p w14:paraId="1715962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1.乙方不得为其评审的应用提供前期设计、咨询、造价等服务；</w:t>
      </w:r>
    </w:p>
    <w:p w14:paraId="3CB5455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2.与已提供本条第一款服务的乙方法定代表人（或实际控制人）为同一人或者存在控股及其他关联关系的，应当回避；</w:t>
      </w:r>
    </w:p>
    <w:p w14:paraId="673F48E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3.乙方评审人员与甲方应用责任部门相关当事人存在亲缘关系的，或与应用责任部门有直接、间接的利益关系及其他可能影响公平、公正情况的，应当回避；</w:t>
      </w:r>
    </w:p>
    <w:p w14:paraId="4A1A31E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4.乙方以及与乙方负责人为同一人，或者机构（或负责人）存在控股及其他关联关系的不同机构，不得为其评审的应用提供设计、开发、跟审等相关服务。</w:t>
      </w:r>
    </w:p>
    <w:p w14:paraId="4E03A51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乙方在分配的项目中若应当回避而未主动提出回避的，一经发现，甲方将终止服务委托，不支付评审服务费，并将该成交供应商的失信行为报政府采购监管部门处理。</w:t>
      </w:r>
    </w:p>
    <w:p w14:paraId="1924950D">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第四条 服务费用支付标准及付款方式</w:t>
      </w:r>
    </w:p>
    <w:p w14:paraId="2E9296C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（一）服务费支付标准（见竞争性磋商文件）</w:t>
      </w:r>
    </w:p>
    <w:p w14:paraId="400E3C02">
      <w:pPr>
        <w:pStyle w:val="27"/>
        <w:spacing w:line="440" w:lineRule="exact"/>
        <w:rPr>
          <w:rFonts w:ascii="微软雅黑" w:hAnsi="微软雅黑" w:eastAsia="微软雅黑" w:cs="微软雅黑"/>
          <w:color w:val="auto"/>
          <w:szCs w:val="21"/>
          <w:highlight w:val="none"/>
        </w:rPr>
      </w:pPr>
    </w:p>
    <w:p w14:paraId="3F1C670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（二）付款方式</w:t>
      </w:r>
    </w:p>
    <w:p w14:paraId="64975EFC">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1.评审工作完成后，根据乙方实际完成的评审工作量按季度据实结算。</w:t>
      </w:r>
    </w:p>
    <w:p w14:paraId="6A68774B">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olor w:val="auto"/>
          <w:szCs w:val="21"/>
          <w:highlight w:val="none"/>
        </w:rPr>
        <w:t>乙方向甲方开具合格发票并提供相关付款资料申请付款；甲方对提交的付款资料审核通过后，以转账方式向乙方支付相关费用</w:t>
      </w:r>
      <w:r>
        <w:rPr>
          <w:rFonts w:hint="eastAsia" w:ascii="微软雅黑" w:hAnsi="微软雅黑" w:eastAsia="微软雅黑" w:cs="微软雅黑"/>
          <w:color w:val="auto"/>
          <w:szCs w:val="21"/>
          <w:highlight w:val="none"/>
        </w:rPr>
        <w:t>。</w:t>
      </w:r>
    </w:p>
    <w:p w14:paraId="3B3453B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3.乙方未提交合法有效的发票的，甲方付款应当顺延。</w:t>
      </w:r>
    </w:p>
    <w:p w14:paraId="7DCB042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第五条  甲方权利和义务</w:t>
      </w:r>
    </w:p>
    <w:p w14:paraId="79E881D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（一）甲方的权利 </w:t>
      </w:r>
    </w:p>
    <w:p w14:paraId="74F9906C">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确定并下达委托评估任务，向乙方提出评估要求；</w:t>
      </w:r>
    </w:p>
    <w:p w14:paraId="434964B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根据实际需要对乙方出具的评估报告进行抽查或复核；</w:t>
      </w:r>
    </w:p>
    <w:p w14:paraId="0FE6D8D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甲方有权对乙方的服务过程进行监督、指导；</w:t>
      </w:r>
    </w:p>
    <w:p w14:paraId="5922A9F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甲方有权对乙方出具的结论或报告进行审核；</w:t>
      </w:r>
    </w:p>
    <w:p w14:paraId="5ED2388B">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评估结果及知识产权归甲方所有，甲方在中华人民共和国境内使用乙方提供的本合同内任何服务时免受第三方提出的侵犯其专利权或其它知识产权的起诉，否则乙方应承担由此而引起的一切法律责任和费用，包括但不限于甲方为此支付的律师费、调查费、公证费、诉讼费用；</w:t>
      </w:r>
    </w:p>
    <w:p w14:paraId="064567B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 对乙方的项目评审从业人员执业操守进行审查，对乙方内部控制制度的建立和执行效果进行评估，对乙方评估项目的质量和效率进行考核。</w:t>
      </w:r>
    </w:p>
    <w:p w14:paraId="77D517A8">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（二）甲方的义务</w:t>
      </w:r>
    </w:p>
    <w:p w14:paraId="19F320C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甲方应配合乙方督促项目业主单位提供评审项目所需要的完整评审资料；</w:t>
      </w:r>
    </w:p>
    <w:p w14:paraId="10B81A3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甲方应按本协议规定按时支付乙方评审费用；</w:t>
      </w:r>
    </w:p>
    <w:p w14:paraId="63CE1A3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甲方负责服务过程中政务信息化项目相关政策的解释工作。</w:t>
      </w:r>
    </w:p>
    <w:p w14:paraId="1D64BD2D">
      <w:pPr>
        <w:pStyle w:val="27"/>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第六条  乙方权利和义务</w:t>
      </w:r>
    </w:p>
    <w:p w14:paraId="23ACE1F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（一）乙方的权利</w:t>
      </w:r>
    </w:p>
    <w:p w14:paraId="32CBC86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有权要求甲方协调配合提供评审项目所需要的完整评审资料；</w:t>
      </w:r>
    </w:p>
    <w:p w14:paraId="06C6F3F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有权到项目相关部门或项目所在地进行现场勘查；</w:t>
      </w:r>
    </w:p>
    <w:p w14:paraId="3DEAAC18">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乙方按规定要求完成评估业务后，有权按甲、乙双方约定的服务内容和计费标准收取服务费。</w:t>
      </w:r>
    </w:p>
    <w:p w14:paraId="1DDF083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（二）乙方的义务</w:t>
      </w:r>
    </w:p>
    <w:p w14:paraId="08F0190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乙方应独立完成评估任务，不得以任何形式将评估任务再委托给其他评估机构。对有特殊技术要求的项目，可聘请相应专家参加评估工作；</w:t>
      </w:r>
    </w:p>
    <w:p w14:paraId="7F775F9B">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对评估工作发现的重大问题或可能发生争议的事项应及时向甲方书面反映，并接受甲方的指导和监督；</w:t>
      </w:r>
    </w:p>
    <w:p w14:paraId="6F98DF3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乙方应建立健全对评估报告的内部三级复核机制，真实、完整、准确地反映和记录项目评估情况，编制完整的评估工作底稿，做好评审资料的存档和保管工作；</w:t>
      </w:r>
    </w:p>
    <w:p w14:paraId="12A0109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对评估工作过程中知悉的商业秘密、工作秘密等严加保密，切实做好评审资料的保管工作，未经甲方同意，不得以任何形式对外提供、泄露或公开评估项目的有关情况；</w:t>
      </w:r>
    </w:p>
    <w:p w14:paraId="73A57CA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提供开展评估工作和举办评审会议的必要的场所。</w:t>
      </w:r>
    </w:p>
    <w:p w14:paraId="082E875D">
      <w:pPr>
        <w:pStyle w:val="27"/>
        <w:spacing w:line="440" w:lineRule="exact"/>
        <w:outlineLvl w:val="0"/>
        <w:rPr>
          <w:rFonts w:ascii="微软雅黑" w:hAnsi="微软雅黑" w:eastAsia="微软雅黑" w:cs="微软雅黑"/>
          <w:b/>
          <w:bCs/>
          <w:color w:val="auto"/>
          <w:szCs w:val="21"/>
          <w:highlight w:val="none"/>
        </w:rPr>
      </w:pPr>
      <w:bookmarkStart w:id="115" w:name="_Toc14855"/>
      <w:bookmarkStart w:id="116" w:name="_Toc15199"/>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七</w:t>
      </w:r>
      <w:r>
        <w:rPr>
          <w:rFonts w:hint="eastAsia" w:ascii="微软雅黑" w:hAnsi="微软雅黑" w:eastAsia="微软雅黑" w:cs="微软雅黑"/>
          <w:b/>
          <w:bCs/>
          <w:color w:val="auto"/>
          <w:szCs w:val="21"/>
          <w:highlight w:val="none"/>
        </w:rPr>
        <w:t>条 质量保证及售后服务</w:t>
      </w:r>
      <w:bookmarkEnd w:id="115"/>
      <w:bookmarkEnd w:id="116"/>
    </w:p>
    <w:p w14:paraId="547806D0">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（一）质量保证期：自评审报告验收之日起，提供三年的服务质保期。</w:t>
      </w:r>
    </w:p>
    <w:p w14:paraId="18D5F80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（二）售后服务内容：乙方在服务质保期内应当为甲方提供以下技术支持服务：</w:t>
      </w:r>
    </w:p>
    <w:p w14:paraId="3A3921D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1.质量保证期内服务要求</w:t>
      </w:r>
    </w:p>
    <w:p w14:paraId="21D1BA0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（1）乙方按照甲方要求对所评审应用的后续变更调整进行评审；参与所评审应用的验收抽查、绩效评价等，出具相应报告。</w:t>
      </w:r>
    </w:p>
    <w:p w14:paraId="0532E687">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（2）乙方应当明确1名管理人员及1名技术人员具体对接售后服务，解答甲方在质保期内遇到的问题，及时为用户提出解决问题的建议。</w:t>
      </w:r>
    </w:p>
    <w:p w14:paraId="61AC686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（3）用户遇到技术问题，电话咨询不能解决的，根据甲方需要，乙方应在12小时内派出专业人员到达现场进行技术支持。</w:t>
      </w:r>
    </w:p>
    <w:p w14:paraId="583CEA1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2.质保期外服务要求</w:t>
      </w:r>
    </w:p>
    <w:p w14:paraId="2F86A56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（1）质量保证期过后，乙方应同样提供免费电话咨询服务，并应承诺提供上门维护服务。</w:t>
      </w:r>
    </w:p>
    <w:p w14:paraId="53D1823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olor w:val="auto"/>
          <w:szCs w:val="21"/>
          <w:highlight w:val="none"/>
        </w:rPr>
        <w:t>质量保证期过后，甲方需要继续由原成交供应商提供售后服务的，乙方应以成交折扣提供售后服务</w:t>
      </w:r>
      <w:r>
        <w:rPr>
          <w:rFonts w:hint="eastAsia" w:ascii="微软雅黑" w:hAnsi="微软雅黑" w:eastAsia="微软雅黑" w:cs="微软雅黑"/>
          <w:color w:val="auto"/>
          <w:szCs w:val="21"/>
          <w:highlight w:val="none"/>
        </w:rPr>
        <w:t>。</w:t>
      </w:r>
    </w:p>
    <w:p w14:paraId="3FA0B66E">
      <w:pPr>
        <w:pStyle w:val="27"/>
        <w:spacing w:line="440" w:lineRule="exact"/>
        <w:outlineLvl w:val="0"/>
        <w:rPr>
          <w:rFonts w:ascii="微软雅黑" w:hAnsi="微软雅黑" w:eastAsia="微软雅黑" w:cs="微软雅黑"/>
          <w:b/>
          <w:bCs/>
          <w:color w:val="auto"/>
          <w:szCs w:val="21"/>
          <w:highlight w:val="none"/>
        </w:rPr>
      </w:pPr>
      <w:bookmarkStart w:id="117" w:name="_Toc31541"/>
      <w:bookmarkStart w:id="118" w:name="_Toc29369"/>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八</w:t>
      </w:r>
      <w:r>
        <w:rPr>
          <w:rFonts w:hint="eastAsia" w:ascii="微软雅黑" w:hAnsi="微软雅黑" w:eastAsia="微软雅黑" w:cs="微软雅黑"/>
          <w:b/>
          <w:bCs/>
          <w:color w:val="auto"/>
          <w:szCs w:val="21"/>
          <w:highlight w:val="none"/>
        </w:rPr>
        <w:t>条 知识产权</w:t>
      </w:r>
      <w:bookmarkEnd w:id="117"/>
      <w:bookmarkEnd w:id="118"/>
    </w:p>
    <w:p w14:paraId="45262430">
      <w:pPr>
        <w:spacing w:line="440" w:lineRule="exact"/>
        <w:ind w:firstLine="420" w:firstLineChars="200"/>
        <w:rPr>
          <w:rFonts w:ascii="微软雅黑" w:hAnsi="微软雅黑" w:eastAsia="微软雅黑" w:cs="微软雅黑"/>
          <w:color w:val="auto"/>
          <w:szCs w:val="21"/>
          <w:highlight w:val="none"/>
        </w:rPr>
      </w:pPr>
      <w:bookmarkStart w:id="119" w:name="_Toc7410"/>
      <w:bookmarkStart w:id="120" w:name="_Toc32140"/>
      <w:r>
        <w:rPr>
          <w:rFonts w:hint="eastAsia" w:ascii="微软雅黑" w:hAnsi="微软雅黑" w:eastAsia="微软雅黑" w:cs="微软雅黑"/>
          <w:color w:val="auto"/>
          <w:szCs w:val="21"/>
          <w:highlight w:val="none"/>
        </w:rPr>
        <w:t>（一）甲方在中华人民共和国境内使用乙方提供的货物及服务时免受第三方提出的侵犯其专利权或其它知识产权的起诉。如果第三方提出侵权指控，乙方应承担由此而引起的一切法律责任和费用，包括但不限于甲方为此支付的律师费、调查费、公证费、诉讼费用。</w:t>
      </w:r>
    </w:p>
    <w:p w14:paraId="5ABB2EF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（二）成果及知识产权归甲方所有。</w:t>
      </w:r>
      <w:bookmarkEnd w:id="119"/>
      <w:bookmarkEnd w:id="120"/>
    </w:p>
    <w:p w14:paraId="7363C305">
      <w:pPr>
        <w:pStyle w:val="27"/>
        <w:spacing w:line="440" w:lineRule="exact"/>
        <w:outlineLvl w:val="0"/>
        <w:rPr>
          <w:rFonts w:ascii="微软雅黑" w:hAnsi="微软雅黑" w:eastAsia="微软雅黑" w:cs="微软雅黑"/>
          <w:b/>
          <w:bCs/>
          <w:color w:val="auto"/>
          <w:szCs w:val="21"/>
          <w:highlight w:val="none"/>
        </w:rPr>
      </w:pPr>
      <w:bookmarkStart w:id="121" w:name="_Toc22841"/>
      <w:bookmarkStart w:id="122" w:name="_Toc30319"/>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九</w:t>
      </w:r>
      <w:r>
        <w:rPr>
          <w:rFonts w:hint="eastAsia" w:ascii="微软雅黑" w:hAnsi="微软雅黑" w:eastAsia="微软雅黑" w:cs="微软雅黑"/>
          <w:b/>
          <w:bCs/>
          <w:color w:val="auto"/>
          <w:szCs w:val="21"/>
          <w:highlight w:val="none"/>
        </w:rPr>
        <w:t>条 违约责任</w:t>
      </w:r>
      <w:bookmarkEnd w:id="121"/>
      <w:bookmarkEnd w:id="122"/>
    </w:p>
    <w:p w14:paraId="3C8530F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（一）甲乙双方应当遵守本合同约定，违约方应承担相应的违约责任；造成经济损失的，承担相应赔偿责任；触犯法律的，承担相应法律责任。</w:t>
      </w:r>
    </w:p>
    <w:p w14:paraId="5CBDEF3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（二）任何一方违反合同条款造成合同无法履行，另一方可以解除合同。</w:t>
      </w:r>
    </w:p>
    <w:p w14:paraId="7ED0DA2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（三）乙方无故放弃委托任务的，自放弃之日起，甲方有权解除本合同，不再向其安排委托评估任务。</w:t>
      </w:r>
    </w:p>
    <w:p w14:paraId="42143E74">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（四）乙方提供的服务不符合竞争性磋商文件、报价文件或本合同规定的，甲方有权解除合同且不支付任何费用。</w:t>
      </w:r>
    </w:p>
    <w:p w14:paraId="7E6AF3EF">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（五）乙方存在上述第（三）、（四）违约情形的，甲方有权解除合同，乙方承担由此造成的甲方经济损失。</w:t>
      </w:r>
    </w:p>
    <w:p w14:paraId="04EB5E2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（六）因不可抗力不能履行合同的，根据不可抗力的影响，部分或者全部免除责任，但法律另有规定的除外。当事人延迟履行后发生不可抗力的，不能免除责任。</w:t>
      </w:r>
    </w:p>
    <w:p w14:paraId="238974E6">
      <w:pPr>
        <w:pStyle w:val="27"/>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十</w:t>
      </w:r>
      <w:r>
        <w:rPr>
          <w:rFonts w:hint="eastAsia" w:ascii="微软雅黑" w:hAnsi="微软雅黑" w:eastAsia="微软雅黑" w:cs="微软雅黑"/>
          <w:b/>
          <w:bCs/>
          <w:color w:val="auto"/>
          <w:szCs w:val="21"/>
          <w:highlight w:val="none"/>
        </w:rPr>
        <w:t>条  合同解除</w:t>
      </w:r>
    </w:p>
    <w:p w14:paraId="62A64C9C">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（一）乙方接受委托评估咨询任务后，擅自转包、分包评估咨询任务的，甲方不予支付评估费用并解除服务合同，建议相关部门将乙方纳入严重失信市场主体“黑名单”。</w:t>
      </w:r>
    </w:p>
    <w:p w14:paraId="7D5368F6">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（二）乙方及评估人员在评估工作中有下列情形之一的，甲方停止支付评估费用，并解除服务合同，保留追究乙方法律责任的权利：</w:t>
      </w:r>
    </w:p>
    <w:p w14:paraId="4817C2E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推、拖、卡、压、故意刁难项目业主单位；</w:t>
      </w:r>
    </w:p>
    <w:p w14:paraId="1DC68002">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索要和收受礼金、各种有价证券及物品；</w:t>
      </w:r>
    </w:p>
    <w:p w14:paraId="31EA51E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参加可能影响公正评估的任何宴请和娱乐活动；</w:t>
      </w:r>
    </w:p>
    <w:p w14:paraId="2C55BB5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接受项目业主单位免费或廉价提供的各种劳务；</w:t>
      </w:r>
    </w:p>
    <w:p w14:paraId="168A8CF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向项目业主单位以及应用责任部门推销商品、服务或介绍业务；</w:t>
      </w:r>
    </w:p>
    <w:p w14:paraId="2F5E2D7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 利用评估职权或知晓的项目业主单位以及应用责任部门的商业秘密和内部信息，为自己和他人谋利。</w:t>
      </w:r>
    </w:p>
    <w:p w14:paraId="5FD0792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乙方及其评估人员有下列情形之一的，甲方有权不予支付评估费用，解除服务合同，追索由其造成的全部经济损失，并建议相关部门将乙方纳入严重失信市场主体“黑名单”。触犯刑法的，移交司法机关处理。</w:t>
      </w:r>
    </w:p>
    <w:p w14:paraId="3B025CD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工作出现重大过失，造成严重经济损失或重大决策失误；</w:t>
      </w:r>
    </w:p>
    <w:p w14:paraId="489E587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故意提供虚假评估报告；</w:t>
      </w:r>
    </w:p>
    <w:p w14:paraId="1B5CC70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蓄意瞒报被评估项目或项目业主单位存在的重大问题。</w:t>
      </w:r>
    </w:p>
    <w:p w14:paraId="701E7F14">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十一</w:t>
      </w:r>
      <w:r>
        <w:rPr>
          <w:rFonts w:hint="eastAsia" w:ascii="微软雅黑" w:hAnsi="微软雅黑" w:eastAsia="微软雅黑" w:cs="微软雅黑"/>
          <w:b/>
          <w:bCs/>
          <w:color w:val="auto"/>
          <w:szCs w:val="21"/>
          <w:highlight w:val="none"/>
        </w:rPr>
        <w:t>条 争议解决</w:t>
      </w:r>
    </w:p>
    <w:p w14:paraId="7BC5DB04">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合同未尽事宜或本合同在履行过程中发生争议，甲乙双方应友好协商解决。经协商不能达成一致意见的，任何一方均可向甲方所在地人民法院提起诉讼。</w:t>
      </w:r>
    </w:p>
    <w:p w14:paraId="27B38388">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十二</w:t>
      </w:r>
      <w:r>
        <w:rPr>
          <w:rFonts w:hint="eastAsia" w:ascii="微软雅黑" w:hAnsi="微软雅黑" w:eastAsia="微软雅黑" w:cs="微软雅黑"/>
          <w:b/>
          <w:bCs/>
          <w:color w:val="auto"/>
          <w:szCs w:val="21"/>
          <w:highlight w:val="none"/>
        </w:rPr>
        <w:t>条 合同生效</w:t>
      </w:r>
    </w:p>
    <w:p w14:paraId="33E1436E">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本合同经双方签字并盖章后生效。合同文本一式肆份，甲方贰份、乙方贰份，具有同等法律效力，合同到期后双方经友好协商，达成一致后可以续签合同。</w:t>
      </w:r>
    </w:p>
    <w:p w14:paraId="20F74FA1">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第十</w:t>
      </w:r>
      <w:r>
        <w:rPr>
          <w:rFonts w:hint="eastAsia" w:ascii="微软雅黑" w:hAnsi="微软雅黑" w:eastAsia="微软雅黑" w:cs="微软雅黑"/>
          <w:b/>
          <w:bCs/>
          <w:color w:val="auto"/>
          <w:szCs w:val="21"/>
          <w:highlight w:val="none"/>
          <w:lang w:eastAsia="zh-Hans"/>
        </w:rPr>
        <w:t>三</w:t>
      </w:r>
      <w:r>
        <w:rPr>
          <w:rFonts w:hint="eastAsia" w:ascii="微软雅黑" w:hAnsi="微软雅黑" w:eastAsia="微软雅黑" w:cs="微软雅黑"/>
          <w:b/>
          <w:bCs/>
          <w:color w:val="auto"/>
          <w:szCs w:val="21"/>
          <w:highlight w:val="none"/>
        </w:rPr>
        <w:t>条 其他</w:t>
      </w:r>
    </w:p>
    <w:p w14:paraId="10785CBB">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本项目竞争性磋商文件、响应文件系本合同组成部分，与本合同具有同等效力。</w:t>
      </w:r>
    </w:p>
    <w:p w14:paraId="1A0B7BFB">
      <w:pPr>
        <w:pStyle w:val="28"/>
        <w:spacing w:line="440" w:lineRule="exact"/>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附件：1.评审小组名单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554"/>
        <w:gridCol w:w="1803"/>
        <w:gridCol w:w="1609"/>
        <w:gridCol w:w="1377"/>
        <w:gridCol w:w="1313"/>
      </w:tblGrid>
      <w:tr w14:paraId="578A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7EA7B3A1">
            <w:pPr>
              <w:pStyle w:val="2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1554" w:type="dxa"/>
          </w:tcPr>
          <w:p w14:paraId="45B5D46A">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803" w:type="dxa"/>
          </w:tcPr>
          <w:p w14:paraId="1F337EA9">
            <w:pPr>
              <w:pStyle w:val="28"/>
              <w:spacing w:line="440" w:lineRule="exact"/>
              <w:ind w:firstLine="840" w:firstLineChars="4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w:t>
            </w:r>
          </w:p>
        </w:tc>
        <w:tc>
          <w:tcPr>
            <w:tcW w:w="1609" w:type="dxa"/>
          </w:tcPr>
          <w:p w14:paraId="04D428B8">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职称/资质</w:t>
            </w:r>
          </w:p>
        </w:tc>
        <w:tc>
          <w:tcPr>
            <w:tcW w:w="1377" w:type="dxa"/>
          </w:tcPr>
          <w:p w14:paraId="2820B80D">
            <w:pPr>
              <w:pStyle w:val="28"/>
              <w:spacing w:line="440" w:lineRule="exact"/>
              <w:ind w:firstLine="210" w:firstLineChars="1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是否驻场</w:t>
            </w:r>
          </w:p>
        </w:tc>
        <w:tc>
          <w:tcPr>
            <w:tcW w:w="1313" w:type="dxa"/>
          </w:tcPr>
          <w:p w14:paraId="660BD3FF">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r>
      <w:tr w14:paraId="6C3A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5B8BE201">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722FA3F4">
            <w:pPr>
              <w:pStyle w:val="28"/>
              <w:spacing w:line="440" w:lineRule="exact"/>
              <w:rPr>
                <w:rFonts w:ascii="微软雅黑" w:hAnsi="微软雅黑" w:eastAsia="微软雅黑" w:cs="微软雅黑"/>
                <w:color w:val="auto"/>
                <w:szCs w:val="21"/>
                <w:highlight w:val="none"/>
              </w:rPr>
            </w:pPr>
          </w:p>
        </w:tc>
        <w:tc>
          <w:tcPr>
            <w:tcW w:w="1803" w:type="dxa"/>
          </w:tcPr>
          <w:p w14:paraId="5107AE1D">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2396A791">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6F6FDC5D">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45FE4AC0">
            <w:pPr>
              <w:pStyle w:val="28"/>
              <w:spacing w:line="440" w:lineRule="exact"/>
              <w:ind w:firstLine="1470" w:firstLineChars="700"/>
              <w:rPr>
                <w:rFonts w:ascii="微软雅黑" w:hAnsi="微软雅黑" w:eastAsia="微软雅黑" w:cs="微软雅黑"/>
                <w:color w:val="auto"/>
                <w:szCs w:val="21"/>
                <w:highlight w:val="none"/>
              </w:rPr>
            </w:pPr>
          </w:p>
        </w:tc>
      </w:tr>
      <w:tr w14:paraId="79CC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57A97707">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140FA510">
            <w:pPr>
              <w:pStyle w:val="28"/>
              <w:spacing w:line="440" w:lineRule="exact"/>
              <w:rPr>
                <w:rFonts w:ascii="微软雅黑" w:hAnsi="微软雅黑" w:eastAsia="微软雅黑" w:cs="微软雅黑"/>
                <w:color w:val="auto"/>
                <w:szCs w:val="21"/>
                <w:highlight w:val="none"/>
              </w:rPr>
            </w:pPr>
          </w:p>
        </w:tc>
        <w:tc>
          <w:tcPr>
            <w:tcW w:w="1803" w:type="dxa"/>
          </w:tcPr>
          <w:p w14:paraId="6E7EF6BF">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2566684F">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033A93E4">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679837E4">
            <w:pPr>
              <w:pStyle w:val="28"/>
              <w:spacing w:line="440" w:lineRule="exact"/>
              <w:ind w:firstLine="1470" w:firstLineChars="700"/>
              <w:rPr>
                <w:rFonts w:ascii="微软雅黑" w:hAnsi="微软雅黑" w:eastAsia="微软雅黑" w:cs="微软雅黑"/>
                <w:color w:val="auto"/>
                <w:szCs w:val="21"/>
                <w:highlight w:val="none"/>
              </w:rPr>
            </w:pPr>
          </w:p>
        </w:tc>
      </w:tr>
      <w:tr w14:paraId="506E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09705941">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0230FD1F">
            <w:pPr>
              <w:pStyle w:val="28"/>
              <w:spacing w:line="440" w:lineRule="exact"/>
              <w:rPr>
                <w:rFonts w:ascii="微软雅黑" w:hAnsi="微软雅黑" w:eastAsia="微软雅黑" w:cs="微软雅黑"/>
                <w:color w:val="auto"/>
                <w:szCs w:val="21"/>
                <w:highlight w:val="none"/>
              </w:rPr>
            </w:pPr>
          </w:p>
        </w:tc>
        <w:tc>
          <w:tcPr>
            <w:tcW w:w="1803" w:type="dxa"/>
          </w:tcPr>
          <w:p w14:paraId="49635702">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7BA20819">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493F528F">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2308F894">
            <w:pPr>
              <w:pStyle w:val="28"/>
              <w:spacing w:line="440" w:lineRule="exact"/>
              <w:ind w:firstLine="1470" w:firstLineChars="700"/>
              <w:rPr>
                <w:rFonts w:ascii="微软雅黑" w:hAnsi="微软雅黑" w:eastAsia="微软雅黑" w:cs="微软雅黑"/>
                <w:color w:val="auto"/>
                <w:szCs w:val="21"/>
                <w:highlight w:val="none"/>
              </w:rPr>
            </w:pPr>
          </w:p>
        </w:tc>
      </w:tr>
      <w:tr w14:paraId="0B9F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040F0754">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669DF289">
            <w:pPr>
              <w:pStyle w:val="28"/>
              <w:spacing w:line="440" w:lineRule="exact"/>
              <w:rPr>
                <w:rFonts w:ascii="微软雅黑" w:hAnsi="微软雅黑" w:eastAsia="微软雅黑" w:cs="微软雅黑"/>
                <w:color w:val="auto"/>
                <w:szCs w:val="21"/>
                <w:highlight w:val="none"/>
              </w:rPr>
            </w:pPr>
          </w:p>
        </w:tc>
        <w:tc>
          <w:tcPr>
            <w:tcW w:w="1803" w:type="dxa"/>
          </w:tcPr>
          <w:p w14:paraId="64A17245">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2D1FB802">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7DE52751">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4308A302">
            <w:pPr>
              <w:pStyle w:val="28"/>
              <w:spacing w:line="440" w:lineRule="exact"/>
              <w:ind w:firstLine="1470" w:firstLineChars="700"/>
              <w:rPr>
                <w:rFonts w:ascii="微软雅黑" w:hAnsi="微软雅黑" w:eastAsia="微软雅黑" w:cs="微软雅黑"/>
                <w:color w:val="auto"/>
                <w:szCs w:val="21"/>
                <w:highlight w:val="none"/>
              </w:rPr>
            </w:pPr>
          </w:p>
        </w:tc>
      </w:tr>
      <w:tr w14:paraId="1F97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27F0A58A">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68355C7B">
            <w:pPr>
              <w:pStyle w:val="28"/>
              <w:spacing w:line="440" w:lineRule="exact"/>
              <w:rPr>
                <w:rFonts w:ascii="微软雅黑" w:hAnsi="微软雅黑" w:eastAsia="微软雅黑" w:cs="微软雅黑"/>
                <w:color w:val="auto"/>
                <w:szCs w:val="21"/>
                <w:highlight w:val="none"/>
              </w:rPr>
            </w:pPr>
          </w:p>
        </w:tc>
        <w:tc>
          <w:tcPr>
            <w:tcW w:w="1803" w:type="dxa"/>
          </w:tcPr>
          <w:p w14:paraId="0B6A6EDF">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326BC2AB">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501B0AF7">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4A9E6150">
            <w:pPr>
              <w:pStyle w:val="28"/>
              <w:spacing w:line="440" w:lineRule="exact"/>
              <w:ind w:firstLine="1470" w:firstLineChars="700"/>
              <w:rPr>
                <w:rFonts w:ascii="微软雅黑" w:hAnsi="微软雅黑" w:eastAsia="微软雅黑" w:cs="微软雅黑"/>
                <w:color w:val="auto"/>
                <w:szCs w:val="21"/>
                <w:highlight w:val="none"/>
              </w:rPr>
            </w:pPr>
          </w:p>
        </w:tc>
      </w:tr>
      <w:tr w14:paraId="009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4E734ACD">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744476E4">
            <w:pPr>
              <w:pStyle w:val="28"/>
              <w:spacing w:line="440" w:lineRule="exact"/>
              <w:rPr>
                <w:rFonts w:ascii="微软雅黑" w:hAnsi="微软雅黑" w:eastAsia="微软雅黑" w:cs="微软雅黑"/>
                <w:color w:val="auto"/>
                <w:szCs w:val="21"/>
                <w:highlight w:val="none"/>
              </w:rPr>
            </w:pPr>
          </w:p>
        </w:tc>
        <w:tc>
          <w:tcPr>
            <w:tcW w:w="1803" w:type="dxa"/>
          </w:tcPr>
          <w:p w14:paraId="0DDC872B">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6E9C0476">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7C77D8AA">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09DED0ED">
            <w:pPr>
              <w:pStyle w:val="28"/>
              <w:spacing w:line="440" w:lineRule="exact"/>
              <w:ind w:firstLine="1470" w:firstLineChars="700"/>
              <w:rPr>
                <w:rFonts w:ascii="微软雅黑" w:hAnsi="微软雅黑" w:eastAsia="微软雅黑" w:cs="微软雅黑"/>
                <w:color w:val="auto"/>
                <w:szCs w:val="21"/>
                <w:highlight w:val="none"/>
              </w:rPr>
            </w:pPr>
          </w:p>
        </w:tc>
      </w:tr>
    </w:tbl>
    <w:p w14:paraId="03B94FAE">
      <w:pPr>
        <w:spacing w:line="500" w:lineRule="exact"/>
        <w:ind w:firstLine="420" w:firstLineChars="200"/>
        <w:rPr>
          <w:rFonts w:ascii="微软雅黑" w:hAnsi="微软雅黑" w:eastAsia="微软雅黑"/>
          <w:color w:val="auto"/>
          <w:szCs w:val="21"/>
          <w:highlight w:val="none"/>
        </w:rPr>
      </w:pPr>
    </w:p>
    <w:p w14:paraId="26D48977">
      <w:pPr>
        <w:spacing w:line="500" w:lineRule="exact"/>
        <w:ind w:firstLine="420" w:firstLineChars="200"/>
        <w:rPr>
          <w:rFonts w:ascii="微软雅黑" w:hAnsi="微软雅黑" w:eastAsia="微软雅黑"/>
          <w:color w:val="auto"/>
          <w:szCs w:val="21"/>
          <w:highlight w:val="none"/>
        </w:rPr>
        <w:sectPr>
          <w:footerReference r:id="rId7" w:type="default"/>
          <w:footerReference r:id="rId8" w:type="even"/>
          <w:pgSz w:w="11905" w:h="16838"/>
          <w:pgMar w:top="1134" w:right="1304" w:bottom="1134" w:left="1304" w:header="850" w:footer="992" w:gutter="0"/>
          <w:pgNumType w:fmt="numberInDash"/>
          <w:cols w:space="0" w:num="1"/>
          <w:titlePg/>
          <w:docGrid w:linePitch="380" w:charSpace="0"/>
        </w:sectPr>
      </w:pPr>
    </w:p>
    <w:bookmarkEnd w:id="108"/>
    <w:bookmarkEnd w:id="109"/>
    <w:bookmarkEnd w:id="110"/>
    <w:p w14:paraId="2E457047">
      <w:pPr>
        <w:pStyle w:val="3"/>
        <w:spacing w:line="360" w:lineRule="auto"/>
        <w:jc w:val="center"/>
        <w:rPr>
          <w:rFonts w:ascii="微软雅黑" w:hAnsi="微软雅黑" w:eastAsia="微软雅黑"/>
          <w:color w:val="auto"/>
          <w:sz w:val="36"/>
          <w:szCs w:val="36"/>
          <w:highlight w:val="none"/>
        </w:rPr>
      </w:pPr>
      <w:bookmarkStart w:id="123" w:name="_Toc6105"/>
      <w:r>
        <w:rPr>
          <w:rFonts w:hint="eastAsia" w:ascii="微软雅黑" w:hAnsi="微软雅黑" w:eastAsia="微软雅黑"/>
          <w:color w:val="auto"/>
          <w:sz w:val="36"/>
          <w:szCs w:val="36"/>
          <w:highlight w:val="none"/>
        </w:rPr>
        <w:t>第</w:t>
      </w:r>
      <w:r>
        <w:rPr>
          <w:rFonts w:ascii="微软雅黑" w:hAnsi="微软雅黑" w:eastAsia="微软雅黑"/>
          <w:color w:val="auto"/>
          <w:sz w:val="36"/>
          <w:szCs w:val="36"/>
          <w:highlight w:val="none"/>
        </w:rPr>
        <w:t>七</w:t>
      </w:r>
      <w:r>
        <w:rPr>
          <w:rFonts w:hint="eastAsia" w:ascii="微软雅黑" w:hAnsi="微软雅黑" w:eastAsia="微软雅黑"/>
          <w:color w:val="auto"/>
          <w:sz w:val="36"/>
          <w:szCs w:val="36"/>
          <w:highlight w:val="none"/>
        </w:rPr>
        <w:t>篇</w:t>
      </w:r>
      <w:r>
        <w:rPr>
          <w:rFonts w:ascii="微软雅黑" w:hAnsi="微软雅黑" w:eastAsia="微软雅黑"/>
          <w:color w:val="auto"/>
          <w:sz w:val="36"/>
          <w:szCs w:val="36"/>
          <w:highlight w:val="none"/>
        </w:rPr>
        <w:t xml:space="preserve">  </w:t>
      </w:r>
      <w:r>
        <w:rPr>
          <w:rFonts w:hint="eastAsia" w:ascii="微软雅黑" w:hAnsi="微软雅黑" w:eastAsia="微软雅黑"/>
          <w:color w:val="auto"/>
          <w:sz w:val="36"/>
          <w:szCs w:val="36"/>
          <w:highlight w:val="none"/>
        </w:rPr>
        <w:t>响应文件编制要求</w:t>
      </w:r>
      <w:bookmarkEnd w:id="73"/>
      <w:bookmarkEnd w:id="123"/>
    </w:p>
    <w:p w14:paraId="0C445461">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一、经济部分</w:t>
      </w:r>
    </w:p>
    <w:p w14:paraId="790F265E">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（一）竞争性磋商报价函</w:t>
      </w:r>
    </w:p>
    <w:p w14:paraId="77E3F08C">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二、服务部分</w:t>
      </w:r>
    </w:p>
    <w:p w14:paraId="529D8DAC">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（一）服务响应偏离表</w:t>
      </w:r>
    </w:p>
    <w:p w14:paraId="1196F07E">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（二）其他资料（格式自定）</w:t>
      </w:r>
    </w:p>
    <w:p w14:paraId="6219D928">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三、商务部分</w:t>
      </w:r>
    </w:p>
    <w:p w14:paraId="0829B482">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（一）商务响应偏离表</w:t>
      </w:r>
    </w:p>
    <w:p w14:paraId="106BA363">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（二）其它优惠服务承诺（格式自定）</w:t>
      </w:r>
    </w:p>
    <w:p w14:paraId="3224CBBA">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四、资格条件及其他</w:t>
      </w:r>
    </w:p>
    <w:p w14:paraId="25EB6D3A">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（一）法人营业执照（副本）或事业单位法人证书（副本）或个体工商户营业执照或有效的自然人身份证明或社会团体法人登记证书复印件</w:t>
      </w:r>
    </w:p>
    <w:p w14:paraId="6C729E1B">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（二）法定代表人身份证明书（格式）</w:t>
      </w:r>
    </w:p>
    <w:p w14:paraId="1AA6AABA">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（三）法定代表人授权委托书（格式）</w:t>
      </w:r>
    </w:p>
    <w:p w14:paraId="1A23C21B">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（四）基本资格条件承诺函（格式）</w:t>
      </w:r>
    </w:p>
    <w:p w14:paraId="4EDFB7C1">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（五）特定资格条件证书或证明文件</w:t>
      </w:r>
    </w:p>
    <w:p w14:paraId="3F5E4004">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五、其他资料</w:t>
      </w:r>
    </w:p>
    <w:p w14:paraId="64686841">
      <w:pPr>
        <w:spacing w:line="400" w:lineRule="exact"/>
        <w:ind w:firstLine="42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color w:val="auto"/>
          <w:szCs w:val="21"/>
          <w:highlight w:val="none"/>
        </w:rPr>
        <w:t>（一）中小企业声明函、监狱企业证明文件、残疾人福利性单位声明函</w:t>
      </w:r>
    </w:p>
    <w:p w14:paraId="4FC5E207">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（二）其他与项目有关的资料</w:t>
      </w:r>
    </w:p>
    <w:p w14:paraId="230CE275">
      <w:pPr>
        <w:snapToGrid w:val="0"/>
        <w:spacing w:line="360" w:lineRule="auto"/>
        <w:rPr>
          <w:rFonts w:ascii="微软雅黑" w:hAnsi="微软雅黑" w:eastAsia="微软雅黑" w:cs="微软雅黑"/>
          <w:color w:val="auto"/>
          <w:szCs w:val="21"/>
          <w:highlight w:val="none"/>
          <w:bdr w:val="single" w:color="auto" w:sz="4" w:space="0"/>
        </w:rPr>
        <w:sectPr>
          <w:footerReference r:id="rId9" w:type="default"/>
          <w:pgSz w:w="11905" w:h="16838"/>
          <w:pgMar w:top="1134" w:right="1304" w:bottom="1134" w:left="1304" w:header="850" w:footer="992" w:gutter="0"/>
          <w:pgNumType w:fmt="numberInDash"/>
          <w:cols w:space="0" w:num="1"/>
          <w:titlePg/>
          <w:docGrid w:linePitch="380" w:charSpace="0"/>
        </w:sectPr>
      </w:pPr>
    </w:p>
    <w:p w14:paraId="799B7A97">
      <w:pPr>
        <w:pStyle w:val="4"/>
        <w:spacing w:before="0" w:after="0" w:line="440" w:lineRule="exact"/>
        <w:rPr>
          <w:rFonts w:ascii="微软雅黑" w:hAnsi="微软雅黑" w:eastAsia="微软雅黑"/>
          <w:color w:val="auto"/>
          <w:sz w:val="24"/>
          <w:highlight w:val="none"/>
        </w:rPr>
      </w:pPr>
      <w:bookmarkStart w:id="124" w:name="_Toc61861460"/>
      <w:bookmarkStart w:id="125" w:name="_Toc51687446"/>
      <w:bookmarkStart w:id="126" w:name="_Toc23765"/>
      <w:bookmarkStart w:id="127" w:name="_Toc38017612"/>
      <w:bookmarkStart w:id="128" w:name="_Toc1292"/>
      <w:bookmarkStart w:id="129" w:name="_Toc6031"/>
      <w:bookmarkStart w:id="130" w:name="_Toc342913419"/>
      <w:bookmarkStart w:id="131" w:name="_Toc76570271"/>
      <w:bookmarkStart w:id="132" w:name="_Toc23185486"/>
      <w:bookmarkStart w:id="133" w:name="_Toc98251753"/>
      <w:bookmarkStart w:id="134" w:name="_Toc120450927"/>
      <w:bookmarkStart w:id="135" w:name="_Toc764"/>
      <w:bookmarkStart w:id="136" w:name="_Toc19218"/>
      <w:bookmarkStart w:id="137" w:name="_Toc97736631"/>
      <w:bookmarkStart w:id="138" w:name="_Toc97728901"/>
      <w:bookmarkStart w:id="139" w:name="_Toc23875"/>
      <w:bookmarkStart w:id="140" w:name="_Toc98257581"/>
      <w:bookmarkStart w:id="141" w:name="_Toc6818911"/>
      <w:bookmarkStart w:id="142" w:name="_Toc313008356"/>
      <w:bookmarkStart w:id="143" w:name="_Toc28994"/>
      <w:bookmarkStart w:id="144" w:name="_Toc53438331"/>
      <w:bookmarkStart w:id="145" w:name="_Toc111115723"/>
      <w:bookmarkStart w:id="146" w:name="_Toc20656409"/>
      <w:bookmarkStart w:id="147" w:name="_Toc49862755"/>
      <w:bookmarkStart w:id="148" w:name="_Toc134092492"/>
      <w:bookmarkStart w:id="149" w:name="_Toc80610710"/>
      <w:bookmarkStart w:id="150" w:name="_Toc433792169"/>
      <w:bookmarkStart w:id="151" w:name="_Toc313888360"/>
      <w:bookmarkStart w:id="152" w:name="_Toc76991805"/>
      <w:bookmarkStart w:id="153" w:name="_Toc40098034"/>
      <w:bookmarkStart w:id="154" w:name="_Toc21936038"/>
      <w:bookmarkStart w:id="155" w:name="_Toc1784"/>
      <w:bookmarkStart w:id="156" w:name="_Toc18946"/>
      <w:bookmarkStart w:id="157" w:name="_Toc13457"/>
      <w:bookmarkStart w:id="158" w:name="_Toc10992"/>
      <w:bookmarkStart w:id="159" w:name="_Toc141975523"/>
      <w:bookmarkStart w:id="160" w:name="_Toc28967321"/>
      <w:bookmarkStart w:id="161" w:name="_Toc83318567"/>
      <w:bookmarkStart w:id="162" w:name="_Toc133144166"/>
      <w:bookmarkStart w:id="163" w:name="_Toc68251846"/>
      <w:bookmarkStart w:id="164" w:name="_Toc283382454"/>
      <w:bookmarkStart w:id="165" w:name="_Toc12789073"/>
      <w:r>
        <w:rPr>
          <w:rFonts w:hint="eastAsia" w:ascii="微软雅黑" w:hAnsi="微软雅黑" w:eastAsia="微软雅黑"/>
          <w:color w:val="auto"/>
          <w:sz w:val="24"/>
          <w:highlight w:val="none"/>
        </w:rPr>
        <w:t>一、经济部分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bookmarkEnd w:id="164"/>
    <w:bookmarkEnd w:id="165"/>
    <w:p w14:paraId="4F47AB29">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（一）竞争性磋商报价函</w:t>
      </w:r>
    </w:p>
    <w:p w14:paraId="2DBF2C02">
      <w:pPr>
        <w:spacing w:line="440" w:lineRule="exact"/>
        <w:jc w:val="center"/>
        <w:rPr>
          <w:rFonts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竞争性磋商报价函</w:t>
      </w:r>
    </w:p>
    <w:p w14:paraId="5E690FF0">
      <w:pPr>
        <w:pStyle w:val="19"/>
        <w:rPr>
          <w:rFonts w:ascii="微软雅黑" w:hAnsi="微软雅黑" w:eastAsia="微软雅黑"/>
          <w:color w:val="auto"/>
          <w:highlight w:val="none"/>
        </w:rPr>
      </w:pPr>
    </w:p>
    <w:p w14:paraId="5778195C">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u w:val="single"/>
        </w:rPr>
        <w:t>（采购代理机构名称）</w:t>
      </w:r>
      <w:r>
        <w:rPr>
          <w:rFonts w:hint="eastAsia" w:ascii="微软雅黑" w:hAnsi="微软雅黑" w:eastAsia="微软雅黑"/>
          <w:color w:val="auto"/>
          <w:szCs w:val="21"/>
          <w:highlight w:val="none"/>
        </w:rPr>
        <w:t>：</w:t>
      </w:r>
    </w:p>
    <w:p w14:paraId="0B4A420C">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我方收到____________________________（磋商项目名称）的竞争性磋商文件，经详细研究，决定参加该磋商项目的磋商。</w:t>
      </w:r>
    </w:p>
    <w:p w14:paraId="0BFA44DF">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1．愿意按照竞争性磋商文件中的一切要求，提供本项目的技术服</w:t>
      </w:r>
      <w:r>
        <w:rPr>
          <w:rFonts w:ascii="微软雅黑" w:hAnsi="微软雅黑" w:eastAsia="微软雅黑"/>
          <w:color w:val="auto"/>
          <w:szCs w:val="21"/>
          <w:highlight w:val="none"/>
        </w:rPr>
        <w:t>务</w:t>
      </w:r>
      <w:r>
        <w:rPr>
          <w:rFonts w:hint="eastAsia" w:ascii="微软雅黑" w:hAnsi="微软雅黑" w:eastAsia="微软雅黑"/>
          <w:color w:val="auto"/>
          <w:szCs w:val="21"/>
          <w:highlight w:val="none"/>
        </w:rPr>
        <w:t xml:space="preserve">及实施，初始报价为折扣大写：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；折扣小写：</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w:t>
      </w:r>
      <w:r>
        <w:rPr>
          <w:rFonts w:hint="eastAsia" w:ascii="微软雅黑" w:hAnsi="微软雅黑" w:eastAsia="微软雅黑"/>
          <w:b/>
          <w:bCs/>
          <w:color w:val="auto"/>
          <w:szCs w:val="21"/>
          <w:highlight w:val="none"/>
        </w:rPr>
        <w:t>（</w:t>
      </w:r>
      <w:r>
        <w:rPr>
          <w:rFonts w:hint="eastAsia" w:ascii="微软雅黑" w:hAnsi="微软雅黑" w:eastAsia="微软雅黑" w:cs="宋体"/>
          <w:b/>
          <w:bCs/>
          <w:color w:val="auto"/>
          <w:kern w:val="0"/>
          <w:szCs w:val="21"/>
          <w:highlight w:val="none"/>
        </w:rPr>
        <w:t>例如：若供应商折扣为7折，则填报响应折扣报价时填写为70%。</w:t>
      </w:r>
      <w:r>
        <w:rPr>
          <w:rFonts w:hint="eastAsia" w:ascii="微软雅黑" w:hAnsi="微软雅黑" w:eastAsia="微软雅黑"/>
          <w:b/>
          <w:bCs/>
          <w:color w:val="auto"/>
          <w:szCs w:val="21"/>
          <w:highlight w:val="none"/>
        </w:rPr>
        <w:t>），</w:t>
      </w:r>
      <w:r>
        <w:rPr>
          <w:rFonts w:hint="eastAsia" w:ascii="微软雅黑" w:hAnsi="微软雅黑" w:eastAsia="微软雅黑"/>
          <w:color w:val="auto"/>
          <w:szCs w:val="21"/>
          <w:highlight w:val="none"/>
        </w:rPr>
        <w:t>以我公司最后报价为准。</w:t>
      </w:r>
    </w:p>
    <w:p w14:paraId="33466821">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2．我方现提交的响应文件为：响应文件正本</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份，副本</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份，电子文档</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份。</w:t>
      </w:r>
    </w:p>
    <w:p w14:paraId="5A020F76">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3．我方承诺：本次磋商的有效期为提交响应文件截止时间起90天。</w:t>
      </w:r>
    </w:p>
    <w:p w14:paraId="5D38A37F">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4．我方完全理解和接受贵方竞争性磋商文件的一切规定和要求及磋商评审办法。</w:t>
      </w:r>
    </w:p>
    <w:p w14:paraId="4E565871">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5．在整个竞争性磋商过程中，我方若有违规行为，接受按照《中华人民共和国政府采购法》和《竞争性磋商文件》之规定给予惩罚。</w:t>
      </w:r>
    </w:p>
    <w:p w14:paraId="53557F12">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6．我方若成为成交供应商，将按照最终磋商结果签订合同，并且严格履行合同义务。本承诺函将成为合同不可分割的一部分，与合同具有同等的法律效力。</w:t>
      </w:r>
    </w:p>
    <w:p w14:paraId="7342168D">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7.如果我方成为成交供应商，保证在接到成交通知书后，向采购代理机构缴纳竞争性磋商文件规定的采购代理服务费。</w:t>
      </w:r>
    </w:p>
    <w:p w14:paraId="3F95C15E">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8.我方未为采购项目提供整体设计、规范编制或者项目管理、监理、检测等服务。</w:t>
      </w:r>
    </w:p>
    <w:p w14:paraId="6B8B2143">
      <w:pPr>
        <w:tabs>
          <w:tab w:val="left" w:pos="6300"/>
        </w:tabs>
        <w:snapToGrid w:val="0"/>
        <w:spacing w:line="440" w:lineRule="exact"/>
        <w:ind w:firstLine="420" w:firstLineChars="200"/>
        <w:rPr>
          <w:rFonts w:ascii="微软雅黑" w:hAnsi="微软雅黑" w:eastAsia="微软雅黑"/>
          <w:color w:val="auto"/>
          <w:szCs w:val="21"/>
          <w:highlight w:val="none"/>
        </w:rPr>
      </w:pPr>
    </w:p>
    <w:p w14:paraId="0103B43A">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供应商（公章）或自然人签署：</w:t>
      </w:r>
    </w:p>
    <w:p w14:paraId="61F23C64">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地址：  </w:t>
      </w:r>
    </w:p>
    <w:p w14:paraId="19F4397E">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电话：                           传真：</w:t>
      </w:r>
    </w:p>
    <w:p w14:paraId="65A8C9B9">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网址：                           邮编：</w:t>
      </w:r>
    </w:p>
    <w:p w14:paraId="2D4553F1">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联系人：</w:t>
      </w:r>
    </w:p>
    <w:p w14:paraId="32BFD4C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w:t>
      </w:r>
    </w:p>
    <w:p w14:paraId="06A87A4E">
      <w:pPr>
        <w:snapToGrid w:val="0"/>
        <w:spacing w:line="440" w:lineRule="exact"/>
        <w:ind w:firstLine="4620" w:firstLineChars="2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14:paraId="60E5227B">
      <w:pPr>
        <w:snapToGrid w:val="0"/>
        <w:spacing w:line="440" w:lineRule="exact"/>
        <w:ind w:firstLine="4620" w:firstLineChars="2200"/>
        <w:rPr>
          <w:rFonts w:ascii="微软雅黑" w:hAnsi="微软雅黑" w:eastAsia="微软雅黑"/>
          <w:color w:val="auto"/>
          <w:szCs w:val="21"/>
          <w:highlight w:val="none"/>
        </w:rPr>
      </w:pPr>
    </w:p>
    <w:p w14:paraId="0614EDE6">
      <w:pPr>
        <w:snapToGrid w:val="0"/>
        <w:spacing w:line="440" w:lineRule="exact"/>
        <w:ind w:firstLine="4620" w:firstLineChars="2200"/>
        <w:rPr>
          <w:rFonts w:ascii="微软雅黑" w:hAnsi="微软雅黑" w:eastAsia="微软雅黑"/>
          <w:color w:val="auto"/>
          <w:szCs w:val="21"/>
          <w:highlight w:val="none"/>
        </w:rPr>
      </w:pPr>
    </w:p>
    <w:p w14:paraId="63DF6F43">
      <w:pPr>
        <w:snapToGrid w:val="0"/>
        <w:spacing w:line="440" w:lineRule="exact"/>
        <w:ind w:firstLine="4620" w:firstLineChars="2200"/>
        <w:rPr>
          <w:rFonts w:ascii="微软雅黑" w:hAnsi="微软雅黑" w:eastAsia="微软雅黑"/>
          <w:color w:val="auto"/>
          <w:szCs w:val="21"/>
          <w:highlight w:val="none"/>
        </w:rPr>
      </w:pPr>
    </w:p>
    <w:p w14:paraId="37556710">
      <w:pPr>
        <w:snapToGrid w:val="0"/>
        <w:spacing w:line="440" w:lineRule="exact"/>
        <w:ind w:left="4095" w:leftChars="1650" w:hanging="630" w:hangingChars="300"/>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14:paraId="3DA56B2E">
      <w:pPr>
        <w:snapToGrid w:val="0"/>
        <w:spacing w:line="440" w:lineRule="exact"/>
        <w:ind w:firstLine="4620" w:firstLineChars="2200"/>
        <w:rPr>
          <w:rFonts w:ascii="微软雅黑" w:hAnsi="微软雅黑" w:eastAsia="微软雅黑"/>
          <w:color w:val="auto"/>
          <w:szCs w:val="21"/>
          <w:highlight w:val="none"/>
        </w:rPr>
        <w:sectPr>
          <w:pgSz w:w="11905" w:h="16838"/>
          <w:pgMar w:top="1134" w:right="1304" w:bottom="1134" w:left="1304" w:header="850" w:footer="992" w:gutter="0"/>
          <w:pgNumType w:fmt="numberInDash"/>
          <w:cols w:space="0" w:num="1"/>
          <w:titlePg/>
          <w:docGrid w:linePitch="380" w:charSpace="0"/>
        </w:sectPr>
      </w:pPr>
    </w:p>
    <w:p w14:paraId="5593AE26">
      <w:pPr>
        <w:pStyle w:val="4"/>
        <w:spacing w:before="0" w:after="0" w:line="440" w:lineRule="exact"/>
        <w:rPr>
          <w:rFonts w:ascii="微软雅黑" w:hAnsi="微软雅黑" w:eastAsia="微软雅黑"/>
          <w:color w:val="auto"/>
          <w:sz w:val="24"/>
          <w:highlight w:val="none"/>
        </w:rPr>
      </w:pPr>
      <w:bookmarkStart w:id="166" w:name="_Toc4192"/>
      <w:bookmarkStart w:id="167" w:name="_Toc120450928"/>
      <w:bookmarkStart w:id="168" w:name="_Toc83318568"/>
      <w:bookmarkStart w:id="169" w:name="_Toc111115724"/>
      <w:bookmarkStart w:id="170" w:name="_Toc16888"/>
      <w:bookmarkStart w:id="171" w:name="_Toc12910"/>
      <w:bookmarkStart w:id="172" w:name="_Toc68251847"/>
      <w:bookmarkStart w:id="173" w:name="_Toc6131"/>
      <w:bookmarkStart w:id="174" w:name="_Toc31296"/>
      <w:bookmarkStart w:id="175" w:name="_Toc11203"/>
      <w:bookmarkStart w:id="176" w:name="_Toc21936039"/>
      <w:bookmarkStart w:id="177" w:name="_Toc433792170"/>
      <w:bookmarkStart w:id="178" w:name="_Toc97736632"/>
      <w:bookmarkStart w:id="179" w:name="_Toc98257582"/>
      <w:bookmarkStart w:id="180" w:name="_Toc313008357"/>
      <w:bookmarkStart w:id="181" w:name="_Toc313888361"/>
      <w:bookmarkStart w:id="182" w:name="_Toc134092493"/>
      <w:bookmarkStart w:id="183" w:name="_Toc133144167"/>
      <w:bookmarkStart w:id="184" w:name="_Toc28967322"/>
      <w:bookmarkStart w:id="185" w:name="_Toc7166"/>
      <w:bookmarkStart w:id="186" w:name="_Toc20656410"/>
      <w:bookmarkStart w:id="187" w:name="_Toc7921"/>
      <w:bookmarkStart w:id="188" w:name="_Toc40098035"/>
      <w:bookmarkStart w:id="189" w:name="_Toc7551"/>
      <w:bookmarkStart w:id="190" w:name="_Toc2497"/>
      <w:bookmarkStart w:id="191" w:name="_Toc342913420"/>
      <w:bookmarkStart w:id="192" w:name="_Toc80610711"/>
      <w:bookmarkStart w:id="193" w:name="_Toc6818912"/>
      <w:bookmarkStart w:id="194" w:name="_Toc51687447"/>
      <w:bookmarkStart w:id="195" w:name="_Toc49862756"/>
      <w:bookmarkStart w:id="196" w:name="_Toc76570272"/>
      <w:bookmarkStart w:id="197" w:name="_Toc53438332"/>
      <w:bookmarkStart w:id="198" w:name="_Toc38017613"/>
      <w:bookmarkStart w:id="199" w:name="_Toc16609"/>
      <w:bookmarkStart w:id="200" w:name="_Toc23185487"/>
      <w:bookmarkStart w:id="201" w:name="_Toc98251754"/>
      <w:bookmarkStart w:id="202" w:name="_Toc141975524"/>
      <w:bookmarkStart w:id="203" w:name="_Toc97728902"/>
      <w:bookmarkStart w:id="204" w:name="_Toc61861461"/>
      <w:bookmarkStart w:id="205" w:name="_Toc76991806"/>
      <w:r>
        <w:rPr>
          <w:rFonts w:hint="eastAsia" w:ascii="微软雅黑" w:hAnsi="微软雅黑" w:eastAsia="微软雅黑"/>
          <w:color w:val="auto"/>
          <w:sz w:val="24"/>
          <w:highlight w:val="none"/>
        </w:rPr>
        <w:t>二、服务部分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3B67659">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（一）服务响应偏离表</w:t>
      </w:r>
    </w:p>
    <w:p w14:paraId="3C8E922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采购执行编号：                              </w:t>
      </w:r>
    </w:p>
    <w:p w14:paraId="42BE6BB7">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磋商项目名称：</w:t>
      </w:r>
      <w:r>
        <w:rPr>
          <w:rFonts w:ascii="微软雅黑" w:hAnsi="微软雅黑" w:eastAsia="微软雅黑"/>
          <w:color w:val="auto"/>
          <w:szCs w:val="21"/>
          <w:highlight w:val="none"/>
        </w:rPr>
        <w:t xml:space="preserve"> </w:t>
      </w:r>
    </w:p>
    <w:tbl>
      <w:tblPr>
        <w:tblStyle w:val="2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64D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9E9EAF2">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2658" w:type="dxa"/>
            <w:vAlign w:val="center"/>
          </w:tcPr>
          <w:p w14:paraId="3459AAF2">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采购需求</w:t>
            </w:r>
          </w:p>
        </w:tc>
        <w:tc>
          <w:tcPr>
            <w:tcW w:w="2759" w:type="dxa"/>
            <w:vAlign w:val="center"/>
          </w:tcPr>
          <w:p w14:paraId="492A9654">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响应情况</w:t>
            </w:r>
          </w:p>
        </w:tc>
        <w:tc>
          <w:tcPr>
            <w:tcW w:w="2067" w:type="dxa"/>
            <w:vAlign w:val="center"/>
          </w:tcPr>
          <w:p w14:paraId="6A812FF9">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差异说明</w:t>
            </w:r>
          </w:p>
        </w:tc>
      </w:tr>
      <w:tr w14:paraId="368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75717D">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4ED3FC56">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19F2BD00">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提醒：请注明具体内容以及响应文件中具体内容的位置（页码）</w:t>
            </w:r>
          </w:p>
        </w:tc>
        <w:tc>
          <w:tcPr>
            <w:tcW w:w="2067" w:type="dxa"/>
            <w:vAlign w:val="center"/>
          </w:tcPr>
          <w:p w14:paraId="6091EC2F">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6A6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20D972">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71A5F9C9">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7B168FC0">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1CE07956">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D45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692DA1">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44841BD2">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0395D438">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6280B018">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4EB8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8AA24A">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13D12DB3">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1A7EC27B">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246EAA37">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B99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07759F">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3877EDE6">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76311BB5">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7310FE9F">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589D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799B5A">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7D7201CC">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5492A201">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6AB17246">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6493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D90294">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1BB80556">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2C45033D">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22E96EE3">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0BD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E92BCE">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147B392B">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417A10B7">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2D2DF8B2">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41E3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A469FD">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6A547F95">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5566B35E">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1343652E">
            <w:pPr>
              <w:tabs>
                <w:tab w:val="left" w:pos="6300"/>
              </w:tabs>
              <w:snapToGrid w:val="0"/>
              <w:spacing w:line="440" w:lineRule="exact"/>
              <w:jc w:val="center"/>
              <w:outlineLvl w:val="0"/>
              <w:rPr>
                <w:rFonts w:ascii="微软雅黑" w:hAnsi="微软雅黑" w:eastAsia="微软雅黑"/>
                <w:color w:val="auto"/>
                <w:szCs w:val="21"/>
                <w:highlight w:val="none"/>
              </w:rPr>
            </w:pPr>
          </w:p>
        </w:tc>
      </w:tr>
    </w:tbl>
    <w:p w14:paraId="13604979">
      <w:pPr>
        <w:spacing w:line="440" w:lineRule="exact"/>
        <w:ind w:firstLine="525" w:firstLineChars="2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                                法定代表人（或其授权代表）或自然人：</w:t>
      </w:r>
    </w:p>
    <w:p w14:paraId="23084718">
      <w:pPr>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14:paraId="2F15576C">
      <w:pPr>
        <w:spacing w:line="440" w:lineRule="exact"/>
        <w:ind w:firstLine="630" w:firstLineChars="3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（供应商公章）                               （签署或盖章）</w:t>
      </w:r>
    </w:p>
    <w:p w14:paraId="7B3D7457">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14:paraId="2FB97C96">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注：</w:t>
      </w:r>
    </w:p>
    <w:p w14:paraId="647D99AB">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1.本表即为对本项目“第二篇  项目服务需求”中所列条款进行比较和响应；</w:t>
      </w:r>
    </w:p>
    <w:p w14:paraId="58BBE580">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2.本表可扩展。</w:t>
      </w:r>
    </w:p>
    <w:p w14:paraId="65789536">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ascii="微软雅黑" w:hAnsi="微软雅黑" w:eastAsia="微软雅黑"/>
          <w:b/>
          <w:color w:val="auto"/>
          <w:szCs w:val="21"/>
          <w:highlight w:val="none"/>
        </w:rPr>
        <w:tab/>
      </w:r>
    </w:p>
    <w:p w14:paraId="54C7A0C1">
      <w:pPr>
        <w:pStyle w:val="19"/>
        <w:rPr>
          <w:rFonts w:ascii="微软雅黑" w:hAnsi="微软雅黑" w:eastAsia="微软雅黑"/>
          <w:color w:val="auto"/>
          <w:highlight w:val="none"/>
        </w:rPr>
      </w:pPr>
    </w:p>
    <w:p w14:paraId="0F6B77BB">
      <w:pPr>
        <w:widowControl/>
        <w:jc w:val="left"/>
        <w:rPr>
          <w:rFonts w:ascii="微软雅黑" w:hAnsi="微软雅黑" w:eastAsia="微软雅黑"/>
          <w:color w:val="auto"/>
          <w:szCs w:val="21"/>
          <w:highlight w:val="none"/>
        </w:rPr>
      </w:pPr>
      <w:bookmarkStart w:id="206" w:name="_Toc342913421"/>
      <w:bookmarkStart w:id="207" w:name="_Toc313888362"/>
      <w:bookmarkStart w:id="208" w:name="_Toc313008358"/>
      <w:r>
        <w:rPr>
          <w:rFonts w:ascii="微软雅黑" w:hAnsi="微软雅黑" w:eastAsia="微软雅黑"/>
          <w:color w:val="auto"/>
          <w:szCs w:val="21"/>
          <w:highlight w:val="none"/>
        </w:rPr>
        <w:br w:type="page"/>
      </w:r>
    </w:p>
    <w:p w14:paraId="67F2DF90">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（二）其他资料（格式自定）</w:t>
      </w:r>
    </w:p>
    <w:p w14:paraId="40FC4E78">
      <w:pPr>
        <w:tabs>
          <w:tab w:val="left" w:pos="6300"/>
        </w:tabs>
        <w:snapToGrid w:val="0"/>
        <w:spacing w:line="440" w:lineRule="exact"/>
        <w:ind w:firstLine="420" w:firstLineChars="200"/>
        <w:rPr>
          <w:rFonts w:ascii="微软雅黑" w:hAnsi="微软雅黑" w:eastAsia="微软雅黑"/>
          <w:color w:val="auto"/>
          <w:szCs w:val="21"/>
          <w:highlight w:val="none"/>
        </w:rPr>
      </w:pPr>
    </w:p>
    <w:p w14:paraId="511F382F">
      <w:pPr>
        <w:tabs>
          <w:tab w:val="left" w:pos="6300"/>
        </w:tabs>
        <w:snapToGrid w:val="0"/>
        <w:spacing w:line="440" w:lineRule="exact"/>
        <w:ind w:firstLine="420" w:firstLineChars="200"/>
        <w:rPr>
          <w:rFonts w:ascii="微软雅黑" w:hAnsi="微软雅黑" w:eastAsia="微软雅黑"/>
          <w:color w:val="auto"/>
          <w:szCs w:val="21"/>
          <w:highlight w:val="none"/>
        </w:rPr>
      </w:pPr>
    </w:p>
    <w:p w14:paraId="7605DB25">
      <w:pPr>
        <w:tabs>
          <w:tab w:val="left" w:pos="6300"/>
        </w:tabs>
        <w:snapToGrid w:val="0"/>
        <w:spacing w:line="440" w:lineRule="exact"/>
        <w:ind w:firstLine="420" w:firstLineChars="200"/>
        <w:rPr>
          <w:rFonts w:ascii="微软雅黑" w:hAnsi="微软雅黑" w:eastAsia="微软雅黑"/>
          <w:color w:val="auto"/>
          <w:szCs w:val="21"/>
          <w:highlight w:val="none"/>
        </w:rPr>
      </w:pPr>
    </w:p>
    <w:p w14:paraId="56863CE9">
      <w:pPr>
        <w:pStyle w:val="4"/>
        <w:spacing w:before="0" w:after="0" w:line="440" w:lineRule="exact"/>
        <w:rPr>
          <w:rFonts w:ascii="微软雅黑" w:hAnsi="微软雅黑" w:eastAsia="微软雅黑"/>
          <w:color w:val="auto"/>
          <w:sz w:val="24"/>
          <w:highlight w:val="none"/>
        </w:rPr>
      </w:pPr>
      <w:r>
        <w:rPr>
          <w:rFonts w:ascii="微软雅黑" w:hAnsi="微软雅黑" w:eastAsia="微软雅黑"/>
          <w:color w:val="auto"/>
          <w:sz w:val="21"/>
          <w:szCs w:val="21"/>
          <w:highlight w:val="none"/>
        </w:rPr>
        <w:br w:type="page"/>
      </w:r>
      <w:bookmarkStart w:id="209" w:name="_Toc24125"/>
      <w:bookmarkStart w:id="210" w:name="_Toc83318569"/>
      <w:bookmarkStart w:id="211" w:name="_Toc10960"/>
      <w:bookmarkStart w:id="212" w:name="_Toc97736633"/>
      <w:bookmarkStart w:id="213" w:name="_Toc68251848"/>
      <w:bookmarkStart w:id="214" w:name="_Toc38017614"/>
      <w:bookmarkStart w:id="215" w:name="_Toc49862757"/>
      <w:bookmarkStart w:id="216" w:name="_Toc97728903"/>
      <w:bookmarkStart w:id="217" w:name="_Toc134092494"/>
      <w:bookmarkStart w:id="218" w:name="_Toc21936040"/>
      <w:bookmarkStart w:id="219" w:name="_Toc76570273"/>
      <w:bookmarkStart w:id="220" w:name="_Toc1269"/>
      <w:bookmarkStart w:id="221" w:name="_Toc23185488"/>
      <w:bookmarkStart w:id="222" w:name="_Toc12271"/>
      <w:bookmarkStart w:id="223" w:name="_Toc120450929"/>
      <w:bookmarkStart w:id="224" w:name="_Toc76991807"/>
      <w:bookmarkStart w:id="225" w:name="_Toc40098036"/>
      <w:bookmarkStart w:id="226" w:name="_Toc16001"/>
      <w:bookmarkStart w:id="227" w:name="_Toc98257583"/>
      <w:bookmarkStart w:id="228" w:name="_Toc26085"/>
      <w:bookmarkStart w:id="229" w:name="_Toc80610712"/>
      <w:bookmarkStart w:id="230" w:name="_Toc141975525"/>
      <w:bookmarkStart w:id="231" w:name="_Toc9103"/>
      <w:bookmarkStart w:id="232" w:name="_Toc18259"/>
      <w:bookmarkStart w:id="233" w:name="_Toc6818913"/>
      <w:bookmarkStart w:id="234" w:name="_Toc20656411"/>
      <w:bookmarkStart w:id="235" w:name="_Toc51687448"/>
      <w:bookmarkStart w:id="236" w:name="_Toc10657"/>
      <w:bookmarkStart w:id="237" w:name="_Toc61861462"/>
      <w:bookmarkStart w:id="238" w:name="_Toc300"/>
      <w:bookmarkStart w:id="239" w:name="_Toc28967323"/>
      <w:bookmarkStart w:id="240" w:name="_Toc433792171"/>
      <w:bookmarkStart w:id="241" w:name="_Toc53438333"/>
      <w:bookmarkStart w:id="242" w:name="_Toc111115725"/>
      <w:bookmarkStart w:id="243" w:name="_Toc133144168"/>
      <w:bookmarkStart w:id="244" w:name="_Toc98251755"/>
      <w:bookmarkStart w:id="245" w:name="_Toc21733"/>
      <w:r>
        <w:rPr>
          <w:rFonts w:hint="eastAsia" w:ascii="微软雅黑" w:hAnsi="微软雅黑" w:eastAsia="微软雅黑"/>
          <w:color w:val="auto"/>
          <w:sz w:val="24"/>
          <w:highlight w:val="none"/>
        </w:rPr>
        <w:t>三、商务部分</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0159FD7">
      <w:pPr>
        <w:spacing w:line="440" w:lineRule="exact"/>
        <w:ind w:firstLine="420" w:firstLineChars="200"/>
        <w:rPr>
          <w:rFonts w:ascii="微软雅黑" w:hAnsi="微软雅黑" w:eastAsia="微软雅黑"/>
          <w:color w:val="auto"/>
          <w:szCs w:val="21"/>
          <w:highlight w:val="none"/>
        </w:rPr>
      </w:pPr>
      <w:bookmarkStart w:id="246" w:name="_Toc283382459"/>
      <w:r>
        <w:rPr>
          <w:rFonts w:hint="eastAsia" w:ascii="微软雅黑" w:hAnsi="微软雅黑" w:eastAsia="微软雅黑"/>
          <w:color w:val="auto"/>
          <w:szCs w:val="21"/>
          <w:highlight w:val="none"/>
        </w:rPr>
        <w:t>（一）商务响应偏离表</w:t>
      </w:r>
    </w:p>
    <w:p w14:paraId="683A0AC0">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采购执行编号：                                </w:t>
      </w:r>
    </w:p>
    <w:p w14:paraId="1DBE2B29">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磋商项目名称： </w:t>
      </w:r>
    </w:p>
    <w:tbl>
      <w:tblPr>
        <w:tblStyle w:val="20"/>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8D1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69678E32">
            <w:pPr>
              <w:snapToGrid w:val="0"/>
              <w:spacing w:line="360" w:lineRule="auto"/>
              <w:ind w:firstLine="465"/>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3179" w:type="dxa"/>
            <w:vAlign w:val="center"/>
          </w:tcPr>
          <w:p w14:paraId="6AB8EF4E">
            <w:pPr>
              <w:tabs>
                <w:tab w:val="left" w:pos="6300"/>
              </w:tabs>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磋商项目商务需求</w:t>
            </w:r>
          </w:p>
        </w:tc>
        <w:tc>
          <w:tcPr>
            <w:tcW w:w="2434" w:type="dxa"/>
            <w:vAlign w:val="center"/>
          </w:tcPr>
          <w:p w14:paraId="540D5056">
            <w:pPr>
              <w:tabs>
                <w:tab w:val="left" w:pos="6300"/>
              </w:tabs>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响应情况</w:t>
            </w:r>
          </w:p>
        </w:tc>
        <w:tc>
          <w:tcPr>
            <w:tcW w:w="2355" w:type="dxa"/>
            <w:vAlign w:val="center"/>
          </w:tcPr>
          <w:p w14:paraId="49FBB5F3">
            <w:pPr>
              <w:tabs>
                <w:tab w:val="left" w:pos="6300"/>
              </w:tabs>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偏离说明</w:t>
            </w:r>
          </w:p>
        </w:tc>
      </w:tr>
      <w:tr w14:paraId="3897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2E998FE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205CB7CE">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79ED87CF">
            <w:pPr>
              <w:tabs>
                <w:tab w:val="left" w:pos="6300"/>
              </w:tabs>
              <w:snapToGrid w:val="0"/>
              <w:spacing w:line="360" w:lineRule="auto"/>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提醒：请注明具体内容以及响应文件中具体内容的位置（页码）</w:t>
            </w:r>
          </w:p>
        </w:tc>
        <w:tc>
          <w:tcPr>
            <w:tcW w:w="2355" w:type="dxa"/>
            <w:vAlign w:val="center"/>
          </w:tcPr>
          <w:p w14:paraId="3F4D6E1F">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29B0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4477098D">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12D7913E">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601C05E2">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69CB8EEC">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56A7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71067C83">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23970B95">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2B0C335F">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5F007C68">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7400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0E8E0F43">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04FDA3A5">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63B344E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0484B05F">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160B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66E4D734">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6BA1DAD6">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2122473B">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571FAEC3">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58A3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00DB61D5">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3B7551C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6339C516">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169938A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bl>
    <w:p w14:paraId="4245759F">
      <w:pPr>
        <w:spacing w:line="50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                          法定代表人（或其授权代表）或自然人：</w:t>
      </w:r>
    </w:p>
    <w:p w14:paraId="4BC39666">
      <w:pPr>
        <w:spacing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678E8267">
      <w:pPr>
        <w:spacing w:line="500" w:lineRule="exact"/>
        <w:ind w:firstLine="315" w:firstLine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                                 （签署或盖章）</w:t>
      </w:r>
    </w:p>
    <w:p w14:paraId="588F64FF">
      <w:pPr>
        <w:tabs>
          <w:tab w:val="left" w:pos="6300"/>
        </w:tabs>
        <w:snapToGrid w:val="0"/>
        <w:spacing w:line="500" w:lineRule="exact"/>
        <w:ind w:firstLine="57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14:paraId="41D00E7A">
      <w:pPr>
        <w:tabs>
          <w:tab w:val="left" w:pos="6300"/>
        </w:tabs>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w:t>
      </w:r>
    </w:p>
    <w:p w14:paraId="55EB62AD">
      <w:pPr>
        <w:tabs>
          <w:tab w:val="left" w:pos="6300"/>
        </w:tabs>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1.本表即为对本项目“第三篇  项目商务需求”中所列条款进行比较和响应；</w:t>
      </w:r>
    </w:p>
    <w:p w14:paraId="63280F70">
      <w:pPr>
        <w:snapToGrid w:val="0"/>
        <w:spacing w:line="400" w:lineRule="exact"/>
        <w:ind w:firstLine="420" w:firstLineChars="200"/>
        <w:rPr>
          <w:rFonts w:ascii="微软雅黑" w:hAnsi="微软雅黑" w:eastAsia="微软雅黑" w:cs="微软雅黑"/>
          <w:b/>
          <w:color w:val="auto"/>
          <w:szCs w:val="21"/>
          <w:highlight w:val="none"/>
        </w:rPr>
        <w:sectPr>
          <w:pgSz w:w="11905" w:h="16838"/>
          <w:pgMar w:top="1134" w:right="1304" w:bottom="1134" w:left="1304" w:header="850" w:footer="992" w:gutter="0"/>
          <w:pgNumType w:fmt="numberInDash"/>
          <w:cols w:space="0" w:num="1"/>
          <w:titlePg/>
          <w:docGrid w:linePitch="380" w:charSpace="0"/>
        </w:sectPr>
      </w:pPr>
      <w:r>
        <w:rPr>
          <w:rFonts w:hint="eastAsia" w:ascii="微软雅黑" w:hAnsi="微软雅黑" w:eastAsia="微软雅黑" w:cs="微软雅黑"/>
          <w:color w:val="auto"/>
          <w:szCs w:val="21"/>
          <w:highlight w:val="none"/>
        </w:rPr>
        <w:t>2.本表可扩展。</w:t>
      </w:r>
    </w:p>
    <w:p w14:paraId="2CFCB85F">
      <w:pPr>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（二）其它优惠承诺（格式自定）</w:t>
      </w:r>
    </w:p>
    <w:p w14:paraId="16EC312D">
      <w:pPr>
        <w:pStyle w:val="4"/>
        <w:spacing w:before="0" w:after="0" w:line="440" w:lineRule="exact"/>
        <w:rPr>
          <w:rFonts w:ascii="微软雅黑" w:hAnsi="微软雅黑" w:eastAsia="微软雅黑"/>
          <w:color w:val="auto"/>
          <w:sz w:val="24"/>
          <w:highlight w:val="none"/>
        </w:rPr>
      </w:pPr>
      <w:r>
        <w:rPr>
          <w:rFonts w:ascii="微软雅黑" w:hAnsi="微软雅黑" w:eastAsia="微软雅黑"/>
          <w:b w:val="0"/>
          <w:color w:val="auto"/>
          <w:sz w:val="24"/>
          <w:highlight w:val="none"/>
        </w:rPr>
        <w:br w:type="page"/>
      </w:r>
      <w:bookmarkEnd w:id="246"/>
      <w:bookmarkStart w:id="247" w:name="_Toc23185489"/>
      <w:bookmarkStart w:id="248" w:name="_Toc76991808"/>
      <w:bookmarkStart w:id="249" w:name="_Toc313008359"/>
      <w:bookmarkStart w:id="250" w:name="_Toc30771"/>
      <w:bookmarkStart w:id="251" w:name="_Toc313888363"/>
      <w:bookmarkStart w:id="252" w:name="_Toc68251849"/>
      <w:bookmarkStart w:id="253" w:name="_Toc51687449"/>
      <w:bookmarkStart w:id="254" w:name="_Toc133144169"/>
      <w:bookmarkStart w:id="255" w:name="_Toc21339"/>
      <w:bookmarkStart w:id="256" w:name="_Toc61861463"/>
      <w:bookmarkStart w:id="257" w:name="_Toc38017615"/>
      <w:bookmarkStart w:id="258" w:name="_Toc134092495"/>
      <w:bookmarkStart w:id="259" w:name="_Toc16536"/>
      <w:bookmarkStart w:id="260" w:name="_Toc83318570"/>
      <w:bookmarkStart w:id="261" w:name="_Toc433792172"/>
      <w:bookmarkStart w:id="262" w:name="_Toc27568"/>
      <w:bookmarkStart w:id="263" w:name="_Toc11212"/>
      <w:bookmarkStart w:id="264" w:name="_Toc6818914"/>
      <w:bookmarkStart w:id="265" w:name="_Toc23251"/>
      <w:bookmarkStart w:id="266" w:name="_Toc141975526"/>
      <w:bookmarkStart w:id="267" w:name="_Toc12593"/>
      <w:bookmarkStart w:id="268" w:name="_Toc21936041"/>
      <w:bookmarkStart w:id="269" w:name="_Toc98251756"/>
      <w:bookmarkStart w:id="270" w:name="_Toc97728904"/>
      <w:bookmarkStart w:id="271" w:name="_Toc76570274"/>
      <w:bookmarkStart w:id="272" w:name="_Toc18243"/>
      <w:bookmarkStart w:id="273" w:name="_Toc97736634"/>
      <w:bookmarkStart w:id="274" w:name="_Toc49862758"/>
      <w:bookmarkStart w:id="275" w:name="_Toc23087"/>
      <w:bookmarkStart w:id="276" w:name="_Toc53438334"/>
      <w:bookmarkStart w:id="277" w:name="_Toc98257584"/>
      <w:bookmarkStart w:id="278" w:name="_Toc80610713"/>
      <w:bookmarkStart w:id="279" w:name="_Toc20656412"/>
      <w:bookmarkStart w:id="280" w:name="_Toc28967324"/>
      <w:bookmarkStart w:id="281" w:name="_Toc6260"/>
      <w:bookmarkStart w:id="282" w:name="_Toc40098037"/>
      <w:bookmarkStart w:id="283" w:name="_Toc342913422"/>
      <w:r>
        <w:rPr>
          <w:rFonts w:hint="eastAsia" w:ascii="微软雅黑" w:hAnsi="微软雅黑" w:eastAsia="微软雅黑"/>
          <w:color w:val="auto"/>
          <w:sz w:val="24"/>
          <w:highlight w:val="none"/>
        </w:rPr>
        <w:t>四、资格条件</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67B810C">
      <w:pPr>
        <w:tabs>
          <w:tab w:val="left" w:pos="6300"/>
        </w:tabs>
        <w:snapToGrid w:val="0"/>
        <w:spacing w:line="440" w:lineRule="exact"/>
        <w:ind w:firstLine="420" w:firstLineChars="200"/>
        <w:rPr>
          <w:rFonts w:ascii="微软雅黑" w:hAnsi="微软雅黑" w:eastAsia="微软雅黑"/>
          <w:color w:val="auto"/>
          <w:kern w:val="0"/>
          <w:szCs w:val="21"/>
          <w:highlight w:val="none"/>
        </w:rPr>
      </w:pPr>
      <w:r>
        <w:rPr>
          <w:rFonts w:hint="eastAsia" w:ascii="微软雅黑" w:hAnsi="微软雅黑" w:eastAsia="微软雅黑"/>
          <w:color w:val="auto"/>
          <w:kern w:val="0"/>
          <w:szCs w:val="21"/>
          <w:highlight w:val="none"/>
        </w:rPr>
        <w:t>（一）法人营业执照（副本）或事业单位法人证书（副本）或个体工商户营业执照或有效的自然人身份证明或社会团体法人登记证书复印件</w:t>
      </w:r>
    </w:p>
    <w:p w14:paraId="4089D99D">
      <w:pPr>
        <w:tabs>
          <w:tab w:val="left" w:pos="6300"/>
        </w:tabs>
        <w:snapToGrid w:val="0"/>
        <w:spacing w:line="440" w:lineRule="exact"/>
        <w:ind w:firstLine="630" w:firstLineChars="300"/>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r>
        <w:rPr>
          <w:rFonts w:hint="eastAsia" w:ascii="微软雅黑" w:hAnsi="微软雅黑" w:eastAsia="微软雅黑"/>
          <w:color w:val="auto"/>
          <w:szCs w:val="21"/>
          <w:highlight w:val="none"/>
        </w:rPr>
        <w:t>（二）法定代表人身份证明书（格式）</w:t>
      </w:r>
    </w:p>
    <w:p w14:paraId="658C6395">
      <w:pPr>
        <w:spacing w:line="440" w:lineRule="exact"/>
        <w:rPr>
          <w:rFonts w:ascii="微软雅黑" w:hAnsi="微软雅黑" w:eastAsia="微软雅黑"/>
          <w:color w:val="auto"/>
          <w:highlight w:val="none"/>
        </w:rPr>
      </w:pPr>
    </w:p>
    <w:p w14:paraId="69437527">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磋商项目名称：</w:t>
      </w:r>
      <w:r>
        <w:rPr>
          <w:rFonts w:hint="eastAsia" w:ascii="微软雅黑" w:hAnsi="微软雅黑" w:eastAsia="微软雅黑"/>
          <w:color w:val="auto"/>
          <w:szCs w:val="21"/>
          <w:highlight w:val="none"/>
          <w:u w:val="single"/>
        </w:rPr>
        <w:t xml:space="preserve">                                </w:t>
      </w:r>
    </w:p>
    <w:p w14:paraId="6D3032FB">
      <w:pPr>
        <w:tabs>
          <w:tab w:val="left" w:pos="6300"/>
        </w:tabs>
        <w:snapToGrid w:val="0"/>
        <w:spacing w:line="440" w:lineRule="exact"/>
        <w:ind w:firstLine="570"/>
        <w:rPr>
          <w:rFonts w:ascii="微软雅黑" w:hAnsi="微软雅黑" w:eastAsia="微软雅黑"/>
          <w:color w:val="auto"/>
          <w:szCs w:val="21"/>
          <w:highlight w:val="none"/>
        </w:rPr>
      </w:pPr>
    </w:p>
    <w:p w14:paraId="6C34544A">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（采购代理机构名称）：</w:t>
      </w:r>
    </w:p>
    <w:p w14:paraId="16B569E8">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（法定代表人姓名）在</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（供应商名称）任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（职务名称）职务，是（供应商名称）</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的法定代表人。</w:t>
      </w:r>
    </w:p>
    <w:p w14:paraId="44CD1B3D">
      <w:pPr>
        <w:tabs>
          <w:tab w:val="left" w:pos="6300"/>
        </w:tabs>
        <w:snapToGrid w:val="0"/>
        <w:spacing w:line="440" w:lineRule="exact"/>
        <w:ind w:firstLine="570"/>
        <w:rPr>
          <w:rFonts w:ascii="微软雅黑" w:hAnsi="微软雅黑" w:eastAsia="微软雅黑"/>
          <w:color w:val="auto"/>
          <w:szCs w:val="21"/>
          <w:highlight w:val="none"/>
        </w:rPr>
      </w:pPr>
    </w:p>
    <w:p w14:paraId="7D292E8C">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特此证明。</w:t>
      </w:r>
    </w:p>
    <w:p w14:paraId="21181F3D">
      <w:pPr>
        <w:tabs>
          <w:tab w:val="left" w:pos="6300"/>
        </w:tabs>
        <w:snapToGrid w:val="0"/>
        <w:spacing w:line="440" w:lineRule="exact"/>
        <w:ind w:firstLine="570"/>
        <w:rPr>
          <w:rFonts w:ascii="微软雅黑" w:hAnsi="微软雅黑" w:eastAsia="微软雅黑"/>
          <w:color w:val="auto"/>
          <w:szCs w:val="21"/>
          <w:highlight w:val="none"/>
        </w:rPr>
      </w:pPr>
    </w:p>
    <w:p w14:paraId="05C39461">
      <w:pPr>
        <w:tabs>
          <w:tab w:val="left" w:pos="6300"/>
        </w:tabs>
        <w:snapToGrid w:val="0"/>
        <w:spacing w:line="440" w:lineRule="exact"/>
        <w:ind w:firstLine="570"/>
        <w:rPr>
          <w:rFonts w:ascii="微软雅黑" w:hAnsi="微软雅黑" w:eastAsia="微软雅黑"/>
          <w:color w:val="auto"/>
          <w:szCs w:val="21"/>
          <w:highlight w:val="none"/>
        </w:rPr>
      </w:pPr>
    </w:p>
    <w:p w14:paraId="62224BA7">
      <w:pPr>
        <w:tabs>
          <w:tab w:val="left" w:pos="6300"/>
        </w:tabs>
        <w:snapToGrid w:val="0"/>
        <w:spacing w:line="440" w:lineRule="exact"/>
        <w:ind w:firstLine="570"/>
        <w:rPr>
          <w:rFonts w:ascii="微软雅黑" w:hAnsi="微软雅黑" w:eastAsia="微软雅黑"/>
          <w:color w:val="auto"/>
          <w:szCs w:val="21"/>
          <w:highlight w:val="none"/>
        </w:rPr>
      </w:pPr>
    </w:p>
    <w:p w14:paraId="55208E53">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（供应商公章）</w:t>
      </w:r>
    </w:p>
    <w:p w14:paraId="3752A94B">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14:paraId="3AAABD28">
      <w:pPr>
        <w:pStyle w:val="5"/>
        <w:rPr>
          <w:rFonts w:ascii="微软雅黑" w:hAnsi="微软雅黑" w:eastAsia="微软雅黑"/>
          <w:color w:val="auto"/>
          <w:highlight w:val="none"/>
        </w:rPr>
      </w:pPr>
    </w:p>
    <w:p w14:paraId="292FF196">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法定代表人电话：XXXXXXX      电子邮箱：XXXXXX@XXXXX（若授权他人办理并签署响应文件的可不填写）</w:t>
      </w:r>
    </w:p>
    <w:p w14:paraId="78E61DDB">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（附：法定代表人身份证正反面复印件）</w:t>
      </w:r>
    </w:p>
    <w:p w14:paraId="567129F3">
      <w:pPr>
        <w:tabs>
          <w:tab w:val="left" w:pos="6300"/>
        </w:tabs>
        <w:snapToGrid w:val="0"/>
        <w:spacing w:line="440" w:lineRule="exact"/>
        <w:rPr>
          <w:rFonts w:ascii="微软雅黑" w:hAnsi="微软雅黑" w:eastAsia="微软雅黑"/>
          <w:color w:val="auto"/>
          <w:szCs w:val="21"/>
          <w:highlight w:val="none"/>
        </w:rPr>
      </w:pPr>
    </w:p>
    <w:p w14:paraId="1B0048EC">
      <w:pPr>
        <w:tabs>
          <w:tab w:val="left" w:pos="6300"/>
        </w:tabs>
        <w:snapToGrid w:val="0"/>
        <w:spacing w:line="440" w:lineRule="exact"/>
        <w:rPr>
          <w:rFonts w:ascii="微软雅黑" w:hAnsi="微软雅黑" w:eastAsia="微软雅黑"/>
          <w:color w:val="auto"/>
          <w:szCs w:val="21"/>
          <w:highlight w:val="none"/>
        </w:rPr>
      </w:pPr>
    </w:p>
    <w:p w14:paraId="1FC77936">
      <w:pPr>
        <w:spacing w:line="440" w:lineRule="exact"/>
        <w:rPr>
          <w:rFonts w:ascii="微软雅黑" w:hAnsi="微软雅黑" w:eastAsia="微软雅黑"/>
          <w:color w:val="auto"/>
          <w:szCs w:val="21"/>
          <w:highlight w:val="none"/>
        </w:rPr>
      </w:pPr>
      <w:r>
        <w:rPr>
          <w:rFonts w:ascii="微软雅黑" w:hAnsi="微软雅黑" w:eastAsia="微软雅黑"/>
          <w:color w:val="auto"/>
          <w:highlight w:val="none"/>
        </w:rPr>
        <w:br w:type="page"/>
      </w:r>
      <w:r>
        <w:rPr>
          <w:rFonts w:hint="eastAsia" w:ascii="微软雅黑" w:hAnsi="微软雅黑" w:eastAsia="微软雅黑"/>
          <w:color w:val="auto"/>
          <w:szCs w:val="21"/>
          <w:highlight w:val="none"/>
        </w:rPr>
        <w:t>（三）法定代表人授权委托书（格式）</w:t>
      </w:r>
    </w:p>
    <w:p w14:paraId="0F85D005">
      <w:pPr>
        <w:tabs>
          <w:tab w:val="left" w:pos="6300"/>
        </w:tabs>
        <w:snapToGrid w:val="0"/>
        <w:spacing w:line="440" w:lineRule="exact"/>
        <w:rPr>
          <w:rFonts w:ascii="微软雅黑" w:hAnsi="微软雅黑" w:eastAsia="微软雅黑"/>
          <w:color w:val="auto"/>
          <w:szCs w:val="21"/>
          <w:highlight w:val="none"/>
        </w:rPr>
      </w:pPr>
    </w:p>
    <w:p w14:paraId="13BA6E3D">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磋商项目名称：_______________</w:t>
      </w:r>
    </w:p>
    <w:p w14:paraId="710C0120">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致：_____________________（采购代理机构名称）</w:t>
      </w:r>
    </w:p>
    <w:p w14:paraId="3C34EAB7">
      <w:pPr>
        <w:tabs>
          <w:tab w:val="left" w:pos="6300"/>
        </w:tabs>
        <w:snapToGrid w:val="0"/>
        <w:spacing w:line="440" w:lineRule="exact"/>
        <w:ind w:firstLine="555"/>
        <w:rPr>
          <w:rFonts w:ascii="微软雅黑" w:hAnsi="微软雅黑" w:eastAsia="微软雅黑"/>
          <w:color w:val="auto"/>
          <w:szCs w:val="21"/>
          <w:highlight w:val="none"/>
        </w:rPr>
      </w:pPr>
      <w:r>
        <w:rPr>
          <w:rFonts w:hint="eastAsia" w:ascii="微软雅黑" w:hAnsi="微软雅黑" w:eastAsia="微软雅黑"/>
          <w:color w:val="auto"/>
          <w:szCs w:val="21"/>
          <w:highlight w:val="none"/>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0E2C4397">
      <w:pPr>
        <w:tabs>
          <w:tab w:val="left" w:pos="6300"/>
        </w:tabs>
        <w:snapToGrid w:val="0"/>
        <w:spacing w:line="440" w:lineRule="exact"/>
        <w:ind w:firstLine="555"/>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我单位对被授权人的签字负全部责任。</w:t>
      </w:r>
    </w:p>
    <w:p w14:paraId="118C23DA">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在撤消授权的书面通知以前，本授权书一直有效。被授权人在授权书有效期内签署的所有文件不因授权的撤销而失效。</w:t>
      </w:r>
    </w:p>
    <w:p w14:paraId="47B113EB">
      <w:pPr>
        <w:tabs>
          <w:tab w:val="left" w:pos="6300"/>
        </w:tabs>
        <w:snapToGrid w:val="0"/>
        <w:spacing w:line="440" w:lineRule="exact"/>
        <w:rPr>
          <w:rFonts w:ascii="微软雅黑" w:hAnsi="微软雅黑" w:eastAsia="微软雅黑"/>
          <w:color w:val="auto"/>
          <w:szCs w:val="21"/>
          <w:highlight w:val="none"/>
        </w:rPr>
      </w:pPr>
    </w:p>
    <w:p w14:paraId="5CDC67B1">
      <w:pPr>
        <w:tabs>
          <w:tab w:val="left" w:pos="6300"/>
        </w:tabs>
        <w:snapToGrid w:val="0"/>
        <w:spacing w:line="440" w:lineRule="exact"/>
        <w:rPr>
          <w:rFonts w:ascii="微软雅黑" w:hAnsi="微软雅黑" w:eastAsia="微软雅黑"/>
          <w:color w:val="auto"/>
          <w:szCs w:val="21"/>
          <w:highlight w:val="none"/>
        </w:rPr>
      </w:pPr>
    </w:p>
    <w:p w14:paraId="4CBA429A">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被授权人：                                  供应商法定代表人：</w:t>
      </w:r>
    </w:p>
    <w:p w14:paraId="244A67CD">
      <w:pPr>
        <w:tabs>
          <w:tab w:val="left" w:pos="6300"/>
        </w:tabs>
        <w:snapToGrid w:val="0"/>
        <w:spacing w:line="440" w:lineRule="exact"/>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（签署或盖章）                                （签署或盖章）：</w:t>
      </w:r>
    </w:p>
    <w:p w14:paraId="769071A4">
      <w:pPr>
        <w:tabs>
          <w:tab w:val="left" w:pos="6300"/>
        </w:tabs>
        <w:snapToGrid w:val="0"/>
        <w:spacing w:line="440" w:lineRule="exact"/>
        <w:ind w:firstLine="570"/>
        <w:rPr>
          <w:rFonts w:ascii="微软雅黑" w:hAnsi="微软雅黑" w:eastAsia="微软雅黑"/>
          <w:color w:val="auto"/>
          <w:szCs w:val="21"/>
          <w:highlight w:val="none"/>
        </w:rPr>
      </w:pPr>
    </w:p>
    <w:p w14:paraId="780CAB02">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（附：被授权人身份证复印件）</w:t>
      </w:r>
    </w:p>
    <w:p w14:paraId="5D080CE7">
      <w:pPr>
        <w:tabs>
          <w:tab w:val="left" w:pos="6300"/>
        </w:tabs>
        <w:snapToGrid w:val="0"/>
        <w:spacing w:line="440" w:lineRule="exact"/>
        <w:rPr>
          <w:rFonts w:ascii="微软雅黑" w:hAnsi="微软雅黑" w:eastAsia="微软雅黑"/>
          <w:color w:val="auto"/>
          <w:szCs w:val="21"/>
          <w:highlight w:val="none"/>
        </w:rPr>
      </w:pPr>
    </w:p>
    <w:p w14:paraId="7FF820AB">
      <w:pPr>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（供应商公章）</w:t>
      </w:r>
    </w:p>
    <w:p w14:paraId="1C548182">
      <w:pPr>
        <w:snapToGrid w:val="0"/>
        <w:spacing w:line="440" w:lineRule="exact"/>
        <w:ind w:firstLine="5670" w:firstLineChars="27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年   月   日</w:t>
      </w:r>
    </w:p>
    <w:p w14:paraId="7A8184BD">
      <w:pPr>
        <w:tabs>
          <w:tab w:val="left" w:pos="6300"/>
        </w:tabs>
        <w:snapToGrid w:val="0"/>
        <w:spacing w:line="440" w:lineRule="exact"/>
        <w:ind w:firstLine="525" w:firstLineChars="2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被授权人电话：XXXXXXX     电子邮箱：XXXXXX@XXXXX（若法定代表人办理并签署响应文件的可不填写）</w:t>
      </w:r>
    </w:p>
    <w:p w14:paraId="0D4F6125">
      <w:pPr>
        <w:tabs>
          <w:tab w:val="left" w:pos="6300"/>
        </w:tabs>
        <w:snapToGrid w:val="0"/>
        <w:spacing w:line="440" w:lineRule="exact"/>
        <w:ind w:firstLine="525" w:firstLineChars="250"/>
        <w:rPr>
          <w:rFonts w:ascii="微软雅黑" w:hAnsi="微软雅黑" w:eastAsia="微软雅黑"/>
          <w:color w:val="auto"/>
          <w:szCs w:val="21"/>
          <w:highlight w:val="none"/>
        </w:rPr>
      </w:pPr>
    </w:p>
    <w:p w14:paraId="1A5F5688">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注：若为法定代表人办理并签署响应文件的，不提供此文件。</w:t>
      </w:r>
    </w:p>
    <w:p w14:paraId="0CDD3C19">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br w:type="page"/>
      </w:r>
      <w:r>
        <w:rPr>
          <w:rFonts w:hint="eastAsia" w:ascii="微软雅黑" w:hAnsi="微软雅黑" w:eastAsia="微软雅黑"/>
          <w:b/>
          <w:bCs/>
          <w:color w:val="auto"/>
          <w:szCs w:val="21"/>
          <w:highlight w:val="none"/>
        </w:rPr>
        <w:t>（四）基本资格条件承诺函（格式）</w:t>
      </w:r>
    </w:p>
    <w:p w14:paraId="28F72084">
      <w:pPr>
        <w:tabs>
          <w:tab w:val="left" w:pos="6300"/>
        </w:tabs>
        <w:snapToGrid w:val="0"/>
        <w:spacing w:line="530" w:lineRule="exact"/>
        <w:jc w:val="center"/>
        <w:rPr>
          <w:rFonts w:ascii="微软雅黑" w:hAnsi="微软雅黑" w:eastAsia="微软雅黑" w:cs="微软雅黑"/>
          <w:color w:val="auto"/>
          <w:sz w:val="36"/>
          <w:szCs w:val="36"/>
          <w:highlight w:val="none"/>
        </w:rPr>
      </w:pPr>
    </w:p>
    <w:p w14:paraId="61E08F4F">
      <w:pPr>
        <w:tabs>
          <w:tab w:val="left" w:pos="6300"/>
        </w:tabs>
        <w:snapToGrid w:val="0"/>
        <w:spacing w:line="530" w:lineRule="exact"/>
        <w:jc w:val="center"/>
        <w:rPr>
          <w:rFonts w:ascii="微软雅黑" w:hAnsi="微软雅黑" w:eastAsia="微软雅黑" w:cs="微软雅黑"/>
          <w:color w:val="auto"/>
          <w:sz w:val="44"/>
          <w:highlight w:val="none"/>
        </w:rPr>
      </w:pPr>
      <w:r>
        <w:rPr>
          <w:rFonts w:hint="eastAsia" w:ascii="微软雅黑" w:hAnsi="微软雅黑" w:eastAsia="微软雅黑" w:cs="微软雅黑"/>
          <w:color w:val="auto"/>
          <w:sz w:val="36"/>
          <w:szCs w:val="36"/>
          <w:highlight w:val="none"/>
        </w:rPr>
        <w:t>基本资格条件承诺函</w:t>
      </w:r>
    </w:p>
    <w:p w14:paraId="6340F68D">
      <w:pPr>
        <w:tabs>
          <w:tab w:val="left" w:pos="6300"/>
        </w:tabs>
        <w:snapToGrid w:val="0"/>
        <w:spacing w:line="530" w:lineRule="exact"/>
        <w:rPr>
          <w:rFonts w:ascii="微软雅黑" w:hAnsi="微软雅黑" w:eastAsia="微软雅黑" w:cs="微软雅黑"/>
          <w:color w:val="auto"/>
          <w:sz w:val="24"/>
          <w:highlight w:val="none"/>
        </w:rPr>
      </w:pPr>
    </w:p>
    <w:p w14:paraId="2DF7648F">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（采购代理机构名称）：</w:t>
      </w:r>
    </w:p>
    <w:p w14:paraId="1BB8A37C">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（供应商名称）郑重承诺：</w:t>
      </w:r>
    </w:p>
    <w:p w14:paraId="748AD947">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Cs w:val="21"/>
          <w:highlight w:val="none"/>
          <w:lang w:val="zh-CN"/>
        </w:rPr>
        <w:t>有依法缴纳税收和社会保障金的良好记录</w:t>
      </w:r>
      <w:r>
        <w:rPr>
          <w:rFonts w:hint="eastAsia" w:ascii="微软雅黑" w:hAnsi="微软雅黑" w:eastAsia="微软雅黑" w:cs="微软雅黑"/>
          <w:color w:val="auto"/>
          <w:szCs w:val="21"/>
          <w:highlight w:val="none"/>
        </w:rPr>
        <w:t>，参加本项目采购活动前三年内无重大违法活动记录。</w:t>
      </w:r>
    </w:p>
    <w:p w14:paraId="792AF79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2.我方未列入在信用中国网站（www.creditchina.gov.cn）“失信被执行人”、“重大税收违法案件当事人名单”中，也未列入中国政府采购网（www.ccgp.gov.cn）“政府采购严重违法失信行为记录名单”中。</w:t>
      </w:r>
    </w:p>
    <w:p w14:paraId="5A9D9D8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3.我方在采购项目评审（评标）环节结束后，随时接受采购人、采购代理机构的检查验证，配合提供相关证明材料，证明符合《中华人民共和国政府采购法》规定的供应商基本资格条件。</w:t>
      </w:r>
    </w:p>
    <w:p w14:paraId="4F1A3EFF">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我方对以上承诺负全部法律责任。</w:t>
      </w:r>
    </w:p>
    <w:p w14:paraId="168FB7FA">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特此承诺。</w:t>
      </w:r>
    </w:p>
    <w:p w14:paraId="63C61EBD">
      <w:pPr>
        <w:tabs>
          <w:tab w:val="left" w:pos="6300"/>
        </w:tabs>
        <w:snapToGrid w:val="0"/>
        <w:spacing w:line="440" w:lineRule="exact"/>
        <w:ind w:firstLine="420" w:firstLineChars="200"/>
        <w:rPr>
          <w:rFonts w:ascii="微软雅黑" w:hAnsi="微软雅黑" w:eastAsia="微软雅黑" w:cs="微软雅黑"/>
          <w:color w:val="auto"/>
          <w:szCs w:val="21"/>
          <w:highlight w:val="none"/>
        </w:rPr>
      </w:pPr>
    </w:p>
    <w:p w14:paraId="20BA6BE1">
      <w:pPr>
        <w:tabs>
          <w:tab w:val="left" w:pos="6300"/>
        </w:tabs>
        <w:snapToGrid w:val="0"/>
        <w:spacing w:line="440" w:lineRule="exact"/>
        <w:ind w:firstLine="420" w:firstLineChars="200"/>
        <w:jc w:val="righ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w:t>
      </w:r>
    </w:p>
    <w:p w14:paraId="1AE24B6B">
      <w:pPr>
        <w:tabs>
          <w:tab w:val="left" w:pos="6300"/>
        </w:tabs>
        <w:snapToGrid w:val="0"/>
        <w:spacing w:line="440" w:lineRule="exact"/>
        <w:ind w:right="360" w:firstLine="420" w:firstLineChars="200"/>
        <w:jc w:val="right"/>
        <w:rPr>
          <w:rFonts w:ascii="微软雅黑" w:hAnsi="微软雅黑" w:eastAsia="微软雅黑"/>
          <w:color w:val="auto"/>
          <w:szCs w:val="21"/>
          <w:highlight w:val="none"/>
        </w:rPr>
      </w:pPr>
      <w:r>
        <w:rPr>
          <w:rFonts w:hint="eastAsia" w:ascii="微软雅黑" w:hAnsi="微软雅黑" w:eastAsia="微软雅黑" w:cs="微软雅黑"/>
          <w:color w:val="auto"/>
          <w:szCs w:val="21"/>
          <w:highlight w:val="none"/>
        </w:rPr>
        <w:t>年   月   日</w:t>
      </w:r>
    </w:p>
    <w:p w14:paraId="674AB9B8">
      <w:pPr>
        <w:spacing w:line="440" w:lineRule="exact"/>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br w:type="page"/>
      </w:r>
      <w:r>
        <w:rPr>
          <w:rFonts w:hint="eastAsia" w:ascii="微软雅黑" w:hAnsi="微软雅黑" w:eastAsia="微软雅黑"/>
          <w:color w:val="auto"/>
          <w:szCs w:val="21"/>
          <w:highlight w:val="none"/>
        </w:rPr>
        <w:t>（五）特定资格条件证明文件</w:t>
      </w:r>
    </w:p>
    <w:p w14:paraId="50E37CCA">
      <w:pPr>
        <w:pStyle w:val="19"/>
        <w:spacing w:line="440" w:lineRule="exact"/>
        <w:ind w:left="0" w:leftChars="0" w:firstLine="0" w:firstLineChars="0"/>
        <w:jc w:val="left"/>
        <w:rPr>
          <w:rFonts w:ascii="微软雅黑" w:hAnsi="微软雅黑" w:eastAsia="微软雅黑"/>
          <w:color w:val="auto"/>
          <w:szCs w:val="21"/>
          <w:highlight w:val="none"/>
        </w:rPr>
      </w:pPr>
    </w:p>
    <w:p w14:paraId="58F68B00">
      <w:pPr>
        <w:pStyle w:val="19"/>
        <w:spacing w:line="440" w:lineRule="exact"/>
        <w:ind w:left="0" w:leftChars="0" w:firstLine="0" w:firstLineChars="0"/>
        <w:jc w:val="left"/>
        <w:rPr>
          <w:rFonts w:ascii="微软雅黑" w:hAnsi="微软雅黑" w:eastAsia="微软雅黑"/>
          <w:color w:val="auto"/>
          <w:szCs w:val="21"/>
          <w:highlight w:val="none"/>
        </w:rPr>
      </w:pPr>
    </w:p>
    <w:p w14:paraId="74F5D05D">
      <w:pPr>
        <w:spacing w:line="440" w:lineRule="exact"/>
        <w:jc w:val="left"/>
        <w:rPr>
          <w:rFonts w:ascii="微软雅黑" w:hAnsi="微软雅黑" w:eastAsia="微软雅黑"/>
          <w:color w:val="auto"/>
          <w:szCs w:val="21"/>
          <w:highlight w:val="none"/>
        </w:rPr>
      </w:pPr>
    </w:p>
    <w:p w14:paraId="087271B5">
      <w:pPr>
        <w:spacing w:line="440" w:lineRule="exact"/>
        <w:jc w:val="left"/>
        <w:rPr>
          <w:rFonts w:ascii="微软雅黑" w:hAnsi="微软雅黑" w:eastAsia="微软雅黑"/>
          <w:color w:val="auto"/>
          <w:szCs w:val="21"/>
          <w:highlight w:val="none"/>
        </w:rPr>
      </w:pPr>
    </w:p>
    <w:p w14:paraId="57284135">
      <w:pPr>
        <w:spacing w:line="440" w:lineRule="exact"/>
        <w:jc w:val="left"/>
        <w:rPr>
          <w:rFonts w:ascii="微软雅黑" w:hAnsi="微软雅黑" w:eastAsia="微软雅黑"/>
          <w:color w:val="auto"/>
          <w:szCs w:val="21"/>
          <w:highlight w:val="none"/>
        </w:rPr>
      </w:pPr>
    </w:p>
    <w:p w14:paraId="608F5DBC">
      <w:pPr>
        <w:spacing w:line="440" w:lineRule="exact"/>
        <w:ind w:firstLine="210" w:firstLineChars="100"/>
        <w:jc w:val="left"/>
        <w:rPr>
          <w:rFonts w:ascii="微软雅黑" w:hAnsi="微软雅黑" w:eastAsia="微软雅黑"/>
          <w:color w:val="auto"/>
          <w:szCs w:val="21"/>
          <w:highlight w:val="none"/>
        </w:rPr>
      </w:pPr>
    </w:p>
    <w:p w14:paraId="1EB8CB17">
      <w:pPr>
        <w:pStyle w:val="4"/>
        <w:numPr>
          <w:ilvl w:val="0"/>
          <w:numId w:val="5"/>
        </w:numPr>
        <w:spacing w:before="0" w:after="0" w:line="440" w:lineRule="exact"/>
        <w:rPr>
          <w:rFonts w:ascii="微软雅黑" w:hAnsi="微软雅黑" w:eastAsia="微软雅黑"/>
          <w:color w:val="auto"/>
          <w:sz w:val="24"/>
          <w:highlight w:val="none"/>
        </w:rPr>
      </w:pPr>
      <w:r>
        <w:rPr>
          <w:rFonts w:ascii="微软雅黑" w:hAnsi="微软雅黑" w:eastAsia="微软雅黑"/>
          <w:color w:val="auto"/>
          <w:sz w:val="21"/>
          <w:szCs w:val="21"/>
          <w:highlight w:val="none"/>
        </w:rPr>
        <w:br w:type="page"/>
      </w:r>
      <w:bookmarkStart w:id="284" w:name="_Toc7146"/>
      <w:bookmarkStart w:id="285" w:name="_Toc20184"/>
      <w:bookmarkStart w:id="286" w:name="_Toc106030910"/>
      <w:bookmarkStart w:id="287" w:name="_Toc76462354"/>
      <w:bookmarkStart w:id="288" w:name="_Toc134092496"/>
      <w:bookmarkStart w:id="289" w:name="_Toc133144170"/>
      <w:bookmarkStart w:id="290" w:name="_Toc22136"/>
      <w:bookmarkStart w:id="291" w:name="_Toc20423"/>
      <w:bookmarkStart w:id="292" w:name="_Toc120450930"/>
      <w:bookmarkStart w:id="293" w:name="_Toc141975527"/>
      <w:bookmarkStart w:id="294" w:name="_Toc111115726"/>
      <w:bookmarkStart w:id="295" w:name="_Toc30537"/>
      <w:r>
        <w:rPr>
          <w:rFonts w:hint="eastAsia" w:ascii="微软雅黑" w:hAnsi="微软雅黑" w:eastAsia="微软雅黑"/>
          <w:color w:val="auto"/>
          <w:sz w:val="24"/>
          <w:highlight w:val="none"/>
        </w:rPr>
        <w:t>其他资料</w:t>
      </w:r>
      <w:bookmarkEnd w:id="284"/>
      <w:bookmarkEnd w:id="285"/>
      <w:bookmarkEnd w:id="286"/>
      <w:bookmarkEnd w:id="287"/>
      <w:bookmarkEnd w:id="288"/>
      <w:bookmarkEnd w:id="289"/>
      <w:bookmarkEnd w:id="290"/>
      <w:bookmarkEnd w:id="291"/>
      <w:bookmarkEnd w:id="292"/>
      <w:bookmarkEnd w:id="293"/>
      <w:bookmarkEnd w:id="294"/>
      <w:bookmarkEnd w:id="295"/>
    </w:p>
    <w:p w14:paraId="6661C571">
      <w:pPr>
        <w:tabs>
          <w:tab w:val="left" w:pos="6300"/>
        </w:tabs>
        <w:snapToGrid w:val="0"/>
        <w:spacing w:line="440" w:lineRule="exact"/>
        <w:ind w:firstLine="56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（一）中小企业声明函、监狱企业证明文件、残疾人福利性单位声明函</w:t>
      </w:r>
    </w:p>
    <w:p w14:paraId="3BC65260">
      <w:pPr>
        <w:tabs>
          <w:tab w:val="left" w:pos="6300"/>
        </w:tabs>
        <w:snapToGrid w:val="0"/>
        <w:spacing w:line="500" w:lineRule="exact"/>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中小企业声明函（服务类）</w:t>
      </w:r>
    </w:p>
    <w:p w14:paraId="713251E1">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本公司郑重声明，根据《政府采购促进中小企业发展管理办法》（财库〔2020〕46号）的规定，本公司参加</w:t>
      </w:r>
      <w:r>
        <w:rPr>
          <w:rFonts w:hint="eastAsia" w:ascii="微软雅黑" w:hAnsi="微软雅黑" w:eastAsia="微软雅黑"/>
          <w:i/>
          <w:color w:val="auto"/>
          <w:szCs w:val="21"/>
          <w:highlight w:val="none"/>
          <w:u w:val="single"/>
        </w:rPr>
        <w:t>（单位名称）</w:t>
      </w:r>
      <w:r>
        <w:rPr>
          <w:rFonts w:hint="eastAsia" w:ascii="微软雅黑" w:hAnsi="微软雅黑" w:eastAsia="微软雅黑"/>
          <w:color w:val="auto"/>
          <w:szCs w:val="21"/>
          <w:highlight w:val="none"/>
        </w:rPr>
        <w:t>的</w:t>
      </w:r>
      <w:r>
        <w:rPr>
          <w:rFonts w:hint="eastAsia" w:ascii="微软雅黑" w:hAnsi="微软雅黑" w:eastAsia="微软雅黑"/>
          <w:i/>
          <w:color w:val="auto"/>
          <w:szCs w:val="21"/>
          <w:highlight w:val="none"/>
          <w:u w:val="single"/>
        </w:rPr>
        <w:t>（项目名称）</w:t>
      </w:r>
      <w:r>
        <w:rPr>
          <w:rFonts w:hint="eastAsia" w:ascii="微软雅黑" w:hAnsi="微软雅黑" w:eastAsia="微软雅黑"/>
          <w:color w:val="auto"/>
          <w:szCs w:val="21"/>
          <w:highlight w:val="none"/>
        </w:rPr>
        <w:t>采购活动，服务全部由符合政策要求的中小企业承接。相关企业的具体情况如下：</w:t>
      </w:r>
    </w:p>
    <w:p w14:paraId="6EB51BFA">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r>
        <w:rPr>
          <w:rFonts w:hint="eastAsia" w:ascii="微软雅黑" w:hAnsi="微软雅黑" w:eastAsia="微软雅黑"/>
          <w:i/>
          <w:color w:val="auto"/>
          <w:szCs w:val="21"/>
          <w:highlight w:val="none"/>
          <w:u w:val="single"/>
        </w:rPr>
        <w:t>（标的名称）</w:t>
      </w:r>
      <w:r>
        <w:rPr>
          <w:rFonts w:hint="eastAsia" w:ascii="微软雅黑" w:hAnsi="微软雅黑" w:eastAsia="微软雅黑"/>
          <w:color w:val="auto"/>
          <w:szCs w:val="21"/>
          <w:highlight w:val="none"/>
        </w:rPr>
        <w:t>，属于</w:t>
      </w:r>
      <w:r>
        <w:rPr>
          <w:rFonts w:hint="eastAsia" w:ascii="微软雅黑" w:hAnsi="微软雅黑" w:eastAsia="微软雅黑"/>
          <w:i/>
          <w:color w:val="auto"/>
          <w:szCs w:val="21"/>
          <w:highlight w:val="none"/>
          <w:u w:val="single"/>
        </w:rPr>
        <w:t>（采购文件中明确的所属行业）</w:t>
      </w:r>
      <w:r>
        <w:rPr>
          <w:rFonts w:hint="eastAsia" w:ascii="微软雅黑" w:hAnsi="微软雅黑" w:eastAsia="微软雅黑"/>
          <w:color w:val="auto"/>
          <w:szCs w:val="21"/>
          <w:highlight w:val="none"/>
        </w:rPr>
        <w:t>；承接企业为</w:t>
      </w:r>
      <w:r>
        <w:rPr>
          <w:rFonts w:hint="eastAsia" w:ascii="微软雅黑" w:hAnsi="微软雅黑" w:eastAsia="微软雅黑"/>
          <w:i/>
          <w:color w:val="auto"/>
          <w:szCs w:val="21"/>
          <w:highlight w:val="none"/>
          <w:u w:val="single"/>
        </w:rPr>
        <w:t>（企业名称）</w:t>
      </w:r>
      <w:r>
        <w:rPr>
          <w:rFonts w:hint="eastAsia" w:ascii="微软雅黑" w:hAnsi="微软雅黑" w:eastAsia="微软雅黑"/>
          <w:color w:val="auto"/>
          <w:szCs w:val="21"/>
          <w:highlight w:val="none"/>
        </w:rPr>
        <w:t>，从业人员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人，营业收入为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万元，资产总额为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万元，属于</w:t>
      </w:r>
      <w:r>
        <w:rPr>
          <w:rFonts w:hint="eastAsia" w:ascii="微软雅黑" w:hAnsi="微软雅黑" w:eastAsia="微软雅黑"/>
          <w:i/>
          <w:color w:val="auto"/>
          <w:szCs w:val="21"/>
          <w:highlight w:val="none"/>
          <w:u w:val="single"/>
        </w:rPr>
        <w:t>（中型企业、小型企业、微型企业）</w:t>
      </w:r>
      <w:r>
        <w:rPr>
          <w:rFonts w:hint="eastAsia" w:ascii="微软雅黑" w:hAnsi="微软雅黑" w:eastAsia="微软雅黑"/>
          <w:color w:val="auto"/>
          <w:szCs w:val="21"/>
          <w:highlight w:val="none"/>
        </w:rPr>
        <w:t>；</w:t>
      </w:r>
    </w:p>
    <w:p w14:paraId="7D717A18">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为本标的提供的服务人员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人，其中与本企业签订劳动合同</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人，其他人员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人。有其他人员的不符合中小企业扶持政策（适用于服务采购项目）；</w:t>
      </w:r>
    </w:p>
    <w:p w14:paraId="4397C0B2">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r>
        <w:rPr>
          <w:rFonts w:hint="eastAsia" w:ascii="微软雅黑" w:hAnsi="微软雅黑" w:eastAsia="微软雅黑"/>
          <w:i/>
          <w:color w:val="auto"/>
          <w:szCs w:val="21"/>
          <w:highlight w:val="none"/>
          <w:u w:val="single"/>
        </w:rPr>
        <w:t xml:space="preserve"> （标的名称）</w:t>
      </w:r>
      <w:r>
        <w:rPr>
          <w:rFonts w:hint="eastAsia" w:ascii="微软雅黑" w:hAnsi="微软雅黑" w:eastAsia="微软雅黑"/>
          <w:color w:val="auto"/>
          <w:szCs w:val="21"/>
          <w:highlight w:val="none"/>
        </w:rPr>
        <w:t>，属于</w:t>
      </w:r>
      <w:r>
        <w:rPr>
          <w:rFonts w:hint="eastAsia" w:ascii="微软雅黑" w:hAnsi="微软雅黑" w:eastAsia="微软雅黑"/>
          <w:i/>
          <w:color w:val="auto"/>
          <w:szCs w:val="21"/>
          <w:highlight w:val="none"/>
          <w:u w:val="single"/>
        </w:rPr>
        <w:t>（采购文件中明确的所属行业）</w:t>
      </w:r>
      <w:r>
        <w:rPr>
          <w:rFonts w:hint="eastAsia" w:ascii="微软雅黑" w:hAnsi="微软雅黑" w:eastAsia="微软雅黑"/>
          <w:color w:val="auto"/>
          <w:szCs w:val="21"/>
          <w:highlight w:val="none"/>
        </w:rPr>
        <w:t>；承接企业为</w:t>
      </w:r>
      <w:r>
        <w:rPr>
          <w:rFonts w:hint="eastAsia" w:ascii="微软雅黑" w:hAnsi="微软雅黑" w:eastAsia="微软雅黑"/>
          <w:i/>
          <w:color w:val="auto"/>
          <w:szCs w:val="21"/>
          <w:highlight w:val="none"/>
          <w:u w:val="single"/>
        </w:rPr>
        <w:t>（企业名称）</w:t>
      </w:r>
      <w:r>
        <w:rPr>
          <w:rFonts w:hint="eastAsia" w:ascii="微软雅黑" w:hAnsi="微软雅黑" w:eastAsia="微软雅黑"/>
          <w:color w:val="auto"/>
          <w:szCs w:val="21"/>
          <w:highlight w:val="none"/>
        </w:rPr>
        <w:t>，从业人员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人，营业收入为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万元，资产总额为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万元，属于</w:t>
      </w:r>
      <w:r>
        <w:rPr>
          <w:rFonts w:hint="eastAsia" w:ascii="微软雅黑" w:hAnsi="微软雅黑" w:eastAsia="微软雅黑"/>
          <w:i/>
          <w:color w:val="auto"/>
          <w:szCs w:val="21"/>
          <w:highlight w:val="none"/>
          <w:u w:val="single"/>
        </w:rPr>
        <w:t>（中型企业、小型企业、微型企业）</w:t>
      </w:r>
      <w:r>
        <w:rPr>
          <w:rFonts w:hint="eastAsia" w:ascii="微软雅黑" w:hAnsi="微软雅黑" w:eastAsia="微软雅黑"/>
          <w:color w:val="auto"/>
          <w:szCs w:val="21"/>
          <w:highlight w:val="none"/>
        </w:rPr>
        <w:t>；</w:t>
      </w:r>
    </w:p>
    <w:p w14:paraId="4F9CF1D2">
      <w:pPr>
        <w:tabs>
          <w:tab w:val="left" w:pos="6300"/>
        </w:tabs>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color w:val="auto"/>
          <w:szCs w:val="21"/>
          <w:highlight w:val="none"/>
        </w:rPr>
        <w:t>为本标的提供的服务人员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人，其中与本企业签订劳动合同</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人，其他人员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w:t>
      </w:r>
      <w:r>
        <w:rPr>
          <w:rFonts w:hint="eastAsia" w:ascii="微软雅黑" w:hAnsi="微软雅黑" w:eastAsia="微软雅黑"/>
          <w:b/>
          <w:bCs/>
          <w:color w:val="auto"/>
          <w:szCs w:val="21"/>
          <w:highlight w:val="none"/>
        </w:rPr>
        <w:t>有其他人员的不符合中小企业扶持政策（适用于服务采购项目）；</w:t>
      </w:r>
    </w:p>
    <w:p w14:paraId="43F9553C">
      <w:pPr>
        <w:tabs>
          <w:tab w:val="left" w:pos="6300"/>
        </w:tabs>
        <w:snapToGrid w:val="0"/>
        <w:spacing w:line="440" w:lineRule="exact"/>
        <w:ind w:firstLine="420" w:firstLineChars="200"/>
        <w:rPr>
          <w:rFonts w:ascii="微软雅黑" w:hAnsi="微软雅黑" w:eastAsia="微软雅黑"/>
          <w:color w:val="auto"/>
          <w:szCs w:val="21"/>
          <w:highlight w:val="none"/>
        </w:rPr>
      </w:pPr>
      <w:r>
        <w:rPr>
          <w:rFonts w:ascii="微软雅黑" w:hAnsi="微软雅黑" w:eastAsia="微软雅黑"/>
          <w:color w:val="auto"/>
          <w:szCs w:val="21"/>
          <w:highlight w:val="none"/>
        </w:rPr>
        <w:t>……</w:t>
      </w:r>
    </w:p>
    <w:p w14:paraId="18A7CA10">
      <w:pPr>
        <w:tabs>
          <w:tab w:val="left" w:pos="6300"/>
        </w:tabs>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以上企业，不属于大企业的分支机构，不存在控股股东为大企业的情形，也不存在与大企业的负责人为同一人的情形。</w:t>
      </w:r>
    </w:p>
    <w:p w14:paraId="2C4CA517">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本企业对上述声明内容的真实性负责。如有虚假，将依法承担相应责任。</w:t>
      </w:r>
    </w:p>
    <w:p w14:paraId="1B2E558B">
      <w:pPr>
        <w:tabs>
          <w:tab w:val="left" w:pos="6300"/>
        </w:tabs>
        <w:snapToGrid w:val="0"/>
        <w:spacing w:line="500" w:lineRule="exact"/>
        <w:ind w:firstLine="420" w:firstLineChars="200"/>
        <w:rPr>
          <w:rFonts w:ascii="微软雅黑" w:hAnsi="微软雅黑" w:eastAsia="微软雅黑" w:cs="微软雅黑"/>
          <w:color w:val="auto"/>
          <w:szCs w:val="21"/>
          <w:highlight w:val="none"/>
        </w:rPr>
      </w:pPr>
    </w:p>
    <w:p w14:paraId="1E4CE0F3">
      <w:pPr>
        <w:tabs>
          <w:tab w:val="left" w:pos="6300"/>
        </w:tabs>
        <w:snapToGrid w:val="0"/>
        <w:spacing w:line="500" w:lineRule="exact"/>
        <w:ind w:firstLine="5355" w:firstLineChars="25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企业名称（盖章）： </w:t>
      </w:r>
    </w:p>
    <w:p w14:paraId="50919B74">
      <w:pPr>
        <w:tabs>
          <w:tab w:val="left" w:pos="6300"/>
        </w:tabs>
        <w:snapToGrid w:val="0"/>
        <w:spacing w:line="500" w:lineRule="exact"/>
        <w:ind w:firstLine="5670" w:firstLineChars="27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p w14:paraId="18360CF7">
      <w:pPr>
        <w:tabs>
          <w:tab w:val="left" w:pos="6300"/>
        </w:tabs>
        <w:snapToGrid w:val="0"/>
        <w:spacing w:line="500" w:lineRule="exact"/>
        <w:ind w:firstLine="420" w:firstLineChars="200"/>
        <w:rPr>
          <w:rFonts w:ascii="微软雅黑" w:hAnsi="微软雅黑" w:eastAsia="微软雅黑" w:cs="微软雅黑"/>
          <w:color w:val="auto"/>
          <w:szCs w:val="21"/>
          <w:highlight w:val="none"/>
        </w:rPr>
      </w:pPr>
    </w:p>
    <w:p w14:paraId="44D3ECC7">
      <w:pPr>
        <w:tabs>
          <w:tab w:val="left" w:pos="6300"/>
        </w:tabs>
        <w:snapToGrid w:val="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填写时应注意以下事项：</w:t>
      </w:r>
    </w:p>
    <w:p w14:paraId="6A4F164E">
      <w:pPr>
        <w:tabs>
          <w:tab w:val="left" w:pos="6300"/>
        </w:tabs>
        <w:snapToGrid w:val="0"/>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1.从业人员、营业收入、资产总额填报上一年度数据，无上一年度数据的新成立企业可不填报。</w:t>
      </w:r>
    </w:p>
    <w:p w14:paraId="2CCD1BD9">
      <w:pPr>
        <w:tabs>
          <w:tab w:val="left" w:pos="6300"/>
        </w:tabs>
        <w:snapToGrid w:val="0"/>
        <w:ind w:firstLine="420" w:firstLineChars="200"/>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2.中小企业应当按照《中小企业划型标准规定》（工信部联企业〔2011〕300号），如实填写并提交《中小企业声明函》。</w:t>
      </w:r>
    </w:p>
    <w:p w14:paraId="378C0622">
      <w:pPr>
        <w:tabs>
          <w:tab w:val="left" w:pos="6300"/>
        </w:tabs>
        <w:snapToGrid w:val="0"/>
        <w:ind w:firstLine="420" w:firstLineChars="200"/>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3.供应商填写《中小企业声明函》中所属行业时，应与采购文件第一篇“采购标的对应的中小企业划分标准所属行业”中填写的所属行业一致。</w:t>
      </w:r>
    </w:p>
    <w:p w14:paraId="48F7E792">
      <w:pPr>
        <w:tabs>
          <w:tab w:val="left" w:pos="6300"/>
        </w:tabs>
        <w:snapToGrid w:val="0"/>
        <w:ind w:firstLine="420" w:firstLineChars="200"/>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4.本声明函“企业名称（盖章）”处为供应商盖章。</w:t>
      </w:r>
    </w:p>
    <w:p w14:paraId="7F89ED7E">
      <w:pPr>
        <w:tabs>
          <w:tab w:val="left" w:pos="6300"/>
        </w:tabs>
        <w:snapToGrid w:val="0"/>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注：各行业划型标准：</w:t>
      </w:r>
    </w:p>
    <w:p w14:paraId="2821562B">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140EF215">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E638AF">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49D04DD">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9E1C80">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FAE346">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FC54B">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18476A">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1784542">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F5D8CD">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D7D5D7">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997E4D">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74FDCA">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ACE8B9">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3FA1E0">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E48913">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2B06C7E3">
      <w:pPr>
        <w:tabs>
          <w:tab w:val="left" w:pos="6300"/>
        </w:tabs>
        <w:snapToGrid w:val="0"/>
        <w:spacing w:line="440" w:lineRule="exact"/>
        <w:ind w:firstLine="420" w:firstLineChars="200"/>
        <w:jc w:val="left"/>
        <w:rPr>
          <w:rFonts w:ascii="微软雅黑" w:hAnsi="微软雅黑" w:eastAsia="微软雅黑" w:cs="微软雅黑"/>
          <w:color w:val="auto"/>
          <w:szCs w:val="21"/>
          <w:highlight w:val="none"/>
        </w:rPr>
      </w:pPr>
    </w:p>
    <w:p w14:paraId="5FD4EDA5">
      <w:pPr>
        <w:pStyle w:val="18"/>
        <w:spacing w:line="440" w:lineRule="exact"/>
        <w:ind w:left="560" w:firstLine="8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olor w:val="auto"/>
          <w:highlight w:val="none"/>
        </w:rPr>
        <w:t xml:space="preserve">        </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sz w:val="21"/>
          <w:szCs w:val="21"/>
          <w:highlight w:val="none"/>
        </w:rPr>
        <w:t>监狱企业证明文件</w:t>
      </w:r>
    </w:p>
    <w:p w14:paraId="352AEBB7">
      <w:pPr>
        <w:spacing w:line="44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以省级以上监狱管理局、戒毒管理局（含新疆生产建设兵团）出具的属于监狱企业的证明文件为准。</w:t>
      </w:r>
      <w:r>
        <w:rPr>
          <w:rFonts w:hint="eastAsia" w:ascii="微软雅黑" w:hAnsi="微软雅黑" w:eastAsia="微软雅黑" w:cs="微软雅黑"/>
          <w:color w:val="auto"/>
          <w:szCs w:val="21"/>
          <w:highlight w:val="none"/>
        </w:rPr>
        <w:br w:type="page"/>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olor w:val="auto"/>
          <w:szCs w:val="21"/>
          <w:highlight w:val="none"/>
        </w:rPr>
        <w:t>残疾人福利性单位声明函</w:t>
      </w:r>
    </w:p>
    <w:p w14:paraId="726A0B3F">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FE4309">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本单位对上述声明的真实性负责。如有虚假，将依法承担相应责任。</w:t>
      </w:r>
    </w:p>
    <w:p w14:paraId="6E7C4F55">
      <w:pPr>
        <w:tabs>
          <w:tab w:val="left" w:pos="6300"/>
        </w:tabs>
        <w:snapToGrid w:val="0"/>
        <w:spacing w:line="440" w:lineRule="exact"/>
        <w:ind w:firstLine="420" w:firstLineChars="200"/>
        <w:rPr>
          <w:rFonts w:ascii="微软雅黑" w:hAnsi="微软雅黑" w:eastAsia="微软雅黑" w:cs="微软雅黑"/>
          <w:color w:val="auto"/>
          <w:szCs w:val="21"/>
          <w:highlight w:val="none"/>
        </w:rPr>
      </w:pPr>
    </w:p>
    <w:p w14:paraId="2A3029FC">
      <w:pPr>
        <w:tabs>
          <w:tab w:val="left" w:pos="6300"/>
        </w:tabs>
        <w:snapToGrid w:val="0"/>
        <w:spacing w:line="440" w:lineRule="exact"/>
        <w:ind w:firstLine="420" w:firstLineChars="200"/>
        <w:rPr>
          <w:rFonts w:ascii="微软雅黑" w:hAnsi="微软雅黑" w:eastAsia="微软雅黑" w:cs="微软雅黑"/>
          <w:color w:val="auto"/>
          <w:szCs w:val="21"/>
          <w:highlight w:val="none"/>
        </w:rPr>
      </w:pPr>
    </w:p>
    <w:p w14:paraId="612166EA">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供应商名称（盖章）：</w:t>
      </w:r>
    </w:p>
    <w:p w14:paraId="5F0E90AB">
      <w:pPr>
        <w:tabs>
          <w:tab w:val="left" w:pos="6300"/>
        </w:tabs>
        <w:snapToGrid w:val="0"/>
        <w:spacing w:line="440" w:lineRule="exact"/>
        <w:ind w:firstLine="57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日  期：</w:t>
      </w:r>
    </w:p>
    <w:p w14:paraId="20045D67">
      <w:pPr>
        <w:pStyle w:val="19"/>
        <w:spacing w:line="440" w:lineRule="exact"/>
        <w:ind w:left="0" w:leftChars="0" w:firstLine="0" w:firstLineChars="0"/>
        <w:rPr>
          <w:rFonts w:ascii="微软雅黑" w:hAnsi="微软雅黑" w:eastAsia="微软雅黑"/>
          <w:color w:val="auto"/>
          <w:highlight w:val="none"/>
        </w:rPr>
      </w:pPr>
      <w:r>
        <w:rPr>
          <w:rFonts w:hint="eastAsia" w:ascii="微软雅黑" w:hAnsi="微软雅黑" w:eastAsia="微软雅黑" w:cs="微软雅黑"/>
          <w:color w:val="auto"/>
          <w:kern w:val="0"/>
          <w:szCs w:val="21"/>
          <w:highlight w:val="none"/>
        </w:rPr>
        <w:t>若成交供应商为残疾人福利性单位的，将在结果公告时公告其《残疾人福利性单位声明函》</w:t>
      </w:r>
    </w:p>
    <w:p w14:paraId="47B86DCD">
      <w:pPr>
        <w:rPr>
          <w:color w:val="auto"/>
          <w:highlight w:val="none"/>
        </w:rPr>
      </w:pPr>
    </w:p>
    <w:p w14:paraId="1D92C5B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p w14:paraId="29BA2871">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（二）其他与项目有关的资料</w:t>
      </w:r>
    </w:p>
    <w:p w14:paraId="330FF359">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其他与项目有关的资料（自附）：供应商总体情况介绍、其他与本项目有关的资料等。</w:t>
      </w:r>
    </w:p>
    <w:p w14:paraId="28CC607A">
      <w:pPr>
        <w:pStyle w:val="19"/>
        <w:spacing w:line="440" w:lineRule="exact"/>
        <w:ind w:left="0" w:leftChars="0" w:firstLine="525" w:firstLineChars="250"/>
        <w:rPr>
          <w:rFonts w:ascii="微软雅黑" w:hAnsi="微软雅黑" w:eastAsia="微软雅黑" w:cs="微软雅黑"/>
          <w:color w:val="auto"/>
          <w:szCs w:val="21"/>
          <w:highlight w:val="none"/>
        </w:rPr>
      </w:pPr>
    </w:p>
    <w:p w14:paraId="41D7F792">
      <w:pPr>
        <w:spacing w:line="440" w:lineRule="exact"/>
        <w:rPr>
          <w:rFonts w:ascii="微软雅黑" w:hAnsi="微软雅黑" w:eastAsia="微软雅黑"/>
          <w:color w:val="auto"/>
          <w:szCs w:val="21"/>
          <w:highlight w:val="none"/>
        </w:rPr>
      </w:pPr>
    </w:p>
    <w:p w14:paraId="15A25F5E">
      <w:pPr>
        <w:spacing w:line="440" w:lineRule="exact"/>
        <w:rPr>
          <w:rFonts w:ascii="微软雅黑" w:hAnsi="微软雅黑" w:eastAsia="微软雅黑"/>
          <w:color w:val="auto"/>
          <w:szCs w:val="21"/>
          <w:highlight w:val="none"/>
        </w:rPr>
      </w:pPr>
    </w:p>
    <w:p w14:paraId="64CFDF2E">
      <w:pPr>
        <w:spacing w:line="440" w:lineRule="exact"/>
        <w:rPr>
          <w:rFonts w:ascii="微软雅黑" w:hAnsi="微软雅黑" w:eastAsia="微软雅黑"/>
          <w:color w:val="auto"/>
          <w:szCs w:val="21"/>
          <w:highlight w:val="none"/>
        </w:rPr>
      </w:pPr>
    </w:p>
    <w:p w14:paraId="79F3EF5F">
      <w:pPr>
        <w:spacing w:line="440" w:lineRule="exact"/>
        <w:rPr>
          <w:rFonts w:ascii="微软雅黑" w:hAnsi="微软雅黑" w:eastAsia="微软雅黑"/>
          <w:color w:val="auto"/>
          <w:szCs w:val="21"/>
          <w:highlight w:val="none"/>
        </w:rPr>
      </w:pPr>
    </w:p>
    <w:p w14:paraId="2A2792A0">
      <w:pPr>
        <w:spacing w:line="440" w:lineRule="exact"/>
        <w:rPr>
          <w:rFonts w:ascii="微软雅黑" w:hAnsi="微软雅黑" w:eastAsia="微软雅黑"/>
          <w:color w:val="auto"/>
          <w:szCs w:val="21"/>
          <w:highlight w:val="none"/>
        </w:rPr>
      </w:pPr>
    </w:p>
    <w:p w14:paraId="730AF7CA">
      <w:pPr>
        <w:spacing w:line="440" w:lineRule="exact"/>
        <w:rPr>
          <w:rFonts w:ascii="微软雅黑" w:hAnsi="微软雅黑" w:eastAsia="微软雅黑"/>
          <w:color w:val="auto"/>
          <w:szCs w:val="21"/>
          <w:highlight w:val="none"/>
        </w:rPr>
      </w:pPr>
    </w:p>
    <w:p w14:paraId="18933B39">
      <w:pPr>
        <w:spacing w:line="440" w:lineRule="exact"/>
        <w:rPr>
          <w:rFonts w:ascii="微软雅黑" w:hAnsi="微软雅黑" w:eastAsia="微软雅黑"/>
          <w:color w:val="auto"/>
          <w:szCs w:val="21"/>
          <w:highlight w:val="none"/>
        </w:rPr>
      </w:pPr>
    </w:p>
    <w:p w14:paraId="253F73A5">
      <w:pPr>
        <w:spacing w:line="440" w:lineRule="exact"/>
        <w:rPr>
          <w:rFonts w:ascii="微软雅黑" w:hAnsi="微软雅黑" w:eastAsia="微软雅黑"/>
          <w:color w:val="auto"/>
          <w:szCs w:val="21"/>
          <w:highlight w:val="none"/>
        </w:rPr>
      </w:pPr>
    </w:p>
    <w:p w14:paraId="03C56AFE">
      <w:pPr>
        <w:spacing w:line="440" w:lineRule="exact"/>
        <w:rPr>
          <w:rFonts w:ascii="微软雅黑" w:hAnsi="微软雅黑" w:eastAsia="微软雅黑"/>
          <w:color w:val="auto"/>
          <w:szCs w:val="21"/>
          <w:highlight w:val="none"/>
        </w:rPr>
      </w:pPr>
    </w:p>
    <w:p w14:paraId="20967A30">
      <w:pPr>
        <w:spacing w:line="440" w:lineRule="exact"/>
        <w:rPr>
          <w:rFonts w:ascii="微软雅黑" w:hAnsi="微软雅黑" w:eastAsia="微软雅黑"/>
          <w:color w:val="auto"/>
          <w:szCs w:val="21"/>
          <w:highlight w:val="none"/>
        </w:rPr>
      </w:pPr>
    </w:p>
    <w:p w14:paraId="250BDC7A">
      <w:pPr>
        <w:spacing w:line="440" w:lineRule="exact"/>
        <w:rPr>
          <w:rFonts w:ascii="微软雅黑" w:hAnsi="微软雅黑" w:eastAsia="微软雅黑"/>
          <w:color w:val="auto"/>
          <w:szCs w:val="21"/>
          <w:highlight w:val="none"/>
        </w:rPr>
      </w:pPr>
    </w:p>
    <w:p w14:paraId="699EA1DB">
      <w:pPr>
        <w:spacing w:line="440" w:lineRule="exact"/>
        <w:rPr>
          <w:rFonts w:ascii="微软雅黑" w:hAnsi="微软雅黑" w:eastAsia="微软雅黑"/>
          <w:color w:val="auto"/>
          <w:szCs w:val="21"/>
          <w:highlight w:val="none"/>
        </w:rPr>
      </w:pPr>
    </w:p>
    <w:p w14:paraId="24108DF1">
      <w:pPr>
        <w:spacing w:line="440" w:lineRule="exact"/>
        <w:rPr>
          <w:rFonts w:ascii="微软雅黑" w:hAnsi="微软雅黑" w:eastAsia="微软雅黑"/>
          <w:color w:val="auto"/>
          <w:szCs w:val="21"/>
          <w:highlight w:val="none"/>
        </w:rPr>
      </w:pPr>
    </w:p>
    <w:p w14:paraId="1DFFD238">
      <w:pPr>
        <w:spacing w:line="440" w:lineRule="exact"/>
        <w:rPr>
          <w:rFonts w:ascii="微软雅黑" w:hAnsi="微软雅黑" w:eastAsia="微软雅黑"/>
          <w:color w:val="auto"/>
          <w:szCs w:val="21"/>
          <w:highlight w:val="none"/>
        </w:rPr>
      </w:pPr>
    </w:p>
    <w:p w14:paraId="4AAEBE3E">
      <w:pPr>
        <w:spacing w:line="440" w:lineRule="exact"/>
        <w:rPr>
          <w:rFonts w:ascii="微软雅黑" w:hAnsi="微软雅黑" w:eastAsia="微软雅黑"/>
          <w:color w:val="auto"/>
          <w:szCs w:val="21"/>
          <w:highlight w:val="none"/>
        </w:rPr>
      </w:pPr>
    </w:p>
    <w:p w14:paraId="4EC6C697">
      <w:pPr>
        <w:spacing w:line="440" w:lineRule="exact"/>
        <w:rPr>
          <w:rFonts w:ascii="微软雅黑" w:hAnsi="微软雅黑" w:eastAsia="微软雅黑"/>
          <w:color w:val="auto"/>
          <w:szCs w:val="21"/>
          <w:highlight w:val="none"/>
        </w:rPr>
      </w:pPr>
    </w:p>
    <w:p w14:paraId="7BE5DB34">
      <w:pPr>
        <w:spacing w:line="440" w:lineRule="exact"/>
        <w:rPr>
          <w:rFonts w:ascii="微软雅黑" w:hAnsi="微软雅黑" w:eastAsia="微软雅黑"/>
          <w:color w:val="auto"/>
          <w:szCs w:val="21"/>
          <w:highlight w:val="none"/>
        </w:rPr>
      </w:pPr>
    </w:p>
    <w:p w14:paraId="3943059B">
      <w:pPr>
        <w:spacing w:line="440" w:lineRule="exact"/>
        <w:rPr>
          <w:rFonts w:ascii="微软雅黑" w:hAnsi="微软雅黑" w:eastAsia="微软雅黑"/>
          <w:color w:val="auto"/>
          <w:szCs w:val="21"/>
          <w:highlight w:val="none"/>
        </w:rPr>
      </w:pPr>
    </w:p>
    <w:p w14:paraId="0DB4BEA2">
      <w:pPr>
        <w:pStyle w:val="5"/>
        <w:rPr>
          <w:rFonts w:ascii="微软雅黑" w:hAnsi="微软雅黑" w:eastAsia="微软雅黑"/>
          <w:color w:val="auto"/>
          <w:sz w:val="21"/>
          <w:szCs w:val="21"/>
          <w:highlight w:val="none"/>
        </w:rPr>
      </w:pPr>
    </w:p>
    <w:p w14:paraId="51D4F071">
      <w:pPr>
        <w:pStyle w:val="5"/>
        <w:rPr>
          <w:rFonts w:ascii="微软雅黑" w:hAnsi="微软雅黑" w:eastAsia="微软雅黑"/>
          <w:color w:val="auto"/>
          <w:sz w:val="21"/>
          <w:szCs w:val="21"/>
          <w:highlight w:val="none"/>
        </w:rPr>
      </w:pPr>
    </w:p>
    <w:p w14:paraId="5AA048C5">
      <w:pPr>
        <w:jc w:val="center"/>
        <w:rPr>
          <w:rFonts w:ascii="微软雅黑" w:hAnsi="微软雅黑" w:eastAsia="微软雅黑"/>
          <w:color w:val="auto"/>
          <w:szCs w:val="21"/>
          <w:highlight w:val="none"/>
        </w:rPr>
      </w:pPr>
    </w:p>
    <w:p w14:paraId="706235ED">
      <w:pPr>
        <w:jc w:val="center"/>
        <w:rPr>
          <w:rFonts w:ascii="微软雅黑" w:hAnsi="微软雅黑" w:eastAsia="微软雅黑"/>
          <w:color w:val="auto"/>
          <w:szCs w:val="21"/>
          <w:highlight w:val="none"/>
        </w:rPr>
      </w:pPr>
    </w:p>
    <w:p w14:paraId="3ACDDB58">
      <w:pPr>
        <w:jc w:val="center"/>
        <w:rPr>
          <w:rFonts w:ascii="微软雅黑" w:hAnsi="微软雅黑" w:eastAsia="微软雅黑"/>
          <w:color w:val="auto"/>
          <w:szCs w:val="21"/>
          <w:highlight w:val="none"/>
        </w:rPr>
      </w:pPr>
    </w:p>
    <w:p w14:paraId="018160EF">
      <w:pPr>
        <w:jc w:val="center"/>
        <w:rPr>
          <w:rFonts w:ascii="微软雅黑" w:hAnsi="微软雅黑" w:eastAsia="微软雅黑"/>
          <w:color w:val="auto"/>
          <w:szCs w:val="21"/>
          <w:highlight w:val="none"/>
        </w:rPr>
      </w:pPr>
    </w:p>
    <w:p w14:paraId="0FC4BF92">
      <w:pPr>
        <w:jc w:val="center"/>
        <w:rPr>
          <w:rFonts w:ascii="微软雅黑" w:hAnsi="微软雅黑" w:eastAsia="微软雅黑"/>
          <w:color w:val="auto"/>
          <w:szCs w:val="21"/>
          <w:highlight w:val="none"/>
        </w:rPr>
      </w:pPr>
    </w:p>
    <w:p w14:paraId="48C53441">
      <w:pPr>
        <w:jc w:val="center"/>
        <w:rPr>
          <w:rFonts w:ascii="微软雅黑" w:hAnsi="微软雅黑" w:eastAsia="微软雅黑"/>
          <w:color w:val="auto"/>
          <w:szCs w:val="21"/>
          <w:highlight w:val="none"/>
        </w:rPr>
      </w:pPr>
    </w:p>
    <w:p w14:paraId="15604211">
      <w:pPr>
        <w:jc w:val="center"/>
        <w:rPr>
          <w:rFonts w:ascii="微软雅黑" w:hAnsi="微软雅黑" w:eastAsia="微软雅黑"/>
          <w:color w:val="auto"/>
          <w:szCs w:val="21"/>
          <w:highlight w:val="none"/>
        </w:rPr>
      </w:pPr>
    </w:p>
    <w:p w14:paraId="3C9E9855">
      <w:pPr>
        <w:jc w:val="center"/>
        <w:rPr>
          <w:color w:val="auto"/>
          <w:highlight w:val="none"/>
        </w:rPr>
      </w:pPr>
      <w:r>
        <w:rPr>
          <w:rFonts w:hint="eastAsia" w:ascii="微软雅黑" w:hAnsi="微软雅黑" w:eastAsia="微软雅黑"/>
          <w:color w:val="auto"/>
          <w:szCs w:val="21"/>
          <w:highlight w:val="none"/>
        </w:rPr>
        <w:t>（结束）</w:t>
      </w:r>
    </w:p>
    <w:sectPr>
      <w:pgSz w:w="11905" w:h="16838"/>
      <w:pgMar w:top="1134" w:right="1304" w:bottom="1134" w:left="1304" w:header="850"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82AF">
    <w:pPr>
      <w:pStyle w:val="7"/>
      <w:kinsoku w:val="0"/>
      <w:overflowPunct w:val="0"/>
      <w:spacing w:line="14" w:lineRule="auto"/>
      <w:jc w:val="center"/>
      <w:rPr>
        <w:rFonts w:ascii="Times New Roman" w:eastAsia="等线"/>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56675">
                          <w:pPr>
                            <w:pStyle w:val="1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8A56675">
                    <w:pPr>
                      <w:pStyle w:val="1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D45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7F0438">
                          <w:pPr>
                            <w:pStyle w:val="13"/>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hdkjPTAQAApQMAAA4AAAAAAAAAAQAgAAAA&#10;IgEAAGRycy9lMm9Eb2MueG1sUEsFBgAAAAAGAAYAWQEAAGcFAAAAAA==&#10;">
              <v:fill on="f" focussize="0,0"/>
              <v:stroke on="f" weight="1.25pt"/>
              <v:imagedata o:title=""/>
              <o:lock v:ext="edit" aspectratio="f"/>
              <v:textbox inset="0mm,0mm,0mm,0mm" style="mso-fit-shape-to-text:t;">
                <w:txbxContent>
                  <w:p w14:paraId="0E7F0438">
                    <w:pPr>
                      <w:pStyle w:val="13"/>
                    </w:pPr>
                    <w:r>
                      <w:fldChar w:fldCharType="begin"/>
                    </w:r>
                    <w:r>
                      <w:instrText xml:space="preserve"> PAGE  \* MERGEFORMAT </w:instrText>
                    </w:r>
                    <w:r>
                      <w:fldChar w:fldCharType="separate"/>
                    </w:r>
                    <w:r>
                      <w:t>- 25 -</w:t>
                    </w:r>
                    <w:r>
                      <w:fldChar w:fldCharType="end"/>
                    </w:r>
                  </w:p>
                </w:txbxContent>
              </v:textbox>
            </v:shape>
          </w:pict>
        </mc:Fallback>
      </mc:AlternateContent>
    </w:r>
  </w:p>
  <w:p w14:paraId="68931C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4085">
    <w:pPr>
      <w:pStyle w:val="13"/>
      <w:framePr w:wrap="around" w:vAnchor="text" w:hAnchor="margin" w:xAlign="right" w:y="1"/>
      <w:rPr>
        <w:rStyle w:val="23"/>
      </w:rPr>
    </w:pPr>
    <w:r>
      <w:fldChar w:fldCharType="begin"/>
    </w:r>
    <w:r>
      <w:rPr>
        <w:rStyle w:val="23"/>
      </w:rPr>
      <w:instrText xml:space="preserve">PAGE  </w:instrText>
    </w:r>
    <w:r>
      <w:fldChar w:fldCharType="end"/>
    </w:r>
  </w:p>
  <w:p w14:paraId="5FEB4356">
    <w:pPr>
      <w:pStyle w:val="13"/>
      <w:ind w:right="360"/>
    </w:pPr>
  </w:p>
  <w:p w14:paraId="216A87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9750">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80E7E">
                          <w:pPr>
                            <w:pStyle w:val="13"/>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8C80E7E">
                    <w:pPr>
                      <w:pStyle w:val="13"/>
                    </w:pPr>
                    <w:r>
                      <w:fldChar w:fldCharType="begin"/>
                    </w:r>
                    <w:r>
                      <w:instrText xml:space="preserve"> PAGE  \* MERGEFORMAT </w:instrText>
                    </w:r>
                    <w:r>
                      <w:fldChar w:fldCharType="separate"/>
                    </w:r>
                    <w:r>
                      <w:t>- 35 -</w:t>
                    </w:r>
                    <w:r>
                      <w:fldChar w:fldCharType="end"/>
                    </w:r>
                  </w:p>
                </w:txbxContent>
              </v:textbox>
            </v:shape>
          </w:pict>
        </mc:Fallback>
      </mc:AlternateContent>
    </w:r>
  </w:p>
  <w:p w14:paraId="048F248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F284">
    <w:pPr>
      <w:pStyle w:val="14"/>
      <w:rPr>
        <w:rFonts w:ascii="微软雅黑" w:hAnsi="微软雅黑" w:eastAsia="微软雅黑"/>
        <w:szCs w:val="18"/>
        <w:u w:val="single"/>
      </w:rPr>
    </w:pPr>
    <w:r>
      <w:rPr>
        <w:rFonts w:hint="eastAsia" w:ascii="微软雅黑" w:hAnsi="微软雅黑" w:eastAsia="微软雅黑"/>
        <w:szCs w:val="18"/>
        <w:u w:val="single"/>
      </w:rPr>
      <w:t xml:space="preserve">中招国际招标有限公司           </w:t>
    </w:r>
    <w:r>
      <w:rPr>
        <w:rFonts w:ascii="微软雅黑" w:hAnsi="微软雅黑" w:eastAsia="微软雅黑"/>
        <w:szCs w:val="18"/>
        <w:u w:val="single"/>
      </w:rPr>
      <w:t xml:space="preserve"> </w:t>
    </w:r>
    <w:r>
      <w:rPr>
        <w:rFonts w:hint="eastAsia" w:ascii="微软雅黑" w:hAnsi="微软雅黑" w:eastAsia="微软雅黑"/>
        <w:szCs w:val="18"/>
        <w:u w:val="single"/>
      </w:rPr>
      <w:t xml:space="preserve">            </w:t>
    </w:r>
    <w:r>
      <w:rPr>
        <w:rFonts w:ascii="微软雅黑" w:hAnsi="微软雅黑" w:eastAsia="微软雅黑"/>
        <w:szCs w:val="18"/>
        <w:u w:val="single"/>
      </w:rPr>
      <w:object>
        <v:shape id="_x0000_i1025" o:spt="75" type="#_x0000_t75" style="height:23.7pt;width:22.7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szCs w:val="18"/>
        <w:u w:val="single"/>
      </w:rPr>
      <w:t xml:space="preserve">                                     竞争性磋商文件</w:t>
    </w:r>
  </w:p>
  <w:p w14:paraId="21A4CD1E">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E15">
    <w:pPr>
      <w:pStyle w:val="14"/>
      <w:rPr>
        <w:rFonts w:ascii="微软雅黑" w:hAnsi="微软雅黑" w:eastAsia="微软雅黑"/>
        <w:szCs w:val="18"/>
        <w:u w:val="single"/>
      </w:rPr>
    </w:pPr>
    <w:r>
      <w:rPr>
        <w:rFonts w:hint="eastAsia" w:ascii="微软雅黑" w:hAnsi="微软雅黑" w:eastAsia="微软雅黑"/>
        <w:szCs w:val="18"/>
        <w:u w:val="single"/>
      </w:rPr>
      <w:t xml:space="preserve">中招国际招标有限公司           </w:t>
    </w:r>
    <w:r>
      <w:rPr>
        <w:rFonts w:ascii="微软雅黑" w:hAnsi="微软雅黑" w:eastAsia="微软雅黑"/>
        <w:szCs w:val="18"/>
        <w:u w:val="single"/>
      </w:rPr>
      <w:t xml:space="preserve"> </w:t>
    </w:r>
    <w:r>
      <w:rPr>
        <w:rFonts w:hint="eastAsia" w:ascii="微软雅黑" w:hAnsi="微软雅黑" w:eastAsia="微软雅黑"/>
        <w:szCs w:val="18"/>
        <w:u w:val="single"/>
      </w:rPr>
      <w:t xml:space="preserve">            </w:t>
    </w:r>
    <w:r>
      <w:rPr>
        <w:rFonts w:ascii="微软雅黑" w:hAnsi="微软雅黑" w:eastAsia="微软雅黑"/>
        <w:szCs w:val="18"/>
        <w:u w:val="single"/>
      </w:rPr>
      <w:object>
        <v:shape id="_x0000_i1027" o:spt="75" type="#_x0000_t75" style="height:23.7pt;width:22.75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6" r:id="rId1">
          <o:LockedField>false</o:LockedField>
        </o:OLEObject>
      </w:object>
    </w:r>
    <w:r>
      <w:rPr>
        <w:rFonts w:hint="eastAsia" w:ascii="微软雅黑" w:hAnsi="微软雅黑" w:eastAsia="微软雅黑"/>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F406">
    <w:pPr>
      <w:pStyle w:val="14"/>
      <w:rPr>
        <w:rFonts w:ascii="微软雅黑" w:hAnsi="微软雅黑" w:eastAsia="微软雅黑"/>
        <w:szCs w:val="18"/>
        <w:u w:val="single"/>
      </w:rPr>
    </w:pPr>
    <w:r>
      <w:rPr>
        <w:rFonts w:hint="eastAsia" w:ascii="微软雅黑" w:hAnsi="微软雅黑" w:eastAsia="微软雅黑"/>
        <w:szCs w:val="18"/>
        <w:u w:val="single"/>
      </w:rPr>
      <w:t xml:space="preserve">中招国际招标有限公司           </w:t>
    </w:r>
    <w:r>
      <w:rPr>
        <w:rFonts w:ascii="微软雅黑" w:hAnsi="微软雅黑" w:eastAsia="微软雅黑"/>
        <w:szCs w:val="18"/>
        <w:u w:val="single"/>
      </w:rPr>
      <w:t xml:space="preserve"> </w:t>
    </w:r>
    <w:r>
      <w:rPr>
        <w:rFonts w:hint="eastAsia" w:ascii="微软雅黑" w:hAnsi="微软雅黑" w:eastAsia="微软雅黑"/>
        <w:szCs w:val="18"/>
        <w:u w:val="single"/>
      </w:rPr>
      <w:t xml:space="preserve">            </w:t>
    </w:r>
    <w:r>
      <w:rPr>
        <w:rFonts w:ascii="微软雅黑" w:hAnsi="微软雅黑" w:eastAsia="微软雅黑"/>
        <w:szCs w:val="18"/>
        <w:u w:val="single"/>
      </w:rPr>
      <w:object>
        <v:shape id="_x0000_i1026" o:spt="75" type="#_x0000_t75" style="height:23.7pt;width:22.7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7" r:id="rId1">
          <o:LockedField>false</o:LockedField>
        </o:OLEObject>
      </w:object>
    </w:r>
    <w:r>
      <w:rPr>
        <w:rFonts w:hint="eastAsia" w:ascii="微软雅黑" w:hAnsi="微软雅黑" w:eastAsia="微软雅黑"/>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B5914"/>
    <w:multiLevelType w:val="singleLevel"/>
    <w:tmpl w:val="C00B5914"/>
    <w:lvl w:ilvl="0" w:tentative="0">
      <w:start w:val="5"/>
      <w:numFmt w:val="chineseCounting"/>
      <w:suff w:val="nothing"/>
      <w:lvlText w:val="%1、"/>
      <w:lvlJc w:val="left"/>
      <w:rPr>
        <w:rFonts w:hint="eastAsia"/>
      </w:rPr>
    </w:lvl>
  </w:abstractNum>
  <w:abstractNum w:abstractNumId="1">
    <w:nsid w:val="F41D1FC6"/>
    <w:multiLevelType w:val="singleLevel"/>
    <w:tmpl w:val="F41D1FC6"/>
    <w:lvl w:ilvl="0" w:tentative="0">
      <w:start w:val="1"/>
      <w:numFmt w:val="chineseCounting"/>
      <w:suff w:val="nothing"/>
      <w:lvlText w:val="（%1）"/>
      <w:lvlJc w:val="left"/>
      <w:rPr>
        <w:rFonts w:hint="eastAsia"/>
      </w:rPr>
    </w:lvl>
  </w:abstractNum>
  <w:abstractNum w:abstractNumId="2">
    <w:nsid w:val="51205D0D"/>
    <w:multiLevelType w:val="singleLevel"/>
    <w:tmpl w:val="51205D0D"/>
    <w:lvl w:ilvl="0" w:tentative="0">
      <w:start w:val="1"/>
      <w:numFmt w:val="chineseCounting"/>
      <w:suff w:val="nothing"/>
      <w:lvlText w:val="（%1）"/>
      <w:lvlJc w:val="left"/>
      <w:rPr>
        <w:rFonts w:hint="eastAsia"/>
      </w:rPr>
    </w:lvl>
  </w:abstractNum>
  <w:abstractNum w:abstractNumId="3">
    <w:nsid w:val="64AEE349"/>
    <w:multiLevelType w:val="singleLevel"/>
    <w:tmpl w:val="64AEE349"/>
    <w:lvl w:ilvl="0" w:tentative="0">
      <w:start w:val="2"/>
      <w:numFmt w:val="chineseCounting"/>
      <w:suff w:val="nothing"/>
      <w:lvlText w:val="（%1）"/>
      <w:lvlJc w:val="left"/>
      <w:rPr>
        <w:rFonts w:hint="eastAsia"/>
      </w:rPr>
    </w:lvl>
  </w:abstractNum>
  <w:abstractNum w:abstractNumId="4">
    <w:nsid w:val="7B9017E0"/>
    <w:multiLevelType w:val="singleLevel"/>
    <w:tmpl w:val="7B9017E0"/>
    <w:lvl w:ilvl="0" w:tentative="0">
      <w:start w:val="2"/>
      <w:numFmt w:val="chineseCounting"/>
      <w:suff w:val="space"/>
      <w:lvlText w:val="第%1篇"/>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NzY1MzNlZjAzODA0ZWEzNTE0MDhiNTA1OTk0MWMifQ=="/>
  </w:docVars>
  <w:rsids>
    <w:rsidRoot w:val="0057197D"/>
    <w:rsid w:val="000E16AA"/>
    <w:rsid w:val="0057197D"/>
    <w:rsid w:val="00665BE7"/>
    <w:rsid w:val="00AF6F9B"/>
    <w:rsid w:val="00B9633E"/>
    <w:rsid w:val="00BF0FC1"/>
    <w:rsid w:val="00D37D44"/>
    <w:rsid w:val="00D555C8"/>
    <w:rsid w:val="00EC4BCD"/>
    <w:rsid w:val="012408A7"/>
    <w:rsid w:val="013C246A"/>
    <w:rsid w:val="01710365"/>
    <w:rsid w:val="02B56978"/>
    <w:rsid w:val="03060F81"/>
    <w:rsid w:val="0337738D"/>
    <w:rsid w:val="039447DF"/>
    <w:rsid w:val="03B15391"/>
    <w:rsid w:val="04155920"/>
    <w:rsid w:val="043A5387"/>
    <w:rsid w:val="04575F38"/>
    <w:rsid w:val="04D806FC"/>
    <w:rsid w:val="0539563E"/>
    <w:rsid w:val="05412745"/>
    <w:rsid w:val="058556BD"/>
    <w:rsid w:val="05F23A3F"/>
    <w:rsid w:val="05F41565"/>
    <w:rsid w:val="0603624E"/>
    <w:rsid w:val="0620235A"/>
    <w:rsid w:val="062D350A"/>
    <w:rsid w:val="066A1827"/>
    <w:rsid w:val="067A4160"/>
    <w:rsid w:val="067A7CBC"/>
    <w:rsid w:val="06CB676A"/>
    <w:rsid w:val="06F57496"/>
    <w:rsid w:val="0774295E"/>
    <w:rsid w:val="081D2FF5"/>
    <w:rsid w:val="08A07782"/>
    <w:rsid w:val="094822F4"/>
    <w:rsid w:val="097C3D4B"/>
    <w:rsid w:val="09D45935"/>
    <w:rsid w:val="09E65669"/>
    <w:rsid w:val="09E71B0D"/>
    <w:rsid w:val="0A344626"/>
    <w:rsid w:val="0AD96F7B"/>
    <w:rsid w:val="0B0D77B0"/>
    <w:rsid w:val="0B114967"/>
    <w:rsid w:val="0B2621C1"/>
    <w:rsid w:val="0B464611"/>
    <w:rsid w:val="0BA61553"/>
    <w:rsid w:val="0BD31C1D"/>
    <w:rsid w:val="0C745671"/>
    <w:rsid w:val="0CAC2B9A"/>
    <w:rsid w:val="0CB35CD6"/>
    <w:rsid w:val="0D8D29CB"/>
    <w:rsid w:val="0DE14AC5"/>
    <w:rsid w:val="0E097B78"/>
    <w:rsid w:val="0E252C04"/>
    <w:rsid w:val="0E43308A"/>
    <w:rsid w:val="0E7E2314"/>
    <w:rsid w:val="0F2B249C"/>
    <w:rsid w:val="0F6A6824"/>
    <w:rsid w:val="0FFC1742"/>
    <w:rsid w:val="10196009"/>
    <w:rsid w:val="102313C5"/>
    <w:rsid w:val="105E23FD"/>
    <w:rsid w:val="10B62239"/>
    <w:rsid w:val="1134315E"/>
    <w:rsid w:val="115902C8"/>
    <w:rsid w:val="117A3266"/>
    <w:rsid w:val="117E43EC"/>
    <w:rsid w:val="11ED001C"/>
    <w:rsid w:val="12170AB5"/>
    <w:rsid w:val="12B5207C"/>
    <w:rsid w:val="139E0D62"/>
    <w:rsid w:val="13AE71F7"/>
    <w:rsid w:val="14600A25"/>
    <w:rsid w:val="147541B9"/>
    <w:rsid w:val="14B52807"/>
    <w:rsid w:val="14CA0061"/>
    <w:rsid w:val="15007F26"/>
    <w:rsid w:val="15267261"/>
    <w:rsid w:val="153951E6"/>
    <w:rsid w:val="157C06D7"/>
    <w:rsid w:val="16094BB9"/>
    <w:rsid w:val="161A0B74"/>
    <w:rsid w:val="1638724C"/>
    <w:rsid w:val="168801D3"/>
    <w:rsid w:val="16E15B36"/>
    <w:rsid w:val="16E949A3"/>
    <w:rsid w:val="18117D55"/>
    <w:rsid w:val="181D2B9D"/>
    <w:rsid w:val="18243F2C"/>
    <w:rsid w:val="18567E5D"/>
    <w:rsid w:val="18A17502"/>
    <w:rsid w:val="18C13529"/>
    <w:rsid w:val="18CE5C46"/>
    <w:rsid w:val="18E216F1"/>
    <w:rsid w:val="18E5190D"/>
    <w:rsid w:val="18FA6A3B"/>
    <w:rsid w:val="192341E3"/>
    <w:rsid w:val="197607B7"/>
    <w:rsid w:val="19E82D37"/>
    <w:rsid w:val="1A051B3B"/>
    <w:rsid w:val="1A6A7BF0"/>
    <w:rsid w:val="1A78230D"/>
    <w:rsid w:val="1AEE0821"/>
    <w:rsid w:val="1B59213E"/>
    <w:rsid w:val="1B701236"/>
    <w:rsid w:val="1BD87507"/>
    <w:rsid w:val="1BEF4851"/>
    <w:rsid w:val="1C4306F9"/>
    <w:rsid w:val="1CA92C52"/>
    <w:rsid w:val="1CE53331"/>
    <w:rsid w:val="1CF616E5"/>
    <w:rsid w:val="1D882867"/>
    <w:rsid w:val="1D921938"/>
    <w:rsid w:val="1E7B061E"/>
    <w:rsid w:val="1F8E612F"/>
    <w:rsid w:val="1FA31BDA"/>
    <w:rsid w:val="1FAE057F"/>
    <w:rsid w:val="20340A84"/>
    <w:rsid w:val="204A02A8"/>
    <w:rsid w:val="204C4020"/>
    <w:rsid w:val="204F3B10"/>
    <w:rsid w:val="20A21E92"/>
    <w:rsid w:val="20E00C0C"/>
    <w:rsid w:val="21004E0A"/>
    <w:rsid w:val="21114FCE"/>
    <w:rsid w:val="212B632B"/>
    <w:rsid w:val="21415B4F"/>
    <w:rsid w:val="21613AFB"/>
    <w:rsid w:val="217F21D3"/>
    <w:rsid w:val="21920A4B"/>
    <w:rsid w:val="21AE4866"/>
    <w:rsid w:val="21C3660E"/>
    <w:rsid w:val="227776C5"/>
    <w:rsid w:val="227C6712"/>
    <w:rsid w:val="229451CA"/>
    <w:rsid w:val="22EE5862"/>
    <w:rsid w:val="22F10EAE"/>
    <w:rsid w:val="237A5348"/>
    <w:rsid w:val="238C0BD7"/>
    <w:rsid w:val="24DB3BC4"/>
    <w:rsid w:val="24ED38F7"/>
    <w:rsid w:val="25A91F14"/>
    <w:rsid w:val="260E7FC9"/>
    <w:rsid w:val="26FE3B9A"/>
    <w:rsid w:val="27AC7A9A"/>
    <w:rsid w:val="28773C04"/>
    <w:rsid w:val="288B76AF"/>
    <w:rsid w:val="28A45311"/>
    <w:rsid w:val="291D0C4F"/>
    <w:rsid w:val="291E22D1"/>
    <w:rsid w:val="29A22F02"/>
    <w:rsid w:val="2A04596B"/>
    <w:rsid w:val="2A2B2EF8"/>
    <w:rsid w:val="2A417BE7"/>
    <w:rsid w:val="2A992557"/>
    <w:rsid w:val="2BFF63EA"/>
    <w:rsid w:val="2C1C51EE"/>
    <w:rsid w:val="2C363DD6"/>
    <w:rsid w:val="2CBC077F"/>
    <w:rsid w:val="2CBC252D"/>
    <w:rsid w:val="2CD45AC9"/>
    <w:rsid w:val="2CDC497D"/>
    <w:rsid w:val="2CF73565"/>
    <w:rsid w:val="2D6106FA"/>
    <w:rsid w:val="2DB87F83"/>
    <w:rsid w:val="2DFB7D2C"/>
    <w:rsid w:val="2E00469C"/>
    <w:rsid w:val="2E7110F5"/>
    <w:rsid w:val="2E731311"/>
    <w:rsid w:val="2F972DDE"/>
    <w:rsid w:val="2FA8323D"/>
    <w:rsid w:val="2FB614B6"/>
    <w:rsid w:val="2FD8767E"/>
    <w:rsid w:val="30253270"/>
    <w:rsid w:val="30D37E45"/>
    <w:rsid w:val="30E16A06"/>
    <w:rsid w:val="31C1508A"/>
    <w:rsid w:val="32AE0B6A"/>
    <w:rsid w:val="335A65FC"/>
    <w:rsid w:val="3454129D"/>
    <w:rsid w:val="349F69BC"/>
    <w:rsid w:val="34A264AC"/>
    <w:rsid w:val="358E07DF"/>
    <w:rsid w:val="3596329B"/>
    <w:rsid w:val="36A2317E"/>
    <w:rsid w:val="36BB1AA7"/>
    <w:rsid w:val="37B3277F"/>
    <w:rsid w:val="37B7226F"/>
    <w:rsid w:val="38080D1C"/>
    <w:rsid w:val="388D2BB8"/>
    <w:rsid w:val="389425B0"/>
    <w:rsid w:val="389914F5"/>
    <w:rsid w:val="38A26A7B"/>
    <w:rsid w:val="38EC7CF6"/>
    <w:rsid w:val="39094D4C"/>
    <w:rsid w:val="3A6A35C8"/>
    <w:rsid w:val="3A7601BF"/>
    <w:rsid w:val="3A80103E"/>
    <w:rsid w:val="3B1D688D"/>
    <w:rsid w:val="3B38059C"/>
    <w:rsid w:val="3B4C2CCE"/>
    <w:rsid w:val="3BC92571"/>
    <w:rsid w:val="3D001FC2"/>
    <w:rsid w:val="3D082DA4"/>
    <w:rsid w:val="3D88719C"/>
    <w:rsid w:val="3E8B1D5F"/>
    <w:rsid w:val="3EAB0654"/>
    <w:rsid w:val="3F055FB6"/>
    <w:rsid w:val="3F520ACF"/>
    <w:rsid w:val="3FBE2DF7"/>
    <w:rsid w:val="3FFB2F15"/>
    <w:rsid w:val="403F1053"/>
    <w:rsid w:val="40610FCA"/>
    <w:rsid w:val="406311E6"/>
    <w:rsid w:val="40896772"/>
    <w:rsid w:val="40A35A86"/>
    <w:rsid w:val="41172CDE"/>
    <w:rsid w:val="41E9396D"/>
    <w:rsid w:val="435C1F1C"/>
    <w:rsid w:val="4416031D"/>
    <w:rsid w:val="442347E8"/>
    <w:rsid w:val="443864E5"/>
    <w:rsid w:val="44504273"/>
    <w:rsid w:val="44827761"/>
    <w:rsid w:val="44C91833"/>
    <w:rsid w:val="44EB3558"/>
    <w:rsid w:val="44F763A1"/>
    <w:rsid w:val="4597723C"/>
    <w:rsid w:val="45B46040"/>
    <w:rsid w:val="45B55914"/>
    <w:rsid w:val="45F823D0"/>
    <w:rsid w:val="463D4287"/>
    <w:rsid w:val="467F21AA"/>
    <w:rsid w:val="46A71700"/>
    <w:rsid w:val="46E22739"/>
    <w:rsid w:val="473016F6"/>
    <w:rsid w:val="47A85730"/>
    <w:rsid w:val="47F646ED"/>
    <w:rsid w:val="483D056E"/>
    <w:rsid w:val="484E277B"/>
    <w:rsid w:val="48873598"/>
    <w:rsid w:val="48DD3AFF"/>
    <w:rsid w:val="49B04D70"/>
    <w:rsid w:val="49C32CF5"/>
    <w:rsid w:val="4A657908"/>
    <w:rsid w:val="4A981A8C"/>
    <w:rsid w:val="4AA04DE4"/>
    <w:rsid w:val="4B0233A9"/>
    <w:rsid w:val="4B094738"/>
    <w:rsid w:val="4B88737F"/>
    <w:rsid w:val="4C07147F"/>
    <w:rsid w:val="4C266675"/>
    <w:rsid w:val="4CA3296A"/>
    <w:rsid w:val="4CC21042"/>
    <w:rsid w:val="4CE27936"/>
    <w:rsid w:val="4DC82688"/>
    <w:rsid w:val="4DCD4142"/>
    <w:rsid w:val="4DFA0CB0"/>
    <w:rsid w:val="4E21623C"/>
    <w:rsid w:val="4E361CE8"/>
    <w:rsid w:val="4ED137BE"/>
    <w:rsid w:val="4ED35788"/>
    <w:rsid w:val="4EE83D20"/>
    <w:rsid w:val="4EF31987"/>
    <w:rsid w:val="4F2E29BF"/>
    <w:rsid w:val="4F7C7BCE"/>
    <w:rsid w:val="500E7D8F"/>
    <w:rsid w:val="501A2F43"/>
    <w:rsid w:val="50B9275C"/>
    <w:rsid w:val="50D37CC2"/>
    <w:rsid w:val="50D715FA"/>
    <w:rsid w:val="51954F77"/>
    <w:rsid w:val="52151C14"/>
    <w:rsid w:val="5257222D"/>
    <w:rsid w:val="52A1794C"/>
    <w:rsid w:val="52B07B8F"/>
    <w:rsid w:val="52CA50F4"/>
    <w:rsid w:val="530F48B5"/>
    <w:rsid w:val="53165C44"/>
    <w:rsid w:val="532145E9"/>
    <w:rsid w:val="53D17DBD"/>
    <w:rsid w:val="54106B37"/>
    <w:rsid w:val="54321BDA"/>
    <w:rsid w:val="54617393"/>
    <w:rsid w:val="546A4FE0"/>
    <w:rsid w:val="54E104D3"/>
    <w:rsid w:val="572E7C77"/>
    <w:rsid w:val="57EA769F"/>
    <w:rsid w:val="58D81BED"/>
    <w:rsid w:val="597162CA"/>
    <w:rsid w:val="59A246D5"/>
    <w:rsid w:val="59A84932"/>
    <w:rsid w:val="59FA62BF"/>
    <w:rsid w:val="5A9011A8"/>
    <w:rsid w:val="5C71038F"/>
    <w:rsid w:val="5C7C618F"/>
    <w:rsid w:val="5CBA3AE4"/>
    <w:rsid w:val="5CBB0FE6"/>
    <w:rsid w:val="5CE15514"/>
    <w:rsid w:val="5D362657"/>
    <w:rsid w:val="5E0F7E5F"/>
    <w:rsid w:val="5E60690D"/>
    <w:rsid w:val="5EAC56AE"/>
    <w:rsid w:val="5EC81DBF"/>
    <w:rsid w:val="5EF85151"/>
    <w:rsid w:val="5F9C1BC7"/>
    <w:rsid w:val="5FB54A36"/>
    <w:rsid w:val="603B4F3C"/>
    <w:rsid w:val="60E05AE3"/>
    <w:rsid w:val="61291238"/>
    <w:rsid w:val="613657CA"/>
    <w:rsid w:val="614222FA"/>
    <w:rsid w:val="615362B5"/>
    <w:rsid w:val="618943CD"/>
    <w:rsid w:val="62361E5F"/>
    <w:rsid w:val="623935A0"/>
    <w:rsid w:val="624C78D4"/>
    <w:rsid w:val="625422E5"/>
    <w:rsid w:val="628C7CD0"/>
    <w:rsid w:val="62E0001C"/>
    <w:rsid w:val="6320666B"/>
    <w:rsid w:val="63851D43"/>
    <w:rsid w:val="64124205"/>
    <w:rsid w:val="643C7516"/>
    <w:rsid w:val="645111D2"/>
    <w:rsid w:val="648C220A"/>
    <w:rsid w:val="64B13A1E"/>
    <w:rsid w:val="64C92141"/>
    <w:rsid w:val="6598698C"/>
    <w:rsid w:val="667846D5"/>
    <w:rsid w:val="66F9207F"/>
    <w:rsid w:val="673F17B5"/>
    <w:rsid w:val="67B37AAD"/>
    <w:rsid w:val="67DB7004"/>
    <w:rsid w:val="67ED6154"/>
    <w:rsid w:val="68093B71"/>
    <w:rsid w:val="68152516"/>
    <w:rsid w:val="68346C45"/>
    <w:rsid w:val="68437083"/>
    <w:rsid w:val="68F71C1C"/>
    <w:rsid w:val="695B03FD"/>
    <w:rsid w:val="698536CB"/>
    <w:rsid w:val="6B0A032C"/>
    <w:rsid w:val="6B0F149F"/>
    <w:rsid w:val="6B4A24D7"/>
    <w:rsid w:val="6BAC3191"/>
    <w:rsid w:val="6BBE4C73"/>
    <w:rsid w:val="6BCF0C2E"/>
    <w:rsid w:val="6C256AA0"/>
    <w:rsid w:val="6C8163CC"/>
    <w:rsid w:val="6CFC1EF7"/>
    <w:rsid w:val="6D747FD7"/>
    <w:rsid w:val="6D7C6B93"/>
    <w:rsid w:val="6E22773B"/>
    <w:rsid w:val="6E4C47B8"/>
    <w:rsid w:val="6EAE0FCF"/>
    <w:rsid w:val="6F1C062E"/>
    <w:rsid w:val="6F1F1ECC"/>
    <w:rsid w:val="6F743FC6"/>
    <w:rsid w:val="6FC0720B"/>
    <w:rsid w:val="700F0193"/>
    <w:rsid w:val="70C44AD9"/>
    <w:rsid w:val="71080E6A"/>
    <w:rsid w:val="71FC5EA9"/>
    <w:rsid w:val="7275252F"/>
    <w:rsid w:val="731434B5"/>
    <w:rsid w:val="73AA6208"/>
    <w:rsid w:val="73AB1F81"/>
    <w:rsid w:val="73B726D3"/>
    <w:rsid w:val="73C13552"/>
    <w:rsid w:val="7420471D"/>
    <w:rsid w:val="74716D26"/>
    <w:rsid w:val="7472484C"/>
    <w:rsid w:val="74A7099A"/>
    <w:rsid w:val="74E92D60"/>
    <w:rsid w:val="75FE45EA"/>
    <w:rsid w:val="76045978"/>
    <w:rsid w:val="76A553AD"/>
    <w:rsid w:val="76E45ED5"/>
    <w:rsid w:val="776C7C79"/>
    <w:rsid w:val="79882CF8"/>
    <w:rsid w:val="79982FA7"/>
    <w:rsid w:val="7A4F78F2"/>
    <w:rsid w:val="7A7632E8"/>
    <w:rsid w:val="7B3E36DA"/>
    <w:rsid w:val="7B786BEC"/>
    <w:rsid w:val="7B9D6653"/>
    <w:rsid w:val="7BA63759"/>
    <w:rsid w:val="7BCE0F02"/>
    <w:rsid w:val="7C743857"/>
    <w:rsid w:val="7D3B29C0"/>
    <w:rsid w:val="7D515947"/>
    <w:rsid w:val="7D7D04EA"/>
    <w:rsid w:val="7D7E4262"/>
    <w:rsid w:val="7DBD2FDC"/>
    <w:rsid w:val="7DFFE423"/>
    <w:rsid w:val="7E0879CA"/>
    <w:rsid w:val="7E494870"/>
    <w:rsid w:val="7E496195"/>
    <w:rsid w:val="7E505BFE"/>
    <w:rsid w:val="7E8F4979"/>
    <w:rsid w:val="7E97382D"/>
    <w:rsid w:val="7EC32874"/>
    <w:rsid w:val="7F7B442D"/>
    <w:rsid w:val="7FBF0013"/>
    <w:rsid w:val="FFF909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Body Text"/>
    <w:basedOn w:val="1"/>
    <w:qFormat/>
    <w:uiPriority w:val="99"/>
    <w:rPr>
      <w:rFonts w:ascii="仿宋_GB2312" w:eastAsia="仿宋_GB2312"/>
      <w:sz w:val="32"/>
    </w:rPr>
  </w:style>
  <w:style w:type="paragraph" w:styleId="8">
    <w:name w:val="Body Text Indent"/>
    <w:basedOn w:val="1"/>
    <w:unhideWhenUsed/>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Date"/>
    <w:basedOn w:val="1"/>
    <w:next w:val="1"/>
    <w:qFormat/>
    <w:uiPriority w:val="99"/>
  </w:style>
  <w:style w:type="paragraph" w:styleId="12">
    <w:name w:val="Balloon Text"/>
    <w:basedOn w:val="1"/>
    <w:link w:val="30"/>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index 7"/>
    <w:basedOn w:val="1"/>
    <w:next w:val="1"/>
    <w:qFormat/>
    <w:uiPriority w:val="0"/>
    <w:pPr>
      <w:ind w:left="2520"/>
    </w:pPr>
  </w:style>
  <w:style w:type="paragraph" w:styleId="17">
    <w:name w:val="toc 2"/>
    <w:basedOn w:val="1"/>
    <w:next w:val="1"/>
    <w:qFormat/>
    <w:uiPriority w:val="39"/>
    <w:pPr>
      <w:ind w:left="420" w:leftChars="200"/>
    </w:pPr>
  </w:style>
  <w:style w:type="paragraph" w:styleId="18">
    <w:name w:val="Body Text First Indent"/>
    <w:basedOn w:val="7"/>
    <w:next w:val="1"/>
    <w:qFormat/>
    <w:uiPriority w:val="0"/>
    <w:pPr>
      <w:spacing w:line="360" w:lineRule="auto"/>
      <w:ind w:firstLine="420"/>
    </w:pPr>
    <w:rPr>
      <w:rFonts w:ascii="宋体" w:hAnsi="宋体"/>
      <w:sz w:val="24"/>
    </w:rPr>
  </w:style>
  <w:style w:type="paragraph" w:styleId="19">
    <w:name w:val="Body Text First Indent 2"/>
    <w:basedOn w:val="8"/>
    <w:qFormat/>
    <w:uiPriority w:val="0"/>
    <w:pPr>
      <w:ind w:firstLine="420" w:firstLineChars="2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paragraph" w:customStyle="1" w:styleId="24">
    <w:name w:val="列表段落3"/>
    <w:basedOn w:val="1"/>
    <w:unhideWhenUsed/>
    <w:qFormat/>
    <w:uiPriority w:val="99"/>
    <w:pPr>
      <w:ind w:firstLine="420" w:firstLineChars="200"/>
    </w:pPr>
  </w:style>
  <w:style w:type="paragraph" w:customStyle="1" w:styleId="25">
    <w:name w:val="1"/>
    <w:basedOn w:val="1"/>
    <w:next w:val="10"/>
    <w:qFormat/>
    <w:uiPriority w:val="99"/>
    <w:rPr>
      <w:rFonts w:ascii="宋体" w:hAnsi="Courier New"/>
    </w:rPr>
  </w:style>
  <w:style w:type="table" w:customStyle="1" w:styleId="26">
    <w:name w:val="Table Normal"/>
    <w:unhideWhenUsed/>
    <w:qFormat/>
    <w:uiPriority w:val="0"/>
    <w:tblPr>
      <w:tblCellMar>
        <w:top w:w="0" w:type="dxa"/>
        <w:left w:w="0" w:type="dxa"/>
        <w:bottom w:w="0" w:type="dxa"/>
        <w:right w:w="0" w:type="dxa"/>
      </w:tblCellMar>
    </w:tblPr>
  </w:style>
  <w:style w:type="paragraph" w:customStyle="1" w:styleId="27">
    <w:name w:val="列出段落1"/>
    <w:basedOn w:val="1"/>
    <w:qFormat/>
    <w:uiPriority w:val="0"/>
    <w:pPr>
      <w:ind w:firstLine="420" w:firstLineChars="200"/>
    </w:pPr>
  </w:style>
  <w:style w:type="paragraph" w:customStyle="1" w:styleId="28">
    <w:name w:val="列出段落2"/>
    <w:basedOn w:val="1"/>
    <w:qFormat/>
    <w:uiPriority w:val="0"/>
    <w:pPr>
      <w:ind w:firstLine="420" w:firstLineChars="200"/>
    </w:pPr>
  </w:style>
  <w:style w:type="paragraph" w:customStyle="1" w:styleId="29">
    <w:name w:val="Revision"/>
    <w:hidden/>
    <w:semiHidden/>
    <w:qFormat/>
    <w:uiPriority w:val="99"/>
    <w:rPr>
      <w:rFonts w:ascii="Calibri" w:hAnsi="Calibri" w:eastAsia="宋体" w:cs="Times New Roman"/>
      <w:kern w:val="2"/>
      <w:sz w:val="21"/>
      <w:szCs w:val="24"/>
      <w:lang w:val="en-US" w:eastAsia="zh-CN" w:bidi="ar-SA"/>
    </w:rPr>
  </w:style>
  <w:style w:type="character" w:customStyle="1" w:styleId="30">
    <w:name w:val="批注框文本 字符"/>
    <w:basedOn w:val="22"/>
    <w:link w:val="1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48</Pages>
  <Words>1223</Words>
  <Characters>1315</Characters>
  <Lines>227</Lines>
  <Paragraphs>64</Paragraphs>
  <TotalTime>2</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2025-08-13T07:18:00Z</dcterms:created>
  <dc:creator>Administrator</dc:creator>
  <cp:lastModifiedBy>Anonymous</cp:lastModifiedBy>
  <dcterms:modified xsi:type="dcterms:W3CDTF">2025-08-29T09:38:04Z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567EB709340946DD845D5AC3C5496323_12</vt:lpwstr>
  </property>
  <property fmtid="{D5CDD505-2E9C-101B-9397-08002B2CF9AE}" pid="4" name="KSOTemplateDocerSaveRecord">
    <vt:lpwstr>eyJoZGlkIjoiYzY1MzdjNjQwODY3ZGIyNDI0NDhmYjBiNGZjMTZmMGMifQ==</vt:lpwstr>
  </property>
</Properties>
</file>